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A9C" w:rsidRPr="00B97A9C" w:rsidRDefault="00B97A9C" w:rsidP="00441B6F">
      <w:pPr>
        <w:pStyle w:val="Author"/>
        <w:spacing w:line="240" w:lineRule="auto"/>
        <w:rPr>
          <w:rFonts w:ascii="Arial" w:hAnsi="Arial" w:cs="Arial"/>
          <w:sz w:val="28"/>
          <w:szCs w:val="28"/>
        </w:rPr>
      </w:pPr>
      <w:r w:rsidRPr="00B97A9C">
        <w:rPr>
          <w:rFonts w:ascii="Arial" w:hAnsi="Arial" w:cs="Arial"/>
          <w:sz w:val="28"/>
          <w:szCs w:val="28"/>
          <w:lang w:bidi="th-TH"/>
        </w:rPr>
        <w:t>MAPPING URBANIZATION INTENSITY AND DIRECTIONAL GROWTH IN KOZHIKODE, INDIA: A 30-YEAR SPATIO-TEMPORAL STUDY</w:t>
      </w:r>
      <w:r w:rsidRPr="00B97A9C">
        <w:rPr>
          <w:rFonts w:ascii="Arial" w:hAnsi="Arial" w:cs="Arial"/>
          <w:sz w:val="28"/>
          <w:szCs w:val="28"/>
        </w:rPr>
        <w:t xml:space="preserve"> </w:t>
      </w:r>
    </w:p>
    <w:p w:rsidR="00790ADA" w:rsidRDefault="00790ADA" w:rsidP="00441B6F">
      <w:pPr>
        <w:pStyle w:val="Affiliation"/>
        <w:spacing w:after="0" w:line="240" w:lineRule="auto"/>
        <w:jc w:val="both"/>
        <w:rPr>
          <w:rFonts w:ascii="Arial" w:hAnsi="Arial" w:cs="Arial"/>
        </w:rPr>
      </w:pPr>
    </w:p>
    <w:p w:rsidR="002C57D2" w:rsidRDefault="002C57D2" w:rsidP="00441B6F">
      <w:pPr>
        <w:pStyle w:val="Affiliation"/>
        <w:spacing w:after="0" w:line="240" w:lineRule="auto"/>
        <w:jc w:val="both"/>
        <w:rPr>
          <w:rFonts w:ascii="Arial" w:hAnsi="Arial" w:cs="Arial"/>
        </w:rPr>
      </w:pPr>
    </w:p>
    <w:p w:rsidR="00C74EAF" w:rsidRPr="00FB3A86" w:rsidRDefault="00C74EAF" w:rsidP="00441B6F">
      <w:pPr>
        <w:pStyle w:val="Affiliation"/>
        <w:spacing w:after="0" w:line="240" w:lineRule="auto"/>
        <w:jc w:val="both"/>
        <w:rPr>
          <w:rFonts w:ascii="Arial" w:hAnsi="Arial" w:cs="Arial"/>
        </w:rPr>
      </w:pPr>
    </w:p>
    <w:p w:rsidR="00B01FCD" w:rsidRPr="00FB3A86" w:rsidRDefault="009F3652"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C74EAF">
        <w:trPr>
          <w:jc w:val="center"/>
        </w:trPr>
        <w:tc>
          <w:tcPr>
            <w:tcW w:w="9576" w:type="dxa"/>
            <w:shd w:val="clear" w:color="auto" w:fill="F2F2F2"/>
          </w:tcPr>
          <w:p w:rsidR="00505F06" w:rsidRPr="0027651D" w:rsidRDefault="00CD6599" w:rsidP="00441B6F">
            <w:pPr>
              <w:pStyle w:val="Body"/>
              <w:spacing w:after="0"/>
              <w:rPr>
                <w:rFonts w:ascii="Arial" w:eastAsia="Calibri" w:hAnsi="Arial" w:cs="Arial"/>
              </w:rPr>
            </w:pPr>
            <w:r w:rsidRPr="0027651D">
              <w:rPr>
                <w:rFonts w:ascii="Arial" w:hAnsi="Arial" w:cs="Arial"/>
              </w:rPr>
              <w:t>Rapid urbanization in coastal Indian cities poses significant challenges for sustainable land use and infrastructure planning. Kozhikode, also known as Calicut, located along the southwest coast of India, is among the fastest-growing urban areas in the country. This study aims to analyze the spatial and temporal dynamics of urban expansion in Kozhikode and its suburbs over a 30-year period from 1993 to 2023, highlighting the need for sustainable urban planning in rapidly developing coastal cities.</w:t>
            </w:r>
            <w:r w:rsidRPr="0027651D">
              <w:rPr>
                <w:rFonts w:ascii="Arial" w:hAnsi="Arial" w:cs="Arial"/>
                <w:color w:val="000000" w:themeColor="text1"/>
              </w:rPr>
              <w:t xml:space="preserve"> </w:t>
            </w:r>
            <w:r w:rsidRPr="0027651D">
              <w:rPr>
                <w:rFonts w:ascii="Arial" w:hAnsi="Arial" w:cs="Arial"/>
              </w:rPr>
              <w:t xml:space="preserve">Landsat satellite imagery for the years 1993, 2003, 2013, and 2023 was processed to extract urban built-up areas, comprising high-density residential and newly developed zones. Aeolotropic Buffer Gradient Analysis (BGA) was performed using ArcGIS to identify directional trends in urban growth. Urbanization Proportional Index (UPI) and Urbanization Intensity Index (UII) were used to quantify the magnitude and rate of urban expansion. The results reveal a clear spatial shift in urban growth, with significant expansion towards the North-Northeast (NNE), East-Northeast (ENE), and East-Southeast (ESE) directions. Built-up areas have intensified particularly along the recently widened National Highway corridor. The Kozhikode urban agglomeration now stretches from </w:t>
            </w:r>
            <w:proofErr w:type="spellStart"/>
            <w:r w:rsidRPr="0027651D">
              <w:rPr>
                <w:rFonts w:ascii="Arial" w:hAnsi="Arial" w:cs="Arial"/>
              </w:rPr>
              <w:t>Elathur</w:t>
            </w:r>
            <w:proofErr w:type="spellEnd"/>
            <w:r w:rsidRPr="0027651D">
              <w:rPr>
                <w:rFonts w:ascii="Arial" w:hAnsi="Arial" w:cs="Arial"/>
              </w:rPr>
              <w:t xml:space="preserve"> in the north to </w:t>
            </w:r>
            <w:proofErr w:type="spellStart"/>
            <w:r w:rsidRPr="0027651D">
              <w:rPr>
                <w:rFonts w:ascii="Arial" w:hAnsi="Arial" w:cs="Arial"/>
              </w:rPr>
              <w:t>Ramanattukara</w:t>
            </w:r>
            <w:proofErr w:type="spellEnd"/>
            <w:r w:rsidRPr="0027651D">
              <w:rPr>
                <w:rFonts w:ascii="Arial" w:hAnsi="Arial" w:cs="Arial"/>
              </w:rPr>
              <w:t xml:space="preserve"> in the southeast and </w:t>
            </w:r>
            <w:proofErr w:type="spellStart"/>
            <w:r w:rsidRPr="0027651D">
              <w:rPr>
                <w:rFonts w:ascii="Arial" w:hAnsi="Arial" w:cs="Arial"/>
              </w:rPr>
              <w:t>Kunnamangalam</w:t>
            </w:r>
            <w:proofErr w:type="spellEnd"/>
            <w:r w:rsidRPr="0027651D">
              <w:rPr>
                <w:rFonts w:ascii="Arial" w:hAnsi="Arial" w:cs="Arial"/>
              </w:rPr>
              <w:t xml:space="preserve"> in the northeast. These findings provide essential inputs for policymakers, planners, and urban managers to develop informed strategies for balanced and sustainable urban development in rapidly urbanizing coastal regions.</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Keywords:</w:t>
      </w:r>
      <w:r w:rsidR="00B917D5" w:rsidRPr="00B917D5">
        <w:rPr>
          <w:rFonts w:cs="Calibri Light"/>
          <w:szCs w:val="18"/>
        </w:rPr>
        <w:t xml:space="preserve"> </w:t>
      </w:r>
      <w:r w:rsidR="00B917D5" w:rsidRPr="008B274C">
        <w:rPr>
          <w:rFonts w:ascii="Arial" w:hAnsi="Arial" w:cs="Arial"/>
          <w:i/>
          <w:szCs w:val="18"/>
        </w:rPr>
        <w:t xml:space="preserve">Urbanization intensity; Buffer gradient; Spatial </w:t>
      </w:r>
      <w:proofErr w:type="spellStart"/>
      <w:r w:rsidR="00B917D5" w:rsidRPr="008B274C">
        <w:rPr>
          <w:rFonts w:ascii="Arial" w:hAnsi="Arial" w:cs="Arial"/>
          <w:i/>
          <w:szCs w:val="18"/>
        </w:rPr>
        <w:t>Aeolotropy</w:t>
      </w:r>
      <w:proofErr w:type="spellEnd"/>
      <w:r w:rsidR="00B917D5" w:rsidRPr="008B274C">
        <w:rPr>
          <w:rFonts w:ascii="Arial" w:hAnsi="Arial" w:cs="Arial"/>
          <w:i/>
          <w:szCs w:val="18"/>
        </w:rPr>
        <w:t>; Urbanization Intensity Index; Urbanization Proportional Index</w:t>
      </w:r>
      <w:r>
        <w:rPr>
          <w:rFonts w:ascii="Arial" w:hAnsi="Arial" w:cs="Arial"/>
          <w:i/>
        </w:rPr>
        <w:t xml:space="preserve"> </w:t>
      </w: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C74EAF">
        <w:rPr>
          <w:rFonts w:ascii="Arial" w:hAnsi="Arial" w:cs="Arial"/>
        </w:rPr>
        <w:t xml:space="preserve"> </w:t>
      </w:r>
    </w:p>
    <w:p w:rsidR="00790ADA" w:rsidRPr="00FB3A86" w:rsidRDefault="00790ADA" w:rsidP="00441B6F">
      <w:pPr>
        <w:pStyle w:val="AbstHead"/>
        <w:spacing w:after="0"/>
        <w:jc w:val="both"/>
        <w:rPr>
          <w:rFonts w:ascii="Arial" w:hAnsi="Arial" w:cs="Arial"/>
        </w:rPr>
      </w:pPr>
    </w:p>
    <w:p w:rsidR="005847DA" w:rsidRPr="000C49E0" w:rsidRDefault="00CD5808" w:rsidP="000C49E0">
      <w:pPr>
        <w:pStyle w:val="NormalWeb"/>
        <w:jc w:val="both"/>
        <w:rPr>
          <w:rStyle w:val="Strong"/>
          <w:rFonts w:ascii="Arial" w:hAnsi="Arial" w:cs="Arial"/>
          <w:b w:val="0"/>
          <w:bCs w:val="0"/>
          <w:sz w:val="20"/>
          <w:szCs w:val="20"/>
        </w:rPr>
      </w:pPr>
      <w:r w:rsidRPr="000C49E0">
        <w:rPr>
          <w:rFonts w:ascii="Arial" w:hAnsi="Arial" w:cs="Arial"/>
          <w:sz w:val="20"/>
          <w:szCs w:val="20"/>
        </w:rPr>
        <w:t>Urbanization has become a defining phenomenon of the 21st century, significantly transforming landscapes, ecosystems, and socio-economic structures across the globe. The expansion of urban areas often occurs at the expense of natural environments, resulting in fragmented landscapes, altered hydrological patterns, loss of biodiversity, and increased vulnerability to environmental hazards such as flooding and heat</w:t>
      </w:r>
      <w:r w:rsidR="00645118" w:rsidRPr="000C49E0">
        <w:rPr>
          <w:rFonts w:ascii="Arial" w:hAnsi="Arial" w:cs="Arial"/>
          <w:sz w:val="20"/>
          <w:szCs w:val="20"/>
        </w:rPr>
        <w:t xml:space="preserve"> </w:t>
      </w:r>
      <w:r w:rsidRPr="000C49E0">
        <w:rPr>
          <w:rFonts w:ascii="Arial" w:hAnsi="Arial" w:cs="Arial"/>
          <w:sz w:val="20"/>
          <w:szCs w:val="20"/>
        </w:rPr>
        <w:t xml:space="preserve">waves (Ben </w:t>
      </w:r>
      <w:proofErr w:type="spellStart"/>
      <w:r w:rsidRPr="000C49E0">
        <w:rPr>
          <w:rFonts w:ascii="Arial" w:hAnsi="Arial" w:cs="Arial"/>
          <w:sz w:val="20"/>
          <w:szCs w:val="20"/>
        </w:rPr>
        <w:t>Messaoud</w:t>
      </w:r>
      <w:proofErr w:type="spellEnd"/>
      <w:r w:rsidRPr="000C49E0">
        <w:rPr>
          <w:rFonts w:ascii="Arial" w:hAnsi="Arial" w:cs="Arial"/>
          <w:sz w:val="20"/>
          <w:szCs w:val="20"/>
        </w:rPr>
        <w:t xml:space="preserve"> et al., 2024; Ramachandra et al., 2014). Understanding the </w:t>
      </w:r>
      <w:r w:rsidRPr="000C49E0">
        <w:rPr>
          <w:rStyle w:val="Strong"/>
          <w:rFonts w:ascii="Arial" w:hAnsi="Arial" w:cs="Arial"/>
          <w:b w:val="0"/>
          <w:sz w:val="20"/>
          <w:szCs w:val="20"/>
        </w:rPr>
        <w:t>spatial and temporal dynamics of urban growth</w:t>
      </w:r>
      <w:r w:rsidRPr="000C49E0">
        <w:rPr>
          <w:rFonts w:ascii="Arial" w:hAnsi="Arial" w:cs="Arial"/>
          <w:sz w:val="20"/>
          <w:szCs w:val="20"/>
        </w:rPr>
        <w:t xml:space="preserve"> is therefore essential for effective planning and sustainable development, especially in ecologically sensitive and rapidly urbanizing regions.</w:t>
      </w:r>
      <w:r w:rsidR="000C49E0">
        <w:rPr>
          <w:rFonts w:ascii="Arial" w:hAnsi="Arial" w:cs="Arial"/>
          <w:sz w:val="20"/>
          <w:szCs w:val="20"/>
        </w:rPr>
        <w:t xml:space="preserve"> </w:t>
      </w:r>
      <w:r w:rsidRPr="000C49E0">
        <w:rPr>
          <w:rFonts w:ascii="Arial" w:hAnsi="Arial" w:cs="Arial"/>
          <w:sz w:val="20"/>
          <w:szCs w:val="20"/>
        </w:rPr>
        <w:t xml:space="preserve">Despite a growing body of research on urban expansion in India's metropolitan areas, there remains a lack of detailed, spatially explicit studies focusing on </w:t>
      </w:r>
      <w:r w:rsidRPr="000C49E0">
        <w:rPr>
          <w:rStyle w:val="Strong"/>
          <w:rFonts w:ascii="Arial" w:hAnsi="Arial" w:cs="Arial"/>
          <w:b w:val="0"/>
          <w:sz w:val="20"/>
          <w:szCs w:val="20"/>
        </w:rPr>
        <w:t>medium-sized coastal cities</w:t>
      </w:r>
      <w:r w:rsidRPr="000C49E0">
        <w:rPr>
          <w:rFonts w:ascii="Arial" w:hAnsi="Arial" w:cs="Arial"/>
          <w:sz w:val="20"/>
          <w:szCs w:val="20"/>
        </w:rPr>
        <w:t xml:space="preserve"> that are experiencing unplanned urban sprawl. </w:t>
      </w:r>
      <w:r w:rsidR="0047108E" w:rsidRPr="000C49E0">
        <w:rPr>
          <w:rStyle w:val="Strong"/>
          <w:rFonts w:ascii="Arial" w:hAnsi="Arial" w:cs="Arial"/>
          <w:b w:val="0"/>
          <w:sz w:val="20"/>
          <w:szCs w:val="20"/>
        </w:rPr>
        <w:t>Xiao et al. (2021)</w:t>
      </w:r>
      <w:r w:rsidR="0047108E" w:rsidRPr="000C49E0">
        <w:rPr>
          <w:rFonts w:ascii="Arial" w:hAnsi="Arial" w:cs="Arial"/>
          <w:sz w:val="20"/>
          <w:szCs w:val="20"/>
        </w:rPr>
        <w:t xml:space="preserve"> demonstrated the relevance of geospatial indices, particularly the Urbanization Intensity Index (UII), in effectively quantifying urban growth and how integrated metrics derived from built-up areas, population density, and nighttime light data can monitor spatial and temporal patterns of urbanization for sustainable urban planning. </w:t>
      </w:r>
      <w:r w:rsidR="00D30E9D" w:rsidRPr="000C49E0">
        <w:rPr>
          <w:rFonts w:ascii="Arial" w:hAnsi="Arial" w:cs="Arial"/>
          <w:sz w:val="20"/>
          <w:szCs w:val="20"/>
        </w:rPr>
        <w:t xml:space="preserve"> </w:t>
      </w:r>
      <w:proofErr w:type="spellStart"/>
      <w:r w:rsidR="00D30E9D" w:rsidRPr="000C49E0">
        <w:rPr>
          <w:rStyle w:val="Strong"/>
          <w:rFonts w:ascii="Arial" w:hAnsi="Arial" w:cs="Arial"/>
          <w:b w:val="0"/>
          <w:sz w:val="20"/>
          <w:szCs w:val="20"/>
        </w:rPr>
        <w:t>Haldar</w:t>
      </w:r>
      <w:proofErr w:type="spellEnd"/>
      <w:r w:rsidR="00D30E9D" w:rsidRPr="000C49E0">
        <w:rPr>
          <w:rStyle w:val="Strong"/>
          <w:rFonts w:ascii="Arial" w:hAnsi="Arial" w:cs="Arial"/>
          <w:b w:val="0"/>
          <w:sz w:val="20"/>
          <w:szCs w:val="20"/>
        </w:rPr>
        <w:t xml:space="preserve"> et al. (2024)</w:t>
      </w:r>
      <w:r w:rsidR="00D30E9D" w:rsidRPr="000C49E0">
        <w:rPr>
          <w:rFonts w:ascii="Arial" w:hAnsi="Arial" w:cs="Arial"/>
          <w:sz w:val="20"/>
          <w:szCs w:val="20"/>
        </w:rPr>
        <w:t xml:space="preserve"> employed an integrative approach combining spatial metrics, statistical modeling, and predictive simulations to highlight the peri-urban expansion.</w:t>
      </w:r>
      <w:r w:rsidR="00D30E9D" w:rsidRPr="000C49E0">
        <w:rPr>
          <w:rStyle w:val="Strong"/>
          <w:rFonts w:ascii="Arial" w:hAnsi="Arial" w:cs="Arial"/>
          <w:sz w:val="20"/>
          <w:szCs w:val="20"/>
        </w:rPr>
        <w:t xml:space="preserve"> </w:t>
      </w:r>
    </w:p>
    <w:p w:rsidR="00044601" w:rsidRPr="000C49E0" w:rsidRDefault="00D30E9D" w:rsidP="000C49E0">
      <w:pPr>
        <w:pStyle w:val="NormalWeb"/>
        <w:jc w:val="both"/>
        <w:rPr>
          <w:rFonts w:ascii="Arial" w:hAnsi="Arial" w:cs="Arial"/>
          <w:sz w:val="20"/>
          <w:szCs w:val="20"/>
        </w:rPr>
      </w:pPr>
      <w:r w:rsidRPr="000C49E0">
        <w:rPr>
          <w:rFonts w:ascii="Arial" w:hAnsi="Arial" w:cs="Arial"/>
          <w:sz w:val="20"/>
          <w:szCs w:val="20"/>
        </w:rPr>
        <w:t xml:space="preserve">Kozhikode is the third-largest city in Kerala and plays a vital role in the region’s economy, culture, and trade. Reports by the </w:t>
      </w:r>
      <w:r w:rsidRPr="000C49E0">
        <w:rPr>
          <w:rStyle w:val="Strong"/>
          <w:rFonts w:ascii="Arial" w:hAnsi="Arial" w:cs="Arial"/>
          <w:b w:val="0"/>
          <w:sz w:val="20"/>
          <w:szCs w:val="20"/>
        </w:rPr>
        <w:t>UN-Habitat and the</w:t>
      </w:r>
      <w:r w:rsidRPr="000C49E0">
        <w:rPr>
          <w:rStyle w:val="Strong"/>
          <w:rFonts w:ascii="Arial" w:hAnsi="Arial" w:cs="Arial"/>
          <w:sz w:val="20"/>
          <w:szCs w:val="20"/>
        </w:rPr>
        <w:t xml:space="preserve"> </w:t>
      </w:r>
      <w:r w:rsidRPr="000C49E0">
        <w:rPr>
          <w:rStyle w:val="Strong"/>
          <w:rFonts w:ascii="Arial" w:hAnsi="Arial" w:cs="Arial"/>
          <w:b w:val="0"/>
          <w:sz w:val="20"/>
          <w:szCs w:val="20"/>
        </w:rPr>
        <w:t>Lincoln Institute of Land Policy</w:t>
      </w:r>
      <w:r w:rsidRPr="000C49E0">
        <w:rPr>
          <w:rFonts w:ascii="Arial" w:hAnsi="Arial" w:cs="Arial"/>
          <w:sz w:val="20"/>
          <w:szCs w:val="20"/>
        </w:rPr>
        <w:t xml:space="preserve"> identify Kozhikode as </w:t>
      </w:r>
      <w:r w:rsidRPr="000C49E0">
        <w:rPr>
          <w:rStyle w:val="Strong"/>
          <w:rFonts w:ascii="Arial" w:hAnsi="Arial" w:cs="Arial"/>
          <w:b w:val="0"/>
          <w:sz w:val="20"/>
          <w:szCs w:val="20"/>
        </w:rPr>
        <w:t>India’s fastest-growing urban area</w:t>
      </w:r>
      <w:r w:rsidRPr="000C49E0">
        <w:rPr>
          <w:rFonts w:ascii="Arial" w:hAnsi="Arial" w:cs="Arial"/>
          <w:b/>
          <w:sz w:val="20"/>
          <w:szCs w:val="20"/>
        </w:rPr>
        <w:t>,</w:t>
      </w:r>
      <w:r w:rsidRPr="000C49E0">
        <w:rPr>
          <w:rFonts w:ascii="Arial" w:hAnsi="Arial" w:cs="Arial"/>
          <w:sz w:val="20"/>
          <w:szCs w:val="20"/>
        </w:rPr>
        <w:t xml:space="preserve"> while the </w:t>
      </w:r>
      <w:r w:rsidRPr="000C49E0">
        <w:rPr>
          <w:rStyle w:val="Strong"/>
          <w:rFonts w:ascii="Arial" w:hAnsi="Arial" w:cs="Arial"/>
          <w:b w:val="0"/>
          <w:sz w:val="20"/>
          <w:szCs w:val="20"/>
        </w:rPr>
        <w:t>Economist Intelligence Unit (2020)</w:t>
      </w:r>
      <w:r w:rsidRPr="000C49E0">
        <w:rPr>
          <w:rFonts w:ascii="Arial" w:hAnsi="Arial" w:cs="Arial"/>
          <w:sz w:val="20"/>
          <w:szCs w:val="20"/>
        </w:rPr>
        <w:t xml:space="preserve"> ranks it as the fourth fastest-growing city in the world (</w:t>
      </w:r>
      <w:proofErr w:type="spellStart"/>
      <w:r w:rsidRPr="000C49E0">
        <w:rPr>
          <w:rFonts w:ascii="Arial" w:hAnsi="Arial" w:cs="Arial"/>
          <w:sz w:val="20"/>
          <w:szCs w:val="20"/>
        </w:rPr>
        <w:t>Navaneeth</w:t>
      </w:r>
      <w:proofErr w:type="spellEnd"/>
      <w:r w:rsidRPr="000C49E0">
        <w:rPr>
          <w:rFonts w:ascii="Arial" w:hAnsi="Arial" w:cs="Arial"/>
          <w:sz w:val="20"/>
          <w:szCs w:val="20"/>
        </w:rPr>
        <w:t xml:space="preserve"> et al., 2021; </w:t>
      </w:r>
      <w:proofErr w:type="spellStart"/>
      <w:r w:rsidRPr="000C49E0">
        <w:rPr>
          <w:rFonts w:ascii="Arial" w:hAnsi="Arial" w:cs="Arial"/>
          <w:sz w:val="20"/>
          <w:szCs w:val="20"/>
        </w:rPr>
        <w:t>Nishara</w:t>
      </w:r>
      <w:proofErr w:type="spellEnd"/>
      <w:r w:rsidRPr="000C49E0">
        <w:rPr>
          <w:rFonts w:ascii="Arial" w:hAnsi="Arial" w:cs="Arial"/>
          <w:sz w:val="20"/>
          <w:szCs w:val="20"/>
        </w:rPr>
        <w:t xml:space="preserve"> et al., 2021).</w:t>
      </w:r>
      <w:r w:rsidR="005847DA" w:rsidRPr="000C49E0">
        <w:rPr>
          <w:rFonts w:ascii="Arial" w:hAnsi="Arial" w:cs="Arial"/>
          <w:sz w:val="20"/>
          <w:szCs w:val="20"/>
        </w:rPr>
        <w:t xml:space="preserve"> The city located along the southwest coast and intersected by rivers, canals, and wetlands, is highly vulnerable to ecological degradation due to unregulated development.</w:t>
      </w:r>
      <w:r w:rsidR="000C49E0">
        <w:rPr>
          <w:rFonts w:ascii="Arial" w:hAnsi="Arial" w:cs="Arial"/>
          <w:sz w:val="20"/>
          <w:szCs w:val="20"/>
        </w:rPr>
        <w:t xml:space="preserve"> </w:t>
      </w:r>
      <w:r w:rsidR="00CD5808" w:rsidRPr="000C49E0">
        <w:rPr>
          <w:rFonts w:ascii="Arial" w:hAnsi="Arial" w:cs="Arial"/>
          <w:sz w:val="20"/>
          <w:szCs w:val="20"/>
        </w:rPr>
        <w:t xml:space="preserve">This study addresses that gap by focusing on </w:t>
      </w:r>
      <w:r w:rsidR="00CD5808" w:rsidRPr="000C49E0">
        <w:rPr>
          <w:rStyle w:val="Strong"/>
          <w:rFonts w:ascii="Arial" w:hAnsi="Arial" w:cs="Arial"/>
          <w:b w:val="0"/>
          <w:sz w:val="20"/>
          <w:szCs w:val="20"/>
        </w:rPr>
        <w:t>Kozhikode</w:t>
      </w:r>
      <w:r w:rsidR="00CD5808" w:rsidRPr="000C49E0">
        <w:rPr>
          <w:rFonts w:ascii="Arial" w:hAnsi="Arial" w:cs="Arial"/>
          <w:b/>
          <w:sz w:val="20"/>
          <w:szCs w:val="20"/>
        </w:rPr>
        <w:t xml:space="preserve">, </w:t>
      </w:r>
      <w:r w:rsidR="00CD5808" w:rsidRPr="000C49E0">
        <w:rPr>
          <w:rFonts w:ascii="Arial" w:hAnsi="Arial" w:cs="Arial"/>
          <w:sz w:val="20"/>
          <w:szCs w:val="20"/>
        </w:rPr>
        <w:t xml:space="preserve">a historically significant coastal city in Kerala, India. Kozhikode presents a unique case for urban studies due </w:t>
      </w:r>
      <w:r w:rsidR="00CD5808" w:rsidRPr="000C49E0">
        <w:rPr>
          <w:rFonts w:ascii="Arial" w:hAnsi="Arial" w:cs="Arial"/>
          <w:sz w:val="20"/>
          <w:szCs w:val="20"/>
        </w:rPr>
        <w:lastRenderedPageBreak/>
        <w:t xml:space="preserve">to its </w:t>
      </w:r>
      <w:r w:rsidR="00CD5808" w:rsidRPr="000C49E0">
        <w:rPr>
          <w:rStyle w:val="Strong"/>
          <w:rFonts w:ascii="Arial" w:hAnsi="Arial" w:cs="Arial"/>
          <w:b w:val="0"/>
          <w:sz w:val="20"/>
          <w:szCs w:val="20"/>
        </w:rPr>
        <w:t>complex rural-urban continuum</w:t>
      </w:r>
      <w:r w:rsidR="00CD5808" w:rsidRPr="000C49E0">
        <w:rPr>
          <w:rFonts w:ascii="Arial" w:hAnsi="Arial" w:cs="Arial"/>
          <w:b/>
          <w:sz w:val="20"/>
          <w:szCs w:val="20"/>
        </w:rPr>
        <w:t xml:space="preserve">, </w:t>
      </w:r>
      <w:r w:rsidR="00CD5808" w:rsidRPr="000C49E0">
        <w:rPr>
          <w:rFonts w:ascii="Arial" w:hAnsi="Arial" w:cs="Arial"/>
          <w:sz w:val="20"/>
          <w:szCs w:val="20"/>
        </w:rPr>
        <w:t xml:space="preserve">high population density, rapid land-use change, and </w:t>
      </w:r>
      <w:r w:rsidR="00CD5808" w:rsidRPr="000C49E0">
        <w:rPr>
          <w:rStyle w:val="Strong"/>
          <w:rFonts w:ascii="Arial" w:hAnsi="Arial" w:cs="Arial"/>
          <w:b w:val="0"/>
          <w:sz w:val="20"/>
          <w:szCs w:val="20"/>
        </w:rPr>
        <w:t>ecological sensitivity</w:t>
      </w:r>
      <w:r w:rsidR="00CD5808" w:rsidRPr="000C49E0">
        <w:rPr>
          <w:rFonts w:ascii="Arial" w:hAnsi="Arial" w:cs="Arial"/>
          <w:sz w:val="20"/>
          <w:szCs w:val="20"/>
        </w:rPr>
        <w:t xml:space="preserve">. Unlike many other cities in Kerala where urban growth is gradual, Kozhikode has experienced a </w:t>
      </w:r>
      <w:r w:rsidR="00CD5808" w:rsidRPr="000C49E0">
        <w:rPr>
          <w:rStyle w:val="Strong"/>
          <w:rFonts w:ascii="Arial" w:hAnsi="Arial" w:cs="Arial"/>
          <w:b w:val="0"/>
          <w:sz w:val="20"/>
          <w:szCs w:val="20"/>
        </w:rPr>
        <w:t>rapid and spatially uneven expansion</w:t>
      </w:r>
      <w:r w:rsidR="00CD5808" w:rsidRPr="000C49E0">
        <w:rPr>
          <w:rFonts w:ascii="Arial" w:hAnsi="Arial" w:cs="Arial"/>
          <w:b/>
          <w:sz w:val="20"/>
          <w:szCs w:val="20"/>
        </w:rPr>
        <w:t>,</w:t>
      </w:r>
      <w:r w:rsidR="00CD5808" w:rsidRPr="000C49E0">
        <w:rPr>
          <w:rFonts w:ascii="Arial" w:hAnsi="Arial" w:cs="Arial"/>
          <w:sz w:val="20"/>
          <w:szCs w:val="20"/>
        </w:rPr>
        <w:t xml:space="preserve"> driven by a real estate boom, infrastructure development, and intra-state migration.</w:t>
      </w:r>
      <w:r w:rsidR="005847DA" w:rsidRPr="000C49E0">
        <w:rPr>
          <w:rFonts w:ascii="Arial" w:hAnsi="Arial" w:cs="Arial"/>
          <w:sz w:val="20"/>
          <w:szCs w:val="20"/>
        </w:rPr>
        <w:t xml:space="preserve"> </w:t>
      </w:r>
      <w:r w:rsidR="00CD5808" w:rsidRPr="000C49E0">
        <w:rPr>
          <w:rFonts w:ascii="Arial" w:hAnsi="Arial" w:cs="Arial"/>
          <w:sz w:val="20"/>
          <w:szCs w:val="20"/>
        </w:rPr>
        <w:t>However, this rapid growth is not accompanied by adequate spatial planning or environmental safeguards, posing serious challenges to sustainable urban management.</w:t>
      </w:r>
      <w:r w:rsidR="0049752A" w:rsidRPr="000C49E0">
        <w:rPr>
          <w:rFonts w:ascii="Arial" w:hAnsi="Arial" w:cs="Arial"/>
          <w:sz w:val="20"/>
          <w:szCs w:val="20"/>
        </w:rPr>
        <w:t xml:space="preserve"> </w:t>
      </w:r>
      <w:r w:rsidR="00CD5808" w:rsidRPr="000C49E0">
        <w:rPr>
          <w:rFonts w:ascii="Arial" w:hAnsi="Arial" w:cs="Arial"/>
          <w:sz w:val="20"/>
          <w:szCs w:val="20"/>
        </w:rPr>
        <w:t xml:space="preserve">In this context, </w:t>
      </w:r>
      <w:r w:rsidR="00CD5808" w:rsidRPr="000C49E0">
        <w:rPr>
          <w:rStyle w:val="Strong"/>
          <w:rFonts w:ascii="Arial" w:hAnsi="Arial" w:cs="Arial"/>
          <w:b w:val="0"/>
          <w:sz w:val="20"/>
          <w:szCs w:val="20"/>
        </w:rPr>
        <w:t>the present study aims to analyze the patterns, intensity, and direction of urban expansion in Kozhikode and its suburbs using geospatial techniques</w:t>
      </w:r>
      <w:r w:rsidR="00CD5808" w:rsidRPr="000C49E0">
        <w:rPr>
          <w:rStyle w:val="Strong"/>
          <w:rFonts w:ascii="Arial" w:hAnsi="Arial" w:cs="Arial"/>
          <w:sz w:val="20"/>
          <w:szCs w:val="20"/>
        </w:rPr>
        <w:t>.</w:t>
      </w:r>
      <w:r w:rsidR="00CD5808" w:rsidRPr="000C49E0">
        <w:rPr>
          <w:rFonts w:ascii="Arial" w:hAnsi="Arial" w:cs="Arial"/>
          <w:sz w:val="20"/>
          <w:szCs w:val="20"/>
        </w:rPr>
        <w:t xml:space="preserve"> Specifically, it employs remote sensing (RS) and geographic information system (GIS) tools, combined with buffer gradient analysis and spatial indices such as the </w:t>
      </w:r>
      <w:r w:rsidR="00CD5808" w:rsidRPr="000C49E0">
        <w:rPr>
          <w:rStyle w:val="Strong"/>
          <w:rFonts w:ascii="Arial" w:hAnsi="Arial" w:cs="Arial"/>
          <w:b w:val="0"/>
          <w:sz w:val="20"/>
          <w:szCs w:val="20"/>
        </w:rPr>
        <w:t>Urbanization Intensity Index (UII)</w:t>
      </w:r>
      <w:r w:rsidR="00CD5808" w:rsidRPr="000C49E0">
        <w:rPr>
          <w:rFonts w:ascii="Arial" w:hAnsi="Arial" w:cs="Arial"/>
          <w:b/>
          <w:sz w:val="20"/>
          <w:szCs w:val="20"/>
        </w:rPr>
        <w:t xml:space="preserve"> </w:t>
      </w:r>
      <w:r w:rsidR="00CD5808" w:rsidRPr="000C49E0">
        <w:rPr>
          <w:rFonts w:ascii="Arial" w:hAnsi="Arial" w:cs="Arial"/>
          <w:sz w:val="20"/>
          <w:szCs w:val="20"/>
        </w:rPr>
        <w:t>and</w:t>
      </w:r>
      <w:r w:rsidR="00CD5808" w:rsidRPr="000C49E0">
        <w:rPr>
          <w:rFonts w:ascii="Arial" w:hAnsi="Arial" w:cs="Arial"/>
          <w:b/>
          <w:sz w:val="20"/>
          <w:szCs w:val="20"/>
        </w:rPr>
        <w:t xml:space="preserve"> </w:t>
      </w:r>
      <w:r w:rsidR="00CD5808" w:rsidRPr="000C49E0">
        <w:rPr>
          <w:rStyle w:val="Strong"/>
          <w:rFonts w:ascii="Arial" w:hAnsi="Arial" w:cs="Arial"/>
          <w:b w:val="0"/>
          <w:sz w:val="20"/>
          <w:szCs w:val="20"/>
        </w:rPr>
        <w:t>Urbanization Proportional Index (UPI</w:t>
      </w:r>
      <w:r w:rsidR="00CD5808" w:rsidRPr="000C49E0">
        <w:rPr>
          <w:rStyle w:val="Strong"/>
          <w:rFonts w:ascii="Arial" w:hAnsi="Arial" w:cs="Arial"/>
          <w:sz w:val="20"/>
          <w:szCs w:val="20"/>
        </w:rPr>
        <w:t>)</w:t>
      </w:r>
      <w:r w:rsidR="00CD5808" w:rsidRPr="000C49E0">
        <w:rPr>
          <w:rFonts w:ascii="Arial" w:hAnsi="Arial" w:cs="Arial"/>
          <w:sz w:val="20"/>
          <w:szCs w:val="20"/>
        </w:rPr>
        <w:t xml:space="preserve">, to quantify and map urban growth over time. </w:t>
      </w:r>
      <w:r w:rsidR="00CF20E4" w:rsidRPr="000C49E0">
        <w:rPr>
          <w:rFonts w:ascii="Arial" w:hAnsi="Arial" w:cs="Arial"/>
          <w:sz w:val="20"/>
          <w:szCs w:val="20"/>
        </w:rPr>
        <w:t xml:space="preserve">This study seeks to fill the gap in </w:t>
      </w:r>
      <w:proofErr w:type="spellStart"/>
      <w:r w:rsidR="00CF20E4" w:rsidRPr="000C49E0">
        <w:rPr>
          <w:rFonts w:ascii="Arial" w:hAnsi="Arial" w:cs="Arial"/>
          <w:sz w:val="20"/>
          <w:szCs w:val="20"/>
        </w:rPr>
        <w:t>spatio</w:t>
      </w:r>
      <w:proofErr w:type="spellEnd"/>
      <w:r w:rsidR="00CF20E4" w:rsidRPr="000C49E0">
        <w:rPr>
          <w:rFonts w:ascii="Arial" w:hAnsi="Arial" w:cs="Arial"/>
          <w:sz w:val="20"/>
          <w:szCs w:val="20"/>
        </w:rPr>
        <w:t>-temporal urban analysis by examining the pattern, intensity, and direction of urban expansion in Kozhikode. Specifically, it aims to analyze land use and land cover (LULC) changes over time and to quantify urban growth inten</w:t>
      </w:r>
      <w:r w:rsidR="005847DA" w:rsidRPr="000C49E0">
        <w:rPr>
          <w:rFonts w:ascii="Arial" w:hAnsi="Arial" w:cs="Arial"/>
          <w:sz w:val="20"/>
          <w:szCs w:val="20"/>
        </w:rPr>
        <w:t>sity using geospatial indices</w:t>
      </w:r>
      <w:r w:rsidR="00CF20E4" w:rsidRPr="000C49E0">
        <w:rPr>
          <w:rFonts w:ascii="Arial" w:hAnsi="Arial" w:cs="Arial"/>
          <w:sz w:val="20"/>
          <w:szCs w:val="20"/>
        </w:rPr>
        <w:t>.</w:t>
      </w:r>
      <w:r w:rsidR="005847DA" w:rsidRPr="000C49E0">
        <w:rPr>
          <w:rFonts w:ascii="Arial" w:hAnsi="Arial" w:cs="Arial"/>
          <w:sz w:val="20"/>
          <w:szCs w:val="20"/>
        </w:rPr>
        <w:t xml:space="preserve"> </w:t>
      </w:r>
      <w:r w:rsidR="00044601" w:rsidRPr="000C49E0">
        <w:rPr>
          <w:rFonts w:ascii="Arial" w:hAnsi="Arial" w:cs="Arial"/>
          <w:sz w:val="20"/>
          <w:szCs w:val="20"/>
        </w:rPr>
        <w:t>Landsat data</w:t>
      </w:r>
      <w:r w:rsidR="0049752A" w:rsidRPr="000C49E0">
        <w:rPr>
          <w:rFonts w:ascii="Arial" w:hAnsi="Arial" w:cs="Arial"/>
          <w:sz w:val="20"/>
          <w:szCs w:val="20"/>
        </w:rPr>
        <w:t xml:space="preserve"> for the years 1993,2003,2013 and 2023 were</w:t>
      </w:r>
      <w:r w:rsidR="00044601" w:rsidRPr="000C49E0">
        <w:rPr>
          <w:rFonts w:ascii="Arial" w:hAnsi="Arial" w:cs="Arial"/>
          <w:sz w:val="20"/>
          <w:szCs w:val="20"/>
        </w:rPr>
        <w:t xml:space="preserve"> integrated with GIS-based buffer gradient analysis and urbanization indices (UII and UPI) provides a robust framework for evaluating the pace and direction of urban expansion. </w:t>
      </w:r>
      <w:r w:rsidR="00D32DFD" w:rsidRPr="000C49E0">
        <w:rPr>
          <w:rFonts w:ascii="Arial" w:hAnsi="Arial" w:cs="Arial"/>
          <w:sz w:val="20"/>
          <w:szCs w:val="20"/>
        </w:rPr>
        <w:t xml:space="preserve">The years </w:t>
      </w:r>
      <w:r w:rsidR="00D32DFD" w:rsidRPr="000C49E0">
        <w:rPr>
          <w:rStyle w:val="Strong"/>
          <w:rFonts w:ascii="Arial" w:hAnsi="Arial" w:cs="Arial"/>
          <w:b w:val="0"/>
          <w:sz w:val="20"/>
          <w:szCs w:val="20"/>
        </w:rPr>
        <w:t>1993, 2003, 2013, and 2023</w:t>
      </w:r>
      <w:r w:rsidR="00D32DFD" w:rsidRPr="000C49E0">
        <w:rPr>
          <w:rFonts w:ascii="Arial" w:hAnsi="Arial" w:cs="Arial"/>
          <w:b/>
          <w:sz w:val="20"/>
          <w:szCs w:val="20"/>
        </w:rPr>
        <w:t xml:space="preserve"> </w:t>
      </w:r>
      <w:r w:rsidR="00D32DFD" w:rsidRPr="000C49E0">
        <w:rPr>
          <w:rFonts w:ascii="Arial" w:hAnsi="Arial" w:cs="Arial"/>
          <w:sz w:val="20"/>
          <w:szCs w:val="20"/>
        </w:rPr>
        <w:t xml:space="preserve">were strategically selected to examine urban expansion in Kozhikode, offering a comprehensive decadal analysis over a 30-year period. Each year holds contextual significance; </w:t>
      </w:r>
      <w:r w:rsidR="00D32DFD" w:rsidRPr="000C49E0">
        <w:rPr>
          <w:rStyle w:val="Strong"/>
          <w:rFonts w:ascii="Arial" w:hAnsi="Arial" w:cs="Arial"/>
          <w:b w:val="0"/>
          <w:sz w:val="20"/>
          <w:szCs w:val="20"/>
        </w:rPr>
        <w:t>1993</w:t>
      </w:r>
      <w:r w:rsidR="00D32DFD" w:rsidRPr="000C49E0">
        <w:rPr>
          <w:rFonts w:ascii="Arial" w:hAnsi="Arial" w:cs="Arial"/>
          <w:sz w:val="20"/>
          <w:szCs w:val="20"/>
        </w:rPr>
        <w:t xml:space="preserve"> serves as a baseline shortly after India’s economic liberalization, marking the onset of new urban growth dynamics; </w:t>
      </w:r>
      <w:r w:rsidR="00D32DFD" w:rsidRPr="000C49E0">
        <w:rPr>
          <w:rStyle w:val="Strong"/>
          <w:rFonts w:ascii="Arial" w:hAnsi="Arial" w:cs="Arial"/>
          <w:b w:val="0"/>
          <w:sz w:val="20"/>
          <w:szCs w:val="20"/>
        </w:rPr>
        <w:t>2003</w:t>
      </w:r>
      <w:r w:rsidR="00D32DFD" w:rsidRPr="000C49E0">
        <w:rPr>
          <w:rFonts w:ascii="Arial" w:hAnsi="Arial" w:cs="Arial"/>
          <w:sz w:val="20"/>
          <w:szCs w:val="20"/>
        </w:rPr>
        <w:t xml:space="preserve"> reflects the impact of the 74th Constitutional Amendment, with urban local bodies gaining a stronger role in planning and peri-urban development becoming more pronounced; </w:t>
      </w:r>
      <w:r w:rsidR="00D32DFD" w:rsidRPr="000C49E0">
        <w:rPr>
          <w:rStyle w:val="Strong"/>
          <w:rFonts w:ascii="Arial" w:hAnsi="Arial" w:cs="Arial"/>
          <w:b w:val="0"/>
          <w:sz w:val="20"/>
          <w:szCs w:val="20"/>
        </w:rPr>
        <w:t>2013</w:t>
      </w:r>
      <w:r w:rsidR="00D32DFD" w:rsidRPr="000C49E0">
        <w:rPr>
          <w:rFonts w:ascii="Arial" w:hAnsi="Arial" w:cs="Arial"/>
          <w:sz w:val="20"/>
          <w:szCs w:val="20"/>
        </w:rPr>
        <w:t xml:space="preserve"> captures the momentum of infrastructure-led expansion under missions like JNNURM and the integration of geospatial tools in urban governance; and </w:t>
      </w:r>
      <w:r w:rsidR="00D32DFD" w:rsidRPr="000C49E0">
        <w:rPr>
          <w:rStyle w:val="Strong"/>
          <w:rFonts w:ascii="Arial" w:hAnsi="Arial" w:cs="Arial"/>
          <w:b w:val="0"/>
          <w:sz w:val="20"/>
          <w:szCs w:val="20"/>
        </w:rPr>
        <w:t>2023</w:t>
      </w:r>
      <w:r w:rsidR="00D32DFD" w:rsidRPr="000C49E0">
        <w:rPr>
          <w:rFonts w:ascii="Arial" w:hAnsi="Arial" w:cs="Arial"/>
          <w:sz w:val="20"/>
          <w:szCs w:val="20"/>
        </w:rPr>
        <w:t xml:space="preserve"> offers insights into current urbanization trends shaped by smart city initiatives, post-pandemic transformations, and evolving migration patterns. This sequence thus provides a well-structured framework to analyze spatial and policy-driven shifts in Kozhikode’s urban landscape.</w:t>
      </w:r>
      <w:r w:rsidR="000C49E0">
        <w:rPr>
          <w:rFonts w:ascii="Arial" w:hAnsi="Arial" w:cs="Arial"/>
          <w:sz w:val="20"/>
          <w:szCs w:val="20"/>
        </w:rPr>
        <w:t xml:space="preserve"> </w:t>
      </w:r>
      <w:r w:rsidR="00044601" w:rsidRPr="000C49E0">
        <w:rPr>
          <w:rFonts w:ascii="Arial" w:hAnsi="Arial" w:cs="Arial"/>
          <w:sz w:val="20"/>
          <w:szCs w:val="20"/>
        </w:rPr>
        <w:t xml:space="preserve">By focusing on Kozhikode, a rapidly growing coastal city, the study contributes to the broader discourse on urban growth patterns in environmentally sensitive regions. The findings </w:t>
      </w:r>
      <w:r w:rsidR="00044601" w:rsidRPr="000C49E0">
        <w:rPr>
          <w:rFonts w:ascii="Arial" w:hAnsi="Arial" w:cs="Arial"/>
          <w:sz w:val="20"/>
          <w:szCs w:val="20"/>
          <w:lang w:val="en-GB" w:bidi="th-TH"/>
        </w:rPr>
        <w:t>offer valuable insights for understanding urban dynamics in coastal cities and supports evidence-based planning for sustainable urban development.</w:t>
      </w:r>
    </w:p>
    <w:p w:rsidR="00790ADA" w:rsidRPr="00FB3A86" w:rsidRDefault="00790ADA" w:rsidP="00441B6F">
      <w:pPr>
        <w:pStyle w:val="Body"/>
        <w:spacing w:after="0"/>
        <w:rPr>
          <w:rFonts w:ascii="Arial" w:hAnsi="Arial" w:cs="Arial"/>
        </w:rPr>
      </w:pPr>
    </w:p>
    <w:p w:rsidR="00790ADA" w:rsidRPr="00FB3A86" w:rsidRDefault="00902823" w:rsidP="00441B6F">
      <w:pPr>
        <w:pStyle w:val="AbstHead"/>
        <w:spacing w:after="0"/>
        <w:jc w:val="both"/>
        <w:rPr>
          <w:rFonts w:ascii="Arial" w:hAnsi="Arial" w:cs="Arial"/>
        </w:rPr>
      </w:pPr>
      <w:r>
        <w:rPr>
          <w:rFonts w:ascii="Arial" w:hAnsi="Arial" w:cs="Arial"/>
        </w:rPr>
        <w:t>2.</w:t>
      </w:r>
      <w:r w:rsidR="006B57D0">
        <w:rPr>
          <w:rFonts w:ascii="Arial" w:hAnsi="Arial" w:cs="Arial"/>
        </w:rPr>
        <w:t xml:space="preserve"> methodology</w:t>
      </w:r>
      <w:r w:rsidR="007F7B32">
        <w:rPr>
          <w:rFonts w:ascii="Arial" w:hAnsi="Arial" w:cs="Arial"/>
        </w:rPr>
        <w:t xml:space="preserve"> </w:t>
      </w:r>
    </w:p>
    <w:p w:rsidR="00C62CD5" w:rsidRDefault="00C62CD5" w:rsidP="00C62CD5">
      <w:pPr>
        <w:pStyle w:val="Body"/>
        <w:spacing w:after="0"/>
        <w:rPr>
          <w:rFonts w:ascii="Arial" w:hAnsi="Arial" w:cs="Arial"/>
          <w:b/>
          <w:color w:val="000000" w:themeColor="text1"/>
          <w:sz w:val="22"/>
          <w:szCs w:val="22"/>
        </w:rPr>
      </w:pPr>
    </w:p>
    <w:p w:rsidR="002D4A43" w:rsidRPr="00044601" w:rsidRDefault="002D4A43" w:rsidP="002D4A43">
      <w:pPr>
        <w:pStyle w:val="Heading4"/>
        <w:rPr>
          <w:rFonts w:ascii="Arial" w:hAnsi="Arial" w:cs="Arial"/>
          <w:i w:val="0"/>
          <w:color w:val="000000" w:themeColor="text1"/>
        </w:rPr>
      </w:pPr>
      <w:r w:rsidRPr="00044601">
        <w:rPr>
          <w:rFonts w:ascii="Arial" w:hAnsi="Arial" w:cs="Arial"/>
          <w:i w:val="0"/>
          <w:color w:val="000000" w:themeColor="text1"/>
        </w:rPr>
        <w:t>2.1 Image Pre-processing</w:t>
      </w:r>
      <w:r w:rsidR="00044601" w:rsidRPr="00044601">
        <w:rPr>
          <w:rFonts w:ascii="Arial" w:hAnsi="Arial" w:cs="Arial"/>
          <w:i w:val="0"/>
          <w:color w:val="000000" w:themeColor="text1"/>
        </w:rPr>
        <w:t xml:space="preserve"> and Classification</w:t>
      </w:r>
    </w:p>
    <w:p w:rsidR="002D4A43" w:rsidRPr="003D5CEC" w:rsidRDefault="002D4A43" w:rsidP="000C49E0">
      <w:pPr>
        <w:pStyle w:val="NormalWeb"/>
        <w:jc w:val="both"/>
        <w:rPr>
          <w:rFonts w:ascii="Arial" w:hAnsi="Arial" w:cs="Arial"/>
          <w:sz w:val="20"/>
          <w:szCs w:val="20"/>
        </w:rPr>
      </w:pPr>
      <w:r w:rsidRPr="003D5CEC">
        <w:rPr>
          <w:rFonts w:ascii="Arial" w:hAnsi="Arial" w:cs="Arial"/>
          <w:sz w:val="20"/>
          <w:szCs w:val="20"/>
        </w:rPr>
        <w:t xml:space="preserve">This study utilized </w:t>
      </w:r>
      <w:r w:rsidRPr="003D5CEC">
        <w:rPr>
          <w:rStyle w:val="Strong"/>
          <w:rFonts w:ascii="Arial" w:hAnsi="Arial" w:cs="Arial"/>
          <w:b w:val="0"/>
          <w:sz w:val="20"/>
          <w:szCs w:val="20"/>
        </w:rPr>
        <w:t>multi-temporal Landsat satellite images</w:t>
      </w:r>
      <w:r w:rsidRPr="003D5CEC">
        <w:rPr>
          <w:rFonts w:ascii="Arial" w:hAnsi="Arial" w:cs="Arial"/>
          <w:sz w:val="20"/>
          <w:szCs w:val="20"/>
        </w:rPr>
        <w:t xml:space="preserve"> from the USGS Earth Explorer for four representative years: </w:t>
      </w:r>
      <w:r w:rsidRPr="003D5CEC">
        <w:rPr>
          <w:rStyle w:val="Strong"/>
          <w:rFonts w:ascii="Arial" w:hAnsi="Arial" w:cs="Arial"/>
          <w:b w:val="0"/>
          <w:sz w:val="20"/>
          <w:szCs w:val="20"/>
        </w:rPr>
        <w:t>1993, 2003, 2013, and 2023</w:t>
      </w:r>
      <w:r w:rsidRPr="003D5CEC">
        <w:rPr>
          <w:rFonts w:ascii="Arial" w:hAnsi="Arial" w:cs="Arial"/>
          <w:sz w:val="20"/>
          <w:szCs w:val="20"/>
        </w:rPr>
        <w:t xml:space="preserve">. All images were selected to have minimal cloud cover and consistent seasonal conditions to reduce temporal variability. The images, with a </w:t>
      </w:r>
      <w:r w:rsidRPr="003D5CEC">
        <w:rPr>
          <w:rStyle w:val="Strong"/>
          <w:rFonts w:ascii="Arial" w:hAnsi="Arial" w:cs="Arial"/>
          <w:b w:val="0"/>
          <w:sz w:val="20"/>
          <w:szCs w:val="20"/>
        </w:rPr>
        <w:t>30-meter spatial resolution</w:t>
      </w:r>
      <w:r w:rsidRPr="003D5CEC">
        <w:rPr>
          <w:rFonts w:ascii="Arial" w:hAnsi="Arial" w:cs="Arial"/>
          <w:sz w:val="20"/>
          <w:szCs w:val="20"/>
        </w:rPr>
        <w:t xml:space="preserve"> and seven spectral bands, were processed using </w:t>
      </w:r>
      <w:r w:rsidRPr="003D5CEC">
        <w:rPr>
          <w:rStyle w:val="Strong"/>
          <w:rFonts w:ascii="Arial" w:hAnsi="Arial" w:cs="Arial"/>
          <w:b w:val="0"/>
          <w:sz w:val="20"/>
          <w:szCs w:val="20"/>
        </w:rPr>
        <w:t>ERDAS IMAGINE</w:t>
      </w:r>
      <w:r w:rsidRPr="003D5CEC">
        <w:rPr>
          <w:rFonts w:ascii="Arial" w:hAnsi="Arial" w:cs="Arial"/>
          <w:sz w:val="20"/>
          <w:szCs w:val="20"/>
        </w:rPr>
        <w:t xml:space="preserve"> software.</w:t>
      </w:r>
      <w:r w:rsidR="000C49E0">
        <w:rPr>
          <w:rFonts w:ascii="Arial" w:hAnsi="Arial" w:cs="Arial"/>
          <w:sz w:val="20"/>
          <w:szCs w:val="20"/>
        </w:rPr>
        <w:t xml:space="preserve"> </w:t>
      </w:r>
      <w:r w:rsidRPr="003D5CEC">
        <w:rPr>
          <w:rFonts w:ascii="Arial" w:hAnsi="Arial" w:cs="Arial"/>
          <w:sz w:val="20"/>
          <w:szCs w:val="20"/>
        </w:rPr>
        <w:t xml:space="preserve">Image pre-processing included </w:t>
      </w:r>
      <w:r w:rsidRPr="003D5CEC">
        <w:rPr>
          <w:rStyle w:val="Strong"/>
          <w:rFonts w:ascii="Arial" w:hAnsi="Arial" w:cs="Arial"/>
          <w:b w:val="0"/>
          <w:sz w:val="20"/>
          <w:szCs w:val="20"/>
        </w:rPr>
        <w:t>geometric correction</w:t>
      </w:r>
      <w:r w:rsidR="00044601">
        <w:rPr>
          <w:rFonts w:ascii="Arial" w:hAnsi="Arial" w:cs="Arial"/>
          <w:sz w:val="20"/>
          <w:szCs w:val="20"/>
        </w:rPr>
        <w:t xml:space="preserve"> and</w:t>
      </w:r>
      <w:r w:rsidRPr="003D5CEC">
        <w:rPr>
          <w:rFonts w:ascii="Arial" w:hAnsi="Arial" w:cs="Arial"/>
          <w:sz w:val="20"/>
          <w:szCs w:val="20"/>
        </w:rPr>
        <w:t xml:space="preserve"> </w:t>
      </w:r>
      <w:r w:rsidR="00044601">
        <w:rPr>
          <w:rFonts w:ascii="Arial" w:hAnsi="Arial" w:cs="Arial"/>
          <w:sz w:val="20"/>
          <w:szCs w:val="20"/>
        </w:rPr>
        <w:t xml:space="preserve">radiometric </w:t>
      </w:r>
      <w:r w:rsidRPr="003D5CEC">
        <w:rPr>
          <w:rFonts w:ascii="Arial" w:hAnsi="Arial" w:cs="Arial"/>
          <w:sz w:val="20"/>
          <w:szCs w:val="20"/>
        </w:rPr>
        <w:t>correction</w:t>
      </w:r>
      <w:r w:rsidR="00044601">
        <w:rPr>
          <w:rFonts w:ascii="Arial" w:hAnsi="Arial" w:cs="Arial"/>
          <w:sz w:val="20"/>
          <w:szCs w:val="20"/>
        </w:rPr>
        <w:t xml:space="preserve">. </w:t>
      </w:r>
      <w:r w:rsidR="00044601" w:rsidRPr="003D5CEC">
        <w:rPr>
          <w:rStyle w:val="Strong"/>
          <w:rFonts w:ascii="Arial" w:hAnsi="Arial" w:cs="Arial"/>
          <w:b w:val="0"/>
          <w:sz w:val="20"/>
          <w:szCs w:val="20"/>
        </w:rPr>
        <w:t>Supervised</w:t>
      </w:r>
      <w:r w:rsidRPr="003D5CEC">
        <w:rPr>
          <w:rStyle w:val="Strong"/>
          <w:rFonts w:ascii="Arial" w:hAnsi="Arial" w:cs="Arial"/>
          <w:b w:val="0"/>
          <w:sz w:val="20"/>
          <w:szCs w:val="20"/>
        </w:rPr>
        <w:t xml:space="preserve"> classification</w:t>
      </w:r>
      <w:r w:rsidRPr="003D5CEC">
        <w:rPr>
          <w:rFonts w:ascii="Arial" w:hAnsi="Arial" w:cs="Arial"/>
          <w:sz w:val="20"/>
          <w:szCs w:val="20"/>
        </w:rPr>
        <w:t xml:space="preserve"> using the </w:t>
      </w:r>
      <w:r w:rsidRPr="003D5CEC">
        <w:rPr>
          <w:rStyle w:val="Strong"/>
          <w:rFonts w:ascii="Arial" w:hAnsi="Arial" w:cs="Arial"/>
          <w:b w:val="0"/>
          <w:sz w:val="20"/>
          <w:szCs w:val="20"/>
        </w:rPr>
        <w:t>Maximum Likelihood Classification (MLC)</w:t>
      </w:r>
      <w:r w:rsidRPr="003D5CEC">
        <w:rPr>
          <w:rFonts w:ascii="Arial" w:hAnsi="Arial" w:cs="Arial"/>
          <w:sz w:val="20"/>
          <w:szCs w:val="20"/>
        </w:rPr>
        <w:t xml:space="preserve"> algorithm</w:t>
      </w:r>
      <w:r w:rsidR="00044601">
        <w:rPr>
          <w:rFonts w:ascii="Arial" w:hAnsi="Arial" w:cs="Arial"/>
          <w:sz w:val="20"/>
          <w:szCs w:val="20"/>
        </w:rPr>
        <w:t xml:space="preserve"> was applied to classify the </w:t>
      </w:r>
      <w:proofErr w:type="gramStart"/>
      <w:r w:rsidR="00044601">
        <w:rPr>
          <w:rFonts w:ascii="Arial" w:hAnsi="Arial" w:cs="Arial"/>
          <w:sz w:val="20"/>
          <w:szCs w:val="20"/>
        </w:rPr>
        <w:t>image.</w:t>
      </w:r>
      <w:r w:rsidRPr="003D5CEC">
        <w:rPr>
          <w:rFonts w:ascii="Arial" w:hAnsi="Arial" w:cs="Arial"/>
          <w:sz w:val="20"/>
          <w:szCs w:val="20"/>
        </w:rPr>
        <w:t>.</w:t>
      </w:r>
      <w:proofErr w:type="gramEnd"/>
      <w:r w:rsidRPr="003D5CEC">
        <w:rPr>
          <w:rFonts w:ascii="Arial" w:hAnsi="Arial" w:cs="Arial"/>
          <w:sz w:val="20"/>
          <w:szCs w:val="20"/>
        </w:rPr>
        <w:t xml:space="preserve"> This method was selected for its statistical robustness in estimating the likelihood of a pixel belonging to a land cover class based on the spectral signature. Five major </w:t>
      </w:r>
      <w:r w:rsidRPr="003D5CEC">
        <w:rPr>
          <w:rStyle w:val="Strong"/>
          <w:rFonts w:ascii="Arial" w:hAnsi="Arial" w:cs="Arial"/>
          <w:b w:val="0"/>
          <w:sz w:val="20"/>
          <w:szCs w:val="20"/>
        </w:rPr>
        <w:t>Land Use/Land Cover (LULC)</w:t>
      </w:r>
      <w:r w:rsidRPr="003D5CEC">
        <w:rPr>
          <w:rFonts w:ascii="Arial" w:hAnsi="Arial" w:cs="Arial"/>
          <w:sz w:val="20"/>
          <w:szCs w:val="20"/>
        </w:rPr>
        <w:t xml:space="preserve"> classes were identified: Built-up land, Mixed crops, Barren land, Paddy wetlands,</w:t>
      </w:r>
      <w:r w:rsidR="00CF3819" w:rsidRPr="003D5CEC">
        <w:rPr>
          <w:rFonts w:ascii="Arial" w:hAnsi="Arial" w:cs="Arial"/>
          <w:sz w:val="20"/>
          <w:szCs w:val="20"/>
        </w:rPr>
        <w:t xml:space="preserve"> and </w:t>
      </w:r>
      <w:r w:rsidRPr="003D5CEC">
        <w:rPr>
          <w:rFonts w:ascii="Arial" w:hAnsi="Arial" w:cs="Arial"/>
          <w:sz w:val="20"/>
          <w:szCs w:val="20"/>
        </w:rPr>
        <w:t>wetlands</w:t>
      </w:r>
      <w:r w:rsidR="00CF3819" w:rsidRPr="003D5CEC">
        <w:rPr>
          <w:rFonts w:ascii="Arial" w:hAnsi="Arial" w:cs="Arial"/>
          <w:sz w:val="20"/>
          <w:szCs w:val="20"/>
        </w:rPr>
        <w:t xml:space="preserve"> other than paddy wetland</w:t>
      </w:r>
      <w:r w:rsidRPr="003D5CEC">
        <w:rPr>
          <w:rFonts w:ascii="Arial" w:hAnsi="Arial" w:cs="Arial"/>
          <w:sz w:val="20"/>
          <w:szCs w:val="20"/>
        </w:rPr>
        <w:t>. The urban built-up category, which includes high-density residential areas and newly developed zones, was extracted for further analysis.</w:t>
      </w:r>
      <w:r w:rsidR="00CF3819" w:rsidRPr="003D5CEC">
        <w:rPr>
          <w:rFonts w:ascii="Arial" w:hAnsi="Arial" w:cs="Arial"/>
          <w:sz w:val="20"/>
          <w:szCs w:val="20"/>
        </w:rPr>
        <w:t xml:space="preserve"> </w:t>
      </w:r>
    </w:p>
    <w:p w:rsidR="002D4A43" w:rsidRPr="00044601" w:rsidRDefault="00044601" w:rsidP="002D4A43">
      <w:pPr>
        <w:pStyle w:val="Heading4"/>
        <w:rPr>
          <w:rFonts w:ascii="Arial" w:hAnsi="Arial" w:cs="Arial"/>
          <w:i w:val="0"/>
          <w:color w:val="000000" w:themeColor="text1"/>
        </w:rPr>
      </w:pPr>
      <w:r>
        <w:rPr>
          <w:rFonts w:ascii="Arial" w:hAnsi="Arial" w:cs="Arial"/>
          <w:i w:val="0"/>
          <w:color w:val="000000" w:themeColor="text1"/>
        </w:rPr>
        <w:t>2.2</w:t>
      </w:r>
      <w:r w:rsidR="002D4A43" w:rsidRPr="00044601">
        <w:rPr>
          <w:rFonts w:ascii="Arial" w:hAnsi="Arial" w:cs="Arial"/>
          <w:i w:val="0"/>
          <w:color w:val="000000" w:themeColor="text1"/>
        </w:rPr>
        <w:t xml:space="preserve"> Accuracy Assessment</w:t>
      </w:r>
      <w:r w:rsidR="00CF3819" w:rsidRPr="00044601">
        <w:rPr>
          <w:rFonts w:ascii="Arial" w:hAnsi="Arial" w:cs="Arial"/>
          <w:i w:val="0"/>
          <w:color w:val="000000" w:themeColor="text1"/>
        </w:rPr>
        <w:t xml:space="preserve"> of LULC Classification</w:t>
      </w:r>
    </w:p>
    <w:p w:rsidR="002D4A43" w:rsidRPr="003D5CEC" w:rsidRDefault="002D4A43" w:rsidP="000C49E0">
      <w:pPr>
        <w:pStyle w:val="NormalWeb"/>
        <w:jc w:val="both"/>
        <w:rPr>
          <w:rFonts w:ascii="Arial" w:hAnsi="Arial" w:cs="Arial"/>
          <w:sz w:val="20"/>
          <w:szCs w:val="20"/>
        </w:rPr>
      </w:pPr>
      <w:r w:rsidRPr="003D5CEC">
        <w:rPr>
          <w:rFonts w:ascii="Arial" w:hAnsi="Arial" w:cs="Arial"/>
          <w:sz w:val="20"/>
          <w:szCs w:val="20"/>
        </w:rPr>
        <w:t>To evaluate the reliability of the classified, a</w:t>
      </w:r>
      <w:r w:rsidR="00E20567" w:rsidRPr="003D5CEC">
        <w:rPr>
          <w:rFonts w:ascii="Arial" w:hAnsi="Arial" w:cs="Arial"/>
          <w:sz w:val="20"/>
          <w:szCs w:val="20"/>
        </w:rPr>
        <w:t>n</w:t>
      </w:r>
      <w:r w:rsidRPr="003D5CEC">
        <w:rPr>
          <w:rFonts w:ascii="Arial" w:hAnsi="Arial" w:cs="Arial"/>
          <w:sz w:val="20"/>
          <w:szCs w:val="20"/>
        </w:rPr>
        <w:t xml:space="preserve"> </w:t>
      </w:r>
      <w:r w:rsidRPr="003D5CEC">
        <w:rPr>
          <w:rStyle w:val="Strong"/>
          <w:rFonts w:ascii="Arial" w:hAnsi="Arial" w:cs="Arial"/>
          <w:b w:val="0"/>
          <w:sz w:val="20"/>
          <w:szCs w:val="20"/>
        </w:rPr>
        <w:t xml:space="preserve">error matrix </w:t>
      </w:r>
      <w:r w:rsidRPr="003D5CEC">
        <w:rPr>
          <w:rFonts w:ascii="Arial" w:hAnsi="Arial" w:cs="Arial"/>
          <w:sz w:val="20"/>
          <w:szCs w:val="20"/>
        </w:rPr>
        <w:t xml:space="preserve">was generated using stratified random sampling and ground truth reference points (from Google Earth imagery and field data). </w:t>
      </w:r>
      <w:r w:rsidRPr="003D5CEC">
        <w:rPr>
          <w:rStyle w:val="Strong"/>
          <w:rFonts w:ascii="Arial" w:hAnsi="Arial" w:cs="Arial"/>
          <w:b w:val="0"/>
          <w:sz w:val="20"/>
          <w:szCs w:val="20"/>
        </w:rPr>
        <w:t>Accuracy metrics</w:t>
      </w:r>
      <w:r w:rsidRPr="003D5CEC">
        <w:rPr>
          <w:rFonts w:ascii="Arial" w:hAnsi="Arial" w:cs="Arial"/>
          <w:sz w:val="20"/>
          <w:szCs w:val="20"/>
        </w:rPr>
        <w:t xml:space="preserve"> including </w:t>
      </w:r>
      <w:r w:rsidRPr="003D5CEC">
        <w:rPr>
          <w:rStyle w:val="Strong"/>
          <w:rFonts w:ascii="Arial" w:hAnsi="Arial" w:cs="Arial"/>
          <w:b w:val="0"/>
          <w:sz w:val="20"/>
          <w:szCs w:val="20"/>
        </w:rPr>
        <w:t>Overall Accuracy</w:t>
      </w:r>
      <w:r w:rsidRPr="003D5CEC">
        <w:rPr>
          <w:rFonts w:ascii="Arial" w:hAnsi="Arial" w:cs="Arial"/>
          <w:sz w:val="20"/>
          <w:szCs w:val="20"/>
        </w:rPr>
        <w:t xml:space="preserve">, </w:t>
      </w:r>
      <w:r w:rsidRPr="003D5CEC">
        <w:rPr>
          <w:rStyle w:val="Strong"/>
          <w:rFonts w:ascii="Arial" w:hAnsi="Arial" w:cs="Arial"/>
          <w:b w:val="0"/>
          <w:sz w:val="20"/>
          <w:szCs w:val="20"/>
        </w:rPr>
        <w:t>Producer’s Accuracy</w:t>
      </w:r>
      <w:r w:rsidRPr="003D5CEC">
        <w:rPr>
          <w:rFonts w:ascii="Arial" w:hAnsi="Arial" w:cs="Arial"/>
          <w:sz w:val="20"/>
          <w:szCs w:val="20"/>
        </w:rPr>
        <w:t xml:space="preserve">, </w:t>
      </w:r>
      <w:r w:rsidRPr="003D5CEC">
        <w:rPr>
          <w:rStyle w:val="Strong"/>
          <w:rFonts w:ascii="Arial" w:hAnsi="Arial" w:cs="Arial"/>
          <w:b w:val="0"/>
          <w:sz w:val="20"/>
          <w:szCs w:val="20"/>
        </w:rPr>
        <w:t>User’s Accuracy</w:t>
      </w:r>
      <w:r w:rsidRPr="003D5CEC">
        <w:rPr>
          <w:rFonts w:ascii="Arial" w:hAnsi="Arial" w:cs="Arial"/>
          <w:sz w:val="20"/>
          <w:szCs w:val="20"/>
        </w:rPr>
        <w:t xml:space="preserve">, and the </w:t>
      </w:r>
      <w:r w:rsidRPr="003D5CEC">
        <w:rPr>
          <w:rStyle w:val="Strong"/>
          <w:rFonts w:ascii="Arial" w:hAnsi="Arial" w:cs="Arial"/>
          <w:b w:val="0"/>
          <w:sz w:val="20"/>
          <w:szCs w:val="20"/>
        </w:rPr>
        <w:t>Kappa Coefficient</w:t>
      </w:r>
      <w:r w:rsidRPr="003D5CEC">
        <w:rPr>
          <w:rFonts w:ascii="Arial" w:hAnsi="Arial" w:cs="Arial"/>
          <w:sz w:val="20"/>
          <w:szCs w:val="20"/>
        </w:rPr>
        <w:t xml:space="preserve"> were calculated. Omission and commission errors were also analyzed to assess the quality of classification and minimize misclassification among land cover types.</w:t>
      </w:r>
    </w:p>
    <w:p w:rsidR="002D4A43" w:rsidRPr="00044601" w:rsidRDefault="00CF3819" w:rsidP="002D4A43">
      <w:pPr>
        <w:pStyle w:val="Heading4"/>
        <w:rPr>
          <w:rFonts w:ascii="Arial" w:hAnsi="Arial" w:cs="Arial"/>
          <w:i w:val="0"/>
          <w:color w:val="000000" w:themeColor="text1"/>
        </w:rPr>
      </w:pPr>
      <w:r w:rsidRPr="00044601">
        <w:rPr>
          <w:rFonts w:ascii="Arial" w:hAnsi="Arial" w:cs="Arial"/>
          <w:i w:val="0"/>
          <w:color w:val="000000" w:themeColor="text1"/>
        </w:rPr>
        <w:t>2.</w:t>
      </w:r>
      <w:r w:rsidR="00044601">
        <w:rPr>
          <w:rFonts w:ascii="Arial" w:hAnsi="Arial" w:cs="Arial"/>
          <w:i w:val="0"/>
          <w:color w:val="000000" w:themeColor="text1"/>
        </w:rPr>
        <w:t>3</w:t>
      </w:r>
      <w:r w:rsidR="002D4A43" w:rsidRPr="00044601">
        <w:rPr>
          <w:rFonts w:ascii="Arial" w:hAnsi="Arial" w:cs="Arial"/>
          <w:i w:val="0"/>
          <w:color w:val="000000" w:themeColor="text1"/>
        </w:rPr>
        <w:t xml:space="preserve"> Urbanization Indices</w:t>
      </w:r>
    </w:p>
    <w:p w:rsidR="002D4A43" w:rsidRPr="003D5CEC" w:rsidRDefault="002D4A43" w:rsidP="000C49E0">
      <w:pPr>
        <w:pStyle w:val="NormalWeb"/>
        <w:jc w:val="both"/>
        <w:rPr>
          <w:rFonts w:ascii="Arial" w:hAnsi="Arial" w:cs="Arial"/>
          <w:sz w:val="20"/>
          <w:szCs w:val="20"/>
        </w:rPr>
      </w:pPr>
      <w:r w:rsidRPr="003D5CEC">
        <w:rPr>
          <w:rStyle w:val="Strong"/>
          <w:rFonts w:ascii="Arial" w:hAnsi="Arial" w:cs="Arial"/>
          <w:b w:val="0"/>
          <w:sz w:val="20"/>
          <w:szCs w:val="20"/>
        </w:rPr>
        <w:t>Urbanization Proportional Index (UPI)</w:t>
      </w:r>
      <w:r w:rsidRPr="003D5CEC">
        <w:rPr>
          <w:rFonts w:ascii="Arial" w:hAnsi="Arial" w:cs="Arial"/>
          <w:sz w:val="20"/>
          <w:szCs w:val="20"/>
        </w:rPr>
        <w:t xml:space="preserve"> and the </w:t>
      </w:r>
      <w:r w:rsidRPr="003D5CEC">
        <w:rPr>
          <w:rStyle w:val="Strong"/>
          <w:rFonts w:ascii="Arial" w:hAnsi="Arial" w:cs="Arial"/>
          <w:b w:val="0"/>
          <w:sz w:val="20"/>
          <w:szCs w:val="20"/>
        </w:rPr>
        <w:t>Urbanization Intensity Index (UII)</w:t>
      </w:r>
      <w:r w:rsidRPr="003D5CEC">
        <w:rPr>
          <w:rFonts w:ascii="Arial" w:hAnsi="Arial" w:cs="Arial"/>
          <w:sz w:val="20"/>
          <w:szCs w:val="20"/>
        </w:rPr>
        <w:t xml:space="preserve">, </w:t>
      </w:r>
      <w:r w:rsidR="000C49E0">
        <w:rPr>
          <w:rFonts w:ascii="Arial" w:hAnsi="Arial" w:cs="Arial"/>
          <w:sz w:val="20"/>
          <w:szCs w:val="20"/>
        </w:rPr>
        <w:t xml:space="preserve">are the two spatial indices employed to </w:t>
      </w:r>
      <w:r w:rsidR="000C49E0" w:rsidRPr="003D5CEC">
        <w:rPr>
          <w:rFonts w:ascii="Arial" w:hAnsi="Arial" w:cs="Arial"/>
          <w:sz w:val="20"/>
          <w:szCs w:val="20"/>
        </w:rPr>
        <w:t>quantify and compare urban expansion over time and sp</w:t>
      </w:r>
      <w:r w:rsidR="000C49E0">
        <w:rPr>
          <w:rFonts w:ascii="Arial" w:hAnsi="Arial" w:cs="Arial"/>
          <w:sz w:val="20"/>
          <w:szCs w:val="20"/>
        </w:rPr>
        <w:t xml:space="preserve">ace. </w:t>
      </w:r>
      <w:r w:rsidRPr="003D5CEC">
        <w:rPr>
          <w:rFonts w:ascii="Arial" w:hAnsi="Arial" w:cs="Arial"/>
          <w:sz w:val="20"/>
          <w:szCs w:val="20"/>
        </w:rPr>
        <w:t>The indices are defined as follows</w:t>
      </w:r>
      <w:r w:rsidR="000C49E0">
        <w:rPr>
          <w:rFonts w:ascii="Arial" w:hAnsi="Arial" w:cs="Arial"/>
          <w:sz w:val="20"/>
          <w:szCs w:val="20"/>
        </w:rPr>
        <w:t xml:space="preserve"> Liu (2000)</w:t>
      </w:r>
      <w:r w:rsidRPr="003D5CEC">
        <w:rPr>
          <w:rFonts w:ascii="Arial" w:hAnsi="Arial" w:cs="Arial"/>
          <w:sz w:val="20"/>
          <w:szCs w:val="20"/>
        </w:rPr>
        <w:t>:</w:t>
      </w:r>
    </w:p>
    <w:p w:rsidR="00653F47" w:rsidRPr="003D5CEC" w:rsidRDefault="00653F47" w:rsidP="00653F47">
      <w:pPr>
        <w:autoSpaceDE w:val="0"/>
        <w:adjustRightInd w:val="0"/>
        <w:spacing w:line="228" w:lineRule="auto"/>
        <w:ind w:firstLine="432"/>
        <w:jc w:val="both"/>
        <w:rPr>
          <w:rFonts w:ascii="Arial" w:hAnsi="Arial" w:cs="Arial"/>
          <w:color w:val="000000" w:themeColor="text1"/>
        </w:rPr>
      </w:pPr>
      <w:proofErr w:type="spellStart"/>
      <w:r w:rsidRPr="003D5CEC">
        <w:rPr>
          <w:rFonts w:ascii="Arial" w:hAnsi="Arial" w:cs="Arial"/>
          <w:color w:val="000000" w:themeColor="text1"/>
        </w:rPr>
        <w:t>UPIi</w:t>
      </w:r>
      <w:proofErr w:type="spellEnd"/>
      <w:r w:rsidRPr="003D5CEC">
        <w:rPr>
          <w:rFonts w:ascii="Arial" w:hAnsi="Arial" w:cs="Arial"/>
          <w:color w:val="000000" w:themeColor="text1"/>
        </w:rPr>
        <w:t xml:space="preserve">, </w:t>
      </w:r>
      <w:proofErr w:type="spellStart"/>
      <w:r w:rsidRPr="003D5CEC">
        <w:rPr>
          <w:rFonts w:ascii="Arial" w:hAnsi="Arial" w:cs="Arial"/>
          <w:color w:val="000000" w:themeColor="text1"/>
        </w:rPr>
        <w:t>t~t+n</w:t>
      </w:r>
      <w:proofErr w:type="spellEnd"/>
      <w:r w:rsidRPr="003D5CEC">
        <w:rPr>
          <w:rFonts w:ascii="Arial" w:hAnsi="Arial" w:cs="Arial"/>
          <w:color w:val="000000" w:themeColor="text1"/>
        </w:rPr>
        <w:t>= (</w:t>
      </w:r>
      <w:proofErr w:type="spellStart"/>
      <w:r w:rsidRPr="003D5CEC">
        <w:rPr>
          <w:rFonts w:ascii="Arial" w:hAnsi="Arial" w:cs="Arial"/>
          <w:color w:val="000000" w:themeColor="text1"/>
        </w:rPr>
        <w:t>ULAi</w:t>
      </w:r>
      <w:proofErr w:type="spellEnd"/>
      <w:r w:rsidRPr="003D5CEC">
        <w:rPr>
          <w:rFonts w:ascii="Arial" w:hAnsi="Arial" w:cs="Arial"/>
          <w:color w:val="000000" w:themeColor="text1"/>
        </w:rPr>
        <w:t xml:space="preserve">, </w:t>
      </w:r>
      <w:proofErr w:type="spellStart"/>
      <w:r w:rsidRPr="003D5CEC">
        <w:rPr>
          <w:rFonts w:ascii="Arial" w:hAnsi="Arial" w:cs="Arial"/>
          <w:color w:val="000000" w:themeColor="text1"/>
        </w:rPr>
        <w:t>t+n</w:t>
      </w:r>
      <w:proofErr w:type="spellEnd"/>
      <w:r w:rsidRPr="003D5CEC">
        <w:rPr>
          <w:rFonts w:ascii="Arial" w:hAnsi="Arial" w:cs="Arial"/>
          <w:color w:val="000000" w:themeColor="text1"/>
        </w:rPr>
        <w:t xml:space="preserve"> - </w:t>
      </w:r>
      <w:proofErr w:type="spellStart"/>
      <w:proofErr w:type="gramStart"/>
      <w:r w:rsidRPr="003D5CEC">
        <w:rPr>
          <w:rFonts w:ascii="Arial" w:hAnsi="Arial" w:cs="Arial"/>
          <w:color w:val="000000" w:themeColor="text1"/>
        </w:rPr>
        <w:t>ULAi,t</w:t>
      </w:r>
      <w:proofErr w:type="spellEnd"/>
      <w:proofErr w:type="gramEnd"/>
      <w:r w:rsidRPr="003D5CEC">
        <w:rPr>
          <w:rFonts w:ascii="Arial" w:hAnsi="Arial" w:cs="Arial"/>
          <w:color w:val="000000" w:themeColor="text1"/>
        </w:rPr>
        <w:t xml:space="preserve">) *100/ </w:t>
      </w:r>
      <w:proofErr w:type="spellStart"/>
      <w:r w:rsidRPr="003D5CEC">
        <w:rPr>
          <w:rFonts w:ascii="Arial" w:hAnsi="Arial" w:cs="Arial"/>
          <w:color w:val="000000" w:themeColor="text1"/>
        </w:rPr>
        <w:t>TLAi</w:t>
      </w:r>
      <w:proofErr w:type="spellEnd"/>
    </w:p>
    <w:p w:rsidR="00653F47" w:rsidRPr="003D5CEC" w:rsidRDefault="00653F47" w:rsidP="00653F47">
      <w:pPr>
        <w:spacing w:line="228" w:lineRule="auto"/>
        <w:ind w:firstLine="432"/>
        <w:jc w:val="both"/>
        <w:rPr>
          <w:rFonts w:ascii="Arial" w:hAnsi="Arial" w:cs="Arial"/>
          <w:color w:val="000000" w:themeColor="text1"/>
        </w:rPr>
      </w:pPr>
      <w:proofErr w:type="spellStart"/>
      <w:proofErr w:type="gramStart"/>
      <w:r w:rsidRPr="003D5CEC">
        <w:rPr>
          <w:rFonts w:ascii="Arial" w:hAnsi="Arial" w:cs="Arial"/>
          <w:color w:val="000000" w:themeColor="text1"/>
        </w:rPr>
        <w:t>UIIi,t</w:t>
      </w:r>
      <w:proofErr w:type="gramEnd"/>
      <w:r w:rsidRPr="003D5CEC">
        <w:rPr>
          <w:rFonts w:ascii="Arial" w:hAnsi="Arial" w:cs="Arial"/>
          <w:color w:val="000000" w:themeColor="text1"/>
        </w:rPr>
        <w:t>~t+n</w:t>
      </w:r>
      <w:proofErr w:type="spellEnd"/>
      <w:r w:rsidRPr="003D5CEC">
        <w:rPr>
          <w:rFonts w:ascii="Arial" w:hAnsi="Arial" w:cs="Arial"/>
          <w:color w:val="000000" w:themeColor="text1"/>
        </w:rPr>
        <w:t xml:space="preserve"> = [( </w:t>
      </w:r>
      <w:proofErr w:type="spellStart"/>
      <w:r w:rsidRPr="003D5CEC">
        <w:rPr>
          <w:rFonts w:ascii="Arial" w:hAnsi="Arial" w:cs="Arial"/>
          <w:color w:val="000000" w:themeColor="text1"/>
        </w:rPr>
        <w:t>ULAi,t+n</w:t>
      </w:r>
      <w:proofErr w:type="spellEnd"/>
      <w:r w:rsidRPr="003D5CEC">
        <w:rPr>
          <w:rFonts w:ascii="Arial" w:hAnsi="Arial" w:cs="Arial"/>
          <w:color w:val="000000" w:themeColor="text1"/>
        </w:rPr>
        <w:t xml:space="preserve"> - </w:t>
      </w:r>
      <w:proofErr w:type="spellStart"/>
      <w:r w:rsidRPr="003D5CEC">
        <w:rPr>
          <w:rFonts w:ascii="Arial" w:hAnsi="Arial" w:cs="Arial"/>
          <w:color w:val="000000" w:themeColor="text1"/>
        </w:rPr>
        <w:t>ULAi,t</w:t>
      </w:r>
      <w:proofErr w:type="spellEnd"/>
      <w:r w:rsidRPr="003D5CEC">
        <w:rPr>
          <w:rFonts w:ascii="Arial" w:hAnsi="Arial" w:cs="Arial"/>
          <w:color w:val="000000" w:themeColor="text1"/>
        </w:rPr>
        <w:t xml:space="preserve">) /n] *100/ </w:t>
      </w:r>
      <w:proofErr w:type="spellStart"/>
      <w:r w:rsidRPr="003D5CEC">
        <w:rPr>
          <w:rFonts w:ascii="Arial" w:hAnsi="Arial" w:cs="Arial"/>
          <w:color w:val="000000" w:themeColor="text1"/>
        </w:rPr>
        <w:t>TLAi</w:t>
      </w:r>
      <w:proofErr w:type="spellEnd"/>
    </w:p>
    <w:p w:rsidR="00653F47" w:rsidRPr="003D5CEC" w:rsidRDefault="00653F47" w:rsidP="00653F47">
      <w:pPr>
        <w:autoSpaceDE w:val="0"/>
        <w:adjustRightInd w:val="0"/>
        <w:spacing w:line="228" w:lineRule="auto"/>
        <w:ind w:firstLine="432"/>
        <w:jc w:val="both"/>
        <w:rPr>
          <w:rFonts w:ascii="Arial" w:hAnsi="Arial" w:cs="Arial"/>
          <w:i/>
          <w:iCs/>
          <w:color w:val="000000" w:themeColor="text1"/>
        </w:rPr>
      </w:pPr>
      <w:r w:rsidRPr="003D5CEC">
        <w:rPr>
          <w:rFonts w:ascii="Arial" w:hAnsi="Arial" w:cs="Arial"/>
          <w:i/>
          <w:iCs/>
          <w:color w:val="000000" w:themeColor="text1"/>
        </w:rPr>
        <w:t>Where</w:t>
      </w:r>
    </w:p>
    <w:p w:rsidR="00653F47" w:rsidRPr="003D5CEC" w:rsidRDefault="00653F47" w:rsidP="00653F47">
      <w:pPr>
        <w:autoSpaceDE w:val="0"/>
        <w:adjustRightInd w:val="0"/>
        <w:spacing w:line="228" w:lineRule="auto"/>
        <w:ind w:firstLine="432"/>
        <w:jc w:val="both"/>
        <w:rPr>
          <w:rFonts w:ascii="Arial" w:hAnsi="Arial" w:cs="Arial"/>
          <w:color w:val="000000" w:themeColor="text1"/>
        </w:rPr>
      </w:pPr>
      <w:proofErr w:type="spellStart"/>
      <w:r w:rsidRPr="003D5CEC">
        <w:rPr>
          <w:rFonts w:ascii="Arial" w:hAnsi="Arial" w:cs="Arial"/>
          <w:color w:val="000000" w:themeColor="text1"/>
        </w:rPr>
        <w:t>UPIi</w:t>
      </w:r>
      <w:proofErr w:type="spellEnd"/>
      <w:r w:rsidRPr="003D5CEC">
        <w:rPr>
          <w:rFonts w:ascii="Arial" w:hAnsi="Arial" w:cs="Arial"/>
          <w:color w:val="000000" w:themeColor="text1"/>
        </w:rPr>
        <w:t xml:space="preserve">, </w:t>
      </w:r>
      <w:proofErr w:type="spellStart"/>
      <w:r w:rsidRPr="003D5CEC">
        <w:rPr>
          <w:rFonts w:ascii="Arial" w:hAnsi="Arial" w:cs="Arial"/>
          <w:color w:val="000000" w:themeColor="text1"/>
        </w:rPr>
        <w:t>t~t+n</w:t>
      </w:r>
      <w:proofErr w:type="spellEnd"/>
      <w:r w:rsidRPr="003D5CEC">
        <w:rPr>
          <w:rFonts w:ascii="Arial" w:hAnsi="Arial" w:cs="Arial"/>
          <w:color w:val="000000" w:themeColor="text1"/>
        </w:rPr>
        <w:t xml:space="preserve">= indices of the proportion of urbanization within a spatial unit </w:t>
      </w:r>
      <w:proofErr w:type="spellStart"/>
      <w:r w:rsidRPr="003D5CEC">
        <w:rPr>
          <w:rFonts w:ascii="Arial" w:hAnsi="Arial" w:cs="Arial"/>
          <w:i/>
          <w:iCs/>
          <w:color w:val="000000" w:themeColor="text1"/>
        </w:rPr>
        <w:t>i</w:t>
      </w:r>
      <w:proofErr w:type="spellEnd"/>
      <w:r w:rsidRPr="003D5CEC">
        <w:rPr>
          <w:rFonts w:ascii="Arial" w:hAnsi="Arial" w:cs="Arial"/>
          <w:i/>
          <w:iCs/>
          <w:color w:val="000000" w:themeColor="text1"/>
        </w:rPr>
        <w:t xml:space="preserve"> </w:t>
      </w:r>
      <w:r w:rsidRPr="003D5CEC">
        <w:rPr>
          <w:rFonts w:ascii="Arial" w:hAnsi="Arial" w:cs="Arial"/>
          <w:color w:val="000000" w:themeColor="text1"/>
        </w:rPr>
        <w:t xml:space="preserve">during a time period </w:t>
      </w:r>
      <w:proofErr w:type="spellStart"/>
      <w:r w:rsidRPr="003D5CEC">
        <w:rPr>
          <w:rFonts w:ascii="Arial" w:hAnsi="Arial" w:cs="Arial"/>
          <w:i/>
          <w:iCs/>
          <w:color w:val="000000" w:themeColor="text1"/>
        </w:rPr>
        <w:t>t~t+n</w:t>
      </w:r>
      <w:proofErr w:type="spellEnd"/>
    </w:p>
    <w:p w:rsidR="00653F47" w:rsidRPr="003D5CEC" w:rsidRDefault="00653F47" w:rsidP="00653F47">
      <w:pPr>
        <w:autoSpaceDE w:val="0"/>
        <w:adjustRightInd w:val="0"/>
        <w:spacing w:line="228" w:lineRule="auto"/>
        <w:ind w:firstLine="432"/>
        <w:jc w:val="both"/>
        <w:rPr>
          <w:rFonts w:ascii="Arial" w:hAnsi="Arial" w:cs="Arial"/>
          <w:color w:val="000000" w:themeColor="text1"/>
        </w:rPr>
      </w:pPr>
      <w:proofErr w:type="spellStart"/>
      <w:proofErr w:type="gramStart"/>
      <w:r w:rsidRPr="003D5CEC">
        <w:rPr>
          <w:rFonts w:ascii="Arial" w:hAnsi="Arial" w:cs="Arial"/>
          <w:color w:val="000000" w:themeColor="text1"/>
        </w:rPr>
        <w:t>UIIi,t</w:t>
      </w:r>
      <w:proofErr w:type="gramEnd"/>
      <w:r w:rsidRPr="003D5CEC">
        <w:rPr>
          <w:rFonts w:ascii="Arial" w:hAnsi="Arial" w:cs="Arial"/>
          <w:color w:val="000000" w:themeColor="text1"/>
        </w:rPr>
        <w:t>~t+n</w:t>
      </w:r>
      <w:proofErr w:type="spellEnd"/>
      <w:r w:rsidRPr="003D5CEC">
        <w:rPr>
          <w:rFonts w:ascii="Arial" w:hAnsi="Arial" w:cs="Arial"/>
          <w:color w:val="000000" w:themeColor="text1"/>
        </w:rPr>
        <w:t xml:space="preserve"> = intensity of urbanization within a spatial unit </w:t>
      </w:r>
      <w:proofErr w:type="spellStart"/>
      <w:r w:rsidRPr="003D5CEC">
        <w:rPr>
          <w:rFonts w:ascii="Arial" w:hAnsi="Arial" w:cs="Arial"/>
          <w:i/>
          <w:iCs/>
          <w:color w:val="000000" w:themeColor="text1"/>
        </w:rPr>
        <w:t>i</w:t>
      </w:r>
      <w:proofErr w:type="spellEnd"/>
      <w:r w:rsidRPr="003D5CEC">
        <w:rPr>
          <w:rFonts w:ascii="Arial" w:hAnsi="Arial" w:cs="Arial"/>
          <w:i/>
          <w:iCs/>
          <w:color w:val="000000" w:themeColor="text1"/>
        </w:rPr>
        <w:t xml:space="preserve"> </w:t>
      </w:r>
      <w:r w:rsidRPr="003D5CEC">
        <w:rPr>
          <w:rFonts w:ascii="Arial" w:hAnsi="Arial" w:cs="Arial"/>
          <w:color w:val="000000" w:themeColor="text1"/>
        </w:rPr>
        <w:t xml:space="preserve">during a time period </w:t>
      </w:r>
      <w:proofErr w:type="spellStart"/>
      <w:r w:rsidRPr="003D5CEC">
        <w:rPr>
          <w:rFonts w:ascii="Arial" w:hAnsi="Arial" w:cs="Arial"/>
          <w:i/>
          <w:iCs/>
          <w:color w:val="000000" w:themeColor="text1"/>
        </w:rPr>
        <w:t>t~t+n</w:t>
      </w:r>
      <w:proofErr w:type="spellEnd"/>
    </w:p>
    <w:p w:rsidR="00653F47" w:rsidRPr="003D5CEC" w:rsidRDefault="00653F47" w:rsidP="00653F47">
      <w:pPr>
        <w:autoSpaceDE w:val="0"/>
        <w:adjustRightInd w:val="0"/>
        <w:spacing w:line="228" w:lineRule="auto"/>
        <w:ind w:firstLine="432"/>
        <w:jc w:val="both"/>
        <w:rPr>
          <w:rFonts w:ascii="Arial" w:hAnsi="Arial" w:cs="Arial"/>
          <w:i/>
          <w:iCs/>
          <w:color w:val="000000" w:themeColor="text1"/>
        </w:rPr>
      </w:pPr>
      <w:proofErr w:type="spellStart"/>
      <w:r w:rsidRPr="003D5CEC">
        <w:rPr>
          <w:rFonts w:ascii="Arial" w:hAnsi="Arial" w:cs="Arial"/>
          <w:color w:val="000000" w:themeColor="text1"/>
        </w:rPr>
        <w:t>ULAi</w:t>
      </w:r>
      <w:proofErr w:type="spellEnd"/>
      <w:r w:rsidRPr="003D5CEC">
        <w:rPr>
          <w:rFonts w:ascii="Arial" w:hAnsi="Arial" w:cs="Arial"/>
          <w:color w:val="000000" w:themeColor="text1"/>
        </w:rPr>
        <w:t xml:space="preserve">, </w:t>
      </w:r>
      <w:proofErr w:type="spellStart"/>
      <w:r w:rsidRPr="003D5CEC">
        <w:rPr>
          <w:rFonts w:ascii="Arial" w:hAnsi="Arial" w:cs="Arial"/>
          <w:color w:val="000000" w:themeColor="text1"/>
        </w:rPr>
        <w:t>t+n</w:t>
      </w:r>
      <w:proofErr w:type="spellEnd"/>
      <w:r w:rsidRPr="003D5CEC">
        <w:rPr>
          <w:rFonts w:ascii="Arial" w:hAnsi="Arial" w:cs="Arial"/>
          <w:color w:val="000000" w:themeColor="text1"/>
        </w:rPr>
        <w:t xml:space="preserve"> = urban land-use for years </w:t>
      </w:r>
      <w:proofErr w:type="spellStart"/>
      <w:r w:rsidRPr="003D5CEC">
        <w:rPr>
          <w:rFonts w:ascii="Arial" w:hAnsi="Arial" w:cs="Arial"/>
          <w:i/>
          <w:iCs/>
          <w:color w:val="000000" w:themeColor="text1"/>
        </w:rPr>
        <w:t>t+n</w:t>
      </w:r>
      <w:proofErr w:type="spellEnd"/>
    </w:p>
    <w:p w:rsidR="00653F47" w:rsidRPr="003D5CEC" w:rsidRDefault="00653F47" w:rsidP="00653F47">
      <w:pPr>
        <w:autoSpaceDE w:val="0"/>
        <w:adjustRightInd w:val="0"/>
        <w:spacing w:line="228" w:lineRule="auto"/>
        <w:ind w:firstLine="432"/>
        <w:jc w:val="both"/>
        <w:rPr>
          <w:rFonts w:ascii="Arial" w:hAnsi="Arial" w:cs="Arial"/>
          <w:i/>
          <w:iCs/>
          <w:color w:val="000000" w:themeColor="text1"/>
        </w:rPr>
      </w:pPr>
      <w:proofErr w:type="spellStart"/>
      <w:proofErr w:type="gramStart"/>
      <w:r w:rsidRPr="003D5CEC">
        <w:rPr>
          <w:rFonts w:ascii="Arial" w:hAnsi="Arial" w:cs="Arial"/>
          <w:color w:val="000000" w:themeColor="text1"/>
        </w:rPr>
        <w:lastRenderedPageBreak/>
        <w:t>ULAi,t</w:t>
      </w:r>
      <w:proofErr w:type="spellEnd"/>
      <w:proofErr w:type="gramEnd"/>
      <w:r w:rsidRPr="003D5CEC">
        <w:rPr>
          <w:rFonts w:ascii="Arial" w:hAnsi="Arial" w:cs="Arial"/>
          <w:color w:val="000000" w:themeColor="text1"/>
        </w:rPr>
        <w:t xml:space="preserve"> = urban land-use for years </w:t>
      </w:r>
      <w:r w:rsidRPr="003D5CEC">
        <w:rPr>
          <w:rFonts w:ascii="Arial" w:hAnsi="Arial" w:cs="Arial"/>
          <w:i/>
          <w:iCs/>
          <w:color w:val="000000" w:themeColor="text1"/>
        </w:rPr>
        <w:t>t</w:t>
      </w:r>
    </w:p>
    <w:p w:rsidR="00653F47" w:rsidRPr="003D5CEC" w:rsidRDefault="00653F47" w:rsidP="00653F47">
      <w:pPr>
        <w:autoSpaceDE w:val="0"/>
        <w:adjustRightInd w:val="0"/>
        <w:spacing w:line="228" w:lineRule="auto"/>
        <w:ind w:firstLine="432"/>
        <w:jc w:val="both"/>
        <w:rPr>
          <w:rFonts w:ascii="Arial" w:hAnsi="Arial" w:cs="Arial"/>
          <w:i/>
          <w:iCs/>
          <w:color w:val="000000" w:themeColor="text1"/>
        </w:rPr>
      </w:pPr>
      <w:proofErr w:type="spellStart"/>
      <w:r w:rsidRPr="003D5CEC">
        <w:rPr>
          <w:rFonts w:ascii="Arial" w:hAnsi="Arial" w:cs="Arial"/>
          <w:color w:val="000000" w:themeColor="text1"/>
        </w:rPr>
        <w:t>TLAi</w:t>
      </w:r>
      <w:proofErr w:type="spellEnd"/>
      <w:r w:rsidRPr="003D5CEC">
        <w:rPr>
          <w:rFonts w:ascii="Arial" w:hAnsi="Arial" w:cs="Arial"/>
          <w:color w:val="000000" w:themeColor="text1"/>
        </w:rPr>
        <w:t xml:space="preserve"> = total area of the spatial unit </w:t>
      </w:r>
      <w:proofErr w:type="spellStart"/>
      <w:r w:rsidRPr="003D5CEC">
        <w:rPr>
          <w:rFonts w:ascii="Arial" w:hAnsi="Arial" w:cs="Arial"/>
          <w:i/>
          <w:iCs/>
          <w:color w:val="000000" w:themeColor="text1"/>
        </w:rPr>
        <w:t>i</w:t>
      </w:r>
      <w:proofErr w:type="spellEnd"/>
    </w:p>
    <w:p w:rsidR="002D4A43" w:rsidRPr="003D5CEC" w:rsidRDefault="002D4A43" w:rsidP="000C49E0">
      <w:pPr>
        <w:pStyle w:val="NormalWeb"/>
        <w:jc w:val="both"/>
        <w:rPr>
          <w:rFonts w:ascii="Arial" w:hAnsi="Arial" w:cs="Arial"/>
          <w:sz w:val="20"/>
          <w:szCs w:val="20"/>
        </w:rPr>
      </w:pPr>
      <w:r w:rsidRPr="003D5CEC">
        <w:rPr>
          <w:rFonts w:ascii="Arial" w:hAnsi="Arial" w:cs="Arial"/>
          <w:sz w:val="20"/>
          <w:szCs w:val="20"/>
        </w:rPr>
        <w:t xml:space="preserve">The </w:t>
      </w:r>
      <w:r w:rsidRPr="003D5CEC">
        <w:rPr>
          <w:rStyle w:val="Strong"/>
          <w:rFonts w:ascii="Arial" w:hAnsi="Arial" w:cs="Arial"/>
          <w:b w:val="0"/>
          <w:sz w:val="20"/>
          <w:szCs w:val="20"/>
        </w:rPr>
        <w:t>UPI</w:t>
      </w:r>
      <w:r w:rsidRPr="003D5CEC">
        <w:rPr>
          <w:rFonts w:ascii="Arial" w:hAnsi="Arial" w:cs="Arial"/>
          <w:sz w:val="20"/>
          <w:szCs w:val="20"/>
        </w:rPr>
        <w:t xml:space="preserve"> expresses the </w:t>
      </w:r>
      <w:r w:rsidRPr="003D5CEC">
        <w:rPr>
          <w:rStyle w:val="Strong"/>
          <w:rFonts w:ascii="Arial" w:hAnsi="Arial" w:cs="Arial"/>
          <w:b w:val="0"/>
          <w:sz w:val="20"/>
          <w:szCs w:val="20"/>
        </w:rPr>
        <w:t>magnitude</w:t>
      </w:r>
      <w:r w:rsidRPr="003D5CEC">
        <w:rPr>
          <w:rFonts w:ascii="Arial" w:hAnsi="Arial" w:cs="Arial"/>
          <w:sz w:val="20"/>
          <w:szCs w:val="20"/>
        </w:rPr>
        <w:t xml:space="preserve"> and </w:t>
      </w:r>
      <w:r w:rsidRPr="003D5CEC">
        <w:rPr>
          <w:rStyle w:val="Strong"/>
          <w:rFonts w:ascii="Arial" w:hAnsi="Arial" w:cs="Arial"/>
          <w:b w:val="0"/>
          <w:sz w:val="20"/>
          <w:szCs w:val="20"/>
        </w:rPr>
        <w:t xml:space="preserve">spatial </w:t>
      </w:r>
      <w:r w:rsidR="00A61EDB">
        <w:rPr>
          <w:rStyle w:val="Strong"/>
          <w:rFonts w:ascii="Arial" w:hAnsi="Arial" w:cs="Arial"/>
          <w:b w:val="0"/>
          <w:sz w:val="20"/>
          <w:szCs w:val="20"/>
        </w:rPr>
        <w:t>expansion</w:t>
      </w:r>
      <w:r w:rsidRPr="003D5CEC">
        <w:rPr>
          <w:rFonts w:ascii="Arial" w:hAnsi="Arial" w:cs="Arial"/>
          <w:sz w:val="20"/>
          <w:szCs w:val="20"/>
        </w:rPr>
        <w:t xml:space="preserve"> </w:t>
      </w:r>
      <w:r w:rsidR="00A61EDB">
        <w:rPr>
          <w:rFonts w:ascii="Arial" w:hAnsi="Arial" w:cs="Arial"/>
          <w:sz w:val="20"/>
          <w:szCs w:val="20"/>
        </w:rPr>
        <w:t xml:space="preserve">of </w:t>
      </w:r>
      <w:r w:rsidRPr="003D5CEC">
        <w:rPr>
          <w:rFonts w:ascii="Arial" w:hAnsi="Arial" w:cs="Arial"/>
          <w:sz w:val="20"/>
          <w:szCs w:val="20"/>
        </w:rPr>
        <w:t xml:space="preserve">urban </w:t>
      </w:r>
      <w:r w:rsidR="00A61EDB">
        <w:rPr>
          <w:rFonts w:ascii="Arial" w:hAnsi="Arial" w:cs="Arial"/>
          <w:sz w:val="20"/>
          <w:szCs w:val="20"/>
        </w:rPr>
        <w:t>area</w:t>
      </w:r>
      <w:r w:rsidRPr="003D5CEC">
        <w:rPr>
          <w:rFonts w:ascii="Arial" w:hAnsi="Arial" w:cs="Arial"/>
          <w:sz w:val="20"/>
          <w:szCs w:val="20"/>
        </w:rPr>
        <w:t xml:space="preserve"> over the study period, whereas the </w:t>
      </w:r>
      <w:r w:rsidRPr="003D5CEC">
        <w:rPr>
          <w:rStyle w:val="Strong"/>
          <w:rFonts w:ascii="Arial" w:hAnsi="Arial" w:cs="Arial"/>
          <w:b w:val="0"/>
          <w:sz w:val="20"/>
          <w:szCs w:val="20"/>
        </w:rPr>
        <w:t>UII</w:t>
      </w:r>
      <w:r w:rsidRPr="003D5CEC">
        <w:rPr>
          <w:rFonts w:ascii="Arial" w:hAnsi="Arial" w:cs="Arial"/>
          <w:sz w:val="20"/>
          <w:szCs w:val="20"/>
        </w:rPr>
        <w:t xml:space="preserve"> captures the </w:t>
      </w:r>
      <w:r w:rsidRPr="003D5CEC">
        <w:rPr>
          <w:rStyle w:val="Strong"/>
          <w:rFonts w:ascii="Arial" w:hAnsi="Arial" w:cs="Arial"/>
          <w:b w:val="0"/>
          <w:sz w:val="20"/>
          <w:szCs w:val="20"/>
        </w:rPr>
        <w:t>annual rate</w:t>
      </w:r>
      <w:r w:rsidRPr="003D5CEC">
        <w:rPr>
          <w:rFonts w:ascii="Arial" w:hAnsi="Arial" w:cs="Arial"/>
          <w:sz w:val="20"/>
          <w:szCs w:val="20"/>
        </w:rPr>
        <w:t xml:space="preserve"> or </w:t>
      </w:r>
      <w:r w:rsidRPr="003D5CEC">
        <w:rPr>
          <w:rStyle w:val="Strong"/>
          <w:rFonts w:ascii="Arial" w:hAnsi="Arial" w:cs="Arial"/>
          <w:b w:val="0"/>
          <w:sz w:val="20"/>
          <w:szCs w:val="20"/>
        </w:rPr>
        <w:t>intensity</w:t>
      </w:r>
      <w:r w:rsidRPr="003D5CEC">
        <w:rPr>
          <w:rFonts w:ascii="Arial" w:hAnsi="Arial" w:cs="Arial"/>
          <w:sz w:val="20"/>
          <w:szCs w:val="20"/>
        </w:rPr>
        <w:t xml:space="preserve"> of change. Both metrics are necessary to assess not only how much land was urbanized, but also how rapidly the transformation occurred.</w:t>
      </w:r>
    </w:p>
    <w:p w:rsidR="002D4A43" w:rsidRPr="00044601" w:rsidRDefault="00CF3819" w:rsidP="002D4A43">
      <w:pPr>
        <w:pStyle w:val="Heading4"/>
        <w:rPr>
          <w:rFonts w:ascii="Arial" w:hAnsi="Arial" w:cs="Arial"/>
          <w:i w:val="0"/>
          <w:color w:val="000000" w:themeColor="text1"/>
        </w:rPr>
      </w:pPr>
      <w:r w:rsidRPr="00044601">
        <w:rPr>
          <w:rFonts w:ascii="Arial" w:hAnsi="Arial" w:cs="Arial"/>
          <w:i w:val="0"/>
          <w:color w:val="000000" w:themeColor="text1"/>
        </w:rPr>
        <w:t xml:space="preserve">2.5 </w:t>
      </w:r>
      <w:r w:rsidR="002D4A43" w:rsidRPr="00044601">
        <w:rPr>
          <w:rFonts w:ascii="Arial" w:hAnsi="Arial" w:cs="Arial"/>
          <w:i w:val="0"/>
          <w:color w:val="000000" w:themeColor="text1"/>
        </w:rPr>
        <w:t>Buffer Gradient and Directional (Aeolotropic) Analysis</w:t>
      </w:r>
    </w:p>
    <w:p w:rsidR="002D4A43" w:rsidRPr="003D5CEC" w:rsidRDefault="002D4A43" w:rsidP="000C49E0">
      <w:pPr>
        <w:pStyle w:val="NormalWeb"/>
        <w:jc w:val="both"/>
        <w:rPr>
          <w:rFonts w:ascii="Arial" w:hAnsi="Arial" w:cs="Arial"/>
          <w:sz w:val="20"/>
          <w:szCs w:val="20"/>
        </w:rPr>
      </w:pPr>
      <w:r w:rsidRPr="003D5CEC">
        <w:rPr>
          <w:rFonts w:ascii="Arial" w:hAnsi="Arial" w:cs="Arial"/>
          <w:sz w:val="20"/>
          <w:szCs w:val="20"/>
        </w:rPr>
        <w:t xml:space="preserve">To understand the </w:t>
      </w:r>
      <w:r w:rsidRPr="003D5CEC">
        <w:rPr>
          <w:rStyle w:val="Strong"/>
          <w:rFonts w:ascii="Arial" w:hAnsi="Arial" w:cs="Arial"/>
          <w:b w:val="0"/>
          <w:sz w:val="20"/>
          <w:szCs w:val="20"/>
        </w:rPr>
        <w:t>spatial dynamics</w:t>
      </w:r>
      <w:r w:rsidRPr="003D5CEC">
        <w:rPr>
          <w:rFonts w:ascii="Arial" w:hAnsi="Arial" w:cs="Arial"/>
          <w:sz w:val="20"/>
          <w:szCs w:val="20"/>
        </w:rPr>
        <w:t xml:space="preserve"> and </w:t>
      </w:r>
      <w:r w:rsidRPr="003D5CEC">
        <w:rPr>
          <w:rStyle w:val="Strong"/>
          <w:rFonts w:ascii="Arial" w:hAnsi="Arial" w:cs="Arial"/>
          <w:b w:val="0"/>
          <w:sz w:val="20"/>
          <w:szCs w:val="20"/>
        </w:rPr>
        <w:t>directionality</w:t>
      </w:r>
      <w:r w:rsidRPr="003D5CEC">
        <w:rPr>
          <w:rFonts w:ascii="Arial" w:hAnsi="Arial" w:cs="Arial"/>
          <w:sz w:val="20"/>
          <w:szCs w:val="20"/>
        </w:rPr>
        <w:t xml:space="preserve"> of urban expansion, </w:t>
      </w:r>
      <w:r w:rsidRPr="003D5CEC">
        <w:rPr>
          <w:rStyle w:val="Strong"/>
          <w:rFonts w:ascii="Arial" w:hAnsi="Arial" w:cs="Arial"/>
          <w:b w:val="0"/>
          <w:sz w:val="20"/>
          <w:szCs w:val="20"/>
        </w:rPr>
        <w:t>GIS-based buffer gradient analysis</w:t>
      </w:r>
      <w:r w:rsidRPr="003D5CEC">
        <w:rPr>
          <w:rFonts w:ascii="Arial" w:hAnsi="Arial" w:cs="Arial"/>
          <w:sz w:val="20"/>
          <w:szCs w:val="20"/>
        </w:rPr>
        <w:t xml:space="preserve"> was employed using </w:t>
      </w:r>
      <w:r w:rsidRPr="003D5CEC">
        <w:rPr>
          <w:rStyle w:val="Strong"/>
          <w:rFonts w:ascii="Arial" w:hAnsi="Arial" w:cs="Arial"/>
          <w:b w:val="0"/>
          <w:sz w:val="20"/>
          <w:szCs w:val="20"/>
        </w:rPr>
        <w:t>ArcGIS</w:t>
      </w:r>
      <w:r w:rsidRPr="003D5CEC">
        <w:rPr>
          <w:rFonts w:ascii="Arial" w:hAnsi="Arial" w:cs="Arial"/>
          <w:sz w:val="20"/>
          <w:szCs w:val="20"/>
        </w:rPr>
        <w:t xml:space="preserve"> software. Two complementar</w:t>
      </w:r>
      <w:r w:rsidR="00A61EDB">
        <w:rPr>
          <w:rFonts w:ascii="Arial" w:hAnsi="Arial" w:cs="Arial"/>
          <w:sz w:val="20"/>
          <w:szCs w:val="20"/>
        </w:rPr>
        <w:t xml:space="preserve">y buffer systems were developed. </w:t>
      </w:r>
      <w:r w:rsidRPr="003D5CEC">
        <w:rPr>
          <w:rStyle w:val="Strong"/>
          <w:rFonts w:ascii="Arial" w:hAnsi="Arial" w:cs="Arial"/>
          <w:b w:val="0"/>
          <w:sz w:val="20"/>
          <w:szCs w:val="20"/>
        </w:rPr>
        <w:t>Concentric Buffer Zones</w:t>
      </w:r>
      <w:r w:rsidR="00A61EDB">
        <w:rPr>
          <w:rFonts w:ascii="Arial" w:hAnsi="Arial" w:cs="Arial"/>
          <w:sz w:val="20"/>
          <w:szCs w:val="20"/>
        </w:rPr>
        <w:t xml:space="preserve"> having</w:t>
      </w:r>
      <w:r w:rsidRPr="003D5CEC">
        <w:rPr>
          <w:rFonts w:ascii="Arial" w:hAnsi="Arial" w:cs="Arial"/>
          <w:sz w:val="20"/>
          <w:szCs w:val="20"/>
        </w:rPr>
        <w:t xml:space="preserve"> </w:t>
      </w:r>
      <w:r w:rsidR="00F96EDD" w:rsidRPr="003D5CEC">
        <w:rPr>
          <w:rFonts w:ascii="Arial" w:hAnsi="Arial" w:cs="Arial"/>
          <w:sz w:val="20"/>
          <w:szCs w:val="20"/>
        </w:rPr>
        <w:t>multiple</w:t>
      </w:r>
      <w:r w:rsidRPr="003D5CEC">
        <w:rPr>
          <w:rFonts w:ascii="Arial" w:hAnsi="Arial" w:cs="Arial"/>
          <w:sz w:val="20"/>
          <w:szCs w:val="20"/>
        </w:rPr>
        <w:t xml:space="preserve"> circular buffers with a radius of </w:t>
      </w:r>
      <w:r w:rsidRPr="003D5CEC">
        <w:rPr>
          <w:rStyle w:val="Strong"/>
          <w:rFonts w:ascii="Arial" w:hAnsi="Arial" w:cs="Arial"/>
          <w:b w:val="0"/>
          <w:sz w:val="20"/>
          <w:szCs w:val="20"/>
        </w:rPr>
        <w:t>2 km intervals</w:t>
      </w:r>
      <w:r w:rsidRPr="003D5CEC">
        <w:rPr>
          <w:rFonts w:ascii="Arial" w:hAnsi="Arial" w:cs="Arial"/>
          <w:sz w:val="20"/>
          <w:szCs w:val="20"/>
        </w:rPr>
        <w:t xml:space="preserve"> were generated around the urban core (1993 urban extent) to capture distance-based variations in urban expansion. </w:t>
      </w:r>
      <w:r w:rsidRPr="003D5CEC">
        <w:rPr>
          <w:rStyle w:val="Strong"/>
          <w:rFonts w:ascii="Arial" w:hAnsi="Arial" w:cs="Arial"/>
          <w:b w:val="0"/>
          <w:sz w:val="20"/>
          <w:szCs w:val="20"/>
        </w:rPr>
        <w:t>Aeolotropic Buffer Analysis</w:t>
      </w:r>
      <w:r w:rsidR="00F96EDD">
        <w:rPr>
          <w:rFonts w:ascii="Arial" w:hAnsi="Arial" w:cs="Arial"/>
          <w:sz w:val="20"/>
          <w:szCs w:val="20"/>
        </w:rPr>
        <w:t xml:space="preserve"> developed</w:t>
      </w:r>
      <w:r w:rsidRPr="003D5CEC">
        <w:rPr>
          <w:rFonts w:ascii="Arial" w:hAnsi="Arial" w:cs="Arial"/>
          <w:sz w:val="20"/>
          <w:szCs w:val="20"/>
        </w:rPr>
        <w:t xml:space="preserve"> </w:t>
      </w:r>
      <w:r w:rsidR="00F96EDD">
        <w:rPr>
          <w:rFonts w:ascii="Arial" w:hAnsi="Arial" w:cs="Arial"/>
          <w:sz w:val="20"/>
          <w:szCs w:val="20"/>
        </w:rPr>
        <w:t>t</w:t>
      </w:r>
      <w:r w:rsidRPr="003D5CEC">
        <w:rPr>
          <w:rFonts w:ascii="Arial" w:hAnsi="Arial" w:cs="Arial"/>
          <w:sz w:val="20"/>
          <w:szCs w:val="20"/>
        </w:rPr>
        <w:t xml:space="preserve">o assess </w:t>
      </w:r>
      <w:r w:rsidRPr="003D5CEC">
        <w:rPr>
          <w:rStyle w:val="Strong"/>
          <w:rFonts w:ascii="Arial" w:hAnsi="Arial" w:cs="Arial"/>
          <w:b w:val="0"/>
          <w:sz w:val="20"/>
          <w:szCs w:val="20"/>
        </w:rPr>
        <w:t>directional urban growth</w:t>
      </w:r>
      <w:r w:rsidR="00F96EDD">
        <w:rPr>
          <w:rFonts w:ascii="Arial" w:hAnsi="Arial" w:cs="Arial"/>
          <w:sz w:val="20"/>
          <w:szCs w:val="20"/>
        </w:rPr>
        <w:t>.</w:t>
      </w:r>
      <w:r w:rsidRPr="003D5CEC">
        <w:rPr>
          <w:rFonts w:ascii="Arial" w:hAnsi="Arial" w:cs="Arial"/>
          <w:sz w:val="20"/>
          <w:szCs w:val="20"/>
        </w:rPr>
        <w:t xml:space="preserve"> </w:t>
      </w:r>
      <w:r w:rsidR="00F96EDD" w:rsidRPr="003D5CEC">
        <w:rPr>
          <w:rFonts w:ascii="Arial" w:hAnsi="Arial" w:cs="Arial"/>
          <w:sz w:val="20"/>
          <w:szCs w:val="20"/>
        </w:rPr>
        <w:t>Each</w:t>
      </w:r>
      <w:r w:rsidRPr="003D5CEC">
        <w:rPr>
          <w:rFonts w:ascii="Arial" w:hAnsi="Arial" w:cs="Arial"/>
          <w:sz w:val="20"/>
          <w:szCs w:val="20"/>
        </w:rPr>
        <w:t xml:space="preserve"> circular buffer zone was divided into </w:t>
      </w:r>
      <w:r w:rsidRPr="003D5CEC">
        <w:rPr>
          <w:rStyle w:val="Strong"/>
          <w:rFonts w:ascii="Arial" w:hAnsi="Arial" w:cs="Arial"/>
          <w:b w:val="0"/>
          <w:sz w:val="20"/>
          <w:szCs w:val="20"/>
        </w:rPr>
        <w:t>eight angular sectors</w:t>
      </w:r>
      <w:r w:rsidR="000C49E0">
        <w:rPr>
          <w:rFonts w:ascii="Arial" w:hAnsi="Arial" w:cs="Arial"/>
          <w:sz w:val="20"/>
          <w:szCs w:val="20"/>
        </w:rPr>
        <w:t xml:space="preserve"> based on compass orientation (Table 1)</w:t>
      </w:r>
    </w:p>
    <w:p w:rsidR="00CF3819" w:rsidRPr="00A61EDB" w:rsidRDefault="00A61EDB" w:rsidP="00A61EDB">
      <w:pPr>
        <w:autoSpaceDE w:val="0"/>
        <w:autoSpaceDN w:val="0"/>
        <w:adjustRightInd w:val="0"/>
        <w:jc w:val="center"/>
        <w:rPr>
          <w:rFonts w:ascii="Arial" w:hAnsi="Arial" w:cs="Arial"/>
          <w:b/>
          <w:bCs/>
          <w:color w:val="000000" w:themeColor="text1"/>
        </w:rPr>
      </w:pPr>
      <w:r w:rsidRPr="00A61EDB">
        <w:rPr>
          <w:rFonts w:ascii="Arial" w:hAnsi="Arial" w:cs="Arial"/>
          <w:b/>
          <w:bCs/>
          <w:color w:val="000000" w:themeColor="text1"/>
        </w:rPr>
        <w:t>Table 1</w:t>
      </w:r>
      <w:r w:rsidR="000C49E0">
        <w:rPr>
          <w:rFonts w:ascii="Arial" w:hAnsi="Arial" w:cs="Arial"/>
          <w:b/>
          <w:bCs/>
          <w:color w:val="000000" w:themeColor="text1"/>
        </w:rPr>
        <w:t>.</w:t>
      </w:r>
      <w:r w:rsidRPr="00A61EDB">
        <w:rPr>
          <w:rFonts w:ascii="Arial" w:hAnsi="Arial" w:cs="Arial"/>
          <w:b/>
          <w:bCs/>
          <w:color w:val="000000" w:themeColor="text1"/>
        </w:rPr>
        <w:t xml:space="preserve"> Angular Direction based on compass orientation</w:t>
      </w:r>
    </w:p>
    <w:tbl>
      <w:tblPr>
        <w:tblStyle w:val="TableGrid"/>
        <w:tblpPr w:leftFromText="180" w:rightFromText="180" w:vertAnchor="text" w:horzAnchor="margin" w:tblpXSpec="center" w:tblpY="1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1698"/>
      </w:tblGrid>
      <w:tr w:rsidR="00A61EDB" w:rsidRPr="00A61EDB" w:rsidTr="000C49E0">
        <w:trPr>
          <w:trHeight w:val="279"/>
        </w:trPr>
        <w:tc>
          <w:tcPr>
            <w:tcW w:w="2730" w:type="dxa"/>
            <w:tcBorders>
              <w:top w:val="single" w:sz="4" w:space="0" w:color="auto"/>
              <w:bottom w:val="single" w:sz="4" w:space="0" w:color="auto"/>
            </w:tcBorders>
          </w:tcPr>
          <w:p w:rsidR="00A61EDB" w:rsidRPr="00A61EDB" w:rsidRDefault="00A61EDB" w:rsidP="00A61EDB">
            <w:pPr>
              <w:outlineLvl w:val="1"/>
              <w:rPr>
                <w:rFonts w:ascii="Arial" w:hAnsi="Arial" w:cs="Arial"/>
                <w:bCs/>
                <w:color w:val="000000" w:themeColor="text1"/>
                <w:sz w:val="20"/>
                <w:szCs w:val="20"/>
              </w:rPr>
            </w:pPr>
            <w:r w:rsidRPr="00A61EDB">
              <w:rPr>
                <w:rFonts w:ascii="Arial" w:hAnsi="Arial" w:cs="Arial"/>
                <w:bCs/>
                <w:color w:val="000000" w:themeColor="text1"/>
                <w:sz w:val="20"/>
                <w:szCs w:val="20"/>
              </w:rPr>
              <w:t>Direction</w:t>
            </w:r>
          </w:p>
        </w:tc>
        <w:tc>
          <w:tcPr>
            <w:tcW w:w="1698" w:type="dxa"/>
            <w:tcBorders>
              <w:top w:val="single" w:sz="4" w:space="0" w:color="auto"/>
              <w:bottom w:val="single" w:sz="4" w:space="0" w:color="auto"/>
            </w:tcBorders>
          </w:tcPr>
          <w:p w:rsidR="00A61EDB" w:rsidRPr="00A61EDB" w:rsidRDefault="00A61EDB" w:rsidP="00A61EDB">
            <w:pPr>
              <w:outlineLvl w:val="1"/>
              <w:rPr>
                <w:rFonts w:ascii="Arial" w:hAnsi="Arial" w:cs="Arial"/>
                <w:bCs/>
                <w:color w:val="000000" w:themeColor="text1"/>
                <w:sz w:val="20"/>
                <w:szCs w:val="20"/>
              </w:rPr>
            </w:pPr>
            <w:r w:rsidRPr="00A61EDB">
              <w:rPr>
                <w:rFonts w:ascii="Arial" w:hAnsi="Arial" w:cs="Arial"/>
                <w:bCs/>
                <w:color w:val="000000" w:themeColor="text1"/>
                <w:sz w:val="20"/>
                <w:szCs w:val="20"/>
              </w:rPr>
              <w:t>Angular  range</w:t>
            </w:r>
          </w:p>
        </w:tc>
      </w:tr>
      <w:tr w:rsidR="00A61EDB" w:rsidRPr="00A61EDB" w:rsidTr="000C49E0">
        <w:trPr>
          <w:trHeight w:val="264"/>
        </w:trPr>
        <w:tc>
          <w:tcPr>
            <w:tcW w:w="2730" w:type="dxa"/>
            <w:tcBorders>
              <w:top w:val="single" w:sz="4" w:space="0" w:color="auto"/>
            </w:tcBorders>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North-Northeast (NNE)</w:t>
            </w:r>
          </w:p>
        </w:tc>
        <w:tc>
          <w:tcPr>
            <w:tcW w:w="1698" w:type="dxa"/>
            <w:tcBorders>
              <w:top w:val="single" w:sz="4" w:space="0" w:color="auto"/>
            </w:tcBorders>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0º to 45º</w:t>
            </w:r>
          </w:p>
        </w:tc>
      </w:tr>
      <w:tr w:rsidR="00A61EDB" w:rsidRPr="00A61EDB" w:rsidTr="000C49E0">
        <w:trPr>
          <w:trHeight w:val="249"/>
        </w:trPr>
        <w:tc>
          <w:tcPr>
            <w:tcW w:w="2730"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East-Northeast (ENE)</w:t>
            </w:r>
          </w:p>
        </w:tc>
        <w:tc>
          <w:tcPr>
            <w:tcW w:w="1698"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45º to 90º</w:t>
            </w:r>
          </w:p>
        </w:tc>
      </w:tr>
      <w:tr w:rsidR="00A61EDB" w:rsidRPr="00A61EDB" w:rsidTr="000C49E0">
        <w:trPr>
          <w:trHeight w:val="264"/>
        </w:trPr>
        <w:tc>
          <w:tcPr>
            <w:tcW w:w="2730"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East-Southeast (ESE)</w:t>
            </w:r>
          </w:p>
        </w:tc>
        <w:tc>
          <w:tcPr>
            <w:tcW w:w="1698"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90º to 135º</w:t>
            </w:r>
          </w:p>
        </w:tc>
      </w:tr>
      <w:tr w:rsidR="00A61EDB" w:rsidRPr="00A61EDB" w:rsidTr="000C49E0">
        <w:trPr>
          <w:trHeight w:val="249"/>
        </w:trPr>
        <w:tc>
          <w:tcPr>
            <w:tcW w:w="2730"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South-Southeast (SSE)</w:t>
            </w:r>
          </w:p>
        </w:tc>
        <w:tc>
          <w:tcPr>
            <w:tcW w:w="1698" w:type="dxa"/>
          </w:tcPr>
          <w:p w:rsidR="00A61EDB" w:rsidRPr="00A61EDB" w:rsidRDefault="00A61EDB" w:rsidP="00A61EDB">
            <w:pPr>
              <w:autoSpaceDE w:val="0"/>
              <w:autoSpaceDN w:val="0"/>
              <w:adjustRightInd w:val="0"/>
              <w:rPr>
                <w:rFonts w:ascii="Arial" w:hAnsi="Arial" w:cs="Arial"/>
                <w:color w:val="000000" w:themeColor="text1"/>
                <w:sz w:val="20"/>
                <w:szCs w:val="20"/>
              </w:rPr>
            </w:pPr>
            <w:r w:rsidRPr="00A61EDB">
              <w:rPr>
                <w:rFonts w:ascii="Arial" w:hAnsi="Arial" w:cs="Arial"/>
                <w:color w:val="000000" w:themeColor="text1"/>
                <w:sz w:val="20"/>
                <w:szCs w:val="20"/>
              </w:rPr>
              <w:t>135º to 180º</w:t>
            </w:r>
          </w:p>
        </w:tc>
      </w:tr>
      <w:tr w:rsidR="00A61EDB" w:rsidRPr="00A61EDB" w:rsidTr="000C49E0">
        <w:trPr>
          <w:trHeight w:val="264"/>
        </w:trPr>
        <w:tc>
          <w:tcPr>
            <w:tcW w:w="2730"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South-Southwest (SSW)</w:t>
            </w:r>
          </w:p>
        </w:tc>
        <w:tc>
          <w:tcPr>
            <w:tcW w:w="1698" w:type="dxa"/>
          </w:tcPr>
          <w:p w:rsidR="00A61EDB" w:rsidRPr="00A61EDB" w:rsidRDefault="00A61EDB" w:rsidP="00A61EDB">
            <w:pPr>
              <w:autoSpaceDE w:val="0"/>
              <w:autoSpaceDN w:val="0"/>
              <w:adjustRightInd w:val="0"/>
              <w:rPr>
                <w:rFonts w:ascii="Arial" w:hAnsi="Arial" w:cs="Arial"/>
                <w:color w:val="000000" w:themeColor="text1"/>
                <w:sz w:val="20"/>
                <w:szCs w:val="20"/>
              </w:rPr>
            </w:pPr>
            <w:r w:rsidRPr="00A61EDB">
              <w:rPr>
                <w:rFonts w:ascii="Arial" w:hAnsi="Arial" w:cs="Arial"/>
                <w:color w:val="000000" w:themeColor="text1"/>
                <w:sz w:val="20"/>
                <w:szCs w:val="20"/>
              </w:rPr>
              <w:t>180º to 225º</w:t>
            </w:r>
          </w:p>
        </w:tc>
      </w:tr>
      <w:tr w:rsidR="00A61EDB" w:rsidRPr="00A61EDB" w:rsidTr="000C49E0">
        <w:trPr>
          <w:trHeight w:val="249"/>
        </w:trPr>
        <w:tc>
          <w:tcPr>
            <w:tcW w:w="2730"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West-Southwest (WSW)</w:t>
            </w:r>
          </w:p>
        </w:tc>
        <w:tc>
          <w:tcPr>
            <w:tcW w:w="1698"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225º to 270º</w:t>
            </w:r>
          </w:p>
        </w:tc>
      </w:tr>
      <w:tr w:rsidR="00A61EDB" w:rsidRPr="00A61EDB" w:rsidTr="000C49E0">
        <w:trPr>
          <w:trHeight w:val="249"/>
        </w:trPr>
        <w:tc>
          <w:tcPr>
            <w:tcW w:w="2730"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West-Northwest (WNW</w:t>
            </w:r>
          </w:p>
        </w:tc>
        <w:tc>
          <w:tcPr>
            <w:tcW w:w="1698" w:type="dxa"/>
          </w:tcPr>
          <w:p w:rsidR="00A61EDB" w:rsidRPr="00A61EDB" w:rsidRDefault="00A61EDB" w:rsidP="00A61EDB">
            <w:pPr>
              <w:spacing w:before="100" w:beforeAutospacing="1" w:after="100" w:afterAutospacing="1"/>
              <w:outlineLvl w:val="1"/>
              <w:rPr>
                <w:rFonts w:ascii="Arial" w:eastAsia="Times New Roman" w:hAnsi="Arial" w:cs="Arial"/>
                <w:bCs/>
                <w:color w:val="000000" w:themeColor="text1"/>
                <w:sz w:val="20"/>
                <w:szCs w:val="20"/>
              </w:rPr>
            </w:pPr>
            <w:r w:rsidRPr="00A61EDB">
              <w:rPr>
                <w:rFonts w:ascii="Arial" w:hAnsi="Arial" w:cs="Arial"/>
                <w:color w:val="000000" w:themeColor="text1"/>
                <w:sz w:val="20"/>
                <w:szCs w:val="20"/>
              </w:rPr>
              <w:t>270º to 315º</w:t>
            </w:r>
          </w:p>
        </w:tc>
      </w:tr>
      <w:tr w:rsidR="00A61EDB" w:rsidRPr="00A61EDB" w:rsidTr="000C49E0">
        <w:trPr>
          <w:trHeight w:val="264"/>
        </w:trPr>
        <w:tc>
          <w:tcPr>
            <w:tcW w:w="2730" w:type="dxa"/>
            <w:tcBorders>
              <w:bottom w:val="single" w:sz="4" w:space="0" w:color="auto"/>
            </w:tcBorders>
          </w:tcPr>
          <w:p w:rsidR="00A61EDB" w:rsidRPr="00A61EDB" w:rsidRDefault="00A61EDB" w:rsidP="00A61EDB">
            <w:pPr>
              <w:outlineLvl w:val="1"/>
              <w:rPr>
                <w:rFonts w:ascii="Arial" w:hAnsi="Arial" w:cs="Arial"/>
                <w:color w:val="000000" w:themeColor="text1"/>
                <w:sz w:val="20"/>
                <w:szCs w:val="20"/>
              </w:rPr>
            </w:pPr>
            <w:r w:rsidRPr="00A61EDB">
              <w:rPr>
                <w:rFonts w:ascii="Arial" w:hAnsi="Arial" w:cs="Arial"/>
                <w:color w:val="000000" w:themeColor="text1"/>
                <w:sz w:val="20"/>
                <w:szCs w:val="20"/>
              </w:rPr>
              <w:t>North-Northwest (NNW)</w:t>
            </w:r>
          </w:p>
        </w:tc>
        <w:tc>
          <w:tcPr>
            <w:tcW w:w="1698" w:type="dxa"/>
            <w:tcBorders>
              <w:bottom w:val="single" w:sz="4" w:space="0" w:color="auto"/>
            </w:tcBorders>
          </w:tcPr>
          <w:p w:rsidR="00A61EDB" w:rsidRPr="00A61EDB" w:rsidRDefault="00A61EDB" w:rsidP="00A61EDB">
            <w:pPr>
              <w:outlineLvl w:val="1"/>
              <w:rPr>
                <w:rFonts w:ascii="Arial" w:hAnsi="Arial" w:cs="Arial"/>
                <w:color w:val="000000" w:themeColor="text1"/>
                <w:sz w:val="20"/>
                <w:szCs w:val="20"/>
              </w:rPr>
            </w:pPr>
            <w:r w:rsidRPr="00A61EDB">
              <w:rPr>
                <w:rFonts w:ascii="Arial" w:hAnsi="Arial" w:cs="Arial"/>
                <w:color w:val="000000" w:themeColor="text1"/>
                <w:sz w:val="20"/>
                <w:szCs w:val="20"/>
              </w:rPr>
              <w:t>315º to 360º</w:t>
            </w:r>
          </w:p>
        </w:tc>
      </w:tr>
    </w:tbl>
    <w:p w:rsidR="00A61EDB" w:rsidRDefault="00A61EDB"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Default="000C49E0" w:rsidP="00CF3819">
      <w:pPr>
        <w:outlineLvl w:val="1"/>
        <w:rPr>
          <w:rFonts w:ascii="Arial" w:hAnsi="Arial" w:cs="Arial"/>
          <w:iCs/>
          <w:color w:val="000000" w:themeColor="text1"/>
        </w:rPr>
      </w:pPr>
    </w:p>
    <w:p w:rsidR="000C49E0" w:rsidRPr="000C49E0" w:rsidRDefault="000C49E0" w:rsidP="00CF3819">
      <w:pPr>
        <w:outlineLvl w:val="1"/>
        <w:rPr>
          <w:rFonts w:ascii="Arial" w:hAnsi="Arial" w:cs="Arial"/>
          <w:iCs/>
          <w:color w:val="000000" w:themeColor="text1"/>
        </w:rPr>
      </w:pPr>
    </w:p>
    <w:p w:rsidR="000C49E0" w:rsidRDefault="000C49E0" w:rsidP="000C49E0">
      <w:pPr>
        <w:outlineLvl w:val="1"/>
        <w:rPr>
          <w:rFonts w:ascii="Arial" w:hAnsi="Arial" w:cs="Arial"/>
          <w:iCs/>
          <w:color w:val="000000" w:themeColor="text1"/>
        </w:rPr>
      </w:pPr>
      <w:r>
        <w:rPr>
          <w:rFonts w:ascii="Arial" w:hAnsi="Arial" w:cs="Arial"/>
          <w:iCs/>
          <w:color w:val="000000" w:themeColor="text1"/>
        </w:rPr>
        <w:t xml:space="preserve">                                                             </w:t>
      </w:r>
    </w:p>
    <w:p w:rsidR="00A61EDB" w:rsidRPr="000C49E0" w:rsidRDefault="000C49E0" w:rsidP="000C49E0">
      <w:pPr>
        <w:outlineLvl w:val="1"/>
        <w:rPr>
          <w:rFonts w:ascii="Arial" w:hAnsi="Arial" w:cs="Arial"/>
          <w:bCs/>
          <w:color w:val="000000" w:themeColor="text1"/>
        </w:rPr>
      </w:pPr>
      <w:r>
        <w:rPr>
          <w:rFonts w:ascii="Arial" w:hAnsi="Arial" w:cs="Arial"/>
          <w:iCs/>
          <w:color w:val="000000" w:themeColor="text1"/>
        </w:rPr>
        <w:t xml:space="preserve">                                                            </w:t>
      </w:r>
      <w:r w:rsidR="00A61EDB" w:rsidRPr="000C49E0">
        <w:rPr>
          <w:rFonts w:ascii="Arial" w:hAnsi="Arial" w:cs="Arial"/>
          <w:iCs/>
          <w:color w:val="000000" w:themeColor="text1"/>
        </w:rPr>
        <w:t>Source: Compiled by Researcher</w:t>
      </w:r>
    </w:p>
    <w:p w:rsidR="002D4A43" w:rsidRPr="000C49E0" w:rsidRDefault="002D4A43" w:rsidP="000C49E0">
      <w:pPr>
        <w:pStyle w:val="NormalWeb"/>
        <w:jc w:val="both"/>
        <w:rPr>
          <w:rFonts w:ascii="Arial" w:hAnsi="Arial" w:cs="Arial"/>
          <w:sz w:val="20"/>
          <w:szCs w:val="20"/>
        </w:rPr>
      </w:pPr>
      <w:r w:rsidRPr="003D5CEC">
        <w:rPr>
          <w:rFonts w:ascii="Arial" w:hAnsi="Arial" w:cs="Arial"/>
          <w:sz w:val="20"/>
          <w:szCs w:val="20"/>
        </w:rPr>
        <w:t xml:space="preserve">This approach </w:t>
      </w:r>
      <w:r w:rsidR="00F96EDD">
        <w:rPr>
          <w:rFonts w:ascii="Arial" w:hAnsi="Arial" w:cs="Arial"/>
          <w:sz w:val="20"/>
          <w:szCs w:val="20"/>
        </w:rPr>
        <w:t xml:space="preserve">offered </w:t>
      </w:r>
      <w:r w:rsidRPr="003D5CEC">
        <w:rPr>
          <w:rFonts w:ascii="Arial" w:hAnsi="Arial" w:cs="Arial"/>
          <w:sz w:val="20"/>
          <w:szCs w:val="20"/>
        </w:rPr>
        <w:t xml:space="preserve">the identification of </w:t>
      </w:r>
      <w:r w:rsidRPr="003D5CEC">
        <w:rPr>
          <w:rStyle w:val="Strong"/>
          <w:rFonts w:ascii="Arial" w:hAnsi="Arial" w:cs="Arial"/>
          <w:b w:val="0"/>
          <w:sz w:val="20"/>
          <w:szCs w:val="20"/>
        </w:rPr>
        <w:t>spatial heterogeneity</w:t>
      </w:r>
      <w:r w:rsidRPr="003D5CEC">
        <w:rPr>
          <w:rFonts w:ascii="Arial" w:hAnsi="Arial" w:cs="Arial"/>
          <w:sz w:val="20"/>
          <w:szCs w:val="20"/>
        </w:rPr>
        <w:t xml:space="preserve"> and </w:t>
      </w:r>
      <w:r w:rsidRPr="003D5CEC">
        <w:rPr>
          <w:rStyle w:val="Strong"/>
          <w:rFonts w:ascii="Arial" w:hAnsi="Arial" w:cs="Arial"/>
          <w:b w:val="0"/>
          <w:sz w:val="20"/>
          <w:szCs w:val="20"/>
        </w:rPr>
        <w:t>preferred directions of urban expansion</w:t>
      </w:r>
      <w:r w:rsidRPr="003D5CEC">
        <w:rPr>
          <w:rFonts w:ascii="Arial" w:hAnsi="Arial" w:cs="Arial"/>
          <w:sz w:val="20"/>
          <w:szCs w:val="20"/>
        </w:rPr>
        <w:t>, capturing the influence of natural barriers, transportation networks, and economic drivers on the growth pattern.</w:t>
      </w:r>
      <w:r w:rsidR="00F96EDD">
        <w:rPr>
          <w:rFonts w:ascii="Arial" w:hAnsi="Arial" w:cs="Arial"/>
          <w:sz w:val="20"/>
          <w:szCs w:val="20"/>
        </w:rPr>
        <w:t xml:space="preserve"> </w:t>
      </w:r>
      <w:r w:rsidRPr="003D5CEC">
        <w:rPr>
          <w:rFonts w:ascii="Arial" w:hAnsi="Arial" w:cs="Arial"/>
          <w:sz w:val="20"/>
          <w:szCs w:val="20"/>
        </w:rPr>
        <w:t xml:space="preserve">For each buffer zone and directional segment, </w:t>
      </w:r>
      <w:r w:rsidRPr="003D5CEC">
        <w:rPr>
          <w:rStyle w:val="Strong"/>
          <w:rFonts w:ascii="Arial" w:hAnsi="Arial" w:cs="Arial"/>
          <w:b w:val="0"/>
          <w:sz w:val="20"/>
          <w:szCs w:val="20"/>
        </w:rPr>
        <w:t>UPI</w:t>
      </w:r>
      <w:r w:rsidRPr="003D5CEC">
        <w:rPr>
          <w:rFonts w:ascii="Arial" w:hAnsi="Arial" w:cs="Arial"/>
          <w:sz w:val="20"/>
          <w:szCs w:val="20"/>
        </w:rPr>
        <w:t xml:space="preserve"> and </w:t>
      </w:r>
      <w:r w:rsidRPr="003D5CEC">
        <w:rPr>
          <w:rStyle w:val="Strong"/>
          <w:rFonts w:ascii="Arial" w:hAnsi="Arial" w:cs="Arial"/>
          <w:b w:val="0"/>
          <w:sz w:val="20"/>
          <w:szCs w:val="20"/>
        </w:rPr>
        <w:t>UII</w:t>
      </w:r>
      <w:r w:rsidRPr="003D5CEC">
        <w:rPr>
          <w:rFonts w:ascii="Arial" w:hAnsi="Arial" w:cs="Arial"/>
          <w:sz w:val="20"/>
          <w:szCs w:val="20"/>
        </w:rPr>
        <w:t xml:space="preserve"> were calculated to map and quantify urban growth both </w:t>
      </w:r>
      <w:r w:rsidRPr="003D5CEC">
        <w:rPr>
          <w:rStyle w:val="Strong"/>
          <w:rFonts w:ascii="Arial" w:hAnsi="Arial" w:cs="Arial"/>
          <w:b w:val="0"/>
          <w:sz w:val="20"/>
          <w:szCs w:val="20"/>
        </w:rPr>
        <w:t>radially</w:t>
      </w:r>
      <w:r w:rsidRPr="003D5CEC">
        <w:rPr>
          <w:rFonts w:ascii="Arial" w:hAnsi="Arial" w:cs="Arial"/>
          <w:sz w:val="20"/>
          <w:szCs w:val="20"/>
        </w:rPr>
        <w:t xml:space="preserve"> and </w:t>
      </w:r>
      <w:r w:rsidRPr="003D5CEC">
        <w:rPr>
          <w:rStyle w:val="Strong"/>
          <w:rFonts w:ascii="Arial" w:hAnsi="Arial" w:cs="Arial"/>
          <w:b w:val="0"/>
          <w:sz w:val="20"/>
          <w:szCs w:val="20"/>
        </w:rPr>
        <w:t>directionally</w:t>
      </w:r>
      <w:r w:rsidRPr="003D5CEC">
        <w:rPr>
          <w:rFonts w:ascii="Arial" w:hAnsi="Arial" w:cs="Arial"/>
          <w:sz w:val="20"/>
          <w:szCs w:val="20"/>
        </w:rPr>
        <w:t xml:space="preserve"> over the periods 1993–2003, 2003–2013, and 2013–2023</w:t>
      </w:r>
      <w:r w:rsidR="00F96EDD">
        <w:rPr>
          <w:rFonts w:ascii="Arial" w:hAnsi="Arial" w:cs="Arial"/>
          <w:sz w:val="20"/>
          <w:szCs w:val="20"/>
        </w:rPr>
        <w:t>.</w:t>
      </w:r>
    </w:p>
    <w:p w:rsidR="00C62CD5" w:rsidRPr="00C62CD5" w:rsidRDefault="00C62CD5" w:rsidP="00C62CD5">
      <w:pPr>
        <w:pStyle w:val="Body"/>
        <w:spacing w:after="0"/>
        <w:rPr>
          <w:rFonts w:ascii="Arial" w:hAnsi="Arial" w:cs="Arial"/>
          <w:b/>
          <w:sz w:val="22"/>
          <w:szCs w:val="22"/>
        </w:rPr>
      </w:pPr>
      <w:r w:rsidRPr="00C62CD5">
        <w:rPr>
          <w:rFonts w:ascii="Arial" w:hAnsi="Arial" w:cs="Arial"/>
          <w:b/>
          <w:color w:val="000000" w:themeColor="text1"/>
          <w:sz w:val="22"/>
          <w:szCs w:val="22"/>
        </w:rPr>
        <w:t>3.</w:t>
      </w:r>
      <w:r w:rsidRPr="00C62CD5">
        <w:rPr>
          <w:rFonts w:ascii="Arial" w:hAnsi="Arial" w:cs="Arial"/>
          <w:b/>
          <w:sz w:val="22"/>
          <w:szCs w:val="22"/>
        </w:rPr>
        <w:t xml:space="preserve"> STUDY AREA</w:t>
      </w:r>
    </w:p>
    <w:p w:rsidR="00C62CD5" w:rsidRPr="00C62CD5" w:rsidRDefault="00C62CD5" w:rsidP="00C62CD5">
      <w:pPr>
        <w:ind w:firstLine="432"/>
        <w:jc w:val="both"/>
        <w:rPr>
          <w:rFonts w:ascii="Arial" w:hAnsi="Arial" w:cs="Arial"/>
          <w:color w:val="000000" w:themeColor="text1"/>
          <w:shd w:val="clear" w:color="auto" w:fill="FFFFFF"/>
        </w:rPr>
      </w:pPr>
      <w:r w:rsidRPr="00C62CD5">
        <w:rPr>
          <w:rFonts w:ascii="Arial" w:hAnsi="Arial" w:cs="Arial"/>
          <w:color w:val="000000" w:themeColor="text1"/>
        </w:rPr>
        <w:t xml:space="preserve">Kozhikode is a bustling city situated </w:t>
      </w:r>
      <w:r w:rsidRPr="00C62CD5">
        <w:rPr>
          <w:rStyle w:val="Emphasis"/>
          <w:rFonts w:ascii="Arial" w:hAnsi="Arial" w:cs="Arial"/>
          <w:bCs/>
          <w:color w:val="000000" w:themeColor="text1"/>
          <w:shd w:val="clear" w:color="auto" w:fill="FFFFFF"/>
        </w:rPr>
        <w:t>along the Malabar Coast</w:t>
      </w:r>
      <w:r w:rsidRPr="00C62CD5">
        <w:rPr>
          <w:rFonts w:ascii="Arial" w:hAnsi="Arial" w:cs="Arial"/>
          <w:i/>
          <w:color w:val="000000" w:themeColor="text1"/>
          <w:shd w:val="clear" w:color="auto" w:fill="FFFFFF"/>
        </w:rPr>
        <w:t> </w:t>
      </w:r>
      <w:r w:rsidRPr="00C62CD5">
        <w:rPr>
          <w:rFonts w:ascii="Arial" w:hAnsi="Arial" w:cs="Arial"/>
          <w:color w:val="000000" w:themeColor="text1"/>
          <w:shd w:val="clear" w:color="auto" w:fill="FFFFFF"/>
        </w:rPr>
        <w:t>in Kerala</w:t>
      </w:r>
      <w:r w:rsidRPr="00C62CD5">
        <w:rPr>
          <w:rFonts w:ascii="Arial" w:hAnsi="Arial" w:cs="Arial"/>
          <w:color w:val="000000" w:themeColor="text1"/>
        </w:rPr>
        <w:t xml:space="preserve">, India. </w:t>
      </w:r>
      <w:r w:rsidRPr="00C62CD5">
        <w:rPr>
          <w:rFonts w:ascii="Arial" w:hAnsi="Arial" w:cs="Arial"/>
          <w:color w:val="000000" w:themeColor="text1"/>
          <w:shd w:val="clear" w:color="auto" w:fill="FFFFFF"/>
        </w:rPr>
        <w:t>The study area comprises</w:t>
      </w:r>
      <w:r w:rsidRPr="00C62CD5">
        <w:rPr>
          <w:rFonts w:ascii="Arial" w:hAnsi="Arial" w:cs="Arial"/>
          <w:color w:val="000000" w:themeColor="text1"/>
        </w:rPr>
        <w:t xml:space="preserve"> Kozhikode Corporation, </w:t>
      </w:r>
      <w:proofErr w:type="spellStart"/>
      <w:r w:rsidRPr="00C62CD5">
        <w:rPr>
          <w:rFonts w:ascii="Arial" w:hAnsi="Arial" w:cs="Arial"/>
          <w:color w:val="000000" w:themeColor="text1"/>
        </w:rPr>
        <w:t>Feroke</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Ramanattukara</w:t>
      </w:r>
      <w:proofErr w:type="spellEnd"/>
      <w:r w:rsidRPr="00C62CD5">
        <w:rPr>
          <w:rFonts w:ascii="Arial" w:hAnsi="Arial" w:cs="Arial"/>
          <w:color w:val="000000" w:themeColor="text1"/>
        </w:rPr>
        <w:t xml:space="preserve"> municipalities, </w:t>
      </w:r>
      <w:proofErr w:type="spellStart"/>
      <w:r w:rsidRPr="00C62CD5">
        <w:rPr>
          <w:rFonts w:ascii="Arial" w:hAnsi="Arial" w:cs="Arial"/>
          <w:color w:val="000000" w:themeColor="text1"/>
        </w:rPr>
        <w:t>Kadalundi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Olavanna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Perumanna</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Peruvayal</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Mavoor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Kunnamangalam</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Kuruvattur,Kakkodi</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Chelannur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Thalakkulathur</w:t>
      </w:r>
      <w:proofErr w:type="spellEnd"/>
      <w:r w:rsidRPr="00C62CD5">
        <w:rPr>
          <w:rFonts w:ascii="Arial" w:hAnsi="Arial" w:cs="Arial"/>
          <w:color w:val="000000" w:themeColor="text1"/>
        </w:rPr>
        <w:t xml:space="preserve">, </w:t>
      </w:r>
      <w:proofErr w:type="spellStart"/>
      <w:r w:rsidRPr="00C62CD5">
        <w:rPr>
          <w:rFonts w:ascii="Arial" w:hAnsi="Arial" w:cs="Arial"/>
          <w:color w:val="000000" w:themeColor="text1"/>
        </w:rPr>
        <w:t>Atholi</w:t>
      </w:r>
      <w:proofErr w:type="spellEnd"/>
      <w:r w:rsidRPr="00C62CD5">
        <w:rPr>
          <w:rFonts w:ascii="Arial" w:hAnsi="Arial" w:cs="Arial"/>
          <w:color w:val="000000" w:themeColor="text1"/>
        </w:rPr>
        <w:t xml:space="preserve">,  and </w:t>
      </w:r>
      <w:proofErr w:type="spellStart"/>
      <w:r w:rsidRPr="00C62CD5">
        <w:rPr>
          <w:rFonts w:ascii="Arial" w:hAnsi="Arial" w:cs="Arial"/>
          <w:color w:val="000000" w:themeColor="text1"/>
        </w:rPr>
        <w:t>Chemanchery</w:t>
      </w:r>
      <w:proofErr w:type="spellEnd"/>
      <w:r w:rsidRPr="00C62CD5">
        <w:rPr>
          <w:rFonts w:ascii="Arial" w:hAnsi="Arial" w:cs="Arial"/>
          <w:color w:val="000000" w:themeColor="text1"/>
        </w:rPr>
        <w:t xml:space="preserve"> panchayaths and lies </w:t>
      </w:r>
      <w:r w:rsidRPr="00C62CD5">
        <w:rPr>
          <w:rFonts w:ascii="Arial" w:hAnsi="Arial" w:cs="Arial"/>
        </w:rPr>
        <w:t xml:space="preserve">between the coordinates </w:t>
      </w:r>
      <w:r w:rsidRPr="00C62CD5">
        <w:rPr>
          <w:rFonts w:ascii="Arial" w:hAnsi="Arial" w:cs="Arial"/>
          <w:color w:val="000000" w:themeColor="text1"/>
        </w:rPr>
        <w:t>11˚7’24” N - 11˚26’26” N latitude and 75˚ 42’35” E-75˚ 58’15”E longitude. The area chosen for the study includes major urban clusters and peripheral areas with low to high degree of urbanization.  Kozhikode city has grown on marshy tract, reached to its present magnificence by filling the wetlands.</w:t>
      </w:r>
      <w:r w:rsidRPr="00C62CD5">
        <w:rPr>
          <w:rFonts w:ascii="Arial" w:hAnsi="Arial" w:cs="Arial"/>
          <w:color w:val="000000" w:themeColor="text1"/>
          <w:shd w:val="clear" w:color="auto" w:fill="FFFFFF"/>
        </w:rPr>
        <w:t xml:space="preserve">  Location of the study area is given in figure 1.</w:t>
      </w:r>
    </w:p>
    <w:p w:rsidR="00C62CD5" w:rsidRDefault="00C62CD5" w:rsidP="00C62CD5">
      <w:pPr>
        <w:spacing w:line="228" w:lineRule="auto"/>
        <w:ind w:firstLine="432"/>
        <w:jc w:val="center"/>
        <w:rPr>
          <w:rFonts w:ascii="Calibri Light" w:hAnsi="Calibri Light" w:cs="Calibri Light"/>
          <w:b/>
          <w:color w:val="000000" w:themeColor="text1"/>
          <w:sz w:val="18"/>
          <w:szCs w:val="18"/>
          <w:shd w:val="clear" w:color="auto" w:fill="FFFFFF"/>
        </w:rPr>
      </w:pPr>
      <w:r w:rsidRPr="00AE6893">
        <w:rPr>
          <w:rFonts w:ascii="Calibri Light" w:hAnsi="Calibri Light" w:cs="Calibri Light"/>
          <w:b/>
          <w:noProof/>
          <w:color w:val="000000" w:themeColor="text1"/>
          <w:sz w:val="18"/>
          <w:szCs w:val="18"/>
          <w:shd w:val="clear" w:color="auto" w:fill="FFFFFF"/>
        </w:rPr>
        <w:lastRenderedPageBreak/>
        <w:drawing>
          <wp:inline distT="0" distB="0" distL="0" distR="0">
            <wp:extent cx="3220051" cy="2488223"/>
            <wp:effectExtent l="19050" t="0" r="0" b="0"/>
            <wp:docPr id="10" name="Picture 5" descr="C:\Users\hp\Desktop\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Location.jpg"/>
                    <pic:cNvPicPr>
                      <a:picLocks noChangeAspect="1" noChangeArrowheads="1"/>
                    </pic:cNvPicPr>
                  </pic:nvPicPr>
                  <pic:blipFill>
                    <a:blip r:embed="rId14" cstate="print"/>
                    <a:srcRect/>
                    <a:stretch>
                      <a:fillRect/>
                    </a:stretch>
                  </pic:blipFill>
                  <pic:spPr bwMode="auto">
                    <a:xfrm>
                      <a:off x="0" y="0"/>
                      <a:ext cx="3226467" cy="2493181"/>
                    </a:xfrm>
                    <a:prstGeom prst="rect">
                      <a:avLst/>
                    </a:prstGeom>
                    <a:noFill/>
                    <a:ln w="9525">
                      <a:noFill/>
                      <a:miter lim="800000"/>
                      <a:headEnd/>
                      <a:tailEnd/>
                    </a:ln>
                  </pic:spPr>
                </pic:pic>
              </a:graphicData>
            </a:graphic>
          </wp:inline>
        </w:drawing>
      </w:r>
    </w:p>
    <w:p w:rsidR="00933281" w:rsidRPr="00C74EAF" w:rsidRDefault="00933281" w:rsidP="00933281">
      <w:pPr>
        <w:spacing w:line="228" w:lineRule="auto"/>
        <w:ind w:firstLine="432"/>
        <w:jc w:val="center"/>
        <w:rPr>
          <w:rFonts w:ascii="Arial" w:hAnsi="Arial" w:cs="Arial"/>
          <w:color w:val="000000" w:themeColor="text1"/>
          <w:shd w:val="clear" w:color="auto" w:fill="FFFFFF"/>
        </w:rPr>
      </w:pPr>
      <w:r w:rsidRPr="00C74EAF">
        <w:rPr>
          <w:rFonts w:ascii="Arial" w:hAnsi="Arial" w:cs="Arial"/>
        </w:rPr>
        <w:t>Figure 1.</w:t>
      </w:r>
      <w:r w:rsidRPr="00C74EAF">
        <w:rPr>
          <w:rFonts w:ascii="Arial" w:hAnsi="Arial" w:cs="Arial"/>
          <w:color w:val="000000" w:themeColor="text1"/>
          <w:shd w:val="clear" w:color="auto" w:fill="FFFFFF"/>
        </w:rPr>
        <w:t xml:space="preserve"> Location of the study area</w:t>
      </w:r>
      <w:r w:rsidRPr="00C74EAF">
        <w:rPr>
          <w:rFonts w:ascii="Arial" w:hAnsi="Arial" w:cs="Arial"/>
        </w:rPr>
        <w:t xml:space="preserve">                                                                                       </w:t>
      </w:r>
    </w:p>
    <w:p w:rsidR="00933281" w:rsidRDefault="00933281" w:rsidP="00C62CD5">
      <w:pPr>
        <w:spacing w:line="228" w:lineRule="auto"/>
        <w:ind w:firstLine="432"/>
        <w:jc w:val="center"/>
        <w:rPr>
          <w:rFonts w:ascii="Calibri Light" w:hAnsi="Calibri Light" w:cs="Calibri Light"/>
          <w:b/>
          <w:color w:val="000000" w:themeColor="text1"/>
          <w:sz w:val="18"/>
          <w:szCs w:val="18"/>
          <w:shd w:val="clear" w:color="auto" w:fill="FFFFFF"/>
        </w:rPr>
      </w:pPr>
    </w:p>
    <w:p w:rsidR="00C62CD5" w:rsidRDefault="00C62CD5" w:rsidP="00441B6F">
      <w:pPr>
        <w:pStyle w:val="Head1"/>
        <w:spacing w:after="0"/>
        <w:jc w:val="both"/>
        <w:rPr>
          <w:rFonts w:ascii="Arial" w:hAnsi="Arial" w:cs="Arial"/>
        </w:rPr>
      </w:pPr>
    </w:p>
    <w:p w:rsidR="00C62CD5" w:rsidRDefault="00C62CD5" w:rsidP="00441B6F">
      <w:pPr>
        <w:pStyle w:val="Head1"/>
        <w:spacing w:after="0"/>
        <w:jc w:val="both"/>
        <w:rPr>
          <w:rFonts w:ascii="Arial" w:hAnsi="Arial" w:cs="Arial"/>
        </w:rPr>
      </w:pPr>
    </w:p>
    <w:p w:rsidR="00C62CD5" w:rsidRDefault="00C62CD5" w:rsidP="00441B6F">
      <w:pPr>
        <w:pStyle w:val="Head1"/>
        <w:spacing w:after="0"/>
        <w:jc w:val="both"/>
        <w:rPr>
          <w:rFonts w:ascii="Arial" w:hAnsi="Arial" w:cs="Arial"/>
        </w:rPr>
      </w:pPr>
      <w:r>
        <w:rPr>
          <w:rFonts w:ascii="Arial" w:hAnsi="Arial" w:cs="Arial"/>
        </w:rPr>
        <w:t>4. RESULT AND DISCUSSION</w:t>
      </w:r>
    </w:p>
    <w:p w:rsidR="00653F47" w:rsidRDefault="00653F47" w:rsidP="00441B6F">
      <w:pPr>
        <w:pStyle w:val="Head1"/>
        <w:spacing w:after="0"/>
        <w:jc w:val="both"/>
        <w:rPr>
          <w:rFonts w:ascii="Arial" w:hAnsi="Arial" w:cs="Arial"/>
        </w:rPr>
      </w:pPr>
    </w:p>
    <w:p w:rsidR="00653F47" w:rsidRDefault="00653F47" w:rsidP="00441B6F">
      <w:pPr>
        <w:pStyle w:val="Head1"/>
        <w:spacing w:after="0"/>
        <w:jc w:val="both"/>
        <w:rPr>
          <w:rFonts w:ascii="Arial" w:hAnsi="Arial" w:cs="Arial"/>
        </w:rPr>
      </w:pPr>
      <w:r>
        <w:rPr>
          <w:rFonts w:ascii="Arial" w:hAnsi="Arial" w:cs="Arial"/>
        </w:rPr>
        <w:t>4.1 Land USE LAND COVER IN KOZHIKODE CITY AND SUBURBS DURING 1993-2023</w:t>
      </w:r>
    </w:p>
    <w:p w:rsidR="00653F47" w:rsidRDefault="00653F47" w:rsidP="00441B6F">
      <w:pPr>
        <w:pStyle w:val="Head1"/>
        <w:spacing w:after="0"/>
        <w:jc w:val="both"/>
        <w:rPr>
          <w:rFonts w:ascii="Arial" w:hAnsi="Arial" w:cs="Arial"/>
        </w:rPr>
      </w:pPr>
    </w:p>
    <w:p w:rsidR="00653F47" w:rsidRPr="003F51A0" w:rsidRDefault="003F51A0" w:rsidP="003D5CEC">
      <w:pPr>
        <w:autoSpaceDE w:val="0"/>
        <w:autoSpaceDN w:val="0"/>
        <w:adjustRightInd w:val="0"/>
        <w:jc w:val="both"/>
        <w:rPr>
          <w:rFonts w:ascii="Arial" w:hAnsi="Arial" w:cs="Arial"/>
        </w:rPr>
      </w:pPr>
      <w:r>
        <w:t>Understanding changes in land use and land cover (LULC) patterns is crucial for assessing and mapping the expansion of built-up areas.</w:t>
      </w:r>
      <w:r>
        <w:rPr>
          <w:rFonts w:ascii="Arial" w:hAnsi="Arial" w:cs="Arial"/>
        </w:rPr>
        <w:t xml:space="preserve"> </w:t>
      </w:r>
      <w:r w:rsidR="00E560A7" w:rsidRPr="003F51A0">
        <w:rPr>
          <w:rFonts w:ascii="Arial" w:hAnsi="Arial" w:cs="Arial"/>
        </w:rPr>
        <w:t xml:space="preserve">Land use and Land Cover map of the study for the years 1993,2003, 2013 and </w:t>
      </w:r>
      <w:proofErr w:type="gramStart"/>
      <w:r w:rsidR="00E560A7" w:rsidRPr="003F51A0">
        <w:rPr>
          <w:rFonts w:ascii="Arial" w:hAnsi="Arial" w:cs="Arial"/>
        </w:rPr>
        <w:t>2023  was</w:t>
      </w:r>
      <w:proofErr w:type="gramEnd"/>
      <w:r w:rsidR="00E560A7" w:rsidRPr="003F51A0">
        <w:rPr>
          <w:rFonts w:ascii="Arial" w:hAnsi="Arial" w:cs="Arial"/>
        </w:rPr>
        <w:t xml:space="preserve"> prepared using Landsat images.</w:t>
      </w:r>
      <w:r w:rsidR="00653F47" w:rsidRPr="003F51A0">
        <w:rPr>
          <w:rFonts w:ascii="Arial" w:hAnsi="Arial" w:cs="Arial"/>
        </w:rPr>
        <w:t xml:space="preserve"> </w:t>
      </w:r>
      <w:r w:rsidR="00E560A7" w:rsidRPr="003F51A0">
        <w:rPr>
          <w:rFonts w:ascii="Arial" w:hAnsi="Arial" w:cs="Arial"/>
        </w:rPr>
        <w:t>The</w:t>
      </w:r>
      <w:r w:rsidR="00653F47" w:rsidRPr="003F51A0">
        <w:rPr>
          <w:rFonts w:ascii="Arial" w:hAnsi="Arial" w:cs="Arial"/>
        </w:rPr>
        <w:t xml:space="preserve"> study area was categorized into five LULC classes- built up; mixed crops; barren land; paddy wetlands and wetlands other than paddy wetlands. Residential, commercial, institutional, and industrial buildings as well as transportation related infrastructure are considered as built-up land. Mixed crops include mixture of trees and crops planted in home gardens and commercial plantations in the midlands and lowlands. Land that is underutilized and degraded as a result of poor management is barren land. Lowland ideal for rice cultivation comes under paddy wetlands. Wetlands other than paddy wetlands include rivers or streams, canals, reservoirs, lakes and ponds, waterlogged areas, mangroves and estuaries. The LULC results are mapped and the spatial expansion of each LULC class for the year 19</w:t>
      </w:r>
      <w:r w:rsidR="000C49E0">
        <w:rPr>
          <w:rFonts w:ascii="Arial" w:hAnsi="Arial" w:cs="Arial"/>
        </w:rPr>
        <w:t xml:space="preserve">93, 2003, 2013 and 2023 has been </w:t>
      </w:r>
      <w:r w:rsidR="00653F47" w:rsidRPr="003F51A0">
        <w:rPr>
          <w:rFonts w:ascii="Arial" w:hAnsi="Arial" w:cs="Arial"/>
        </w:rPr>
        <w:t>represented in figure 1.</w:t>
      </w:r>
      <w:r w:rsidR="00E560A7" w:rsidRPr="003F51A0">
        <w:rPr>
          <w:rFonts w:ascii="Arial" w:hAnsi="Arial" w:cs="Arial"/>
        </w:rPr>
        <w:t xml:space="preserve"> </w:t>
      </w:r>
      <w:r w:rsidR="00653F47" w:rsidRPr="003F51A0">
        <w:rPr>
          <w:rFonts w:ascii="Arial" w:hAnsi="Arial" w:cs="Arial"/>
        </w:rPr>
        <w:t>Accuracy of the classified LULC maps assessed using error metrics.</w:t>
      </w:r>
    </w:p>
    <w:p w:rsidR="00653F47" w:rsidRPr="003F51A0" w:rsidRDefault="00653F47" w:rsidP="00F96EDD">
      <w:pPr>
        <w:jc w:val="both"/>
        <w:rPr>
          <w:rFonts w:ascii="Arial" w:hAnsi="Arial" w:cs="Arial"/>
          <w:color w:val="000000" w:themeColor="text1"/>
        </w:rPr>
      </w:pPr>
      <w:r w:rsidRPr="003F51A0">
        <w:rPr>
          <w:rFonts w:ascii="Arial" w:hAnsi="Arial" w:cs="Arial"/>
          <w:color w:val="000000" w:themeColor="text1"/>
        </w:rPr>
        <w:t xml:space="preserve">In the year 1993, built up land covered an area 1203.88 hectares and shared only 3.34 % of the study area. Area under barren land was 292.43 (0.81%), mixed crops were 25695.95 ha (71.21%), paddy wetlands were 6742.56 ha (18.69%) and wetlands other than paddy wetlands were 2148.78 ha (5.96 %).  In the year 2003, area under built up, barren land, mixed crops , paddy wetlands and wetlands other than paddy wetlands was 3997.71 ha (11.07 %), 222.01 ha (0.62 %), 23089.89ha (63.99%), 6612.99ha (18.33%) and 2166.00 ha (6.00 %) respectively. In the year 2013, area under built up was 5535.61ha (15.34%) and barren land was 225.26ha (0.62%). Mixed crops covered 62.02 % of study area with an area of 22379.47hectares, whereas paddy wetlands and wetlands other than paddy wetlands covered an area of 5832.18ha (16.16%) and 2111.08ha (5.85%) respectively. In the year 2023 built up area encompassed 35.75 % of study area with an area of </w:t>
      </w:r>
      <w:r w:rsidRPr="003F51A0">
        <w:rPr>
          <w:rFonts w:ascii="Arial" w:hAnsi="Arial" w:cs="Arial"/>
          <w:color w:val="000000"/>
        </w:rPr>
        <w:t xml:space="preserve">12901.61 </w:t>
      </w:r>
      <w:r w:rsidRPr="003F51A0">
        <w:rPr>
          <w:rFonts w:ascii="Arial" w:hAnsi="Arial" w:cs="Arial"/>
          <w:color w:val="000000" w:themeColor="text1"/>
        </w:rPr>
        <w:t xml:space="preserve">hectares. Area under mixed crops was 15317.96 (42.45%). Barren land occupied only 0.21 % of the study area with an area of 76.46 hectares. 15.77 % of the study area was occupied by paddy wetlands with an area of </w:t>
      </w:r>
      <w:r w:rsidRPr="003F51A0">
        <w:rPr>
          <w:rFonts w:ascii="Arial" w:hAnsi="Arial" w:cs="Arial"/>
          <w:color w:val="000000"/>
        </w:rPr>
        <w:t xml:space="preserve">5691.76 </w:t>
      </w:r>
      <w:r w:rsidRPr="003F51A0">
        <w:rPr>
          <w:rFonts w:ascii="Arial" w:hAnsi="Arial" w:cs="Arial"/>
          <w:color w:val="000000" w:themeColor="text1"/>
        </w:rPr>
        <w:t xml:space="preserve">hectares. Wetlands other than paddy wetlands covered an area of </w:t>
      </w:r>
      <w:r w:rsidRPr="003F51A0">
        <w:rPr>
          <w:rFonts w:ascii="Arial" w:hAnsi="Arial" w:cs="Arial"/>
          <w:color w:val="000000"/>
        </w:rPr>
        <w:t xml:space="preserve">2095.81 </w:t>
      </w:r>
      <w:r w:rsidRPr="003F51A0">
        <w:rPr>
          <w:rFonts w:ascii="Arial" w:hAnsi="Arial" w:cs="Arial"/>
          <w:color w:val="000000" w:themeColor="text1"/>
        </w:rPr>
        <w:t xml:space="preserve">hectares, which is about 5.81% of the total area.  Table </w:t>
      </w:r>
      <w:r w:rsidR="00F96EDD">
        <w:rPr>
          <w:rFonts w:ascii="Arial" w:hAnsi="Arial" w:cs="Arial"/>
          <w:color w:val="000000" w:themeColor="text1"/>
        </w:rPr>
        <w:t xml:space="preserve">2 </w:t>
      </w:r>
      <w:r w:rsidRPr="003F51A0">
        <w:rPr>
          <w:rFonts w:ascii="Arial" w:hAnsi="Arial" w:cs="Arial"/>
          <w:color w:val="000000" w:themeColor="text1"/>
        </w:rPr>
        <w:t>shows area under different LULC class for the year 1993, 2003, 2013 and 2023.</w:t>
      </w:r>
    </w:p>
    <w:p w:rsidR="00653F47" w:rsidRPr="003F51A0" w:rsidRDefault="00653F47" w:rsidP="003D5CEC">
      <w:pPr>
        <w:pStyle w:val="Head1"/>
        <w:spacing w:after="0"/>
        <w:jc w:val="both"/>
        <w:rPr>
          <w:rFonts w:ascii="Arial" w:hAnsi="Arial" w:cs="Arial"/>
          <w:sz w:val="20"/>
        </w:rPr>
      </w:pPr>
    </w:p>
    <w:p w:rsidR="00653F47" w:rsidRPr="003F51A0" w:rsidRDefault="00653F47" w:rsidP="003D5CEC">
      <w:pPr>
        <w:pStyle w:val="Head1"/>
        <w:spacing w:after="0"/>
        <w:jc w:val="both"/>
        <w:rPr>
          <w:rFonts w:ascii="Arial" w:hAnsi="Arial" w:cs="Arial"/>
          <w:sz w:val="20"/>
        </w:rPr>
      </w:pPr>
    </w:p>
    <w:p w:rsidR="00653F47" w:rsidRPr="003F51A0" w:rsidRDefault="00653F47" w:rsidP="00C60453">
      <w:pPr>
        <w:jc w:val="center"/>
        <w:rPr>
          <w:rFonts w:ascii="Arial" w:hAnsi="Arial" w:cs="Arial"/>
          <w:b/>
          <w:color w:val="000000" w:themeColor="text1"/>
        </w:rPr>
      </w:pPr>
      <w:r w:rsidRPr="003F51A0">
        <w:rPr>
          <w:rFonts w:ascii="Arial" w:hAnsi="Arial" w:cs="Arial"/>
          <w:b/>
          <w:color w:val="000000" w:themeColor="text1"/>
        </w:rPr>
        <w:t xml:space="preserve">Table </w:t>
      </w:r>
      <w:r w:rsidR="000C49E0">
        <w:rPr>
          <w:rFonts w:ascii="Arial" w:hAnsi="Arial" w:cs="Arial"/>
          <w:b/>
          <w:color w:val="000000" w:themeColor="text1"/>
        </w:rPr>
        <w:t>2.</w:t>
      </w:r>
      <w:r w:rsidRPr="003F51A0">
        <w:rPr>
          <w:rFonts w:ascii="Arial" w:hAnsi="Arial" w:cs="Arial"/>
          <w:b/>
          <w:color w:val="000000" w:themeColor="text1"/>
        </w:rPr>
        <w:t xml:space="preserve"> LULC of Kozhikode City and its suburbs 1993-2023</w:t>
      </w:r>
    </w:p>
    <w:tbl>
      <w:tblPr>
        <w:tblW w:w="9577" w:type="dxa"/>
        <w:jc w:val="center"/>
        <w:tblLook w:val="04A0" w:firstRow="1" w:lastRow="0" w:firstColumn="1" w:lastColumn="0" w:noHBand="0" w:noVBand="1"/>
      </w:tblPr>
      <w:tblGrid>
        <w:gridCol w:w="1609"/>
        <w:gridCol w:w="1116"/>
        <w:gridCol w:w="876"/>
        <w:gridCol w:w="1116"/>
        <w:gridCol w:w="876"/>
        <w:gridCol w:w="1116"/>
        <w:gridCol w:w="876"/>
        <w:gridCol w:w="1116"/>
        <w:gridCol w:w="876"/>
      </w:tblGrid>
      <w:tr w:rsidR="00653F47" w:rsidRPr="00C60453" w:rsidTr="00C60453">
        <w:trPr>
          <w:trHeight w:val="263"/>
          <w:jc w:val="center"/>
        </w:trPr>
        <w:tc>
          <w:tcPr>
            <w:tcW w:w="1609" w:type="dxa"/>
            <w:vMerge w:val="restart"/>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LULC CLASS</w:t>
            </w:r>
          </w:p>
        </w:tc>
        <w:tc>
          <w:tcPr>
            <w:tcW w:w="1992" w:type="dxa"/>
            <w:gridSpan w:val="2"/>
            <w:tcBorders>
              <w:top w:val="single" w:sz="4" w:space="0" w:color="auto"/>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1993</w:t>
            </w:r>
          </w:p>
        </w:tc>
        <w:tc>
          <w:tcPr>
            <w:tcW w:w="1992" w:type="dxa"/>
            <w:gridSpan w:val="2"/>
            <w:tcBorders>
              <w:top w:val="single" w:sz="4" w:space="0" w:color="auto"/>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2003</w:t>
            </w:r>
          </w:p>
        </w:tc>
        <w:tc>
          <w:tcPr>
            <w:tcW w:w="1992" w:type="dxa"/>
            <w:gridSpan w:val="2"/>
            <w:tcBorders>
              <w:top w:val="single" w:sz="4" w:space="0" w:color="auto"/>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2013</w:t>
            </w:r>
          </w:p>
        </w:tc>
        <w:tc>
          <w:tcPr>
            <w:tcW w:w="1992" w:type="dxa"/>
            <w:gridSpan w:val="2"/>
            <w:tcBorders>
              <w:top w:val="single" w:sz="4" w:space="0" w:color="auto"/>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2023</w:t>
            </w:r>
          </w:p>
        </w:tc>
      </w:tr>
      <w:tr w:rsidR="00653F47" w:rsidRPr="00C60453" w:rsidTr="00C60453">
        <w:trPr>
          <w:trHeight w:val="276"/>
          <w:jc w:val="center"/>
        </w:trPr>
        <w:tc>
          <w:tcPr>
            <w:tcW w:w="1609"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1116" w:type="dxa"/>
            <w:vMerge w:val="restart"/>
            <w:tcBorders>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Area (Ha)</w:t>
            </w:r>
          </w:p>
        </w:tc>
        <w:tc>
          <w:tcPr>
            <w:tcW w:w="876" w:type="dxa"/>
            <w:vMerge w:val="restart"/>
            <w:tcBorders>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Area (%)</w:t>
            </w:r>
          </w:p>
        </w:tc>
        <w:tc>
          <w:tcPr>
            <w:tcW w:w="1116" w:type="dxa"/>
            <w:vMerge w:val="restart"/>
            <w:tcBorders>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Area (Ha)</w:t>
            </w:r>
          </w:p>
        </w:tc>
        <w:tc>
          <w:tcPr>
            <w:tcW w:w="876" w:type="dxa"/>
            <w:vMerge w:val="restart"/>
            <w:tcBorders>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Area (%)</w:t>
            </w:r>
          </w:p>
        </w:tc>
        <w:tc>
          <w:tcPr>
            <w:tcW w:w="1116" w:type="dxa"/>
            <w:vMerge w:val="restart"/>
            <w:tcBorders>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Area (Ha)</w:t>
            </w:r>
          </w:p>
        </w:tc>
        <w:tc>
          <w:tcPr>
            <w:tcW w:w="876" w:type="dxa"/>
            <w:vMerge w:val="restart"/>
            <w:tcBorders>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Area (%)</w:t>
            </w:r>
          </w:p>
        </w:tc>
        <w:tc>
          <w:tcPr>
            <w:tcW w:w="1116" w:type="dxa"/>
            <w:vMerge w:val="restart"/>
            <w:tcBorders>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Area (Ha)</w:t>
            </w:r>
          </w:p>
        </w:tc>
        <w:tc>
          <w:tcPr>
            <w:tcW w:w="876" w:type="dxa"/>
            <w:vMerge w:val="restart"/>
            <w:tcBorders>
              <w:bottom w:val="single" w:sz="4" w:space="0" w:color="auto"/>
            </w:tcBorders>
            <w:shd w:val="clear" w:color="auto" w:fill="auto"/>
            <w:noWrap/>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Area (%)</w:t>
            </w:r>
          </w:p>
        </w:tc>
      </w:tr>
      <w:tr w:rsidR="00653F47" w:rsidRPr="00C60453" w:rsidTr="00C60453">
        <w:trPr>
          <w:trHeight w:val="276"/>
          <w:jc w:val="center"/>
        </w:trPr>
        <w:tc>
          <w:tcPr>
            <w:tcW w:w="1609"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1116"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876"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1116"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876"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1116"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876"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1116"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c>
          <w:tcPr>
            <w:tcW w:w="876" w:type="dxa"/>
            <w:vMerge/>
            <w:tcBorders>
              <w:bottom w:val="single" w:sz="4" w:space="0" w:color="auto"/>
            </w:tcBorders>
            <w:vAlign w:val="center"/>
            <w:hideMark/>
          </w:tcPr>
          <w:p w:rsidR="00653F47" w:rsidRPr="00C60453" w:rsidRDefault="00653F47" w:rsidP="003D5CEC">
            <w:pPr>
              <w:jc w:val="both"/>
              <w:rPr>
                <w:rFonts w:ascii="Arial" w:hAnsi="Arial" w:cs="Arial"/>
                <w:bCs/>
                <w:color w:val="000000" w:themeColor="text1"/>
              </w:rPr>
            </w:pPr>
          </w:p>
        </w:tc>
      </w:tr>
      <w:tr w:rsidR="00653F47" w:rsidRPr="00C60453" w:rsidTr="00C60453">
        <w:trPr>
          <w:trHeight w:val="263"/>
          <w:jc w:val="center"/>
        </w:trPr>
        <w:tc>
          <w:tcPr>
            <w:tcW w:w="1609"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Built up land</w:t>
            </w:r>
          </w:p>
        </w:tc>
        <w:tc>
          <w:tcPr>
            <w:tcW w:w="1116"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1203.88</w:t>
            </w:r>
          </w:p>
        </w:tc>
        <w:tc>
          <w:tcPr>
            <w:tcW w:w="876"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3.34</w:t>
            </w:r>
          </w:p>
        </w:tc>
        <w:tc>
          <w:tcPr>
            <w:tcW w:w="1116"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3992.71</w:t>
            </w:r>
          </w:p>
        </w:tc>
        <w:tc>
          <w:tcPr>
            <w:tcW w:w="876"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11.07</w:t>
            </w:r>
          </w:p>
        </w:tc>
        <w:tc>
          <w:tcPr>
            <w:tcW w:w="1116"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5535.61</w:t>
            </w:r>
          </w:p>
        </w:tc>
        <w:tc>
          <w:tcPr>
            <w:tcW w:w="876"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15.34</w:t>
            </w:r>
          </w:p>
        </w:tc>
        <w:tc>
          <w:tcPr>
            <w:tcW w:w="1116"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12901.61</w:t>
            </w:r>
          </w:p>
        </w:tc>
        <w:tc>
          <w:tcPr>
            <w:tcW w:w="876" w:type="dxa"/>
            <w:tcBorders>
              <w:top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35.75</w:t>
            </w:r>
          </w:p>
        </w:tc>
      </w:tr>
      <w:tr w:rsidR="00653F47" w:rsidRPr="00C60453" w:rsidTr="00C60453">
        <w:trPr>
          <w:trHeight w:val="263"/>
          <w:jc w:val="center"/>
        </w:trPr>
        <w:tc>
          <w:tcPr>
            <w:tcW w:w="1609" w:type="dxa"/>
            <w:shd w:val="clear" w:color="auto" w:fill="auto"/>
            <w:noWrap/>
            <w:vAlign w:val="bottom"/>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Barren land</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292.43</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0.81</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222.01</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0.62</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225.26</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0.62</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76.46</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0.21</w:t>
            </w:r>
          </w:p>
        </w:tc>
      </w:tr>
      <w:tr w:rsidR="00653F47" w:rsidRPr="00C60453" w:rsidTr="00C60453">
        <w:trPr>
          <w:trHeight w:val="275"/>
          <w:jc w:val="center"/>
        </w:trPr>
        <w:tc>
          <w:tcPr>
            <w:tcW w:w="1609" w:type="dxa"/>
            <w:shd w:val="clear" w:color="auto" w:fill="auto"/>
            <w:noWrap/>
            <w:vAlign w:val="bottom"/>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Mixed crops</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25695.95</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71.21</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23089.89</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63.99</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22379.47</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62.02</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15317.96</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42.45</w:t>
            </w:r>
          </w:p>
        </w:tc>
      </w:tr>
      <w:tr w:rsidR="00653F47" w:rsidRPr="00C60453" w:rsidTr="00C60453">
        <w:trPr>
          <w:trHeight w:val="275"/>
          <w:jc w:val="center"/>
        </w:trPr>
        <w:tc>
          <w:tcPr>
            <w:tcW w:w="1609" w:type="dxa"/>
            <w:shd w:val="clear" w:color="auto" w:fill="auto"/>
            <w:noWrap/>
            <w:vAlign w:val="bottom"/>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Paddy wetland</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6742.56</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18.69</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6612.99</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18.33</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5832.18</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16.16</w:t>
            </w:r>
          </w:p>
        </w:tc>
        <w:tc>
          <w:tcPr>
            <w:tcW w:w="111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5691.76</w:t>
            </w:r>
          </w:p>
        </w:tc>
        <w:tc>
          <w:tcPr>
            <w:tcW w:w="876" w:type="dxa"/>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15.77</w:t>
            </w:r>
          </w:p>
        </w:tc>
      </w:tr>
      <w:tr w:rsidR="00653F47" w:rsidRPr="00C60453" w:rsidTr="00C60453">
        <w:trPr>
          <w:trHeight w:val="275"/>
          <w:jc w:val="center"/>
        </w:trPr>
        <w:tc>
          <w:tcPr>
            <w:tcW w:w="1609"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lastRenderedPageBreak/>
              <w:t>Wetlands other than paddy wetland</w:t>
            </w:r>
          </w:p>
        </w:tc>
        <w:tc>
          <w:tcPr>
            <w:tcW w:w="1116"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2148.78</w:t>
            </w:r>
          </w:p>
        </w:tc>
        <w:tc>
          <w:tcPr>
            <w:tcW w:w="876"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5.96</w:t>
            </w:r>
          </w:p>
        </w:tc>
        <w:tc>
          <w:tcPr>
            <w:tcW w:w="1116"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2166.00</w:t>
            </w:r>
          </w:p>
        </w:tc>
        <w:tc>
          <w:tcPr>
            <w:tcW w:w="876"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6.00</w:t>
            </w:r>
          </w:p>
        </w:tc>
        <w:tc>
          <w:tcPr>
            <w:tcW w:w="1116"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2111.08</w:t>
            </w:r>
          </w:p>
        </w:tc>
        <w:tc>
          <w:tcPr>
            <w:tcW w:w="876"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5.85</w:t>
            </w:r>
          </w:p>
        </w:tc>
        <w:tc>
          <w:tcPr>
            <w:tcW w:w="1116"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2095.81</w:t>
            </w:r>
          </w:p>
        </w:tc>
        <w:tc>
          <w:tcPr>
            <w:tcW w:w="876" w:type="dxa"/>
            <w:tcBorders>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5.81</w:t>
            </w:r>
          </w:p>
        </w:tc>
      </w:tr>
      <w:tr w:rsidR="00653F47" w:rsidRPr="00C60453" w:rsidTr="00C60453">
        <w:trPr>
          <w:trHeight w:val="263"/>
          <w:jc w:val="center"/>
        </w:trPr>
        <w:tc>
          <w:tcPr>
            <w:tcW w:w="1609"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themeColor="text1"/>
              </w:rPr>
            </w:pPr>
            <w:r w:rsidRPr="00C60453">
              <w:rPr>
                <w:rFonts w:ascii="Arial" w:hAnsi="Arial" w:cs="Arial"/>
                <w:bCs/>
                <w:color w:val="000000" w:themeColor="text1"/>
              </w:rPr>
              <w:t>Total</w:t>
            </w:r>
          </w:p>
        </w:tc>
        <w:tc>
          <w:tcPr>
            <w:tcW w:w="1116"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rPr>
            </w:pPr>
            <w:r w:rsidRPr="00C60453">
              <w:rPr>
                <w:rFonts w:ascii="Arial" w:hAnsi="Arial" w:cs="Arial"/>
                <w:bCs/>
                <w:color w:val="000000"/>
              </w:rPr>
              <w:t>36083.60</w:t>
            </w:r>
          </w:p>
        </w:tc>
        <w:tc>
          <w:tcPr>
            <w:tcW w:w="876"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color w:val="000000"/>
              </w:rPr>
            </w:pPr>
            <w:r w:rsidRPr="00C60453">
              <w:rPr>
                <w:rFonts w:ascii="Arial" w:hAnsi="Arial" w:cs="Arial"/>
                <w:color w:val="000000"/>
              </w:rPr>
              <w:t>100.00</w:t>
            </w:r>
          </w:p>
        </w:tc>
        <w:tc>
          <w:tcPr>
            <w:tcW w:w="1116"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rPr>
            </w:pPr>
            <w:r w:rsidRPr="00C60453">
              <w:rPr>
                <w:rFonts w:ascii="Arial" w:hAnsi="Arial" w:cs="Arial"/>
                <w:bCs/>
                <w:color w:val="000000"/>
              </w:rPr>
              <w:t>36083.60</w:t>
            </w:r>
          </w:p>
        </w:tc>
        <w:tc>
          <w:tcPr>
            <w:tcW w:w="876"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rPr>
            </w:pPr>
            <w:r w:rsidRPr="00C60453">
              <w:rPr>
                <w:rFonts w:ascii="Arial" w:hAnsi="Arial" w:cs="Arial"/>
                <w:bCs/>
                <w:color w:val="000000"/>
              </w:rPr>
              <w:t>100.00</w:t>
            </w:r>
          </w:p>
        </w:tc>
        <w:tc>
          <w:tcPr>
            <w:tcW w:w="1116"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rPr>
            </w:pPr>
            <w:r w:rsidRPr="00C60453">
              <w:rPr>
                <w:rFonts w:ascii="Arial" w:hAnsi="Arial" w:cs="Arial"/>
                <w:bCs/>
                <w:color w:val="000000"/>
              </w:rPr>
              <w:t>36083.60</w:t>
            </w:r>
          </w:p>
        </w:tc>
        <w:tc>
          <w:tcPr>
            <w:tcW w:w="876"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rPr>
            </w:pPr>
            <w:r w:rsidRPr="00C60453">
              <w:rPr>
                <w:rFonts w:ascii="Arial" w:hAnsi="Arial" w:cs="Arial"/>
                <w:bCs/>
                <w:color w:val="000000"/>
              </w:rPr>
              <w:t>100.00</w:t>
            </w:r>
          </w:p>
        </w:tc>
        <w:tc>
          <w:tcPr>
            <w:tcW w:w="1116"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rPr>
            </w:pPr>
            <w:r w:rsidRPr="00C60453">
              <w:rPr>
                <w:rFonts w:ascii="Arial" w:hAnsi="Arial" w:cs="Arial"/>
                <w:bCs/>
                <w:color w:val="000000"/>
              </w:rPr>
              <w:t>36083.60</w:t>
            </w:r>
          </w:p>
        </w:tc>
        <w:tc>
          <w:tcPr>
            <w:tcW w:w="876" w:type="dxa"/>
            <w:tcBorders>
              <w:top w:val="single" w:sz="4" w:space="0" w:color="auto"/>
              <w:bottom w:val="single" w:sz="4" w:space="0" w:color="auto"/>
            </w:tcBorders>
            <w:shd w:val="clear" w:color="auto" w:fill="auto"/>
            <w:noWrap/>
            <w:vAlign w:val="bottom"/>
            <w:hideMark/>
          </w:tcPr>
          <w:p w:rsidR="00653F47" w:rsidRPr="00C60453" w:rsidRDefault="00653F47" w:rsidP="003D5CEC">
            <w:pPr>
              <w:jc w:val="both"/>
              <w:rPr>
                <w:rFonts w:ascii="Arial" w:hAnsi="Arial" w:cs="Arial"/>
                <w:bCs/>
                <w:color w:val="000000"/>
              </w:rPr>
            </w:pPr>
            <w:r w:rsidRPr="00C60453">
              <w:rPr>
                <w:rFonts w:ascii="Arial" w:hAnsi="Arial" w:cs="Arial"/>
                <w:bCs/>
                <w:color w:val="000000"/>
              </w:rPr>
              <w:t>100</w:t>
            </w:r>
          </w:p>
        </w:tc>
      </w:tr>
    </w:tbl>
    <w:p w:rsidR="00653F47" w:rsidRPr="00C60453" w:rsidRDefault="00653F47" w:rsidP="003D5CEC">
      <w:pPr>
        <w:jc w:val="both"/>
        <w:rPr>
          <w:rFonts w:ascii="Arial" w:hAnsi="Arial" w:cs="Arial"/>
          <w:sz w:val="18"/>
          <w:szCs w:val="18"/>
        </w:rPr>
      </w:pPr>
      <w:r w:rsidRPr="003F51A0">
        <w:rPr>
          <w:rFonts w:ascii="Arial" w:hAnsi="Arial" w:cs="Arial"/>
        </w:rPr>
        <w:t xml:space="preserve">           </w:t>
      </w:r>
      <w:r w:rsidRPr="00C60453">
        <w:rPr>
          <w:rFonts w:ascii="Arial" w:hAnsi="Arial" w:cs="Arial"/>
          <w:sz w:val="18"/>
          <w:szCs w:val="18"/>
        </w:rPr>
        <w:t>Source: Compiled by Researcher</w:t>
      </w:r>
    </w:p>
    <w:p w:rsidR="003F51A0" w:rsidRDefault="003F51A0" w:rsidP="003D5CEC">
      <w:pPr>
        <w:jc w:val="both"/>
        <w:rPr>
          <w:rFonts w:ascii="Arial" w:hAnsi="Arial" w:cs="Arial"/>
          <w:sz w:val="22"/>
          <w:szCs w:val="22"/>
        </w:rPr>
      </w:pPr>
    </w:p>
    <w:p w:rsidR="003F51A0" w:rsidRDefault="003F51A0" w:rsidP="003F51A0">
      <w:pPr>
        <w:jc w:val="center"/>
        <w:rPr>
          <w:rFonts w:ascii="Arial" w:hAnsi="Arial" w:cs="Arial"/>
          <w:sz w:val="22"/>
          <w:szCs w:val="22"/>
        </w:rPr>
      </w:pPr>
      <w:r>
        <w:rPr>
          <w:rFonts w:ascii="Arial" w:hAnsi="Arial" w:cs="Arial"/>
          <w:noProof/>
          <w:sz w:val="22"/>
          <w:szCs w:val="22"/>
        </w:rPr>
        <w:drawing>
          <wp:inline distT="0" distB="0" distL="0" distR="0">
            <wp:extent cx="6087380" cy="4703885"/>
            <wp:effectExtent l="19050" t="0" r="8620" b="0"/>
            <wp:docPr id="6" name="Picture 6" descr="E:\PhD\chapters\chapter 4_lulc\LULC_without_mavoor_sumin final_12.04.25\full map_LULC_Asian Journal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chapters\chapter 4_lulc\LULC_without_mavoor_sumin final_12.04.25\full map_LULC_Asian Journal Paper.jpg"/>
                    <pic:cNvPicPr>
                      <a:picLocks noChangeAspect="1" noChangeArrowheads="1"/>
                    </pic:cNvPicPr>
                  </pic:nvPicPr>
                  <pic:blipFill>
                    <a:blip r:embed="rId15"/>
                    <a:srcRect/>
                    <a:stretch>
                      <a:fillRect/>
                    </a:stretch>
                  </pic:blipFill>
                  <pic:spPr bwMode="auto">
                    <a:xfrm>
                      <a:off x="0" y="0"/>
                      <a:ext cx="6088681" cy="4704890"/>
                    </a:xfrm>
                    <a:prstGeom prst="rect">
                      <a:avLst/>
                    </a:prstGeom>
                    <a:noFill/>
                    <a:ln w="9525">
                      <a:noFill/>
                      <a:miter lim="800000"/>
                      <a:headEnd/>
                      <a:tailEnd/>
                    </a:ln>
                  </pic:spPr>
                </pic:pic>
              </a:graphicData>
            </a:graphic>
          </wp:inline>
        </w:drawing>
      </w:r>
    </w:p>
    <w:p w:rsidR="002375C9" w:rsidRPr="00996369" w:rsidRDefault="00F96EDD" w:rsidP="000C49E0">
      <w:pPr>
        <w:jc w:val="center"/>
        <w:rPr>
          <w:rFonts w:ascii="Arial" w:hAnsi="Arial" w:cs="Arial"/>
          <w:sz w:val="18"/>
          <w:szCs w:val="18"/>
        </w:rPr>
      </w:pPr>
      <w:r w:rsidRPr="00996369">
        <w:rPr>
          <w:rFonts w:ascii="Arial" w:hAnsi="Arial" w:cs="Arial"/>
          <w:noProof/>
          <w:sz w:val="18"/>
          <w:szCs w:val="18"/>
        </w:rPr>
        <w:t>Figure 2</w:t>
      </w:r>
      <w:r w:rsidR="00996369">
        <w:rPr>
          <w:rFonts w:ascii="Arial" w:hAnsi="Arial" w:cs="Arial"/>
          <w:noProof/>
          <w:sz w:val="18"/>
          <w:szCs w:val="18"/>
        </w:rPr>
        <w:t>.</w:t>
      </w:r>
      <w:r w:rsidRPr="00996369">
        <w:rPr>
          <w:rFonts w:ascii="Arial" w:hAnsi="Arial" w:cs="Arial"/>
          <w:noProof/>
          <w:sz w:val="18"/>
          <w:szCs w:val="18"/>
        </w:rPr>
        <w:t xml:space="preserve"> Land use Land cover in Kozhikode City and suburbs</w:t>
      </w:r>
    </w:p>
    <w:p w:rsidR="00F96EDD" w:rsidRDefault="00F96EDD" w:rsidP="00F96EDD">
      <w:pPr>
        <w:jc w:val="both"/>
        <w:rPr>
          <w:rFonts w:ascii="Arial" w:hAnsi="Arial" w:cs="Arial"/>
        </w:rPr>
      </w:pPr>
    </w:p>
    <w:p w:rsidR="002375C9" w:rsidRPr="00BF465C" w:rsidRDefault="002375C9" w:rsidP="00F96EDD">
      <w:pPr>
        <w:jc w:val="both"/>
        <w:rPr>
          <w:rFonts w:ascii="Arial" w:hAnsi="Arial" w:cs="Arial"/>
        </w:rPr>
      </w:pPr>
      <w:r w:rsidRPr="00BF465C">
        <w:rPr>
          <w:rFonts w:ascii="Arial" w:hAnsi="Arial" w:cs="Arial"/>
        </w:rPr>
        <w:t>The overall accuracy</w:t>
      </w:r>
      <w:r w:rsidR="00BF465C" w:rsidRPr="00BF465C">
        <w:rPr>
          <w:rFonts w:ascii="Arial" w:hAnsi="Arial" w:cs="Arial"/>
        </w:rPr>
        <w:t xml:space="preserve"> of LULC classification</w:t>
      </w:r>
      <w:r w:rsidRPr="00BF465C">
        <w:rPr>
          <w:rFonts w:ascii="Arial" w:hAnsi="Arial" w:cs="Arial"/>
        </w:rPr>
        <w:t xml:space="preserve"> was found to be 96.67% and the Kappa Co-efficient was 0.94 which indicates that the accuracy of LULC assessment is acceptable. The accuracy assessment was carried out by taking 210 sample points randomly. 52 samples for built up; 44 samples for mixed crops; 41 samples for barren land; 43 samples for paddy wetlands and 30 for wetlands other than paddy wetlands were taken. The researcher has visited all the selected sample area for ground truthing. The ground truth was verified using Google Earth, S</w:t>
      </w:r>
      <w:r w:rsidR="00C60453">
        <w:rPr>
          <w:rFonts w:ascii="Arial" w:hAnsi="Arial" w:cs="Arial"/>
        </w:rPr>
        <w:t xml:space="preserve">urvey of </w:t>
      </w:r>
      <w:r w:rsidRPr="00BF465C">
        <w:rPr>
          <w:rFonts w:ascii="Arial" w:hAnsi="Arial" w:cs="Arial"/>
        </w:rPr>
        <w:t>I</w:t>
      </w:r>
      <w:r w:rsidR="00C60453">
        <w:rPr>
          <w:rFonts w:ascii="Arial" w:hAnsi="Arial" w:cs="Arial"/>
        </w:rPr>
        <w:t>ndia</w:t>
      </w:r>
      <w:r w:rsidRPr="00BF465C">
        <w:rPr>
          <w:rFonts w:ascii="Arial" w:hAnsi="Arial" w:cs="Arial"/>
        </w:rPr>
        <w:t xml:space="preserve"> Toposheet and field survey. Satellite images of 1993, 2003 and 2013 were mostly verified using Google Earth and </w:t>
      </w:r>
      <w:r w:rsidR="00C60453" w:rsidRPr="00BF465C">
        <w:rPr>
          <w:rFonts w:ascii="Arial" w:hAnsi="Arial" w:cs="Arial"/>
        </w:rPr>
        <w:t>S</w:t>
      </w:r>
      <w:r w:rsidR="00C60453">
        <w:rPr>
          <w:rFonts w:ascii="Arial" w:hAnsi="Arial" w:cs="Arial"/>
        </w:rPr>
        <w:t xml:space="preserve">urvey of </w:t>
      </w:r>
      <w:r w:rsidR="00C60453" w:rsidRPr="00BF465C">
        <w:rPr>
          <w:rFonts w:ascii="Arial" w:hAnsi="Arial" w:cs="Arial"/>
        </w:rPr>
        <w:t>I</w:t>
      </w:r>
      <w:r w:rsidR="00C60453">
        <w:rPr>
          <w:rFonts w:ascii="Arial" w:hAnsi="Arial" w:cs="Arial"/>
        </w:rPr>
        <w:t>ndia</w:t>
      </w:r>
      <w:r w:rsidR="00C60453" w:rsidRPr="00BF465C">
        <w:rPr>
          <w:rFonts w:ascii="Arial" w:hAnsi="Arial" w:cs="Arial"/>
        </w:rPr>
        <w:t xml:space="preserve"> Toposheet</w:t>
      </w:r>
      <w:r w:rsidRPr="00BF465C">
        <w:rPr>
          <w:rFonts w:ascii="Arial" w:hAnsi="Arial" w:cs="Arial"/>
        </w:rPr>
        <w:t xml:space="preserve">. Classified image for the year 2023 is validated with field verification. Sample points of latitude and longitude transferred to hand held GPS for field verification.  Then, the Error Matrix and Kappa Co-efficient were generated for assessing the accuracy of classified images with ground verification. The error matrix or confusion matrix signifies the classified and actual result in table format. Classified LU/LC is placed in rows and ground verified samples are placed in columns. Cohen’s Kappa Coefficient is also widely accepted method for the classified LU/LC accuracy assessment by many researchers (Sanjoy Roy et al., 2015 and </w:t>
      </w:r>
      <w:r w:rsidRPr="00BF465C">
        <w:rPr>
          <w:rFonts w:ascii="Arial" w:hAnsi="Arial" w:cs="Arial"/>
          <w:bCs/>
        </w:rPr>
        <w:t>Arumugam et al, 2021)</w:t>
      </w:r>
      <w:r w:rsidRPr="00BF465C">
        <w:rPr>
          <w:rFonts w:ascii="Arial" w:hAnsi="Arial" w:cs="Arial"/>
        </w:rPr>
        <w:t xml:space="preserve">. Kappa Co-efficient computes degree of agreement between two variables that measure the same land use. The result is less than or equal to one with the values near to one represents the perfect agreement and near to zero represents the worst agreement.  Error matrix of LULC accuracy assessment is given in table </w:t>
      </w:r>
      <w:r w:rsidR="00F96EDD">
        <w:rPr>
          <w:rFonts w:ascii="Arial" w:hAnsi="Arial" w:cs="Arial"/>
        </w:rPr>
        <w:t>3</w:t>
      </w:r>
      <w:r w:rsidR="00E560A7" w:rsidRPr="00BF465C">
        <w:rPr>
          <w:rFonts w:ascii="Arial" w:hAnsi="Arial" w:cs="Arial"/>
        </w:rPr>
        <w:t>.</w:t>
      </w:r>
      <w:r w:rsidRPr="00BF465C">
        <w:rPr>
          <w:rFonts w:ascii="Arial" w:hAnsi="Arial" w:cs="Arial"/>
        </w:rPr>
        <w:t xml:space="preserve"> </w:t>
      </w:r>
    </w:p>
    <w:p w:rsidR="00F96EDD" w:rsidRDefault="00F96EDD" w:rsidP="002375C9">
      <w:pPr>
        <w:jc w:val="center"/>
        <w:rPr>
          <w:rFonts w:ascii="Arial" w:hAnsi="Arial" w:cs="Arial"/>
          <w:b/>
          <w:color w:val="000000" w:themeColor="text1"/>
        </w:rPr>
      </w:pPr>
    </w:p>
    <w:p w:rsidR="00F96EDD" w:rsidRDefault="00F96EDD" w:rsidP="002375C9">
      <w:pPr>
        <w:jc w:val="center"/>
        <w:rPr>
          <w:rFonts w:ascii="Arial" w:hAnsi="Arial" w:cs="Arial"/>
          <w:b/>
          <w:color w:val="000000" w:themeColor="text1"/>
        </w:rPr>
      </w:pPr>
    </w:p>
    <w:p w:rsidR="00F96EDD" w:rsidRDefault="00F96EDD" w:rsidP="002375C9">
      <w:pPr>
        <w:jc w:val="center"/>
        <w:rPr>
          <w:rFonts w:ascii="Arial" w:hAnsi="Arial" w:cs="Arial"/>
          <w:b/>
          <w:color w:val="000000" w:themeColor="text1"/>
        </w:rPr>
      </w:pPr>
    </w:p>
    <w:p w:rsidR="00F96EDD" w:rsidRDefault="00F96EDD" w:rsidP="002375C9">
      <w:pPr>
        <w:jc w:val="center"/>
        <w:rPr>
          <w:rFonts w:ascii="Arial" w:hAnsi="Arial" w:cs="Arial"/>
          <w:b/>
          <w:color w:val="000000" w:themeColor="text1"/>
        </w:rPr>
      </w:pPr>
    </w:p>
    <w:p w:rsidR="00F96EDD" w:rsidRDefault="00F96EDD" w:rsidP="002375C9">
      <w:pPr>
        <w:jc w:val="center"/>
        <w:rPr>
          <w:rFonts w:ascii="Arial" w:hAnsi="Arial" w:cs="Arial"/>
          <w:b/>
          <w:color w:val="000000" w:themeColor="text1"/>
        </w:rPr>
      </w:pPr>
    </w:p>
    <w:p w:rsidR="002375C9" w:rsidRPr="00BF465C" w:rsidRDefault="002375C9" w:rsidP="002375C9">
      <w:pPr>
        <w:jc w:val="center"/>
        <w:rPr>
          <w:rFonts w:ascii="Arial" w:hAnsi="Arial" w:cs="Arial"/>
          <w:b/>
          <w:color w:val="000000" w:themeColor="text1"/>
        </w:rPr>
      </w:pPr>
      <w:r w:rsidRPr="00BF465C">
        <w:rPr>
          <w:rFonts w:ascii="Arial" w:hAnsi="Arial" w:cs="Arial"/>
          <w:b/>
          <w:color w:val="000000" w:themeColor="text1"/>
        </w:rPr>
        <w:lastRenderedPageBreak/>
        <w:t xml:space="preserve">Table </w:t>
      </w:r>
      <w:r w:rsidR="00F96EDD">
        <w:rPr>
          <w:rFonts w:ascii="Arial" w:hAnsi="Arial" w:cs="Arial"/>
          <w:b/>
          <w:color w:val="000000" w:themeColor="text1"/>
        </w:rPr>
        <w:t>3:</w:t>
      </w:r>
      <w:r w:rsidRPr="00BF465C">
        <w:rPr>
          <w:rFonts w:ascii="Arial" w:hAnsi="Arial" w:cs="Arial"/>
          <w:b/>
          <w:color w:val="000000" w:themeColor="text1"/>
        </w:rPr>
        <w:t xml:space="preserve"> Accuracy Assessment of LULC</w:t>
      </w:r>
    </w:p>
    <w:tbl>
      <w:tblPr>
        <w:tblW w:w="9473" w:type="dxa"/>
        <w:jc w:val="center"/>
        <w:tblLook w:val="04A0" w:firstRow="1" w:lastRow="0" w:firstColumn="1" w:lastColumn="0" w:noHBand="0" w:noVBand="1"/>
      </w:tblPr>
      <w:tblGrid>
        <w:gridCol w:w="1818"/>
        <w:gridCol w:w="1080"/>
        <w:gridCol w:w="1080"/>
        <w:gridCol w:w="990"/>
        <w:gridCol w:w="1080"/>
        <w:gridCol w:w="1350"/>
        <w:gridCol w:w="900"/>
        <w:gridCol w:w="1175"/>
      </w:tblGrid>
      <w:tr w:rsidR="002375C9" w:rsidRPr="00BF465C" w:rsidTr="006E06BF">
        <w:trPr>
          <w:trHeight w:val="1012"/>
          <w:jc w:val="center"/>
        </w:trPr>
        <w:tc>
          <w:tcPr>
            <w:tcW w:w="1818" w:type="dxa"/>
            <w:tcBorders>
              <w:top w:val="single" w:sz="4" w:space="0" w:color="auto"/>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LULC</w:t>
            </w:r>
          </w:p>
        </w:tc>
        <w:tc>
          <w:tcPr>
            <w:tcW w:w="1080" w:type="dxa"/>
            <w:tcBorders>
              <w:top w:val="single" w:sz="4" w:space="0" w:color="auto"/>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Built up</w:t>
            </w:r>
          </w:p>
        </w:tc>
        <w:tc>
          <w:tcPr>
            <w:tcW w:w="1080" w:type="dxa"/>
            <w:tcBorders>
              <w:top w:val="single" w:sz="4" w:space="0" w:color="auto"/>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Mixed Crops</w:t>
            </w:r>
          </w:p>
        </w:tc>
        <w:tc>
          <w:tcPr>
            <w:tcW w:w="990" w:type="dxa"/>
            <w:tcBorders>
              <w:top w:val="single" w:sz="4" w:space="0" w:color="auto"/>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Barren land</w:t>
            </w:r>
          </w:p>
        </w:tc>
        <w:tc>
          <w:tcPr>
            <w:tcW w:w="1080" w:type="dxa"/>
            <w:tcBorders>
              <w:top w:val="single" w:sz="4" w:space="0" w:color="auto"/>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Paddy wetlands</w:t>
            </w:r>
          </w:p>
        </w:tc>
        <w:tc>
          <w:tcPr>
            <w:tcW w:w="1350" w:type="dxa"/>
            <w:tcBorders>
              <w:top w:val="single" w:sz="4" w:space="0" w:color="auto"/>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Wetlands other than paddy wetlands</w:t>
            </w:r>
          </w:p>
        </w:tc>
        <w:tc>
          <w:tcPr>
            <w:tcW w:w="900" w:type="dxa"/>
            <w:tcBorders>
              <w:top w:val="single" w:sz="4" w:space="0" w:color="auto"/>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Total</w:t>
            </w:r>
          </w:p>
          <w:p w:rsidR="002375C9" w:rsidRPr="00BF465C" w:rsidRDefault="002375C9" w:rsidP="00CF20E4">
            <w:pPr>
              <w:jc w:val="center"/>
              <w:rPr>
                <w:rFonts w:ascii="Arial" w:hAnsi="Arial" w:cs="Arial"/>
                <w:bCs/>
                <w:color w:val="000000"/>
              </w:rPr>
            </w:pPr>
            <w:r w:rsidRPr="00BF465C">
              <w:rPr>
                <w:rFonts w:ascii="Arial" w:hAnsi="Arial" w:cs="Arial"/>
                <w:bCs/>
                <w:color w:val="000000"/>
              </w:rPr>
              <w:t>(User)</w:t>
            </w:r>
          </w:p>
        </w:tc>
        <w:tc>
          <w:tcPr>
            <w:tcW w:w="1175" w:type="dxa"/>
            <w:tcBorders>
              <w:top w:val="single" w:sz="4" w:space="0" w:color="auto"/>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User accuracy</w:t>
            </w:r>
          </w:p>
        </w:tc>
      </w:tr>
      <w:tr w:rsidR="002375C9" w:rsidRPr="00BF465C" w:rsidTr="00BF465C">
        <w:trPr>
          <w:trHeight w:val="312"/>
          <w:jc w:val="center"/>
        </w:trPr>
        <w:tc>
          <w:tcPr>
            <w:tcW w:w="1818" w:type="dxa"/>
            <w:tcBorders>
              <w:top w:val="single" w:sz="4" w:space="0" w:color="auto"/>
            </w:tcBorders>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 xml:space="preserve">Built up </w:t>
            </w:r>
          </w:p>
        </w:tc>
        <w:tc>
          <w:tcPr>
            <w:tcW w:w="108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50</w:t>
            </w:r>
          </w:p>
        </w:tc>
        <w:tc>
          <w:tcPr>
            <w:tcW w:w="108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1</w:t>
            </w:r>
          </w:p>
        </w:tc>
        <w:tc>
          <w:tcPr>
            <w:tcW w:w="99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108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1</w:t>
            </w:r>
          </w:p>
        </w:tc>
        <w:tc>
          <w:tcPr>
            <w:tcW w:w="135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90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52</w:t>
            </w:r>
          </w:p>
        </w:tc>
        <w:tc>
          <w:tcPr>
            <w:tcW w:w="1175" w:type="dxa"/>
            <w:tcBorders>
              <w:top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96.15</w:t>
            </w:r>
          </w:p>
        </w:tc>
      </w:tr>
      <w:tr w:rsidR="002375C9" w:rsidRPr="00BF465C" w:rsidTr="00BF465C">
        <w:trPr>
          <w:trHeight w:val="312"/>
          <w:jc w:val="center"/>
        </w:trPr>
        <w:tc>
          <w:tcPr>
            <w:tcW w:w="1818" w:type="dxa"/>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Mixed Crops</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2</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42</w:t>
            </w:r>
          </w:p>
        </w:tc>
        <w:tc>
          <w:tcPr>
            <w:tcW w:w="99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135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90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44</w:t>
            </w:r>
          </w:p>
        </w:tc>
        <w:tc>
          <w:tcPr>
            <w:tcW w:w="1175" w:type="dxa"/>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95.45</w:t>
            </w:r>
          </w:p>
        </w:tc>
      </w:tr>
      <w:tr w:rsidR="002375C9" w:rsidRPr="00BF465C" w:rsidTr="00BF465C">
        <w:trPr>
          <w:trHeight w:val="312"/>
          <w:jc w:val="center"/>
        </w:trPr>
        <w:tc>
          <w:tcPr>
            <w:tcW w:w="1818" w:type="dxa"/>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Barren land</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1</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99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40</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135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90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41</w:t>
            </w:r>
          </w:p>
        </w:tc>
        <w:tc>
          <w:tcPr>
            <w:tcW w:w="1175" w:type="dxa"/>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97.56</w:t>
            </w:r>
          </w:p>
        </w:tc>
      </w:tr>
      <w:tr w:rsidR="002375C9" w:rsidRPr="00BF465C" w:rsidTr="00BF465C">
        <w:trPr>
          <w:trHeight w:val="312"/>
          <w:jc w:val="center"/>
        </w:trPr>
        <w:tc>
          <w:tcPr>
            <w:tcW w:w="1818" w:type="dxa"/>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Paddy wetlands</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1</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99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108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42</w:t>
            </w:r>
          </w:p>
        </w:tc>
        <w:tc>
          <w:tcPr>
            <w:tcW w:w="135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900" w:type="dxa"/>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43</w:t>
            </w:r>
          </w:p>
        </w:tc>
        <w:tc>
          <w:tcPr>
            <w:tcW w:w="1175" w:type="dxa"/>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97.67</w:t>
            </w:r>
          </w:p>
        </w:tc>
      </w:tr>
      <w:tr w:rsidR="002375C9" w:rsidRPr="00BF465C" w:rsidTr="006E06BF">
        <w:trPr>
          <w:trHeight w:val="312"/>
          <w:jc w:val="center"/>
        </w:trPr>
        <w:tc>
          <w:tcPr>
            <w:tcW w:w="1818" w:type="dxa"/>
            <w:tcBorders>
              <w:bottom w:val="single" w:sz="4" w:space="0" w:color="auto"/>
            </w:tcBorders>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Wetlands other than paddy wetlands</w:t>
            </w:r>
          </w:p>
        </w:tc>
        <w:tc>
          <w:tcPr>
            <w:tcW w:w="1080" w:type="dxa"/>
            <w:tcBorders>
              <w:bottom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0</w:t>
            </w:r>
          </w:p>
        </w:tc>
        <w:tc>
          <w:tcPr>
            <w:tcW w:w="1080" w:type="dxa"/>
            <w:tcBorders>
              <w:bottom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990" w:type="dxa"/>
            <w:tcBorders>
              <w:bottom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1</w:t>
            </w:r>
          </w:p>
        </w:tc>
        <w:tc>
          <w:tcPr>
            <w:tcW w:w="1080" w:type="dxa"/>
            <w:tcBorders>
              <w:bottom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0</w:t>
            </w:r>
          </w:p>
        </w:tc>
        <w:tc>
          <w:tcPr>
            <w:tcW w:w="1350" w:type="dxa"/>
            <w:tcBorders>
              <w:bottom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29</w:t>
            </w:r>
          </w:p>
        </w:tc>
        <w:tc>
          <w:tcPr>
            <w:tcW w:w="900" w:type="dxa"/>
            <w:tcBorders>
              <w:bottom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30</w:t>
            </w:r>
          </w:p>
        </w:tc>
        <w:tc>
          <w:tcPr>
            <w:tcW w:w="1175" w:type="dxa"/>
            <w:tcBorders>
              <w:bottom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96.67</w:t>
            </w:r>
          </w:p>
        </w:tc>
      </w:tr>
      <w:tr w:rsidR="002375C9" w:rsidRPr="00BF465C" w:rsidTr="006E06BF">
        <w:trPr>
          <w:trHeight w:val="312"/>
          <w:jc w:val="center"/>
        </w:trPr>
        <w:tc>
          <w:tcPr>
            <w:tcW w:w="1818" w:type="dxa"/>
            <w:tcBorders>
              <w:top w:val="single" w:sz="4" w:space="0" w:color="auto"/>
            </w:tcBorders>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Total (Producer)</w:t>
            </w:r>
          </w:p>
        </w:tc>
        <w:tc>
          <w:tcPr>
            <w:tcW w:w="108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54</w:t>
            </w:r>
          </w:p>
        </w:tc>
        <w:tc>
          <w:tcPr>
            <w:tcW w:w="108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43</w:t>
            </w:r>
          </w:p>
        </w:tc>
        <w:tc>
          <w:tcPr>
            <w:tcW w:w="99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41</w:t>
            </w:r>
          </w:p>
        </w:tc>
        <w:tc>
          <w:tcPr>
            <w:tcW w:w="108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43</w:t>
            </w:r>
          </w:p>
        </w:tc>
        <w:tc>
          <w:tcPr>
            <w:tcW w:w="135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29</w:t>
            </w:r>
          </w:p>
        </w:tc>
        <w:tc>
          <w:tcPr>
            <w:tcW w:w="900" w:type="dxa"/>
            <w:tcBorders>
              <w:top w:val="single" w:sz="4" w:space="0" w:color="auto"/>
            </w:tcBorders>
            <w:shd w:val="clear" w:color="auto" w:fill="FFFFFF" w:themeFill="background1"/>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210</w:t>
            </w:r>
          </w:p>
        </w:tc>
        <w:tc>
          <w:tcPr>
            <w:tcW w:w="1175" w:type="dxa"/>
            <w:tcBorders>
              <w:top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 </w:t>
            </w:r>
          </w:p>
        </w:tc>
      </w:tr>
      <w:tr w:rsidR="002375C9" w:rsidRPr="00BF465C" w:rsidTr="00BF465C">
        <w:trPr>
          <w:trHeight w:val="312"/>
          <w:jc w:val="center"/>
        </w:trPr>
        <w:tc>
          <w:tcPr>
            <w:tcW w:w="1818" w:type="dxa"/>
            <w:tcBorders>
              <w:bottom w:val="single" w:sz="4" w:space="0" w:color="auto"/>
            </w:tcBorders>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Producer Accuracy</w:t>
            </w:r>
          </w:p>
        </w:tc>
        <w:tc>
          <w:tcPr>
            <w:tcW w:w="1080" w:type="dxa"/>
            <w:tcBorders>
              <w:bottom w:val="single" w:sz="4" w:space="0" w:color="auto"/>
            </w:tcBorders>
            <w:shd w:val="clear" w:color="auto" w:fill="auto"/>
            <w:noWrap/>
            <w:vAlign w:val="bottom"/>
            <w:hideMark/>
          </w:tcPr>
          <w:p w:rsidR="002375C9" w:rsidRPr="00BF465C" w:rsidRDefault="002375C9" w:rsidP="00CF20E4">
            <w:pPr>
              <w:jc w:val="center"/>
              <w:rPr>
                <w:rFonts w:ascii="Arial" w:hAnsi="Arial" w:cs="Arial"/>
                <w:bCs/>
                <w:color w:val="000000"/>
              </w:rPr>
            </w:pPr>
            <w:r w:rsidRPr="00BF465C">
              <w:rPr>
                <w:rFonts w:ascii="Arial" w:hAnsi="Arial" w:cs="Arial"/>
                <w:bCs/>
                <w:color w:val="000000"/>
              </w:rPr>
              <w:t>92.59</w:t>
            </w:r>
          </w:p>
        </w:tc>
        <w:tc>
          <w:tcPr>
            <w:tcW w:w="1080" w:type="dxa"/>
            <w:tcBorders>
              <w:bottom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97.67</w:t>
            </w:r>
          </w:p>
        </w:tc>
        <w:tc>
          <w:tcPr>
            <w:tcW w:w="990" w:type="dxa"/>
            <w:tcBorders>
              <w:bottom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97.56</w:t>
            </w:r>
          </w:p>
        </w:tc>
        <w:tc>
          <w:tcPr>
            <w:tcW w:w="1080" w:type="dxa"/>
            <w:tcBorders>
              <w:bottom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97.67</w:t>
            </w:r>
          </w:p>
        </w:tc>
        <w:tc>
          <w:tcPr>
            <w:tcW w:w="1350" w:type="dxa"/>
            <w:tcBorders>
              <w:bottom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100</w:t>
            </w:r>
          </w:p>
        </w:tc>
        <w:tc>
          <w:tcPr>
            <w:tcW w:w="900" w:type="dxa"/>
            <w:tcBorders>
              <w:bottom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 </w:t>
            </w:r>
          </w:p>
        </w:tc>
        <w:tc>
          <w:tcPr>
            <w:tcW w:w="1175" w:type="dxa"/>
            <w:tcBorders>
              <w:bottom w:val="single" w:sz="4" w:space="0" w:color="auto"/>
            </w:tcBorders>
            <w:shd w:val="clear" w:color="auto" w:fill="auto"/>
            <w:noWrap/>
            <w:vAlign w:val="bottom"/>
            <w:hideMark/>
          </w:tcPr>
          <w:p w:rsidR="002375C9" w:rsidRPr="00BF465C" w:rsidRDefault="002375C9" w:rsidP="00CF20E4">
            <w:pPr>
              <w:jc w:val="center"/>
              <w:rPr>
                <w:rFonts w:ascii="Arial" w:hAnsi="Arial" w:cs="Arial"/>
                <w:color w:val="000000"/>
              </w:rPr>
            </w:pPr>
            <w:r w:rsidRPr="00BF465C">
              <w:rPr>
                <w:rFonts w:ascii="Arial" w:hAnsi="Arial" w:cs="Arial"/>
                <w:color w:val="000000"/>
              </w:rPr>
              <w:t> </w:t>
            </w:r>
          </w:p>
        </w:tc>
      </w:tr>
      <w:tr w:rsidR="002375C9" w:rsidRPr="00BF465C" w:rsidTr="00BF465C">
        <w:trPr>
          <w:trHeight w:val="312"/>
          <w:jc w:val="center"/>
        </w:trPr>
        <w:tc>
          <w:tcPr>
            <w:tcW w:w="9473" w:type="dxa"/>
            <w:gridSpan w:val="8"/>
            <w:tcBorders>
              <w:top w:val="single" w:sz="4" w:space="0" w:color="auto"/>
            </w:tcBorders>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Overall Accuracy = 96.67</w:t>
            </w:r>
          </w:p>
        </w:tc>
      </w:tr>
      <w:tr w:rsidR="002375C9" w:rsidRPr="00BF465C" w:rsidTr="00BF465C">
        <w:trPr>
          <w:trHeight w:val="312"/>
          <w:jc w:val="center"/>
        </w:trPr>
        <w:tc>
          <w:tcPr>
            <w:tcW w:w="9473" w:type="dxa"/>
            <w:gridSpan w:val="8"/>
            <w:tcBorders>
              <w:bottom w:val="single" w:sz="4" w:space="0" w:color="auto"/>
            </w:tcBorders>
            <w:shd w:val="clear" w:color="auto" w:fill="auto"/>
            <w:noWrap/>
            <w:vAlign w:val="bottom"/>
            <w:hideMark/>
          </w:tcPr>
          <w:p w:rsidR="002375C9" w:rsidRPr="00BF465C" w:rsidRDefault="002375C9" w:rsidP="00CF20E4">
            <w:pPr>
              <w:rPr>
                <w:rFonts w:ascii="Arial" w:hAnsi="Arial" w:cs="Arial"/>
                <w:bCs/>
                <w:color w:val="000000"/>
              </w:rPr>
            </w:pPr>
            <w:r w:rsidRPr="00BF465C">
              <w:rPr>
                <w:rFonts w:ascii="Arial" w:hAnsi="Arial" w:cs="Arial"/>
                <w:bCs/>
                <w:color w:val="000000"/>
              </w:rPr>
              <w:t>Kappa Co-efficient =0.94</w:t>
            </w:r>
          </w:p>
        </w:tc>
      </w:tr>
    </w:tbl>
    <w:p w:rsidR="002375C9" w:rsidRPr="00BF465C" w:rsidRDefault="00E560A7" w:rsidP="002375C9">
      <w:pPr>
        <w:rPr>
          <w:rFonts w:ascii="Arial" w:hAnsi="Arial" w:cs="Arial"/>
          <w:color w:val="000000" w:themeColor="text1"/>
        </w:rPr>
      </w:pPr>
      <w:r w:rsidRPr="00BF465C">
        <w:rPr>
          <w:rFonts w:ascii="Arial" w:hAnsi="Arial" w:cs="Arial"/>
          <w:color w:val="000000" w:themeColor="text1"/>
        </w:rPr>
        <w:t xml:space="preserve">           </w:t>
      </w:r>
      <w:r w:rsidR="00F96EDD">
        <w:rPr>
          <w:rFonts w:ascii="Arial" w:hAnsi="Arial" w:cs="Arial"/>
          <w:color w:val="000000" w:themeColor="text1"/>
        </w:rPr>
        <w:t xml:space="preserve"> </w:t>
      </w:r>
      <w:r w:rsidR="002375C9" w:rsidRPr="00BF465C">
        <w:rPr>
          <w:rFonts w:ascii="Arial" w:hAnsi="Arial" w:cs="Arial"/>
          <w:color w:val="000000" w:themeColor="text1"/>
        </w:rPr>
        <w:t>Source: Computed by researcher</w:t>
      </w:r>
    </w:p>
    <w:p w:rsidR="002375C9" w:rsidRPr="00BF465C" w:rsidRDefault="002375C9" w:rsidP="00653F47">
      <w:pPr>
        <w:rPr>
          <w:rFonts w:ascii="Arial" w:hAnsi="Arial" w:cs="Arial"/>
          <w:sz w:val="24"/>
          <w:szCs w:val="24"/>
        </w:rPr>
      </w:pPr>
    </w:p>
    <w:p w:rsidR="00C62CD5" w:rsidRDefault="00C62CD5" w:rsidP="00441B6F">
      <w:pPr>
        <w:pStyle w:val="Head1"/>
        <w:spacing w:after="0"/>
        <w:jc w:val="both"/>
        <w:rPr>
          <w:rFonts w:ascii="Arial" w:hAnsi="Arial" w:cs="Arial"/>
        </w:rPr>
      </w:pPr>
    </w:p>
    <w:p w:rsidR="00C62CD5" w:rsidRPr="00C62CD5" w:rsidRDefault="00653F47" w:rsidP="00C62CD5">
      <w:pPr>
        <w:pStyle w:val="EJG21heading1"/>
        <w:ind w:left="0"/>
        <w:rPr>
          <w:rFonts w:ascii="Arial" w:hAnsi="Arial" w:cs="Arial"/>
        </w:rPr>
      </w:pPr>
      <w:proofErr w:type="gramStart"/>
      <w:r>
        <w:rPr>
          <w:rFonts w:ascii="Arial" w:hAnsi="Arial" w:cs="Arial"/>
          <w:bCs/>
          <w:color w:val="000000" w:themeColor="text1"/>
        </w:rPr>
        <w:t xml:space="preserve">4.2 </w:t>
      </w:r>
      <w:r w:rsidR="00C62CD5" w:rsidRPr="00C62CD5">
        <w:rPr>
          <w:rFonts w:ascii="Arial" w:hAnsi="Arial" w:cs="Arial"/>
          <w:bCs/>
          <w:color w:val="000000" w:themeColor="text1"/>
        </w:rPr>
        <w:t xml:space="preserve"> </w:t>
      </w:r>
      <w:r w:rsidR="00C74EAF" w:rsidRPr="00C62CD5">
        <w:rPr>
          <w:rFonts w:ascii="Arial" w:hAnsi="Arial" w:cs="Arial"/>
          <w:bCs/>
          <w:color w:val="000000" w:themeColor="text1"/>
          <w:szCs w:val="20"/>
        </w:rPr>
        <w:t>SPATIO</w:t>
      </w:r>
      <w:proofErr w:type="gramEnd"/>
      <w:r w:rsidR="00C74EAF" w:rsidRPr="00C62CD5">
        <w:rPr>
          <w:rFonts w:ascii="Arial" w:hAnsi="Arial" w:cs="Arial"/>
          <w:bCs/>
          <w:color w:val="000000" w:themeColor="text1"/>
          <w:szCs w:val="20"/>
        </w:rPr>
        <w:t xml:space="preserve"> TEMPORAL TRENDS OF URBANIZATION INTENSITY IN KOZHIKODE CITY AND SUBU</w:t>
      </w:r>
      <w:r w:rsidR="00C74EAF" w:rsidRPr="00C62CD5">
        <w:rPr>
          <w:rFonts w:ascii="Arial" w:hAnsi="Arial" w:cs="Arial"/>
          <w:bCs/>
          <w:color w:val="000000" w:themeColor="text1"/>
        </w:rPr>
        <w:t>RBS DURING 1993-2023.</w:t>
      </w:r>
    </w:p>
    <w:p w:rsidR="00795354" w:rsidRDefault="00795354" w:rsidP="00C62CD5">
      <w:pPr>
        <w:ind w:firstLine="432"/>
        <w:jc w:val="both"/>
      </w:pPr>
    </w:p>
    <w:p w:rsidR="00C62CD5" w:rsidRPr="00F8281E" w:rsidRDefault="00795354" w:rsidP="000C49E0">
      <w:pPr>
        <w:ind w:firstLine="432"/>
        <w:jc w:val="both"/>
        <w:rPr>
          <w:rFonts w:ascii="Arial" w:hAnsi="Arial" w:cs="Arial"/>
          <w:bCs/>
          <w:color w:val="000000" w:themeColor="text1"/>
        </w:rPr>
      </w:pPr>
      <w:r w:rsidRPr="00F8281E">
        <w:rPr>
          <w:rFonts w:ascii="Arial" w:hAnsi="Arial" w:cs="Arial"/>
        </w:rPr>
        <w:t>Kozhikode City, the administrative capital of Kozhikode district, has exhibited a clear outward urban expansion trend over the past few decades. Historically rooted in spice trade and col</w:t>
      </w:r>
      <w:r w:rsidR="00F8281E" w:rsidRPr="00F8281E">
        <w:rPr>
          <w:rFonts w:ascii="Arial" w:hAnsi="Arial" w:cs="Arial"/>
        </w:rPr>
        <w:t xml:space="preserve">onial commerce, the city’s core </w:t>
      </w:r>
      <w:r w:rsidRPr="00F8281E">
        <w:rPr>
          <w:rFonts w:ascii="Arial" w:hAnsi="Arial" w:cs="Arial"/>
        </w:rPr>
        <w:t xml:space="preserve">anchored around Big Bazar, </w:t>
      </w:r>
      <w:proofErr w:type="spellStart"/>
      <w:r w:rsidRPr="00F8281E">
        <w:rPr>
          <w:rFonts w:ascii="Arial" w:hAnsi="Arial" w:cs="Arial"/>
        </w:rPr>
        <w:t>Palayam</w:t>
      </w:r>
      <w:proofErr w:type="spellEnd"/>
      <w:r w:rsidRPr="00F8281E">
        <w:rPr>
          <w:rFonts w:ascii="Arial" w:hAnsi="Arial" w:cs="Arial"/>
        </w:rPr>
        <w:t>, S</w:t>
      </w:r>
      <w:r w:rsidR="00F96EDD">
        <w:rPr>
          <w:rFonts w:ascii="Arial" w:hAnsi="Arial" w:cs="Arial"/>
        </w:rPr>
        <w:t xml:space="preserve">M Street, and </w:t>
      </w:r>
      <w:proofErr w:type="spellStart"/>
      <w:r w:rsidR="00F96EDD">
        <w:rPr>
          <w:rFonts w:ascii="Arial" w:hAnsi="Arial" w:cs="Arial"/>
        </w:rPr>
        <w:t>Mananchira</w:t>
      </w:r>
      <w:proofErr w:type="spellEnd"/>
      <w:r w:rsidR="00F96EDD">
        <w:rPr>
          <w:rFonts w:ascii="Arial" w:hAnsi="Arial" w:cs="Arial"/>
        </w:rPr>
        <w:t xml:space="preserve"> Square </w:t>
      </w:r>
      <w:r w:rsidRPr="00F8281E">
        <w:rPr>
          <w:rFonts w:ascii="Arial" w:hAnsi="Arial" w:cs="Arial"/>
        </w:rPr>
        <w:t xml:space="preserve">developed early into a dense Central Business District (CBD), marked by wholesale markets, commercial establishments, transport hubs, and administrative offices. This early development is reflected in the high Urbanization Intensity Index (UII) within the 0–2 km buffer during 1993–2003, signaling saturation and limited scope for further growth in the urban core. The buffer-based analysis from 1993 to 2023 indicates a declining UII trend from the core toward the periphery, confirming a centrifugal urbanization pattern. While the inner city continued modest expansion, the 2–4 km zone experienced intensified urban growth, driven by the emergence of submarkets and residential developments along corridors like MM Ali Road. Between 4–12 km, areas such as </w:t>
      </w:r>
      <w:proofErr w:type="spellStart"/>
      <w:r w:rsidRPr="00F8281E">
        <w:rPr>
          <w:rFonts w:ascii="Arial" w:hAnsi="Arial" w:cs="Arial"/>
        </w:rPr>
        <w:t>Kottooli</w:t>
      </w:r>
      <w:proofErr w:type="spellEnd"/>
      <w:r w:rsidRPr="00F8281E">
        <w:rPr>
          <w:rFonts w:ascii="Arial" w:hAnsi="Arial" w:cs="Arial"/>
        </w:rPr>
        <w:t xml:space="preserve"> wetlands, </w:t>
      </w:r>
      <w:proofErr w:type="spellStart"/>
      <w:r w:rsidRPr="00F8281E">
        <w:rPr>
          <w:rFonts w:ascii="Arial" w:hAnsi="Arial" w:cs="Arial"/>
        </w:rPr>
        <w:t>Palazhi</w:t>
      </w:r>
      <w:proofErr w:type="spellEnd"/>
      <w:r w:rsidRPr="00F8281E">
        <w:rPr>
          <w:rFonts w:ascii="Arial" w:hAnsi="Arial" w:cs="Arial"/>
        </w:rPr>
        <w:t xml:space="preserve">, and </w:t>
      </w:r>
      <w:proofErr w:type="spellStart"/>
      <w:r w:rsidRPr="00F8281E">
        <w:rPr>
          <w:rFonts w:ascii="Arial" w:hAnsi="Arial" w:cs="Arial"/>
        </w:rPr>
        <w:t>Chevayur</w:t>
      </w:r>
      <w:proofErr w:type="spellEnd"/>
      <w:r w:rsidRPr="00F8281E">
        <w:rPr>
          <w:rFonts w:ascii="Arial" w:hAnsi="Arial" w:cs="Arial"/>
        </w:rPr>
        <w:t xml:space="preserve"> saw steady increases in built-up land due to greater land availability. After 2013, a significant shift occurred: UII declined in the saturated core, while peripheral zones (4–22 km) witnessed accelerated urban growth. Infrastructure projects such as NH 66 bypass and NH 766 played a vital role in channeling development towards northeastern, eastern, and southeastern parts of the city, including growth hotspots like </w:t>
      </w:r>
      <w:proofErr w:type="spellStart"/>
      <w:r w:rsidRPr="00F8281E">
        <w:rPr>
          <w:rFonts w:ascii="Arial" w:hAnsi="Arial" w:cs="Arial"/>
        </w:rPr>
        <w:t>Ramanattukara</w:t>
      </w:r>
      <w:proofErr w:type="spellEnd"/>
      <w:r w:rsidRPr="00F8281E">
        <w:rPr>
          <w:rFonts w:ascii="Arial" w:hAnsi="Arial" w:cs="Arial"/>
        </w:rPr>
        <w:t xml:space="preserve"> and </w:t>
      </w:r>
      <w:proofErr w:type="spellStart"/>
      <w:r w:rsidRPr="00F8281E">
        <w:rPr>
          <w:rFonts w:ascii="Arial" w:hAnsi="Arial" w:cs="Arial"/>
        </w:rPr>
        <w:t>Kunnamangalam</w:t>
      </w:r>
      <w:proofErr w:type="spellEnd"/>
      <w:r w:rsidRPr="00F8281E">
        <w:rPr>
          <w:rFonts w:ascii="Arial" w:hAnsi="Arial" w:cs="Arial"/>
        </w:rPr>
        <w:t>. Institutions such as IIM Kozhikode, Cyberparks, and major hospitals further catalyzed suburban expansion. Even the outermost zones (18–22 km), though still less urbanized, have begun to show increasing UII values, suggesting potential for future growth driven by affordable land and improving connectivity. Overall, the city’s urban landscape is shaped by an outward redistribution of development intensity, transitioning from a saturated historic core to rapidly urbanizing peripheral corridors.</w:t>
      </w:r>
      <w:r w:rsidR="004823B8">
        <w:rPr>
          <w:rFonts w:ascii="Arial" w:hAnsi="Arial" w:cs="Arial"/>
        </w:rPr>
        <w:t xml:space="preserve"> </w:t>
      </w:r>
      <w:r w:rsidR="00C62CD5" w:rsidRPr="00F8281E">
        <w:rPr>
          <w:rFonts w:ascii="Arial" w:hAnsi="Arial" w:cs="Arial"/>
          <w:color w:val="000000" w:themeColor="text1"/>
        </w:rPr>
        <w:t>Figure</w:t>
      </w:r>
      <w:r w:rsidR="00196DF3">
        <w:rPr>
          <w:rFonts w:ascii="Arial" w:hAnsi="Arial" w:cs="Arial"/>
          <w:color w:val="000000" w:themeColor="text1"/>
        </w:rPr>
        <w:t xml:space="preserve"> 3</w:t>
      </w:r>
      <w:r w:rsidR="00C62CD5" w:rsidRPr="00F8281E">
        <w:rPr>
          <w:rFonts w:ascii="Arial" w:hAnsi="Arial" w:cs="Arial"/>
          <w:color w:val="000000" w:themeColor="text1"/>
        </w:rPr>
        <w:t xml:space="preserve"> and table </w:t>
      </w:r>
      <w:r w:rsidR="00F96EDD">
        <w:rPr>
          <w:rFonts w:ascii="Arial" w:hAnsi="Arial" w:cs="Arial"/>
          <w:color w:val="000000" w:themeColor="text1"/>
        </w:rPr>
        <w:t xml:space="preserve">4 </w:t>
      </w:r>
      <w:r w:rsidR="00C62CD5" w:rsidRPr="00F8281E">
        <w:rPr>
          <w:rFonts w:ascii="Arial" w:hAnsi="Arial" w:cs="Arial"/>
          <w:color w:val="000000" w:themeColor="text1"/>
        </w:rPr>
        <w:t xml:space="preserve">shows the UII of Kozhikode city during 1993 and 2023. </w:t>
      </w:r>
      <w:r w:rsidR="00C62CD5" w:rsidRPr="00F8281E">
        <w:rPr>
          <w:rFonts w:ascii="Arial" w:hAnsi="Arial" w:cs="Arial"/>
        </w:rPr>
        <w:t xml:space="preserve">Distribution of Built-up area in each buffer zone is depicted in Figure </w:t>
      </w:r>
      <w:r w:rsidR="004823B8">
        <w:rPr>
          <w:rFonts w:ascii="Arial" w:hAnsi="Arial" w:cs="Arial"/>
        </w:rPr>
        <w:t>4</w:t>
      </w:r>
      <w:r w:rsidR="00C62CD5" w:rsidRPr="00F8281E">
        <w:rPr>
          <w:rFonts w:ascii="Arial" w:hAnsi="Arial" w:cs="Arial"/>
        </w:rPr>
        <w:t>.</w:t>
      </w:r>
    </w:p>
    <w:p w:rsidR="00C62CD5" w:rsidRDefault="00C62CD5" w:rsidP="00A67817">
      <w:pPr>
        <w:pStyle w:val="Head1"/>
        <w:spacing w:after="0"/>
        <w:jc w:val="center"/>
        <w:rPr>
          <w:rFonts w:ascii="Arial" w:hAnsi="Arial" w:cs="Arial"/>
        </w:rPr>
      </w:pPr>
    </w:p>
    <w:p w:rsidR="00795354" w:rsidRDefault="00795354" w:rsidP="00F8281E">
      <w:pPr>
        <w:pStyle w:val="Head1"/>
        <w:spacing w:after="0"/>
        <w:rPr>
          <w:rFonts w:ascii="Arial" w:hAnsi="Arial" w:cs="Arial"/>
          <w:b w:val="0"/>
          <w:bCs/>
          <w:caps w:val="0"/>
          <w:color w:val="000000" w:themeColor="text1"/>
          <w:sz w:val="20"/>
        </w:rPr>
      </w:pPr>
    </w:p>
    <w:p w:rsidR="00A67817" w:rsidRDefault="00F8281E" w:rsidP="00A67817">
      <w:pPr>
        <w:pStyle w:val="Head1"/>
        <w:spacing w:after="0"/>
        <w:jc w:val="center"/>
        <w:rPr>
          <w:rFonts w:ascii="Arial" w:hAnsi="Arial" w:cs="Arial"/>
          <w:b w:val="0"/>
          <w:bCs/>
          <w:caps w:val="0"/>
          <w:color w:val="000000" w:themeColor="text1"/>
          <w:sz w:val="20"/>
        </w:rPr>
      </w:pPr>
      <w:r w:rsidRPr="00A67817">
        <w:rPr>
          <w:rFonts w:ascii="Arial" w:hAnsi="Arial" w:cs="Arial"/>
          <w:noProof/>
          <w:bdr w:val="single" w:sz="4" w:space="0" w:color="auto"/>
        </w:rPr>
        <w:drawing>
          <wp:inline distT="0" distB="0" distL="0" distR="0">
            <wp:extent cx="4044086" cy="1616659"/>
            <wp:effectExtent l="19050" t="0" r="13564" b="2591"/>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6EDD" w:rsidRDefault="00F96EDD" w:rsidP="00F96EDD">
      <w:pPr>
        <w:pStyle w:val="Head1"/>
        <w:spacing w:after="0"/>
        <w:jc w:val="center"/>
        <w:rPr>
          <w:rFonts w:ascii="Arial" w:hAnsi="Arial" w:cs="Arial"/>
          <w:b w:val="0"/>
          <w:bCs/>
          <w:caps w:val="0"/>
          <w:color w:val="000000" w:themeColor="text1"/>
          <w:sz w:val="20"/>
        </w:rPr>
      </w:pPr>
      <w:r w:rsidRPr="00A67817">
        <w:rPr>
          <w:rFonts w:ascii="Arial" w:hAnsi="Arial" w:cs="Arial"/>
          <w:b w:val="0"/>
          <w:caps w:val="0"/>
          <w:sz w:val="20"/>
        </w:rPr>
        <w:t xml:space="preserve">Figure </w:t>
      </w:r>
      <w:r>
        <w:rPr>
          <w:rFonts w:ascii="Arial" w:hAnsi="Arial" w:cs="Arial"/>
          <w:b w:val="0"/>
          <w:caps w:val="0"/>
          <w:sz w:val="20"/>
        </w:rPr>
        <w:t>3</w:t>
      </w:r>
      <w:r w:rsidRPr="00A67817">
        <w:rPr>
          <w:rFonts w:ascii="Arial" w:hAnsi="Arial" w:cs="Arial"/>
          <w:b w:val="0"/>
          <w:caps w:val="0"/>
          <w:sz w:val="20"/>
        </w:rPr>
        <w:t xml:space="preserve">. </w:t>
      </w:r>
      <w:r w:rsidRPr="00A67817">
        <w:rPr>
          <w:rFonts w:ascii="Arial" w:hAnsi="Arial" w:cs="Arial"/>
          <w:b w:val="0"/>
          <w:bCs/>
          <w:caps w:val="0"/>
          <w:color w:val="000000" w:themeColor="text1"/>
          <w:sz w:val="20"/>
        </w:rPr>
        <w:t>Changes in UII of Kozhikode City and suburbs 1993-2023</w:t>
      </w:r>
    </w:p>
    <w:p w:rsidR="00F96EDD" w:rsidRDefault="00F96EDD" w:rsidP="00A67817">
      <w:pPr>
        <w:pStyle w:val="Head1"/>
        <w:spacing w:after="0"/>
        <w:jc w:val="center"/>
        <w:rPr>
          <w:rFonts w:ascii="Arial" w:hAnsi="Arial" w:cs="Arial"/>
          <w:b w:val="0"/>
          <w:bCs/>
          <w:caps w:val="0"/>
          <w:color w:val="000000" w:themeColor="text1"/>
          <w:sz w:val="20"/>
        </w:rPr>
      </w:pPr>
    </w:p>
    <w:p w:rsidR="00A67817" w:rsidRDefault="00A67817" w:rsidP="00A67817">
      <w:pPr>
        <w:pStyle w:val="Head1"/>
        <w:spacing w:after="0"/>
        <w:jc w:val="center"/>
        <w:rPr>
          <w:rFonts w:ascii="Arial" w:hAnsi="Arial" w:cs="Arial"/>
          <w:b w:val="0"/>
          <w:bCs/>
          <w:caps w:val="0"/>
          <w:color w:val="000000" w:themeColor="text1"/>
          <w:sz w:val="20"/>
        </w:rPr>
      </w:pPr>
    </w:p>
    <w:p w:rsidR="00A67817" w:rsidRPr="00F96EDD" w:rsidRDefault="00A67817" w:rsidP="00A67817">
      <w:pPr>
        <w:ind w:right="-634"/>
        <w:jc w:val="center"/>
        <w:outlineLvl w:val="1"/>
        <w:rPr>
          <w:rFonts w:ascii="Arial" w:hAnsi="Arial" w:cs="Arial"/>
          <w:b/>
          <w:bCs/>
          <w:color w:val="000000" w:themeColor="text1"/>
        </w:rPr>
      </w:pPr>
      <w:r w:rsidRPr="00F96EDD">
        <w:rPr>
          <w:rFonts w:ascii="Arial" w:hAnsi="Arial" w:cs="Arial"/>
          <w:b/>
        </w:rPr>
        <w:t xml:space="preserve">Table </w:t>
      </w:r>
      <w:r w:rsidR="00F96EDD" w:rsidRPr="00F96EDD">
        <w:rPr>
          <w:rFonts w:ascii="Arial" w:hAnsi="Arial" w:cs="Arial"/>
          <w:b/>
        </w:rPr>
        <w:t xml:space="preserve">4. </w:t>
      </w:r>
      <w:r w:rsidRPr="00F96EDD">
        <w:rPr>
          <w:rFonts w:ascii="Arial" w:hAnsi="Arial" w:cs="Arial"/>
          <w:b/>
          <w:bCs/>
          <w:color w:val="000000" w:themeColor="text1"/>
        </w:rPr>
        <w:t>Changes in UII of Kozhikode City and Suburbs 1993-2023</w:t>
      </w:r>
    </w:p>
    <w:p w:rsidR="00A67817" w:rsidRPr="00A67817" w:rsidRDefault="00A67817" w:rsidP="00A67817">
      <w:pPr>
        <w:pStyle w:val="Head1"/>
        <w:spacing w:after="0"/>
        <w:jc w:val="center"/>
        <w:rPr>
          <w:rFonts w:ascii="Arial" w:hAnsi="Arial" w:cs="Arial"/>
          <w:b w:val="0"/>
          <w:sz w:val="20"/>
        </w:rPr>
      </w:pPr>
    </w:p>
    <w:tbl>
      <w:tblPr>
        <w:tblW w:w="0" w:type="auto"/>
        <w:jc w:val="center"/>
        <w:tblLayout w:type="fixed"/>
        <w:tblLook w:val="04A0" w:firstRow="1" w:lastRow="0" w:firstColumn="1" w:lastColumn="0" w:noHBand="0" w:noVBand="1"/>
      </w:tblPr>
      <w:tblGrid>
        <w:gridCol w:w="1317"/>
        <w:gridCol w:w="1026"/>
        <w:gridCol w:w="1119"/>
        <w:gridCol w:w="1026"/>
        <w:gridCol w:w="1026"/>
        <w:gridCol w:w="1026"/>
        <w:gridCol w:w="840"/>
        <w:gridCol w:w="840"/>
        <w:gridCol w:w="840"/>
        <w:gridCol w:w="765"/>
      </w:tblGrid>
      <w:tr w:rsidR="00A67817" w:rsidRPr="00F8281E" w:rsidTr="00C74EAF">
        <w:trPr>
          <w:trHeight w:val="400"/>
          <w:jc w:val="center"/>
        </w:trPr>
        <w:tc>
          <w:tcPr>
            <w:tcW w:w="1317" w:type="dxa"/>
            <w:vMerge w:val="restart"/>
            <w:tcBorders>
              <w:top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BUFFER ZONE (KM)</w:t>
            </w:r>
          </w:p>
        </w:tc>
        <w:tc>
          <w:tcPr>
            <w:tcW w:w="1026" w:type="dxa"/>
            <w:vMerge w:val="restart"/>
            <w:tcBorders>
              <w:top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1993</w:t>
            </w:r>
          </w:p>
        </w:tc>
        <w:tc>
          <w:tcPr>
            <w:tcW w:w="1119" w:type="dxa"/>
            <w:vMerge w:val="restart"/>
            <w:tcBorders>
              <w:top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2003</w:t>
            </w:r>
          </w:p>
        </w:tc>
        <w:tc>
          <w:tcPr>
            <w:tcW w:w="1026" w:type="dxa"/>
            <w:vMerge w:val="restart"/>
            <w:tcBorders>
              <w:top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2013</w:t>
            </w:r>
          </w:p>
        </w:tc>
        <w:tc>
          <w:tcPr>
            <w:tcW w:w="1026" w:type="dxa"/>
            <w:vMerge w:val="restart"/>
            <w:tcBorders>
              <w:top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2023</w:t>
            </w:r>
          </w:p>
        </w:tc>
        <w:tc>
          <w:tcPr>
            <w:tcW w:w="1026" w:type="dxa"/>
            <w:vMerge w:val="restart"/>
            <w:tcBorders>
              <w:top w:val="single" w:sz="4" w:space="0" w:color="auto"/>
            </w:tcBorders>
            <w:shd w:val="clear" w:color="auto" w:fill="auto"/>
            <w:noWrap/>
            <w:vAlign w:val="center"/>
            <w:hideMark/>
          </w:tcPr>
          <w:p w:rsidR="00A67817" w:rsidRPr="00F8281E" w:rsidRDefault="00A67817" w:rsidP="00C74EAF">
            <w:pPr>
              <w:jc w:val="center"/>
              <w:rPr>
                <w:rFonts w:ascii="Arial" w:hAnsi="Arial" w:cs="Arial"/>
                <w:color w:val="000000" w:themeColor="text1"/>
              </w:rPr>
            </w:pPr>
            <w:r w:rsidRPr="00F8281E">
              <w:rPr>
                <w:rFonts w:ascii="Arial" w:hAnsi="Arial" w:cs="Arial"/>
                <w:color w:val="000000" w:themeColor="text1"/>
              </w:rPr>
              <w:t xml:space="preserve">Area </w:t>
            </w:r>
            <w:r w:rsidR="00C74EAF" w:rsidRPr="00F8281E">
              <w:rPr>
                <w:rFonts w:ascii="Arial" w:hAnsi="Arial" w:cs="Arial"/>
                <w:color w:val="000000" w:themeColor="text1"/>
              </w:rPr>
              <w:t>(Ha)</w:t>
            </w:r>
          </w:p>
        </w:tc>
        <w:tc>
          <w:tcPr>
            <w:tcW w:w="3284" w:type="dxa"/>
            <w:gridSpan w:val="4"/>
            <w:tcBorders>
              <w:top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Urbanization Intensity Index</w:t>
            </w:r>
          </w:p>
        </w:tc>
      </w:tr>
      <w:tr w:rsidR="00A67817" w:rsidRPr="00F8281E" w:rsidTr="00C74EAF">
        <w:trPr>
          <w:trHeight w:val="400"/>
          <w:jc w:val="center"/>
        </w:trPr>
        <w:tc>
          <w:tcPr>
            <w:tcW w:w="1317" w:type="dxa"/>
            <w:vMerge/>
            <w:tcBorders>
              <w:bottom w:val="single" w:sz="4" w:space="0" w:color="auto"/>
            </w:tcBorders>
            <w:vAlign w:val="center"/>
            <w:hideMark/>
          </w:tcPr>
          <w:p w:rsidR="00A67817" w:rsidRPr="00F8281E" w:rsidRDefault="00A67817" w:rsidP="00165794">
            <w:pPr>
              <w:jc w:val="center"/>
              <w:rPr>
                <w:rFonts w:ascii="Arial" w:hAnsi="Arial" w:cs="Arial"/>
                <w:color w:val="000000" w:themeColor="text1"/>
              </w:rPr>
            </w:pPr>
          </w:p>
        </w:tc>
        <w:tc>
          <w:tcPr>
            <w:tcW w:w="1026" w:type="dxa"/>
            <w:vMerge/>
            <w:tcBorders>
              <w:bottom w:val="single" w:sz="4" w:space="0" w:color="auto"/>
            </w:tcBorders>
            <w:vAlign w:val="center"/>
            <w:hideMark/>
          </w:tcPr>
          <w:p w:rsidR="00A67817" w:rsidRPr="00F8281E" w:rsidRDefault="00A67817" w:rsidP="00165794">
            <w:pPr>
              <w:jc w:val="center"/>
              <w:rPr>
                <w:rFonts w:ascii="Arial" w:hAnsi="Arial" w:cs="Arial"/>
                <w:color w:val="000000" w:themeColor="text1"/>
              </w:rPr>
            </w:pPr>
          </w:p>
        </w:tc>
        <w:tc>
          <w:tcPr>
            <w:tcW w:w="1119" w:type="dxa"/>
            <w:vMerge/>
            <w:tcBorders>
              <w:bottom w:val="single" w:sz="4" w:space="0" w:color="auto"/>
            </w:tcBorders>
            <w:vAlign w:val="center"/>
            <w:hideMark/>
          </w:tcPr>
          <w:p w:rsidR="00A67817" w:rsidRPr="00F8281E" w:rsidRDefault="00A67817" w:rsidP="00165794">
            <w:pPr>
              <w:jc w:val="center"/>
              <w:rPr>
                <w:rFonts w:ascii="Arial" w:hAnsi="Arial" w:cs="Arial"/>
                <w:color w:val="000000" w:themeColor="text1"/>
              </w:rPr>
            </w:pPr>
          </w:p>
        </w:tc>
        <w:tc>
          <w:tcPr>
            <w:tcW w:w="1026" w:type="dxa"/>
            <w:vMerge/>
            <w:tcBorders>
              <w:bottom w:val="single" w:sz="4" w:space="0" w:color="auto"/>
            </w:tcBorders>
            <w:vAlign w:val="center"/>
            <w:hideMark/>
          </w:tcPr>
          <w:p w:rsidR="00A67817" w:rsidRPr="00F8281E" w:rsidRDefault="00A67817" w:rsidP="00165794">
            <w:pPr>
              <w:jc w:val="center"/>
              <w:rPr>
                <w:rFonts w:ascii="Arial" w:hAnsi="Arial" w:cs="Arial"/>
                <w:color w:val="000000" w:themeColor="text1"/>
              </w:rPr>
            </w:pPr>
          </w:p>
        </w:tc>
        <w:tc>
          <w:tcPr>
            <w:tcW w:w="1026" w:type="dxa"/>
            <w:vMerge/>
            <w:tcBorders>
              <w:bottom w:val="single" w:sz="4" w:space="0" w:color="auto"/>
            </w:tcBorders>
            <w:vAlign w:val="center"/>
            <w:hideMark/>
          </w:tcPr>
          <w:p w:rsidR="00A67817" w:rsidRPr="00F8281E" w:rsidRDefault="00A67817" w:rsidP="00165794">
            <w:pPr>
              <w:jc w:val="center"/>
              <w:rPr>
                <w:rFonts w:ascii="Arial" w:hAnsi="Arial" w:cs="Arial"/>
                <w:color w:val="000000" w:themeColor="text1"/>
              </w:rPr>
            </w:pPr>
          </w:p>
        </w:tc>
        <w:tc>
          <w:tcPr>
            <w:tcW w:w="1026" w:type="dxa"/>
            <w:vMerge/>
            <w:tcBorders>
              <w:bottom w:val="single" w:sz="4" w:space="0" w:color="auto"/>
            </w:tcBorders>
            <w:vAlign w:val="center"/>
            <w:hideMark/>
          </w:tcPr>
          <w:p w:rsidR="00A67817" w:rsidRPr="00F8281E" w:rsidRDefault="00A67817" w:rsidP="00165794">
            <w:pPr>
              <w:jc w:val="center"/>
              <w:rPr>
                <w:rFonts w:ascii="Arial" w:hAnsi="Arial" w:cs="Arial"/>
                <w:color w:val="000000" w:themeColor="text1"/>
              </w:rPr>
            </w:pPr>
          </w:p>
        </w:tc>
        <w:tc>
          <w:tcPr>
            <w:tcW w:w="840" w:type="dxa"/>
            <w:tcBorders>
              <w:bottom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1993-2003</w:t>
            </w:r>
          </w:p>
        </w:tc>
        <w:tc>
          <w:tcPr>
            <w:tcW w:w="840" w:type="dxa"/>
            <w:tcBorders>
              <w:bottom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2003-2013</w:t>
            </w:r>
          </w:p>
        </w:tc>
        <w:tc>
          <w:tcPr>
            <w:tcW w:w="840" w:type="dxa"/>
            <w:tcBorders>
              <w:bottom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2013-2023</w:t>
            </w:r>
          </w:p>
        </w:tc>
        <w:tc>
          <w:tcPr>
            <w:tcW w:w="765" w:type="dxa"/>
            <w:tcBorders>
              <w:bottom w:val="single" w:sz="4" w:space="0" w:color="auto"/>
            </w:tcBorders>
            <w:shd w:val="clear" w:color="auto" w:fill="auto"/>
            <w:noWrap/>
            <w:vAlign w:val="center"/>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1993-2023</w:t>
            </w:r>
          </w:p>
        </w:tc>
      </w:tr>
      <w:tr w:rsidR="00A67817" w:rsidRPr="00F8281E" w:rsidTr="00C74EAF">
        <w:trPr>
          <w:trHeight w:val="400"/>
          <w:jc w:val="center"/>
        </w:trPr>
        <w:tc>
          <w:tcPr>
            <w:tcW w:w="1317"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w:t>
            </w:r>
          </w:p>
        </w:tc>
        <w:tc>
          <w:tcPr>
            <w:tcW w:w="1026"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355.83</w:t>
            </w:r>
          </w:p>
        </w:tc>
        <w:tc>
          <w:tcPr>
            <w:tcW w:w="1119"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736.84</w:t>
            </w:r>
          </w:p>
        </w:tc>
        <w:tc>
          <w:tcPr>
            <w:tcW w:w="1026"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773.35</w:t>
            </w:r>
          </w:p>
        </w:tc>
        <w:tc>
          <w:tcPr>
            <w:tcW w:w="1026"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795.74</w:t>
            </w:r>
          </w:p>
        </w:tc>
        <w:tc>
          <w:tcPr>
            <w:tcW w:w="1026"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848.68</w:t>
            </w:r>
          </w:p>
        </w:tc>
        <w:tc>
          <w:tcPr>
            <w:tcW w:w="840"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4.49</w:t>
            </w:r>
          </w:p>
        </w:tc>
        <w:tc>
          <w:tcPr>
            <w:tcW w:w="840"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0.43</w:t>
            </w:r>
          </w:p>
        </w:tc>
        <w:tc>
          <w:tcPr>
            <w:tcW w:w="840"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0.26</w:t>
            </w:r>
          </w:p>
        </w:tc>
        <w:tc>
          <w:tcPr>
            <w:tcW w:w="765" w:type="dxa"/>
            <w:tcBorders>
              <w:top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1.73</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103.89</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1026.86</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1141.01</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1547.49</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2104.25</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4.39</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0.54</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1.93</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2.29</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6</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92.57</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657.98</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954.44</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1928.82</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3352.46</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1.69</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0.88</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2.91</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1.83</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8</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67.63</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427.86</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632.95</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1880.98</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4607.73</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0.78</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0.45</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2.71</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1.31</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10</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85.23</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364.9</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560.89</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1892.21</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5938.02</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0.47</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0.33</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2.24</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1.01</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12</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62.05</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197.79</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441.07</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1923.72</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6704.5</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0.20</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0.36</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2.21</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0.93</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14</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35.43</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98.46</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284.1</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1617.57</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6172.81</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0.10</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0.30</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2.16</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0.85</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16</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12.22</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41.23</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100.08</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874.64</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3970.64</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0.07</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0.15</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1.95</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0.72</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18</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9</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25.1</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49.4</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406.19</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2730.49</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0.06</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0.09</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1.31</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0.48</w:t>
            </w:r>
          </w:p>
        </w:tc>
      </w:tr>
      <w:tr w:rsidR="00A67817" w:rsidRPr="00F8281E" w:rsidTr="00C74EAF">
        <w:trPr>
          <w:trHeight w:val="400"/>
          <w:jc w:val="center"/>
        </w:trPr>
        <w:tc>
          <w:tcPr>
            <w:tcW w:w="1317"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20</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11.63</w:t>
            </w:r>
          </w:p>
        </w:tc>
        <w:tc>
          <w:tcPr>
            <w:tcW w:w="1119"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18.02</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35.53</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237.93</w:t>
            </w:r>
          </w:p>
        </w:tc>
        <w:tc>
          <w:tcPr>
            <w:tcW w:w="1026"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1407.82</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0.05</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0.12</w:t>
            </w:r>
          </w:p>
        </w:tc>
        <w:tc>
          <w:tcPr>
            <w:tcW w:w="840"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1.44</w:t>
            </w:r>
          </w:p>
        </w:tc>
        <w:tc>
          <w:tcPr>
            <w:tcW w:w="765" w:type="dxa"/>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0.54</w:t>
            </w:r>
          </w:p>
        </w:tc>
      </w:tr>
      <w:tr w:rsidR="00A67817" w:rsidRPr="00F8281E" w:rsidTr="00C74EAF">
        <w:trPr>
          <w:trHeight w:val="400"/>
          <w:jc w:val="center"/>
        </w:trPr>
        <w:tc>
          <w:tcPr>
            <w:tcW w:w="1317"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22</w:t>
            </w:r>
          </w:p>
        </w:tc>
        <w:tc>
          <w:tcPr>
            <w:tcW w:w="1026"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3.16</w:t>
            </w:r>
          </w:p>
        </w:tc>
        <w:tc>
          <w:tcPr>
            <w:tcW w:w="1119"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1.3</w:t>
            </w:r>
          </w:p>
        </w:tc>
        <w:tc>
          <w:tcPr>
            <w:tcW w:w="1026"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5.97</w:t>
            </w:r>
          </w:p>
        </w:tc>
        <w:tc>
          <w:tcPr>
            <w:tcW w:w="1026"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62.8</w:t>
            </w:r>
          </w:p>
        </w:tc>
        <w:tc>
          <w:tcPr>
            <w:tcW w:w="1026"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311.26</w:t>
            </w:r>
          </w:p>
        </w:tc>
        <w:tc>
          <w:tcPr>
            <w:tcW w:w="840"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-0.06</w:t>
            </w:r>
          </w:p>
        </w:tc>
        <w:tc>
          <w:tcPr>
            <w:tcW w:w="840"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0.15</w:t>
            </w:r>
          </w:p>
        </w:tc>
        <w:tc>
          <w:tcPr>
            <w:tcW w:w="840"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1.83</w:t>
            </w:r>
          </w:p>
        </w:tc>
        <w:tc>
          <w:tcPr>
            <w:tcW w:w="765" w:type="dxa"/>
            <w:tcBorders>
              <w:bottom w:val="single" w:sz="4" w:space="0" w:color="auto"/>
            </w:tcBorders>
            <w:shd w:val="clear" w:color="auto" w:fill="auto"/>
            <w:noWrap/>
            <w:vAlign w:val="bottom"/>
            <w:hideMark/>
          </w:tcPr>
          <w:p w:rsidR="00A67817" w:rsidRPr="00F8281E" w:rsidRDefault="00A67817" w:rsidP="00165794">
            <w:pPr>
              <w:jc w:val="center"/>
              <w:rPr>
                <w:rFonts w:ascii="Arial" w:hAnsi="Arial" w:cs="Arial"/>
                <w:color w:val="000000" w:themeColor="text1"/>
              </w:rPr>
            </w:pPr>
            <w:r w:rsidRPr="00F8281E">
              <w:rPr>
                <w:rFonts w:ascii="Arial" w:hAnsi="Arial" w:cs="Arial"/>
                <w:color w:val="000000" w:themeColor="text1"/>
              </w:rPr>
              <w:t>0.64</w:t>
            </w:r>
          </w:p>
        </w:tc>
      </w:tr>
    </w:tbl>
    <w:p w:rsidR="00A67817" w:rsidRDefault="00A67817" w:rsidP="00A67817">
      <w:pPr>
        <w:pStyle w:val="Head1"/>
        <w:spacing w:after="0"/>
        <w:jc w:val="center"/>
        <w:rPr>
          <w:rFonts w:ascii="Arial" w:hAnsi="Arial" w:cs="Arial"/>
        </w:rPr>
      </w:pPr>
    </w:p>
    <w:p w:rsidR="00790ADA" w:rsidRDefault="00A67817" w:rsidP="00A67817">
      <w:pPr>
        <w:pStyle w:val="Head1"/>
        <w:spacing w:after="0"/>
        <w:jc w:val="center"/>
        <w:rPr>
          <w:rFonts w:ascii="Arial" w:hAnsi="Arial" w:cs="Arial"/>
        </w:rPr>
      </w:pPr>
      <w:r w:rsidRPr="00A67817">
        <w:rPr>
          <w:rFonts w:ascii="Arial" w:hAnsi="Arial" w:cs="Arial"/>
          <w:noProof/>
        </w:rPr>
        <w:drawing>
          <wp:inline distT="0" distB="0" distL="0" distR="0">
            <wp:extent cx="4914615" cy="3797657"/>
            <wp:effectExtent l="19050" t="0" r="285" b="0"/>
            <wp:docPr id="12" name="Picture 10" descr="E:\PhD\chapters\Chapter 5_urban expansion\buffer gradient\full_distance buffer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hD\chapters\Chapter 5_urban expansion\buffer gradient\full_distance buffer_paper.jpg"/>
                    <pic:cNvPicPr>
                      <a:picLocks noChangeAspect="1" noChangeArrowheads="1"/>
                    </pic:cNvPicPr>
                  </pic:nvPicPr>
                  <pic:blipFill>
                    <a:blip r:embed="rId17"/>
                    <a:srcRect/>
                    <a:stretch>
                      <a:fillRect/>
                    </a:stretch>
                  </pic:blipFill>
                  <pic:spPr bwMode="auto">
                    <a:xfrm>
                      <a:off x="0" y="0"/>
                      <a:ext cx="4915137" cy="3798060"/>
                    </a:xfrm>
                    <a:prstGeom prst="rect">
                      <a:avLst/>
                    </a:prstGeom>
                    <a:noFill/>
                    <a:ln w="9525">
                      <a:noFill/>
                      <a:miter lim="800000"/>
                      <a:headEnd/>
                      <a:tailEnd/>
                    </a:ln>
                  </pic:spPr>
                </pic:pic>
              </a:graphicData>
            </a:graphic>
          </wp:inline>
        </w:drawing>
      </w:r>
    </w:p>
    <w:p w:rsidR="00A67817" w:rsidRDefault="00A67817" w:rsidP="00A67817">
      <w:pPr>
        <w:pStyle w:val="Head1"/>
        <w:spacing w:after="0"/>
        <w:jc w:val="center"/>
        <w:rPr>
          <w:rFonts w:ascii="Arial" w:hAnsi="Arial" w:cs="Arial"/>
          <w:b w:val="0"/>
          <w:caps w:val="0"/>
          <w:sz w:val="20"/>
        </w:rPr>
      </w:pPr>
      <w:r w:rsidRPr="00A67817">
        <w:rPr>
          <w:rFonts w:ascii="Arial" w:hAnsi="Arial" w:cs="Arial"/>
          <w:b w:val="0"/>
          <w:caps w:val="0"/>
          <w:sz w:val="20"/>
        </w:rPr>
        <w:t xml:space="preserve">Figure </w:t>
      </w:r>
      <w:r w:rsidR="00196DF3">
        <w:rPr>
          <w:rFonts w:ascii="Arial" w:hAnsi="Arial" w:cs="Arial"/>
          <w:b w:val="0"/>
          <w:caps w:val="0"/>
          <w:sz w:val="20"/>
        </w:rPr>
        <w:t>4</w:t>
      </w:r>
      <w:r w:rsidRPr="00A67817">
        <w:rPr>
          <w:rFonts w:ascii="Arial" w:hAnsi="Arial" w:cs="Arial"/>
          <w:b w:val="0"/>
          <w:caps w:val="0"/>
          <w:sz w:val="20"/>
        </w:rPr>
        <w:t>. Distribution of built up areas in buffer zones</w:t>
      </w:r>
    </w:p>
    <w:p w:rsidR="00C74EAF" w:rsidRDefault="00C74EAF" w:rsidP="00A67817">
      <w:pPr>
        <w:pStyle w:val="Head1"/>
        <w:spacing w:after="0"/>
        <w:jc w:val="center"/>
        <w:rPr>
          <w:rFonts w:ascii="Arial" w:hAnsi="Arial" w:cs="Arial"/>
          <w:b w:val="0"/>
          <w:caps w:val="0"/>
          <w:sz w:val="20"/>
        </w:rPr>
      </w:pPr>
    </w:p>
    <w:p w:rsidR="00A67817" w:rsidRDefault="00C74EAF" w:rsidP="00A67817">
      <w:pPr>
        <w:jc w:val="both"/>
        <w:rPr>
          <w:rFonts w:ascii="Arial" w:hAnsi="Arial" w:cs="Arial"/>
          <w:b/>
          <w:bCs/>
          <w:color w:val="000000" w:themeColor="text1"/>
        </w:rPr>
      </w:pPr>
      <w:r w:rsidRPr="00A67817">
        <w:rPr>
          <w:rFonts w:ascii="Arial" w:hAnsi="Arial" w:cs="Arial"/>
          <w:b/>
          <w:bCs/>
          <w:color w:val="000000" w:themeColor="text1"/>
        </w:rPr>
        <w:t xml:space="preserve">4.2 SPATIAL AEOLOTROPY OF KOZHIKODE CITY –UII BASED ON BUFFER ANALYSIS DURING 1993-2023 </w:t>
      </w:r>
    </w:p>
    <w:p w:rsidR="00795354" w:rsidRDefault="00795354" w:rsidP="00A67817">
      <w:pPr>
        <w:jc w:val="both"/>
        <w:rPr>
          <w:rFonts w:ascii="Arial" w:hAnsi="Arial" w:cs="Arial"/>
          <w:b/>
          <w:bCs/>
          <w:color w:val="000000" w:themeColor="text1"/>
        </w:rPr>
      </w:pPr>
    </w:p>
    <w:p w:rsidR="00795354" w:rsidRPr="00F8281E" w:rsidRDefault="00795354" w:rsidP="003D5CEC">
      <w:pPr>
        <w:pStyle w:val="NormalWeb"/>
        <w:jc w:val="both"/>
        <w:rPr>
          <w:rFonts w:ascii="Arial" w:hAnsi="Arial" w:cs="Arial"/>
          <w:sz w:val="20"/>
          <w:szCs w:val="20"/>
        </w:rPr>
      </w:pPr>
      <w:r w:rsidRPr="00F8281E">
        <w:rPr>
          <w:rFonts w:ascii="Arial" w:hAnsi="Arial" w:cs="Arial"/>
          <w:sz w:val="20"/>
          <w:szCs w:val="20"/>
        </w:rPr>
        <w:t>The spatial pattern of urban expansion in Kozhikode City between 1993 and 2023, analyzed using the Urbanization Intensity Index (UII) across directional buffer zones, reveals a clear aeolotropic (directionally varied) trend. During the period 1993–2003, urban growth was concentrated in the inner buffer zones (0–4 km), especially in the eastern and southern sectors. This indicates an early saturation of the core, where the Central Business District (CBD) had already developed around major commercial and administrative hubs. Expansion was most prominent in zones directly adjoining the core, particularly in the north-northeastern and southeastern directions, where improved connectivity and available land supported intensified development. In contrast, limited growth occurred in the western directions due to the coastal boundary, which restricts horizontal expansion.</w:t>
      </w:r>
      <w:r w:rsidR="00F8281E">
        <w:rPr>
          <w:rFonts w:ascii="Arial" w:hAnsi="Arial" w:cs="Arial"/>
          <w:sz w:val="20"/>
          <w:szCs w:val="20"/>
        </w:rPr>
        <w:t xml:space="preserve"> </w:t>
      </w:r>
      <w:r w:rsidRPr="00F8281E">
        <w:rPr>
          <w:rFonts w:ascii="Arial" w:hAnsi="Arial" w:cs="Arial"/>
          <w:sz w:val="20"/>
          <w:szCs w:val="20"/>
        </w:rPr>
        <w:t>From 2003 to 2013, the UII curves continued to show low values at the core with increased intensities in adjacent buffer zones, reflecting gradual outward growth. Urbanization extended notably along major transportation corridors, particularly where national highways intersected, enhancing accessibility and stimulating built-up expansion. However, natural features like rivers and wetlands acted as barriers in certain directions, moderating development in those zones.</w:t>
      </w:r>
    </w:p>
    <w:p w:rsidR="00795354" w:rsidRPr="00F8281E" w:rsidRDefault="00795354" w:rsidP="003D5CEC">
      <w:pPr>
        <w:pStyle w:val="NormalWeb"/>
        <w:jc w:val="both"/>
        <w:rPr>
          <w:rFonts w:ascii="Arial" w:hAnsi="Arial" w:cs="Arial"/>
          <w:sz w:val="20"/>
          <w:szCs w:val="20"/>
        </w:rPr>
      </w:pPr>
      <w:r w:rsidRPr="00F8281E">
        <w:rPr>
          <w:rFonts w:ascii="Arial" w:hAnsi="Arial" w:cs="Arial"/>
          <w:sz w:val="20"/>
          <w:szCs w:val="20"/>
        </w:rPr>
        <w:t>During the most recent period, 2013–2023, a noticeable shift occurred. UII values declined further at the center, confirming the saturation of the core, while peripheral zones (4–14 km) witnessed heightened urban intensification. This phase of development was largely infrastructure-driven, shaped by the expansion of arterial corridors such as NH 66, its bypass, and radial roads branching toward the northeast and southeast. These corridors catalyzed commercial, residential, and institutional growth, supporting the emergence of new urban nodes outside the traditional core. Suburban expansion was reinforced by the establishment of educational institutions, IT parks, and healthcare facilities, transforming previously peripheral areas into vibrant urban clusters.</w:t>
      </w:r>
    </w:p>
    <w:p w:rsidR="00A67817" w:rsidRPr="00F8281E" w:rsidRDefault="00795354" w:rsidP="003D5CEC">
      <w:pPr>
        <w:pStyle w:val="NormalWeb"/>
        <w:jc w:val="both"/>
        <w:rPr>
          <w:rFonts w:ascii="Arial" w:hAnsi="Arial" w:cs="Arial"/>
          <w:sz w:val="20"/>
          <w:szCs w:val="20"/>
        </w:rPr>
      </w:pPr>
      <w:r w:rsidRPr="00F8281E">
        <w:rPr>
          <w:rFonts w:ascii="Arial" w:hAnsi="Arial" w:cs="Arial"/>
          <w:sz w:val="20"/>
          <w:szCs w:val="20"/>
        </w:rPr>
        <w:t>The current spatial structure of Kozhikode reflects a radial-concentric pattern of development, with strong linear growth along major highways and transportation spines. While urban sprawl continues in the north, east, and south, expansion toward the west remains constrained by the Arabian Sea. The resulting urban form is increasingly defined by directional corridors, connecting the city core with outlying regions and fostering a decentralized yet interconnected urban landscape</w:t>
      </w:r>
      <w:r w:rsidR="005E56C1" w:rsidRPr="00F8281E">
        <w:rPr>
          <w:rFonts w:ascii="Arial" w:hAnsi="Arial" w:cs="Arial"/>
          <w:sz w:val="20"/>
          <w:szCs w:val="20"/>
        </w:rPr>
        <w:t xml:space="preserve">. </w:t>
      </w:r>
      <w:r w:rsidR="00A67817" w:rsidRPr="00F8281E">
        <w:rPr>
          <w:rFonts w:ascii="Arial" w:hAnsi="Arial" w:cs="Arial"/>
          <w:color w:val="000000" w:themeColor="text1"/>
          <w:sz w:val="20"/>
          <w:szCs w:val="20"/>
        </w:rPr>
        <w:t>The linear pattern of development along the road corridors has caused urban sprawl in the areas adjoining to the city</w:t>
      </w:r>
      <w:r w:rsidR="00A67817" w:rsidRPr="00F8281E">
        <w:rPr>
          <w:rFonts w:ascii="Arial" w:hAnsi="Arial" w:cs="Arial"/>
          <w:bCs/>
          <w:color w:val="000000" w:themeColor="text1"/>
          <w:sz w:val="20"/>
          <w:szCs w:val="20"/>
        </w:rPr>
        <w:t xml:space="preserve"> and the areas </w:t>
      </w:r>
      <w:r w:rsidR="00A67817" w:rsidRPr="00F8281E">
        <w:rPr>
          <w:rFonts w:ascii="Arial" w:hAnsi="Arial" w:cs="Arial"/>
          <w:color w:val="000000" w:themeColor="text1"/>
          <w:sz w:val="20"/>
          <w:szCs w:val="20"/>
        </w:rPr>
        <w:t xml:space="preserve">stretches to </w:t>
      </w:r>
      <w:proofErr w:type="spellStart"/>
      <w:r w:rsidR="00A67817" w:rsidRPr="00F8281E">
        <w:rPr>
          <w:rFonts w:ascii="Arial" w:hAnsi="Arial" w:cs="Arial"/>
          <w:color w:val="000000" w:themeColor="text1"/>
          <w:sz w:val="20"/>
          <w:szCs w:val="20"/>
        </w:rPr>
        <w:t>Elathur</w:t>
      </w:r>
      <w:proofErr w:type="spellEnd"/>
      <w:r w:rsidR="00A67817" w:rsidRPr="00F8281E">
        <w:rPr>
          <w:rFonts w:ascii="Arial" w:hAnsi="Arial" w:cs="Arial"/>
          <w:color w:val="000000" w:themeColor="text1"/>
          <w:sz w:val="20"/>
          <w:szCs w:val="20"/>
        </w:rPr>
        <w:t xml:space="preserve"> in the north, </w:t>
      </w:r>
      <w:proofErr w:type="spellStart"/>
      <w:r w:rsidR="00A67817" w:rsidRPr="00F8281E">
        <w:rPr>
          <w:rFonts w:ascii="Arial" w:hAnsi="Arial" w:cs="Arial"/>
          <w:color w:val="000000" w:themeColor="text1"/>
          <w:sz w:val="20"/>
          <w:szCs w:val="20"/>
        </w:rPr>
        <w:t>Kunnamangalam</w:t>
      </w:r>
      <w:proofErr w:type="spellEnd"/>
      <w:r w:rsidR="00A67817" w:rsidRPr="00F8281E">
        <w:rPr>
          <w:rFonts w:ascii="Arial" w:hAnsi="Arial" w:cs="Arial"/>
          <w:color w:val="000000" w:themeColor="text1"/>
          <w:sz w:val="20"/>
          <w:szCs w:val="20"/>
        </w:rPr>
        <w:t xml:space="preserve"> in the east and  </w:t>
      </w:r>
      <w:proofErr w:type="spellStart"/>
      <w:r w:rsidR="00A67817" w:rsidRPr="00F8281E">
        <w:rPr>
          <w:rFonts w:ascii="Arial" w:hAnsi="Arial" w:cs="Arial"/>
          <w:color w:val="000000" w:themeColor="text1"/>
          <w:sz w:val="20"/>
          <w:szCs w:val="20"/>
        </w:rPr>
        <w:t>Ramanattukara</w:t>
      </w:r>
      <w:proofErr w:type="spellEnd"/>
      <w:r w:rsidR="00A67817" w:rsidRPr="00F8281E">
        <w:rPr>
          <w:rFonts w:ascii="Arial" w:hAnsi="Arial" w:cs="Arial"/>
          <w:color w:val="000000" w:themeColor="text1"/>
          <w:sz w:val="20"/>
          <w:szCs w:val="20"/>
        </w:rPr>
        <w:t xml:space="preserve"> in the south. City cannot </w:t>
      </w:r>
      <w:r w:rsidR="005E56C1" w:rsidRPr="00F8281E">
        <w:rPr>
          <w:rFonts w:ascii="Arial" w:hAnsi="Arial" w:cs="Arial"/>
          <w:color w:val="000000" w:themeColor="text1"/>
          <w:sz w:val="20"/>
          <w:szCs w:val="20"/>
        </w:rPr>
        <w:lastRenderedPageBreak/>
        <w:t>grow</w:t>
      </w:r>
      <w:r w:rsidR="00A67817" w:rsidRPr="00F8281E">
        <w:rPr>
          <w:rFonts w:ascii="Arial" w:hAnsi="Arial" w:cs="Arial"/>
          <w:color w:val="000000" w:themeColor="text1"/>
          <w:sz w:val="20"/>
          <w:szCs w:val="20"/>
        </w:rPr>
        <w:t xml:space="preserve"> in the direction of WSW, WNW and NNW beca</w:t>
      </w:r>
      <w:r w:rsidR="004823B8">
        <w:rPr>
          <w:rFonts w:ascii="Arial" w:hAnsi="Arial" w:cs="Arial"/>
          <w:color w:val="000000" w:themeColor="text1"/>
          <w:sz w:val="20"/>
          <w:szCs w:val="20"/>
        </w:rPr>
        <w:t>use of coastal limits.  Figure 5</w:t>
      </w:r>
      <w:r w:rsidR="00A67817" w:rsidRPr="00F8281E">
        <w:rPr>
          <w:rFonts w:ascii="Arial" w:hAnsi="Arial" w:cs="Arial"/>
          <w:color w:val="000000" w:themeColor="text1"/>
          <w:sz w:val="20"/>
          <w:szCs w:val="20"/>
        </w:rPr>
        <w:t xml:space="preserve"> illustrates the distribution of built up area in eight directions. Figure 5 shows UII curve in each directions.</w:t>
      </w:r>
    </w:p>
    <w:p w:rsidR="00A67817" w:rsidRDefault="00A67817" w:rsidP="00A67817">
      <w:pPr>
        <w:ind w:firstLine="432"/>
        <w:jc w:val="both"/>
        <w:rPr>
          <w:rFonts w:ascii="Arial" w:hAnsi="Arial" w:cs="Arial"/>
          <w:color w:val="000000" w:themeColor="text1"/>
        </w:rPr>
      </w:pPr>
    </w:p>
    <w:p w:rsidR="00A67817" w:rsidRDefault="00A67817" w:rsidP="00C74EAF">
      <w:pPr>
        <w:ind w:firstLine="432"/>
        <w:jc w:val="center"/>
        <w:rPr>
          <w:rFonts w:ascii="Arial" w:hAnsi="Arial" w:cs="Arial"/>
          <w:color w:val="000000" w:themeColor="text1"/>
        </w:rPr>
      </w:pPr>
      <w:r w:rsidRPr="00A67817">
        <w:rPr>
          <w:rFonts w:ascii="Arial" w:hAnsi="Arial" w:cs="Arial"/>
          <w:noProof/>
          <w:color w:val="000000" w:themeColor="text1"/>
        </w:rPr>
        <w:drawing>
          <wp:inline distT="0" distB="0" distL="0" distR="0">
            <wp:extent cx="5212080" cy="4027519"/>
            <wp:effectExtent l="19050" t="0" r="7620" b="0"/>
            <wp:docPr id="15" name="Picture 13" descr="E:\PhD\chapters\Chapter 5_urban expansion\buffer gradient\full map_aeolotropic gradient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hD\chapters\Chapter 5_urban expansion\buffer gradient\full map_aeolotropic gradient_paper.jpg"/>
                    <pic:cNvPicPr>
                      <a:picLocks noChangeAspect="1" noChangeArrowheads="1"/>
                    </pic:cNvPicPr>
                  </pic:nvPicPr>
                  <pic:blipFill>
                    <a:blip r:embed="rId18"/>
                    <a:srcRect/>
                    <a:stretch>
                      <a:fillRect/>
                    </a:stretch>
                  </pic:blipFill>
                  <pic:spPr bwMode="auto">
                    <a:xfrm>
                      <a:off x="0" y="0"/>
                      <a:ext cx="5212080" cy="4027519"/>
                    </a:xfrm>
                    <a:prstGeom prst="rect">
                      <a:avLst/>
                    </a:prstGeom>
                    <a:noFill/>
                    <a:ln w="9525">
                      <a:noFill/>
                      <a:miter lim="800000"/>
                      <a:headEnd/>
                      <a:tailEnd/>
                    </a:ln>
                  </pic:spPr>
                </pic:pic>
              </a:graphicData>
            </a:graphic>
          </wp:inline>
        </w:drawing>
      </w:r>
    </w:p>
    <w:p w:rsidR="00A67817" w:rsidRPr="00A67817" w:rsidRDefault="004823B8" w:rsidP="00A67817">
      <w:pPr>
        <w:pStyle w:val="EJG31text"/>
        <w:jc w:val="center"/>
        <w:rPr>
          <w:rFonts w:ascii="Arial" w:hAnsi="Arial" w:cs="Arial"/>
          <w:sz w:val="20"/>
          <w:szCs w:val="20"/>
        </w:rPr>
      </w:pPr>
      <w:r>
        <w:rPr>
          <w:rFonts w:ascii="Arial" w:hAnsi="Arial" w:cs="Arial"/>
          <w:sz w:val="20"/>
          <w:szCs w:val="20"/>
        </w:rPr>
        <w:t>Figure 5</w:t>
      </w:r>
      <w:r w:rsidR="00A67817" w:rsidRPr="00A67817">
        <w:rPr>
          <w:rFonts w:ascii="Arial" w:hAnsi="Arial" w:cs="Arial"/>
          <w:sz w:val="20"/>
          <w:szCs w:val="20"/>
        </w:rPr>
        <w:t xml:space="preserve">. </w:t>
      </w:r>
      <w:r w:rsidR="00A67817" w:rsidRPr="00A67817">
        <w:rPr>
          <w:rFonts w:ascii="Arial" w:hAnsi="Arial" w:cs="Arial"/>
          <w:color w:val="000000" w:themeColor="text1"/>
          <w:sz w:val="20"/>
          <w:szCs w:val="20"/>
        </w:rPr>
        <w:t>Distribution of built up area in eight directions</w:t>
      </w:r>
    </w:p>
    <w:p w:rsidR="00A67817" w:rsidRPr="00A67817" w:rsidRDefault="00A67817" w:rsidP="00A67817">
      <w:pPr>
        <w:ind w:firstLine="432"/>
        <w:jc w:val="both"/>
        <w:rPr>
          <w:rFonts w:ascii="Arial" w:hAnsi="Arial" w:cs="Arial"/>
          <w:color w:val="000000" w:themeColor="text1"/>
        </w:rPr>
      </w:pPr>
    </w:p>
    <w:p w:rsidR="00A67817" w:rsidRDefault="00A67817" w:rsidP="00A67817">
      <w:pPr>
        <w:pStyle w:val="EJG31text"/>
        <w:jc w:val="center"/>
        <w:rPr>
          <w:rFonts w:cs="Calibri Light"/>
          <w:bdr w:val="single" w:sz="4" w:space="0" w:color="auto"/>
        </w:rPr>
      </w:pPr>
    </w:p>
    <w:p w:rsidR="00A67817" w:rsidRDefault="00A67817" w:rsidP="00A67817">
      <w:pPr>
        <w:pStyle w:val="EJG31text"/>
        <w:jc w:val="center"/>
        <w:rPr>
          <w:rFonts w:cs="Calibri Light"/>
          <w:bdr w:val="single" w:sz="4" w:space="0" w:color="auto"/>
        </w:rPr>
      </w:pPr>
    </w:p>
    <w:p w:rsidR="00A67817" w:rsidRDefault="00A67817" w:rsidP="00C74EAF">
      <w:pPr>
        <w:pStyle w:val="EJG31text"/>
        <w:ind w:firstLine="0"/>
        <w:rPr>
          <w:rFonts w:cs="Calibri Light"/>
        </w:rPr>
      </w:pPr>
    </w:p>
    <w:p w:rsidR="00A67817" w:rsidRDefault="00A67817" w:rsidP="00A67817">
      <w:pPr>
        <w:pStyle w:val="EJG31text"/>
        <w:jc w:val="center"/>
        <w:rPr>
          <w:rFonts w:cs="Calibri Light"/>
        </w:rPr>
      </w:pPr>
    </w:p>
    <w:p w:rsidR="00A67817" w:rsidRDefault="00A67817"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4823B8" w:rsidRDefault="004823B8" w:rsidP="00C74EAF">
      <w:pPr>
        <w:pStyle w:val="EJG31text"/>
        <w:ind w:firstLine="0"/>
        <w:rPr>
          <w:rFonts w:cs="Calibri Light"/>
        </w:rPr>
      </w:pPr>
    </w:p>
    <w:p w:rsidR="00A67817" w:rsidRDefault="00A67817" w:rsidP="00A67817">
      <w:pPr>
        <w:pStyle w:val="EJG31text"/>
        <w:jc w:val="center"/>
        <w:rPr>
          <w:rFonts w:cs="Calibri Light"/>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427"/>
        <w:gridCol w:w="5256"/>
      </w:tblGrid>
      <w:tr w:rsidR="00A67817" w:rsidRPr="00F8281E" w:rsidTr="00A67817">
        <w:trPr>
          <w:trHeight w:val="1290"/>
          <w:jc w:val="center"/>
        </w:trPr>
        <w:tc>
          <w:tcPr>
            <w:tcW w:w="5193" w:type="dxa"/>
            <w:shd w:val="clear" w:color="auto" w:fill="auto"/>
            <w:tcMar>
              <w:top w:w="0" w:type="dxa"/>
              <w:left w:w="108" w:type="dxa"/>
              <w:bottom w:w="0" w:type="dxa"/>
              <w:right w:w="108" w:type="dxa"/>
            </w:tcMar>
            <w:vAlign w:val="center"/>
          </w:tcPr>
          <w:p w:rsidR="00A67817" w:rsidRPr="00F8281E" w:rsidRDefault="00A67817" w:rsidP="00165794">
            <w:pPr>
              <w:pStyle w:val="EJG52figure"/>
              <w:spacing w:before="0"/>
              <w:rPr>
                <w:rFonts w:ascii="Arial" w:hAnsi="Arial" w:cs="Arial"/>
              </w:rPr>
            </w:pPr>
            <w:r w:rsidRPr="00F8281E">
              <w:rPr>
                <w:rFonts w:ascii="Arial" w:hAnsi="Arial" w:cs="Arial"/>
                <w:noProof/>
                <w:lang w:eastAsia="en-US" w:bidi="ar-SA"/>
              </w:rPr>
              <w:lastRenderedPageBreak/>
              <w:drawing>
                <wp:inline distT="0" distB="0" distL="0" distR="0">
                  <wp:extent cx="3050274" cy="168549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67817" w:rsidRPr="00F8281E" w:rsidRDefault="00A67817" w:rsidP="00165794">
            <w:pPr>
              <w:pStyle w:val="EJG52figure"/>
              <w:spacing w:before="0"/>
              <w:rPr>
                <w:rFonts w:ascii="Arial" w:hAnsi="Arial" w:cs="Arial"/>
                <w:sz w:val="18"/>
                <w:szCs w:val="18"/>
              </w:rPr>
            </w:pPr>
            <w:r w:rsidRPr="00F8281E">
              <w:rPr>
                <w:rFonts w:ascii="Arial" w:hAnsi="Arial" w:cs="Arial"/>
                <w:sz w:val="18"/>
                <w:szCs w:val="18"/>
              </w:rPr>
              <w:t>(</w:t>
            </w:r>
            <w:r w:rsidRPr="00F8281E">
              <w:rPr>
                <w:rFonts w:ascii="Arial" w:hAnsi="Arial" w:cs="Arial"/>
                <w:b/>
                <w:sz w:val="18"/>
                <w:szCs w:val="18"/>
              </w:rPr>
              <w:t>a</w:t>
            </w:r>
            <w:r w:rsidRPr="00F8281E">
              <w:rPr>
                <w:rFonts w:ascii="Arial" w:hAnsi="Arial" w:cs="Arial"/>
                <w:sz w:val="18"/>
                <w:szCs w:val="18"/>
              </w:rPr>
              <w:t>)</w:t>
            </w:r>
          </w:p>
        </w:tc>
        <w:tc>
          <w:tcPr>
            <w:tcW w:w="5029" w:type="dxa"/>
            <w:shd w:val="clear" w:color="auto" w:fill="auto"/>
            <w:tcMar>
              <w:top w:w="0" w:type="dxa"/>
              <w:left w:w="108" w:type="dxa"/>
              <w:bottom w:w="0" w:type="dxa"/>
              <w:right w:w="108" w:type="dxa"/>
            </w:tcMar>
          </w:tcPr>
          <w:p w:rsidR="00A67817" w:rsidRPr="00F8281E" w:rsidRDefault="00A67817" w:rsidP="00165794">
            <w:pPr>
              <w:pStyle w:val="EJG52figure"/>
              <w:spacing w:before="0"/>
              <w:rPr>
                <w:rFonts w:ascii="Arial" w:hAnsi="Arial" w:cs="Arial"/>
              </w:rPr>
            </w:pPr>
            <w:r w:rsidRPr="00F8281E">
              <w:rPr>
                <w:rFonts w:ascii="Arial" w:hAnsi="Arial" w:cs="Arial"/>
                <w:noProof/>
                <w:lang w:eastAsia="en-US" w:bidi="ar-SA"/>
              </w:rPr>
              <w:drawing>
                <wp:inline distT="0" distB="0" distL="0" distR="0">
                  <wp:extent cx="2910253" cy="1758462"/>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7817" w:rsidRPr="00F8281E" w:rsidRDefault="00A67817" w:rsidP="00165794">
            <w:pPr>
              <w:jc w:val="center"/>
              <w:rPr>
                <w:rFonts w:ascii="Arial" w:hAnsi="Arial" w:cs="Arial"/>
                <w:lang w:eastAsia="de-DE" w:bidi="en-US"/>
              </w:rPr>
            </w:pPr>
            <w:r w:rsidRPr="00F8281E">
              <w:rPr>
                <w:rFonts w:ascii="Arial" w:hAnsi="Arial" w:cs="Arial"/>
                <w:sz w:val="18"/>
                <w:szCs w:val="18"/>
              </w:rPr>
              <w:t>(</w:t>
            </w:r>
            <w:r w:rsidRPr="00F8281E">
              <w:rPr>
                <w:rFonts w:ascii="Arial" w:hAnsi="Arial" w:cs="Arial"/>
                <w:b/>
                <w:sz w:val="18"/>
                <w:szCs w:val="18"/>
              </w:rPr>
              <w:t>b</w:t>
            </w:r>
            <w:r w:rsidRPr="00F8281E">
              <w:rPr>
                <w:rFonts w:ascii="Arial" w:hAnsi="Arial" w:cs="Arial"/>
                <w:sz w:val="18"/>
                <w:szCs w:val="18"/>
              </w:rPr>
              <w:t>)</w:t>
            </w:r>
          </w:p>
        </w:tc>
      </w:tr>
      <w:tr w:rsidR="00A67817" w:rsidRPr="00F8281E" w:rsidTr="00A67817">
        <w:trPr>
          <w:trHeight w:val="1244"/>
          <w:jc w:val="center"/>
        </w:trPr>
        <w:tc>
          <w:tcPr>
            <w:tcW w:w="5193" w:type="dxa"/>
            <w:shd w:val="clear" w:color="auto" w:fill="auto"/>
            <w:tcMar>
              <w:top w:w="0" w:type="dxa"/>
              <w:left w:w="108" w:type="dxa"/>
              <w:bottom w:w="0" w:type="dxa"/>
              <w:right w:w="108" w:type="dxa"/>
            </w:tcMar>
            <w:vAlign w:val="center"/>
          </w:tcPr>
          <w:p w:rsidR="00A67817" w:rsidRPr="00F8281E" w:rsidRDefault="00A67817" w:rsidP="00165794">
            <w:pPr>
              <w:pStyle w:val="EJG52figure"/>
              <w:spacing w:before="0"/>
              <w:jc w:val="both"/>
              <w:rPr>
                <w:rFonts w:ascii="Arial" w:hAnsi="Arial" w:cs="Arial"/>
              </w:rPr>
            </w:pPr>
            <w:r w:rsidRPr="00F8281E">
              <w:rPr>
                <w:rFonts w:ascii="Arial" w:hAnsi="Arial" w:cs="Arial"/>
                <w:noProof/>
                <w:lang w:eastAsia="en-US" w:bidi="ar-SA"/>
              </w:rPr>
              <w:drawing>
                <wp:inline distT="0" distB="0" distL="0" distR="0">
                  <wp:extent cx="2886501" cy="1439838"/>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7817" w:rsidRPr="00F8281E" w:rsidRDefault="00A67817" w:rsidP="00165794">
            <w:pPr>
              <w:pStyle w:val="EJG52figure"/>
              <w:spacing w:before="0"/>
              <w:rPr>
                <w:rFonts w:ascii="Arial" w:hAnsi="Arial" w:cs="Arial"/>
                <w:sz w:val="18"/>
                <w:szCs w:val="18"/>
              </w:rPr>
            </w:pPr>
            <w:r w:rsidRPr="00F8281E">
              <w:rPr>
                <w:rFonts w:ascii="Arial" w:hAnsi="Arial" w:cs="Arial"/>
                <w:sz w:val="18"/>
                <w:szCs w:val="18"/>
              </w:rPr>
              <w:t>(</w:t>
            </w:r>
            <w:r w:rsidRPr="00F8281E">
              <w:rPr>
                <w:rFonts w:ascii="Arial" w:hAnsi="Arial" w:cs="Arial"/>
                <w:b/>
                <w:sz w:val="18"/>
                <w:szCs w:val="18"/>
              </w:rPr>
              <w:t>c</w:t>
            </w:r>
            <w:r w:rsidRPr="00F8281E">
              <w:rPr>
                <w:rFonts w:ascii="Arial" w:hAnsi="Arial" w:cs="Arial"/>
                <w:sz w:val="18"/>
                <w:szCs w:val="18"/>
              </w:rPr>
              <w:t>)</w:t>
            </w:r>
            <w:r w:rsidRPr="00F8281E">
              <w:rPr>
                <w:rFonts w:ascii="Arial" w:hAnsi="Arial" w:cs="Arial"/>
              </w:rPr>
              <w:t xml:space="preserve"> </w:t>
            </w:r>
          </w:p>
          <w:p w:rsidR="00A67817" w:rsidRPr="00F8281E" w:rsidRDefault="00A67817" w:rsidP="00165794">
            <w:pPr>
              <w:pStyle w:val="EJG52figure"/>
              <w:spacing w:before="0"/>
              <w:jc w:val="both"/>
              <w:rPr>
                <w:rFonts w:ascii="Arial" w:hAnsi="Arial" w:cs="Arial"/>
              </w:rPr>
            </w:pPr>
          </w:p>
        </w:tc>
        <w:tc>
          <w:tcPr>
            <w:tcW w:w="5029" w:type="dxa"/>
            <w:vMerge w:val="restart"/>
            <w:shd w:val="clear" w:color="auto" w:fill="auto"/>
            <w:tcMar>
              <w:top w:w="0" w:type="dxa"/>
              <w:left w:w="108" w:type="dxa"/>
              <w:bottom w:w="0" w:type="dxa"/>
              <w:right w:w="108" w:type="dxa"/>
            </w:tcMar>
          </w:tcPr>
          <w:p w:rsidR="00A67817" w:rsidRPr="00F8281E" w:rsidRDefault="00A67817" w:rsidP="00165794">
            <w:pPr>
              <w:pStyle w:val="EJG52figure"/>
              <w:spacing w:before="0"/>
              <w:rPr>
                <w:rFonts w:ascii="Arial" w:hAnsi="Arial" w:cs="Arial"/>
              </w:rPr>
            </w:pPr>
            <w:r w:rsidRPr="00F8281E">
              <w:rPr>
                <w:rFonts w:ascii="Arial" w:hAnsi="Arial" w:cs="Arial"/>
                <w:noProof/>
                <w:lang w:eastAsia="en-US" w:bidi="ar-SA"/>
              </w:rPr>
              <w:drawing>
                <wp:inline distT="0" distB="0" distL="0" distR="0">
                  <wp:extent cx="3043451" cy="1617259"/>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7817" w:rsidRPr="00F8281E" w:rsidRDefault="00A67817" w:rsidP="00165794">
            <w:pPr>
              <w:tabs>
                <w:tab w:val="left" w:pos="1773"/>
              </w:tabs>
              <w:jc w:val="center"/>
              <w:rPr>
                <w:rFonts w:ascii="Arial" w:hAnsi="Arial" w:cs="Arial"/>
                <w:sz w:val="18"/>
                <w:szCs w:val="18"/>
              </w:rPr>
            </w:pPr>
            <w:r w:rsidRPr="00F8281E">
              <w:rPr>
                <w:rFonts w:ascii="Arial" w:hAnsi="Arial" w:cs="Arial"/>
                <w:sz w:val="18"/>
                <w:szCs w:val="18"/>
              </w:rPr>
              <w:t>(</w:t>
            </w:r>
            <w:r w:rsidRPr="00F8281E">
              <w:rPr>
                <w:rFonts w:ascii="Arial" w:hAnsi="Arial" w:cs="Arial"/>
                <w:b/>
                <w:sz w:val="18"/>
                <w:szCs w:val="18"/>
              </w:rPr>
              <w:t>d</w:t>
            </w:r>
            <w:r w:rsidRPr="00F8281E">
              <w:rPr>
                <w:rFonts w:ascii="Arial" w:hAnsi="Arial" w:cs="Arial"/>
                <w:sz w:val="18"/>
                <w:szCs w:val="18"/>
              </w:rPr>
              <w:t>)</w:t>
            </w:r>
          </w:p>
          <w:p w:rsidR="00A67817" w:rsidRPr="00F8281E" w:rsidRDefault="00A67817" w:rsidP="00165794">
            <w:pPr>
              <w:tabs>
                <w:tab w:val="left" w:pos="1773"/>
              </w:tabs>
              <w:jc w:val="center"/>
              <w:rPr>
                <w:rFonts w:ascii="Arial" w:hAnsi="Arial" w:cs="Arial"/>
                <w:lang w:eastAsia="de-DE" w:bidi="en-US"/>
              </w:rPr>
            </w:pPr>
            <w:r w:rsidRPr="00F8281E">
              <w:rPr>
                <w:rFonts w:ascii="Arial" w:hAnsi="Arial" w:cs="Arial"/>
                <w:noProof/>
                <w:sz w:val="18"/>
                <w:szCs w:val="18"/>
              </w:rPr>
              <w:drawing>
                <wp:inline distT="0" distB="0" distL="0" distR="0">
                  <wp:extent cx="3200400" cy="1931158"/>
                  <wp:effectExtent l="0" t="0" r="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8281E">
              <w:rPr>
                <w:rFonts w:ascii="Arial" w:hAnsi="Arial" w:cs="Arial"/>
                <w:sz w:val="18"/>
                <w:szCs w:val="18"/>
              </w:rPr>
              <w:t>(</w:t>
            </w:r>
            <w:r w:rsidRPr="00F8281E">
              <w:rPr>
                <w:rFonts w:ascii="Arial" w:hAnsi="Arial" w:cs="Arial"/>
                <w:b/>
                <w:sz w:val="18"/>
                <w:szCs w:val="18"/>
              </w:rPr>
              <w:t>f</w:t>
            </w:r>
            <w:r w:rsidRPr="00F8281E">
              <w:rPr>
                <w:rFonts w:ascii="Arial" w:hAnsi="Arial" w:cs="Arial"/>
                <w:sz w:val="18"/>
                <w:szCs w:val="18"/>
              </w:rPr>
              <w:t>)</w:t>
            </w:r>
          </w:p>
        </w:tc>
      </w:tr>
      <w:tr w:rsidR="00A67817" w:rsidRPr="00F8281E" w:rsidTr="00A67817">
        <w:trPr>
          <w:trHeight w:val="1326"/>
          <w:jc w:val="center"/>
        </w:trPr>
        <w:tc>
          <w:tcPr>
            <w:tcW w:w="5193" w:type="dxa"/>
            <w:shd w:val="clear" w:color="auto" w:fill="auto"/>
            <w:tcMar>
              <w:top w:w="0" w:type="dxa"/>
              <w:left w:w="108" w:type="dxa"/>
              <w:bottom w:w="0" w:type="dxa"/>
              <w:right w:w="108" w:type="dxa"/>
            </w:tcMar>
            <w:vAlign w:val="center"/>
          </w:tcPr>
          <w:p w:rsidR="00A67817" w:rsidRPr="00F8281E" w:rsidRDefault="00A67817" w:rsidP="00165794">
            <w:pPr>
              <w:pStyle w:val="EJG52figure"/>
              <w:spacing w:before="0"/>
              <w:jc w:val="both"/>
              <w:rPr>
                <w:rFonts w:ascii="Arial" w:hAnsi="Arial" w:cs="Arial"/>
              </w:rPr>
            </w:pPr>
            <w:r w:rsidRPr="00F8281E">
              <w:rPr>
                <w:rFonts w:ascii="Arial" w:hAnsi="Arial" w:cs="Arial"/>
                <w:noProof/>
                <w:lang w:eastAsia="en-US" w:bidi="ar-SA"/>
              </w:rPr>
              <w:drawing>
                <wp:inline distT="0" distB="0" distL="0" distR="0">
                  <wp:extent cx="3179928" cy="1753737"/>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7817" w:rsidRPr="00F8281E" w:rsidRDefault="00A67817" w:rsidP="00165794">
            <w:pPr>
              <w:pStyle w:val="EJG52figure"/>
              <w:spacing w:before="0"/>
              <w:rPr>
                <w:rFonts w:ascii="Arial" w:hAnsi="Arial" w:cs="Arial"/>
                <w:b/>
              </w:rPr>
            </w:pPr>
            <w:r w:rsidRPr="00F8281E">
              <w:rPr>
                <w:rFonts w:ascii="Arial" w:hAnsi="Arial" w:cs="Arial"/>
                <w:b/>
              </w:rPr>
              <w:t>(e)</w:t>
            </w:r>
          </w:p>
        </w:tc>
        <w:tc>
          <w:tcPr>
            <w:tcW w:w="5029" w:type="dxa"/>
            <w:vMerge/>
            <w:shd w:val="clear" w:color="auto" w:fill="auto"/>
            <w:tcMar>
              <w:top w:w="0" w:type="dxa"/>
              <w:left w:w="108" w:type="dxa"/>
              <w:bottom w:w="0" w:type="dxa"/>
              <w:right w:w="108" w:type="dxa"/>
            </w:tcMar>
          </w:tcPr>
          <w:p w:rsidR="00A67817" w:rsidRPr="00F8281E" w:rsidRDefault="00A67817" w:rsidP="00165794">
            <w:pPr>
              <w:pStyle w:val="EJG52figure"/>
              <w:spacing w:before="0"/>
              <w:rPr>
                <w:rFonts w:ascii="Arial" w:hAnsi="Arial" w:cs="Arial"/>
              </w:rPr>
            </w:pPr>
          </w:p>
        </w:tc>
      </w:tr>
      <w:tr w:rsidR="00A67817" w:rsidRPr="00F8281E" w:rsidTr="00A67817">
        <w:trPr>
          <w:trHeight w:val="1357"/>
          <w:jc w:val="center"/>
        </w:trPr>
        <w:tc>
          <w:tcPr>
            <w:tcW w:w="5193" w:type="dxa"/>
            <w:shd w:val="clear" w:color="auto" w:fill="auto"/>
            <w:tcMar>
              <w:top w:w="0" w:type="dxa"/>
              <w:left w:w="108" w:type="dxa"/>
              <w:bottom w:w="0" w:type="dxa"/>
              <w:right w:w="108" w:type="dxa"/>
            </w:tcMar>
            <w:vAlign w:val="center"/>
          </w:tcPr>
          <w:p w:rsidR="00A67817" w:rsidRPr="00F8281E" w:rsidRDefault="00A67817" w:rsidP="00165794">
            <w:pPr>
              <w:pStyle w:val="EJG52figure"/>
              <w:spacing w:before="0"/>
              <w:jc w:val="both"/>
              <w:rPr>
                <w:rFonts w:ascii="Arial" w:hAnsi="Arial" w:cs="Arial"/>
              </w:rPr>
            </w:pPr>
            <w:r w:rsidRPr="00F8281E">
              <w:rPr>
                <w:rFonts w:ascii="Arial" w:hAnsi="Arial" w:cs="Arial"/>
                <w:noProof/>
                <w:lang w:eastAsia="en-US" w:bidi="ar-SA"/>
              </w:rPr>
              <w:drawing>
                <wp:inline distT="0" distB="0" distL="0" distR="0">
                  <wp:extent cx="3309582" cy="1555845"/>
                  <wp:effectExtent l="0" t="0" r="0" b="0"/>
                  <wp:docPr id="2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7817" w:rsidRPr="00F8281E" w:rsidRDefault="00A67817" w:rsidP="00165794">
            <w:pPr>
              <w:pStyle w:val="EJG52figure"/>
              <w:spacing w:before="0"/>
              <w:rPr>
                <w:rFonts w:ascii="Arial" w:hAnsi="Arial" w:cs="Arial"/>
                <w:b/>
              </w:rPr>
            </w:pPr>
            <w:r w:rsidRPr="00F8281E">
              <w:rPr>
                <w:rFonts w:ascii="Arial" w:hAnsi="Arial" w:cs="Arial"/>
                <w:b/>
              </w:rPr>
              <w:t>(g)</w:t>
            </w:r>
          </w:p>
        </w:tc>
        <w:tc>
          <w:tcPr>
            <w:tcW w:w="5029" w:type="dxa"/>
            <w:shd w:val="clear" w:color="auto" w:fill="auto"/>
            <w:tcMar>
              <w:top w:w="0" w:type="dxa"/>
              <w:left w:w="108" w:type="dxa"/>
              <w:bottom w:w="0" w:type="dxa"/>
              <w:right w:w="108" w:type="dxa"/>
            </w:tcMar>
          </w:tcPr>
          <w:p w:rsidR="00A67817" w:rsidRPr="00F8281E" w:rsidRDefault="00A67817" w:rsidP="00165794">
            <w:pPr>
              <w:pStyle w:val="EJG52figure"/>
              <w:spacing w:before="0"/>
              <w:rPr>
                <w:rFonts w:ascii="Arial" w:hAnsi="Arial" w:cs="Arial"/>
              </w:rPr>
            </w:pPr>
            <w:r w:rsidRPr="00F8281E">
              <w:rPr>
                <w:rFonts w:ascii="Arial" w:hAnsi="Arial" w:cs="Arial"/>
                <w:noProof/>
                <w:lang w:eastAsia="en-US" w:bidi="ar-SA"/>
              </w:rPr>
              <w:drawing>
                <wp:inline distT="0" distB="0" distL="0" distR="0">
                  <wp:extent cx="2934268" cy="1555845"/>
                  <wp:effectExtent l="0" t="0" r="0"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7817" w:rsidRPr="00F8281E" w:rsidRDefault="00A67817" w:rsidP="00165794">
            <w:pPr>
              <w:pStyle w:val="EJG52figure"/>
              <w:spacing w:before="0"/>
              <w:rPr>
                <w:rFonts w:ascii="Arial" w:hAnsi="Arial" w:cs="Arial"/>
                <w:b/>
              </w:rPr>
            </w:pPr>
            <w:r w:rsidRPr="00F8281E">
              <w:rPr>
                <w:rFonts w:ascii="Arial" w:hAnsi="Arial" w:cs="Arial"/>
                <w:b/>
              </w:rPr>
              <w:t>(h)</w:t>
            </w:r>
          </w:p>
        </w:tc>
      </w:tr>
    </w:tbl>
    <w:p w:rsidR="00165794" w:rsidRDefault="00165794" w:rsidP="00165794">
      <w:pPr>
        <w:pStyle w:val="EJG51figurecaption"/>
        <w:ind w:left="0"/>
        <w:rPr>
          <w:rFonts w:ascii="Arial" w:hAnsi="Arial" w:cs="Arial"/>
          <w:sz w:val="20"/>
        </w:rPr>
      </w:pPr>
      <w:r w:rsidRPr="00165794">
        <w:rPr>
          <w:rFonts w:ascii="Arial" w:hAnsi="Arial" w:cs="Arial"/>
          <w:b/>
          <w:sz w:val="20"/>
        </w:rPr>
        <w:t xml:space="preserve">Figure </w:t>
      </w:r>
      <w:r w:rsidR="004823B8">
        <w:rPr>
          <w:rFonts w:ascii="Arial" w:hAnsi="Arial" w:cs="Arial"/>
          <w:b/>
          <w:sz w:val="20"/>
        </w:rPr>
        <w:t>6</w:t>
      </w:r>
      <w:r w:rsidRPr="00165794">
        <w:rPr>
          <w:rFonts w:ascii="Arial" w:hAnsi="Arial" w:cs="Arial"/>
          <w:b/>
          <w:sz w:val="20"/>
        </w:rPr>
        <w:t>.</w:t>
      </w:r>
      <w:r w:rsidRPr="00165794">
        <w:rPr>
          <w:rFonts w:ascii="Arial" w:hAnsi="Arial" w:cs="Arial"/>
          <w:sz w:val="20"/>
        </w:rPr>
        <w:t xml:space="preserve"> (</w:t>
      </w:r>
      <w:r w:rsidRPr="00165794">
        <w:rPr>
          <w:rFonts w:ascii="Arial" w:hAnsi="Arial" w:cs="Arial"/>
          <w:b/>
          <w:sz w:val="20"/>
        </w:rPr>
        <w:t>a</w:t>
      </w:r>
      <w:r w:rsidRPr="00165794">
        <w:rPr>
          <w:rFonts w:ascii="Arial" w:hAnsi="Arial" w:cs="Arial"/>
          <w:sz w:val="20"/>
        </w:rPr>
        <w:t>) Urbanization intensity in North Northeast direction; (</w:t>
      </w:r>
      <w:r w:rsidRPr="00165794">
        <w:rPr>
          <w:rFonts w:ascii="Arial" w:hAnsi="Arial" w:cs="Arial"/>
          <w:b/>
          <w:sz w:val="20"/>
        </w:rPr>
        <w:t>b</w:t>
      </w:r>
      <w:r w:rsidRPr="00165794">
        <w:rPr>
          <w:rFonts w:ascii="Arial" w:hAnsi="Arial" w:cs="Arial"/>
          <w:sz w:val="20"/>
        </w:rPr>
        <w:t>) Urbanization intensity in East Northeast direction; (</w:t>
      </w:r>
      <w:r w:rsidRPr="00165794">
        <w:rPr>
          <w:rFonts w:ascii="Arial" w:hAnsi="Arial" w:cs="Arial"/>
          <w:b/>
          <w:sz w:val="20"/>
        </w:rPr>
        <w:t>c</w:t>
      </w:r>
      <w:r w:rsidRPr="00165794">
        <w:rPr>
          <w:rFonts w:ascii="Arial" w:hAnsi="Arial" w:cs="Arial"/>
          <w:sz w:val="20"/>
        </w:rPr>
        <w:t>) Urbanization intensity in East Southeast direction; (</w:t>
      </w:r>
      <w:r w:rsidRPr="00165794">
        <w:rPr>
          <w:rFonts w:ascii="Arial" w:hAnsi="Arial" w:cs="Arial"/>
          <w:b/>
          <w:sz w:val="20"/>
        </w:rPr>
        <w:t>c</w:t>
      </w:r>
      <w:r w:rsidRPr="00165794">
        <w:rPr>
          <w:rFonts w:ascii="Arial" w:hAnsi="Arial" w:cs="Arial"/>
          <w:sz w:val="20"/>
        </w:rPr>
        <w:t>) Urbanization intensity in South Southeast direction; (</w:t>
      </w:r>
      <w:r w:rsidRPr="00165794">
        <w:rPr>
          <w:rFonts w:ascii="Arial" w:hAnsi="Arial" w:cs="Arial"/>
          <w:b/>
          <w:sz w:val="20"/>
        </w:rPr>
        <w:t>e</w:t>
      </w:r>
      <w:r w:rsidRPr="00165794">
        <w:rPr>
          <w:rFonts w:ascii="Arial" w:hAnsi="Arial" w:cs="Arial"/>
          <w:sz w:val="20"/>
        </w:rPr>
        <w:t>) Urbanization intensity in South Southwest direction; (</w:t>
      </w:r>
      <w:r w:rsidRPr="00165794">
        <w:rPr>
          <w:rFonts w:ascii="Arial" w:hAnsi="Arial" w:cs="Arial"/>
          <w:b/>
          <w:sz w:val="20"/>
        </w:rPr>
        <w:t>f</w:t>
      </w:r>
      <w:r w:rsidRPr="00165794">
        <w:rPr>
          <w:rFonts w:ascii="Arial" w:hAnsi="Arial" w:cs="Arial"/>
          <w:sz w:val="20"/>
        </w:rPr>
        <w:t>) Urbanization intensity in West Southwest direction; (</w:t>
      </w:r>
      <w:r w:rsidRPr="00165794">
        <w:rPr>
          <w:rFonts w:ascii="Arial" w:hAnsi="Arial" w:cs="Arial"/>
          <w:b/>
          <w:sz w:val="20"/>
        </w:rPr>
        <w:t>g</w:t>
      </w:r>
      <w:r w:rsidRPr="00165794">
        <w:rPr>
          <w:rFonts w:ascii="Arial" w:hAnsi="Arial" w:cs="Arial"/>
          <w:sz w:val="20"/>
        </w:rPr>
        <w:t>) Urbanization intensity in West Northwest direction; (</w:t>
      </w:r>
      <w:r w:rsidRPr="00165794">
        <w:rPr>
          <w:rFonts w:ascii="Arial" w:hAnsi="Arial" w:cs="Arial"/>
          <w:b/>
          <w:sz w:val="20"/>
        </w:rPr>
        <w:t>h</w:t>
      </w:r>
      <w:r w:rsidRPr="00165794">
        <w:rPr>
          <w:rFonts w:ascii="Arial" w:hAnsi="Arial" w:cs="Arial"/>
          <w:sz w:val="20"/>
        </w:rPr>
        <w:t>) Urbanization intensity in North Northwest direction</w:t>
      </w:r>
      <w:r>
        <w:rPr>
          <w:rFonts w:ascii="Arial" w:hAnsi="Arial" w:cs="Arial"/>
          <w:sz w:val="20"/>
        </w:rPr>
        <w:t>.</w:t>
      </w:r>
    </w:p>
    <w:p w:rsidR="00165794" w:rsidRDefault="00C74EAF" w:rsidP="00165794">
      <w:pPr>
        <w:rPr>
          <w:rFonts w:ascii="Arial" w:hAnsi="Arial" w:cs="Arial"/>
          <w:b/>
          <w:bCs/>
          <w:color w:val="000000" w:themeColor="text1"/>
        </w:rPr>
      </w:pPr>
      <w:r w:rsidRPr="00165794">
        <w:rPr>
          <w:rFonts w:ascii="Arial" w:hAnsi="Arial" w:cs="Arial"/>
          <w:b/>
          <w:bCs/>
          <w:color w:val="000000" w:themeColor="text1"/>
        </w:rPr>
        <w:lastRenderedPageBreak/>
        <w:t>4.3 SPATIAL AEOLOTROPY OF URBANIZATION PROPORTIONATE INDEX (UPI) BASED ON BUFFER ANALYSIS DURING 1993- 2023</w:t>
      </w:r>
    </w:p>
    <w:p w:rsidR="00795354" w:rsidRDefault="00795354" w:rsidP="00165794">
      <w:pPr>
        <w:rPr>
          <w:rFonts w:ascii="Arial" w:hAnsi="Arial" w:cs="Arial"/>
          <w:b/>
          <w:bCs/>
          <w:color w:val="000000" w:themeColor="text1"/>
        </w:rPr>
      </w:pPr>
    </w:p>
    <w:p w:rsidR="00795354" w:rsidRPr="00F8281E" w:rsidRDefault="00795354" w:rsidP="00E560A7">
      <w:pPr>
        <w:pStyle w:val="NormalWeb"/>
        <w:jc w:val="both"/>
        <w:rPr>
          <w:rFonts w:ascii="Arial" w:hAnsi="Arial" w:cs="Arial"/>
          <w:sz w:val="20"/>
          <w:szCs w:val="20"/>
        </w:rPr>
      </w:pPr>
      <w:r w:rsidRPr="00F8281E">
        <w:rPr>
          <w:rFonts w:ascii="Arial" w:hAnsi="Arial" w:cs="Arial"/>
          <w:sz w:val="20"/>
          <w:szCs w:val="20"/>
        </w:rPr>
        <w:t>The directional expansion of Kozhikode City from 1993 to 2023, assessed using the Urbanization Proportionate Index (UPI), reveals a distinct aeolotropic pattern of growth. During 1993–2003, urban expansion was most prominent in the SSE direction, largely influenced by port connectivity and railway-road intersections. In contrast, limited growth was observed in the western sectors (SSW, WSW, WNW) due to coastal constraints and in the outer directions due to the dominance of agricultural land and concentrated investment in the urban core. The central part of the city, anchored by commercial, institutional, and transportation hubs, saw high intensification during this period.</w:t>
      </w:r>
      <w:r w:rsidR="00A66AE5" w:rsidRPr="00F8281E">
        <w:rPr>
          <w:rFonts w:ascii="Arial" w:hAnsi="Arial" w:cs="Arial"/>
          <w:sz w:val="20"/>
          <w:szCs w:val="20"/>
        </w:rPr>
        <w:t xml:space="preserve"> urban expansion was strongly core-centric with significant growth concentrated in the southern directions, particularly SSE (22.07) and SSW (21.05), driven by the city's historical development and proximity to the coast. Moderate expansion also occurred </w:t>
      </w:r>
      <w:proofErr w:type="spellStart"/>
      <w:r w:rsidR="00A66AE5" w:rsidRPr="00F8281E">
        <w:rPr>
          <w:rFonts w:ascii="Arial" w:hAnsi="Arial" w:cs="Arial"/>
          <w:sz w:val="20"/>
          <w:szCs w:val="20"/>
        </w:rPr>
        <w:t>laterally</w:t>
      </w:r>
      <w:proofErr w:type="spellEnd"/>
      <w:r w:rsidR="00A66AE5" w:rsidRPr="00F8281E">
        <w:rPr>
          <w:rFonts w:ascii="Arial" w:hAnsi="Arial" w:cs="Arial"/>
          <w:sz w:val="20"/>
          <w:szCs w:val="20"/>
        </w:rPr>
        <w:t xml:space="preserve"> in directions like WNW (17.88) and WSW (13.40), indicating horizontal outward growth from the city center. In contrast, the northern and northeastern zones such as NNE (3.52) and ENE (3.34) exhibited minimal development, reflecting their early-stage peripheral nature. </w:t>
      </w:r>
      <w:r w:rsidR="00E560A7" w:rsidRPr="00F8281E">
        <w:rPr>
          <w:rFonts w:ascii="Arial" w:hAnsi="Arial" w:cs="Arial"/>
          <w:sz w:val="20"/>
          <w:szCs w:val="20"/>
        </w:rPr>
        <w:t xml:space="preserve"> </w:t>
      </w:r>
      <w:r w:rsidRPr="00F8281E">
        <w:rPr>
          <w:rFonts w:ascii="Arial" w:hAnsi="Arial" w:cs="Arial"/>
          <w:sz w:val="20"/>
          <w:szCs w:val="20"/>
        </w:rPr>
        <w:t>Between 2003 and 2013, urban development radiated further outward, particularly in the NNE, ENE, ESE, and SSE directions. This expansion aligned with major transportation corridors and areas with emerging commercial and institutional infrastructure. Roads running parallel to canals and bypasses facilitated new developments, while improved access to services and civic amenities further stimulated growth. The city’s extension in this period reflects the beginning of a shift from a core-centric model to a more distributed urban pattern.</w:t>
      </w:r>
      <w:r w:rsidR="00A66AE5" w:rsidRPr="00F8281E">
        <w:rPr>
          <w:rFonts w:ascii="Arial" w:hAnsi="Arial" w:cs="Arial"/>
          <w:sz w:val="20"/>
          <w:szCs w:val="20"/>
        </w:rPr>
        <w:t xml:space="preserve"> a notable decline in UPI values was observed in SSW, WSW, and WNW directions, where urban growth dropped to near zero, likely due to spatial saturation and geographic limitations, particularly coastal constraints. Growth activity shifted toward the city’s interior and northeastern sectors, with gradual increases in ESE (6.15), NNW (2.52), and NNE (3.09). Although SSE continued to grow (UPI 4.75), its pace significantly reduced compared to the previous decade, signaling a deceleration in southern urbanization.</w:t>
      </w:r>
    </w:p>
    <w:p w:rsidR="00C74EAF" w:rsidRPr="00F8281E" w:rsidRDefault="00795354" w:rsidP="00E560A7">
      <w:pPr>
        <w:pStyle w:val="NormalWeb"/>
        <w:jc w:val="both"/>
        <w:rPr>
          <w:rFonts w:ascii="Arial" w:hAnsi="Arial" w:cs="Arial"/>
          <w:sz w:val="20"/>
          <w:szCs w:val="20"/>
        </w:rPr>
      </w:pPr>
      <w:r w:rsidRPr="00F8281E">
        <w:rPr>
          <w:rFonts w:ascii="Arial" w:hAnsi="Arial" w:cs="Arial"/>
          <w:sz w:val="20"/>
          <w:szCs w:val="20"/>
        </w:rPr>
        <w:t>In the decade from 2013 to 2023, urbanization intensified significantly in the northeastern and eastern sectors, driven by the development of key transportation infrastructure—especially the NH 66 and NH 766 corridors. These highways catalyzed suburban growth, encouraging the establishment of retail, healthcare, IT, and service-oriented enterprises. As a result, the urban core began to lose its primacy due to congestion and scarcity of vacant land, while peripheral zones became focal points for new investments and residential expansion. The northeastern corridor, in particular, witnessed strong urban momentum, boosted by institutional developments and improved connectivity.</w:t>
      </w:r>
      <w:r w:rsidR="00E560A7" w:rsidRPr="00F8281E">
        <w:rPr>
          <w:rFonts w:ascii="Arial" w:hAnsi="Arial" w:cs="Arial"/>
          <w:sz w:val="20"/>
          <w:szCs w:val="20"/>
        </w:rPr>
        <w:t xml:space="preserve"> </w:t>
      </w:r>
      <w:r w:rsidR="00A66AE5" w:rsidRPr="00F8281E">
        <w:rPr>
          <w:rFonts w:ascii="Arial" w:hAnsi="Arial" w:cs="Arial"/>
          <w:sz w:val="20"/>
          <w:szCs w:val="20"/>
        </w:rPr>
        <w:t xml:space="preserve">This period marked a major spatial reorientation of urban development. The highest UPI values were recorded in ENE (24.03), ESE (22.62), and NNE (22.48), indicating a pronounced outward expansion toward the northeastern and eastern fringes. This growth was strongly supported by major infrastructure projects such as NH 66 and NH 766, along with the establishment of key institutional and commercial hubs. NNW (17.51) also showed a significant increase in urbanization, reinforcing the trend of centrifugal growth away from the saturated core. Conversely, southern and western directions like SSW (0.24), WSW (2.59), and WNW (1.38) remained largely stagnant, confirming their limited potential for future development due to both environmental and spatial constraints. </w:t>
      </w:r>
      <w:r w:rsidRPr="00F8281E">
        <w:rPr>
          <w:rFonts w:ascii="Arial" w:hAnsi="Arial" w:cs="Arial"/>
          <w:sz w:val="20"/>
          <w:szCs w:val="20"/>
        </w:rPr>
        <w:t xml:space="preserve">The spatial </w:t>
      </w:r>
      <w:proofErr w:type="spellStart"/>
      <w:r w:rsidRPr="00F8281E">
        <w:rPr>
          <w:rFonts w:ascii="Arial" w:hAnsi="Arial" w:cs="Arial"/>
          <w:sz w:val="20"/>
          <w:szCs w:val="20"/>
        </w:rPr>
        <w:t>aeolotropy</w:t>
      </w:r>
      <w:proofErr w:type="spellEnd"/>
      <w:r w:rsidRPr="00F8281E">
        <w:rPr>
          <w:rFonts w:ascii="Arial" w:hAnsi="Arial" w:cs="Arial"/>
          <w:sz w:val="20"/>
          <w:szCs w:val="20"/>
        </w:rPr>
        <w:t xml:space="preserve"> of UPI clearly demonstrates that urban growth in Kozhikode has followed a centrifugal trend, extending predominantly toward the northeast</w:t>
      </w:r>
      <w:r w:rsidR="005E56C1" w:rsidRPr="00F8281E">
        <w:rPr>
          <w:rFonts w:ascii="Arial" w:hAnsi="Arial" w:cs="Arial"/>
          <w:sz w:val="20"/>
          <w:szCs w:val="20"/>
        </w:rPr>
        <w:t xml:space="preserve"> and east over the study period</w:t>
      </w:r>
      <w:r w:rsidRPr="00F8281E">
        <w:rPr>
          <w:rFonts w:ascii="Arial" w:hAnsi="Arial" w:cs="Arial"/>
          <w:sz w:val="20"/>
          <w:szCs w:val="20"/>
        </w:rPr>
        <w:t>. Overall, Kozhikode’s urban form is evolving into a corridor-based structure, shaped by infrastructural drivers and real estate investments, especially in suburban zones beyond the traditional core.</w:t>
      </w:r>
      <w:r w:rsidR="005E56C1" w:rsidRPr="00F8281E">
        <w:rPr>
          <w:rFonts w:ascii="Arial" w:hAnsi="Arial" w:cs="Arial"/>
          <w:sz w:val="20"/>
          <w:szCs w:val="20"/>
        </w:rPr>
        <w:t xml:space="preserve"> </w:t>
      </w:r>
      <w:r w:rsidR="00165794" w:rsidRPr="00F8281E">
        <w:rPr>
          <w:rFonts w:ascii="Arial" w:hAnsi="Arial" w:cs="Arial"/>
          <w:bCs/>
          <w:color w:val="000000" w:themeColor="text1"/>
          <w:sz w:val="20"/>
          <w:szCs w:val="20"/>
        </w:rPr>
        <w:t xml:space="preserve">While analyzing the spatial </w:t>
      </w:r>
      <w:proofErr w:type="spellStart"/>
      <w:r w:rsidR="00165794" w:rsidRPr="00F8281E">
        <w:rPr>
          <w:rFonts w:ascii="Arial" w:hAnsi="Arial" w:cs="Arial"/>
          <w:bCs/>
          <w:color w:val="000000" w:themeColor="text1"/>
          <w:sz w:val="20"/>
          <w:szCs w:val="20"/>
        </w:rPr>
        <w:t>aelotropy</w:t>
      </w:r>
      <w:proofErr w:type="spellEnd"/>
      <w:r w:rsidR="00165794" w:rsidRPr="00F8281E">
        <w:rPr>
          <w:rFonts w:ascii="Arial" w:hAnsi="Arial" w:cs="Arial"/>
          <w:bCs/>
          <w:color w:val="000000" w:themeColor="text1"/>
          <w:sz w:val="20"/>
          <w:szCs w:val="20"/>
        </w:rPr>
        <w:t xml:space="preserve"> of UPI based on buffer gradient(Table </w:t>
      </w:r>
      <w:r w:rsidR="004823B8">
        <w:rPr>
          <w:rFonts w:ascii="Arial" w:hAnsi="Arial" w:cs="Arial"/>
          <w:bCs/>
          <w:color w:val="000000" w:themeColor="text1"/>
          <w:sz w:val="20"/>
          <w:szCs w:val="20"/>
        </w:rPr>
        <w:t>5</w:t>
      </w:r>
      <w:r w:rsidR="00A66AE5" w:rsidRPr="00F8281E">
        <w:rPr>
          <w:rFonts w:ascii="Arial" w:hAnsi="Arial" w:cs="Arial"/>
          <w:bCs/>
          <w:color w:val="000000" w:themeColor="text1"/>
          <w:sz w:val="20"/>
          <w:szCs w:val="20"/>
        </w:rPr>
        <w:t xml:space="preserve"> </w:t>
      </w:r>
      <w:r w:rsidR="00165794" w:rsidRPr="00F8281E">
        <w:rPr>
          <w:rFonts w:ascii="Arial" w:hAnsi="Arial" w:cs="Arial"/>
          <w:bCs/>
          <w:color w:val="000000" w:themeColor="text1"/>
          <w:sz w:val="20"/>
          <w:szCs w:val="20"/>
        </w:rPr>
        <w:t xml:space="preserve">and Figure </w:t>
      </w:r>
      <w:r w:rsidR="004823B8">
        <w:rPr>
          <w:rFonts w:ascii="Arial" w:hAnsi="Arial" w:cs="Arial"/>
          <w:bCs/>
          <w:color w:val="000000" w:themeColor="text1"/>
          <w:sz w:val="20"/>
          <w:szCs w:val="20"/>
        </w:rPr>
        <w:t>7</w:t>
      </w:r>
      <w:r w:rsidR="00165794" w:rsidRPr="00F8281E">
        <w:rPr>
          <w:rFonts w:ascii="Arial" w:hAnsi="Arial" w:cs="Arial"/>
          <w:bCs/>
          <w:color w:val="000000" w:themeColor="text1"/>
          <w:sz w:val="20"/>
          <w:szCs w:val="20"/>
        </w:rPr>
        <w:t xml:space="preserve">), it is clearly evident that Kozhikode city is expanding towards the outskirts in northeastern and eastern direction and city cannot grew into western direction because of coastal constraints. </w:t>
      </w:r>
      <w:r w:rsidR="005E56C1" w:rsidRPr="00F8281E">
        <w:rPr>
          <w:rFonts w:ascii="Arial" w:hAnsi="Arial" w:cs="Arial"/>
          <w:sz w:val="20"/>
          <w:szCs w:val="20"/>
        </w:rPr>
        <w:t>The three-decade analysis of Urbanization Proportionate Index (UPI) for Kozhikode City reveals a clear spatial and temporal shift in urban growth patterns.</w:t>
      </w:r>
      <w:r w:rsidR="00E560A7" w:rsidRPr="00F8281E">
        <w:rPr>
          <w:rFonts w:ascii="Arial" w:hAnsi="Arial" w:cs="Arial"/>
          <w:sz w:val="20"/>
          <w:szCs w:val="20"/>
        </w:rPr>
        <w:t xml:space="preserve"> </w:t>
      </w:r>
      <w:r w:rsidR="00785F52" w:rsidRPr="00F8281E">
        <w:rPr>
          <w:rFonts w:ascii="Arial" w:hAnsi="Arial" w:cs="Arial"/>
          <w:sz w:val="20"/>
          <w:szCs w:val="20"/>
        </w:rPr>
        <w:t>This can be summarized as follows</w:t>
      </w:r>
      <w:r w:rsidR="003D5CEC" w:rsidRPr="00F8281E">
        <w:rPr>
          <w:rFonts w:ascii="Arial" w:hAnsi="Arial" w:cs="Arial"/>
          <w:sz w:val="20"/>
          <w:szCs w:val="20"/>
        </w:rPr>
        <w:t>:</w:t>
      </w:r>
    </w:p>
    <w:p w:rsidR="00785F52" w:rsidRPr="00F8281E" w:rsidRDefault="00785F52" w:rsidP="00366683">
      <w:pPr>
        <w:pStyle w:val="Heading3"/>
        <w:tabs>
          <w:tab w:val="left" w:pos="90"/>
        </w:tabs>
        <w:spacing w:before="0"/>
        <w:ind w:left="270"/>
        <w:jc w:val="both"/>
        <w:rPr>
          <w:rFonts w:ascii="Arial" w:hAnsi="Arial" w:cs="Arial"/>
          <w:b w:val="0"/>
          <w:color w:val="000000" w:themeColor="text1"/>
        </w:rPr>
      </w:pPr>
      <w:r w:rsidRPr="00F8281E">
        <w:rPr>
          <w:rStyle w:val="Strong"/>
          <w:rFonts w:ascii="Arial" w:hAnsi="Arial" w:cs="Arial"/>
          <w:b/>
          <w:bCs/>
          <w:color w:val="000000" w:themeColor="text1"/>
        </w:rPr>
        <w:t xml:space="preserve">Core-Centric and Southern Expansion during 1993–2003:  </w:t>
      </w:r>
    </w:p>
    <w:p w:rsidR="00785F52" w:rsidRPr="00F8281E" w:rsidRDefault="00785F52" w:rsidP="00366683">
      <w:pPr>
        <w:pStyle w:val="NormalWeb"/>
        <w:numPr>
          <w:ilvl w:val="0"/>
          <w:numId w:val="37"/>
        </w:numPr>
        <w:spacing w:before="0" w:beforeAutospacing="0" w:after="0" w:afterAutospacing="0"/>
        <w:jc w:val="both"/>
        <w:rPr>
          <w:rFonts w:ascii="Arial" w:hAnsi="Arial" w:cs="Arial"/>
          <w:sz w:val="20"/>
          <w:szCs w:val="20"/>
        </w:rPr>
      </w:pPr>
      <w:r w:rsidRPr="00F8281E">
        <w:rPr>
          <w:rFonts w:ascii="Arial" w:hAnsi="Arial" w:cs="Arial"/>
          <w:sz w:val="20"/>
          <w:szCs w:val="20"/>
        </w:rPr>
        <w:t xml:space="preserve">The </w:t>
      </w:r>
      <w:r w:rsidRPr="00F8281E">
        <w:rPr>
          <w:rStyle w:val="Strong"/>
          <w:rFonts w:ascii="Arial" w:hAnsi="Arial" w:cs="Arial"/>
          <w:b w:val="0"/>
          <w:sz w:val="20"/>
          <w:szCs w:val="20"/>
        </w:rPr>
        <w:t>SSE (22.07)</w:t>
      </w:r>
      <w:r w:rsidRPr="00F8281E">
        <w:rPr>
          <w:rFonts w:ascii="Arial" w:hAnsi="Arial" w:cs="Arial"/>
          <w:sz w:val="20"/>
          <w:szCs w:val="20"/>
        </w:rPr>
        <w:t xml:space="preserve"> and </w:t>
      </w:r>
      <w:r w:rsidRPr="00F8281E">
        <w:rPr>
          <w:rStyle w:val="Strong"/>
          <w:rFonts w:ascii="Arial" w:hAnsi="Arial" w:cs="Arial"/>
          <w:b w:val="0"/>
          <w:sz w:val="20"/>
          <w:szCs w:val="20"/>
        </w:rPr>
        <w:t>SSW (21.05)</w:t>
      </w:r>
      <w:r w:rsidRPr="00F8281E">
        <w:rPr>
          <w:rFonts w:ascii="Arial" w:hAnsi="Arial" w:cs="Arial"/>
          <w:sz w:val="20"/>
          <w:szCs w:val="20"/>
        </w:rPr>
        <w:t xml:space="preserve"> directions recorded the </w:t>
      </w:r>
      <w:r w:rsidRPr="00F8281E">
        <w:rPr>
          <w:rStyle w:val="Strong"/>
          <w:rFonts w:ascii="Arial" w:hAnsi="Arial" w:cs="Arial"/>
          <w:b w:val="0"/>
          <w:sz w:val="20"/>
          <w:szCs w:val="20"/>
        </w:rPr>
        <w:t>highest UPI values</w:t>
      </w:r>
      <w:r w:rsidRPr="00F8281E">
        <w:rPr>
          <w:rFonts w:ascii="Arial" w:hAnsi="Arial" w:cs="Arial"/>
          <w:sz w:val="20"/>
          <w:szCs w:val="20"/>
        </w:rPr>
        <w:t>, indicating intense urbanization toward the southern coastal areas.</w:t>
      </w:r>
    </w:p>
    <w:p w:rsidR="00785F52" w:rsidRPr="00F8281E" w:rsidRDefault="00785F52" w:rsidP="00366683">
      <w:pPr>
        <w:pStyle w:val="NormalWeb"/>
        <w:numPr>
          <w:ilvl w:val="0"/>
          <w:numId w:val="37"/>
        </w:numPr>
        <w:spacing w:before="0" w:beforeAutospacing="0" w:after="0" w:afterAutospacing="0"/>
        <w:jc w:val="both"/>
        <w:rPr>
          <w:rFonts w:ascii="Arial" w:hAnsi="Arial" w:cs="Arial"/>
          <w:sz w:val="20"/>
          <w:szCs w:val="20"/>
        </w:rPr>
      </w:pPr>
      <w:r w:rsidRPr="00F8281E">
        <w:rPr>
          <w:rStyle w:val="Strong"/>
          <w:rFonts w:ascii="Arial" w:hAnsi="Arial" w:cs="Arial"/>
          <w:b w:val="0"/>
          <w:sz w:val="20"/>
          <w:szCs w:val="20"/>
        </w:rPr>
        <w:t>WNW (17.88)</w:t>
      </w:r>
      <w:r w:rsidRPr="00F8281E">
        <w:rPr>
          <w:rFonts w:ascii="Arial" w:hAnsi="Arial" w:cs="Arial"/>
          <w:sz w:val="20"/>
          <w:szCs w:val="20"/>
        </w:rPr>
        <w:t xml:space="preserve"> and </w:t>
      </w:r>
      <w:r w:rsidRPr="00F8281E">
        <w:rPr>
          <w:rStyle w:val="Strong"/>
          <w:rFonts w:ascii="Arial" w:hAnsi="Arial" w:cs="Arial"/>
          <w:b w:val="0"/>
          <w:sz w:val="20"/>
          <w:szCs w:val="20"/>
        </w:rPr>
        <w:t>WSW (13.40)</w:t>
      </w:r>
      <w:r w:rsidRPr="00F8281E">
        <w:rPr>
          <w:rFonts w:ascii="Arial" w:hAnsi="Arial" w:cs="Arial"/>
          <w:sz w:val="20"/>
          <w:szCs w:val="20"/>
        </w:rPr>
        <w:t xml:space="preserve"> also experienced moderate growth, suggesting lateral expansion from the city center.</w:t>
      </w:r>
    </w:p>
    <w:p w:rsidR="00785F52" w:rsidRPr="00F8281E" w:rsidRDefault="00785F52" w:rsidP="00366683">
      <w:pPr>
        <w:pStyle w:val="NormalWeb"/>
        <w:numPr>
          <w:ilvl w:val="0"/>
          <w:numId w:val="37"/>
        </w:numPr>
        <w:spacing w:before="0" w:beforeAutospacing="0" w:after="0" w:afterAutospacing="0"/>
        <w:jc w:val="both"/>
        <w:rPr>
          <w:rFonts w:ascii="Arial" w:hAnsi="Arial" w:cs="Arial"/>
          <w:sz w:val="20"/>
          <w:szCs w:val="20"/>
        </w:rPr>
      </w:pPr>
      <w:r w:rsidRPr="00F8281E">
        <w:rPr>
          <w:rFonts w:ascii="Arial" w:hAnsi="Arial" w:cs="Arial"/>
          <w:sz w:val="20"/>
          <w:szCs w:val="20"/>
        </w:rPr>
        <w:t xml:space="preserve">Urban growth was relatively </w:t>
      </w:r>
      <w:r w:rsidRPr="00F8281E">
        <w:rPr>
          <w:rStyle w:val="Strong"/>
          <w:rFonts w:ascii="Arial" w:hAnsi="Arial" w:cs="Arial"/>
          <w:b w:val="0"/>
          <w:sz w:val="20"/>
          <w:szCs w:val="20"/>
        </w:rPr>
        <w:t>low in the northern and northeastern directions</w:t>
      </w:r>
      <w:r w:rsidRPr="00F8281E">
        <w:rPr>
          <w:rFonts w:ascii="Arial" w:hAnsi="Arial" w:cs="Arial"/>
          <w:sz w:val="20"/>
          <w:szCs w:val="20"/>
        </w:rPr>
        <w:t>, such as NNE (3.52) and ENE (3.34), indicating early-stage peripheral development.</w:t>
      </w:r>
    </w:p>
    <w:p w:rsidR="00785F52" w:rsidRPr="00F8281E" w:rsidRDefault="00785F52" w:rsidP="00366683">
      <w:pPr>
        <w:pStyle w:val="Heading3"/>
        <w:tabs>
          <w:tab w:val="left" w:pos="90"/>
        </w:tabs>
        <w:spacing w:before="0"/>
        <w:ind w:left="270"/>
        <w:jc w:val="both"/>
        <w:rPr>
          <w:rFonts w:ascii="Arial" w:hAnsi="Arial" w:cs="Arial"/>
          <w:b w:val="0"/>
          <w:color w:val="000000" w:themeColor="text1"/>
        </w:rPr>
      </w:pPr>
      <w:r w:rsidRPr="00F8281E">
        <w:rPr>
          <w:rStyle w:val="Strong"/>
          <w:rFonts w:ascii="Arial" w:hAnsi="Arial" w:cs="Arial"/>
          <w:b/>
          <w:bCs/>
          <w:color w:val="000000" w:themeColor="text1"/>
        </w:rPr>
        <w:t>Shift Away from Coastal Zones during 2003–2013:</w:t>
      </w:r>
    </w:p>
    <w:p w:rsidR="00785F52" w:rsidRPr="00F8281E" w:rsidRDefault="00785F52" w:rsidP="00366683">
      <w:pPr>
        <w:pStyle w:val="NormalWeb"/>
        <w:numPr>
          <w:ilvl w:val="0"/>
          <w:numId w:val="38"/>
        </w:numPr>
        <w:tabs>
          <w:tab w:val="left" w:pos="90"/>
        </w:tabs>
        <w:spacing w:before="0" w:beforeAutospacing="0" w:after="0" w:afterAutospacing="0"/>
        <w:ind w:left="990"/>
        <w:jc w:val="both"/>
        <w:rPr>
          <w:rFonts w:ascii="Arial" w:hAnsi="Arial" w:cs="Arial"/>
          <w:sz w:val="20"/>
          <w:szCs w:val="20"/>
        </w:rPr>
      </w:pPr>
      <w:r w:rsidRPr="00F8281E">
        <w:rPr>
          <w:rFonts w:ascii="Arial" w:hAnsi="Arial" w:cs="Arial"/>
          <w:sz w:val="20"/>
          <w:szCs w:val="20"/>
        </w:rPr>
        <w:t xml:space="preserve">A </w:t>
      </w:r>
      <w:r w:rsidRPr="00F8281E">
        <w:rPr>
          <w:rStyle w:val="Strong"/>
          <w:rFonts w:ascii="Arial" w:hAnsi="Arial" w:cs="Arial"/>
          <w:b w:val="0"/>
          <w:sz w:val="20"/>
          <w:szCs w:val="20"/>
        </w:rPr>
        <w:t>sharp decline</w:t>
      </w:r>
      <w:r w:rsidRPr="00F8281E">
        <w:rPr>
          <w:rFonts w:ascii="Arial" w:hAnsi="Arial" w:cs="Arial"/>
          <w:sz w:val="20"/>
          <w:szCs w:val="20"/>
        </w:rPr>
        <w:t xml:space="preserve"> in UPI is seen in </w:t>
      </w:r>
      <w:r w:rsidRPr="00F8281E">
        <w:rPr>
          <w:rStyle w:val="Strong"/>
          <w:rFonts w:ascii="Arial" w:hAnsi="Arial" w:cs="Arial"/>
          <w:b w:val="0"/>
          <w:sz w:val="20"/>
          <w:szCs w:val="20"/>
        </w:rPr>
        <w:t>SSW, WSW, and WNW</w:t>
      </w:r>
      <w:r w:rsidRPr="00F8281E">
        <w:rPr>
          <w:rFonts w:ascii="Arial" w:hAnsi="Arial" w:cs="Arial"/>
          <w:sz w:val="20"/>
          <w:szCs w:val="20"/>
        </w:rPr>
        <w:t xml:space="preserve">, with UPI dropping to </w:t>
      </w:r>
      <w:r w:rsidRPr="00F8281E">
        <w:rPr>
          <w:rStyle w:val="Strong"/>
          <w:rFonts w:ascii="Arial" w:hAnsi="Arial" w:cs="Arial"/>
          <w:b w:val="0"/>
          <w:sz w:val="20"/>
          <w:szCs w:val="20"/>
        </w:rPr>
        <w:t>zero or near-zero</w:t>
      </w:r>
      <w:r w:rsidRPr="00F8281E">
        <w:rPr>
          <w:rFonts w:ascii="Arial" w:hAnsi="Arial" w:cs="Arial"/>
          <w:sz w:val="20"/>
          <w:szCs w:val="20"/>
        </w:rPr>
        <w:t>, indicating that these areas either reached saturation or faced development constraints (e.g., coastal limitations or lack of infrastructure).</w:t>
      </w:r>
    </w:p>
    <w:p w:rsidR="00785F52" w:rsidRPr="00F8281E" w:rsidRDefault="00785F52" w:rsidP="00366683">
      <w:pPr>
        <w:pStyle w:val="NormalWeb"/>
        <w:numPr>
          <w:ilvl w:val="0"/>
          <w:numId w:val="38"/>
        </w:numPr>
        <w:tabs>
          <w:tab w:val="left" w:pos="90"/>
        </w:tabs>
        <w:spacing w:before="0" w:beforeAutospacing="0" w:after="0" w:afterAutospacing="0"/>
        <w:ind w:left="990"/>
        <w:jc w:val="both"/>
        <w:rPr>
          <w:rFonts w:ascii="Arial" w:hAnsi="Arial" w:cs="Arial"/>
          <w:sz w:val="20"/>
          <w:szCs w:val="20"/>
        </w:rPr>
      </w:pPr>
      <w:r w:rsidRPr="00F8281E">
        <w:rPr>
          <w:rFonts w:ascii="Arial" w:hAnsi="Arial" w:cs="Arial"/>
          <w:sz w:val="20"/>
          <w:szCs w:val="20"/>
        </w:rPr>
        <w:t xml:space="preserve">Urban growth shifted toward </w:t>
      </w:r>
      <w:r w:rsidRPr="00F8281E">
        <w:rPr>
          <w:rStyle w:val="Strong"/>
          <w:rFonts w:ascii="Arial" w:hAnsi="Arial" w:cs="Arial"/>
          <w:b w:val="0"/>
          <w:sz w:val="20"/>
          <w:szCs w:val="20"/>
        </w:rPr>
        <w:t>ESE (6.15)</w:t>
      </w:r>
      <w:r w:rsidRPr="00F8281E">
        <w:rPr>
          <w:rFonts w:ascii="Arial" w:hAnsi="Arial" w:cs="Arial"/>
          <w:sz w:val="20"/>
          <w:szCs w:val="20"/>
        </w:rPr>
        <w:t xml:space="preserve">, </w:t>
      </w:r>
      <w:r w:rsidRPr="00F8281E">
        <w:rPr>
          <w:rStyle w:val="Strong"/>
          <w:rFonts w:ascii="Arial" w:hAnsi="Arial" w:cs="Arial"/>
          <w:b w:val="0"/>
          <w:sz w:val="20"/>
          <w:szCs w:val="20"/>
        </w:rPr>
        <w:t>NNW (2.52)</w:t>
      </w:r>
      <w:r w:rsidRPr="00F8281E">
        <w:rPr>
          <w:rFonts w:ascii="Arial" w:hAnsi="Arial" w:cs="Arial"/>
          <w:sz w:val="20"/>
          <w:szCs w:val="20"/>
        </w:rPr>
        <w:t xml:space="preserve">, and </w:t>
      </w:r>
      <w:r w:rsidRPr="00F8281E">
        <w:rPr>
          <w:rStyle w:val="Strong"/>
          <w:rFonts w:ascii="Arial" w:hAnsi="Arial" w:cs="Arial"/>
          <w:b w:val="0"/>
          <w:sz w:val="20"/>
          <w:szCs w:val="20"/>
        </w:rPr>
        <w:t>NNE (3.09)</w:t>
      </w:r>
      <w:r w:rsidRPr="00F8281E">
        <w:rPr>
          <w:rFonts w:ascii="Arial" w:hAnsi="Arial" w:cs="Arial"/>
          <w:sz w:val="20"/>
          <w:szCs w:val="20"/>
        </w:rPr>
        <w:t>—reflecting emerging development in interior and northeastern directions.</w:t>
      </w:r>
    </w:p>
    <w:p w:rsidR="00785F52" w:rsidRPr="00F8281E" w:rsidRDefault="00785F52" w:rsidP="00366683">
      <w:pPr>
        <w:pStyle w:val="NormalWeb"/>
        <w:numPr>
          <w:ilvl w:val="0"/>
          <w:numId w:val="38"/>
        </w:numPr>
        <w:tabs>
          <w:tab w:val="left" w:pos="90"/>
        </w:tabs>
        <w:spacing w:before="0" w:beforeAutospacing="0" w:after="0" w:afterAutospacing="0"/>
        <w:ind w:left="990"/>
        <w:jc w:val="both"/>
        <w:rPr>
          <w:rFonts w:ascii="Arial" w:hAnsi="Arial" w:cs="Arial"/>
          <w:sz w:val="20"/>
          <w:szCs w:val="20"/>
        </w:rPr>
      </w:pPr>
      <w:r w:rsidRPr="00F8281E">
        <w:rPr>
          <w:rFonts w:ascii="Arial" w:hAnsi="Arial" w:cs="Arial"/>
          <w:sz w:val="20"/>
          <w:szCs w:val="20"/>
        </w:rPr>
        <w:lastRenderedPageBreak/>
        <w:t xml:space="preserve">The </w:t>
      </w:r>
      <w:r w:rsidRPr="00F8281E">
        <w:rPr>
          <w:rStyle w:val="Strong"/>
          <w:rFonts w:ascii="Arial" w:hAnsi="Arial" w:cs="Arial"/>
          <w:b w:val="0"/>
          <w:sz w:val="20"/>
          <w:szCs w:val="20"/>
        </w:rPr>
        <w:t>SSE</w:t>
      </w:r>
      <w:r w:rsidRPr="00F8281E">
        <w:rPr>
          <w:rFonts w:ascii="Arial" w:hAnsi="Arial" w:cs="Arial"/>
          <w:sz w:val="20"/>
          <w:szCs w:val="20"/>
        </w:rPr>
        <w:t xml:space="preserve"> direction still maintained moderate growth (4.75), but much lower than in the previous decade.</w:t>
      </w:r>
    </w:p>
    <w:p w:rsidR="00785F52" w:rsidRPr="00F8281E" w:rsidRDefault="00785F52" w:rsidP="00366683">
      <w:pPr>
        <w:pStyle w:val="Heading3"/>
        <w:tabs>
          <w:tab w:val="left" w:pos="90"/>
        </w:tabs>
        <w:spacing w:before="0"/>
        <w:jc w:val="both"/>
        <w:rPr>
          <w:rFonts w:ascii="Arial" w:hAnsi="Arial" w:cs="Arial"/>
          <w:b w:val="0"/>
          <w:color w:val="000000" w:themeColor="text1"/>
        </w:rPr>
      </w:pPr>
      <w:r w:rsidRPr="00F8281E">
        <w:rPr>
          <w:rFonts w:ascii="Arial" w:eastAsia="Times New Roman" w:hAnsi="Arial" w:cs="Arial"/>
          <w:b w:val="0"/>
          <w:bCs w:val="0"/>
          <w:color w:val="auto"/>
        </w:rPr>
        <w:t xml:space="preserve">    </w:t>
      </w:r>
      <w:r w:rsidRPr="00F8281E">
        <w:rPr>
          <w:rFonts w:ascii="Arial" w:eastAsia="Times New Roman" w:hAnsi="Arial" w:cs="Arial"/>
          <w:b w:val="0"/>
          <w:bCs w:val="0"/>
          <w:color w:val="000000" w:themeColor="text1"/>
        </w:rPr>
        <w:t xml:space="preserve"> </w:t>
      </w:r>
      <w:r w:rsidRPr="00F8281E">
        <w:rPr>
          <w:rStyle w:val="Strong"/>
          <w:rFonts w:ascii="Arial" w:hAnsi="Arial" w:cs="Arial"/>
          <w:b/>
          <w:bCs/>
          <w:color w:val="000000" w:themeColor="text1"/>
        </w:rPr>
        <w:t>Peripheral and Northeastern Urban Intensification during 2013–2023:</w:t>
      </w:r>
    </w:p>
    <w:p w:rsidR="00785F52" w:rsidRPr="00F8281E" w:rsidRDefault="00785F52" w:rsidP="00366683">
      <w:pPr>
        <w:pStyle w:val="NormalWeb"/>
        <w:numPr>
          <w:ilvl w:val="0"/>
          <w:numId w:val="39"/>
        </w:numPr>
        <w:tabs>
          <w:tab w:val="left" w:pos="90"/>
        </w:tabs>
        <w:spacing w:before="0" w:beforeAutospacing="0" w:after="0" w:afterAutospacing="0"/>
        <w:ind w:left="1080"/>
        <w:jc w:val="both"/>
        <w:rPr>
          <w:rFonts w:ascii="Arial" w:hAnsi="Arial" w:cs="Arial"/>
          <w:sz w:val="20"/>
          <w:szCs w:val="20"/>
        </w:rPr>
      </w:pPr>
      <w:r w:rsidRPr="00F8281E">
        <w:rPr>
          <w:rFonts w:ascii="Arial" w:hAnsi="Arial" w:cs="Arial"/>
          <w:sz w:val="20"/>
          <w:szCs w:val="20"/>
        </w:rPr>
        <w:t xml:space="preserve">A major shift occurred as the </w:t>
      </w:r>
      <w:r w:rsidRPr="00F8281E">
        <w:rPr>
          <w:rStyle w:val="Strong"/>
          <w:rFonts w:ascii="Arial" w:hAnsi="Arial" w:cs="Arial"/>
          <w:b w:val="0"/>
          <w:sz w:val="20"/>
          <w:szCs w:val="20"/>
        </w:rPr>
        <w:t>highest UPI values were recorded in ENE (24.03), ESE (22.62), and NNE (22.48)</w:t>
      </w:r>
      <w:r w:rsidRPr="00F8281E">
        <w:rPr>
          <w:rFonts w:ascii="Arial" w:hAnsi="Arial" w:cs="Arial"/>
          <w:sz w:val="20"/>
          <w:szCs w:val="20"/>
        </w:rPr>
        <w:t xml:space="preserve">. This reflects </w:t>
      </w:r>
      <w:r w:rsidRPr="00F8281E">
        <w:rPr>
          <w:rStyle w:val="Strong"/>
          <w:rFonts w:ascii="Arial" w:hAnsi="Arial" w:cs="Arial"/>
          <w:b w:val="0"/>
          <w:sz w:val="20"/>
          <w:szCs w:val="20"/>
        </w:rPr>
        <w:t>accelerated urban expansion toward the northeastern and eastern peripheries</w:t>
      </w:r>
      <w:r w:rsidRPr="00F8281E">
        <w:rPr>
          <w:rFonts w:ascii="Arial" w:hAnsi="Arial" w:cs="Arial"/>
          <w:sz w:val="20"/>
          <w:szCs w:val="20"/>
        </w:rPr>
        <w:t>, largely driven by highway infrastructure (NH 66, NH 766) and institutional developments.</w:t>
      </w:r>
    </w:p>
    <w:p w:rsidR="00785F52" w:rsidRPr="00F8281E" w:rsidRDefault="00785F52" w:rsidP="00366683">
      <w:pPr>
        <w:pStyle w:val="NormalWeb"/>
        <w:numPr>
          <w:ilvl w:val="0"/>
          <w:numId w:val="39"/>
        </w:numPr>
        <w:tabs>
          <w:tab w:val="left" w:pos="90"/>
        </w:tabs>
        <w:spacing w:before="0" w:beforeAutospacing="0" w:after="0" w:afterAutospacing="0"/>
        <w:ind w:left="1080"/>
        <w:jc w:val="both"/>
        <w:rPr>
          <w:rFonts w:ascii="Arial" w:hAnsi="Arial" w:cs="Arial"/>
          <w:sz w:val="20"/>
          <w:szCs w:val="20"/>
        </w:rPr>
      </w:pPr>
      <w:r w:rsidRPr="00F8281E">
        <w:rPr>
          <w:rStyle w:val="Strong"/>
          <w:rFonts w:ascii="Arial" w:hAnsi="Arial" w:cs="Arial"/>
          <w:b w:val="0"/>
          <w:sz w:val="20"/>
          <w:szCs w:val="20"/>
        </w:rPr>
        <w:t>NNW (17.51)</w:t>
      </w:r>
      <w:r w:rsidRPr="00F8281E">
        <w:rPr>
          <w:rFonts w:ascii="Arial" w:hAnsi="Arial" w:cs="Arial"/>
          <w:sz w:val="20"/>
          <w:szCs w:val="20"/>
        </w:rPr>
        <w:t xml:space="preserve"> also saw a significant increase, supporting the trend of outward centrifugal growth.</w:t>
      </w:r>
    </w:p>
    <w:p w:rsidR="003D5CEC" w:rsidRPr="004A1C0F" w:rsidRDefault="00785F52" w:rsidP="00366683">
      <w:pPr>
        <w:pStyle w:val="NormalWeb"/>
        <w:numPr>
          <w:ilvl w:val="0"/>
          <w:numId w:val="39"/>
        </w:numPr>
        <w:tabs>
          <w:tab w:val="left" w:pos="90"/>
        </w:tabs>
        <w:spacing w:before="0" w:beforeAutospacing="0" w:after="0" w:afterAutospacing="0"/>
        <w:ind w:left="1080"/>
        <w:jc w:val="both"/>
        <w:rPr>
          <w:rFonts w:ascii="Arial" w:hAnsi="Arial" w:cs="Arial"/>
          <w:sz w:val="20"/>
          <w:szCs w:val="20"/>
        </w:rPr>
      </w:pPr>
      <w:r w:rsidRPr="00F8281E">
        <w:rPr>
          <w:rStyle w:val="Strong"/>
          <w:rFonts w:ascii="Arial" w:hAnsi="Arial" w:cs="Arial"/>
          <w:b w:val="0"/>
          <w:sz w:val="20"/>
          <w:szCs w:val="20"/>
        </w:rPr>
        <w:t>Southern and western sectors</w:t>
      </w:r>
      <w:r w:rsidRPr="00F8281E">
        <w:rPr>
          <w:rFonts w:ascii="Arial" w:hAnsi="Arial" w:cs="Arial"/>
          <w:sz w:val="20"/>
          <w:szCs w:val="20"/>
        </w:rPr>
        <w:t xml:space="preserve">, like </w:t>
      </w:r>
      <w:r w:rsidRPr="00F8281E">
        <w:rPr>
          <w:rStyle w:val="Strong"/>
          <w:rFonts w:ascii="Arial" w:hAnsi="Arial" w:cs="Arial"/>
          <w:b w:val="0"/>
          <w:sz w:val="20"/>
          <w:szCs w:val="20"/>
        </w:rPr>
        <w:t>SSW (0.24)</w:t>
      </w:r>
      <w:r w:rsidRPr="00F8281E">
        <w:rPr>
          <w:rFonts w:ascii="Arial" w:hAnsi="Arial" w:cs="Arial"/>
          <w:sz w:val="20"/>
          <w:szCs w:val="20"/>
        </w:rPr>
        <w:t xml:space="preserve">, </w:t>
      </w:r>
      <w:r w:rsidRPr="00F8281E">
        <w:rPr>
          <w:rStyle w:val="Strong"/>
          <w:rFonts w:ascii="Arial" w:hAnsi="Arial" w:cs="Arial"/>
          <w:b w:val="0"/>
          <w:sz w:val="20"/>
          <w:szCs w:val="20"/>
        </w:rPr>
        <w:t>WSW (2.59)</w:t>
      </w:r>
      <w:r w:rsidRPr="00F8281E">
        <w:rPr>
          <w:rFonts w:ascii="Arial" w:hAnsi="Arial" w:cs="Arial"/>
          <w:sz w:val="20"/>
          <w:szCs w:val="20"/>
        </w:rPr>
        <w:t xml:space="preserve">, and </w:t>
      </w:r>
      <w:r w:rsidRPr="00F8281E">
        <w:rPr>
          <w:rStyle w:val="Strong"/>
          <w:rFonts w:ascii="Arial" w:hAnsi="Arial" w:cs="Arial"/>
          <w:b w:val="0"/>
          <w:sz w:val="20"/>
          <w:szCs w:val="20"/>
        </w:rPr>
        <w:t>WNW (1.38)</w:t>
      </w:r>
      <w:r w:rsidRPr="00F8281E">
        <w:rPr>
          <w:rFonts w:ascii="Arial" w:hAnsi="Arial" w:cs="Arial"/>
          <w:sz w:val="20"/>
          <w:szCs w:val="20"/>
        </w:rPr>
        <w:t>, remained largely stagnant, confirming their limited capacity for further urban expansion.</w:t>
      </w:r>
    </w:p>
    <w:p w:rsidR="00165794" w:rsidRPr="004823B8" w:rsidRDefault="004823B8" w:rsidP="00165794">
      <w:pPr>
        <w:pStyle w:val="EJG41tablecaption"/>
        <w:ind w:left="0"/>
        <w:jc w:val="center"/>
        <w:rPr>
          <w:rFonts w:ascii="Arial" w:hAnsi="Arial" w:cs="Arial"/>
          <w:b/>
          <w:sz w:val="20"/>
          <w:szCs w:val="20"/>
        </w:rPr>
      </w:pPr>
      <w:r w:rsidRPr="004823B8">
        <w:rPr>
          <w:rFonts w:ascii="Arial" w:hAnsi="Arial" w:cs="Arial"/>
          <w:b/>
          <w:sz w:val="20"/>
          <w:szCs w:val="20"/>
        </w:rPr>
        <w:t>Table 5</w:t>
      </w:r>
      <w:r w:rsidR="00165794" w:rsidRPr="004823B8">
        <w:rPr>
          <w:rFonts w:ascii="Arial" w:hAnsi="Arial" w:cs="Arial"/>
          <w:b/>
          <w:sz w:val="20"/>
          <w:szCs w:val="20"/>
        </w:rPr>
        <w:t>.</w:t>
      </w:r>
      <w:r w:rsidR="00165794" w:rsidRPr="004823B8">
        <w:rPr>
          <w:rFonts w:ascii="Arial" w:hAnsi="Arial" w:cs="Arial"/>
          <w:b/>
          <w:bCs/>
          <w:color w:val="000000" w:themeColor="text1"/>
          <w:sz w:val="20"/>
          <w:szCs w:val="20"/>
        </w:rPr>
        <w:t xml:space="preserve"> Urbanization Proportionate Index</w:t>
      </w:r>
    </w:p>
    <w:p w:rsidR="00165794" w:rsidRPr="00165794" w:rsidRDefault="00165794" w:rsidP="00165794">
      <w:pPr>
        <w:jc w:val="both"/>
        <w:rPr>
          <w:rFonts w:ascii="Arial" w:hAnsi="Arial" w:cs="Arial"/>
          <w:bCs/>
          <w:color w:val="000000" w:themeColor="text1"/>
        </w:rPr>
      </w:pPr>
    </w:p>
    <w:tbl>
      <w:tblPr>
        <w:tblW w:w="7952" w:type="dxa"/>
        <w:jc w:val="center"/>
        <w:tblLook w:val="04A0" w:firstRow="1" w:lastRow="0" w:firstColumn="1" w:lastColumn="0" w:noHBand="0" w:noVBand="1"/>
      </w:tblPr>
      <w:tblGrid>
        <w:gridCol w:w="2648"/>
        <w:gridCol w:w="1768"/>
        <w:gridCol w:w="1768"/>
        <w:gridCol w:w="1768"/>
      </w:tblGrid>
      <w:tr w:rsidR="00165794" w:rsidRPr="00165794" w:rsidTr="00165794">
        <w:trPr>
          <w:trHeight w:val="336"/>
          <w:jc w:val="center"/>
        </w:trPr>
        <w:tc>
          <w:tcPr>
            <w:tcW w:w="2648" w:type="dxa"/>
            <w:vMerge w:val="restart"/>
            <w:tcBorders>
              <w:top w:val="single" w:sz="4" w:space="0" w:color="auto"/>
            </w:tcBorders>
            <w:shd w:val="clear" w:color="auto" w:fill="auto"/>
            <w:noWrap/>
            <w:vAlign w:val="center"/>
            <w:hideMark/>
          </w:tcPr>
          <w:p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Direction</w:t>
            </w:r>
          </w:p>
        </w:tc>
        <w:tc>
          <w:tcPr>
            <w:tcW w:w="5304" w:type="dxa"/>
            <w:gridSpan w:val="3"/>
            <w:tcBorders>
              <w:top w:val="single" w:sz="4" w:space="0" w:color="auto"/>
            </w:tcBorders>
            <w:shd w:val="clear" w:color="auto" w:fill="auto"/>
            <w:noWrap/>
            <w:hideMark/>
          </w:tcPr>
          <w:p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Urbanization Proportionate Index</w:t>
            </w:r>
          </w:p>
        </w:tc>
      </w:tr>
      <w:tr w:rsidR="00165794" w:rsidRPr="00165794" w:rsidTr="00165794">
        <w:trPr>
          <w:trHeight w:val="336"/>
          <w:jc w:val="center"/>
        </w:trPr>
        <w:tc>
          <w:tcPr>
            <w:tcW w:w="2648" w:type="dxa"/>
            <w:vMerge/>
            <w:tcBorders>
              <w:bottom w:val="single" w:sz="4" w:space="0" w:color="auto"/>
            </w:tcBorders>
            <w:hideMark/>
          </w:tcPr>
          <w:p w:rsidR="00165794" w:rsidRPr="00165794" w:rsidRDefault="00165794" w:rsidP="00165794">
            <w:pPr>
              <w:jc w:val="center"/>
              <w:rPr>
                <w:rFonts w:ascii="Arial" w:hAnsi="Arial" w:cs="Arial"/>
                <w:b/>
                <w:bCs/>
                <w:color w:val="000000" w:themeColor="text1"/>
              </w:rPr>
            </w:pPr>
          </w:p>
        </w:tc>
        <w:tc>
          <w:tcPr>
            <w:tcW w:w="1768" w:type="dxa"/>
            <w:tcBorders>
              <w:bottom w:val="single" w:sz="4" w:space="0" w:color="auto"/>
            </w:tcBorders>
            <w:shd w:val="clear" w:color="auto" w:fill="auto"/>
            <w:noWrap/>
            <w:hideMark/>
          </w:tcPr>
          <w:p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1993-2003</w:t>
            </w:r>
          </w:p>
        </w:tc>
        <w:tc>
          <w:tcPr>
            <w:tcW w:w="1768" w:type="dxa"/>
            <w:tcBorders>
              <w:bottom w:val="single" w:sz="4" w:space="0" w:color="auto"/>
            </w:tcBorders>
            <w:shd w:val="clear" w:color="auto" w:fill="auto"/>
            <w:noWrap/>
            <w:hideMark/>
          </w:tcPr>
          <w:p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2003-2013</w:t>
            </w:r>
          </w:p>
        </w:tc>
        <w:tc>
          <w:tcPr>
            <w:tcW w:w="1768" w:type="dxa"/>
            <w:tcBorders>
              <w:bottom w:val="single" w:sz="4" w:space="0" w:color="auto"/>
            </w:tcBorders>
            <w:shd w:val="clear" w:color="auto" w:fill="auto"/>
            <w:noWrap/>
            <w:hideMark/>
          </w:tcPr>
          <w:p w:rsidR="00165794" w:rsidRPr="00165794" w:rsidRDefault="00165794" w:rsidP="00165794">
            <w:pPr>
              <w:jc w:val="center"/>
              <w:rPr>
                <w:rFonts w:ascii="Arial" w:hAnsi="Arial" w:cs="Arial"/>
                <w:b/>
                <w:bCs/>
                <w:color w:val="000000" w:themeColor="text1"/>
              </w:rPr>
            </w:pPr>
            <w:r w:rsidRPr="00165794">
              <w:rPr>
                <w:rFonts w:ascii="Arial" w:hAnsi="Arial" w:cs="Arial"/>
                <w:b/>
                <w:bCs/>
                <w:color w:val="000000" w:themeColor="text1"/>
              </w:rPr>
              <w:t>2013-2023</w:t>
            </w:r>
          </w:p>
        </w:tc>
      </w:tr>
      <w:tr w:rsidR="00165794" w:rsidRPr="00165794" w:rsidTr="00165794">
        <w:trPr>
          <w:trHeight w:val="336"/>
          <w:jc w:val="center"/>
        </w:trPr>
        <w:tc>
          <w:tcPr>
            <w:tcW w:w="2648" w:type="dxa"/>
            <w:tcBorders>
              <w:top w:val="single" w:sz="4" w:space="0" w:color="auto"/>
            </w:tcBorders>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NNE</w:t>
            </w:r>
          </w:p>
        </w:tc>
        <w:tc>
          <w:tcPr>
            <w:tcW w:w="1768" w:type="dxa"/>
            <w:tcBorders>
              <w:top w:val="single" w:sz="4" w:space="0" w:color="auto"/>
            </w:tcBorders>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3.52</w:t>
            </w:r>
          </w:p>
        </w:tc>
        <w:tc>
          <w:tcPr>
            <w:tcW w:w="1768" w:type="dxa"/>
            <w:tcBorders>
              <w:top w:val="single" w:sz="4" w:space="0" w:color="auto"/>
            </w:tcBorders>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3.09</w:t>
            </w:r>
          </w:p>
        </w:tc>
        <w:tc>
          <w:tcPr>
            <w:tcW w:w="1768" w:type="dxa"/>
            <w:tcBorders>
              <w:top w:val="single" w:sz="4" w:space="0" w:color="auto"/>
            </w:tcBorders>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22.48</w:t>
            </w:r>
          </w:p>
        </w:tc>
      </w:tr>
      <w:tr w:rsidR="00165794" w:rsidRPr="00165794" w:rsidTr="00165794">
        <w:trPr>
          <w:trHeight w:val="336"/>
          <w:jc w:val="center"/>
        </w:trPr>
        <w:tc>
          <w:tcPr>
            <w:tcW w:w="264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ENE</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3.34</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2.39</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24.03</w:t>
            </w:r>
          </w:p>
        </w:tc>
      </w:tr>
      <w:tr w:rsidR="00165794" w:rsidRPr="00165794" w:rsidTr="00165794">
        <w:trPr>
          <w:trHeight w:val="336"/>
          <w:jc w:val="center"/>
        </w:trPr>
        <w:tc>
          <w:tcPr>
            <w:tcW w:w="264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ESE</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8.24</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6.15</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22.62</w:t>
            </w:r>
          </w:p>
        </w:tc>
      </w:tr>
      <w:tr w:rsidR="00165794" w:rsidRPr="00165794" w:rsidTr="00165794">
        <w:trPr>
          <w:trHeight w:val="336"/>
          <w:jc w:val="center"/>
        </w:trPr>
        <w:tc>
          <w:tcPr>
            <w:tcW w:w="264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SSE</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22.07</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4.75</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19.88</w:t>
            </w:r>
          </w:p>
        </w:tc>
      </w:tr>
      <w:tr w:rsidR="00165794" w:rsidRPr="00165794" w:rsidTr="00165794">
        <w:trPr>
          <w:trHeight w:val="336"/>
          <w:jc w:val="center"/>
        </w:trPr>
        <w:tc>
          <w:tcPr>
            <w:tcW w:w="264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SSW</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21.05</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0.00</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0.24</w:t>
            </w:r>
          </w:p>
        </w:tc>
      </w:tr>
      <w:tr w:rsidR="00165794" w:rsidRPr="00165794" w:rsidTr="00165794">
        <w:trPr>
          <w:trHeight w:val="336"/>
          <w:jc w:val="center"/>
        </w:trPr>
        <w:tc>
          <w:tcPr>
            <w:tcW w:w="264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WSW</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13.40</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0.00</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2.59</w:t>
            </w:r>
          </w:p>
        </w:tc>
      </w:tr>
      <w:tr w:rsidR="00165794" w:rsidRPr="00165794" w:rsidTr="00165794">
        <w:trPr>
          <w:trHeight w:val="336"/>
          <w:jc w:val="center"/>
        </w:trPr>
        <w:tc>
          <w:tcPr>
            <w:tcW w:w="264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WNW</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17.88</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0.00</w:t>
            </w:r>
          </w:p>
        </w:tc>
        <w:tc>
          <w:tcPr>
            <w:tcW w:w="1768" w:type="dxa"/>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1.38</w:t>
            </w:r>
          </w:p>
        </w:tc>
      </w:tr>
      <w:tr w:rsidR="00165794" w:rsidRPr="00165794" w:rsidTr="00165794">
        <w:trPr>
          <w:trHeight w:val="336"/>
          <w:jc w:val="center"/>
        </w:trPr>
        <w:tc>
          <w:tcPr>
            <w:tcW w:w="2648" w:type="dxa"/>
            <w:tcBorders>
              <w:bottom w:val="single" w:sz="4" w:space="0" w:color="auto"/>
            </w:tcBorders>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NNW</w:t>
            </w:r>
          </w:p>
        </w:tc>
        <w:tc>
          <w:tcPr>
            <w:tcW w:w="1768" w:type="dxa"/>
            <w:tcBorders>
              <w:bottom w:val="single" w:sz="4" w:space="0" w:color="auto"/>
            </w:tcBorders>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6.55</w:t>
            </w:r>
          </w:p>
        </w:tc>
        <w:tc>
          <w:tcPr>
            <w:tcW w:w="1768" w:type="dxa"/>
            <w:tcBorders>
              <w:bottom w:val="single" w:sz="4" w:space="0" w:color="auto"/>
            </w:tcBorders>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2.52</w:t>
            </w:r>
          </w:p>
        </w:tc>
        <w:tc>
          <w:tcPr>
            <w:tcW w:w="1768" w:type="dxa"/>
            <w:tcBorders>
              <w:bottom w:val="single" w:sz="4" w:space="0" w:color="auto"/>
            </w:tcBorders>
            <w:shd w:val="clear" w:color="auto" w:fill="auto"/>
            <w:noWrap/>
            <w:hideMark/>
          </w:tcPr>
          <w:p w:rsidR="00165794" w:rsidRPr="00165794" w:rsidRDefault="00165794" w:rsidP="00165794">
            <w:pPr>
              <w:jc w:val="center"/>
              <w:rPr>
                <w:rFonts w:ascii="Arial" w:hAnsi="Arial" w:cs="Arial"/>
                <w:color w:val="000000" w:themeColor="text1"/>
              </w:rPr>
            </w:pPr>
            <w:r w:rsidRPr="00165794">
              <w:rPr>
                <w:rFonts w:ascii="Arial" w:hAnsi="Arial" w:cs="Arial"/>
                <w:color w:val="000000" w:themeColor="text1"/>
              </w:rPr>
              <w:t>17.51</w:t>
            </w:r>
          </w:p>
        </w:tc>
      </w:tr>
    </w:tbl>
    <w:p w:rsidR="00165794" w:rsidRDefault="00165794" w:rsidP="00165794">
      <w:pPr>
        <w:pStyle w:val="EJG51figurecaption"/>
        <w:spacing w:before="0" w:after="0" w:line="240" w:lineRule="auto"/>
        <w:ind w:left="0"/>
        <w:rPr>
          <w:rFonts w:ascii="Arial" w:hAnsi="Arial" w:cs="Arial"/>
          <w:sz w:val="20"/>
        </w:rPr>
      </w:pPr>
    </w:p>
    <w:p w:rsidR="00165794" w:rsidRDefault="004823B8" w:rsidP="00165794">
      <w:pPr>
        <w:pStyle w:val="EJG51figurecaption"/>
        <w:spacing w:before="0" w:after="0" w:line="240" w:lineRule="auto"/>
        <w:ind w:left="0"/>
        <w:rPr>
          <w:rFonts w:ascii="Arial" w:hAnsi="Arial" w:cs="Arial"/>
          <w:sz w:val="20"/>
        </w:rPr>
      </w:pPr>
      <w:r>
        <w:rPr>
          <w:rFonts w:ascii="Arial" w:hAnsi="Arial" w:cs="Arial"/>
          <w:noProof/>
          <w:sz w:val="20"/>
          <w:lang w:eastAsia="en-US" w:bidi="ar-SA"/>
        </w:rPr>
        <w:drawing>
          <wp:anchor distT="0" distB="0" distL="114300" distR="114300" simplePos="0" relativeHeight="251658240" behindDoc="0" locked="0" layoutInCell="1" allowOverlap="1">
            <wp:simplePos x="0" y="0"/>
            <wp:positionH relativeFrom="column">
              <wp:posOffset>1504950</wp:posOffset>
            </wp:positionH>
            <wp:positionV relativeFrom="paragraph">
              <wp:align>top</wp:align>
            </wp:positionV>
            <wp:extent cx="3985895" cy="3899535"/>
            <wp:effectExtent l="19050" t="0" r="14605" b="5715"/>
            <wp:wrapSquare wrapText="bothSides"/>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165794" w:rsidRDefault="00ED7DFE" w:rsidP="00ED7DFE">
      <w:pPr>
        <w:pStyle w:val="EJG51figurecaption"/>
        <w:spacing w:before="0" w:after="0" w:line="240" w:lineRule="auto"/>
        <w:ind w:left="0"/>
        <w:jc w:val="center"/>
        <w:rPr>
          <w:rFonts w:ascii="Arial" w:hAnsi="Arial" w:cs="Arial"/>
          <w:sz w:val="20"/>
        </w:rPr>
      </w:pPr>
      <w:r>
        <w:rPr>
          <w:rFonts w:ascii="Arial" w:hAnsi="Arial" w:cs="Arial"/>
          <w:sz w:val="20"/>
        </w:rPr>
        <w:br w:type="textWrapping" w:clear="all"/>
      </w:r>
    </w:p>
    <w:p w:rsidR="00165794" w:rsidRPr="004823B8" w:rsidRDefault="004823B8" w:rsidP="00165794">
      <w:pPr>
        <w:pStyle w:val="EJG43tablefooter"/>
        <w:ind w:left="0"/>
        <w:jc w:val="center"/>
        <w:rPr>
          <w:rFonts w:ascii="Arial" w:hAnsi="Arial" w:cs="Arial"/>
          <w:szCs w:val="18"/>
        </w:rPr>
      </w:pPr>
      <w:r w:rsidRPr="004823B8">
        <w:rPr>
          <w:rFonts w:ascii="Arial" w:hAnsi="Arial" w:cs="Arial"/>
          <w:szCs w:val="18"/>
        </w:rPr>
        <w:t>Figure 7</w:t>
      </w:r>
      <w:r w:rsidR="00165794" w:rsidRPr="004823B8">
        <w:rPr>
          <w:rFonts w:ascii="Arial" w:hAnsi="Arial" w:cs="Arial"/>
          <w:szCs w:val="18"/>
        </w:rPr>
        <w:t xml:space="preserve">. Urbanization Proportionate Index of Kozhikode City </w:t>
      </w:r>
    </w:p>
    <w:p w:rsidR="00785F52" w:rsidRDefault="00785F52" w:rsidP="00165794">
      <w:pPr>
        <w:ind w:firstLine="432"/>
        <w:jc w:val="both"/>
        <w:rPr>
          <w:rFonts w:ascii="Arial" w:hAnsi="Arial" w:cs="Arial"/>
          <w:bCs/>
          <w:color w:val="000000" w:themeColor="text1"/>
        </w:rPr>
      </w:pPr>
    </w:p>
    <w:p w:rsidR="00785F52" w:rsidRDefault="00785F52" w:rsidP="00165794">
      <w:pPr>
        <w:ind w:firstLine="432"/>
        <w:jc w:val="both"/>
        <w:rPr>
          <w:rFonts w:ascii="Arial" w:hAnsi="Arial" w:cs="Arial"/>
          <w:bCs/>
          <w:color w:val="000000" w:themeColor="text1"/>
        </w:rPr>
      </w:pPr>
    </w:p>
    <w:p w:rsidR="00785F52" w:rsidRPr="004A1C0F" w:rsidRDefault="00785F52" w:rsidP="00A66AE5">
      <w:pPr>
        <w:pStyle w:val="NormalWeb"/>
        <w:jc w:val="both"/>
        <w:rPr>
          <w:rFonts w:ascii="Arial" w:hAnsi="Arial" w:cs="Arial"/>
          <w:sz w:val="20"/>
          <w:szCs w:val="20"/>
        </w:rPr>
      </w:pPr>
      <w:r w:rsidRPr="004A1C0F">
        <w:rPr>
          <w:rFonts w:ascii="Arial" w:hAnsi="Arial" w:cs="Arial"/>
          <w:sz w:val="20"/>
          <w:szCs w:val="20"/>
        </w:rPr>
        <w:lastRenderedPageBreak/>
        <w:t>The results derived from the Urbanization Intensity Index (UII) and Urbanization Proportionate Index (UPI), based on buffer gradient analysis, clearly depict the evolving trends and pace of urbanization in Kozhikode City and its suburbs over three distinct phases: steady growth, rapid expansion, and diffusive development.</w:t>
      </w:r>
    </w:p>
    <w:p w:rsidR="00785F52" w:rsidRPr="004823B8" w:rsidRDefault="00785F52" w:rsidP="004823B8">
      <w:pPr>
        <w:pStyle w:val="NormalWeb"/>
        <w:rPr>
          <w:rFonts w:ascii="Arial" w:hAnsi="Arial" w:cs="Arial"/>
          <w:b/>
          <w:bCs/>
          <w:sz w:val="20"/>
          <w:szCs w:val="20"/>
        </w:rPr>
      </w:pPr>
      <w:r w:rsidRPr="004A1C0F">
        <w:rPr>
          <w:rStyle w:val="Strong"/>
          <w:rFonts w:ascii="Arial" w:hAnsi="Arial" w:cs="Arial"/>
          <w:sz w:val="20"/>
          <w:szCs w:val="20"/>
        </w:rPr>
        <w:t>Phase I: Steady Urban Growth (1993–2003)</w:t>
      </w:r>
      <w:r w:rsidRPr="004A1C0F">
        <w:rPr>
          <w:rFonts w:ascii="Arial" w:hAnsi="Arial" w:cs="Arial"/>
          <w:sz w:val="20"/>
          <w:szCs w:val="20"/>
        </w:rPr>
        <w:br/>
        <w:t>During this initial phase, urbanization was primarily concentrated in the central business district (CBD) and its immediate surroundings. The intensity of urban growth diminished progressively with increasing distance from the city center. This phase was characterized by a compact and balanced development of infrastructure, anchored around wholesale markets, administrative functions, educational institutions, and healthcare facilities. The urban core functioned as the focal point, with a gradual but steady expansion of the built-up area radiating outward in a relatively contained manner.</w:t>
      </w:r>
    </w:p>
    <w:p w:rsidR="004823B8" w:rsidRDefault="00785F52" w:rsidP="004823B8">
      <w:pPr>
        <w:pStyle w:val="NormalWeb"/>
        <w:rPr>
          <w:rStyle w:val="Strong"/>
          <w:rFonts w:ascii="Arial" w:hAnsi="Arial" w:cs="Arial"/>
          <w:sz w:val="20"/>
          <w:szCs w:val="20"/>
        </w:rPr>
      </w:pPr>
      <w:r w:rsidRPr="004A1C0F">
        <w:rPr>
          <w:rStyle w:val="Strong"/>
          <w:rFonts w:ascii="Arial" w:hAnsi="Arial" w:cs="Arial"/>
          <w:sz w:val="20"/>
          <w:szCs w:val="20"/>
        </w:rPr>
        <w:t>Phase II: Rapid Urban Growth (2003–2013)</w:t>
      </w:r>
    </w:p>
    <w:p w:rsidR="00785F52" w:rsidRPr="004A1C0F" w:rsidRDefault="00785F52" w:rsidP="004823B8">
      <w:pPr>
        <w:pStyle w:val="NormalWeb"/>
        <w:jc w:val="both"/>
        <w:rPr>
          <w:rFonts w:ascii="Arial" w:hAnsi="Arial" w:cs="Arial"/>
          <w:sz w:val="20"/>
          <w:szCs w:val="20"/>
        </w:rPr>
      </w:pPr>
      <w:r w:rsidRPr="004A1C0F">
        <w:rPr>
          <w:rFonts w:ascii="Arial" w:hAnsi="Arial" w:cs="Arial"/>
          <w:sz w:val="20"/>
          <w:szCs w:val="20"/>
        </w:rPr>
        <w:br/>
        <w:t>This period marked a significant acceleration in urban expansion, with the built-up area extending well beyond the traditional city core. Urbanization spread vigorously into the surrounding zones, transforming previously semi-urban or rural areas into emerging urban centers. The intensity of development increased notably, particularly in zones adjacent to the earlier urban core, driven by growing demand for housing, commercial spaces, and public infrastructure. This rapid growth phase witnessed a shift in urban activity toward the outer fringes, signaling the beginning of suburban transformation and spatial restructuring.</w:t>
      </w:r>
    </w:p>
    <w:p w:rsidR="00A66AE5" w:rsidRPr="004A1C0F" w:rsidRDefault="00785F52" w:rsidP="00A66AE5">
      <w:pPr>
        <w:pStyle w:val="NormalWeb"/>
        <w:rPr>
          <w:rStyle w:val="Strong"/>
          <w:rFonts w:ascii="Arial" w:hAnsi="Arial" w:cs="Arial"/>
          <w:sz w:val="20"/>
          <w:szCs w:val="20"/>
        </w:rPr>
      </w:pPr>
      <w:r w:rsidRPr="004A1C0F">
        <w:rPr>
          <w:rStyle w:val="Strong"/>
          <w:rFonts w:ascii="Arial" w:hAnsi="Arial" w:cs="Arial"/>
          <w:sz w:val="20"/>
          <w:szCs w:val="20"/>
        </w:rPr>
        <w:t>Phase III: Diffusive Urban Growth (2013–2023)</w:t>
      </w:r>
    </w:p>
    <w:p w:rsidR="00785F52" w:rsidRPr="004A1C0F" w:rsidRDefault="00785F52" w:rsidP="00A66AE5">
      <w:pPr>
        <w:pStyle w:val="NormalWeb"/>
        <w:jc w:val="both"/>
        <w:rPr>
          <w:rFonts w:ascii="Arial" w:hAnsi="Arial" w:cs="Arial"/>
          <w:sz w:val="20"/>
          <w:szCs w:val="20"/>
        </w:rPr>
      </w:pPr>
      <w:r w:rsidRPr="004A1C0F">
        <w:rPr>
          <w:rFonts w:ascii="Arial" w:hAnsi="Arial" w:cs="Arial"/>
          <w:sz w:val="20"/>
          <w:szCs w:val="20"/>
        </w:rPr>
        <w:br/>
        <w:t>In the most recent phase, urban development has become increasingly dispersed, reaching into rural hinterlands and peri-urban zones. The city center, having reached saturation, now exerts less influence on the location of new development projects. Urban growth is characterized by the emergence of decentralized nodes and extensive suburbanization, with formerly rural areas being absorbed into the urban fabric. The expansion pattern has become more diffused and regionally integrated, leading to blurred boundaries between urban and suburban zones. While the extent of urbanized land continues to increase, the intensity of development has become less concentrated, reflecting a shift from compact growth to a more dispersed and networked urban form.</w:t>
      </w:r>
    </w:p>
    <w:p w:rsidR="00790ADA" w:rsidRPr="004A1C0F" w:rsidRDefault="00790ADA" w:rsidP="00A66AE5">
      <w:pPr>
        <w:pStyle w:val="Body"/>
        <w:spacing w:after="0"/>
        <w:jc w:val="left"/>
        <w:rPr>
          <w:rFonts w:ascii="Arial" w:hAnsi="Arial" w:cs="Arial"/>
        </w:rPr>
      </w:pPr>
    </w:p>
    <w:p w:rsidR="00B01FCD" w:rsidRPr="004A1C0F" w:rsidRDefault="00165794" w:rsidP="00A66AE5">
      <w:pPr>
        <w:pStyle w:val="ConcHead"/>
        <w:spacing w:after="0"/>
        <w:rPr>
          <w:rFonts w:ascii="Arial" w:hAnsi="Arial" w:cs="Arial"/>
          <w:sz w:val="20"/>
        </w:rPr>
      </w:pPr>
      <w:r w:rsidRPr="004A1C0F">
        <w:rPr>
          <w:rFonts w:ascii="Arial" w:hAnsi="Arial" w:cs="Arial"/>
          <w:sz w:val="20"/>
        </w:rPr>
        <w:t>5</w:t>
      </w:r>
      <w:r w:rsidR="00000F8F" w:rsidRPr="004A1C0F">
        <w:rPr>
          <w:rFonts w:ascii="Arial" w:hAnsi="Arial" w:cs="Arial"/>
          <w:sz w:val="20"/>
        </w:rPr>
        <w:t xml:space="preserve">. </w:t>
      </w:r>
      <w:r w:rsidR="00B01FCD" w:rsidRPr="004A1C0F">
        <w:rPr>
          <w:rFonts w:ascii="Arial" w:hAnsi="Arial" w:cs="Arial"/>
          <w:sz w:val="20"/>
        </w:rPr>
        <w:t>Conclusion</w:t>
      </w:r>
    </w:p>
    <w:p w:rsidR="00785F52" w:rsidRPr="004A1C0F" w:rsidRDefault="00785F52" w:rsidP="00A66AE5">
      <w:pPr>
        <w:pStyle w:val="NormalWeb"/>
        <w:jc w:val="both"/>
        <w:rPr>
          <w:rFonts w:ascii="Arial" w:hAnsi="Arial" w:cs="Arial"/>
          <w:sz w:val="20"/>
          <w:szCs w:val="20"/>
        </w:rPr>
      </w:pPr>
      <w:r w:rsidRPr="004A1C0F">
        <w:rPr>
          <w:rFonts w:ascii="Arial" w:hAnsi="Arial" w:cs="Arial"/>
          <w:sz w:val="20"/>
          <w:szCs w:val="20"/>
        </w:rPr>
        <w:t>The spatial and temporal analysis of urbanization patterns in Kozhikode City from 1993 to 2023 reveals a marked transformation in the direction and intensity of urban growth. The study, employing the Urbanization Intensity Index (UII) and Urbanization Proportionate Index (UPI) through buffer and directional analysis, highlights a clear shift from core-centric and southern expansion in the early decades to peripheral, northeastern, and eastern intensification in the most recent period. The initial urban growth was concentrated in the southern and southwestern sectors, largely influenced by port activities, transport nodes, and central business functions. However, from 2003 onwards, these areas witnessed saturation or were constrained by coastal and ecological limitations, prompting a spatial redirection of development. The decade from 2013 to 2023 marks a significant phase of centrifugal urban expansion, particularly toward the ENE, ESE, and NNE directions. This transition is strongly associated with the development of major transportation corridors (NH 66 and NH 766), the establishment of institutional infrastructure, and increasing private and NRI investments in the suburban fringes. The findings underscore the growing spatial anisotropy of urban development, wherein infrastructure-led growth corridors dictate the directionality of expansion. These patterns call for targeted urban planning strategies that address the challenges of peripheral growth, infrastructure provisioning, and environmental sustainability, particularly in rapidly urbanizing zones beyond the historical core of Kozhikode City.</w:t>
      </w:r>
    </w:p>
    <w:p w:rsidR="00790ADA" w:rsidRPr="00FB3A86" w:rsidRDefault="00790ADA" w:rsidP="00441B6F">
      <w:pPr>
        <w:pStyle w:val="Body"/>
        <w:spacing w:after="0"/>
        <w:rPr>
          <w:rFonts w:ascii="Arial" w:hAnsi="Arial" w:cs="Arial"/>
        </w:rPr>
      </w:pPr>
    </w:p>
    <w:p w:rsidR="00315186" w:rsidRPr="00315186" w:rsidRDefault="00315186" w:rsidP="00441B6F"/>
    <w:p w:rsidR="00315186" w:rsidRPr="00315186" w:rsidRDefault="00315186" w:rsidP="00441B6F"/>
    <w:p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rsidR="00860000" w:rsidRPr="00786D36" w:rsidRDefault="00860000" w:rsidP="00441B6F">
      <w:pPr>
        <w:pStyle w:val="ReferHead"/>
        <w:spacing w:after="0"/>
        <w:jc w:val="both"/>
        <w:rPr>
          <w:rFonts w:ascii="Arial" w:hAnsi="Arial" w:cs="Arial"/>
        </w:rPr>
      </w:pPr>
    </w:p>
    <w:p w:rsidR="00860000" w:rsidRPr="00165794" w:rsidRDefault="00AC2B8A" w:rsidP="00441B6F">
      <w:pPr>
        <w:pStyle w:val="ReferHead"/>
        <w:spacing w:after="0"/>
        <w:jc w:val="both"/>
        <w:rPr>
          <w:rFonts w:ascii="Arial" w:hAnsi="Arial" w:cs="Arial"/>
          <w:b w:val="0"/>
          <w:caps w:val="0"/>
          <w:sz w:val="20"/>
        </w:rPr>
      </w:pPr>
      <w:r>
        <w:rPr>
          <w:rFonts w:ascii="Arial" w:hAnsi="Arial" w:cs="Arial"/>
          <w:b w:val="0"/>
          <w:caps w:val="0"/>
          <w:sz w:val="20"/>
        </w:rPr>
        <w:t xml:space="preserve"> </w:t>
      </w:r>
      <w:r w:rsidR="00E66E10" w:rsidRPr="00165794">
        <w:rPr>
          <w:rFonts w:ascii="Arial" w:hAnsi="Arial" w:cs="Arial"/>
          <w:b w:val="0"/>
          <w:caps w:val="0"/>
          <w:sz w:val="20"/>
        </w:rPr>
        <w:t>Authors have declared that</w:t>
      </w:r>
      <w:r>
        <w:rPr>
          <w:rFonts w:ascii="Arial" w:hAnsi="Arial" w:cs="Arial"/>
          <w:b w:val="0"/>
          <w:caps w:val="0"/>
          <w:sz w:val="20"/>
        </w:rPr>
        <w:t xml:space="preserve"> no competing interests exist.</w:t>
      </w:r>
    </w:p>
    <w:p w:rsidR="00371FB6" w:rsidRDefault="00371FB6" w:rsidP="00441B6F">
      <w:pPr>
        <w:pStyle w:val="ReferHead"/>
        <w:spacing w:after="0"/>
        <w:jc w:val="both"/>
        <w:rPr>
          <w:rFonts w:ascii="Arial" w:hAnsi="Arial" w:cs="Arial"/>
          <w:b w:val="0"/>
          <w:caps w:val="0"/>
          <w:sz w:val="20"/>
        </w:rPr>
      </w:pPr>
    </w:p>
    <w:p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rsidR="00371FB6" w:rsidRPr="00371FB6" w:rsidRDefault="00371FB6" w:rsidP="00441B6F">
      <w:pPr>
        <w:pStyle w:val="ReferHead"/>
        <w:spacing w:after="0"/>
        <w:jc w:val="both"/>
        <w:rPr>
          <w:rFonts w:ascii="Arial" w:hAnsi="Arial" w:cs="Arial"/>
          <w:bCs/>
        </w:rPr>
      </w:pPr>
    </w:p>
    <w:p w:rsidR="002B685A" w:rsidRDefault="00AC2B8A" w:rsidP="00441B6F">
      <w:pPr>
        <w:pStyle w:val="ReferHead"/>
        <w:spacing w:after="0"/>
        <w:jc w:val="both"/>
        <w:rPr>
          <w:rFonts w:ascii="Arial" w:hAnsi="Arial" w:cs="Arial"/>
          <w:b w:val="0"/>
          <w:caps w:val="0"/>
          <w:sz w:val="20"/>
          <w:shd w:val="clear" w:color="auto" w:fill="FFFFFF"/>
        </w:rPr>
      </w:pPr>
      <w:r>
        <w:rPr>
          <w:rFonts w:ascii="Arial" w:hAnsi="Arial" w:cs="Arial"/>
          <w:b w:val="0"/>
          <w:caps w:val="0"/>
          <w:sz w:val="20"/>
          <w:shd w:val="clear" w:color="auto" w:fill="FFFFFF"/>
        </w:rPr>
        <w:t>T</w:t>
      </w:r>
      <w:r w:rsidRPr="00AC2B8A">
        <w:rPr>
          <w:rFonts w:ascii="Arial" w:hAnsi="Arial" w:cs="Arial"/>
          <w:b w:val="0"/>
          <w:caps w:val="0"/>
          <w:sz w:val="20"/>
          <w:shd w:val="clear" w:color="auto" w:fill="FFFFFF"/>
        </w:rPr>
        <w:t xml:space="preserve">his work was carried out in collaboration among all authors. </w:t>
      </w:r>
      <w:r>
        <w:rPr>
          <w:rFonts w:ascii="Arial" w:hAnsi="Arial" w:cs="Arial"/>
          <w:b w:val="0"/>
          <w:caps w:val="0"/>
          <w:sz w:val="20"/>
          <w:shd w:val="clear" w:color="auto" w:fill="FFFFFF"/>
        </w:rPr>
        <w:t>A</w:t>
      </w:r>
      <w:r w:rsidRPr="00AC2B8A">
        <w:rPr>
          <w:rFonts w:ascii="Arial" w:hAnsi="Arial" w:cs="Arial"/>
          <w:b w:val="0"/>
          <w:caps w:val="0"/>
          <w:sz w:val="20"/>
          <w:shd w:val="clear" w:color="auto" w:fill="FFFFFF"/>
        </w:rPr>
        <w:t>ll authors read and approved the final manuscrip</w:t>
      </w:r>
      <w:r>
        <w:rPr>
          <w:rFonts w:ascii="Arial" w:hAnsi="Arial" w:cs="Arial"/>
          <w:b w:val="0"/>
          <w:caps w:val="0"/>
          <w:sz w:val="20"/>
          <w:shd w:val="clear" w:color="auto" w:fill="FFFFFF"/>
        </w:rPr>
        <w:t>t.</w:t>
      </w:r>
    </w:p>
    <w:p w:rsidR="00996369" w:rsidRDefault="00996369" w:rsidP="00441B6F">
      <w:pPr>
        <w:pStyle w:val="ReferHead"/>
        <w:spacing w:after="0"/>
        <w:jc w:val="both"/>
        <w:rPr>
          <w:rFonts w:ascii="Arial" w:hAnsi="Arial" w:cs="Arial"/>
          <w:b w:val="0"/>
          <w:caps w:val="0"/>
          <w:sz w:val="20"/>
          <w:shd w:val="clear" w:color="auto" w:fill="FFFFFF"/>
        </w:rPr>
      </w:pPr>
    </w:p>
    <w:p w:rsidR="00996369" w:rsidRDefault="00996369" w:rsidP="00441B6F">
      <w:pPr>
        <w:pStyle w:val="ReferHead"/>
        <w:spacing w:after="0"/>
        <w:jc w:val="both"/>
        <w:rPr>
          <w:rFonts w:ascii="Arial" w:hAnsi="Arial" w:cs="Arial"/>
          <w:caps w:val="0"/>
          <w:sz w:val="20"/>
          <w:shd w:val="clear" w:color="auto" w:fill="FFFFFF"/>
        </w:rPr>
      </w:pPr>
      <w:r w:rsidRPr="00996369">
        <w:rPr>
          <w:rFonts w:ascii="Arial" w:hAnsi="Arial" w:cs="Arial"/>
          <w:caps w:val="0"/>
          <w:sz w:val="20"/>
          <w:shd w:val="clear" w:color="auto" w:fill="FFFFFF"/>
        </w:rPr>
        <w:t>ETHICAL STATEMENT</w:t>
      </w:r>
    </w:p>
    <w:p w:rsidR="00996369" w:rsidRDefault="00996369" w:rsidP="00441B6F">
      <w:pPr>
        <w:pStyle w:val="ReferHead"/>
        <w:spacing w:after="0"/>
        <w:jc w:val="both"/>
        <w:rPr>
          <w:rFonts w:ascii="Arial" w:hAnsi="Arial" w:cs="Arial"/>
          <w:caps w:val="0"/>
          <w:sz w:val="20"/>
          <w:shd w:val="clear" w:color="auto" w:fill="FFFFFF"/>
        </w:rPr>
      </w:pPr>
    </w:p>
    <w:p w:rsidR="00996369" w:rsidRPr="00996369" w:rsidRDefault="00996369" w:rsidP="00441B6F">
      <w:pPr>
        <w:pStyle w:val="ReferHead"/>
        <w:spacing w:after="0"/>
        <w:jc w:val="both"/>
        <w:rPr>
          <w:rFonts w:ascii="Arial" w:hAnsi="Arial" w:cs="Arial"/>
          <w:b w:val="0"/>
          <w:caps w:val="0"/>
          <w:sz w:val="20"/>
        </w:rPr>
      </w:pPr>
      <w:r w:rsidRPr="00996369">
        <w:rPr>
          <w:rFonts w:ascii="Arial" w:hAnsi="Arial" w:cs="Arial"/>
          <w:b w:val="0"/>
          <w:caps w:val="0"/>
          <w:sz w:val="20"/>
        </w:rPr>
        <w:t>This study relied entirely on available satellite imagery and secondary data sources. Therefore, ethical approval and informed consent were not required. All data used in this research were obtained from open-access platforms and were handled in compliance with relevant institutional and publication ethical standards.</w:t>
      </w: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C74EAF" w:rsidRPr="00AC6AC5" w:rsidRDefault="00C74EAF" w:rsidP="00AC6AC5">
      <w:pPr>
        <w:pStyle w:val="Bibliography"/>
        <w:rPr>
          <w:rFonts w:ascii="Arial" w:hAnsi="Arial" w:cs="Arial"/>
        </w:rPr>
      </w:pPr>
      <w:proofErr w:type="spellStart"/>
      <w:r w:rsidRPr="00AC6AC5">
        <w:rPr>
          <w:rFonts w:ascii="Arial" w:hAnsi="Arial" w:cs="Arial"/>
        </w:rPr>
        <w:t>Bhagyanathan</w:t>
      </w:r>
      <w:proofErr w:type="spellEnd"/>
      <w:r w:rsidRPr="00AC6AC5">
        <w:rPr>
          <w:rFonts w:ascii="Arial" w:hAnsi="Arial" w:cs="Arial"/>
        </w:rPr>
        <w:t xml:space="preserve">, A., &amp; </w:t>
      </w:r>
      <w:proofErr w:type="spellStart"/>
      <w:r w:rsidRPr="00AC6AC5">
        <w:rPr>
          <w:rFonts w:ascii="Arial" w:hAnsi="Arial" w:cs="Arial"/>
        </w:rPr>
        <w:t>Dhayanithy</w:t>
      </w:r>
      <w:proofErr w:type="spellEnd"/>
      <w:r w:rsidRPr="00AC6AC5">
        <w:rPr>
          <w:rFonts w:ascii="Arial" w:hAnsi="Arial" w:cs="Arial"/>
        </w:rPr>
        <w:t xml:space="preserve">, D. (2023). A canal, urban sprawl and wetland loss: The case of Kozhikode, India, from colonialism to climate change era. </w:t>
      </w:r>
      <w:r w:rsidRPr="00AC6AC5">
        <w:rPr>
          <w:rFonts w:ascii="Arial" w:hAnsi="Arial" w:cs="Arial"/>
          <w:i/>
          <w:iCs/>
        </w:rPr>
        <w:t>Area</w:t>
      </w:r>
      <w:r w:rsidRPr="00AC6AC5">
        <w:rPr>
          <w:rFonts w:ascii="Arial" w:hAnsi="Arial" w:cs="Arial"/>
        </w:rPr>
        <w:t xml:space="preserve">, </w:t>
      </w:r>
      <w:r w:rsidRPr="00AC6AC5">
        <w:rPr>
          <w:rFonts w:ascii="Arial" w:hAnsi="Arial" w:cs="Arial"/>
          <w:i/>
          <w:iCs/>
        </w:rPr>
        <w:t>55</w:t>
      </w:r>
      <w:r w:rsidRPr="00AC6AC5">
        <w:rPr>
          <w:rFonts w:ascii="Arial" w:hAnsi="Arial" w:cs="Arial"/>
        </w:rPr>
        <w:t xml:space="preserve">(3), 435–446. </w:t>
      </w:r>
      <w:hyperlink r:id="rId28" w:history="1">
        <w:r w:rsidRPr="00AC6AC5">
          <w:rPr>
            <w:rStyle w:val="Hyperlink"/>
            <w:rFonts w:ascii="Arial" w:hAnsi="Arial" w:cs="Arial"/>
          </w:rPr>
          <w:t>https://doi.org/10.1111/area.12875</w:t>
        </w:r>
      </w:hyperlink>
    </w:p>
    <w:p w:rsidR="00C74EAF" w:rsidRPr="00AC6AC5" w:rsidRDefault="00C74EAF" w:rsidP="00AC6AC5">
      <w:pPr>
        <w:jc w:val="both"/>
        <w:rPr>
          <w:rFonts w:ascii="Arial" w:hAnsi="Arial" w:cs="Arial"/>
          <w:lang w:eastAsia="zh-CN"/>
        </w:rPr>
      </w:pPr>
    </w:p>
    <w:p w:rsidR="00C74EAF" w:rsidRPr="00AC6AC5" w:rsidRDefault="00C74EAF" w:rsidP="00AC6AC5">
      <w:pPr>
        <w:pStyle w:val="Bibliography"/>
        <w:rPr>
          <w:rFonts w:ascii="Arial" w:hAnsi="Arial" w:cs="Arial"/>
        </w:rPr>
      </w:pPr>
      <w:r w:rsidRPr="00AC6AC5">
        <w:rPr>
          <w:rFonts w:ascii="Arial" w:hAnsi="Arial" w:cs="Arial"/>
        </w:rPr>
        <w:t xml:space="preserve">DEPARTMENT OF TOWN AND COUNTRY PLANNING - GOVERNMENT OF KERALA, </w:t>
      </w:r>
      <w:proofErr w:type="spellStart"/>
      <w:r w:rsidRPr="00AC6AC5">
        <w:rPr>
          <w:rFonts w:ascii="Arial" w:hAnsi="Arial" w:cs="Arial"/>
        </w:rPr>
        <w:t>Poulose</w:t>
      </w:r>
      <w:proofErr w:type="spellEnd"/>
      <w:r w:rsidRPr="00AC6AC5">
        <w:rPr>
          <w:rFonts w:ascii="Arial" w:hAnsi="Arial" w:cs="Arial"/>
        </w:rPr>
        <w:t xml:space="preserve">, C. J., State Project Cell for LDP-IDDP-SPP, </w:t>
      </w:r>
      <w:proofErr w:type="spellStart"/>
      <w:r w:rsidRPr="00AC6AC5">
        <w:rPr>
          <w:rFonts w:ascii="Arial" w:hAnsi="Arial" w:cs="Arial"/>
        </w:rPr>
        <w:t>Easow</w:t>
      </w:r>
      <w:proofErr w:type="spellEnd"/>
      <w:r w:rsidRPr="00AC6AC5">
        <w:rPr>
          <w:rFonts w:ascii="Arial" w:hAnsi="Arial" w:cs="Arial"/>
        </w:rPr>
        <w:t xml:space="preserve">, J., </w:t>
      </w:r>
      <w:proofErr w:type="spellStart"/>
      <w:r w:rsidRPr="00AC6AC5">
        <w:rPr>
          <w:rFonts w:ascii="Arial" w:hAnsi="Arial" w:cs="Arial"/>
        </w:rPr>
        <w:t>Ushakumari</w:t>
      </w:r>
      <w:proofErr w:type="spellEnd"/>
      <w:r w:rsidRPr="00AC6AC5">
        <w:rPr>
          <w:rFonts w:ascii="Arial" w:hAnsi="Arial" w:cs="Arial"/>
        </w:rPr>
        <w:t xml:space="preserve">, P. R., </w:t>
      </w:r>
      <w:proofErr w:type="spellStart"/>
      <w:r w:rsidRPr="00AC6AC5">
        <w:rPr>
          <w:rFonts w:ascii="Arial" w:hAnsi="Arial" w:cs="Arial"/>
        </w:rPr>
        <w:t>Baiju</w:t>
      </w:r>
      <w:proofErr w:type="spellEnd"/>
      <w:r w:rsidRPr="00AC6AC5">
        <w:rPr>
          <w:rFonts w:ascii="Arial" w:hAnsi="Arial" w:cs="Arial"/>
        </w:rPr>
        <w:t xml:space="preserve">, K., &amp; </w:t>
      </w:r>
      <w:proofErr w:type="spellStart"/>
      <w:r w:rsidRPr="00AC6AC5">
        <w:rPr>
          <w:rFonts w:ascii="Arial" w:hAnsi="Arial" w:cs="Arial"/>
        </w:rPr>
        <w:t>Mony</w:t>
      </w:r>
      <w:proofErr w:type="spellEnd"/>
      <w:r w:rsidRPr="00AC6AC5">
        <w:rPr>
          <w:rFonts w:ascii="Arial" w:hAnsi="Arial" w:cs="Arial"/>
        </w:rPr>
        <w:t xml:space="preserve">, D. D. S. (2011). </w:t>
      </w:r>
      <w:r w:rsidRPr="00AC6AC5">
        <w:rPr>
          <w:rFonts w:ascii="Arial" w:hAnsi="Arial" w:cs="Arial"/>
          <w:i/>
          <w:iCs/>
        </w:rPr>
        <w:t>DISTRICT URBANISATION REPORT KOZHIKODE</w:t>
      </w:r>
      <w:r w:rsidRPr="00AC6AC5">
        <w:rPr>
          <w:rFonts w:ascii="Arial" w:hAnsi="Arial" w:cs="Arial"/>
        </w:rPr>
        <w:t>.</w:t>
      </w:r>
    </w:p>
    <w:p w:rsidR="00C74EAF" w:rsidRPr="00AC6AC5" w:rsidRDefault="00C74EAF" w:rsidP="00AC6AC5">
      <w:pPr>
        <w:jc w:val="both"/>
        <w:rPr>
          <w:rFonts w:ascii="Arial" w:hAnsi="Arial" w:cs="Arial"/>
          <w:lang w:eastAsia="zh-CN"/>
        </w:rPr>
      </w:pPr>
    </w:p>
    <w:p w:rsidR="00C74EAF" w:rsidRPr="00AC6AC5" w:rsidRDefault="00C74EAF" w:rsidP="00AC6AC5">
      <w:pPr>
        <w:pStyle w:val="Bibliography"/>
        <w:rPr>
          <w:rFonts w:ascii="Arial" w:hAnsi="Arial" w:cs="Arial"/>
        </w:rPr>
      </w:pPr>
      <w:r w:rsidRPr="00AC6AC5">
        <w:rPr>
          <w:rFonts w:ascii="Arial" w:hAnsi="Arial" w:cs="Arial"/>
        </w:rPr>
        <w:t>G</w:t>
      </w:r>
      <w:r w:rsidR="00996369" w:rsidRPr="00AC6AC5">
        <w:rPr>
          <w:rFonts w:ascii="Arial" w:hAnsi="Arial" w:cs="Arial"/>
        </w:rPr>
        <w:t xml:space="preserve">rover, A., &amp; </w:t>
      </w:r>
      <w:proofErr w:type="spellStart"/>
      <w:r w:rsidR="00996369" w:rsidRPr="00AC6AC5">
        <w:rPr>
          <w:rFonts w:ascii="Arial" w:hAnsi="Arial" w:cs="Arial"/>
        </w:rPr>
        <w:t>Vadakkuveettil</w:t>
      </w:r>
      <w:proofErr w:type="spellEnd"/>
      <w:r w:rsidR="00996369" w:rsidRPr="00AC6AC5">
        <w:rPr>
          <w:rFonts w:ascii="Arial" w:hAnsi="Arial" w:cs="Arial"/>
        </w:rPr>
        <w:t xml:space="preserve">, A. </w:t>
      </w:r>
      <w:r w:rsidRPr="00AC6AC5">
        <w:rPr>
          <w:rFonts w:ascii="Arial" w:hAnsi="Arial" w:cs="Arial"/>
        </w:rPr>
        <w:t xml:space="preserve">(2023). Multi-temporal dynamics of land use land cover change and urban expansion in the tropical coastal district of Kozhikode. In </w:t>
      </w:r>
      <w:r w:rsidRPr="00AC6AC5">
        <w:rPr>
          <w:rFonts w:ascii="Arial" w:hAnsi="Arial" w:cs="Arial"/>
          <w:i/>
          <w:iCs/>
        </w:rPr>
        <w:t>Springer eBooks</w:t>
      </w:r>
      <w:r w:rsidRPr="00AC6AC5">
        <w:rPr>
          <w:rFonts w:ascii="Arial" w:hAnsi="Arial" w:cs="Arial"/>
        </w:rPr>
        <w:t xml:space="preserve"> (pp. 57–68). </w:t>
      </w:r>
      <w:hyperlink r:id="rId29" w:history="1">
        <w:r w:rsidRPr="00AC6AC5">
          <w:rPr>
            <w:rStyle w:val="Hyperlink"/>
            <w:rFonts w:ascii="Arial" w:hAnsi="Arial" w:cs="Arial"/>
          </w:rPr>
          <w:t>https://doi.org/10.1007/978-3-031-21587-2_4</w:t>
        </w:r>
      </w:hyperlink>
      <w:r w:rsidRPr="00AC6AC5">
        <w:rPr>
          <w:rFonts w:ascii="Arial" w:hAnsi="Arial" w:cs="Arial"/>
        </w:rPr>
        <w:t>.</w:t>
      </w:r>
    </w:p>
    <w:p w:rsidR="004823B8" w:rsidRPr="00AC6AC5" w:rsidRDefault="004823B8" w:rsidP="00AC6AC5">
      <w:pPr>
        <w:jc w:val="both"/>
        <w:rPr>
          <w:rFonts w:ascii="Arial" w:hAnsi="Arial" w:cs="Arial"/>
        </w:rPr>
      </w:pPr>
    </w:p>
    <w:p w:rsidR="004823B8" w:rsidRPr="00AC6AC5" w:rsidRDefault="004823B8" w:rsidP="00AC6AC5">
      <w:pPr>
        <w:jc w:val="both"/>
        <w:rPr>
          <w:rFonts w:ascii="Arial" w:hAnsi="Arial" w:cs="Arial"/>
        </w:rPr>
      </w:pPr>
      <w:proofErr w:type="spellStart"/>
      <w:r w:rsidRPr="00AC6AC5">
        <w:rPr>
          <w:rFonts w:ascii="Arial" w:hAnsi="Arial" w:cs="Arial"/>
        </w:rPr>
        <w:t>Haldar</w:t>
      </w:r>
      <w:proofErr w:type="spellEnd"/>
      <w:r w:rsidRPr="00AC6AC5">
        <w:rPr>
          <w:rFonts w:ascii="Arial" w:hAnsi="Arial" w:cs="Arial"/>
        </w:rPr>
        <w:t xml:space="preserve">, S., Chatterjee, U., Bhattacharya, S., Paul, S., </w:t>
      </w:r>
      <w:proofErr w:type="spellStart"/>
      <w:r w:rsidRPr="00AC6AC5">
        <w:rPr>
          <w:rFonts w:ascii="Arial" w:hAnsi="Arial" w:cs="Arial"/>
        </w:rPr>
        <w:t>Bindajam</w:t>
      </w:r>
      <w:proofErr w:type="spellEnd"/>
      <w:r w:rsidRPr="00AC6AC5">
        <w:rPr>
          <w:rFonts w:ascii="Arial" w:hAnsi="Arial" w:cs="Arial"/>
        </w:rPr>
        <w:t xml:space="preserve">, A. A., Mallick, J., &amp; Abdo, H. G. (2024). Peri-urban dynamics: Assessing expansion patterns and influencing factors. </w:t>
      </w:r>
      <w:r w:rsidRPr="00AC6AC5">
        <w:rPr>
          <w:rStyle w:val="Emphasis"/>
          <w:rFonts w:ascii="Arial" w:hAnsi="Arial" w:cs="Arial"/>
        </w:rPr>
        <w:t>Ecological Processes, 13</w:t>
      </w:r>
      <w:r w:rsidRPr="00AC6AC5">
        <w:rPr>
          <w:rFonts w:ascii="Arial" w:hAnsi="Arial" w:cs="Arial"/>
        </w:rPr>
        <w:t xml:space="preserve">, Article 58. </w:t>
      </w:r>
      <w:hyperlink r:id="rId30" w:history="1">
        <w:r w:rsidR="00996369" w:rsidRPr="00AC6AC5">
          <w:rPr>
            <w:rStyle w:val="Hyperlink"/>
            <w:rFonts w:ascii="Arial" w:hAnsi="Arial" w:cs="Arial"/>
          </w:rPr>
          <w:t>https://doi.org/10.1186/s13717-024-00518-3</w:t>
        </w:r>
      </w:hyperlink>
    </w:p>
    <w:p w:rsidR="00AC6AC5" w:rsidRPr="00AC6AC5" w:rsidRDefault="00AC6AC5" w:rsidP="00AC6AC5">
      <w:pPr>
        <w:jc w:val="both"/>
        <w:rPr>
          <w:rFonts w:ascii="Arial" w:hAnsi="Arial" w:cs="Arial"/>
        </w:rPr>
      </w:pPr>
    </w:p>
    <w:p w:rsidR="00AC6AC5" w:rsidRPr="00AC6AC5" w:rsidRDefault="00AC6AC5" w:rsidP="00AC6AC5">
      <w:pPr>
        <w:jc w:val="both"/>
        <w:rPr>
          <w:rFonts w:ascii="Arial" w:hAnsi="Arial" w:cs="Arial"/>
        </w:rPr>
      </w:pPr>
      <w:proofErr w:type="spellStart"/>
      <w:r w:rsidRPr="00AC6AC5">
        <w:rPr>
          <w:rFonts w:ascii="Arial" w:hAnsi="Arial" w:cs="Arial"/>
        </w:rPr>
        <w:t>Haldar</w:t>
      </w:r>
      <w:proofErr w:type="spellEnd"/>
      <w:r w:rsidRPr="00AC6AC5">
        <w:rPr>
          <w:rFonts w:ascii="Arial" w:hAnsi="Arial" w:cs="Arial"/>
        </w:rPr>
        <w:t xml:space="preserve">, S., Mukhopadhyay, A., Bhattacharya, S., et al. (2023). Development potentiality of peri-urban region in India: A quantitative analysis on Durgapur Municipal Corporation (DMC). </w:t>
      </w:r>
      <w:r w:rsidRPr="00AC6AC5">
        <w:rPr>
          <w:rStyle w:val="Emphasis"/>
          <w:rFonts w:ascii="Arial" w:hAnsi="Arial" w:cs="Arial"/>
        </w:rPr>
        <w:t>Future Urban Regions and Planning</w:t>
      </w:r>
      <w:r w:rsidRPr="00AC6AC5">
        <w:rPr>
          <w:rFonts w:ascii="Arial" w:hAnsi="Arial" w:cs="Arial"/>
        </w:rPr>
        <w:t xml:space="preserve">, </w:t>
      </w:r>
      <w:r w:rsidRPr="00AC6AC5">
        <w:rPr>
          <w:rStyle w:val="Emphasis"/>
          <w:rFonts w:ascii="Arial" w:hAnsi="Arial" w:cs="Arial"/>
        </w:rPr>
        <w:t>1</w:t>
      </w:r>
      <w:r w:rsidRPr="00AC6AC5">
        <w:rPr>
          <w:rFonts w:ascii="Arial" w:hAnsi="Arial" w:cs="Arial"/>
        </w:rPr>
        <w:t xml:space="preserve">, 15. </w:t>
      </w:r>
      <w:hyperlink r:id="rId31" w:tgtFrame="_new" w:history="1">
        <w:r w:rsidRPr="00AC6AC5">
          <w:rPr>
            <w:rStyle w:val="Hyperlink"/>
            <w:rFonts w:ascii="Arial" w:hAnsi="Arial" w:cs="Arial"/>
          </w:rPr>
          <w:t>https://doi.org/10.1007/s44243-023-00021-y</w:t>
        </w:r>
      </w:hyperlink>
    </w:p>
    <w:p w:rsidR="00996369" w:rsidRPr="00AC6AC5" w:rsidRDefault="00996369" w:rsidP="00AC6AC5">
      <w:pPr>
        <w:jc w:val="both"/>
        <w:rPr>
          <w:rFonts w:ascii="Arial" w:hAnsi="Arial" w:cs="Arial"/>
        </w:rPr>
      </w:pPr>
    </w:p>
    <w:p w:rsidR="00C74EAF" w:rsidRPr="00AC6AC5" w:rsidRDefault="004823B8" w:rsidP="00AC6AC5">
      <w:pPr>
        <w:jc w:val="both"/>
        <w:rPr>
          <w:rFonts w:ascii="Arial" w:hAnsi="Arial" w:cs="Arial"/>
          <w:lang w:eastAsia="zh-CN"/>
        </w:rPr>
      </w:pPr>
      <w:proofErr w:type="spellStart"/>
      <w:r w:rsidRPr="00AC6AC5">
        <w:rPr>
          <w:rFonts w:ascii="Arial" w:hAnsi="Arial" w:cs="Arial"/>
        </w:rPr>
        <w:t>Khoirurrizqi</w:t>
      </w:r>
      <w:proofErr w:type="spellEnd"/>
      <w:r w:rsidRPr="00AC6AC5">
        <w:rPr>
          <w:rFonts w:ascii="Arial" w:hAnsi="Arial" w:cs="Arial"/>
        </w:rPr>
        <w:t xml:space="preserve">, Y., </w:t>
      </w:r>
      <w:proofErr w:type="spellStart"/>
      <w:r w:rsidRPr="00AC6AC5">
        <w:rPr>
          <w:rFonts w:ascii="Arial" w:hAnsi="Arial" w:cs="Arial"/>
        </w:rPr>
        <w:t>Handayani</w:t>
      </w:r>
      <w:proofErr w:type="spellEnd"/>
      <w:r w:rsidRPr="00AC6AC5">
        <w:rPr>
          <w:rFonts w:ascii="Arial" w:hAnsi="Arial" w:cs="Arial"/>
        </w:rPr>
        <w:t xml:space="preserve">, W., &amp; </w:t>
      </w:r>
      <w:proofErr w:type="spellStart"/>
      <w:r w:rsidRPr="00AC6AC5">
        <w:rPr>
          <w:rFonts w:ascii="Arial" w:hAnsi="Arial" w:cs="Arial"/>
        </w:rPr>
        <w:t>Santosa</w:t>
      </w:r>
      <w:proofErr w:type="spellEnd"/>
      <w:r w:rsidRPr="00AC6AC5">
        <w:rPr>
          <w:rFonts w:ascii="Arial" w:hAnsi="Arial" w:cs="Arial"/>
        </w:rPr>
        <w:t xml:space="preserve">, H. (2024). </w:t>
      </w:r>
      <w:r w:rsidRPr="00AC6AC5">
        <w:rPr>
          <w:rStyle w:val="Emphasis"/>
          <w:rFonts w:ascii="Arial" w:hAnsi="Arial" w:cs="Arial"/>
        </w:rPr>
        <w:t>Effect of urban expansion intensity on urban ecological status utilizing remote sensing and GIS: A study of Semarang, Indonesia</w:t>
      </w:r>
      <w:r w:rsidRPr="00AC6AC5">
        <w:rPr>
          <w:rFonts w:ascii="Arial" w:hAnsi="Arial" w:cs="Arial"/>
        </w:rPr>
        <w:t>. International Journal of Remote Sensing and Geoinformatics, 6(1), 45–60. https://doi.org/10.1016/j.rsg.2024.02.005</w:t>
      </w:r>
      <w:r w:rsidRPr="00AC6AC5">
        <w:rPr>
          <w:rFonts w:ascii="Arial" w:hAnsi="Arial" w:cs="Arial"/>
        </w:rPr>
        <w:br/>
      </w:r>
    </w:p>
    <w:p w:rsidR="00C74EAF" w:rsidRPr="00AC6AC5" w:rsidRDefault="00C74EAF" w:rsidP="00AC6AC5">
      <w:pPr>
        <w:pStyle w:val="Bibliography"/>
        <w:rPr>
          <w:rFonts w:ascii="Arial" w:hAnsi="Arial" w:cs="Arial"/>
        </w:rPr>
      </w:pPr>
      <w:proofErr w:type="spellStart"/>
      <w:r w:rsidRPr="00AC6AC5">
        <w:rPr>
          <w:rFonts w:ascii="Arial" w:hAnsi="Arial" w:cs="Arial"/>
        </w:rPr>
        <w:t>Messaoud</w:t>
      </w:r>
      <w:proofErr w:type="spellEnd"/>
      <w:r w:rsidRPr="00AC6AC5">
        <w:rPr>
          <w:rFonts w:ascii="Arial" w:hAnsi="Arial" w:cs="Arial"/>
        </w:rPr>
        <w:t xml:space="preserve">, K. B., Wang, Y., Jiang, P., Ma, Z., Hou, K., &amp; Dai, F. (2024). Spatial-Temporal Dynamics of Urban Green Spaces in Response to Rapid Urbanization and Urban Expansion in Tunis between 2000 and 2020. </w:t>
      </w:r>
      <w:r w:rsidRPr="00AC6AC5">
        <w:rPr>
          <w:rFonts w:ascii="Arial" w:hAnsi="Arial" w:cs="Arial"/>
          <w:i/>
          <w:iCs/>
        </w:rPr>
        <w:t>Land</w:t>
      </w:r>
      <w:r w:rsidRPr="00AC6AC5">
        <w:rPr>
          <w:rFonts w:ascii="Arial" w:hAnsi="Arial" w:cs="Arial"/>
        </w:rPr>
        <w:t xml:space="preserve">, </w:t>
      </w:r>
      <w:r w:rsidRPr="00AC6AC5">
        <w:rPr>
          <w:rFonts w:ascii="Arial" w:hAnsi="Arial" w:cs="Arial"/>
          <w:i/>
          <w:iCs/>
        </w:rPr>
        <w:t>13</w:t>
      </w:r>
      <w:r w:rsidRPr="00AC6AC5">
        <w:rPr>
          <w:rFonts w:ascii="Arial" w:hAnsi="Arial" w:cs="Arial"/>
        </w:rPr>
        <w:t xml:space="preserve">(1), 98. </w:t>
      </w:r>
      <w:hyperlink r:id="rId32" w:history="1">
        <w:r w:rsidRPr="00AC6AC5">
          <w:rPr>
            <w:rStyle w:val="Hyperlink"/>
            <w:rFonts w:ascii="Arial" w:hAnsi="Arial" w:cs="Arial"/>
          </w:rPr>
          <w:t>https://doi.org/10.3390/land13010098</w:t>
        </w:r>
      </w:hyperlink>
    </w:p>
    <w:p w:rsidR="00C74EAF" w:rsidRPr="00AC6AC5" w:rsidRDefault="00C74EAF" w:rsidP="00AC6AC5">
      <w:pPr>
        <w:jc w:val="both"/>
        <w:rPr>
          <w:rFonts w:ascii="Arial" w:hAnsi="Arial" w:cs="Arial"/>
          <w:lang w:eastAsia="zh-CN"/>
        </w:rPr>
      </w:pPr>
    </w:p>
    <w:p w:rsidR="00C74EAF" w:rsidRPr="00AC6AC5" w:rsidRDefault="00C74EAF" w:rsidP="00AC6AC5">
      <w:pPr>
        <w:pStyle w:val="Bibliography"/>
        <w:rPr>
          <w:rFonts w:ascii="Arial" w:hAnsi="Arial" w:cs="Arial"/>
        </w:rPr>
      </w:pPr>
      <w:proofErr w:type="spellStart"/>
      <w:r w:rsidRPr="00AC6AC5">
        <w:rPr>
          <w:rFonts w:ascii="Arial" w:hAnsi="Arial" w:cs="Arial"/>
        </w:rPr>
        <w:t>Nishara</w:t>
      </w:r>
      <w:proofErr w:type="spellEnd"/>
      <w:r w:rsidRPr="00AC6AC5">
        <w:rPr>
          <w:rFonts w:ascii="Arial" w:hAnsi="Arial" w:cs="Arial"/>
        </w:rPr>
        <w:t>, V. P., Krishnan, V. S., &amp; Firoz, C. M. (2021). Geo-Intelligence-Based Approach for Sustainable Development of Peri-Urban Areas: A case study of Kozhikode City, Kerala (India</w:t>
      </w:r>
      <w:r w:rsidR="00996369" w:rsidRPr="00AC6AC5">
        <w:rPr>
          <w:rFonts w:ascii="Arial" w:hAnsi="Arial" w:cs="Arial"/>
        </w:rPr>
        <w:t xml:space="preserve">). </w:t>
      </w:r>
      <w:r w:rsidRPr="00AC6AC5">
        <w:rPr>
          <w:rFonts w:ascii="Arial" w:hAnsi="Arial" w:cs="Arial"/>
        </w:rPr>
        <w:t xml:space="preserve"> </w:t>
      </w:r>
      <w:r w:rsidRPr="00AC6AC5">
        <w:rPr>
          <w:rFonts w:ascii="Arial" w:hAnsi="Arial" w:cs="Arial"/>
          <w:iCs/>
        </w:rPr>
        <w:t>Advances in geographical and environmental sciences</w:t>
      </w:r>
      <w:r w:rsidRPr="00AC6AC5">
        <w:rPr>
          <w:rFonts w:ascii="Arial" w:hAnsi="Arial" w:cs="Arial"/>
        </w:rPr>
        <w:t xml:space="preserve"> (pp.35–52). </w:t>
      </w:r>
      <w:hyperlink r:id="rId33" w:history="1">
        <w:r w:rsidRPr="00AC6AC5">
          <w:rPr>
            <w:rStyle w:val="Hyperlink"/>
            <w:rFonts w:ascii="Arial" w:hAnsi="Arial" w:cs="Arial"/>
          </w:rPr>
          <w:t>https://doi.org/10.1007/978-981-16-4768-0_3</w:t>
        </w:r>
      </w:hyperlink>
    </w:p>
    <w:p w:rsidR="00AC6AC5" w:rsidRPr="00AC6AC5" w:rsidRDefault="00AC6AC5" w:rsidP="00AC6AC5">
      <w:pPr>
        <w:jc w:val="both"/>
        <w:rPr>
          <w:rFonts w:ascii="Arial" w:hAnsi="Arial" w:cs="Arial"/>
          <w:lang w:eastAsia="zh-CN"/>
        </w:rPr>
      </w:pPr>
    </w:p>
    <w:p w:rsidR="00AC6AC5" w:rsidRPr="00AC6AC5" w:rsidRDefault="00AC6AC5" w:rsidP="00AC6AC5">
      <w:pPr>
        <w:jc w:val="both"/>
        <w:rPr>
          <w:rFonts w:ascii="Arial" w:hAnsi="Arial" w:cs="Arial"/>
          <w:lang w:eastAsia="zh-CN"/>
        </w:rPr>
      </w:pPr>
      <w:r w:rsidRPr="00AC6AC5">
        <w:rPr>
          <w:rFonts w:ascii="Arial" w:hAnsi="Arial" w:cs="Arial"/>
        </w:rPr>
        <w:t xml:space="preserve">Rajendran, L. P., Leal, R., Chen, M., Andrade, J. C. G., Akhtar, R., </w:t>
      </w:r>
      <w:proofErr w:type="spellStart"/>
      <w:r w:rsidRPr="00AC6AC5">
        <w:rPr>
          <w:rFonts w:ascii="Arial" w:hAnsi="Arial" w:cs="Arial"/>
        </w:rPr>
        <w:t>Mngumi</w:t>
      </w:r>
      <w:proofErr w:type="spellEnd"/>
      <w:r w:rsidRPr="00AC6AC5">
        <w:rPr>
          <w:rFonts w:ascii="Arial" w:hAnsi="Arial" w:cs="Arial"/>
        </w:rPr>
        <w:t xml:space="preserve">, L. E., </w:t>
      </w:r>
      <w:proofErr w:type="spellStart"/>
      <w:r w:rsidRPr="00AC6AC5">
        <w:rPr>
          <w:rFonts w:ascii="Arial" w:hAnsi="Arial" w:cs="Arial"/>
        </w:rPr>
        <w:t>Chander</w:t>
      </w:r>
      <w:proofErr w:type="spellEnd"/>
      <w:r w:rsidRPr="00AC6AC5">
        <w:rPr>
          <w:rFonts w:ascii="Arial" w:hAnsi="Arial" w:cs="Arial"/>
        </w:rPr>
        <w:t xml:space="preserve">, S., Srinivas, S., Roy, M. R., </w:t>
      </w:r>
      <w:r w:rsidRPr="00AC6AC5">
        <w:rPr>
          <w:rStyle w:val="Emphasis"/>
          <w:rFonts w:ascii="Arial" w:hAnsi="Arial" w:cs="Arial"/>
        </w:rPr>
        <w:t>et al.</w:t>
      </w:r>
      <w:r w:rsidRPr="00AC6AC5">
        <w:rPr>
          <w:rFonts w:ascii="Arial" w:hAnsi="Arial" w:cs="Arial"/>
        </w:rPr>
        <w:t xml:space="preserve"> (2024). The ‘peri-urban turn’: A systems thinking approach for a paradigm shift in </w:t>
      </w:r>
      <w:proofErr w:type="spellStart"/>
      <w:r w:rsidRPr="00AC6AC5">
        <w:rPr>
          <w:rFonts w:ascii="Arial" w:hAnsi="Arial" w:cs="Arial"/>
        </w:rPr>
        <w:t>reconceptualising</w:t>
      </w:r>
      <w:proofErr w:type="spellEnd"/>
      <w:r w:rsidRPr="00AC6AC5">
        <w:rPr>
          <w:rFonts w:ascii="Arial" w:hAnsi="Arial" w:cs="Arial"/>
        </w:rPr>
        <w:t xml:space="preserve"> urban-rural futures in the global South. </w:t>
      </w:r>
      <w:r w:rsidRPr="00AC6AC5">
        <w:rPr>
          <w:rStyle w:val="Emphasis"/>
          <w:rFonts w:ascii="Arial" w:hAnsi="Arial" w:cs="Arial"/>
        </w:rPr>
        <w:t>Habitat International, 146</w:t>
      </w:r>
      <w:r w:rsidRPr="00AC6AC5">
        <w:rPr>
          <w:rFonts w:ascii="Arial" w:hAnsi="Arial" w:cs="Arial"/>
        </w:rPr>
        <w:t xml:space="preserve">, 103041. </w:t>
      </w:r>
      <w:hyperlink r:id="rId34" w:tgtFrame="_new" w:history="1">
        <w:r w:rsidRPr="00AC6AC5">
          <w:rPr>
            <w:rStyle w:val="Hyperlink"/>
            <w:rFonts w:ascii="Arial" w:hAnsi="Arial" w:cs="Arial"/>
          </w:rPr>
          <w:t>https://doi.org/10.1016/j.habitatint.2024.103041</w:t>
        </w:r>
      </w:hyperlink>
    </w:p>
    <w:p w:rsidR="00C74EAF" w:rsidRPr="00AC6AC5" w:rsidRDefault="00C74EAF" w:rsidP="00AC6AC5">
      <w:pPr>
        <w:jc w:val="both"/>
        <w:rPr>
          <w:rFonts w:ascii="Arial" w:hAnsi="Arial" w:cs="Arial"/>
          <w:lang w:eastAsia="zh-CN"/>
        </w:rPr>
      </w:pPr>
    </w:p>
    <w:p w:rsidR="00C74EAF" w:rsidRPr="00AC6AC5" w:rsidRDefault="00C74EAF" w:rsidP="00AC6AC5">
      <w:pPr>
        <w:pStyle w:val="Bibliography"/>
        <w:rPr>
          <w:rFonts w:ascii="Arial" w:hAnsi="Arial" w:cs="Arial"/>
        </w:rPr>
      </w:pPr>
      <w:r w:rsidRPr="00AC6AC5">
        <w:rPr>
          <w:rFonts w:ascii="Arial" w:hAnsi="Arial" w:cs="Arial"/>
        </w:rPr>
        <w:t xml:space="preserve">Ramachandra, T., Bharath, A., &amp; </w:t>
      </w:r>
      <w:proofErr w:type="spellStart"/>
      <w:r w:rsidRPr="00AC6AC5">
        <w:rPr>
          <w:rFonts w:ascii="Arial" w:hAnsi="Arial" w:cs="Arial"/>
        </w:rPr>
        <w:t>Sowmyashree</w:t>
      </w:r>
      <w:proofErr w:type="spellEnd"/>
      <w:r w:rsidRPr="00AC6AC5">
        <w:rPr>
          <w:rFonts w:ascii="Arial" w:hAnsi="Arial" w:cs="Arial"/>
        </w:rPr>
        <w:t xml:space="preserve">, M. (2014). Monitoring urbanization and its implications in a mega city from space: </w:t>
      </w:r>
      <w:proofErr w:type="spellStart"/>
      <w:r w:rsidRPr="00AC6AC5">
        <w:rPr>
          <w:rFonts w:ascii="Arial" w:hAnsi="Arial" w:cs="Arial"/>
        </w:rPr>
        <w:t>Spatio</w:t>
      </w:r>
      <w:proofErr w:type="spellEnd"/>
      <w:r w:rsidRPr="00AC6AC5">
        <w:rPr>
          <w:rFonts w:ascii="Arial" w:hAnsi="Arial" w:cs="Arial"/>
        </w:rPr>
        <w:t xml:space="preserve"> temporal patterns and its indicators.  </w:t>
      </w:r>
      <w:r w:rsidRPr="00AC6AC5">
        <w:rPr>
          <w:rFonts w:ascii="Arial" w:hAnsi="Arial" w:cs="Arial"/>
          <w:i/>
          <w:iCs/>
        </w:rPr>
        <w:t>Journal of Environmental Management</w:t>
      </w:r>
      <w:r w:rsidRPr="00AC6AC5">
        <w:rPr>
          <w:rFonts w:ascii="Arial" w:hAnsi="Arial" w:cs="Arial"/>
        </w:rPr>
        <w:t xml:space="preserve">, </w:t>
      </w:r>
      <w:r w:rsidRPr="00AC6AC5">
        <w:rPr>
          <w:rFonts w:ascii="Arial" w:hAnsi="Arial" w:cs="Arial"/>
          <w:i/>
          <w:iCs/>
        </w:rPr>
        <w:t>148</w:t>
      </w:r>
      <w:r w:rsidRPr="00AC6AC5">
        <w:rPr>
          <w:rFonts w:ascii="Arial" w:hAnsi="Arial" w:cs="Arial"/>
        </w:rPr>
        <w:t xml:space="preserve">, 67–81. </w:t>
      </w:r>
      <w:hyperlink r:id="rId35" w:history="1">
        <w:r w:rsidRPr="00AC6AC5">
          <w:rPr>
            <w:rStyle w:val="Hyperlink"/>
            <w:rFonts w:ascii="Arial" w:hAnsi="Arial" w:cs="Arial"/>
          </w:rPr>
          <w:t>https://doi.org/10.1016/j.jenvman.2014.02.015</w:t>
        </w:r>
      </w:hyperlink>
    </w:p>
    <w:p w:rsidR="00AC6AC5" w:rsidRPr="00AC6AC5" w:rsidRDefault="00AC6AC5" w:rsidP="00AC6AC5">
      <w:pPr>
        <w:jc w:val="both"/>
        <w:rPr>
          <w:rFonts w:ascii="Arial" w:hAnsi="Arial" w:cs="Arial"/>
          <w:lang w:eastAsia="zh-CN"/>
        </w:rPr>
      </w:pPr>
    </w:p>
    <w:p w:rsidR="00AC6AC5" w:rsidRPr="00AC6AC5" w:rsidRDefault="00AC6AC5" w:rsidP="00AC6AC5">
      <w:pPr>
        <w:jc w:val="both"/>
        <w:rPr>
          <w:rFonts w:ascii="Arial" w:hAnsi="Arial" w:cs="Arial"/>
          <w:lang w:eastAsia="zh-CN"/>
        </w:rPr>
      </w:pPr>
      <w:r w:rsidRPr="00AC6AC5">
        <w:rPr>
          <w:rFonts w:ascii="Arial" w:hAnsi="Arial" w:cs="Arial"/>
        </w:rPr>
        <w:t xml:space="preserve">Salem, M., </w:t>
      </w:r>
      <w:proofErr w:type="spellStart"/>
      <w:r w:rsidRPr="00AC6AC5">
        <w:rPr>
          <w:rFonts w:ascii="Arial" w:hAnsi="Arial" w:cs="Arial"/>
        </w:rPr>
        <w:t>Ravetz</w:t>
      </w:r>
      <w:proofErr w:type="spellEnd"/>
      <w:r w:rsidRPr="00AC6AC5">
        <w:rPr>
          <w:rFonts w:ascii="Arial" w:hAnsi="Arial" w:cs="Arial"/>
        </w:rPr>
        <w:t xml:space="preserve">, J., </w:t>
      </w:r>
      <w:proofErr w:type="spellStart"/>
      <w:r w:rsidRPr="00AC6AC5">
        <w:rPr>
          <w:rFonts w:ascii="Arial" w:hAnsi="Arial" w:cs="Arial"/>
        </w:rPr>
        <w:t>Sareen</w:t>
      </w:r>
      <w:proofErr w:type="spellEnd"/>
      <w:r w:rsidRPr="00AC6AC5">
        <w:rPr>
          <w:rFonts w:ascii="Arial" w:hAnsi="Arial" w:cs="Arial"/>
        </w:rPr>
        <w:t xml:space="preserve">, S., Dong, T., Haque, M., </w:t>
      </w:r>
      <w:proofErr w:type="spellStart"/>
      <w:r w:rsidRPr="00AC6AC5">
        <w:rPr>
          <w:rFonts w:ascii="Arial" w:hAnsi="Arial" w:cs="Arial"/>
        </w:rPr>
        <w:t>Bayoumi</w:t>
      </w:r>
      <w:proofErr w:type="spellEnd"/>
      <w:r w:rsidRPr="00AC6AC5">
        <w:rPr>
          <w:rFonts w:ascii="Arial" w:hAnsi="Arial" w:cs="Arial"/>
        </w:rPr>
        <w:t xml:space="preserve">, W., </w:t>
      </w:r>
      <w:proofErr w:type="spellStart"/>
      <w:r w:rsidRPr="00AC6AC5">
        <w:rPr>
          <w:rFonts w:ascii="Arial" w:hAnsi="Arial" w:cs="Arial"/>
        </w:rPr>
        <w:t>Tsurusaki</w:t>
      </w:r>
      <w:proofErr w:type="spellEnd"/>
      <w:r w:rsidRPr="00AC6AC5">
        <w:rPr>
          <w:rFonts w:ascii="Arial" w:hAnsi="Arial" w:cs="Arial"/>
        </w:rPr>
        <w:t xml:space="preserve">, N., Xu, G., </w:t>
      </w:r>
      <w:r w:rsidRPr="00AC6AC5">
        <w:rPr>
          <w:rStyle w:val="Emphasis"/>
          <w:rFonts w:ascii="Arial" w:hAnsi="Arial" w:cs="Arial"/>
        </w:rPr>
        <w:t>et al.</w:t>
      </w:r>
      <w:r w:rsidRPr="00AC6AC5">
        <w:rPr>
          <w:rFonts w:ascii="Arial" w:hAnsi="Arial" w:cs="Arial"/>
        </w:rPr>
        <w:t xml:space="preserve"> (2025). Managing the urban-rural transition: A review of approaches and policies for peri-urban land use. </w:t>
      </w:r>
      <w:r w:rsidRPr="00AC6AC5">
        <w:rPr>
          <w:rStyle w:val="Emphasis"/>
          <w:rFonts w:ascii="Arial" w:hAnsi="Arial" w:cs="Arial"/>
        </w:rPr>
        <w:t>Journal of Urban Management</w:t>
      </w:r>
      <w:r w:rsidRPr="00AC6AC5">
        <w:rPr>
          <w:rFonts w:ascii="Arial" w:hAnsi="Arial" w:cs="Arial"/>
        </w:rPr>
        <w:t xml:space="preserve">. </w:t>
      </w:r>
      <w:hyperlink r:id="rId36" w:tgtFrame="_new" w:history="1">
        <w:r w:rsidRPr="00AC6AC5">
          <w:rPr>
            <w:rStyle w:val="Hyperlink"/>
            <w:rFonts w:ascii="Arial" w:hAnsi="Arial" w:cs="Arial"/>
          </w:rPr>
          <w:t>https://doi.org/10.1016/j.jum.2025.04.006</w:t>
        </w:r>
      </w:hyperlink>
    </w:p>
    <w:p w:rsidR="00C74EAF" w:rsidRPr="00C74EAF" w:rsidRDefault="00C74EAF" w:rsidP="00C74EAF">
      <w:pPr>
        <w:rPr>
          <w:lang w:eastAsia="zh-CN"/>
        </w:rPr>
      </w:pPr>
    </w:p>
    <w:p w:rsidR="00C74EAF" w:rsidRPr="00AC6AC5" w:rsidRDefault="00C74EAF" w:rsidP="00AC6AC5">
      <w:pPr>
        <w:pStyle w:val="Bibliography"/>
        <w:rPr>
          <w:rFonts w:ascii="Arial" w:hAnsi="Arial" w:cs="Arial"/>
        </w:rPr>
      </w:pPr>
      <w:proofErr w:type="spellStart"/>
      <w:r w:rsidRPr="00AC6AC5">
        <w:rPr>
          <w:rFonts w:ascii="Arial" w:hAnsi="Arial" w:cs="Arial"/>
        </w:rPr>
        <w:lastRenderedPageBreak/>
        <w:t>Shenghe</w:t>
      </w:r>
      <w:proofErr w:type="spellEnd"/>
      <w:r w:rsidRPr="00AC6AC5">
        <w:rPr>
          <w:rFonts w:ascii="Arial" w:hAnsi="Arial" w:cs="Arial"/>
        </w:rPr>
        <w:t>, L. (2000). A GIS based model of urban land use growth in Beijing.</w:t>
      </w:r>
      <w:r w:rsidR="00996369" w:rsidRPr="00AC6AC5">
        <w:rPr>
          <w:rFonts w:ascii="Arial" w:hAnsi="Arial" w:cs="Arial"/>
        </w:rPr>
        <w:t xml:space="preserve"> </w:t>
      </w:r>
      <w:r w:rsidRPr="00AC6AC5">
        <w:rPr>
          <w:rFonts w:ascii="Arial" w:hAnsi="Arial" w:cs="Arial"/>
          <w:iCs/>
        </w:rPr>
        <w:t>ACTA GEOGRAPHICA SINICA</w:t>
      </w:r>
      <w:r w:rsidRPr="00AC6AC5">
        <w:rPr>
          <w:rFonts w:ascii="Arial" w:hAnsi="Arial" w:cs="Arial"/>
        </w:rPr>
        <w:t>.</w:t>
      </w:r>
    </w:p>
    <w:p w:rsidR="00AC6AC5" w:rsidRPr="00AC6AC5" w:rsidRDefault="00AC6AC5" w:rsidP="00AC6AC5">
      <w:pPr>
        <w:jc w:val="both"/>
        <w:rPr>
          <w:lang w:eastAsia="zh-CN"/>
        </w:rPr>
      </w:pPr>
    </w:p>
    <w:p w:rsidR="00AC6AC5" w:rsidRDefault="00AC6AC5" w:rsidP="00AC6AC5">
      <w:pPr>
        <w:jc w:val="both"/>
        <w:rPr>
          <w:rFonts w:ascii="Arial" w:hAnsi="Arial" w:cs="Arial"/>
          <w:color w:val="333333"/>
          <w:shd w:val="clear" w:color="auto" w:fill="FFFFFF"/>
        </w:rPr>
      </w:pPr>
      <w:r w:rsidRPr="00AC6AC5">
        <w:rPr>
          <w:rFonts w:ascii="Arial" w:hAnsi="Arial" w:cs="Arial"/>
          <w:color w:val="333333"/>
          <w:shd w:val="clear" w:color="auto" w:fill="FFFFFF"/>
        </w:rPr>
        <w:t xml:space="preserve">Shi, Z., Liu, M., Tian, G., &amp; </w:t>
      </w:r>
      <w:proofErr w:type="spellStart"/>
      <w:r w:rsidRPr="00AC6AC5">
        <w:rPr>
          <w:rFonts w:ascii="Arial" w:hAnsi="Arial" w:cs="Arial"/>
          <w:color w:val="333333"/>
          <w:shd w:val="clear" w:color="auto" w:fill="FFFFFF"/>
        </w:rPr>
        <w:t>Kovács</w:t>
      </w:r>
      <w:proofErr w:type="spellEnd"/>
      <w:r w:rsidRPr="00AC6AC5">
        <w:rPr>
          <w:rFonts w:ascii="Arial" w:hAnsi="Arial" w:cs="Arial"/>
          <w:color w:val="333333"/>
          <w:shd w:val="clear" w:color="auto" w:fill="FFFFFF"/>
        </w:rPr>
        <w:t>, K. F. (2024). Web of science-based literature review of peri-urban areas: a comparison between Europe and China. </w:t>
      </w:r>
      <w:r w:rsidRPr="00AC6AC5">
        <w:rPr>
          <w:rFonts w:ascii="Arial" w:hAnsi="Arial" w:cs="Arial"/>
          <w:i/>
          <w:iCs/>
          <w:color w:val="333333"/>
          <w:shd w:val="clear" w:color="auto" w:fill="FFFFFF"/>
        </w:rPr>
        <w:t>European Journal of Remote Sensing</w:t>
      </w:r>
      <w:r w:rsidRPr="00AC6AC5">
        <w:rPr>
          <w:rFonts w:ascii="Arial" w:hAnsi="Arial" w:cs="Arial"/>
          <w:color w:val="333333"/>
          <w:shd w:val="clear" w:color="auto" w:fill="FFFFFF"/>
        </w:rPr>
        <w:t>, </w:t>
      </w:r>
      <w:r w:rsidRPr="00AC6AC5">
        <w:rPr>
          <w:rFonts w:ascii="Arial" w:hAnsi="Arial" w:cs="Arial"/>
          <w:i/>
          <w:iCs/>
          <w:color w:val="333333"/>
          <w:shd w:val="clear" w:color="auto" w:fill="FFFFFF"/>
        </w:rPr>
        <w:t>57</w:t>
      </w:r>
      <w:r w:rsidRPr="00AC6AC5">
        <w:rPr>
          <w:rFonts w:ascii="Arial" w:hAnsi="Arial" w:cs="Arial"/>
          <w:color w:val="333333"/>
          <w:shd w:val="clear" w:color="auto" w:fill="FFFFFF"/>
        </w:rPr>
        <w:t xml:space="preserve">(1). </w:t>
      </w:r>
      <w:hyperlink r:id="rId37" w:history="1">
        <w:r w:rsidRPr="007D67F3">
          <w:rPr>
            <w:rStyle w:val="Hyperlink"/>
            <w:rFonts w:ascii="Arial" w:hAnsi="Arial" w:cs="Arial"/>
            <w:shd w:val="clear" w:color="auto" w:fill="FFFFFF"/>
          </w:rPr>
          <w:t>https://doi.org/10.1080/22797254.2024.2414475</w:t>
        </w:r>
      </w:hyperlink>
    </w:p>
    <w:p w:rsidR="00AC6AC5" w:rsidRPr="00AC6AC5" w:rsidRDefault="00AC6AC5" w:rsidP="00AC6AC5">
      <w:pPr>
        <w:jc w:val="both"/>
        <w:rPr>
          <w:lang w:eastAsia="zh-CN"/>
        </w:rPr>
      </w:pPr>
    </w:p>
    <w:p w:rsidR="002D4A43" w:rsidRPr="00AC6AC5" w:rsidRDefault="002D4A43" w:rsidP="00AC6AC5">
      <w:pPr>
        <w:pStyle w:val="NormalWeb"/>
        <w:tabs>
          <w:tab w:val="left" w:pos="8654"/>
        </w:tabs>
        <w:jc w:val="both"/>
        <w:rPr>
          <w:rFonts w:ascii="Arial" w:hAnsi="Arial" w:cs="Arial"/>
          <w:sz w:val="20"/>
          <w:szCs w:val="20"/>
        </w:rPr>
      </w:pPr>
      <w:r w:rsidRPr="00AC6AC5">
        <w:rPr>
          <w:rFonts w:ascii="Arial" w:hAnsi="Arial" w:cs="Arial"/>
          <w:sz w:val="20"/>
          <w:szCs w:val="20"/>
        </w:rPr>
        <w:t xml:space="preserve"> </w:t>
      </w:r>
      <w:r w:rsidR="00996369" w:rsidRPr="00AC6AC5">
        <w:rPr>
          <w:rFonts w:ascii="Arial" w:hAnsi="Arial" w:cs="Arial"/>
          <w:sz w:val="20"/>
          <w:szCs w:val="20"/>
        </w:rPr>
        <w:tab/>
      </w:r>
    </w:p>
    <w:p w:rsidR="002D4A43" w:rsidRDefault="002D4A43" w:rsidP="002D4A43"/>
    <w:p w:rsidR="002D4A43" w:rsidRPr="002D4A43" w:rsidRDefault="002D4A43" w:rsidP="002D4A43">
      <w:pPr>
        <w:rPr>
          <w:lang w:eastAsia="zh-CN"/>
        </w:rPr>
      </w:pPr>
    </w:p>
    <w:p w:rsidR="00C74EAF" w:rsidRDefault="00C74EAF" w:rsidP="00441B6F">
      <w:pPr>
        <w:pStyle w:val="ReferHead"/>
        <w:spacing w:after="0"/>
        <w:jc w:val="both"/>
        <w:rPr>
          <w:rFonts w:ascii="Arial" w:hAnsi="Arial" w:cs="Arial"/>
        </w:rPr>
      </w:pPr>
    </w:p>
    <w:p w:rsidR="00790ADA" w:rsidRPr="00FB3A86" w:rsidRDefault="00790ADA" w:rsidP="00441B6F">
      <w:pPr>
        <w:pStyle w:val="ReferHead"/>
        <w:spacing w:after="0"/>
        <w:jc w:val="both"/>
        <w:rPr>
          <w:rFonts w:ascii="Arial" w:hAnsi="Arial" w:cs="Arial"/>
        </w:rPr>
      </w:pPr>
    </w:p>
    <w:p w:rsidR="00B01FCD" w:rsidRPr="00FB3A86" w:rsidRDefault="00B01FCD" w:rsidP="00441B6F">
      <w:pPr>
        <w:pStyle w:val="Appendix"/>
        <w:spacing w:after="0"/>
        <w:jc w:val="both"/>
        <w:rPr>
          <w:rFonts w:ascii="Arial" w:hAnsi="Arial" w:cs="Arial"/>
          <w:b w:val="0"/>
        </w:rPr>
      </w:pPr>
    </w:p>
    <w:sectPr w:rsidR="00B01FCD" w:rsidRPr="00FB3A86" w:rsidSect="00412475">
      <w:footerReference w:type="default" r:id="rId38"/>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3652" w:rsidRDefault="009F3652" w:rsidP="00C37E61">
      <w:r>
        <w:separator/>
      </w:r>
    </w:p>
  </w:endnote>
  <w:endnote w:type="continuationSeparator" w:id="0">
    <w:p w:rsidR="009F3652" w:rsidRDefault="009F365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bold">
    <w:panose1 w:val="00000000000000000000"/>
    <w:charset w:val="00"/>
    <w:family w:val="roman"/>
    <w:notTrueType/>
    <w:pitch w:val="default"/>
  </w:font>
  <w:font w:name="Cordia New">
    <w:panose1 w:val="020B0304020202020204"/>
    <w:charset w:val="DE"/>
    <w:family w:val="roman"/>
    <w:notTrueType/>
    <w:pitch w:val="variable"/>
    <w:sig w:usb0="01000001" w:usb1="00000000" w:usb2="00000000" w:usb3="00000000" w:csb0="0001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DFD" w:rsidRDefault="00D32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DFD" w:rsidRPr="000F2BF8" w:rsidRDefault="00D32DFD" w:rsidP="000F2BF8">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DFD" w:rsidRDefault="00D32DFD">
    <w:pPr>
      <w:pStyle w:val="Footer"/>
      <w:rPr>
        <w:rFonts w:ascii="Arial" w:hAnsi="Arial" w:cs="Arial"/>
        <w:sz w:val="16"/>
      </w:rPr>
    </w:pPr>
  </w:p>
  <w:p w:rsidR="00D32DFD" w:rsidRDefault="00D32DFD"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D32DFD" w:rsidRDefault="00D32DFD">
    <w:pPr>
      <w:pStyle w:val="Footer"/>
      <w:rPr>
        <w:rFonts w:ascii="Arial" w:hAnsi="Arial" w:cs="Arial"/>
        <w:sz w:val="16"/>
      </w:rPr>
    </w:pPr>
  </w:p>
  <w:p w:rsidR="00D32DFD" w:rsidRPr="009E048A" w:rsidRDefault="00D32DFD">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DFD" w:rsidRPr="00C37E61" w:rsidRDefault="00D32DF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3652" w:rsidRDefault="009F3652" w:rsidP="00C37E61">
      <w:r>
        <w:separator/>
      </w:r>
    </w:p>
  </w:footnote>
  <w:footnote w:type="continuationSeparator" w:id="0">
    <w:p w:rsidR="009F3652" w:rsidRDefault="009F365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DFD" w:rsidRDefault="00D32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DFD" w:rsidRDefault="00D32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2DFD" w:rsidRPr="00296529" w:rsidRDefault="00D32DFD" w:rsidP="00296529">
    <w:pPr>
      <w:ind w:left="2160"/>
      <w:jc w:val="center"/>
      <w:rPr>
        <w:rFonts w:ascii="Times New Roman" w:eastAsia="Calibri" w:hAnsi="Times New Roman"/>
        <w:i/>
        <w:sz w:val="18"/>
        <w:szCs w:val="22"/>
      </w:rPr>
    </w:pPr>
  </w:p>
  <w:p w:rsidR="00D32DFD" w:rsidRPr="00296529" w:rsidRDefault="00D32DFD" w:rsidP="00296529">
    <w:pPr>
      <w:ind w:left="4320"/>
      <w:rPr>
        <w:rFonts w:ascii="Times New Roman" w:eastAsia="Calibri" w:hAnsi="Times New Roman"/>
        <w:i/>
        <w:sz w:val="18"/>
        <w:szCs w:val="22"/>
      </w:rPr>
    </w:pPr>
    <w:r>
      <w:rPr>
        <w:rFonts w:ascii="Times New Roman" w:eastAsia="Calibri" w:hAnsi="Times New Roman"/>
        <w:i/>
        <w:sz w:val="18"/>
        <w:szCs w:val="22"/>
      </w:rPr>
      <w:t>.</w:t>
    </w:r>
  </w:p>
  <w:p w:rsidR="00D32DFD" w:rsidRPr="00296529" w:rsidRDefault="00D32DFD" w:rsidP="00296529">
    <w:pPr>
      <w:jc w:val="center"/>
      <w:rPr>
        <w:rFonts w:ascii="Times New Roman" w:eastAsia="Calibri" w:hAnsi="Times New Roman"/>
        <w:i/>
        <w:sz w:val="18"/>
        <w:szCs w:val="22"/>
      </w:rPr>
    </w:pPr>
    <w:r>
      <w:rPr>
        <w:rFonts w:ascii="Times New Roman" w:eastAsia="Calibri" w:hAnsi="Times New Roman"/>
        <w:i/>
        <w:sz w:val="18"/>
        <w:szCs w:val="22"/>
      </w:rPr>
      <w:t>.</w:t>
    </w:r>
  </w:p>
  <w:p w:rsidR="00D32DFD" w:rsidRPr="00296529" w:rsidRDefault="00D32DFD"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D32DFD" w:rsidRDefault="00D32DFD" w:rsidP="00296529">
    <w:pPr>
      <w:jc w:val="center"/>
      <w:rPr>
        <w:rFonts w:ascii="Times New Roman" w:eastAsia="Calibri" w:hAnsi="Times New Roman"/>
        <w:i/>
        <w:sz w:val="18"/>
        <w:szCs w:val="22"/>
      </w:rPr>
    </w:pPr>
  </w:p>
  <w:p w:rsidR="00D32DFD" w:rsidRDefault="00D32DF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32DFD" w:rsidRDefault="00D32DFD">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79086E"/>
    <w:multiLevelType w:val="hybridMultilevel"/>
    <w:tmpl w:val="4A5890E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74E774E"/>
    <w:multiLevelType w:val="multilevel"/>
    <w:tmpl w:val="8096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ED3422"/>
    <w:multiLevelType w:val="multilevel"/>
    <w:tmpl w:val="903C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64F2D5A"/>
    <w:multiLevelType w:val="hybridMultilevel"/>
    <w:tmpl w:val="3F18DB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369E14BB"/>
    <w:multiLevelType w:val="multilevel"/>
    <w:tmpl w:val="0AF46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F1E7D1D"/>
    <w:multiLevelType w:val="hybridMultilevel"/>
    <w:tmpl w:val="2FBA52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E9472CB"/>
    <w:multiLevelType w:val="multilevel"/>
    <w:tmpl w:val="5900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4707B2"/>
    <w:multiLevelType w:val="multilevel"/>
    <w:tmpl w:val="F1B43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081FF7"/>
    <w:multiLevelType w:val="multilevel"/>
    <w:tmpl w:val="FDA8D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1"/>
  </w:num>
  <w:num w:numId="8">
    <w:abstractNumId w:val="15"/>
  </w:num>
  <w:num w:numId="9">
    <w:abstractNumId w:val="34"/>
  </w:num>
  <w:num w:numId="10">
    <w:abstractNumId w:val="2"/>
  </w:num>
  <w:num w:numId="11">
    <w:abstractNumId w:val="24"/>
  </w:num>
  <w:num w:numId="12">
    <w:abstractNumId w:val="5"/>
  </w:num>
  <w:num w:numId="13">
    <w:abstractNumId w:val="23"/>
  </w:num>
  <w:num w:numId="14">
    <w:abstractNumId w:val="10"/>
  </w:num>
  <w:num w:numId="15">
    <w:abstractNumId w:val="28"/>
  </w:num>
  <w:num w:numId="16">
    <w:abstractNumId w:val="7"/>
  </w:num>
  <w:num w:numId="17">
    <w:abstractNumId w:val="29"/>
  </w:num>
  <w:num w:numId="18">
    <w:abstractNumId w:val="17"/>
  </w:num>
  <w:num w:numId="19">
    <w:abstractNumId w:val="37"/>
  </w:num>
  <w:num w:numId="20">
    <w:abstractNumId w:val="13"/>
  </w:num>
  <w:num w:numId="21">
    <w:abstractNumId w:val="11"/>
  </w:num>
  <w:num w:numId="22">
    <w:abstractNumId w:val="16"/>
  </w:num>
  <w:num w:numId="23">
    <w:abstractNumId w:val="26"/>
  </w:num>
  <w:num w:numId="24">
    <w:abstractNumId w:val="35"/>
  </w:num>
  <w:num w:numId="25">
    <w:abstractNumId w:val="6"/>
  </w:num>
  <w:num w:numId="26">
    <w:abstractNumId w:val="22"/>
  </w:num>
  <w:num w:numId="27">
    <w:abstractNumId w:val="27"/>
  </w:num>
  <w:num w:numId="28">
    <w:abstractNumId w:val="36"/>
  </w:num>
  <w:num w:numId="29">
    <w:abstractNumId w:val="32"/>
  </w:num>
  <w:num w:numId="30">
    <w:abstractNumId w:val="12"/>
  </w:num>
  <w:num w:numId="31">
    <w:abstractNumId w:val="33"/>
  </w:num>
  <w:num w:numId="32">
    <w:abstractNumId w:val="14"/>
  </w:num>
  <w:num w:numId="33">
    <w:abstractNumId w:val="19"/>
  </w:num>
  <w:num w:numId="34">
    <w:abstractNumId w:val="25"/>
  </w:num>
  <w:num w:numId="35">
    <w:abstractNumId w:val="4"/>
  </w:num>
  <w:num w:numId="36">
    <w:abstractNumId w:val="30"/>
  </w:num>
  <w:num w:numId="37">
    <w:abstractNumId w:val="18"/>
  </w:num>
  <w:num w:numId="38">
    <w:abstractNumId w:val="3"/>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4601"/>
    <w:rsid w:val="0004579C"/>
    <w:rsid w:val="00076243"/>
    <w:rsid w:val="000A47FA"/>
    <w:rsid w:val="000A65D3"/>
    <w:rsid w:val="000B1E33"/>
    <w:rsid w:val="000C49E0"/>
    <w:rsid w:val="000D689F"/>
    <w:rsid w:val="000E7B7B"/>
    <w:rsid w:val="000E7D62"/>
    <w:rsid w:val="000F2BF8"/>
    <w:rsid w:val="00103357"/>
    <w:rsid w:val="00123C9F"/>
    <w:rsid w:val="00126190"/>
    <w:rsid w:val="00130BB8"/>
    <w:rsid w:val="00130F17"/>
    <w:rsid w:val="001320BF"/>
    <w:rsid w:val="00163BC4"/>
    <w:rsid w:val="00165794"/>
    <w:rsid w:val="00176DDD"/>
    <w:rsid w:val="00191062"/>
    <w:rsid w:val="00192B72"/>
    <w:rsid w:val="00196DF3"/>
    <w:rsid w:val="001A29D8"/>
    <w:rsid w:val="001A5CAA"/>
    <w:rsid w:val="001B0427"/>
    <w:rsid w:val="001D3A51"/>
    <w:rsid w:val="001E080B"/>
    <w:rsid w:val="001E10D2"/>
    <w:rsid w:val="001E25B4"/>
    <w:rsid w:val="001E44FE"/>
    <w:rsid w:val="00200595"/>
    <w:rsid w:val="00204835"/>
    <w:rsid w:val="00231920"/>
    <w:rsid w:val="0023195C"/>
    <w:rsid w:val="002333DB"/>
    <w:rsid w:val="002375C9"/>
    <w:rsid w:val="0024282C"/>
    <w:rsid w:val="002460DC"/>
    <w:rsid w:val="00250985"/>
    <w:rsid w:val="002556F6"/>
    <w:rsid w:val="00271CC6"/>
    <w:rsid w:val="0027651D"/>
    <w:rsid w:val="00283105"/>
    <w:rsid w:val="00284C4C"/>
    <w:rsid w:val="00287E68"/>
    <w:rsid w:val="00296529"/>
    <w:rsid w:val="002B27FB"/>
    <w:rsid w:val="002B685A"/>
    <w:rsid w:val="002C57D2"/>
    <w:rsid w:val="002D4A43"/>
    <w:rsid w:val="002E0D56"/>
    <w:rsid w:val="00315186"/>
    <w:rsid w:val="0033343E"/>
    <w:rsid w:val="003512C2"/>
    <w:rsid w:val="00366683"/>
    <w:rsid w:val="00371FB6"/>
    <w:rsid w:val="003763C1"/>
    <w:rsid w:val="00376BBE"/>
    <w:rsid w:val="0039224F"/>
    <w:rsid w:val="003A43A4"/>
    <w:rsid w:val="003A7E18"/>
    <w:rsid w:val="003C4C86"/>
    <w:rsid w:val="003C51EB"/>
    <w:rsid w:val="003C6258"/>
    <w:rsid w:val="003D5CEC"/>
    <w:rsid w:val="003E2904"/>
    <w:rsid w:val="003F51A0"/>
    <w:rsid w:val="00401927"/>
    <w:rsid w:val="0041027F"/>
    <w:rsid w:val="00412475"/>
    <w:rsid w:val="004163F4"/>
    <w:rsid w:val="00423789"/>
    <w:rsid w:val="00440F43"/>
    <w:rsid w:val="00441B6F"/>
    <w:rsid w:val="00443233"/>
    <w:rsid w:val="00446221"/>
    <w:rsid w:val="00450E62"/>
    <w:rsid w:val="004539DB"/>
    <w:rsid w:val="0047108E"/>
    <w:rsid w:val="00471A80"/>
    <w:rsid w:val="004823B8"/>
    <w:rsid w:val="0049752A"/>
    <w:rsid w:val="004A1C0F"/>
    <w:rsid w:val="004D305E"/>
    <w:rsid w:val="004D4277"/>
    <w:rsid w:val="00502516"/>
    <w:rsid w:val="00505F06"/>
    <w:rsid w:val="00506828"/>
    <w:rsid w:val="0053056E"/>
    <w:rsid w:val="0055260D"/>
    <w:rsid w:val="00554FDA"/>
    <w:rsid w:val="005600D7"/>
    <w:rsid w:val="005656CB"/>
    <w:rsid w:val="005847DA"/>
    <w:rsid w:val="005C3E9A"/>
    <w:rsid w:val="005C784C"/>
    <w:rsid w:val="005D17F6"/>
    <w:rsid w:val="005E5539"/>
    <w:rsid w:val="005E56C1"/>
    <w:rsid w:val="00602BF5"/>
    <w:rsid w:val="00617FDD"/>
    <w:rsid w:val="00633614"/>
    <w:rsid w:val="00633F68"/>
    <w:rsid w:val="00636EB2"/>
    <w:rsid w:val="006375B8"/>
    <w:rsid w:val="0064453C"/>
    <w:rsid w:val="00645118"/>
    <w:rsid w:val="00653F47"/>
    <w:rsid w:val="0066510A"/>
    <w:rsid w:val="00673F9F"/>
    <w:rsid w:val="00686953"/>
    <w:rsid w:val="00687DEA"/>
    <w:rsid w:val="00687E67"/>
    <w:rsid w:val="006967F7"/>
    <w:rsid w:val="006A250C"/>
    <w:rsid w:val="006B21D3"/>
    <w:rsid w:val="006B5745"/>
    <w:rsid w:val="006B57D0"/>
    <w:rsid w:val="006D30FF"/>
    <w:rsid w:val="006D484D"/>
    <w:rsid w:val="006D6940"/>
    <w:rsid w:val="006E06BF"/>
    <w:rsid w:val="006F11EC"/>
    <w:rsid w:val="0070082C"/>
    <w:rsid w:val="007369E6"/>
    <w:rsid w:val="00746E59"/>
    <w:rsid w:val="00754C9A"/>
    <w:rsid w:val="0075599A"/>
    <w:rsid w:val="00761D52"/>
    <w:rsid w:val="0077749E"/>
    <w:rsid w:val="00785F52"/>
    <w:rsid w:val="00790ADA"/>
    <w:rsid w:val="00795354"/>
    <w:rsid w:val="007D2288"/>
    <w:rsid w:val="007E088F"/>
    <w:rsid w:val="007F7B32"/>
    <w:rsid w:val="00804BC2"/>
    <w:rsid w:val="0081431A"/>
    <w:rsid w:val="008219BF"/>
    <w:rsid w:val="00822E91"/>
    <w:rsid w:val="0083216F"/>
    <w:rsid w:val="00860000"/>
    <w:rsid w:val="00863BD3"/>
    <w:rsid w:val="008641ED"/>
    <w:rsid w:val="008658E9"/>
    <w:rsid w:val="00866D66"/>
    <w:rsid w:val="008671C6"/>
    <w:rsid w:val="00873182"/>
    <w:rsid w:val="00875803"/>
    <w:rsid w:val="00883F7B"/>
    <w:rsid w:val="00894E2B"/>
    <w:rsid w:val="008B274C"/>
    <w:rsid w:val="008B459E"/>
    <w:rsid w:val="008E13AE"/>
    <w:rsid w:val="008E1506"/>
    <w:rsid w:val="008E710C"/>
    <w:rsid w:val="008F69D6"/>
    <w:rsid w:val="00902823"/>
    <w:rsid w:val="00915CA6"/>
    <w:rsid w:val="00927834"/>
    <w:rsid w:val="00931A9E"/>
    <w:rsid w:val="00933281"/>
    <w:rsid w:val="009500A6"/>
    <w:rsid w:val="00957C18"/>
    <w:rsid w:val="009659BA"/>
    <w:rsid w:val="00983040"/>
    <w:rsid w:val="00996369"/>
    <w:rsid w:val="009B3FB9"/>
    <w:rsid w:val="009C2465"/>
    <w:rsid w:val="009D35A0"/>
    <w:rsid w:val="009D72CD"/>
    <w:rsid w:val="009D7EB7"/>
    <w:rsid w:val="009E048A"/>
    <w:rsid w:val="009E08E9"/>
    <w:rsid w:val="009E3DB9"/>
    <w:rsid w:val="009E6E35"/>
    <w:rsid w:val="009F0EDA"/>
    <w:rsid w:val="009F3652"/>
    <w:rsid w:val="00A03B96"/>
    <w:rsid w:val="00A05B19"/>
    <w:rsid w:val="00A1134E"/>
    <w:rsid w:val="00A24E7E"/>
    <w:rsid w:val="00A258C3"/>
    <w:rsid w:val="00A347C0"/>
    <w:rsid w:val="00A379C5"/>
    <w:rsid w:val="00A51431"/>
    <w:rsid w:val="00A539AD"/>
    <w:rsid w:val="00A61EDB"/>
    <w:rsid w:val="00A623AA"/>
    <w:rsid w:val="00A66AE5"/>
    <w:rsid w:val="00A67817"/>
    <w:rsid w:val="00A94063"/>
    <w:rsid w:val="00AA6219"/>
    <w:rsid w:val="00AA74E0"/>
    <w:rsid w:val="00AB20F5"/>
    <w:rsid w:val="00AB703F"/>
    <w:rsid w:val="00AC2B8A"/>
    <w:rsid w:val="00AC6AC5"/>
    <w:rsid w:val="00AC6BB8"/>
    <w:rsid w:val="00AE008F"/>
    <w:rsid w:val="00B01FCD"/>
    <w:rsid w:val="00B11F7C"/>
    <w:rsid w:val="00B156D3"/>
    <w:rsid w:val="00B1776C"/>
    <w:rsid w:val="00B52583"/>
    <w:rsid w:val="00B52896"/>
    <w:rsid w:val="00B917D5"/>
    <w:rsid w:val="00B95236"/>
    <w:rsid w:val="00B96BD9"/>
    <w:rsid w:val="00B97A9C"/>
    <w:rsid w:val="00BA1B01"/>
    <w:rsid w:val="00BA2641"/>
    <w:rsid w:val="00BB37AA"/>
    <w:rsid w:val="00BC53A0"/>
    <w:rsid w:val="00BE62AD"/>
    <w:rsid w:val="00BF121F"/>
    <w:rsid w:val="00BF1F80"/>
    <w:rsid w:val="00BF465C"/>
    <w:rsid w:val="00C166EF"/>
    <w:rsid w:val="00C17EB0"/>
    <w:rsid w:val="00C27F5F"/>
    <w:rsid w:val="00C30A0F"/>
    <w:rsid w:val="00C37E61"/>
    <w:rsid w:val="00C60453"/>
    <w:rsid w:val="00C60F13"/>
    <w:rsid w:val="00C62CD5"/>
    <w:rsid w:val="00C70F1B"/>
    <w:rsid w:val="00C71A47"/>
    <w:rsid w:val="00C7464C"/>
    <w:rsid w:val="00C74EAF"/>
    <w:rsid w:val="00C85588"/>
    <w:rsid w:val="00CC6DE8"/>
    <w:rsid w:val="00CD5808"/>
    <w:rsid w:val="00CD6599"/>
    <w:rsid w:val="00CD6755"/>
    <w:rsid w:val="00CD6856"/>
    <w:rsid w:val="00CE0089"/>
    <w:rsid w:val="00CE793C"/>
    <w:rsid w:val="00CF193C"/>
    <w:rsid w:val="00CF20E4"/>
    <w:rsid w:val="00CF3819"/>
    <w:rsid w:val="00D173F1"/>
    <w:rsid w:val="00D30E9D"/>
    <w:rsid w:val="00D32DFD"/>
    <w:rsid w:val="00D74CB0"/>
    <w:rsid w:val="00D8295D"/>
    <w:rsid w:val="00DC2A65"/>
    <w:rsid w:val="00DE15F0"/>
    <w:rsid w:val="00DE5663"/>
    <w:rsid w:val="00DE78AA"/>
    <w:rsid w:val="00E053D0"/>
    <w:rsid w:val="00E06CDD"/>
    <w:rsid w:val="00E15994"/>
    <w:rsid w:val="00E20567"/>
    <w:rsid w:val="00E3114E"/>
    <w:rsid w:val="00E31A70"/>
    <w:rsid w:val="00E35B02"/>
    <w:rsid w:val="00E560A7"/>
    <w:rsid w:val="00E66496"/>
    <w:rsid w:val="00E66B35"/>
    <w:rsid w:val="00E66E10"/>
    <w:rsid w:val="00E769F6"/>
    <w:rsid w:val="00E8407C"/>
    <w:rsid w:val="00E84F3C"/>
    <w:rsid w:val="00EA012C"/>
    <w:rsid w:val="00EB673A"/>
    <w:rsid w:val="00EC6A55"/>
    <w:rsid w:val="00ED0288"/>
    <w:rsid w:val="00ED7DFE"/>
    <w:rsid w:val="00EE52CB"/>
    <w:rsid w:val="00EE7391"/>
    <w:rsid w:val="00EF581D"/>
    <w:rsid w:val="00EF7FD8"/>
    <w:rsid w:val="00F06F59"/>
    <w:rsid w:val="00F17988"/>
    <w:rsid w:val="00F32D88"/>
    <w:rsid w:val="00F469F0"/>
    <w:rsid w:val="00F53273"/>
    <w:rsid w:val="00F71C58"/>
    <w:rsid w:val="00F755E4"/>
    <w:rsid w:val="00F77D02"/>
    <w:rsid w:val="00F8281E"/>
    <w:rsid w:val="00F96EDD"/>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5:docId w15:val="{1CB09B88-FA51-47A4-B6B1-419386C8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CD580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D4A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EJG13authornames">
    <w:name w:val="EJG_1.3_authornames"/>
    <w:next w:val="Normal"/>
    <w:rsid w:val="008B274C"/>
    <w:pPr>
      <w:autoSpaceDN w:val="0"/>
      <w:snapToGrid w:val="0"/>
      <w:spacing w:after="360" w:line="260" w:lineRule="atLeast"/>
    </w:pPr>
    <w:rPr>
      <w:rFonts w:ascii="Calibri Light" w:hAnsi="Calibri Light"/>
      <w:b/>
      <w:color w:val="000000"/>
      <w:szCs w:val="22"/>
      <w:lang w:eastAsia="de-DE" w:bidi="en-US"/>
    </w:rPr>
  </w:style>
  <w:style w:type="paragraph" w:customStyle="1" w:styleId="EJG21heading1">
    <w:name w:val="EJG_2.1_heading1"/>
    <w:rsid w:val="00C62CD5"/>
    <w:pPr>
      <w:autoSpaceDN w:val="0"/>
      <w:snapToGrid w:val="0"/>
      <w:spacing w:before="240" w:after="60" w:line="228" w:lineRule="auto"/>
      <w:ind w:left="2608"/>
      <w:outlineLvl w:val="0"/>
    </w:pPr>
    <w:rPr>
      <w:rFonts w:ascii="Calibri bold" w:hAnsi="Calibri bold"/>
      <w:b/>
      <w:color w:val="000000"/>
      <w:szCs w:val="22"/>
      <w:lang w:eastAsia="de-DE" w:bidi="en-US"/>
    </w:rPr>
  </w:style>
  <w:style w:type="paragraph" w:customStyle="1" w:styleId="EJG31text">
    <w:name w:val="EJG_3.1_text"/>
    <w:rsid w:val="00A67817"/>
    <w:pPr>
      <w:autoSpaceDN w:val="0"/>
      <w:snapToGrid w:val="0"/>
      <w:spacing w:line="228" w:lineRule="auto"/>
      <w:ind w:firstLine="425"/>
      <w:jc w:val="both"/>
    </w:pPr>
    <w:rPr>
      <w:rFonts w:ascii="Calibri Light" w:hAnsi="Calibri Light"/>
      <w:color w:val="000000"/>
      <w:sz w:val="18"/>
      <w:szCs w:val="22"/>
      <w:lang w:eastAsia="de-DE" w:bidi="en-US"/>
    </w:rPr>
  </w:style>
  <w:style w:type="paragraph" w:customStyle="1" w:styleId="EJG52figure">
    <w:name w:val="EJG_5.2_figure"/>
    <w:rsid w:val="00A67817"/>
    <w:pPr>
      <w:autoSpaceDN w:val="0"/>
      <w:snapToGrid w:val="0"/>
      <w:spacing w:before="240" w:after="120"/>
      <w:jc w:val="center"/>
    </w:pPr>
    <w:rPr>
      <w:rFonts w:ascii="Calibri Light" w:hAnsi="Calibri Light"/>
      <w:color w:val="000000"/>
      <w:lang w:eastAsia="de-DE" w:bidi="en-US"/>
    </w:rPr>
  </w:style>
  <w:style w:type="paragraph" w:customStyle="1" w:styleId="EJG51figurecaption">
    <w:name w:val="EJG_5.1_figure_caption"/>
    <w:rsid w:val="00165794"/>
    <w:pPr>
      <w:autoSpaceDN w:val="0"/>
      <w:snapToGrid w:val="0"/>
      <w:spacing w:before="120" w:after="240" w:line="228" w:lineRule="auto"/>
      <w:ind w:left="2608"/>
      <w:jc w:val="both"/>
    </w:pPr>
    <w:rPr>
      <w:rFonts w:ascii="Calibri Light" w:hAnsi="Calibri Light"/>
      <w:color w:val="000000"/>
      <w:sz w:val="18"/>
      <w:lang w:eastAsia="de-DE" w:bidi="en-US"/>
    </w:rPr>
  </w:style>
  <w:style w:type="paragraph" w:customStyle="1" w:styleId="EJG41tablecaption">
    <w:name w:val="EJG_4.1_table_caption"/>
    <w:rsid w:val="00165794"/>
    <w:pPr>
      <w:autoSpaceDN w:val="0"/>
      <w:snapToGrid w:val="0"/>
      <w:spacing w:before="240" w:after="120" w:line="228" w:lineRule="auto"/>
      <w:ind w:left="2608"/>
      <w:jc w:val="both"/>
    </w:pPr>
    <w:rPr>
      <w:rFonts w:ascii="Calibri Light" w:hAnsi="Calibri Light" w:cs="Cordia New"/>
      <w:color w:val="000000"/>
      <w:sz w:val="18"/>
      <w:szCs w:val="22"/>
      <w:lang w:eastAsia="de-DE" w:bidi="en-US"/>
    </w:rPr>
  </w:style>
  <w:style w:type="paragraph" w:customStyle="1" w:styleId="EJG43tablefooter">
    <w:name w:val="EJG_4.3_table_footer"/>
    <w:next w:val="EJG31text"/>
    <w:rsid w:val="00165794"/>
    <w:pPr>
      <w:autoSpaceDN w:val="0"/>
      <w:snapToGrid w:val="0"/>
      <w:spacing w:line="228" w:lineRule="auto"/>
      <w:ind w:left="2608"/>
      <w:jc w:val="both"/>
    </w:pPr>
    <w:rPr>
      <w:rFonts w:ascii="Calibri Light" w:hAnsi="Calibri Light" w:cs="Cordia New"/>
      <w:color w:val="000000"/>
      <w:sz w:val="18"/>
      <w:szCs w:val="22"/>
      <w:lang w:eastAsia="de-DE" w:bidi="en-US"/>
    </w:rPr>
  </w:style>
  <w:style w:type="paragraph" w:styleId="Bibliography">
    <w:name w:val="Bibliography"/>
    <w:basedOn w:val="Normal"/>
    <w:next w:val="Normal"/>
    <w:rsid w:val="00C74EAF"/>
    <w:pPr>
      <w:autoSpaceDN w:val="0"/>
      <w:spacing w:line="260" w:lineRule="atLeast"/>
      <w:jc w:val="both"/>
    </w:pPr>
    <w:rPr>
      <w:rFonts w:ascii="Palatino Linotype" w:eastAsia="SimSun" w:hAnsi="Palatino Linotype"/>
      <w:color w:val="000000"/>
      <w:lang w:eastAsia="zh-CN"/>
    </w:rPr>
  </w:style>
  <w:style w:type="paragraph" w:styleId="NormalWeb">
    <w:name w:val="Normal (Web)"/>
    <w:basedOn w:val="Normal"/>
    <w:uiPriority w:val="99"/>
    <w:unhideWhenUsed/>
    <w:rsid w:val="00CD6599"/>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CD6599"/>
    <w:rPr>
      <w:b/>
      <w:bCs/>
    </w:rPr>
  </w:style>
  <w:style w:type="character" w:customStyle="1" w:styleId="Heading3Char">
    <w:name w:val="Heading 3 Char"/>
    <w:basedOn w:val="DefaultParagraphFont"/>
    <w:link w:val="Heading3"/>
    <w:semiHidden/>
    <w:rsid w:val="00CD58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2D4A43"/>
    <w:rPr>
      <w:rFonts w:asciiTheme="majorHAnsi" w:eastAsiaTheme="majorEastAsia" w:hAnsiTheme="majorHAnsi" w:cstheme="majorBidi"/>
      <w:b/>
      <w:bCs/>
      <w:i/>
      <w:iCs/>
      <w:color w:val="4F81BD" w:themeColor="accent1"/>
    </w:rPr>
  </w:style>
  <w:style w:type="character" w:customStyle="1" w:styleId="katex-mathml">
    <w:name w:val="katex-mathml"/>
    <w:basedOn w:val="DefaultParagraphFont"/>
    <w:rsid w:val="002D4A43"/>
  </w:style>
  <w:style w:type="character" w:customStyle="1" w:styleId="mord">
    <w:name w:val="mord"/>
    <w:basedOn w:val="DefaultParagraphFont"/>
    <w:rsid w:val="002D4A43"/>
  </w:style>
  <w:style w:type="character" w:customStyle="1" w:styleId="mpunct">
    <w:name w:val="mpunct"/>
    <w:basedOn w:val="DefaultParagraphFont"/>
    <w:rsid w:val="002D4A43"/>
  </w:style>
  <w:style w:type="character" w:customStyle="1" w:styleId="mrel">
    <w:name w:val="mrel"/>
    <w:basedOn w:val="DefaultParagraphFont"/>
    <w:rsid w:val="002D4A43"/>
  </w:style>
  <w:style w:type="character" w:customStyle="1" w:styleId="mbin">
    <w:name w:val="mbin"/>
    <w:basedOn w:val="DefaultParagraphFont"/>
    <w:rsid w:val="002D4A43"/>
  </w:style>
  <w:style w:type="character" w:customStyle="1" w:styleId="vlist-s">
    <w:name w:val="vlist-s"/>
    <w:basedOn w:val="DefaultParagraphFont"/>
    <w:rsid w:val="002D4A43"/>
  </w:style>
  <w:style w:type="character" w:customStyle="1" w:styleId="mopen">
    <w:name w:val="mopen"/>
    <w:basedOn w:val="DefaultParagraphFont"/>
    <w:rsid w:val="002D4A43"/>
  </w:style>
  <w:style w:type="character" w:customStyle="1" w:styleId="mclose">
    <w:name w:val="mclose"/>
    <w:basedOn w:val="DefaultParagraphFont"/>
    <w:rsid w:val="002D4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404904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13011226">
      <w:bodyDiv w:val="1"/>
      <w:marLeft w:val="0"/>
      <w:marRight w:val="0"/>
      <w:marTop w:val="0"/>
      <w:marBottom w:val="0"/>
      <w:divBdr>
        <w:top w:val="none" w:sz="0" w:space="0" w:color="auto"/>
        <w:left w:val="none" w:sz="0" w:space="0" w:color="auto"/>
        <w:bottom w:val="none" w:sz="0" w:space="0" w:color="auto"/>
        <w:right w:val="none" w:sz="0" w:space="0" w:color="auto"/>
      </w:divBdr>
    </w:div>
    <w:div w:id="41578300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6623636">
      <w:bodyDiv w:val="1"/>
      <w:marLeft w:val="0"/>
      <w:marRight w:val="0"/>
      <w:marTop w:val="0"/>
      <w:marBottom w:val="0"/>
      <w:divBdr>
        <w:top w:val="none" w:sz="0" w:space="0" w:color="auto"/>
        <w:left w:val="none" w:sz="0" w:space="0" w:color="auto"/>
        <w:bottom w:val="none" w:sz="0" w:space="0" w:color="auto"/>
        <w:right w:val="none" w:sz="0" w:space="0" w:color="auto"/>
      </w:divBdr>
    </w:div>
    <w:div w:id="903687347">
      <w:bodyDiv w:val="1"/>
      <w:marLeft w:val="0"/>
      <w:marRight w:val="0"/>
      <w:marTop w:val="0"/>
      <w:marBottom w:val="0"/>
      <w:divBdr>
        <w:top w:val="none" w:sz="0" w:space="0" w:color="auto"/>
        <w:left w:val="none" w:sz="0" w:space="0" w:color="auto"/>
        <w:bottom w:val="none" w:sz="0" w:space="0" w:color="auto"/>
        <w:right w:val="none" w:sz="0" w:space="0" w:color="auto"/>
      </w:divBdr>
    </w:div>
    <w:div w:id="910231322">
      <w:bodyDiv w:val="1"/>
      <w:marLeft w:val="0"/>
      <w:marRight w:val="0"/>
      <w:marTop w:val="0"/>
      <w:marBottom w:val="0"/>
      <w:divBdr>
        <w:top w:val="none" w:sz="0" w:space="0" w:color="auto"/>
        <w:left w:val="none" w:sz="0" w:space="0" w:color="auto"/>
        <w:bottom w:val="none" w:sz="0" w:space="0" w:color="auto"/>
        <w:right w:val="none" w:sz="0" w:space="0" w:color="auto"/>
      </w:divBdr>
    </w:div>
    <w:div w:id="92819882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4077448">
      <w:bodyDiv w:val="1"/>
      <w:marLeft w:val="0"/>
      <w:marRight w:val="0"/>
      <w:marTop w:val="0"/>
      <w:marBottom w:val="0"/>
      <w:divBdr>
        <w:top w:val="none" w:sz="0" w:space="0" w:color="auto"/>
        <w:left w:val="none" w:sz="0" w:space="0" w:color="auto"/>
        <w:bottom w:val="none" w:sz="0" w:space="0" w:color="auto"/>
        <w:right w:val="none" w:sz="0" w:space="0" w:color="auto"/>
      </w:divBdr>
    </w:div>
    <w:div w:id="1255476656">
      <w:bodyDiv w:val="1"/>
      <w:marLeft w:val="0"/>
      <w:marRight w:val="0"/>
      <w:marTop w:val="0"/>
      <w:marBottom w:val="0"/>
      <w:divBdr>
        <w:top w:val="none" w:sz="0" w:space="0" w:color="auto"/>
        <w:left w:val="none" w:sz="0" w:space="0" w:color="auto"/>
        <w:bottom w:val="none" w:sz="0" w:space="0" w:color="auto"/>
        <w:right w:val="none" w:sz="0" w:space="0" w:color="auto"/>
      </w:divBdr>
    </w:div>
    <w:div w:id="1320378321">
      <w:bodyDiv w:val="1"/>
      <w:marLeft w:val="0"/>
      <w:marRight w:val="0"/>
      <w:marTop w:val="0"/>
      <w:marBottom w:val="0"/>
      <w:divBdr>
        <w:top w:val="none" w:sz="0" w:space="0" w:color="auto"/>
        <w:left w:val="none" w:sz="0" w:space="0" w:color="auto"/>
        <w:bottom w:val="none" w:sz="0" w:space="0" w:color="auto"/>
        <w:right w:val="none" w:sz="0" w:space="0" w:color="auto"/>
      </w:divBdr>
    </w:div>
    <w:div w:id="159508572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chart" Target="charts/chart9.xml"/><Relationship Id="rId39" Type="http://schemas.openxmlformats.org/officeDocument/2006/relationships/fontTable" Target="fontTable.xml"/><Relationship Id="rId21" Type="http://schemas.openxmlformats.org/officeDocument/2006/relationships/chart" Target="charts/chart4.xml"/><Relationship Id="rId34" Type="http://schemas.openxmlformats.org/officeDocument/2006/relationships/hyperlink" Target="https://doi.org/10.1016/j.habitatint.2024.10304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chart" Target="charts/chart8.xml"/><Relationship Id="rId33" Type="http://schemas.openxmlformats.org/officeDocument/2006/relationships/hyperlink" Target="https://doi.org/10.1007/978-981-16-4768-0_3"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yperlink" Target="https://doi.org/10.1007/978-3-031-21587-2_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hyperlink" Target="https://doi.org/10.3390/land13010098" TargetMode="External"/><Relationship Id="rId37" Type="http://schemas.openxmlformats.org/officeDocument/2006/relationships/hyperlink" Target="https://doi.org/10.1080/22797254.2024.241447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6.xml"/><Relationship Id="rId28" Type="http://schemas.openxmlformats.org/officeDocument/2006/relationships/hyperlink" Target="https://doi.org/10.1111/area.12875" TargetMode="External"/><Relationship Id="rId36" Type="http://schemas.openxmlformats.org/officeDocument/2006/relationships/hyperlink" Target="https://doi.org/10.1016/j.jum.2025.04.006" TargetMode="Externa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yperlink" Target="https://doi.org/10.1007/s44243-023-00021-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yperlink" Target="https://doi.org/10.1186/s13717-024-00518-3" TargetMode="External"/><Relationship Id="rId35" Type="http://schemas.openxmlformats.org/officeDocument/2006/relationships/hyperlink" Target="https://doi.org/10.1016/j.jenvman.2014.02.015"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PhD\chapters\Chapter%205_urban%20expansion\Excel_Area\Direction%20wise%20area_B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Direction%20wise%20area_B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Kozhikode City &amp; Suburbs - UII 1993-2023</a:t>
            </a:r>
          </a:p>
        </c:rich>
      </c:tx>
      <c:overlay val="0"/>
    </c:title>
    <c:autoTitleDeleted val="0"/>
    <c:plotArea>
      <c:layout>
        <c:manualLayout>
          <c:layoutTarget val="inner"/>
          <c:xMode val="edge"/>
          <c:yMode val="edge"/>
          <c:x val="0.14171733095278125"/>
          <c:y val="0.19373902415577157"/>
          <c:w val="0.82777600289300535"/>
          <c:h val="0.53207914026559455"/>
        </c:manualLayout>
      </c:layout>
      <c:lineChart>
        <c:grouping val="standard"/>
        <c:varyColors val="0"/>
        <c:ser>
          <c:idx val="0"/>
          <c:order val="0"/>
          <c:tx>
            <c:v>1993-2003</c:v>
          </c:tx>
          <c:cat>
            <c:numRef>
              <c:f>[2]UII!$A$3:$A$13</c:f>
              <c:numCache>
                <c:formatCode>General</c:formatCode>
                <c:ptCount val="11"/>
                <c:pt idx="0">
                  <c:v>2</c:v>
                </c:pt>
                <c:pt idx="1">
                  <c:v>4</c:v>
                </c:pt>
                <c:pt idx="2">
                  <c:v>6</c:v>
                </c:pt>
                <c:pt idx="3">
                  <c:v>8</c:v>
                </c:pt>
                <c:pt idx="4">
                  <c:v>10</c:v>
                </c:pt>
                <c:pt idx="5">
                  <c:v>12</c:v>
                </c:pt>
                <c:pt idx="6">
                  <c:v>14</c:v>
                </c:pt>
                <c:pt idx="7">
                  <c:v>16</c:v>
                </c:pt>
                <c:pt idx="8">
                  <c:v>18</c:v>
                </c:pt>
                <c:pt idx="9">
                  <c:v>20</c:v>
                </c:pt>
                <c:pt idx="10">
                  <c:v>22</c:v>
                </c:pt>
              </c:numCache>
            </c:numRef>
          </c:cat>
          <c:val>
            <c:numRef>
              <c:f>[2]UII!$G$3:$G$13</c:f>
              <c:numCache>
                <c:formatCode>General</c:formatCode>
                <c:ptCount val="11"/>
                <c:pt idx="0">
                  <c:v>4.4894424282415626</c:v>
                </c:pt>
                <c:pt idx="1">
                  <c:v>4.3862183675893975</c:v>
                </c:pt>
                <c:pt idx="2">
                  <c:v>1.6865525614026922</c:v>
                </c:pt>
                <c:pt idx="3">
                  <c:v>0.78179494024172469</c:v>
                </c:pt>
                <c:pt idx="4">
                  <c:v>0.47098190979485494</c:v>
                </c:pt>
                <c:pt idx="5">
                  <c:v>0.20246103363412807</c:v>
                </c:pt>
                <c:pt idx="6">
                  <c:v>0.10210908808144102</c:v>
                </c:pt>
                <c:pt idx="7">
                  <c:v>7.3061269719742902E-2</c:v>
                </c:pt>
                <c:pt idx="8">
                  <c:v>5.8963775732560827E-2</c:v>
                </c:pt>
                <c:pt idx="9">
                  <c:v>4.5389325339887196E-2</c:v>
                </c:pt>
                <c:pt idx="10">
                  <c:v>-5.9757116237229804E-2</c:v>
                </c:pt>
              </c:numCache>
            </c:numRef>
          </c:val>
          <c:smooth val="0"/>
          <c:extLst>
            <c:ext xmlns:c16="http://schemas.microsoft.com/office/drawing/2014/chart" uri="{C3380CC4-5D6E-409C-BE32-E72D297353CC}">
              <c16:uniqueId val="{00000000-D013-400B-B376-1CE6F69A3308}"/>
            </c:ext>
          </c:extLst>
        </c:ser>
        <c:ser>
          <c:idx val="1"/>
          <c:order val="1"/>
          <c:tx>
            <c:v>2003-2013</c:v>
          </c:tx>
          <c:cat>
            <c:numRef>
              <c:f>[2]UII!$A$3:$A$13</c:f>
              <c:numCache>
                <c:formatCode>General</c:formatCode>
                <c:ptCount val="11"/>
                <c:pt idx="0">
                  <c:v>2</c:v>
                </c:pt>
                <c:pt idx="1">
                  <c:v>4</c:v>
                </c:pt>
                <c:pt idx="2">
                  <c:v>6</c:v>
                </c:pt>
                <c:pt idx="3">
                  <c:v>8</c:v>
                </c:pt>
                <c:pt idx="4">
                  <c:v>10</c:v>
                </c:pt>
                <c:pt idx="5">
                  <c:v>12</c:v>
                </c:pt>
                <c:pt idx="6">
                  <c:v>14</c:v>
                </c:pt>
                <c:pt idx="7">
                  <c:v>16</c:v>
                </c:pt>
                <c:pt idx="8">
                  <c:v>18</c:v>
                </c:pt>
                <c:pt idx="9">
                  <c:v>20</c:v>
                </c:pt>
                <c:pt idx="10">
                  <c:v>22</c:v>
                </c:pt>
              </c:numCache>
            </c:numRef>
          </c:cat>
          <c:val>
            <c:numRef>
              <c:f>[2]UII!$H$3:$H$13</c:f>
              <c:numCache>
                <c:formatCode>General</c:formatCode>
                <c:ptCount val="11"/>
                <c:pt idx="0">
                  <c:v>0.43019748315030398</c:v>
                </c:pt>
                <c:pt idx="1">
                  <c:v>0.54247356540335057</c:v>
                </c:pt>
                <c:pt idx="2">
                  <c:v>0.88430585301540376</c:v>
                </c:pt>
                <c:pt idx="3">
                  <c:v>0.44509986479242614</c:v>
                </c:pt>
                <c:pt idx="4">
                  <c:v>0.33005951478776085</c:v>
                </c:pt>
                <c:pt idx="5">
                  <c:v>0.36286076515773558</c:v>
                </c:pt>
                <c:pt idx="6">
                  <c:v>0.30073823752877543</c:v>
                </c:pt>
                <c:pt idx="7">
                  <c:v>0.14821288255797879</c:v>
                </c:pt>
                <c:pt idx="8">
                  <c:v>8.8995015546661754E-2</c:v>
                </c:pt>
                <c:pt idx="9">
                  <c:v>0.12437669588441706</c:v>
                </c:pt>
                <c:pt idx="10">
                  <c:v>0.15003534023003434</c:v>
                </c:pt>
              </c:numCache>
            </c:numRef>
          </c:val>
          <c:smooth val="0"/>
          <c:extLst>
            <c:ext xmlns:c16="http://schemas.microsoft.com/office/drawing/2014/chart" uri="{C3380CC4-5D6E-409C-BE32-E72D297353CC}">
              <c16:uniqueId val="{00000001-D013-400B-B376-1CE6F69A3308}"/>
            </c:ext>
          </c:extLst>
        </c:ser>
        <c:ser>
          <c:idx val="2"/>
          <c:order val="2"/>
          <c:tx>
            <c:v>2013-2023</c:v>
          </c:tx>
          <c:cat>
            <c:numRef>
              <c:f>[2]UII!$A$3:$A$13</c:f>
              <c:numCache>
                <c:formatCode>General</c:formatCode>
                <c:ptCount val="11"/>
                <c:pt idx="0">
                  <c:v>2</c:v>
                </c:pt>
                <c:pt idx="1">
                  <c:v>4</c:v>
                </c:pt>
                <c:pt idx="2">
                  <c:v>6</c:v>
                </c:pt>
                <c:pt idx="3">
                  <c:v>8</c:v>
                </c:pt>
                <c:pt idx="4">
                  <c:v>10</c:v>
                </c:pt>
                <c:pt idx="5">
                  <c:v>12</c:v>
                </c:pt>
                <c:pt idx="6">
                  <c:v>14</c:v>
                </c:pt>
                <c:pt idx="7">
                  <c:v>16</c:v>
                </c:pt>
                <c:pt idx="8">
                  <c:v>18</c:v>
                </c:pt>
                <c:pt idx="9">
                  <c:v>20</c:v>
                </c:pt>
                <c:pt idx="10">
                  <c:v>22</c:v>
                </c:pt>
              </c:numCache>
            </c:numRef>
          </c:cat>
          <c:val>
            <c:numRef>
              <c:f>[2]UII!$I$3:$I$13</c:f>
              <c:numCache>
                <c:formatCode>General</c:formatCode>
                <c:ptCount val="11"/>
                <c:pt idx="0">
                  <c:v>0.26382146392044759</c:v>
                </c:pt>
                <c:pt idx="1">
                  <c:v>1.9317096352619652</c:v>
                </c:pt>
                <c:pt idx="2">
                  <c:v>2.9064627169302537</c:v>
                </c:pt>
                <c:pt idx="3">
                  <c:v>2.7085571420200663</c:v>
                </c:pt>
                <c:pt idx="4">
                  <c:v>2.2420268035473212</c:v>
                </c:pt>
                <c:pt idx="5">
                  <c:v>2.2114251622044887</c:v>
                </c:pt>
                <c:pt idx="6">
                  <c:v>2.160231725907686</c:v>
                </c:pt>
                <c:pt idx="7">
                  <c:v>1.9507182721173382</c:v>
                </c:pt>
                <c:pt idx="8">
                  <c:v>1.3066885430820121</c:v>
                </c:pt>
                <c:pt idx="9">
                  <c:v>1.4376837948033132</c:v>
                </c:pt>
                <c:pt idx="10">
                  <c:v>1.8258047934202803</c:v>
                </c:pt>
              </c:numCache>
            </c:numRef>
          </c:val>
          <c:smooth val="0"/>
          <c:extLst>
            <c:ext xmlns:c16="http://schemas.microsoft.com/office/drawing/2014/chart" uri="{C3380CC4-5D6E-409C-BE32-E72D297353CC}">
              <c16:uniqueId val="{00000002-D013-400B-B376-1CE6F69A3308}"/>
            </c:ext>
          </c:extLst>
        </c:ser>
        <c:ser>
          <c:idx val="3"/>
          <c:order val="3"/>
          <c:tx>
            <c:v>1993-2023</c:v>
          </c:tx>
          <c:cat>
            <c:numRef>
              <c:f>[2]UII!$A$3:$A$13</c:f>
              <c:numCache>
                <c:formatCode>General</c:formatCode>
                <c:ptCount val="11"/>
                <c:pt idx="0">
                  <c:v>2</c:v>
                </c:pt>
                <c:pt idx="1">
                  <c:v>4</c:v>
                </c:pt>
                <c:pt idx="2">
                  <c:v>6</c:v>
                </c:pt>
                <c:pt idx="3">
                  <c:v>8</c:v>
                </c:pt>
                <c:pt idx="4">
                  <c:v>10</c:v>
                </c:pt>
                <c:pt idx="5">
                  <c:v>12</c:v>
                </c:pt>
                <c:pt idx="6">
                  <c:v>14</c:v>
                </c:pt>
                <c:pt idx="7">
                  <c:v>16</c:v>
                </c:pt>
                <c:pt idx="8">
                  <c:v>18</c:v>
                </c:pt>
                <c:pt idx="9">
                  <c:v>20</c:v>
                </c:pt>
                <c:pt idx="10">
                  <c:v>22</c:v>
                </c:pt>
              </c:numCache>
            </c:numRef>
          </c:cat>
          <c:val>
            <c:numRef>
              <c:f>[2]UII!$J$3:$J$13</c:f>
              <c:numCache>
                <c:formatCode>General</c:formatCode>
                <c:ptCount val="11"/>
                <c:pt idx="0">
                  <c:v>1.7278204584373993</c:v>
                </c:pt>
                <c:pt idx="1">
                  <c:v>2.2868005227515802</c:v>
                </c:pt>
                <c:pt idx="2">
                  <c:v>1.825773710449426</c:v>
                </c:pt>
                <c:pt idx="3">
                  <c:v>1.3118173156847299</c:v>
                </c:pt>
                <c:pt idx="4">
                  <c:v>1.0143560760433061</c:v>
                </c:pt>
                <c:pt idx="5">
                  <c:v>0.92558232033210863</c:v>
                </c:pt>
                <c:pt idx="6">
                  <c:v>0.85435968383928862</c:v>
                </c:pt>
                <c:pt idx="7">
                  <c:v>0.72399747479835364</c:v>
                </c:pt>
                <c:pt idx="8">
                  <c:v>0.48488244478708148</c:v>
                </c:pt>
                <c:pt idx="9">
                  <c:v>0.5358166053425385</c:v>
                </c:pt>
                <c:pt idx="10">
                  <c:v>0.63869433913770424</c:v>
                </c:pt>
              </c:numCache>
            </c:numRef>
          </c:val>
          <c:smooth val="0"/>
          <c:extLst>
            <c:ext xmlns:c16="http://schemas.microsoft.com/office/drawing/2014/chart" uri="{C3380CC4-5D6E-409C-BE32-E72D297353CC}">
              <c16:uniqueId val="{00000003-D013-400B-B376-1CE6F69A3308}"/>
            </c:ext>
          </c:extLst>
        </c:ser>
        <c:dLbls>
          <c:showLegendKey val="0"/>
          <c:showVal val="0"/>
          <c:showCatName val="0"/>
          <c:showSerName val="0"/>
          <c:showPercent val="0"/>
          <c:showBubbleSize val="0"/>
        </c:dLbls>
        <c:marker val="1"/>
        <c:smooth val="0"/>
        <c:axId val="91912064"/>
        <c:axId val="91918720"/>
      </c:lineChart>
      <c:catAx>
        <c:axId val="91912064"/>
        <c:scaling>
          <c:orientation val="minMax"/>
        </c:scaling>
        <c:delete val="0"/>
        <c:axPos val="b"/>
        <c:title>
          <c:tx>
            <c:rich>
              <a:bodyPr/>
              <a:lstStyle/>
              <a:p>
                <a:pPr>
                  <a:defRPr sz="800"/>
                </a:pPr>
                <a:r>
                  <a:rPr lang="en-US" sz="800"/>
                  <a:t>Distance in km</a:t>
                </a:r>
              </a:p>
            </c:rich>
          </c:tx>
          <c:layout>
            <c:manualLayout>
              <c:xMode val="edge"/>
              <c:yMode val="edge"/>
              <c:x val="0.42987626784460348"/>
              <c:y val="0.82366210354381864"/>
            </c:manualLayout>
          </c:layout>
          <c:overlay val="0"/>
        </c:title>
        <c:numFmt formatCode="General" sourceLinked="1"/>
        <c:majorTickMark val="none"/>
        <c:minorTickMark val="none"/>
        <c:tickLblPos val="low"/>
        <c:crossAx val="91918720"/>
        <c:crosses val="autoZero"/>
        <c:auto val="1"/>
        <c:lblAlgn val="ctr"/>
        <c:lblOffset val="20"/>
        <c:noMultiLvlLbl val="0"/>
      </c:catAx>
      <c:valAx>
        <c:axId val="91918720"/>
        <c:scaling>
          <c:orientation val="minMax"/>
        </c:scaling>
        <c:delete val="0"/>
        <c:axPos val="l"/>
        <c:majorGridlines/>
        <c:title>
          <c:tx>
            <c:rich>
              <a:bodyPr rot="-5400000" vert="horz"/>
              <a:lstStyle/>
              <a:p>
                <a:pPr>
                  <a:defRPr/>
                </a:pPr>
                <a:r>
                  <a:rPr lang="en-US"/>
                  <a:t>UII</a:t>
                </a:r>
              </a:p>
            </c:rich>
          </c:tx>
          <c:layout>
            <c:manualLayout>
              <c:xMode val="edge"/>
              <c:yMode val="edge"/>
              <c:x val="3.0555555555555652E-2"/>
              <c:y val="0.39603492271799701"/>
            </c:manualLayout>
          </c:layout>
          <c:overlay val="0"/>
        </c:title>
        <c:numFmt formatCode="General" sourceLinked="1"/>
        <c:majorTickMark val="none"/>
        <c:minorTickMark val="none"/>
        <c:tickLblPos val="nextTo"/>
        <c:spPr>
          <a:ln w="9525">
            <a:noFill/>
          </a:ln>
        </c:spPr>
        <c:crossAx val="91912064"/>
        <c:crosses val="autoZero"/>
        <c:crossBetween val="between"/>
      </c:valAx>
    </c:plotArea>
    <c:legend>
      <c:legendPos val="b"/>
      <c:layout>
        <c:manualLayout>
          <c:xMode val="edge"/>
          <c:yMode val="edge"/>
          <c:x val="4.6304839117189064E-2"/>
          <c:y val="0.90276265186777216"/>
          <c:w val="0.89629677024593368"/>
          <c:h val="9.7237348132228632E-2"/>
        </c:manualLayout>
      </c:layout>
      <c:overlay val="0"/>
    </c:legend>
    <c:plotVisOnly val="1"/>
    <c:dispBlanksAs val="gap"/>
    <c:showDLblsOverMax val="0"/>
  </c:chart>
  <c:txPr>
    <a:bodyPr/>
    <a:lstStyle/>
    <a:p>
      <a:pPr>
        <a:defRPr sz="900">
          <a:latin typeface="Arial" pitchFamily="34" charset="0"/>
          <a:cs typeface="Arial"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1"/>
            </a:pPr>
            <a:r>
              <a:rPr lang="en-US" sz="1000" b="1"/>
              <a:t>Spatial Aeolotropy of UPI based on Buffer Analysis  </a:t>
            </a:r>
          </a:p>
          <a:p>
            <a:pPr algn="ctr">
              <a:defRPr sz="1000" b="1"/>
            </a:pPr>
            <a:r>
              <a:rPr lang="en-US" sz="1000" b="1"/>
              <a:t>1993- 2023</a:t>
            </a:r>
          </a:p>
        </c:rich>
      </c:tx>
      <c:layout>
        <c:manualLayout>
          <c:xMode val="edge"/>
          <c:yMode val="edge"/>
          <c:x val="0.11476820137008126"/>
          <c:y val="1.1724474841231073E-3"/>
        </c:manualLayout>
      </c:layout>
      <c:overlay val="1"/>
    </c:title>
    <c:autoTitleDeleted val="0"/>
    <c:plotArea>
      <c:layout>
        <c:manualLayout>
          <c:layoutTarget val="inner"/>
          <c:xMode val="edge"/>
          <c:yMode val="edge"/>
          <c:x val="0.12904796894164863"/>
          <c:y val="0.17406848752228235"/>
          <c:w val="0.70189596473727178"/>
          <c:h val="0.72073752539940694"/>
        </c:manualLayout>
      </c:layout>
      <c:radarChart>
        <c:radarStyle val="marker"/>
        <c:varyColors val="0"/>
        <c:ser>
          <c:idx val="0"/>
          <c:order val="0"/>
          <c:tx>
            <c:strRef>
              <c:f>UPI!$G$2</c:f>
              <c:strCache>
                <c:ptCount val="1"/>
                <c:pt idx="0">
                  <c:v>1993-2003</c:v>
                </c:pt>
              </c:strCache>
            </c:strRef>
          </c:tx>
          <c:cat>
            <c:strRef>
              <c:f>UPI!$A$3:$A$10</c:f>
              <c:strCache>
                <c:ptCount val="8"/>
                <c:pt idx="0">
                  <c:v>NNE</c:v>
                </c:pt>
                <c:pt idx="1">
                  <c:v>ENE</c:v>
                </c:pt>
                <c:pt idx="2">
                  <c:v>ESE</c:v>
                </c:pt>
                <c:pt idx="3">
                  <c:v>SSE</c:v>
                </c:pt>
                <c:pt idx="4">
                  <c:v>SSW</c:v>
                </c:pt>
                <c:pt idx="5">
                  <c:v>WSW</c:v>
                </c:pt>
                <c:pt idx="6">
                  <c:v>WNW</c:v>
                </c:pt>
                <c:pt idx="7">
                  <c:v>NNW</c:v>
                </c:pt>
              </c:strCache>
            </c:strRef>
          </c:cat>
          <c:val>
            <c:numRef>
              <c:f>UPI!$G$3:$G$10</c:f>
              <c:numCache>
                <c:formatCode>General</c:formatCode>
                <c:ptCount val="8"/>
                <c:pt idx="0">
                  <c:v>3.5196128102254747</c:v>
                </c:pt>
                <c:pt idx="1">
                  <c:v>3.3368010724675048</c:v>
                </c:pt>
                <c:pt idx="2">
                  <c:v>8.2425910132512854</c:v>
                </c:pt>
                <c:pt idx="3">
                  <c:v>22.068191187224329</c:v>
                </c:pt>
                <c:pt idx="4">
                  <c:v>21.051373954599764</c:v>
                </c:pt>
                <c:pt idx="5">
                  <c:v>13.401253918495296</c:v>
                </c:pt>
                <c:pt idx="6">
                  <c:v>17.88105553367469</c:v>
                </c:pt>
                <c:pt idx="7">
                  <c:v>6.5458537072148504</c:v>
                </c:pt>
              </c:numCache>
            </c:numRef>
          </c:val>
          <c:extLst>
            <c:ext xmlns:c16="http://schemas.microsoft.com/office/drawing/2014/chart" uri="{C3380CC4-5D6E-409C-BE32-E72D297353CC}">
              <c16:uniqueId val="{00000000-6BF2-4F1E-BF7E-C4235A6D4FA6}"/>
            </c:ext>
          </c:extLst>
        </c:ser>
        <c:ser>
          <c:idx val="1"/>
          <c:order val="1"/>
          <c:tx>
            <c:strRef>
              <c:f>UPI!$H$2</c:f>
              <c:strCache>
                <c:ptCount val="1"/>
                <c:pt idx="0">
                  <c:v>2003-2013</c:v>
                </c:pt>
              </c:strCache>
            </c:strRef>
          </c:tx>
          <c:cat>
            <c:strRef>
              <c:f>UPI!$A$3:$A$10</c:f>
              <c:strCache>
                <c:ptCount val="8"/>
                <c:pt idx="0">
                  <c:v>NNE</c:v>
                </c:pt>
                <c:pt idx="1">
                  <c:v>ENE</c:v>
                </c:pt>
                <c:pt idx="2">
                  <c:v>ESE</c:v>
                </c:pt>
                <c:pt idx="3">
                  <c:v>SSE</c:v>
                </c:pt>
                <c:pt idx="4">
                  <c:v>SSW</c:v>
                </c:pt>
                <c:pt idx="5">
                  <c:v>WSW</c:v>
                </c:pt>
                <c:pt idx="6">
                  <c:v>WNW</c:v>
                </c:pt>
                <c:pt idx="7">
                  <c:v>NNW</c:v>
                </c:pt>
              </c:strCache>
            </c:strRef>
          </c:cat>
          <c:val>
            <c:numRef>
              <c:f>UPI!$H$3:$H$10</c:f>
              <c:numCache>
                <c:formatCode>General</c:formatCode>
                <c:ptCount val="8"/>
                <c:pt idx="0">
                  <c:v>3.0865388565304182</c:v>
                </c:pt>
                <c:pt idx="1">
                  <c:v>2.3894724385388639</c:v>
                </c:pt>
                <c:pt idx="2">
                  <c:v>6.1513162544585755</c:v>
                </c:pt>
                <c:pt idx="3">
                  <c:v>4.7479859383382905</c:v>
                </c:pt>
                <c:pt idx="4">
                  <c:v>0</c:v>
                </c:pt>
                <c:pt idx="5">
                  <c:v>0</c:v>
                </c:pt>
                <c:pt idx="6">
                  <c:v>0</c:v>
                </c:pt>
                <c:pt idx="7">
                  <c:v>2.5161826830322855</c:v>
                </c:pt>
              </c:numCache>
            </c:numRef>
          </c:val>
          <c:extLst>
            <c:ext xmlns:c16="http://schemas.microsoft.com/office/drawing/2014/chart" uri="{C3380CC4-5D6E-409C-BE32-E72D297353CC}">
              <c16:uniqueId val="{00000001-6BF2-4F1E-BF7E-C4235A6D4FA6}"/>
            </c:ext>
          </c:extLst>
        </c:ser>
        <c:ser>
          <c:idx val="2"/>
          <c:order val="2"/>
          <c:tx>
            <c:strRef>
              <c:f>UPI!$I$2</c:f>
              <c:strCache>
                <c:ptCount val="1"/>
                <c:pt idx="0">
                  <c:v>2013-2023</c:v>
                </c:pt>
              </c:strCache>
            </c:strRef>
          </c:tx>
          <c:spPr>
            <a:ln>
              <a:solidFill>
                <a:srgbClr val="FF0000"/>
              </a:solidFill>
            </a:ln>
          </c:spPr>
          <c:cat>
            <c:strRef>
              <c:f>UPI!$A$3:$A$10</c:f>
              <c:strCache>
                <c:ptCount val="8"/>
                <c:pt idx="0">
                  <c:v>NNE</c:v>
                </c:pt>
                <c:pt idx="1">
                  <c:v>ENE</c:v>
                </c:pt>
                <c:pt idx="2">
                  <c:v>ESE</c:v>
                </c:pt>
                <c:pt idx="3">
                  <c:v>SSE</c:v>
                </c:pt>
                <c:pt idx="4">
                  <c:v>SSW</c:v>
                </c:pt>
                <c:pt idx="5">
                  <c:v>WSW</c:v>
                </c:pt>
                <c:pt idx="6">
                  <c:v>WNW</c:v>
                </c:pt>
                <c:pt idx="7">
                  <c:v>NNW</c:v>
                </c:pt>
              </c:strCache>
            </c:strRef>
          </c:cat>
          <c:val>
            <c:numRef>
              <c:f>UPI!$I$3:$I$10</c:f>
              <c:numCache>
                <c:formatCode>General</c:formatCode>
                <c:ptCount val="8"/>
                <c:pt idx="0">
                  <c:v>22.477397124707618</c:v>
                </c:pt>
                <c:pt idx="1">
                  <c:v>24.030195824229793</c:v>
                </c:pt>
                <c:pt idx="2">
                  <c:v>22.616708523574161</c:v>
                </c:pt>
                <c:pt idx="3">
                  <c:v>19.879808837634204</c:v>
                </c:pt>
                <c:pt idx="4">
                  <c:v>0.23894862604538691</c:v>
                </c:pt>
                <c:pt idx="5">
                  <c:v>2.5862068965517238</c:v>
                </c:pt>
                <c:pt idx="6">
                  <c:v>1.3784954706577461</c:v>
                </c:pt>
                <c:pt idx="7">
                  <c:v>17.511492532348729</c:v>
                </c:pt>
              </c:numCache>
            </c:numRef>
          </c:val>
          <c:extLst>
            <c:ext xmlns:c16="http://schemas.microsoft.com/office/drawing/2014/chart" uri="{C3380CC4-5D6E-409C-BE32-E72D297353CC}">
              <c16:uniqueId val="{00000002-6BF2-4F1E-BF7E-C4235A6D4FA6}"/>
            </c:ext>
          </c:extLst>
        </c:ser>
        <c:dLbls>
          <c:showLegendKey val="0"/>
          <c:showVal val="0"/>
          <c:showCatName val="0"/>
          <c:showSerName val="0"/>
          <c:showPercent val="0"/>
          <c:showBubbleSize val="0"/>
        </c:dLbls>
        <c:axId val="111981312"/>
        <c:axId val="111982848"/>
      </c:radarChart>
      <c:catAx>
        <c:axId val="111981312"/>
        <c:scaling>
          <c:orientation val="minMax"/>
        </c:scaling>
        <c:delete val="0"/>
        <c:axPos val="b"/>
        <c:majorGridlines/>
        <c:numFmt formatCode="General" sourceLinked="0"/>
        <c:majorTickMark val="out"/>
        <c:minorTickMark val="none"/>
        <c:tickLblPos val="nextTo"/>
        <c:crossAx val="111982848"/>
        <c:crosses val="autoZero"/>
        <c:auto val="1"/>
        <c:lblAlgn val="ctr"/>
        <c:lblOffset val="100"/>
        <c:noMultiLvlLbl val="0"/>
      </c:catAx>
      <c:valAx>
        <c:axId val="111982848"/>
        <c:scaling>
          <c:orientation val="minMax"/>
        </c:scaling>
        <c:delete val="0"/>
        <c:axPos val="l"/>
        <c:majorGridlines/>
        <c:numFmt formatCode="General" sourceLinked="1"/>
        <c:majorTickMark val="cross"/>
        <c:minorTickMark val="none"/>
        <c:tickLblPos val="nextTo"/>
        <c:crossAx val="111981312"/>
        <c:crosses val="autoZero"/>
        <c:crossBetween val="between"/>
      </c:valAx>
    </c:plotArea>
    <c:legend>
      <c:legendPos val="r"/>
      <c:layout>
        <c:manualLayout>
          <c:xMode val="edge"/>
          <c:yMode val="edge"/>
          <c:x val="0.78724009105169801"/>
          <c:y val="0.62194360139849891"/>
          <c:w val="0.21190254522655338"/>
          <c:h val="0.28575346958845182"/>
        </c:manualLayout>
      </c:layout>
      <c:overlay val="0"/>
    </c:legend>
    <c:plotVisOnly val="1"/>
    <c:dispBlanksAs val="gap"/>
    <c:showDLblsOverMax val="0"/>
  </c:chart>
  <c:txPr>
    <a:bodyPr/>
    <a:lstStyle/>
    <a:p>
      <a:pPr algn="just">
        <a:defRPr sz="1000" b="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NNE</a:t>
            </a:r>
          </a:p>
        </c:rich>
      </c:tx>
      <c:layout>
        <c:manualLayout>
          <c:xMode val="edge"/>
          <c:yMode val="edge"/>
          <c:x val="0.45326616052188107"/>
          <c:y val="0"/>
        </c:manualLayout>
      </c:layout>
      <c:overlay val="0"/>
    </c:title>
    <c:autoTitleDeleted val="0"/>
    <c:plotArea>
      <c:layout>
        <c:manualLayout>
          <c:layoutTarget val="inner"/>
          <c:xMode val="edge"/>
          <c:yMode val="edge"/>
          <c:x val="0.10866916637616873"/>
          <c:y val="0.10840690717235768"/>
          <c:w val="0.85140801355565365"/>
          <c:h val="0.43162153222854338"/>
        </c:manualLayout>
      </c:layout>
      <c:lineChart>
        <c:grouping val="standard"/>
        <c:varyColors val="0"/>
        <c:ser>
          <c:idx val="0"/>
          <c:order val="0"/>
          <c:tx>
            <c:v>1993-2003</c:v>
          </c:tx>
          <c:cat>
            <c:numRef>
              <c:f>NNE!$A$3:$A$13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NNE!$G$3:$G$13</c:f>
              <c:numCache>
                <c:formatCode>General</c:formatCode>
                <c:ptCount val="11"/>
                <c:pt idx="0">
                  <c:v>4.4923184694088887</c:v>
                </c:pt>
                <c:pt idx="1">
                  <c:v>2.8767681097299285</c:v>
                </c:pt>
                <c:pt idx="2">
                  <c:v>0.83222687721560062</c:v>
                </c:pt>
                <c:pt idx="3">
                  <c:v>5.4826978179413913E-2</c:v>
                </c:pt>
                <c:pt idx="4">
                  <c:v>5.7141632679299781E-3</c:v>
                </c:pt>
                <c:pt idx="5">
                  <c:v>-6.4376426523089509E-4</c:v>
                </c:pt>
                <c:pt idx="6">
                  <c:v>5.0446764842060524E-2</c:v>
                </c:pt>
                <c:pt idx="7">
                  <c:v>-1.5609553046464653E-3</c:v>
                </c:pt>
                <c:pt idx="8">
                  <c:v>5.8404392010279176E-3</c:v>
                </c:pt>
                <c:pt idx="9">
                  <c:v>1.6267510167193851E-2</c:v>
                </c:pt>
                <c:pt idx="10">
                  <c:v>1.5533980582524256E-2</c:v>
                </c:pt>
              </c:numCache>
            </c:numRef>
          </c:val>
          <c:smooth val="0"/>
          <c:extLst>
            <c:ext xmlns:c16="http://schemas.microsoft.com/office/drawing/2014/chart" uri="{C3380CC4-5D6E-409C-BE32-E72D297353CC}">
              <c16:uniqueId val="{00000000-714B-42DE-B111-669B3FCADB2A}"/>
            </c:ext>
          </c:extLst>
        </c:ser>
        <c:ser>
          <c:idx val="1"/>
          <c:order val="1"/>
          <c:tx>
            <c:v>2003-2013</c:v>
          </c:tx>
          <c:cat>
            <c:numRef>
              <c:f>NNE!$A$3:$A$13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NNE!$H$3:$H$13</c:f>
              <c:numCache>
                <c:formatCode>General</c:formatCode>
                <c:ptCount val="11"/>
                <c:pt idx="0">
                  <c:v>0.53199098610664497</c:v>
                </c:pt>
                <c:pt idx="1">
                  <c:v>1.1581654522074578</c:v>
                </c:pt>
                <c:pt idx="2">
                  <c:v>1.0940380277151143</c:v>
                </c:pt>
                <c:pt idx="3">
                  <c:v>0.33520681801484775</c:v>
                </c:pt>
                <c:pt idx="4">
                  <c:v>0.21713820418134164</c:v>
                </c:pt>
                <c:pt idx="5">
                  <c:v>0.10218294609937358</c:v>
                </c:pt>
                <c:pt idx="6">
                  <c:v>8.8385496209582248E-2</c:v>
                </c:pt>
                <c:pt idx="7">
                  <c:v>2.6146001352827932E-2</c:v>
                </c:pt>
                <c:pt idx="8">
                  <c:v>1.7521317603083765E-2</c:v>
                </c:pt>
                <c:pt idx="9">
                  <c:v>1.8978761861726163E-2</c:v>
                </c:pt>
                <c:pt idx="10">
                  <c:v>0.48543689320388883</c:v>
                </c:pt>
              </c:numCache>
            </c:numRef>
          </c:val>
          <c:smooth val="0"/>
          <c:extLst>
            <c:ext xmlns:c16="http://schemas.microsoft.com/office/drawing/2014/chart" uri="{C3380CC4-5D6E-409C-BE32-E72D297353CC}">
              <c16:uniqueId val="{00000001-714B-42DE-B111-669B3FCADB2A}"/>
            </c:ext>
          </c:extLst>
        </c:ser>
        <c:ser>
          <c:idx val="2"/>
          <c:order val="2"/>
          <c:tx>
            <c:v>2013-2023</c:v>
          </c:tx>
          <c:cat>
            <c:numRef>
              <c:f>NNE!$A$3:$A$13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NNE!$I$3:$I$13</c:f>
              <c:numCache>
                <c:formatCode>General</c:formatCode>
                <c:ptCount val="11"/>
                <c:pt idx="0">
                  <c:v>0.26856939409532371</c:v>
                </c:pt>
                <c:pt idx="1">
                  <c:v>1.6311615945135021</c:v>
                </c:pt>
                <c:pt idx="2">
                  <c:v>3.5296165001611342</c:v>
                </c:pt>
                <c:pt idx="3">
                  <c:v>3.0988722356917187</c:v>
                </c:pt>
                <c:pt idx="4">
                  <c:v>2.4183053220288127</c:v>
                </c:pt>
                <c:pt idx="5">
                  <c:v>2.0868496517820572</c:v>
                </c:pt>
                <c:pt idx="6">
                  <c:v>1.7858154754089295</c:v>
                </c:pt>
                <c:pt idx="7">
                  <c:v>1.7546438420313231</c:v>
                </c:pt>
                <c:pt idx="8">
                  <c:v>1.054783319705642</c:v>
                </c:pt>
                <c:pt idx="9">
                  <c:v>1.0456394035246155</c:v>
                </c:pt>
                <c:pt idx="10">
                  <c:v>1.9728155339806037</c:v>
                </c:pt>
              </c:numCache>
            </c:numRef>
          </c:val>
          <c:smooth val="0"/>
          <c:extLst>
            <c:ext xmlns:c16="http://schemas.microsoft.com/office/drawing/2014/chart" uri="{C3380CC4-5D6E-409C-BE32-E72D297353CC}">
              <c16:uniqueId val="{00000002-714B-42DE-B111-669B3FCADB2A}"/>
            </c:ext>
          </c:extLst>
        </c:ser>
        <c:ser>
          <c:idx val="3"/>
          <c:order val="3"/>
          <c:tx>
            <c:v>1993-2023</c:v>
          </c:tx>
          <c:cat>
            <c:numRef>
              <c:f>NNE!$A$3:$A$13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NNE!$J$3:$J$13</c:f>
              <c:numCache>
                <c:formatCode>General</c:formatCode>
                <c:ptCount val="11"/>
                <c:pt idx="0">
                  <c:v>1.7642929498702966</c:v>
                </c:pt>
                <c:pt idx="1">
                  <c:v>1.8886983854836399</c:v>
                </c:pt>
                <c:pt idx="2">
                  <c:v>1.818627135030616</c:v>
                </c:pt>
                <c:pt idx="3">
                  <c:v>1.1629686772953238</c:v>
                </c:pt>
                <c:pt idx="4">
                  <c:v>0.88038589649269461</c:v>
                </c:pt>
                <c:pt idx="5">
                  <c:v>0.72946294453873317</c:v>
                </c:pt>
                <c:pt idx="6">
                  <c:v>0.64154924548685865</c:v>
                </c:pt>
                <c:pt idx="7">
                  <c:v>0.59307629602650169</c:v>
                </c:pt>
                <c:pt idx="8">
                  <c:v>0.35938169216992305</c:v>
                </c:pt>
                <c:pt idx="9">
                  <c:v>0.36029522518451584</c:v>
                </c:pt>
                <c:pt idx="10">
                  <c:v>0.82459546925566352</c:v>
                </c:pt>
              </c:numCache>
            </c:numRef>
          </c:val>
          <c:smooth val="0"/>
          <c:extLst>
            <c:ext xmlns:c16="http://schemas.microsoft.com/office/drawing/2014/chart" uri="{C3380CC4-5D6E-409C-BE32-E72D297353CC}">
              <c16:uniqueId val="{00000003-714B-42DE-B111-669B3FCADB2A}"/>
            </c:ext>
          </c:extLst>
        </c:ser>
        <c:dLbls>
          <c:showLegendKey val="0"/>
          <c:showVal val="0"/>
          <c:showCatName val="0"/>
          <c:showSerName val="0"/>
          <c:showPercent val="0"/>
          <c:showBubbleSize val="0"/>
        </c:dLbls>
        <c:marker val="1"/>
        <c:smooth val="0"/>
        <c:axId val="111544576"/>
        <c:axId val="111554944"/>
      </c:lineChart>
      <c:catAx>
        <c:axId val="111544576"/>
        <c:scaling>
          <c:orientation val="minMax"/>
        </c:scaling>
        <c:delete val="0"/>
        <c:axPos val="b"/>
        <c:title>
          <c:tx>
            <c:rich>
              <a:bodyPr/>
              <a:lstStyle/>
              <a:p>
                <a:pPr>
                  <a:defRPr/>
                </a:pPr>
                <a:r>
                  <a:rPr lang="en-US"/>
                  <a:t>Distance in km</a:t>
                </a:r>
              </a:p>
            </c:rich>
          </c:tx>
          <c:layout>
            <c:manualLayout>
              <c:xMode val="edge"/>
              <c:yMode val="edge"/>
              <c:x val="0.42606735385945893"/>
              <c:y val="0.65968315848079373"/>
            </c:manualLayout>
          </c:layout>
          <c:overlay val="0"/>
        </c:title>
        <c:numFmt formatCode="0" sourceLinked="1"/>
        <c:majorTickMark val="none"/>
        <c:minorTickMark val="none"/>
        <c:tickLblPos val="low"/>
        <c:crossAx val="111554944"/>
        <c:crosses val="autoZero"/>
        <c:auto val="1"/>
        <c:lblAlgn val="ctr"/>
        <c:lblOffset val="25"/>
        <c:noMultiLvlLbl val="0"/>
      </c:catAx>
      <c:valAx>
        <c:axId val="111554944"/>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11544576"/>
        <c:crosses val="autoZero"/>
        <c:crossBetween val="between"/>
      </c:valAx>
      <c:spPr>
        <a:noFill/>
      </c:spPr>
    </c:plotArea>
    <c:legend>
      <c:legendPos val="b"/>
      <c:layout>
        <c:manualLayout>
          <c:xMode val="edge"/>
          <c:yMode val="edge"/>
          <c:x val="9.8424156683930245E-2"/>
          <c:y val="0.78223790850786856"/>
          <c:w val="0.78448231310480454"/>
          <c:h val="0.17448043912133326"/>
        </c:manualLayout>
      </c:layout>
      <c:overlay val="0"/>
    </c:legend>
    <c:plotVisOnly val="1"/>
    <c:dispBlanksAs val="gap"/>
    <c:showDLblsOverMax val="0"/>
  </c:chart>
  <c:spPr>
    <a:ln>
      <a:noFill/>
    </a:ln>
  </c:spPr>
  <c:txPr>
    <a:bodyPr/>
    <a:lstStyle/>
    <a:p>
      <a:pPr>
        <a:defRPr sz="800">
          <a:latin typeface="Calibri Light" pitchFamily="34" charset="0"/>
          <a:cs typeface="Calibri Light"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ENE</a:t>
            </a:r>
          </a:p>
        </c:rich>
      </c:tx>
      <c:layout>
        <c:manualLayout>
          <c:xMode val="edge"/>
          <c:yMode val="edge"/>
          <c:x val="0.46675321717814372"/>
          <c:y val="6.2315918223699524E-3"/>
        </c:manualLayout>
      </c:layout>
      <c:overlay val="0"/>
    </c:title>
    <c:autoTitleDeleted val="0"/>
    <c:plotArea>
      <c:layout>
        <c:manualLayout>
          <c:layoutTarget val="inner"/>
          <c:xMode val="edge"/>
          <c:yMode val="edge"/>
          <c:x val="0.1676496479327465"/>
          <c:y val="0.12511358620868593"/>
          <c:w val="0.80427234790278357"/>
          <c:h val="0.40724643952309653"/>
        </c:manualLayout>
      </c:layout>
      <c:lineChart>
        <c:grouping val="standard"/>
        <c:varyColors val="0"/>
        <c:ser>
          <c:idx val="0"/>
          <c:order val="0"/>
          <c:tx>
            <c:v>1993-2003</c:v>
          </c:tx>
          <c:cat>
            <c:numRef>
              <c:f>ENE!$A$4:$A$14</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ENE!$G$4:$G$14</c:f>
              <c:numCache>
                <c:formatCode>General</c:formatCode>
                <c:ptCount val="11"/>
                <c:pt idx="0">
                  <c:v>4.6903958909102395</c:v>
                </c:pt>
                <c:pt idx="1">
                  <c:v>3.1053960538299612</c:v>
                </c:pt>
                <c:pt idx="2">
                  <c:v>0.90418609352690649</c:v>
                </c:pt>
                <c:pt idx="3">
                  <c:v>0.35774881773221467</c:v>
                </c:pt>
                <c:pt idx="4">
                  <c:v>8.8160767054826797E-2</c:v>
                </c:pt>
                <c:pt idx="5">
                  <c:v>0.11807061232236205</c:v>
                </c:pt>
                <c:pt idx="6">
                  <c:v>7.5734061704637423E-2</c:v>
                </c:pt>
                <c:pt idx="7">
                  <c:v>1.6851227732306222E-2</c:v>
                </c:pt>
                <c:pt idx="8">
                  <c:v>-1.6412210684749455E-2</c:v>
                </c:pt>
                <c:pt idx="9">
                  <c:v>-8.6780445472953768E-3</c:v>
                </c:pt>
                <c:pt idx="10">
                  <c:v>-0.19312695257029291</c:v>
                </c:pt>
              </c:numCache>
            </c:numRef>
          </c:val>
          <c:smooth val="0"/>
          <c:extLst>
            <c:ext xmlns:c16="http://schemas.microsoft.com/office/drawing/2014/chart" uri="{C3380CC4-5D6E-409C-BE32-E72D297353CC}">
              <c16:uniqueId val="{00000000-77A8-4F86-AB26-BC655E3ECABD}"/>
            </c:ext>
          </c:extLst>
        </c:ser>
        <c:ser>
          <c:idx val="1"/>
          <c:order val="1"/>
          <c:tx>
            <c:v>2003-2013</c:v>
          </c:tx>
          <c:cat>
            <c:numRef>
              <c:f>ENE!$A$4:$A$14</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ENE!$H$4:$H$14</c:f>
              <c:numCache>
                <c:formatCode>General</c:formatCode>
                <c:ptCount val="11"/>
                <c:pt idx="0">
                  <c:v>0.52141593982300849</c:v>
                </c:pt>
                <c:pt idx="1">
                  <c:v>0.35340451970262254</c:v>
                </c:pt>
                <c:pt idx="2">
                  <c:v>0.67586520601949684</c:v>
                </c:pt>
                <c:pt idx="3">
                  <c:v>0.6126132630591018</c:v>
                </c:pt>
                <c:pt idx="4">
                  <c:v>0.37327942611271381</c:v>
                </c:pt>
                <c:pt idx="5">
                  <c:v>0.25816803639312375</c:v>
                </c:pt>
                <c:pt idx="6">
                  <c:v>-0.11189397231361425</c:v>
                </c:pt>
                <c:pt idx="7">
                  <c:v>0.11586802827965439</c:v>
                </c:pt>
                <c:pt idx="8">
                  <c:v>0.11960898908788142</c:v>
                </c:pt>
                <c:pt idx="9">
                  <c:v>0.19188120721241925</c:v>
                </c:pt>
                <c:pt idx="10">
                  <c:v>4.0471456972451005E-2</c:v>
                </c:pt>
              </c:numCache>
            </c:numRef>
          </c:val>
          <c:smooth val="0"/>
          <c:extLst>
            <c:ext xmlns:c16="http://schemas.microsoft.com/office/drawing/2014/chart" uri="{C3380CC4-5D6E-409C-BE32-E72D297353CC}">
              <c16:uniqueId val="{00000001-77A8-4F86-AB26-BC655E3ECABD}"/>
            </c:ext>
          </c:extLst>
        </c:ser>
        <c:ser>
          <c:idx val="2"/>
          <c:order val="2"/>
          <c:tx>
            <c:v>2013-2023</c:v>
          </c:tx>
          <c:cat>
            <c:numRef>
              <c:f>ENE!$A$4:$A$14</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ENE!$I$4:$I$14</c:f>
              <c:numCache>
                <c:formatCode>General</c:formatCode>
                <c:ptCount val="11"/>
                <c:pt idx="0">
                  <c:v>0.70258318002527953</c:v>
                </c:pt>
                <c:pt idx="1">
                  <c:v>3.2610939112487101</c:v>
                </c:pt>
                <c:pt idx="2">
                  <c:v>3.3009868213234275</c:v>
                </c:pt>
                <c:pt idx="3">
                  <c:v>3.0805747084943089</c:v>
                </c:pt>
                <c:pt idx="4">
                  <c:v>2.2659984417444052</c:v>
                </c:pt>
                <c:pt idx="5">
                  <c:v>2.3398455247614391</c:v>
                </c:pt>
                <c:pt idx="6">
                  <c:v>2.7529124505969746</c:v>
                </c:pt>
                <c:pt idx="7">
                  <c:v>2.2407064845551532</c:v>
                </c:pt>
                <c:pt idx="8">
                  <c:v>1.4859055137021839</c:v>
                </c:pt>
                <c:pt idx="9">
                  <c:v>1.7533782387701866</c:v>
                </c:pt>
                <c:pt idx="10">
                  <c:v>1.7090315251349038</c:v>
                </c:pt>
              </c:numCache>
            </c:numRef>
          </c:val>
          <c:smooth val="0"/>
          <c:extLst>
            <c:ext xmlns:c16="http://schemas.microsoft.com/office/drawing/2014/chart" uri="{C3380CC4-5D6E-409C-BE32-E72D297353CC}">
              <c16:uniqueId val="{00000002-77A8-4F86-AB26-BC655E3ECABD}"/>
            </c:ext>
          </c:extLst>
        </c:ser>
        <c:ser>
          <c:idx val="3"/>
          <c:order val="3"/>
          <c:tx>
            <c:v>1993-2023</c:v>
          </c:tx>
          <c:cat>
            <c:numRef>
              <c:f>ENE!$A$4:$A$14</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ENE!$J$4:$J$14</c:f>
              <c:numCache>
                <c:formatCode>General</c:formatCode>
                <c:ptCount val="11"/>
                <c:pt idx="0">
                  <c:v>1.971465003586178</c:v>
                </c:pt>
                <c:pt idx="1">
                  <c:v>2.2399648282604292</c:v>
                </c:pt>
                <c:pt idx="2">
                  <c:v>1.6270127069566191</c:v>
                </c:pt>
                <c:pt idx="3">
                  <c:v>1.3503122630951951</c:v>
                </c:pt>
                <c:pt idx="4">
                  <c:v>0.90914621163731479</c:v>
                </c:pt>
                <c:pt idx="5">
                  <c:v>0.90536139115898606</c:v>
                </c:pt>
                <c:pt idx="6">
                  <c:v>0.90558417999599217</c:v>
                </c:pt>
                <c:pt idx="7">
                  <c:v>0.79114191352237884</c:v>
                </c:pt>
                <c:pt idx="8">
                  <c:v>0.5297007640351088</c:v>
                </c:pt>
                <c:pt idx="9">
                  <c:v>0.64552713381177362</c:v>
                </c:pt>
                <c:pt idx="10">
                  <c:v>0.51879200984568752</c:v>
                </c:pt>
              </c:numCache>
            </c:numRef>
          </c:val>
          <c:smooth val="0"/>
          <c:extLst>
            <c:ext xmlns:c16="http://schemas.microsoft.com/office/drawing/2014/chart" uri="{C3380CC4-5D6E-409C-BE32-E72D297353CC}">
              <c16:uniqueId val="{00000003-77A8-4F86-AB26-BC655E3ECABD}"/>
            </c:ext>
          </c:extLst>
        </c:ser>
        <c:dLbls>
          <c:showLegendKey val="0"/>
          <c:showVal val="0"/>
          <c:showCatName val="0"/>
          <c:showSerName val="0"/>
          <c:showPercent val="0"/>
          <c:showBubbleSize val="0"/>
        </c:dLbls>
        <c:marker val="1"/>
        <c:smooth val="0"/>
        <c:axId val="111581824"/>
        <c:axId val="111600384"/>
      </c:lineChart>
      <c:catAx>
        <c:axId val="111581824"/>
        <c:scaling>
          <c:orientation val="minMax"/>
        </c:scaling>
        <c:delete val="0"/>
        <c:axPos val="b"/>
        <c:title>
          <c:tx>
            <c:rich>
              <a:bodyPr/>
              <a:lstStyle/>
              <a:p>
                <a:pPr>
                  <a:defRPr/>
                </a:pPr>
                <a:r>
                  <a:rPr lang="en-US"/>
                  <a:t>Distance in km </a:t>
                </a:r>
              </a:p>
            </c:rich>
          </c:tx>
          <c:layout>
            <c:manualLayout>
              <c:xMode val="edge"/>
              <c:yMode val="edge"/>
              <c:x val="0.42748281459786847"/>
              <c:y val="0.70425196457579664"/>
            </c:manualLayout>
          </c:layout>
          <c:overlay val="0"/>
        </c:title>
        <c:numFmt formatCode="0" sourceLinked="1"/>
        <c:majorTickMark val="none"/>
        <c:minorTickMark val="none"/>
        <c:tickLblPos val="low"/>
        <c:crossAx val="111600384"/>
        <c:crosses val="autoZero"/>
        <c:auto val="1"/>
        <c:lblAlgn val="ctr"/>
        <c:lblOffset val="25"/>
        <c:noMultiLvlLbl val="0"/>
      </c:catAx>
      <c:valAx>
        <c:axId val="111600384"/>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11581824"/>
        <c:crosses val="autoZero"/>
        <c:crossBetween val="between"/>
      </c:valAx>
    </c:plotArea>
    <c:legend>
      <c:legendPos val="b"/>
      <c:layout>
        <c:manualLayout>
          <c:xMode val="edge"/>
          <c:yMode val="edge"/>
          <c:x val="0.15534475208404094"/>
          <c:y val="0.79626405811049461"/>
          <c:w val="0.7941614868799951"/>
          <c:h val="0.14433876863371917"/>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ESE</a:t>
            </a:r>
          </a:p>
        </c:rich>
      </c:tx>
      <c:overlay val="0"/>
    </c:title>
    <c:autoTitleDeleted val="0"/>
    <c:plotArea>
      <c:layout>
        <c:manualLayout>
          <c:layoutTarget val="inner"/>
          <c:xMode val="edge"/>
          <c:yMode val="edge"/>
          <c:x val="0.17731150021721792"/>
          <c:y val="0.14897292058672501"/>
          <c:w val="0.72202305766634156"/>
          <c:h val="0.49787266677218223"/>
        </c:manualLayout>
      </c:layout>
      <c:lineChart>
        <c:grouping val="standard"/>
        <c:varyColors val="0"/>
        <c:ser>
          <c:idx val="0"/>
          <c:order val="0"/>
          <c:tx>
            <c:v>1993-2003</c:v>
          </c:tx>
          <c:cat>
            <c:numRef>
              <c:f>ESE!$A$3:$A$13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ESE!$G$3:$G$13</c:f>
              <c:numCache>
                <c:formatCode>General</c:formatCode>
                <c:ptCount val="11"/>
                <c:pt idx="0">
                  <c:v>5.3549641637368941</c:v>
                </c:pt>
                <c:pt idx="1">
                  <c:v>4.2193330284603734</c:v>
                </c:pt>
                <c:pt idx="2">
                  <c:v>0.86137162213403595</c:v>
                </c:pt>
                <c:pt idx="3">
                  <c:v>0.70362011374921063</c:v>
                </c:pt>
                <c:pt idx="4">
                  <c:v>0.32145795102196095</c:v>
                </c:pt>
                <c:pt idx="5">
                  <c:v>0.20554456062707471</c:v>
                </c:pt>
                <c:pt idx="6">
                  <c:v>0.19083632696792091</c:v>
                </c:pt>
                <c:pt idx="7">
                  <c:v>0.2110536522301229</c:v>
                </c:pt>
                <c:pt idx="8">
                  <c:v>-1.1194029850746271E-2</c:v>
                </c:pt>
                <c:pt idx="9">
                  <c:v>0</c:v>
                </c:pt>
                <c:pt idx="10">
                  <c:v>0</c:v>
                </c:pt>
              </c:numCache>
            </c:numRef>
          </c:val>
          <c:smooth val="0"/>
          <c:extLst>
            <c:ext xmlns:c16="http://schemas.microsoft.com/office/drawing/2014/chart" uri="{C3380CC4-5D6E-409C-BE32-E72D297353CC}">
              <c16:uniqueId val="{00000000-12D3-47B2-8BCD-9985A9EB49A3}"/>
            </c:ext>
          </c:extLst>
        </c:ser>
        <c:ser>
          <c:idx val="1"/>
          <c:order val="1"/>
          <c:tx>
            <c:v>2003-2013</c:v>
          </c:tx>
          <c:cat>
            <c:numRef>
              <c:f>ESE!$A$3:$A$13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ESE!$H$3:$H$13</c:f>
              <c:numCache>
                <c:formatCode>General</c:formatCode>
                <c:ptCount val="11"/>
                <c:pt idx="0">
                  <c:v>0.37078125026873326</c:v>
                </c:pt>
                <c:pt idx="1">
                  <c:v>0.58589306029579014</c:v>
                </c:pt>
                <c:pt idx="2">
                  <c:v>1.252812255112606</c:v>
                </c:pt>
                <c:pt idx="3">
                  <c:v>0.57768348830910965</c:v>
                </c:pt>
                <c:pt idx="4">
                  <c:v>0.4366962672347785</c:v>
                </c:pt>
                <c:pt idx="5">
                  <c:v>0.5444827102585279</c:v>
                </c:pt>
                <c:pt idx="6">
                  <c:v>0.66931366988088481</c:v>
                </c:pt>
                <c:pt idx="7">
                  <c:v>0.29508726567550525</c:v>
                </c:pt>
                <c:pt idx="8">
                  <c:v>0.24253731343283824</c:v>
                </c:pt>
                <c:pt idx="9">
                  <c:v>0</c:v>
                </c:pt>
                <c:pt idx="10">
                  <c:v>0</c:v>
                </c:pt>
              </c:numCache>
            </c:numRef>
          </c:val>
          <c:smooth val="0"/>
          <c:extLst>
            <c:ext xmlns:c16="http://schemas.microsoft.com/office/drawing/2014/chart" uri="{C3380CC4-5D6E-409C-BE32-E72D297353CC}">
              <c16:uniqueId val="{00000001-12D3-47B2-8BCD-9985A9EB49A3}"/>
            </c:ext>
          </c:extLst>
        </c:ser>
        <c:ser>
          <c:idx val="2"/>
          <c:order val="2"/>
          <c:tx>
            <c:v>2013-2023</c:v>
          </c:tx>
          <c:cat>
            <c:numRef>
              <c:f>ESE!$A$3:$A$13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ESE!$I$3:$I$13</c:f>
              <c:numCache>
                <c:formatCode>General</c:formatCode>
                <c:ptCount val="11"/>
                <c:pt idx="0">
                  <c:v>0.2648830723363878</c:v>
                </c:pt>
                <c:pt idx="1">
                  <c:v>2.1826149243669151</c:v>
                </c:pt>
                <c:pt idx="2">
                  <c:v>2.7388204959680467</c:v>
                </c:pt>
                <c:pt idx="3">
                  <c:v>1.8662995395865445</c:v>
                </c:pt>
                <c:pt idx="4">
                  <c:v>2.2204644687717612</c:v>
                </c:pt>
                <c:pt idx="5">
                  <c:v>2.4205638060806276</c:v>
                </c:pt>
                <c:pt idx="6">
                  <c:v>2.5230982542383602</c:v>
                </c:pt>
                <c:pt idx="7">
                  <c:v>2.5850032320620602</c:v>
                </c:pt>
                <c:pt idx="8">
                  <c:v>0.80597014925373134</c:v>
                </c:pt>
                <c:pt idx="9">
                  <c:v>0</c:v>
                </c:pt>
                <c:pt idx="10">
                  <c:v>0</c:v>
                </c:pt>
              </c:numCache>
            </c:numRef>
          </c:val>
          <c:smooth val="0"/>
          <c:extLst>
            <c:ext xmlns:c16="http://schemas.microsoft.com/office/drawing/2014/chart" uri="{C3380CC4-5D6E-409C-BE32-E72D297353CC}">
              <c16:uniqueId val="{00000002-12D3-47B2-8BCD-9985A9EB49A3}"/>
            </c:ext>
          </c:extLst>
        </c:ser>
        <c:ser>
          <c:idx val="3"/>
          <c:order val="3"/>
          <c:tx>
            <c:v>1993-2023</c:v>
          </c:tx>
          <c:cat>
            <c:numRef>
              <c:f>ESE!$A$3:$A$13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ESE!$J$3:$J$13</c:f>
              <c:numCache>
                <c:formatCode>General</c:formatCode>
                <c:ptCount val="11"/>
                <c:pt idx="0">
                  <c:v>1.9968761621140267</c:v>
                </c:pt>
                <c:pt idx="1">
                  <c:v>2.3292803377076932</c:v>
                </c:pt>
                <c:pt idx="2">
                  <c:v>1.617668124404898</c:v>
                </c:pt>
                <c:pt idx="3">
                  <c:v>1.04920104721493</c:v>
                </c:pt>
                <c:pt idx="4">
                  <c:v>0.99287289567616077</c:v>
                </c:pt>
                <c:pt idx="5">
                  <c:v>1.0568636923220569</c:v>
                </c:pt>
                <c:pt idx="6">
                  <c:v>1.1277494170290396</c:v>
                </c:pt>
                <c:pt idx="7">
                  <c:v>1.0303813833225599</c:v>
                </c:pt>
                <c:pt idx="8">
                  <c:v>0.34577114427860695</c:v>
                </c:pt>
                <c:pt idx="9">
                  <c:v>0</c:v>
                </c:pt>
                <c:pt idx="10">
                  <c:v>0</c:v>
                </c:pt>
              </c:numCache>
            </c:numRef>
          </c:val>
          <c:smooth val="0"/>
          <c:extLst>
            <c:ext xmlns:c16="http://schemas.microsoft.com/office/drawing/2014/chart" uri="{C3380CC4-5D6E-409C-BE32-E72D297353CC}">
              <c16:uniqueId val="{00000003-12D3-47B2-8BCD-9985A9EB49A3}"/>
            </c:ext>
          </c:extLst>
        </c:ser>
        <c:dLbls>
          <c:showLegendKey val="0"/>
          <c:showVal val="0"/>
          <c:showCatName val="0"/>
          <c:showSerName val="0"/>
          <c:showPercent val="0"/>
          <c:showBubbleSize val="0"/>
        </c:dLbls>
        <c:marker val="1"/>
        <c:smooth val="0"/>
        <c:axId val="111705088"/>
        <c:axId val="111711360"/>
      </c:lineChart>
      <c:catAx>
        <c:axId val="111705088"/>
        <c:scaling>
          <c:orientation val="minMax"/>
        </c:scaling>
        <c:delete val="0"/>
        <c:axPos val="b"/>
        <c:title>
          <c:tx>
            <c:rich>
              <a:bodyPr/>
              <a:lstStyle/>
              <a:p>
                <a:pPr>
                  <a:defRPr/>
                </a:pPr>
                <a:r>
                  <a:rPr lang="en-US"/>
                  <a:t>Distance in km</a:t>
                </a:r>
              </a:p>
            </c:rich>
          </c:tx>
          <c:layout>
            <c:manualLayout>
              <c:xMode val="edge"/>
              <c:yMode val="edge"/>
              <c:x val="0.41920982559513209"/>
              <c:y val="0.74643604518250617"/>
            </c:manualLayout>
          </c:layout>
          <c:overlay val="0"/>
        </c:title>
        <c:numFmt formatCode="0" sourceLinked="1"/>
        <c:majorTickMark val="none"/>
        <c:minorTickMark val="none"/>
        <c:tickLblPos val="low"/>
        <c:crossAx val="111711360"/>
        <c:crosses val="autoZero"/>
        <c:auto val="1"/>
        <c:lblAlgn val="ctr"/>
        <c:lblOffset val="25"/>
        <c:noMultiLvlLbl val="0"/>
      </c:catAx>
      <c:valAx>
        <c:axId val="111711360"/>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11705088"/>
        <c:crosses val="autoZero"/>
        <c:crossBetween val="between"/>
      </c:valAx>
    </c:plotArea>
    <c:legend>
      <c:legendPos val="b"/>
      <c:layout>
        <c:manualLayout>
          <c:xMode val="edge"/>
          <c:yMode val="edge"/>
          <c:x val="4.1341041856198413E-2"/>
          <c:y val="0.83754745589508262"/>
          <c:w val="0.89120014467337971"/>
          <c:h val="0.15644862844403398"/>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SSE</a:t>
            </a:r>
          </a:p>
        </c:rich>
      </c:tx>
      <c:layout>
        <c:manualLayout>
          <c:xMode val="edge"/>
          <c:yMode val="edge"/>
          <c:x val="0.45590252644120111"/>
          <c:y val="2.2603669752975918E-2"/>
        </c:manualLayout>
      </c:layout>
      <c:overlay val="0"/>
    </c:title>
    <c:autoTitleDeleted val="0"/>
    <c:plotArea>
      <c:layout>
        <c:manualLayout>
          <c:layoutTarget val="inner"/>
          <c:xMode val="edge"/>
          <c:yMode val="edge"/>
          <c:x val="0.20488912093541181"/>
          <c:y val="0.12438628223587472"/>
          <c:w val="0.74920895694031464"/>
          <c:h val="0.45356193613596368"/>
        </c:manualLayout>
      </c:layout>
      <c:lineChart>
        <c:grouping val="standard"/>
        <c:varyColors val="0"/>
        <c:ser>
          <c:idx val="0"/>
          <c:order val="0"/>
          <c:tx>
            <c:v>1993-2003</c:v>
          </c:tx>
          <c:cat>
            <c:numRef>
              <c:f>SSE!$A$3:$A$13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SSE!$G$3:$G$13</c:f>
              <c:numCache>
                <c:formatCode>General</c:formatCode>
                <c:ptCount val="11"/>
                <c:pt idx="0">
                  <c:v>5.2574312620290655</c:v>
                </c:pt>
                <c:pt idx="1">
                  <c:v>6.3816480788964798</c:v>
                </c:pt>
                <c:pt idx="2">
                  <c:v>4.5524366330161845</c:v>
                </c:pt>
                <c:pt idx="3">
                  <c:v>2.6019460847956877</c:v>
                </c:pt>
                <c:pt idx="4">
                  <c:v>2.2181423309861521</c:v>
                </c:pt>
                <c:pt idx="5">
                  <c:v>0.7911961170647317</c:v>
                </c:pt>
                <c:pt idx="6">
                  <c:v>0.21128577769061652</c:v>
                </c:pt>
                <c:pt idx="7">
                  <c:v>0.27856736782263075</c:v>
                </c:pt>
                <c:pt idx="8">
                  <c:v>0</c:v>
                </c:pt>
                <c:pt idx="9">
                  <c:v>0</c:v>
                </c:pt>
                <c:pt idx="10">
                  <c:v>0</c:v>
                </c:pt>
              </c:numCache>
            </c:numRef>
          </c:val>
          <c:smooth val="0"/>
          <c:extLst>
            <c:ext xmlns:c16="http://schemas.microsoft.com/office/drawing/2014/chart" uri="{C3380CC4-5D6E-409C-BE32-E72D297353CC}">
              <c16:uniqueId val="{00000000-E160-4619-B46B-AC34C859336F}"/>
            </c:ext>
          </c:extLst>
        </c:ser>
        <c:ser>
          <c:idx val="1"/>
          <c:order val="1"/>
          <c:tx>
            <c:v>2003-2013</c:v>
          </c:tx>
          <c:cat>
            <c:numRef>
              <c:f>SSE!$A$3:$A$13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SSE!$H$3:$H$13</c:f>
              <c:numCache>
                <c:formatCode>General</c:formatCode>
                <c:ptCount val="11"/>
                <c:pt idx="0">
                  <c:v>0.39158590393609255</c:v>
                </c:pt>
                <c:pt idx="1">
                  <c:v>0.18286915396742201</c:v>
                </c:pt>
                <c:pt idx="2">
                  <c:v>0.19790834483259762</c:v>
                </c:pt>
                <c:pt idx="3">
                  <c:v>0.19405006212394085</c:v>
                </c:pt>
                <c:pt idx="4">
                  <c:v>0.22546374556405141</c:v>
                </c:pt>
                <c:pt idx="5">
                  <c:v>0.91960209524724856</c:v>
                </c:pt>
                <c:pt idx="6">
                  <c:v>0.71178638151172047</c:v>
                </c:pt>
                <c:pt idx="7">
                  <c:v>0.53845529115568913</c:v>
                </c:pt>
                <c:pt idx="8">
                  <c:v>0</c:v>
                </c:pt>
                <c:pt idx="9">
                  <c:v>0</c:v>
                </c:pt>
                <c:pt idx="10">
                  <c:v>0</c:v>
                </c:pt>
              </c:numCache>
            </c:numRef>
          </c:val>
          <c:smooth val="0"/>
          <c:extLst>
            <c:ext xmlns:c16="http://schemas.microsoft.com/office/drawing/2014/chart" uri="{C3380CC4-5D6E-409C-BE32-E72D297353CC}">
              <c16:uniqueId val="{00000001-E160-4619-B46B-AC34C859336F}"/>
            </c:ext>
          </c:extLst>
        </c:ser>
        <c:ser>
          <c:idx val="2"/>
          <c:order val="2"/>
          <c:tx>
            <c:v>2013-2023</c:v>
          </c:tx>
          <c:cat>
            <c:numRef>
              <c:f>SSE!$A$3:$A$13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SSE!$I$3:$I$13</c:f>
              <c:numCache>
                <c:formatCode>General</c:formatCode>
                <c:ptCount val="11"/>
                <c:pt idx="0">
                  <c:v>-9.4863688620414922E-3</c:v>
                </c:pt>
                <c:pt idx="1">
                  <c:v>1.179978980557016</c:v>
                </c:pt>
                <c:pt idx="2">
                  <c:v>1.4723291451812048</c:v>
                </c:pt>
                <c:pt idx="3">
                  <c:v>2.4906814088872142</c:v>
                </c:pt>
                <c:pt idx="4">
                  <c:v>1.94510058548927</c:v>
                </c:pt>
                <c:pt idx="5">
                  <c:v>2.2952568600124952</c:v>
                </c:pt>
                <c:pt idx="6">
                  <c:v>2.2772829082501582</c:v>
                </c:pt>
                <c:pt idx="7">
                  <c:v>1.8037846178835268</c:v>
                </c:pt>
                <c:pt idx="8">
                  <c:v>0</c:v>
                </c:pt>
                <c:pt idx="9">
                  <c:v>0</c:v>
                </c:pt>
                <c:pt idx="10">
                  <c:v>0</c:v>
                </c:pt>
              </c:numCache>
            </c:numRef>
          </c:val>
          <c:smooth val="0"/>
          <c:extLst>
            <c:ext xmlns:c16="http://schemas.microsoft.com/office/drawing/2014/chart" uri="{C3380CC4-5D6E-409C-BE32-E72D297353CC}">
              <c16:uniqueId val="{00000002-E160-4619-B46B-AC34C859336F}"/>
            </c:ext>
          </c:extLst>
        </c:ser>
        <c:ser>
          <c:idx val="3"/>
          <c:order val="3"/>
          <c:tx>
            <c:v>1993-2023</c:v>
          </c:tx>
          <c:cat>
            <c:numRef>
              <c:f>SSE!$A$3:$A$13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SSE!$J$3:$J$13</c:f>
              <c:numCache>
                <c:formatCode>General</c:formatCode>
                <c:ptCount val="11"/>
                <c:pt idx="0">
                  <c:v>1.8798435990343814</c:v>
                </c:pt>
                <c:pt idx="1">
                  <c:v>2.5814987378069802</c:v>
                </c:pt>
                <c:pt idx="2">
                  <c:v>2.0742247076766938</c:v>
                </c:pt>
                <c:pt idx="3">
                  <c:v>1.7622258519356144</c:v>
                </c:pt>
                <c:pt idx="4">
                  <c:v>1.4629022206798246</c:v>
                </c:pt>
                <c:pt idx="5">
                  <c:v>1.3353516907748137</c:v>
                </c:pt>
                <c:pt idx="6">
                  <c:v>1.0667850224841644</c:v>
                </c:pt>
                <c:pt idx="7">
                  <c:v>0.87360242562061785</c:v>
                </c:pt>
                <c:pt idx="8">
                  <c:v>0</c:v>
                </c:pt>
                <c:pt idx="9">
                  <c:v>0</c:v>
                </c:pt>
                <c:pt idx="10">
                  <c:v>0</c:v>
                </c:pt>
              </c:numCache>
            </c:numRef>
          </c:val>
          <c:smooth val="0"/>
          <c:extLst>
            <c:ext xmlns:c16="http://schemas.microsoft.com/office/drawing/2014/chart" uri="{C3380CC4-5D6E-409C-BE32-E72D297353CC}">
              <c16:uniqueId val="{00000003-E160-4619-B46B-AC34C859336F}"/>
            </c:ext>
          </c:extLst>
        </c:ser>
        <c:dLbls>
          <c:showLegendKey val="0"/>
          <c:showVal val="0"/>
          <c:showCatName val="0"/>
          <c:showSerName val="0"/>
          <c:showPercent val="0"/>
          <c:showBubbleSize val="0"/>
        </c:dLbls>
        <c:marker val="1"/>
        <c:smooth val="0"/>
        <c:axId val="111746432"/>
        <c:axId val="111764992"/>
      </c:lineChart>
      <c:catAx>
        <c:axId val="111746432"/>
        <c:scaling>
          <c:orientation val="minMax"/>
        </c:scaling>
        <c:delete val="0"/>
        <c:axPos val="b"/>
        <c:title>
          <c:tx>
            <c:rich>
              <a:bodyPr/>
              <a:lstStyle/>
              <a:p>
                <a:pPr>
                  <a:defRPr/>
                </a:pPr>
                <a:r>
                  <a:rPr lang="en-US"/>
                  <a:t>Distance in km</a:t>
                </a:r>
              </a:p>
            </c:rich>
          </c:tx>
          <c:layout>
            <c:manualLayout>
              <c:xMode val="edge"/>
              <c:yMode val="edge"/>
              <c:x val="0.45817691824182488"/>
              <c:y val="0.68403795801458633"/>
            </c:manualLayout>
          </c:layout>
          <c:overlay val="0"/>
        </c:title>
        <c:numFmt formatCode="0" sourceLinked="1"/>
        <c:majorTickMark val="none"/>
        <c:minorTickMark val="none"/>
        <c:tickLblPos val="low"/>
        <c:crossAx val="111764992"/>
        <c:crosses val="autoZero"/>
        <c:auto val="1"/>
        <c:lblAlgn val="ctr"/>
        <c:lblOffset val="25"/>
        <c:noMultiLvlLbl val="0"/>
      </c:catAx>
      <c:valAx>
        <c:axId val="111764992"/>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11746432"/>
        <c:crosses val="autoZero"/>
        <c:crossBetween val="between"/>
      </c:valAx>
    </c:plotArea>
    <c:legend>
      <c:legendPos val="b"/>
      <c:layout>
        <c:manualLayout>
          <c:xMode val="edge"/>
          <c:yMode val="edge"/>
          <c:x val="2.1184510999030678E-2"/>
          <c:y val="0.81699236600796032"/>
          <c:w val="0.94172895891176134"/>
          <c:h val="0.18129658255366779"/>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WSW</a:t>
            </a:r>
          </a:p>
        </c:rich>
      </c:tx>
      <c:overlay val="0"/>
    </c:title>
    <c:autoTitleDeleted val="0"/>
    <c:plotArea>
      <c:layout>
        <c:manualLayout>
          <c:layoutTarget val="inner"/>
          <c:xMode val="edge"/>
          <c:yMode val="edge"/>
          <c:x val="0.15044400699912652"/>
          <c:y val="0.14265048118985141"/>
          <c:w val="0.74187507811523912"/>
          <c:h val="0.41122965879265244"/>
        </c:manualLayout>
      </c:layout>
      <c:lineChart>
        <c:grouping val="standard"/>
        <c:varyColors val="0"/>
        <c:ser>
          <c:idx val="0"/>
          <c:order val="0"/>
          <c:tx>
            <c:v>1993-2003</c:v>
          </c:tx>
          <c:cat>
            <c:numRef>
              <c:f>WSW!$A$3:$A$13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WSW!$G$3:$G$13</c:f>
              <c:numCache>
                <c:formatCode>General</c:formatCode>
                <c:ptCount val="11"/>
                <c:pt idx="0">
                  <c:v>1.3424379438871481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9120-4FDE-9746-F10AC043E536}"/>
            </c:ext>
          </c:extLst>
        </c:ser>
        <c:ser>
          <c:idx val="1"/>
          <c:order val="1"/>
          <c:tx>
            <c:v>2003-2013</c:v>
          </c:tx>
          <c:cat>
            <c:numRef>
              <c:f>WSW!$A$3:$A$13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WSW!$H$3:$H$13</c:f>
              <c:numCache>
                <c:formatCode>General</c:formatCode>
                <c:ptCount val="11"/>
                <c:pt idx="0">
                  <c:v>-1.3558142633256895E-4</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1-9120-4FDE-9746-F10AC043E536}"/>
            </c:ext>
          </c:extLst>
        </c:ser>
        <c:ser>
          <c:idx val="2"/>
          <c:order val="2"/>
          <c:tx>
            <c:v>2013-2023</c:v>
          </c:tx>
          <c:cat>
            <c:numRef>
              <c:f>WSW!$A$3:$A$13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WSW!$I$3:$I$13</c:f>
              <c:numCache>
                <c:formatCode>General</c:formatCode>
                <c:ptCount val="11"/>
                <c:pt idx="0">
                  <c:v>0.26100296465517281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2-9120-4FDE-9746-F10AC043E536}"/>
            </c:ext>
          </c:extLst>
        </c:ser>
        <c:ser>
          <c:idx val="3"/>
          <c:order val="3"/>
          <c:tx>
            <c:v>1993-2023</c:v>
          </c:tx>
          <c:cat>
            <c:numRef>
              <c:f>WSW!$A$3:$A$13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WSW!$J$3:$J$13</c:f>
              <c:numCache>
                <c:formatCode>General</c:formatCode>
                <c:ptCount val="11"/>
                <c:pt idx="0">
                  <c:v>0.5344351090386561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3-9120-4FDE-9746-F10AC043E536}"/>
            </c:ext>
          </c:extLst>
        </c:ser>
        <c:dLbls>
          <c:showLegendKey val="0"/>
          <c:showVal val="0"/>
          <c:showCatName val="0"/>
          <c:showSerName val="0"/>
          <c:showPercent val="0"/>
          <c:showBubbleSize val="0"/>
        </c:dLbls>
        <c:marker val="1"/>
        <c:smooth val="0"/>
        <c:axId val="111808512"/>
        <c:axId val="111810432"/>
      </c:lineChart>
      <c:catAx>
        <c:axId val="111808512"/>
        <c:scaling>
          <c:orientation val="minMax"/>
        </c:scaling>
        <c:delete val="0"/>
        <c:axPos val="b"/>
        <c:title>
          <c:tx>
            <c:rich>
              <a:bodyPr/>
              <a:lstStyle/>
              <a:p>
                <a:pPr>
                  <a:defRPr/>
                </a:pPr>
                <a:r>
                  <a:rPr lang="en-US"/>
                  <a:t>Distance in km</a:t>
                </a:r>
              </a:p>
            </c:rich>
          </c:tx>
          <c:layout>
            <c:manualLayout>
              <c:xMode val="edge"/>
              <c:yMode val="edge"/>
              <c:x val="0.41002968378952853"/>
              <c:y val="0.62660411198600174"/>
            </c:manualLayout>
          </c:layout>
          <c:overlay val="0"/>
        </c:title>
        <c:numFmt formatCode="0" sourceLinked="1"/>
        <c:majorTickMark val="none"/>
        <c:minorTickMark val="none"/>
        <c:tickLblPos val="low"/>
        <c:crossAx val="111810432"/>
        <c:crosses val="autoZero"/>
        <c:auto val="1"/>
        <c:lblAlgn val="ctr"/>
        <c:lblOffset val="20"/>
        <c:noMultiLvlLbl val="0"/>
      </c:catAx>
      <c:valAx>
        <c:axId val="111810432"/>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11808512"/>
        <c:crosses val="autoZero"/>
        <c:crossBetween val="between"/>
      </c:valAx>
    </c:plotArea>
    <c:legend>
      <c:legendPos val="b"/>
      <c:layout>
        <c:manualLayout>
          <c:xMode val="edge"/>
          <c:yMode val="edge"/>
          <c:x val="4.3812023497062882E-2"/>
          <c:y val="0.75743880096812688"/>
          <c:w val="0.91587301587301584"/>
          <c:h val="0.20979440069991348"/>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SSW</a:t>
            </a:r>
          </a:p>
        </c:rich>
      </c:tx>
      <c:layout>
        <c:manualLayout>
          <c:xMode val="edge"/>
          <c:yMode val="edge"/>
          <c:x val="0.50234627953840461"/>
          <c:y val="0"/>
        </c:manualLayout>
      </c:layout>
      <c:overlay val="0"/>
    </c:title>
    <c:autoTitleDeleted val="0"/>
    <c:plotArea>
      <c:layout>
        <c:manualLayout>
          <c:layoutTarget val="inner"/>
          <c:xMode val="edge"/>
          <c:yMode val="edge"/>
          <c:x val="0.13459715639810441"/>
          <c:y val="0.13428410303255278"/>
          <c:w val="0.77346562563680765"/>
          <c:h val="0.46239487448802186"/>
        </c:manualLayout>
      </c:layout>
      <c:lineChart>
        <c:grouping val="standard"/>
        <c:varyColors val="0"/>
        <c:ser>
          <c:idx val="0"/>
          <c:order val="0"/>
          <c:tx>
            <c:v>1993-2003</c:v>
          </c:tx>
          <c:cat>
            <c:numRef>
              <c:f>SSW!$A$3:$A$13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SSW!$G$3:$G$13</c:f>
              <c:numCache>
                <c:formatCode>General</c:formatCode>
                <c:ptCount val="11"/>
                <c:pt idx="0">
                  <c:v>2.1043904941696541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896C-49C4-93FD-7C351AB2B611}"/>
            </c:ext>
          </c:extLst>
        </c:ser>
        <c:ser>
          <c:idx val="1"/>
          <c:order val="1"/>
          <c:tx>
            <c:v>2003-2013</c:v>
          </c:tx>
          <c:cat>
            <c:numRef>
              <c:f>SSW!$A$3:$A$13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SSW!$H$3:$H$13</c:f>
              <c:numCache>
                <c:formatCode>General</c:formatCode>
                <c:ptCount val="11"/>
                <c:pt idx="0">
                  <c:v>-3.0003483870981912E-4</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1-896C-49C4-93FD-7C351AB2B611}"/>
            </c:ext>
          </c:extLst>
        </c:ser>
        <c:ser>
          <c:idx val="2"/>
          <c:order val="2"/>
          <c:tx>
            <c:v>2013-2023</c:v>
          </c:tx>
          <c:cat>
            <c:numRef>
              <c:f>SSW!$A$3:$A$13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SSW!$I$3:$I$13</c:f>
              <c:numCache>
                <c:formatCode>General</c:formatCode>
                <c:ptCount val="11"/>
                <c:pt idx="0">
                  <c:v>2.5961719522102411E-2</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2-896C-49C4-93FD-7C351AB2B611}"/>
            </c:ext>
          </c:extLst>
        </c:ser>
        <c:ser>
          <c:idx val="3"/>
          <c:order val="3"/>
          <c:tx>
            <c:v>1993-2023</c:v>
          </c:tx>
          <c:cat>
            <c:numRef>
              <c:f>SSW!$A$3:$A$13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SSW!$J$3:$J$13</c:f>
              <c:numCache>
                <c:formatCode>General</c:formatCode>
                <c:ptCount val="11"/>
                <c:pt idx="0">
                  <c:v>0.71001739295101551</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3-896C-49C4-93FD-7C351AB2B611}"/>
            </c:ext>
          </c:extLst>
        </c:ser>
        <c:dLbls>
          <c:showLegendKey val="0"/>
          <c:showVal val="0"/>
          <c:showCatName val="0"/>
          <c:showSerName val="0"/>
          <c:showPercent val="0"/>
          <c:showBubbleSize val="0"/>
        </c:dLbls>
        <c:marker val="1"/>
        <c:smooth val="0"/>
        <c:axId val="111853952"/>
        <c:axId val="111855872"/>
      </c:lineChart>
      <c:catAx>
        <c:axId val="111853952"/>
        <c:scaling>
          <c:orientation val="minMax"/>
        </c:scaling>
        <c:delete val="0"/>
        <c:axPos val="b"/>
        <c:title>
          <c:tx>
            <c:rich>
              <a:bodyPr/>
              <a:lstStyle/>
              <a:p>
                <a:pPr>
                  <a:defRPr/>
                </a:pPr>
                <a:r>
                  <a:rPr lang="en-US"/>
                  <a:t>Distance in km</a:t>
                </a:r>
              </a:p>
            </c:rich>
          </c:tx>
          <c:layout>
            <c:manualLayout>
              <c:xMode val="edge"/>
              <c:yMode val="edge"/>
              <c:x val="0.39088455208151146"/>
              <c:y val="0.69126992456932834"/>
            </c:manualLayout>
          </c:layout>
          <c:overlay val="0"/>
        </c:title>
        <c:numFmt formatCode="0" sourceLinked="1"/>
        <c:majorTickMark val="none"/>
        <c:minorTickMark val="none"/>
        <c:tickLblPos val="low"/>
        <c:crossAx val="111855872"/>
        <c:crosses val="autoZero"/>
        <c:auto val="1"/>
        <c:lblAlgn val="ctr"/>
        <c:lblOffset val="20"/>
        <c:noMultiLvlLbl val="0"/>
      </c:catAx>
      <c:valAx>
        <c:axId val="111855872"/>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11853952"/>
        <c:crosses val="autoZero"/>
        <c:crossBetween val="between"/>
      </c:valAx>
    </c:plotArea>
    <c:legend>
      <c:legendPos val="b"/>
      <c:layout>
        <c:manualLayout>
          <c:xMode val="edge"/>
          <c:yMode val="edge"/>
          <c:x val="4.1559403069984659E-2"/>
          <c:y val="0.76936958256678556"/>
          <c:w val="0.90844044739511964"/>
          <c:h val="0.17675858026366079"/>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WNW</a:t>
            </a:r>
          </a:p>
        </c:rich>
      </c:tx>
      <c:layout>
        <c:manualLayout>
          <c:xMode val="edge"/>
          <c:yMode val="edge"/>
          <c:x val="0.44288864401961503"/>
          <c:y val="0"/>
        </c:manualLayout>
      </c:layout>
      <c:overlay val="0"/>
    </c:title>
    <c:autoTitleDeleted val="0"/>
    <c:plotArea>
      <c:layout>
        <c:manualLayout>
          <c:layoutTarget val="inner"/>
          <c:xMode val="edge"/>
          <c:yMode val="edge"/>
          <c:x val="0.14921755760997771"/>
          <c:y val="0.16039491934961667"/>
          <c:w val="0.79215139555388303"/>
          <c:h val="0.38194614502087537"/>
        </c:manualLayout>
      </c:layout>
      <c:lineChart>
        <c:grouping val="standard"/>
        <c:varyColors val="0"/>
        <c:ser>
          <c:idx val="0"/>
          <c:order val="0"/>
          <c:tx>
            <c:v>1993-2003</c:v>
          </c:tx>
          <c:cat>
            <c:numRef>
              <c:f>WNW!$A$3:$A$13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WNW!$G$3:$G$13</c:f>
              <c:numCache>
                <c:formatCode>General</c:formatCode>
                <c:ptCount val="11"/>
                <c:pt idx="0">
                  <c:v>1.7883806198503347</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B2FF-4596-BBFC-093D4D1FD739}"/>
            </c:ext>
          </c:extLst>
        </c:ser>
        <c:ser>
          <c:idx val="1"/>
          <c:order val="1"/>
          <c:tx>
            <c:v>2003-2013</c:v>
          </c:tx>
          <c:cat>
            <c:numRef>
              <c:f>WNW!$A$3:$A$13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WNW!$H$3:$H$13</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1-B2FF-4596-BBFC-093D4D1FD739}"/>
            </c:ext>
          </c:extLst>
        </c:ser>
        <c:ser>
          <c:idx val="2"/>
          <c:order val="2"/>
          <c:tx>
            <c:v>2013-2023</c:v>
          </c:tx>
          <c:cat>
            <c:numRef>
              <c:f>WNW!$A$3:$A$13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WNW!$I$3:$I$13</c:f>
              <c:numCache>
                <c:formatCode>General</c:formatCode>
                <c:ptCount val="11"/>
                <c:pt idx="0">
                  <c:v>9.9983466322961689</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2-B2FF-4596-BBFC-093D4D1FD739}"/>
            </c:ext>
          </c:extLst>
        </c:ser>
        <c:ser>
          <c:idx val="3"/>
          <c:order val="3"/>
          <c:tx>
            <c:v>1993-2023</c:v>
          </c:tx>
          <c:cat>
            <c:numRef>
              <c:f>WNW!$A$3:$A$13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WNW!$J$3:$J$13</c:f>
              <c:numCache>
                <c:formatCode>General</c:formatCode>
                <c:ptCount val="11"/>
                <c:pt idx="0">
                  <c:v>0.64128128676644325</c:v>
                </c:pt>
                <c:pt idx="1">
                  <c:v>0</c:v>
                </c:pt>
                <c:pt idx="2">
                  <c:v>0</c:v>
                </c:pt>
                <c:pt idx="3">
                  <c:v>0</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3-B2FF-4596-BBFC-093D4D1FD739}"/>
            </c:ext>
          </c:extLst>
        </c:ser>
        <c:dLbls>
          <c:showLegendKey val="0"/>
          <c:showVal val="0"/>
          <c:showCatName val="0"/>
          <c:showSerName val="0"/>
          <c:showPercent val="0"/>
          <c:showBubbleSize val="0"/>
        </c:dLbls>
        <c:marker val="1"/>
        <c:smooth val="0"/>
        <c:axId val="111899392"/>
        <c:axId val="111901312"/>
      </c:lineChart>
      <c:catAx>
        <c:axId val="111899392"/>
        <c:scaling>
          <c:orientation val="minMax"/>
        </c:scaling>
        <c:delete val="0"/>
        <c:axPos val="b"/>
        <c:title>
          <c:tx>
            <c:rich>
              <a:bodyPr/>
              <a:lstStyle/>
              <a:p>
                <a:pPr>
                  <a:defRPr/>
                </a:pPr>
                <a:r>
                  <a:rPr lang="en-US"/>
                  <a:t>Distance in km</a:t>
                </a:r>
              </a:p>
            </c:rich>
          </c:tx>
          <c:layout>
            <c:manualLayout>
              <c:xMode val="edge"/>
              <c:yMode val="edge"/>
              <c:x val="0.42942311143824374"/>
              <c:y val="0.67985949757206399"/>
            </c:manualLayout>
          </c:layout>
          <c:overlay val="0"/>
        </c:title>
        <c:numFmt formatCode="0" sourceLinked="1"/>
        <c:majorTickMark val="none"/>
        <c:minorTickMark val="none"/>
        <c:tickLblPos val="nextTo"/>
        <c:crossAx val="111901312"/>
        <c:crosses val="autoZero"/>
        <c:auto val="1"/>
        <c:lblAlgn val="ctr"/>
        <c:lblOffset val="100"/>
        <c:noMultiLvlLbl val="0"/>
      </c:catAx>
      <c:valAx>
        <c:axId val="111901312"/>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11899392"/>
        <c:crosses val="autoZero"/>
        <c:crossBetween val="between"/>
      </c:valAx>
    </c:plotArea>
    <c:legend>
      <c:legendPos val="b"/>
      <c:layout>
        <c:manualLayout>
          <c:xMode val="edge"/>
          <c:yMode val="edge"/>
          <c:x val="4.0309717704300224E-2"/>
          <c:y val="0.76229765818574768"/>
          <c:w val="0.89170596165920668"/>
          <c:h val="0.23770234181425606"/>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NNW</a:t>
            </a:r>
          </a:p>
        </c:rich>
      </c:tx>
      <c:overlay val="0"/>
    </c:title>
    <c:autoTitleDeleted val="0"/>
    <c:plotArea>
      <c:layout>
        <c:manualLayout>
          <c:layoutTarget val="inner"/>
          <c:xMode val="edge"/>
          <c:yMode val="edge"/>
          <c:x val="0.11279805352798072"/>
          <c:y val="0.15675029868578291"/>
          <c:w val="0.84178426601784262"/>
          <c:h val="0.49804457238544769"/>
        </c:manualLayout>
      </c:layout>
      <c:lineChart>
        <c:grouping val="standard"/>
        <c:varyColors val="0"/>
        <c:ser>
          <c:idx val="0"/>
          <c:order val="0"/>
          <c:tx>
            <c:v>1993-2003</c:v>
          </c:tx>
          <c:cat>
            <c:numRef>
              <c:f>NNW!$A$3:$A$13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NNW!$G$3:$G$13</c:f>
              <c:numCache>
                <c:formatCode>General</c:formatCode>
                <c:ptCount val="11"/>
                <c:pt idx="0">
                  <c:v>3.9371040643971802</c:v>
                </c:pt>
                <c:pt idx="1">
                  <c:v>6.4412510566356724</c:v>
                </c:pt>
                <c:pt idx="2">
                  <c:v>2.5019259527801694</c:v>
                </c:pt>
                <c:pt idx="3">
                  <c:v>0.85717693972495357</c:v>
                </c:pt>
                <c:pt idx="4">
                  <c:v>0.28153124921657574</c:v>
                </c:pt>
                <c:pt idx="5">
                  <c:v>7.0942506563789337E-2</c:v>
                </c:pt>
                <c:pt idx="6">
                  <c:v>5.3082058846362863E-2</c:v>
                </c:pt>
                <c:pt idx="7">
                  <c:v>0.13864395962446044</c:v>
                </c:pt>
                <c:pt idx="8">
                  <c:v>0.13235841958787881</c:v>
                </c:pt>
                <c:pt idx="9">
                  <c:v>0.11992086973267274</c:v>
                </c:pt>
                <c:pt idx="10">
                  <c:v>5.7375915940827124E-2</c:v>
                </c:pt>
              </c:numCache>
            </c:numRef>
          </c:val>
          <c:smooth val="0"/>
          <c:extLst>
            <c:ext xmlns:c16="http://schemas.microsoft.com/office/drawing/2014/chart" uri="{C3380CC4-5D6E-409C-BE32-E72D297353CC}">
              <c16:uniqueId val="{00000000-89E2-4C0A-BC62-5314ED9B5CEE}"/>
            </c:ext>
          </c:extLst>
        </c:ser>
        <c:ser>
          <c:idx val="1"/>
          <c:order val="1"/>
          <c:tx>
            <c:v>2003-2013</c:v>
          </c:tx>
          <c:cat>
            <c:numRef>
              <c:f>NNW!$A$3:$A$13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NNW!$H$3:$H$13</c:f>
              <c:numCache>
                <c:formatCode>General</c:formatCode>
                <c:ptCount val="11"/>
                <c:pt idx="0">
                  <c:v>0.56732833839480012</c:v>
                </c:pt>
                <c:pt idx="1">
                  <c:v>0.27862669874504575</c:v>
                </c:pt>
                <c:pt idx="2">
                  <c:v>1.0905424389359681</c:v>
                </c:pt>
                <c:pt idx="3">
                  <c:v>0.38888226172015611</c:v>
                </c:pt>
                <c:pt idx="4">
                  <c:v>0.37792373837399118</c:v>
                </c:pt>
                <c:pt idx="5">
                  <c:v>0.16471092536033871</c:v>
                </c:pt>
                <c:pt idx="6">
                  <c:v>0.1787516497166369</c:v>
                </c:pt>
                <c:pt idx="7">
                  <c:v>0.19138072924539387</c:v>
                </c:pt>
                <c:pt idx="8">
                  <c:v>6.2526935522750016E-2</c:v>
                </c:pt>
                <c:pt idx="9">
                  <c:v>5.8822499606099324E-2</c:v>
                </c:pt>
                <c:pt idx="10">
                  <c:v>0.19632241117102317</c:v>
                </c:pt>
              </c:numCache>
            </c:numRef>
          </c:val>
          <c:smooth val="0"/>
          <c:extLst>
            <c:ext xmlns:c16="http://schemas.microsoft.com/office/drawing/2014/chart" uri="{C3380CC4-5D6E-409C-BE32-E72D297353CC}">
              <c16:uniqueId val="{00000001-89E2-4C0A-BC62-5314ED9B5CEE}"/>
            </c:ext>
          </c:extLst>
        </c:ser>
        <c:ser>
          <c:idx val="2"/>
          <c:order val="2"/>
          <c:tx>
            <c:v>2013-2023</c:v>
          </c:tx>
          <c:cat>
            <c:numRef>
              <c:f>NNW!$A$3:$A$13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NNW!$I$3:$I$13</c:f>
              <c:numCache>
                <c:formatCode>General</c:formatCode>
                <c:ptCount val="11"/>
                <c:pt idx="0">
                  <c:v>0.15874735700790896</c:v>
                </c:pt>
                <c:pt idx="1">
                  <c:v>0.87847064178425049</c:v>
                </c:pt>
                <c:pt idx="2">
                  <c:v>3.2056917569221461</c:v>
                </c:pt>
                <c:pt idx="3">
                  <c:v>3.1379833336173601</c:v>
                </c:pt>
                <c:pt idx="4">
                  <c:v>2.2607736468700921</c:v>
                </c:pt>
                <c:pt idx="5">
                  <c:v>1.8190001607458621</c:v>
                </c:pt>
                <c:pt idx="6">
                  <c:v>1.7089123515255029</c:v>
                </c:pt>
                <c:pt idx="7">
                  <c:v>1.543222317394725</c:v>
                </c:pt>
                <c:pt idx="8">
                  <c:v>1.168800812265798</c:v>
                </c:pt>
                <c:pt idx="9">
                  <c:v>1.1125505505856021</c:v>
                </c:pt>
                <c:pt idx="10">
                  <c:v>1.9134522328218007</c:v>
                </c:pt>
              </c:numCache>
            </c:numRef>
          </c:val>
          <c:smooth val="0"/>
          <c:extLst>
            <c:ext xmlns:c16="http://schemas.microsoft.com/office/drawing/2014/chart" uri="{C3380CC4-5D6E-409C-BE32-E72D297353CC}">
              <c16:uniqueId val="{00000002-89E2-4C0A-BC62-5314ED9B5CEE}"/>
            </c:ext>
          </c:extLst>
        </c:ser>
        <c:ser>
          <c:idx val="3"/>
          <c:order val="3"/>
          <c:tx>
            <c:v>1993-2023</c:v>
          </c:tx>
          <c:cat>
            <c:numRef>
              <c:f>NNW!$A$3:$A$13</c:f>
              <c:numCache>
                <c:formatCode>General</c:formatCode>
                <c:ptCount val="11"/>
                <c:pt idx="0" formatCode="0">
                  <c:v>2</c:v>
                </c:pt>
                <c:pt idx="1">
                  <c:v>4</c:v>
                </c:pt>
                <c:pt idx="2">
                  <c:v>6</c:v>
                </c:pt>
                <c:pt idx="3">
                  <c:v>8</c:v>
                </c:pt>
                <c:pt idx="4">
                  <c:v>10</c:v>
                </c:pt>
                <c:pt idx="5">
                  <c:v>12</c:v>
                </c:pt>
                <c:pt idx="6">
                  <c:v>14</c:v>
                </c:pt>
                <c:pt idx="7">
                  <c:v>16</c:v>
                </c:pt>
                <c:pt idx="8">
                  <c:v>18</c:v>
                </c:pt>
                <c:pt idx="9">
                  <c:v>20</c:v>
                </c:pt>
                <c:pt idx="10">
                  <c:v>22</c:v>
                </c:pt>
              </c:numCache>
            </c:numRef>
          </c:cat>
          <c:val>
            <c:numRef>
              <c:f>NNW!$J$3:$J$13</c:f>
              <c:numCache>
                <c:formatCode>General</c:formatCode>
                <c:ptCount val="11"/>
                <c:pt idx="0">
                  <c:v>1.5543932532666238</c:v>
                </c:pt>
                <c:pt idx="1">
                  <c:v>2.5327827990549867</c:v>
                </c:pt>
                <c:pt idx="2">
                  <c:v>2.2660533828794152</c:v>
                </c:pt>
                <c:pt idx="3">
                  <c:v>1.4613475116874854</c:v>
                </c:pt>
                <c:pt idx="4">
                  <c:v>0.97340954482020936</c:v>
                </c:pt>
                <c:pt idx="5">
                  <c:v>0.68488453088999635</c:v>
                </c:pt>
                <c:pt idx="6">
                  <c:v>0.64691535336284012</c:v>
                </c:pt>
                <c:pt idx="7">
                  <c:v>0.62441566875486354</c:v>
                </c:pt>
                <c:pt idx="8">
                  <c:v>0.45456205579214182</c:v>
                </c:pt>
                <c:pt idx="9">
                  <c:v>0.43043130664145701</c:v>
                </c:pt>
                <c:pt idx="10">
                  <c:v>0.7223835199778792</c:v>
                </c:pt>
              </c:numCache>
            </c:numRef>
          </c:val>
          <c:smooth val="0"/>
          <c:extLst>
            <c:ext xmlns:c16="http://schemas.microsoft.com/office/drawing/2014/chart" uri="{C3380CC4-5D6E-409C-BE32-E72D297353CC}">
              <c16:uniqueId val="{00000003-89E2-4C0A-BC62-5314ED9B5CEE}"/>
            </c:ext>
          </c:extLst>
        </c:ser>
        <c:dLbls>
          <c:showLegendKey val="0"/>
          <c:showVal val="0"/>
          <c:showCatName val="0"/>
          <c:showSerName val="0"/>
          <c:showPercent val="0"/>
          <c:showBubbleSize val="0"/>
        </c:dLbls>
        <c:marker val="1"/>
        <c:smooth val="0"/>
        <c:axId val="111932544"/>
        <c:axId val="111934464"/>
      </c:lineChart>
      <c:catAx>
        <c:axId val="111932544"/>
        <c:scaling>
          <c:orientation val="minMax"/>
        </c:scaling>
        <c:delete val="0"/>
        <c:axPos val="b"/>
        <c:title>
          <c:tx>
            <c:rich>
              <a:bodyPr/>
              <a:lstStyle/>
              <a:p>
                <a:pPr>
                  <a:defRPr/>
                </a:pPr>
                <a:r>
                  <a:rPr lang="en-US"/>
                  <a:t>Distance in km</a:t>
                </a:r>
              </a:p>
            </c:rich>
          </c:tx>
          <c:layout>
            <c:manualLayout>
              <c:xMode val="edge"/>
              <c:yMode val="edge"/>
              <c:x val="0.4433255536601608"/>
              <c:y val="0.75906471563123035"/>
            </c:manualLayout>
          </c:layout>
          <c:overlay val="0"/>
        </c:title>
        <c:numFmt formatCode="0" sourceLinked="1"/>
        <c:majorTickMark val="none"/>
        <c:minorTickMark val="none"/>
        <c:tickLblPos val="nextTo"/>
        <c:crossAx val="111934464"/>
        <c:crosses val="autoZero"/>
        <c:auto val="1"/>
        <c:lblAlgn val="ctr"/>
        <c:lblOffset val="100"/>
        <c:noMultiLvlLbl val="0"/>
      </c:catAx>
      <c:valAx>
        <c:axId val="111934464"/>
        <c:scaling>
          <c:orientation val="minMax"/>
        </c:scaling>
        <c:delete val="0"/>
        <c:axPos val="l"/>
        <c:majorGridlines/>
        <c:title>
          <c:tx>
            <c:rich>
              <a:bodyPr rot="-5400000" vert="horz"/>
              <a:lstStyle/>
              <a:p>
                <a:pPr>
                  <a:defRPr/>
                </a:pPr>
                <a:r>
                  <a:rPr lang="en-US"/>
                  <a:t>UII</a:t>
                </a:r>
              </a:p>
            </c:rich>
          </c:tx>
          <c:overlay val="0"/>
        </c:title>
        <c:numFmt formatCode="General" sourceLinked="1"/>
        <c:majorTickMark val="none"/>
        <c:minorTickMark val="none"/>
        <c:tickLblPos val="nextTo"/>
        <c:spPr>
          <a:ln w="9525">
            <a:noFill/>
          </a:ln>
        </c:spPr>
        <c:crossAx val="111932544"/>
        <c:crosses val="autoZero"/>
        <c:crossBetween val="between"/>
      </c:valAx>
    </c:plotArea>
    <c:legend>
      <c:legendPos val="b"/>
      <c:layout>
        <c:manualLayout>
          <c:xMode val="edge"/>
          <c:yMode val="edge"/>
          <c:x val="0.13596835996115594"/>
          <c:y val="0.85395938761646162"/>
          <c:w val="0.75808120304001891"/>
          <c:h val="0.14604061238353888"/>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233F8-E2F5-4DFC-8CDD-511550887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15</Pages>
  <Words>5904</Words>
  <Characters>33659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39485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3</cp:revision>
  <cp:lastPrinted>2025-07-31T02:27:00Z</cp:lastPrinted>
  <dcterms:created xsi:type="dcterms:W3CDTF">2025-08-01T12:23:00Z</dcterms:created>
  <dcterms:modified xsi:type="dcterms:W3CDTF">2025-08-01T12:43:00Z</dcterms:modified>
</cp:coreProperties>
</file>