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669" w:rsidRDefault="00C04E1A">
      <w:pPr>
        <w:pStyle w:val="Heading1"/>
      </w:pPr>
      <w:bookmarkStart w:id="0" w:name="bookmark=id.ajs4l1o5iw47" w:colFirst="0" w:colLast="0"/>
      <w:bookmarkEnd w:id="0"/>
      <w:r>
        <w:t xml:space="preserve">Enhancement of Bioactive Constituents and Antioxidant Properties of Orange-Fleshed Sweet Potato Flour Supplemented with </w:t>
      </w:r>
      <w:proofErr w:type="spellStart"/>
      <w:r>
        <w:t>Detarium</w:t>
      </w:r>
      <w:proofErr w:type="spellEnd"/>
      <w:r>
        <w:t xml:space="preserve"> </w:t>
      </w:r>
      <w:proofErr w:type="spellStart"/>
      <w:r>
        <w:t>microcarpum</w:t>
      </w:r>
      <w:proofErr w:type="spellEnd"/>
    </w:p>
    <w:p w:rsidR="00DA3669" w:rsidRDefault="00C04E1A">
      <w:pPr>
        <w:pBdr>
          <w:top w:val="nil"/>
          <w:left w:val="nil"/>
          <w:bottom w:val="nil"/>
          <w:right w:val="nil"/>
          <w:between w:val="nil"/>
        </w:pBdr>
        <w:spacing w:before="180" w:after="180"/>
        <w:rPr>
          <w:color w:val="000000"/>
        </w:rPr>
      </w:pPr>
      <w:r>
        <w:rPr>
          <w:b/>
          <w:color w:val="000000"/>
        </w:rPr>
        <w:t>Article Type:</w:t>
      </w:r>
      <w:r>
        <w:rPr>
          <w:color w:val="000000"/>
        </w:rPr>
        <w:t xml:space="preserve"> Original Research Article</w:t>
      </w:r>
    </w:p>
    <w:p w:rsidR="00DA3669" w:rsidRDefault="00C04E1A">
      <w:pPr>
        <w:pStyle w:val="Heading2"/>
      </w:pPr>
      <w:bookmarkStart w:id="1" w:name="bookmark=id.lpvaai97mfm3" w:colFirst="0" w:colLast="0"/>
      <w:bookmarkEnd w:id="1"/>
      <w:r>
        <w:t>Abstract</w:t>
      </w:r>
    </w:p>
    <w:p w:rsidR="00DA3669" w:rsidRDefault="00C04E1A">
      <w:pPr>
        <w:pBdr>
          <w:top w:val="nil"/>
          <w:left w:val="nil"/>
          <w:bottom w:val="nil"/>
          <w:right w:val="nil"/>
          <w:between w:val="nil"/>
        </w:pBdr>
        <w:spacing w:before="180" w:after="180"/>
        <w:rPr>
          <w:color w:val="000000"/>
        </w:rPr>
      </w:pPr>
      <w:r>
        <w:rPr>
          <w:color w:val="000000"/>
        </w:rPr>
        <w:t>Orange-fleshed sweet potato (</w:t>
      </w:r>
      <w:r>
        <w:rPr>
          <w:i/>
          <w:color w:val="000000"/>
        </w:rPr>
        <w:t>Ipomoea batatas</w:t>
      </w:r>
      <w:r>
        <w:rPr>
          <w:color w:val="000000"/>
        </w:rPr>
        <w:t xml:space="preserve">) is recognized as a functional food crop with significant nutraceutical potential due to its rich bioactive compound profile. This study investigated the enhancement of bioactive constituents and antioxidant properties of orange-fleshed sweet potato flour through supplementation with </w:t>
      </w: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xml:space="preserve"> at 5% and 10% concentrations. The composite flours were analyzed for phytochemical composition (total phenolics, saponins, tannins, and flavonoids), antioxidant activities (DPPH, ABTS, and reducing power), and enzyme inhibitory activities (α-glucosidase, α-amylase, and angiotensin-converting enzyme). Results demonstrated that supplementation with </w:t>
      </w:r>
      <w:r>
        <w:rPr>
          <w:i/>
          <w:color w:val="000000"/>
        </w:rPr>
        <w:t xml:space="preserve">D. </w:t>
      </w:r>
      <w:proofErr w:type="spellStart"/>
      <w:r>
        <w:rPr>
          <w:i/>
          <w:color w:val="000000"/>
        </w:rPr>
        <w:t>microcarpum</w:t>
      </w:r>
      <w:proofErr w:type="spellEnd"/>
      <w:r>
        <w:rPr>
          <w:color w:val="000000"/>
        </w:rPr>
        <w:t xml:space="preserve"> significantly enhanced the bioactive compound profile, with the 90% orange potato: 10% </w:t>
      </w:r>
      <w:r>
        <w:rPr>
          <w:i/>
          <w:color w:val="000000"/>
        </w:rPr>
        <w:t xml:space="preserve">D. </w:t>
      </w:r>
      <w:proofErr w:type="spellStart"/>
      <w:r>
        <w:rPr>
          <w:i/>
          <w:color w:val="000000"/>
        </w:rPr>
        <w:t>microcarpum</w:t>
      </w:r>
      <w:proofErr w:type="spellEnd"/>
      <w:r>
        <w:rPr>
          <w:color w:val="000000"/>
        </w:rPr>
        <w:t xml:space="preserve"> blend showing the highest tannin content (16.78±0.23 mg tannic acid equivalent/g), while the 95% orange potato: 5% </w:t>
      </w:r>
      <w:r>
        <w:rPr>
          <w:i/>
          <w:color w:val="000000"/>
        </w:rPr>
        <w:t xml:space="preserve">D. </w:t>
      </w:r>
      <w:proofErr w:type="spellStart"/>
      <w:r>
        <w:rPr>
          <w:i/>
          <w:color w:val="000000"/>
        </w:rPr>
        <w:t>microcarpum</w:t>
      </w:r>
      <w:proofErr w:type="spellEnd"/>
      <w:r>
        <w:rPr>
          <w:color w:val="000000"/>
        </w:rPr>
        <w:t xml:space="preserve"> blend exhibited the highest flavonoid content (0.43±0.03 mg quercetin equivalent/g). The 95% orange potato: 5% </w:t>
      </w:r>
      <w:r>
        <w:rPr>
          <w:i/>
          <w:color w:val="000000"/>
        </w:rPr>
        <w:t xml:space="preserve">D. </w:t>
      </w:r>
      <w:proofErr w:type="spellStart"/>
      <w:r>
        <w:rPr>
          <w:i/>
          <w:color w:val="000000"/>
        </w:rPr>
        <w:t>microcarpum</w:t>
      </w:r>
      <w:proofErr w:type="spellEnd"/>
      <w:r>
        <w:rPr>
          <w:color w:val="000000"/>
        </w:rPr>
        <w:t xml:space="preserve"> composite demonstrated optimal antioxidant enhancement with the highest reducing power (4.55±0.01 mg gallic acid equivalent/g) and superior DPPH scavenging activity (SC₅₀ = 1.89±0.01 mg/mL). However, supplemented samples showed reduced enzyme inhibitory capacity compared to pure components. The novelty of this study lies in demonstrating the synergistic enhancement of bioactive compounds through strategic blending of underutilized African indigenous plants with orange-fleshed sweet potato. These findings provide scientific evidence for developing nutrient-dense functional foods that could address malnutrition and support health promotion in regions where both crops are readily available, particularly for managing oxidative stress-related conditions.</w:t>
      </w:r>
    </w:p>
    <w:p w:rsidR="00DA3669" w:rsidRDefault="00C04E1A">
      <w:pPr>
        <w:pBdr>
          <w:top w:val="nil"/>
          <w:left w:val="nil"/>
          <w:bottom w:val="nil"/>
          <w:right w:val="nil"/>
          <w:between w:val="nil"/>
        </w:pBdr>
        <w:spacing w:before="180" w:after="180"/>
        <w:rPr>
          <w:color w:val="000000"/>
        </w:rPr>
      </w:pPr>
      <w:r>
        <w:rPr>
          <w:b/>
          <w:color w:val="000000"/>
        </w:rPr>
        <w:t>Keywords:</w:t>
      </w:r>
      <w:r>
        <w:rPr>
          <w:color w:val="000000"/>
        </w:rPr>
        <w:t xml:space="preserve"> Orange-fleshed sweet potato, </w:t>
      </w: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bioactive compounds, antioxidant enhancement, functional foods, phytochemical synergy, composite flour</w:t>
      </w:r>
    </w:p>
    <w:p w:rsidR="00DA3669" w:rsidRDefault="00C04E1A">
      <w:pPr>
        <w:pStyle w:val="Heading2"/>
      </w:pPr>
      <w:bookmarkStart w:id="2" w:name="bookmark=id.ua84buhuglb3" w:colFirst="0" w:colLast="0"/>
      <w:bookmarkEnd w:id="2"/>
      <w:r>
        <w:t>1. Introduction</w:t>
      </w:r>
    </w:p>
    <w:p w:rsidR="00DA3669" w:rsidRDefault="00C04E1A">
      <w:pPr>
        <w:pBdr>
          <w:top w:val="nil"/>
          <w:left w:val="nil"/>
          <w:bottom w:val="nil"/>
          <w:right w:val="nil"/>
          <w:between w:val="nil"/>
        </w:pBdr>
        <w:spacing w:before="180" w:after="180"/>
        <w:rPr>
          <w:color w:val="000000"/>
        </w:rPr>
      </w:pPr>
      <w:r>
        <w:rPr>
          <w:color w:val="000000"/>
        </w:rPr>
        <w:t>Malnutrition and micronutrient deficiencies remain significant public health challenges globally, particularly in developing countries where access to diverse, nutrient-rich foods is limited (</w:t>
      </w:r>
      <w:proofErr w:type="spellStart"/>
      <w:r>
        <w:rPr>
          <w:color w:val="000000"/>
        </w:rPr>
        <w:t>Bvenura</w:t>
      </w:r>
      <w:proofErr w:type="spellEnd"/>
      <w:r>
        <w:rPr>
          <w:color w:val="000000"/>
        </w:rPr>
        <w:t xml:space="preserve"> &amp; </w:t>
      </w:r>
      <w:proofErr w:type="spellStart"/>
      <w:r>
        <w:rPr>
          <w:color w:val="000000"/>
        </w:rPr>
        <w:t>Afolayan</w:t>
      </w:r>
      <w:proofErr w:type="spellEnd"/>
      <w:r>
        <w:rPr>
          <w:color w:val="000000"/>
        </w:rPr>
        <w:t>, 2023). The development of functional foods from locally available crops presents a sustainable approach to addressing these nutritional challenges while promoting food security. Orange-fleshed sweet potato (</w:t>
      </w:r>
      <w:r>
        <w:rPr>
          <w:i/>
          <w:color w:val="000000"/>
        </w:rPr>
        <w:t>Ipomoea batatas</w:t>
      </w:r>
      <w:r>
        <w:rPr>
          <w:color w:val="000000"/>
        </w:rPr>
        <w:t>) has emerged as a crucial crop in this context due to its exceptional nutritional profile, drought tolerance, and high yield potential under marginal growing conditions.</w:t>
      </w:r>
    </w:p>
    <w:p w:rsidR="00DA3669" w:rsidRDefault="00C04E1A">
      <w:pPr>
        <w:pBdr>
          <w:top w:val="nil"/>
          <w:left w:val="nil"/>
          <w:bottom w:val="nil"/>
          <w:right w:val="nil"/>
          <w:between w:val="nil"/>
        </w:pBdr>
        <w:spacing w:before="180" w:after="180"/>
        <w:rPr>
          <w:color w:val="000000"/>
        </w:rPr>
      </w:pPr>
      <w:r>
        <w:rPr>
          <w:color w:val="000000"/>
        </w:rPr>
        <w:lastRenderedPageBreak/>
        <w:t>The nutritional significance of orange-fleshed sweet potato extends beyond its role as a staple food source. This crop is particularly valued for its high β-carotene content, which serves as a precursor to vitamin A, making it an important intervention crop for addressing vitamin A deficiency in vulnerable populations (</w:t>
      </w:r>
      <w:proofErr w:type="spellStart"/>
      <w:r>
        <w:rPr>
          <w:color w:val="000000"/>
        </w:rPr>
        <w:t>Ayeleso</w:t>
      </w:r>
      <w:proofErr w:type="spellEnd"/>
      <w:r>
        <w:rPr>
          <w:color w:val="000000"/>
        </w:rPr>
        <w:t xml:space="preserve"> et al., 2022). The distinctive orange coloration of these varieties indicates the presence of substantial carotenoid compounds, which contribute to their nutritional and functional properties. Beyond carotenoids, orange-fleshed sweet potato contains diverse bioactive compounds including phenolic acids, flavonoids, anthocyanins, and various antioxidant compounds that provide significant health benefits (</w:t>
      </w:r>
      <w:proofErr w:type="spellStart"/>
      <w:r>
        <w:rPr>
          <w:color w:val="000000"/>
        </w:rPr>
        <w:t>Alam</w:t>
      </w:r>
      <w:proofErr w:type="spellEnd"/>
      <w:r>
        <w:rPr>
          <w:color w:val="000000"/>
        </w:rPr>
        <w:t xml:space="preserve"> et al., 2023).</w:t>
      </w:r>
    </w:p>
    <w:p w:rsidR="00DA3669" w:rsidRDefault="00C04E1A">
      <w:pPr>
        <w:pBdr>
          <w:top w:val="nil"/>
          <w:left w:val="nil"/>
          <w:bottom w:val="nil"/>
          <w:right w:val="nil"/>
          <w:between w:val="nil"/>
        </w:pBdr>
        <w:spacing w:before="180" w:after="180"/>
        <w:rPr>
          <w:color w:val="000000"/>
        </w:rPr>
      </w:pPr>
      <w:r>
        <w:rPr>
          <w:color w:val="000000"/>
        </w:rPr>
        <w:t>Recent research has demonstrated that orange-fleshed sweet potato possesses remarkable antioxidant properties due to its rich phytochemical composition. Studies have shown that both the tubers and leaves contain substantial amounts of polyphenolic compounds, with some varieties exhibiting higher antioxidant activity than commonly consumed vegetables such as spinach and cabbage (</w:t>
      </w:r>
      <w:proofErr w:type="spellStart"/>
      <w:r>
        <w:rPr>
          <w:color w:val="000000"/>
        </w:rPr>
        <w:t>Alam</w:t>
      </w:r>
      <w:proofErr w:type="spellEnd"/>
      <w:r>
        <w:rPr>
          <w:color w:val="000000"/>
        </w:rPr>
        <w:t xml:space="preserve"> et al., 2020). These bioactive compounds contribute to the crop’s potential in preventing chronic diseases, including cancer, cardiovascular disorders, and diabetes, through their antioxidant, anti-inflammatory, and anti-carcinogenic properties (</w:t>
      </w:r>
      <w:proofErr w:type="spellStart"/>
      <w:r>
        <w:rPr>
          <w:color w:val="000000"/>
        </w:rPr>
        <w:t>Giallourou</w:t>
      </w:r>
      <w:proofErr w:type="spellEnd"/>
      <w:r>
        <w:rPr>
          <w:color w:val="000000"/>
        </w:rPr>
        <w:t xml:space="preserve"> et al., 2021).</w:t>
      </w:r>
    </w:p>
    <w:p w:rsidR="00DA3669" w:rsidRDefault="00C04E1A">
      <w:pPr>
        <w:pBdr>
          <w:top w:val="nil"/>
          <w:left w:val="nil"/>
          <w:bottom w:val="nil"/>
          <w:right w:val="nil"/>
          <w:between w:val="nil"/>
        </w:pBdr>
        <w:spacing w:before="180" w:after="180"/>
        <w:rPr>
          <w:color w:val="000000"/>
        </w:rPr>
      </w:pPr>
      <w:r>
        <w:rPr>
          <w:color w:val="000000"/>
        </w:rPr>
        <w:t>The concept of food fortification and enhancement has gained significant attention as a strategy for improving the nutritional value and functional properties of staple foods (</w:t>
      </w:r>
      <w:proofErr w:type="spellStart"/>
      <w:r>
        <w:rPr>
          <w:color w:val="000000"/>
        </w:rPr>
        <w:t>Călinoiu</w:t>
      </w:r>
      <w:proofErr w:type="spellEnd"/>
      <w:r>
        <w:rPr>
          <w:color w:val="000000"/>
        </w:rPr>
        <w:t xml:space="preserve"> &amp; </w:t>
      </w:r>
      <w:proofErr w:type="spellStart"/>
      <w:r>
        <w:rPr>
          <w:color w:val="000000"/>
        </w:rPr>
        <w:t>Vodnar</w:t>
      </w:r>
      <w:proofErr w:type="spellEnd"/>
      <w:r>
        <w:rPr>
          <w:color w:val="000000"/>
        </w:rPr>
        <w:t>, 2020). This approach involves the strategic combination of different food sources to create synergistic effects that enhance the overall bioactive compound profile and health benefits of the final product. The enhancement of orange-fleshed sweet potato with complementary plant materials represents an innovative approach to developing more nutritious and functional food products.</w:t>
      </w:r>
    </w:p>
    <w:p w:rsidR="00DA3669" w:rsidRDefault="00C04E1A">
      <w:pPr>
        <w:pBdr>
          <w:top w:val="nil"/>
          <w:left w:val="nil"/>
          <w:bottom w:val="nil"/>
          <w:right w:val="nil"/>
          <w:between w:val="nil"/>
        </w:pBdr>
        <w:spacing w:before="180" w:after="180"/>
        <w:rPr>
          <w:color w:val="000000"/>
        </w:rPr>
      </w:pP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xml:space="preserve">, commonly known as sweet </w:t>
      </w:r>
      <w:proofErr w:type="spellStart"/>
      <w:r>
        <w:rPr>
          <w:color w:val="000000"/>
        </w:rPr>
        <w:t>detar</w:t>
      </w:r>
      <w:proofErr w:type="spellEnd"/>
      <w:r>
        <w:rPr>
          <w:color w:val="000000"/>
        </w:rPr>
        <w:t xml:space="preserve"> or African oak, is an underutilized indigenous African plant species belonging to the Fabaceae family. This leguminous tree has been traditionally used in African folk medicine for treating various ailments, including diabetes, hypertension, and inflammatory conditions (</w:t>
      </w:r>
      <w:proofErr w:type="spellStart"/>
      <w:r>
        <w:rPr>
          <w:color w:val="000000"/>
        </w:rPr>
        <w:t>Fokou</w:t>
      </w:r>
      <w:proofErr w:type="spellEnd"/>
      <w:r>
        <w:rPr>
          <w:color w:val="000000"/>
        </w:rPr>
        <w:t xml:space="preserve"> et al., 2022). Recent phytochemical investigations have revealed that </w:t>
      </w:r>
      <w:r>
        <w:rPr>
          <w:i/>
          <w:color w:val="000000"/>
        </w:rPr>
        <w:t xml:space="preserve">D. </w:t>
      </w:r>
      <w:proofErr w:type="spellStart"/>
      <w:r>
        <w:rPr>
          <w:i/>
          <w:color w:val="000000"/>
        </w:rPr>
        <w:t>microcarpum</w:t>
      </w:r>
      <w:proofErr w:type="spellEnd"/>
      <w:r>
        <w:rPr>
          <w:color w:val="000000"/>
        </w:rPr>
        <w:t xml:space="preserve"> contains significant quantities of bioactive compounds, including phenolic compounds, flavonoids, tannins, and saponins, which contribute to its therapeutic potential (</w:t>
      </w:r>
      <w:proofErr w:type="spellStart"/>
      <w:r>
        <w:rPr>
          <w:color w:val="000000"/>
        </w:rPr>
        <w:t>Mbock</w:t>
      </w:r>
      <w:proofErr w:type="spellEnd"/>
      <w:r>
        <w:rPr>
          <w:color w:val="000000"/>
        </w:rPr>
        <w:t xml:space="preserve"> et al., 2020).</w:t>
      </w:r>
    </w:p>
    <w:p w:rsidR="00DA3669" w:rsidRDefault="00C04E1A">
      <w:pPr>
        <w:pBdr>
          <w:top w:val="nil"/>
          <w:left w:val="nil"/>
          <w:bottom w:val="nil"/>
          <w:right w:val="nil"/>
          <w:between w:val="nil"/>
        </w:pBdr>
        <w:spacing w:before="180" w:after="180"/>
        <w:rPr>
          <w:color w:val="000000"/>
        </w:rPr>
      </w:pPr>
      <w:r>
        <w:rPr>
          <w:color w:val="000000"/>
        </w:rPr>
        <w:t xml:space="preserve">The rationale for combining orange-fleshed sweet potato with </w:t>
      </w:r>
      <w:r>
        <w:rPr>
          <w:i/>
          <w:color w:val="000000"/>
        </w:rPr>
        <w:t xml:space="preserve">D. </w:t>
      </w:r>
      <w:proofErr w:type="spellStart"/>
      <w:r>
        <w:rPr>
          <w:i/>
          <w:color w:val="000000"/>
        </w:rPr>
        <w:t>microcarpum</w:t>
      </w:r>
      <w:proofErr w:type="spellEnd"/>
      <w:r>
        <w:rPr>
          <w:color w:val="000000"/>
        </w:rPr>
        <w:t xml:space="preserve"> is based on the complementary phytochemical profiles of these two plant sources. While orange-fleshed sweet potato is rich in carotenoids and phenolic compounds, </w:t>
      </w:r>
      <w:r>
        <w:rPr>
          <w:i/>
          <w:color w:val="000000"/>
        </w:rPr>
        <w:t xml:space="preserve">D. </w:t>
      </w:r>
      <w:proofErr w:type="spellStart"/>
      <w:r>
        <w:rPr>
          <w:i/>
          <w:color w:val="000000"/>
        </w:rPr>
        <w:t>microcarpum</w:t>
      </w:r>
      <w:proofErr w:type="spellEnd"/>
      <w:r>
        <w:rPr>
          <w:color w:val="000000"/>
        </w:rPr>
        <w:t xml:space="preserve"> provides additional bioactive compounds that may enhance the overall functional properties of the composite product (</w:t>
      </w:r>
      <w:proofErr w:type="spellStart"/>
      <w:r>
        <w:rPr>
          <w:color w:val="000000"/>
        </w:rPr>
        <w:t>Dalhatu</w:t>
      </w:r>
      <w:proofErr w:type="spellEnd"/>
      <w:r>
        <w:rPr>
          <w:color w:val="000000"/>
        </w:rPr>
        <w:t xml:space="preserve"> et al., 2024). This combination strategy aims to create a synergistic effect that maximizes the health benefits while maintaining the nutritional and sensory qualities of the final product.</w:t>
      </w:r>
    </w:p>
    <w:p w:rsidR="00DA3669" w:rsidRDefault="00C04E1A">
      <w:pPr>
        <w:pBdr>
          <w:top w:val="nil"/>
          <w:left w:val="nil"/>
          <w:bottom w:val="nil"/>
          <w:right w:val="nil"/>
          <w:between w:val="nil"/>
        </w:pBdr>
        <w:spacing w:before="180" w:after="180"/>
        <w:rPr>
          <w:color w:val="000000"/>
        </w:rPr>
      </w:pPr>
      <w:r>
        <w:rPr>
          <w:color w:val="000000"/>
        </w:rPr>
        <w:t>Enzyme inhibition represents an important mechanism for managing metabolic disorders, particularly diabetes and hypertension. The inhibition of key enzymes such as α-amylase and α-glucosidase can help regulate carbohydrate digestion and glucose absorption, making this a valuable therapeutic target for diabetes management (</w:t>
      </w:r>
      <w:proofErr w:type="spellStart"/>
      <w:r>
        <w:rPr>
          <w:color w:val="000000"/>
        </w:rPr>
        <w:t>Worsztynowicz</w:t>
      </w:r>
      <w:proofErr w:type="spellEnd"/>
      <w:r>
        <w:rPr>
          <w:color w:val="000000"/>
        </w:rPr>
        <w:t xml:space="preserve"> et al., </w:t>
      </w:r>
      <w:r>
        <w:rPr>
          <w:color w:val="000000"/>
        </w:rPr>
        <w:lastRenderedPageBreak/>
        <w:t>2020). Similarly, angiotensin-converting enzyme (ACE) inhibition is crucial for blood pressure regulation and cardiovascular health. The evaluation of enzyme inhibitory activities in food components provides insight into their potential therapeutic applications beyond basic nutrition (</w:t>
      </w:r>
      <w:proofErr w:type="spellStart"/>
      <w:r>
        <w:rPr>
          <w:color w:val="000000"/>
        </w:rPr>
        <w:t>Adedayo</w:t>
      </w:r>
      <w:proofErr w:type="spellEnd"/>
      <w:r>
        <w:rPr>
          <w:color w:val="000000"/>
        </w:rPr>
        <w:t xml:space="preserve"> et al., 2022).</w:t>
      </w:r>
    </w:p>
    <w:p w:rsidR="00DA3669" w:rsidRDefault="00C04E1A">
      <w:pPr>
        <w:pBdr>
          <w:top w:val="nil"/>
          <w:left w:val="nil"/>
          <w:bottom w:val="nil"/>
          <w:right w:val="nil"/>
          <w:between w:val="nil"/>
        </w:pBdr>
        <w:spacing w:before="180" w:after="180"/>
        <w:rPr>
          <w:color w:val="000000"/>
        </w:rPr>
      </w:pPr>
      <w:r>
        <w:rPr>
          <w:color w:val="000000"/>
        </w:rPr>
        <w:t>Despite the growing interest in functional foods and the recognized nutritional value of orange-fleshed sweet potato, limited research has been conducted on the enhancement of its bioactive properties through strategic supplementation with indigenous African plants. Most existing studies focus on the individual nutritional and functional properties of these crops rather than their synergistic potential when combined (</w:t>
      </w:r>
      <w:proofErr w:type="spellStart"/>
      <w:r>
        <w:rPr>
          <w:color w:val="000000"/>
        </w:rPr>
        <w:t>Oguntibeju</w:t>
      </w:r>
      <w:proofErr w:type="spellEnd"/>
      <w:r>
        <w:rPr>
          <w:color w:val="000000"/>
        </w:rPr>
        <w:t>, 2023). This knowledge gap represents a significant opportunity for developing more effective functional food products that leverage the complementary properties of different plant sources.</w:t>
      </w:r>
    </w:p>
    <w:p w:rsidR="00DA3669" w:rsidRDefault="00C04E1A">
      <w:pPr>
        <w:pBdr>
          <w:top w:val="nil"/>
          <w:left w:val="nil"/>
          <w:bottom w:val="nil"/>
          <w:right w:val="nil"/>
          <w:between w:val="nil"/>
        </w:pBdr>
        <w:spacing w:before="180" w:after="180"/>
        <w:rPr>
          <w:color w:val="000000"/>
        </w:rPr>
      </w:pPr>
      <w:r>
        <w:rPr>
          <w:color w:val="000000"/>
        </w:rPr>
        <w:t xml:space="preserve">The motivation for this study stems from the need to develop sustainable, locally-sourced functional foods that can address nutritional deficiencies while providing additional health benefits. The combination of orange-fleshed sweet potato with </w:t>
      </w:r>
      <w:r>
        <w:rPr>
          <w:i/>
          <w:color w:val="000000"/>
        </w:rPr>
        <w:t xml:space="preserve">D. </w:t>
      </w:r>
      <w:proofErr w:type="spellStart"/>
      <w:r>
        <w:rPr>
          <w:i/>
          <w:color w:val="000000"/>
        </w:rPr>
        <w:t>microcarpum</w:t>
      </w:r>
      <w:proofErr w:type="spellEnd"/>
      <w:r>
        <w:rPr>
          <w:color w:val="000000"/>
        </w:rPr>
        <w:t xml:space="preserve"> represents an innovative approach that utilizes readily available indigenous resources to create enhanced nutritional products. This approach aligns with current trends toward sustainable food systems and the utilization of underutilized crops for improved nutrition and health outcomes (</w:t>
      </w:r>
      <w:proofErr w:type="spellStart"/>
      <w:r>
        <w:rPr>
          <w:color w:val="000000"/>
        </w:rPr>
        <w:t>Kapepula</w:t>
      </w:r>
      <w:proofErr w:type="spellEnd"/>
      <w:r>
        <w:rPr>
          <w:color w:val="000000"/>
        </w:rPr>
        <w:t xml:space="preserve"> et al., 2020).</w:t>
      </w:r>
    </w:p>
    <w:p w:rsidR="00DA3669" w:rsidRDefault="00C04E1A">
      <w:pPr>
        <w:pStyle w:val="Heading3"/>
      </w:pPr>
      <w:bookmarkStart w:id="3" w:name="bookmark=id.apyf7ebkw3vg" w:colFirst="0" w:colLast="0"/>
      <w:bookmarkEnd w:id="3"/>
      <w:r>
        <w:t>Objective of the Study</w:t>
      </w:r>
    </w:p>
    <w:p w:rsidR="00DA3669" w:rsidRDefault="00C04E1A">
      <w:pPr>
        <w:pBdr>
          <w:top w:val="nil"/>
          <w:left w:val="nil"/>
          <w:bottom w:val="nil"/>
          <w:right w:val="nil"/>
          <w:between w:val="nil"/>
        </w:pBdr>
        <w:spacing w:before="180" w:after="180"/>
        <w:rPr>
          <w:color w:val="000000"/>
        </w:rPr>
      </w:pPr>
      <w:r>
        <w:rPr>
          <w:color w:val="000000"/>
        </w:rPr>
        <w:t xml:space="preserve">The primary objective of this research was to comprehensively evaluate the enhancement of bioactive constituents and antioxidant properties of orange-fleshed sweet potato flour through supplementation with </w:t>
      </w:r>
      <w:r>
        <w:rPr>
          <w:i/>
          <w:color w:val="000000"/>
        </w:rPr>
        <w:t xml:space="preserve">D. </w:t>
      </w:r>
      <w:proofErr w:type="spellStart"/>
      <w:r>
        <w:rPr>
          <w:i/>
          <w:color w:val="000000"/>
        </w:rPr>
        <w:t>microcarpum</w:t>
      </w:r>
      <w:proofErr w:type="spellEnd"/>
      <w:r>
        <w:rPr>
          <w:color w:val="000000"/>
        </w:rPr>
        <w:t xml:space="preserve"> at different concentrations. Specifically, this study aimed to:</w:t>
      </w:r>
    </w:p>
    <w:p w:rsidR="00DA3669" w:rsidRDefault="00C04E1A">
      <w:pPr>
        <w:numPr>
          <w:ilvl w:val="0"/>
          <w:numId w:val="1"/>
        </w:numPr>
        <w:pBdr>
          <w:top w:val="nil"/>
          <w:left w:val="nil"/>
          <w:bottom w:val="nil"/>
          <w:right w:val="nil"/>
          <w:between w:val="nil"/>
        </w:pBdr>
        <w:spacing w:before="36" w:after="36"/>
      </w:pPr>
      <w:r>
        <w:rPr>
          <w:color w:val="000000"/>
        </w:rPr>
        <w:t xml:space="preserve">Determine the phytochemical composition (total phenolics, flavonoids, tannins, and saponins) of composite flours containing different proportions of orange-fleshed sweet potato and </w:t>
      </w:r>
      <w:r>
        <w:rPr>
          <w:i/>
          <w:color w:val="000000"/>
        </w:rPr>
        <w:t xml:space="preserve">D. </w:t>
      </w:r>
      <w:proofErr w:type="spellStart"/>
      <w:r>
        <w:rPr>
          <w:i/>
          <w:color w:val="000000"/>
        </w:rPr>
        <w:t>microcarpum</w:t>
      </w:r>
      <w:proofErr w:type="spellEnd"/>
    </w:p>
    <w:p w:rsidR="00DA3669" w:rsidRDefault="00C04E1A">
      <w:pPr>
        <w:numPr>
          <w:ilvl w:val="0"/>
          <w:numId w:val="1"/>
        </w:numPr>
        <w:pBdr>
          <w:top w:val="nil"/>
          <w:left w:val="nil"/>
          <w:bottom w:val="nil"/>
          <w:right w:val="nil"/>
          <w:between w:val="nil"/>
        </w:pBdr>
        <w:spacing w:before="36" w:after="36"/>
      </w:pPr>
      <w:r>
        <w:rPr>
          <w:color w:val="000000"/>
        </w:rPr>
        <w:t>Evaluate the antioxidant activities (DPPH radical scavenging, ABTS radical scavenging, and reducing power) of the composite flours</w:t>
      </w:r>
    </w:p>
    <w:p w:rsidR="00DA3669" w:rsidRDefault="00C04E1A">
      <w:pPr>
        <w:numPr>
          <w:ilvl w:val="0"/>
          <w:numId w:val="1"/>
        </w:numPr>
        <w:pBdr>
          <w:top w:val="nil"/>
          <w:left w:val="nil"/>
          <w:bottom w:val="nil"/>
          <w:right w:val="nil"/>
          <w:between w:val="nil"/>
        </w:pBdr>
        <w:spacing w:before="36" w:after="36"/>
      </w:pPr>
      <w:r>
        <w:rPr>
          <w:color w:val="000000"/>
        </w:rPr>
        <w:t>Assess the enzyme inhibitory activities (α-glucosidase, α-amylase, and angiotensin-converting enzyme inhibition) of the supplemented products</w:t>
      </w:r>
    </w:p>
    <w:p w:rsidR="00DA3669" w:rsidRDefault="00C04E1A">
      <w:pPr>
        <w:numPr>
          <w:ilvl w:val="0"/>
          <w:numId w:val="1"/>
        </w:numPr>
        <w:pBdr>
          <w:top w:val="nil"/>
          <w:left w:val="nil"/>
          <w:bottom w:val="nil"/>
          <w:right w:val="nil"/>
          <w:between w:val="nil"/>
        </w:pBdr>
        <w:spacing w:before="36" w:after="36"/>
      </w:pPr>
      <w:r>
        <w:rPr>
          <w:color w:val="000000"/>
        </w:rPr>
        <w:t xml:space="preserve">Determine the optimal supplementation level of </w:t>
      </w:r>
      <w:r>
        <w:rPr>
          <w:i/>
          <w:color w:val="000000"/>
        </w:rPr>
        <w:t xml:space="preserve">D. </w:t>
      </w:r>
      <w:proofErr w:type="spellStart"/>
      <w:r>
        <w:rPr>
          <w:i/>
          <w:color w:val="000000"/>
        </w:rPr>
        <w:t>microcarpum</w:t>
      </w:r>
      <w:proofErr w:type="spellEnd"/>
      <w:r>
        <w:rPr>
          <w:color w:val="000000"/>
        </w:rPr>
        <w:t xml:space="preserve"> for maximizing bioactive compound enhancement</w:t>
      </w:r>
    </w:p>
    <w:p w:rsidR="00DA3669" w:rsidRDefault="00C04E1A">
      <w:pPr>
        <w:numPr>
          <w:ilvl w:val="0"/>
          <w:numId w:val="1"/>
        </w:numPr>
        <w:pBdr>
          <w:top w:val="nil"/>
          <w:left w:val="nil"/>
          <w:bottom w:val="nil"/>
          <w:right w:val="nil"/>
          <w:between w:val="nil"/>
        </w:pBdr>
        <w:spacing w:before="36" w:after="36"/>
      </w:pPr>
      <w:r>
        <w:rPr>
          <w:color w:val="000000"/>
        </w:rPr>
        <w:t>Establish the scientific foundation for developing functional food products from these composite flours</w:t>
      </w:r>
    </w:p>
    <w:p w:rsidR="00DA3669" w:rsidRDefault="00C04E1A">
      <w:pPr>
        <w:pBdr>
          <w:top w:val="nil"/>
          <w:left w:val="nil"/>
          <w:bottom w:val="nil"/>
          <w:right w:val="nil"/>
          <w:between w:val="nil"/>
        </w:pBdr>
        <w:spacing w:before="180" w:after="180"/>
        <w:rPr>
          <w:color w:val="000000"/>
        </w:rPr>
      </w:pPr>
      <w:r>
        <w:rPr>
          <w:color w:val="000000"/>
        </w:rPr>
        <w:t>This study contributes to the growing body of knowledge on functional food development by providing scientific evidence for the synergistic enhancement of bioactive compounds through strategic plant combinations. The findings will inform the development of nutrient-dense food products that can contribute to addressing malnutrition and promoting health in communities where these crops are readily available.</w:t>
      </w:r>
    </w:p>
    <w:p w:rsidR="00DA3669" w:rsidRDefault="00C04E1A">
      <w:pPr>
        <w:pStyle w:val="Heading2"/>
      </w:pPr>
      <w:bookmarkStart w:id="4" w:name="bookmark=id.i5la0uwc32l" w:colFirst="0" w:colLast="0"/>
      <w:bookmarkEnd w:id="4"/>
      <w:r>
        <w:lastRenderedPageBreak/>
        <w:t>2. Materials and Methods</w:t>
      </w:r>
    </w:p>
    <w:p w:rsidR="00DA3669" w:rsidRDefault="00C04E1A">
      <w:pPr>
        <w:pStyle w:val="Heading3"/>
      </w:pPr>
      <w:bookmarkStart w:id="5" w:name="bookmark=id.q38cz9bfb0bl" w:colFirst="0" w:colLast="0"/>
      <w:bookmarkEnd w:id="5"/>
      <w:r>
        <w:t>2.1 Materials and Sample Collection</w:t>
      </w:r>
    </w:p>
    <w:p w:rsidR="00DA3669" w:rsidRDefault="00C04E1A">
      <w:pPr>
        <w:pBdr>
          <w:top w:val="nil"/>
          <w:left w:val="nil"/>
          <w:bottom w:val="nil"/>
          <w:right w:val="nil"/>
          <w:between w:val="nil"/>
        </w:pBdr>
        <w:spacing w:before="180" w:after="180"/>
        <w:rPr>
          <w:color w:val="000000"/>
        </w:rPr>
      </w:pPr>
      <w:r>
        <w:rPr>
          <w:color w:val="000000"/>
        </w:rPr>
        <w:t>Orange-fleshed sweet potato (</w:t>
      </w:r>
      <w:r>
        <w:rPr>
          <w:i/>
          <w:color w:val="000000"/>
        </w:rPr>
        <w:t>Ipomoea batatas</w:t>
      </w:r>
      <w:r>
        <w:rPr>
          <w:color w:val="000000"/>
        </w:rPr>
        <w:t xml:space="preserve">) tubers and </w:t>
      </w: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xml:space="preserve"> seeds were obtained from local farmers in Ilorin, </w:t>
      </w:r>
      <w:proofErr w:type="spellStart"/>
      <w:r>
        <w:rPr>
          <w:color w:val="000000"/>
        </w:rPr>
        <w:t>Kwara</w:t>
      </w:r>
      <w:proofErr w:type="spellEnd"/>
      <w:r>
        <w:rPr>
          <w:color w:val="000000"/>
        </w:rPr>
        <w:t xml:space="preserve"> State, Nigeria, during the harvest season (October-November 2023). A total of 5 kg of orange-fleshed sweet potato tubers and 2 kg of </w:t>
      </w:r>
      <w:r>
        <w:rPr>
          <w:i/>
          <w:color w:val="000000"/>
        </w:rPr>
        <w:t xml:space="preserve">D. </w:t>
      </w:r>
      <w:proofErr w:type="spellStart"/>
      <w:r>
        <w:rPr>
          <w:i/>
          <w:color w:val="000000"/>
        </w:rPr>
        <w:t>microcarpum</w:t>
      </w:r>
      <w:proofErr w:type="spellEnd"/>
      <w:r>
        <w:rPr>
          <w:color w:val="000000"/>
        </w:rPr>
        <w:t xml:space="preserve"> seeds were collected using systematic random sampling from different farms to ensure representativeness. The samples were collected in the morning hours (8:00-10:00 AM) to minimize environmental stress effects on the plant materials.</w:t>
      </w:r>
    </w:p>
    <w:p w:rsidR="00DA3669" w:rsidRDefault="00C04E1A">
      <w:pPr>
        <w:pBdr>
          <w:top w:val="nil"/>
          <w:left w:val="nil"/>
          <w:bottom w:val="nil"/>
          <w:right w:val="nil"/>
          <w:between w:val="nil"/>
        </w:pBdr>
        <w:spacing w:before="180" w:after="180"/>
        <w:rPr>
          <w:color w:val="000000"/>
        </w:rPr>
      </w:pPr>
      <w:r>
        <w:rPr>
          <w:color w:val="000000"/>
        </w:rPr>
        <w:t>Commercial refined wheat flour (2 kg) was purchased from a reputable commercial supplier in Ilorin and used as a reference control. All collected materials were transported to the laboratory within 2 hours of collection in clean, ventilated containers to prevent deterioration. The samples were immediately sorted to remove damaged, diseased, or contaminated materials, then thoroughly washed with clean water to eliminate dirt and foreign matter.</w:t>
      </w:r>
    </w:p>
    <w:p w:rsidR="00DA3669" w:rsidRDefault="00C04E1A">
      <w:pPr>
        <w:pBdr>
          <w:top w:val="nil"/>
          <w:left w:val="nil"/>
          <w:bottom w:val="nil"/>
          <w:right w:val="nil"/>
          <w:between w:val="nil"/>
        </w:pBdr>
        <w:spacing w:before="180" w:after="180"/>
        <w:rPr>
          <w:color w:val="000000"/>
        </w:rPr>
      </w:pPr>
      <w:r>
        <w:rPr>
          <w:color w:val="000000"/>
        </w:rPr>
        <w:t>Laboratory equipment included test tubes, centrifuge tubes, amber glass containers, electric blender (Philips HR2116, Netherlands), glass beakers, conical flasks, measuring cylinders, volumetric flasks, micropipettes, funnels, analytical weighing balance (Mettler Toledo ME204, Switzerland), UV-Visible spectrophotometer (</w:t>
      </w:r>
      <w:proofErr w:type="spellStart"/>
      <w:r>
        <w:rPr>
          <w:color w:val="000000"/>
        </w:rPr>
        <w:t>Jenway</w:t>
      </w:r>
      <w:proofErr w:type="spellEnd"/>
      <w:r>
        <w:rPr>
          <w:color w:val="000000"/>
        </w:rPr>
        <w:t xml:space="preserve"> 6305, UK), centrifuge (Hettich EBA 200, Germany), water bath (</w:t>
      </w:r>
      <w:proofErr w:type="spellStart"/>
      <w:r>
        <w:rPr>
          <w:color w:val="000000"/>
        </w:rPr>
        <w:t>Memmert</w:t>
      </w:r>
      <w:proofErr w:type="spellEnd"/>
      <w:r>
        <w:rPr>
          <w:color w:val="000000"/>
        </w:rPr>
        <w:t xml:space="preserve"> WNB 7, Germany), and refrigerator (Haier </w:t>
      </w:r>
      <w:proofErr w:type="spellStart"/>
      <w:r>
        <w:rPr>
          <w:color w:val="000000"/>
        </w:rPr>
        <w:t>Thermocool</w:t>
      </w:r>
      <w:proofErr w:type="spellEnd"/>
      <w:r>
        <w:rPr>
          <w:color w:val="000000"/>
        </w:rPr>
        <w:t>, Nigeria).</w:t>
      </w:r>
    </w:p>
    <w:p w:rsidR="00DA3669" w:rsidRDefault="00C04E1A">
      <w:pPr>
        <w:pStyle w:val="Heading3"/>
      </w:pPr>
      <w:bookmarkStart w:id="6" w:name="bookmark=id.oncekz1v4s3k" w:colFirst="0" w:colLast="0"/>
      <w:bookmarkEnd w:id="6"/>
      <w:r>
        <w:t>2.2 Chemicals and Reagents</w:t>
      </w:r>
    </w:p>
    <w:p w:rsidR="00DA3669" w:rsidRDefault="00C04E1A">
      <w:pPr>
        <w:pBdr>
          <w:top w:val="nil"/>
          <w:left w:val="nil"/>
          <w:bottom w:val="nil"/>
          <w:right w:val="nil"/>
          <w:between w:val="nil"/>
        </w:pBdr>
        <w:spacing w:before="180" w:after="180"/>
        <w:rPr>
          <w:color w:val="000000"/>
        </w:rPr>
      </w:pPr>
      <w:r>
        <w:rPr>
          <w:color w:val="000000"/>
        </w:rPr>
        <w:t xml:space="preserve">All chemicals used were of analytical grade and procured from reputable suppliers. The chemicals included: </w:t>
      </w:r>
      <w:proofErr w:type="spellStart"/>
      <w:r>
        <w:rPr>
          <w:color w:val="000000"/>
        </w:rPr>
        <w:t>Folin-Ciocalteu</w:t>
      </w:r>
      <w:proofErr w:type="spellEnd"/>
      <w:r>
        <w:rPr>
          <w:color w:val="000000"/>
        </w:rPr>
        <w:t xml:space="preserve"> reagent (Sigma-Aldrich, USA), sodium carbonate (</w:t>
      </w:r>
      <w:proofErr w:type="spellStart"/>
      <w:r>
        <w:rPr>
          <w:color w:val="000000"/>
        </w:rPr>
        <w:t>Na₂CO</w:t>
      </w:r>
      <w:proofErr w:type="spellEnd"/>
      <w:r>
        <w:rPr>
          <w:color w:val="000000"/>
        </w:rPr>
        <w:t>₃), hydrogen peroxide (H₂O₂), absolute ethanol, methanol, ferric chloride (</w:t>
      </w:r>
      <w:proofErr w:type="spellStart"/>
      <w:r>
        <w:rPr>
          <w:color w:val="000000"/>
        </w:rPr>
        <w:t>FeCl</w:t>
      </w:r>
      <w:proofErr w:type="spellEnd"/>
      <w:r>
        <w:rPr>
          <w:color w:val="000000"/>
        </w:rPr>
        <w:t>₃), concentrated sulfuric acid (H₂SO₄), 1,1-diphenyl-2-picrylhydrazyl (DPPH), 2,2’-azino-bis(3-ethylbenzothiazoline-6-sulfonic acid) (ABTS), p-nitrophenyl glucopyranoside (PNPG), aluminum chloride (</w:t>
      </w:r>
      <w:proofErr w:type="spellStart"/>
      <w:r>
        <w:rPr>
          <w:color w:val="000000"/>
        </w:rPr>
        <w:t>AlCl</w:t>
      </w:r>
      <w:proofErr w:type="spellEnd"/>
      <w:r>
        <w:rPr>
          <w:color w:val="000000"/>
        </w:rPr>
        <w:t xml:space="preserve">₃), sodium phosphate buffer, trichloroacetic acid, sodium hydroxide (NaOH), potassium acetate, potassium ferricyanide, potassium persulfate (K₂S₂O₈), </w:t>
      </w:r>
      <w:proofErr w:type="spellStart"/>
      <w:r>
        <w:rPr>
          <w:color w:val="000000"/>
        </w:rPr>
        <w:t>Folin</w:t>
      </w:r>
      <w:proofErr w:type="spellEnd"/>
      <w:r>
        <w:rPr>
          <w:color w:val="000000"/>
        </w:rPr>
        <w:t>-Denis reagent, vanillin reagent, diosgenin standard, soluble starch, 3,5-dinitrosalicylic acid (DNSA), gallic acid standard, quercetin standard, tannic acid standard, and distilled water.</w:t>
      </w:r>
    </w:p>
    <w:p w:rsidR="00DA3669" w:rsidRDefault="00C04E1A">
      <w:pPr>
        <w:pStyle w:val="Heading3"/>
      </w:pPr>
      <w:bookmarkStart w:id="7" w:name="bookmark=id.9m5zc1q2634" w:colFirst="0" w:colLast="0"/>
      <w:bookmarkEnd w:id="7"/>
      <w:r>
        <w:t>2.3 Sample Preparation</w:t>
      </w:r>
    </w:p>
    <w:p w:rsidR="00DA3669" w:rsidRDefault="00C04E1A">
      <w:pPr>
        <w:pStyle w:val="Heading4"/>
      </w:pPr>
      <w:bookmarkStart w:id="8" w:name="bookmark=id.b2zgf5y71tj0" w:colFirst="0" w:colLast="0"/>
      <w:bookmarkEnd w:id="8"/>
      <w:r>
        <w:t xml:space="preserve">2.3.1 Production of D. </w:t>
      </w:r>
      <w:proofErr w:type="spellStart"/>
      <w:r>
        <w:t>microcarpum</w:t>
      </w:r>
      <w:proofErr w:type="spellEnd"/>
      <w:r>
        <w:t xml:space="preserve"> Flour</w:t>
      </w:r>
    </w:p>
    <w:p w:rsidR="00DA3669" w:rsidRDefault="00C04E1A">
      <w:pPr>
        <w:pBdr>
          <w:top w:val="nil"/>
          <w:left w:val="nil"/>
          <w:bottom w:val="nil"/>
          <w:right w:val="nil"/>
          <w:between w:val="nil"/>
        </w:pBdr>
        <w:spacing w:before="180" w:after="180"/>
        <w:rPr>
          <w:color w:val="000000"/>
        </w:rPr>
      </w:pPr>
      <w:r>
        <w:rPr>
          <w:i/>
          <w:color w:val="000000"/>
        </w:rPr>
        <w:t xml:space="preserve">D. </w:t>
      </w:r>
      <w:proofErr w:type="spellStart"/>
      <w:r>
        <w:rPr>
          <w:i/>
          <w:color w:val="000000"/>
        </w:rPr>
        <w:t>microcarpum</w:t>
      </w:r>
      <w:proofErr w:type="spellEnd"/>
      <w:r>
        <w:rPr>
          <w:color w:val="000000"/>
        </w:rPr>
        <w:t xml:space="preserve"> seeds were manually selected and cleaned to remove impurities, damaged seeds, and foreign matter. The cleaned seeds were air-dried at room temperature (25±2°C) for 48 hours to reduce moisture content to approximately 10%. The dried seeds were then ground to a fine powder (mesh size 60) using an electric blender and sieved to ensure uniform particle size. The flour was stored in airtight amber glass containers at 4°C in a desiccator until use to prevent moisture absorption and oxidation.</w:t>
      </w:r>
    </w:p>
    <w:p w:rsidR="00DA3669" w:rsidRDefault="00C04E1A">
      <w:pPr>
        <w:pStyle w:val="Heading4"/>
      </w:pPr>
      <w:bookmarkStart w:id="9" w:name="bookmark=id.765pz1y6oomi" w:colFirst="0" w:colLast="0"/>
      <w:bookmarkEnd w:id="9"/>
      <w:r>
        <w:lastRenderedPageBreak/>
        <w:t>2.3.2 Preparation of Orange-Fleshed Sweet Potato Flour</w:t>
      </w:r>
    </w:p>
    <w:p w:rsidR="00DA3669" w:rsidRDefault="00C04E1A">
      <w:pPr>
        <w:pBdr>
          <w:top w:val="nil"/>
          <w:left w:val="nil"/>
          <w:bottom w:val="nil"/>
          <w:right w:val="nil"/>
          <w:between w:val="nil"/>
        </w:pBdr>
        <w:spacing w:before="180" w:after="180"/>
        <w:rPr>
          <w:color w:val="000000"/>
        </w:rPr>
      </w:pPr>
      <w:r>
        <w:rPr>
          <w:color w:val="000000"/>
        </w:rPr>
        <w:t>Fresh orange-fleshed sweet potato tubers were thoroughly washed with clean water and peeled using stainless steel knives. The peeled tubers were sliced into uniform pieces (approximately 5mm thickness) and dried under direct sunlight for 72-96 hours until completely dehydrated (moisture content &lt;10%). The drying process was monitored daily, and samples were turned regularly to ensure uniform drying. The dried tuber pieces were ground to a fine powder using an electric blender and sieved through a 60-mesh sieve to obtain uniform particle size. The flour was stored in airtight containers at 4°C until use.</w:t>
      </w:r>
    </w:p>
    <w:p w:rsidR="00DA3669" w:rsidRDefault="00C04E1A">
      <w:pPr>
        <w:pStyle w:val="Heading4"/>
      </w:pPr>
      <w:bookmarkStart w:id="10" w:name="bookmark=id.aqm9dzitojk" w:colFirst="0" w:colLast="0"/>
      <w:bookmarkEnd w:id="10"/>
      <w:r>
        <w:t>2.3.3 Preparation of Composite Flour Samples</w:t>
      </w:r>
    </w:p>
    <w:p w:rsidR="00DA3669" w:rsidRDefault="00C04E1A">
      <w:pPr>
        <w:pBdr>
          <w:top w:val="nil"/>
          <w:left w:val="nil"/>
          <w:bottom w:val="nil"/>
          <w:right w:val="nil"/>
          <w:between w:val="nil"/>
        </w:pBdr>
        <w:spacing w:before="180" w:after="180"/>
        <w:rPr>
          <w:color w:val="000000"/>
        </w:rPr>
      </w:pPr>
      <w:r>
        <w:rPr>
          <w:color w:val="000000"/>
        </w:rPr>
        <w:t>Five different sample formulations were prepared based on preliminary optimization studies and following established protocols for composite flour preparation (Adebowale et al., 2021):</w:t>
      </w:r>
    </w:p>
    <w:p w:rsidR="00DA3669" w:rsidRDefault="00C04E1A">
      <w:pPr>
        <w:numPr>
          <w:ilvl w:val="0"/>
          <w:numId w:val="2"/>
        </w:numPr>
        <w:pBdr>
          <w:top w:val="nil"/>
          <w:left w:val="nil"/>
          <w:bottom w:val="nil"/>
          <w:right w:val="nil"/>
          <w:between w:val="nil"/>
        </w:pBdr>
        <w:spacing w:before="36" w:after="36"/>
      </w:pPr>
      <w:r>
        <w:rPr>
          <w:color w:val="000000"/>
        </w:rPr>
        <w:t xml:space="preserve">Sample A: 100% </w:t>
      </w:r>
      <w:r>
        <w:rPr>
          <w:i/>
          <w:color w:val="000000"/>
        </w:rPr>
        <w:t xml:space="preserve">D. </w:t>
      </w:r>
      <w:proofErr w:type="spellStart"/>
      <w:r>
        <w:rPr>
          <w:i/>
          <w:color w:val="000000"/>
        </w:rPr>
        <w:t>microcarpum</w:t>
      </w:r>
      <w:proofErr w:type="spellEnd"/>
      <w:r>
        <w:rPr>
          <w:color w:val="000000"/>
        </w:rPr>
        <w:t xml:space="preserve"> flour</w:t>
      </w:r>
    </w:p>
    <w:p w:rsidR="00DA3669" w:rsidRDefault="00C04E1A">
      <w:pPr>
        <w:numPr>
          <w:ilvl w:val="0"/>
          <w:numId w:val="2"/>
        </w:numPr>
        <w:pBdr>
          <w:top w:val="nil"/>
          <w:left w:val="nil"/>
          <w:bottom w:val="nil"/>
          <w:right w:val="nil"/>
          <w:between w:val="nil"/>
        </w:pBdr>
        <w:spacing w:before="36" w:after="36"/>
      </w:pPr>
      <w:r>
        <w:rPr>
          <w:color w:val="000000"/>
        </w:rPr>
        <w:t>Sample B: 100% orange-fleshed sweet potato flour (Control A)</w:t>
      </w:r>
    </w:p>
    <w:p w:rsidR="00DA3669" w:rsidRDefault="00C04E1A">
      <w:pPr>
        <w:numPr>
          <w:ilvl w:val="0"/>
          <w:numId w:val="2"/>
        </w:numPr>
        <w:pBdr>
          <w:top w:val="nil"/>
          <w:left w:val="nil"/>
          <w:bottom w:val="nil"/>
          <w:right w:val="nil"/>
          <w:between w:val="nil"/>
        </w:pBdr>
        <w:spacing w:before="36" w:after="36"/>
      </w:pPr>
      <w:r>
        <w:rPr>
          <w:color w:val="000000"/>
        </w:rPr>
        <w:t xml:space="preserve">Sample C: 95% orange-fleshed sweet potato flour + 5% </w:t>
      </w:r>
      <w:r>
        <w:rPr>
          <w:i/>
          <w:color w:val="000000"/>
        </w:rPr>
        <w:t xml:space="preserve">D. </w:t>
      </w:r>
      <w:proofErr w:type="spellStart"/>
      <w:r>
        <w:rPr>
          <w:i/>
          <w:color w:val="000000"/>
        </w:rPr>
        <w:t>microcarpum</w:t>
      </w:r>
      <w:proofErr w:type="spellEnd"/>
      <w:r>
        <w:rPr>
          <w:color w:val="000000"/>
        </w:rPr>
        <w:t xml:space="preserve"> flour</w:t>
      </w:r>
    </w:p>
    <w:p w:rsidR="00DA3669" w:rsidRDefault="00C04E1A">
      <w:pPr>
        <w:numPr>
          <w:ilvl w:val="0"/>
          <w:numId w:val="2"/>
        </w:numPr>
        <w:pBdr>
          <w:top w:val="nil"/>
          <w:left w:val="nil"/>
          <w:bottom w:val="nil"/>
          <w:right w:val="nil"/>
          <w:between w:val="nil"/>
        </w:pBdr>
        <w:spacing w:before="36" w:after="36"/>
      </w:pPr>
      <w:r>
        <w:rPr>
          <w:color w:val="000000"/>
        </w:rPr>
        <w:t xml:space="preserve">Sample D: 90% orange-fleshed sweet potato flour + 10% </w:t>
      </w:r>
      <w:r>
        <w:rPr>
          <w:i/>
          <w:color w:val="000000"/>
        </w:rPr>
        <w:t xml:space="preserve">D. </w:t>
      </w:r>
      <w:proofErr w:type="spellStart"/>
      <w:r>
        <w:rPr>
          <w:i/>
          <w:color w:val="000000"/>
        </w:rPr>
        <w:t>microcarpum</w:t>
      </w:r>
      <w:proofErr w:type="spellEnd"/>
      <w:r>
        <w:rPr>
          <w:color w:val="000000"/>
        </w:rPr>
        <w:t xml:space="preserve"> flour</w:t>
      </w:r>
    </w:p>
    <w:p w:rsidR="00DA3669" w:rsidRDefault="00C04E1A">
      <w:pPr>
        <w:numPr>
          <w:ilvl w:val="0"/>
          <w:numId w:val="2"/>
        </w:numPr>
        <w:pBdr>
          <w:top w:val="nil"/>
          <w:left w:val="nil"/>
          <w:bottom w:val="nil"/>
          <w:right w:val="nil"/>
          <w:between w:val="nil"/>
        </w:pBdr>
        <w:spacing w:before="36" w:after="36"/>
      </w:pPr>
      <w:r>
        <w:rPr>
          <w:color w:val="000000"/>
        </w:rPr>
        <w:t>Sample E: 100% wheat flour (Control B)</w:t>
      </w:r>
    </w:p>
    <w:p w:rsidR="00DA3669" w:rsidRDefault="00C04E1A">
      <w:pPr>
        <w:pBdr>
          <w:top w:val="nil"/>
          <w:left w:val="nil"/>
          <w:bottom w:val="nil"/>
          <w:right w:val="nil"/>
          <w:between w:val="nil"/>
        </w:pBdr>
        <w:spacing w:before="180" w:after="180"/>
        <w:rPr>
          <w:color w:val="000000"/>
        </w:rPr>
      </w:pPr>
      <w:r>
        <w:rPr>
          <w:color w:val="000000"/>
        </w:rPr>
        <w:t>The composite samples were prepared by weighing the required amounts of each flour component and mixing thoroughly using an electric blender for 10 minutes to ensure uniform distribution. The composite flours were stored in airtight containers at 4°C until analysis.</w:t>
      </w:r>
    </w:p>
    <w:p w:rsidR="00DA3669" w:rsidRDefault="00C04E1A">
      <w:pPr>
        <w:pStyle w:val="Heading4"/>
      </w:pPr>
      <w:bookmarkStart w:id="11" w:name="bookmark=id.7zdk0qd4cai7" w:colFirst="0" w:colLast="0"/>
      <w:bookmarkEnd w:id="11"/>
      <w:r>
        <w:t>2.3.4 Preparation of Methanolic Extracts</w:t>
      </w:r>
    </w:p>
    <w:p w:rsidR="00DA3669" w:rsidRDefault="00C04E1A">
      <w:pPr>
        <w:pBdr>
          <w:top w:val="nil"/>
          <w:left w:val="nil"/>
          <w:bottom w:val="nil"/>
          <w:right w:val="nil"/>
          <w:between w:val="nil"/>
        </w:pBdr>
        <w:spacing w:before="180" w:after="180"/>
        <w:rPr>
          <w:color w:val="000000"/>
        </w:rPr>
      </w:pPr>
      <w:r>
        <w:rPr>
          <w:color w:val="000000"/>
        </w:rPr>
        <w:t xml:space="preserve">Methanolic extracts were prepared following the optimized method described by </w:t>
      </w:r>
      <w:proofErr w:type="spellStart"/>
      <w:r>
        <w:rPr>
          <w:color w:val="000000"/>
        </w:rPr>
        <w:t>Rocchetti</w:t>
      </w:r>
      <w:proofErr w:type="spellEnd"/>
      <w:r>
        <w:rPr>
          <w:color w:val="000000"/>
        </w:rPr>
        <w:t xml:space="preserve"> et al. (2021) with modifications for enhanced extraction efficiency. One gram of each flour sample was combined with 10 mL of 80% aqueous methanol in a 50 mL amber centrifuge tube. The mixture was vortexed for 2 minutes, then subjected to ultrasonic extraction for 30 minutes at room temperature. The samples were then shaken continuously for 1 hour using a rotary shaker at 150 rpm. The mixture was allowed to stand overnight at 4°C for complete extraction, then centrifuged at 3000 rpm for 10 minutes. The supernatant was collected and filtered through Whatman No. 1 filter paper. The methanolic extracts were stored at -20°C in amber vials until analysis.</w:t>
      </w:r>
    </w:p>
    <w:p w:rsidR="00DA3669" w:rsidRDefault="00C04E1A">
      <w:pPr>
        <w:pStyle w:val="Heading3"/>
      </w:pPr>
      <w:bookmarkStart w:id="12" w:name="bookmark=id.jyid4szh45y2" w:colFirst="0" w:colLast="0"/>
      <w:bookmarkEnd w:id="12"/>
      <w:r>
        <w:t>2.4 Phytochemical Analysis</w:t>
      </w:r>
    </w:p>
    <w:p w:rsidR="00DA3669" w:rsidRDefault="00C04E1A">
      <w:pPr>
        <w:pStyle w:val="Heading4"/>
      </w:pPr>
      <w:bookmarkStart w:id="13" w:name="bookmark=id.4r66mhhg0kho" w:colFirst="0" w:colLast="0"/>
      <w:bookmarkEnd w:id="13"/>
      <w:r>
        <w:t>2.4.1 Determination of Total Phenolic Content</w:t>
      </w:r>
    </w:p>
    <w:p w:rsidR="00DA3669" w:rsidRDefault="00C04E1A">
      <w:pPr>
        <w:pBdr>
          <w:top w:val="nil"/>
          <w:left w:val="nil"/>
          <w:bottom w:val="nil"/>
          <w:right w:val="nil"/>
          <w:between w:val="nil"/>
        </w:pBdr>
        <w:spacing w:before="180" w:after="180"/>
        <w:rPr>
          <w:color w:val="000000"/>
        </w:rPr>
      </w:pPr>
      <w:r>
        <w:rPr>
          <w:color w:val="000000"/>
        </w:rPr>
        <w:t xml:space="preserve">Total phenolic content was determined using the </w:t>
      </w:r>
      <w:proofErr w:type="spellStart"/>
      <w:r>
        <w:rPr>
          <w:color w:val="000000"/>
        </w:rPr>
        <w:t>Folin-Ciocalteu</w:t>
      </w:r>
      <w:proofErr w:type="spellEnd"/>
      <w:r>
        <w:rPr>
          <w:color w:val="000000"/>
        </w:rPr>
        <w:t xml:space="preserve"> method as described by </w:t>
      </w:r>
      <w:proofErr w:type="spellStart"/>
      <w:r>
        <w:rPr>
          <w:color w:val="000000"/>
        </w:rPr>
        <w:t>Rocchetti</w:t>
      </w:r>
      <w:proofErr w:type="spellEnd"/>
      <w:r>
        <w:rPr>
          <w:color w:val="000000"/>
        </w:rPr>
        <w:t xml:space="preserve"> et al. (2021) with modifications. Briefly, 300 </w:t>
      </w:r>
      <w:proofErr w:type="spellStart"/>
      <w:r>
        <w:rPr>
          <w:color w:val="000000"/>
        </w:rPr>
        <w:t>μL</w:t>
      </w:r>
      <w:proofErr w:type="spellEnd"/>
      <w:r>
        <w:rPr>
          <w:color w:val="000000"/>
        </w:rPr>
        <w:t xml:space="preserve"> of extract was mixed with 1.5 mL of diluted </w:t>
      </w:r>
      <w:proofErr w:type="spellStart"/>
      <w:r>
        <w:rPr>
          <w:color w:val="000000"/>
        </w:rPr>
        <w:t>Folin-Ciocalteu</w:t>
      </w:r>
      <w:proofErr w:type="spellEnd"/>
      <w:r>
        <w:rPr>
          <w:color w:val="000000"/>
        </w:rPr>
        <w:t xml:space="preserve"> reagent (1:10 dilution with distilled water) in a test tube. After 3 minutes, 1.2 mL of 7.5% sodium carbonate solution was added, and the mixture was made up to 10 mL with distilled water. The reaction mixture was incubated in darkness at room </w:t>
      </w:r>
      <w:r>
        <w:rPr>
          <w:color w:val="000000"/>
        </w:rPr>
        <w:lastRenderedPageBreak/>
        <w:t xml:space="preserve">temperature for 90 minutes. Absorbance was measured at 765 nm against a blank containing methanol instead of extract. A calibration curve was prepared using gallic acid standard (0-100 </w:t>
      </w:r>
      <w:proofErr w:type="spellStart"/>
      <w:r>
        <w:rPr>
          <w:color w:val="000000"/>
        </w:rPr>
        <w:t>μg</w:t>
      </w:r>
      <w:proofErr w:type="spellEnd"/>
      <w:r>
        <w:rPr>
          <w:color w:val="000000"/>
        </w:rPr>
        <w:t>/mL), and results were expressed as milligrams of gallic acid equivalents (GAE) per gram of sample on a dry weight basis.</w:t>
      </w:r>
    </w:p>
    <w:p w:rsidR="00DA3669" w:rsidRDefault="00C04E1A">
      <w:pPr>
        <w:pStyle w:val="Heading4"/>
      </w:pPr>
      <w:bookmarkStart w:id="14" w:name="bookmark=id.5y1z3azi3tj2" w:colFirst="0" w:colLast="0"/>
      <w:bookmarkEnd w:id="14"/>
      <w:r>
        <w:t>2.4.2 Determination of Total Flavonoid Content</w:t>
      </w:r>
    </w:p>
    <w:p w:rsidR="00DA3669" w:rsidRDefault="00C04E1A">
      <w:pPr>
        <w:pBdr>
          <w:top w:val="nil"/>
          <w:left w:val="nil"/>
          <w:bottom w:val="nil"/>
          <w:right w:val="nil"/>
          <w:between w:val="nil"/>
        </w:pBdr>
        <w:spacing w:before="180" w:after="180"/>
        <w:rPr>
          <w:color w:val="000000"/>
        </w:rPr>
      </w:pPr>
      <w:r>
        <w:rPr>
          <w:color w:val="000000"/>
        </w:rPr>
        <w:t xml:space="preserve">Total flavonoid content was determined using the aluminum chloride colorimetric method as described by </w:t>
      </w:r>
      <w:proofErr w:type="spellStart"/>
      <w:r>
        <w:rPr>
          <w:color w:val="000000"/>
        </w:rPr>
        <w:t>Szajdek</w:t>
      </w:r>
      <w:proofErr w:type="spellEnd"/>
      <w:r>
        <w:rPr>
          <w:color w:val="000000"/>
        </w:rPr>
        <w:t xml:space="preserve"> &amp; </w:t>
      </w:r>
      <w:proofErr w:type="spellStart"/>
      <w:r>
        <w:rPr>
          <w:color w:val="000000"/>
        </w:rPr>
        <w:t>Borowska</w:t>
      </w:r>
      <w:proofErr w:type="spellEnd"/>
      <w:r>
        <w:rPr>
          <w:color w:val="000000"/>
        </w:rPr>
        <w:t xml:space="preserve"> (2020). The reaction mixture contained 0.5 mL of extract, 0.1 mL of 10% aluminum chloride solution, 0.1 mL of 1 M potassium acetate, and 4.3 mL of distilled water. The mixture was incubated at room temperature for 30 minutes, and absorbance was measured at 415 nm. A calibration curve was prepared using quercetin standard (0-50 </w:t>
      </w:r>
      <w:proofErr w:type="spellStart"/>
      <w:r>
        <w:rPr>
          <w:color w:val="000000"/>
        </w:rPr>
        <w:t>μg</w:t>
      </w:r>
      <w:proofErr w:type="spellEnd"/>
      <w:r>
        <w:rPr>
          <w:color w:val="000000"/>
        </w:rPr>
        <w:t>/mL), and results were expressed as milligrams of quercetin equivalents (QE) per gram of sample on a dry weight basis.</w:t>
      </w:r>
    </w:p>
    <w:p w:rsidR="00DA3669" w:rsidRDefault="00C04E1A">
      <w:pPr>
        <w:pStyle w:val="Heading4"/>
      </w:pPr>
      <w:bookmarkStart w:id="15" w:name="bookmark=id.6dcqxn4mmy4j" w:colFirst="0" w:colLast="0"/>
      <w:bookmarkEnd w:id="15"/>
      <w:r>
        <w:t>2.4.3 Determination of Total Tannin Content</w:t>
      </w:r>
    </w:p>
    <w:p w:rsidR="00DA3669" w:rsidRDefault="00C04E1A">
      <w:pPr>
        <w:pBdr>
          <w:top w:val="nil"/>
          <w:left w:val="nil"/>
          <w:bottom w:val="nil"/>
          <w:right w:val="nil"/>
          <w:between w:val="nil"/>
        </w:pBdr>
        <w:spacing w:before="180" w:after="180"/>
        <w:rPr>
          <w:color w:val="000000"/>
        </w:rPr>
      </w:pPr>
      <w:r>
        <w:rPr>
          <w:color w:val="000000"/>
        </w:rPr>
        <w:t xml:space="preserve">Total tannin content was determined using the </w:t>
      </w:r>
      <w:proofErr w:type="spellStart"/>
      <w:r>
        <w:rPr>
          <w:color w:val="000000"/>
        </w:rPr>
        <w:t>Folin</w:t>
      </w:r>
      <w:proofErr w:type="spellEnd"/>
      <w:r>
        <w:rPr>
          <w:color w:val="000000"/>
        </w:rPr>
        <w:t xml:space="preserve">-Denis method as described by </w:t>
      </w:r>
      <w:proofErr w:type="spellStart"/>
      <w:r>
        <w:rPr>
          <w:color w:val="000000"/>
        </w:rPr>
        <w:t>Oguntibeju</w:t>
      </w:r>
      <w:proofErr w:type="spellEnd"/>
      <w:r>
        <w:rPr>
          <w:color w:val="000000"/>
        </w:rPr>
        <w:t xml:space="preserve"> (2023). The assay mixture contained 0.1 mL of extract, 7.5 mL of distilled water, 0.5 mL of </w:t>
      </w:r>
      <w:proofErr w:type="spellStart"/>
      <w:r>
        <w:rPr>
          <w:color w:val="000000"/>
        </w:rPr>
        <w:t>Folin</w:t>
      </w:r>
      <w:proofErr w:type="spellEnd"/>
      <w:r>
        <w:rPr>
          <w:color w:val="000000"/>
        </w:rPr>
        <w:t xml:space="preserve">-Denis reagent, and 1 mL of 35% sodium carbonate solution. The mixture was diluted to 10 mL with distilled water and incubated for 30 minutes at room temperature. Absorbance was measured at 760 nm against a blank. A calibration curve was prepared using tannic acid standard (0-100 </w:t>
      </w:r>
      <w:proofErr w:type="spellStart"/>
      <w:r>
        <w:rPr>
          <w:color w:val="000000"/>
        </w:rPr>
        <w:t>μg</w:t>
      </w:r>
      <w:proofErr w:type="spellEnd"/>
      <w:r>
        <w:rPr>
          <w:color w:val="000000"/>
        </w:rPr>
        <w:t>/mL), and results were expressed as milligrams of tannic acid equivalents (TAE) per gram of sample on a dry weight basis.</w:t>
      </w:r>
    </w:p>
    <w:p w:rsidR="00DA3669" w:rsidRDefault="00C04E1A">
      <w:pPr>
        <w:pStyle w:val="Heading4"/>
      </w:pPr>
      <w:bookmarkStart w:id="16" w:name="bookmark=id.tvmyjl7ok4jj" w:colFirst="0" w:colLast="0"/>
      <w:bookmarkEnd w:id="16"/>
      <w:r>
        <w:t>2.4.4 Determination of Total Saponin Content</w:t>
      </w:r>
    </w:p>
    <w:p w:rsidR="00DA3669" w:rsidRDefault="00C04E1A">
      <w:pPr>
        <w:pBdr>
          <w:top w:val="nil"/>
          <w:left w:val="nil"/>
          <w:bottom w:val="nil"/>
          <w:right w:val="nil"/>
          <w:between w:val="nil"/>
        </w:pBdr>
        <w:spacing w:before="180" w:after="180"/>
        <w:rPr>
          <w:color w:val="000000"/>
        </w:rPr>
      </w:pPr>
      <w:r>
        <w:rPr>
          <w:color w:val="000000"/>
        </w:rPr>
        <w:t xml:space="preserve">Total saponin content was determined using the vanillin-sulfuric acid colorimetric method as described by </w:t>
      </w:r>
      <w:proofErr w:type="spellStart"/>
      <w:r>
        <w:rPr>
          <w:color w:val="000000"/>
        </w:rPr>
        <w:t>Kapepula</w:t>
      </w:r>
      <w:proofErr w:type="spellEnd"/>
      <w:r>
        <w:rPr>
          <w:color w:val="000000"/>
        </w:rPr>
        <w:t xml:space="preserve"> et al. (2020). The reaction mixture contained 0.25 mL of extract, 0.25 mL of 8% vanillin reagent in ethanol, and 2.5 mL of 72% aqueous sulfuric acid. The mixture was heated at 60°C for 10 minutes in a water bath, then cooled in an ice bath for 4 minutes before equilibrating to room temperature. Absorbance was measured at 544 nm against a blank. A calibration curve was prepared using diosgenin standard (0-100 </w:t>
      </w:r>
      <w:proofErr w:type="spellStart"/>
      <w:r>
        <w:rPr>
          <w:color w:val="000000"/>
        </w:rPr>
        <w:t>μg</w:t>
      </w:r>
      <w:proofErr w:type="spellEnd"/>
      <w:r>
        <w:rPr>
          <w:color w:val="000000"/>
        </w:rPr>
        <w:t>/mL), and results were expressed as milligrams of diosgenin equivalents (DE) per gram of sample on a dry weight basis.</w:t>
      </w:r>
    </w:p>
    <w:p w:rsidR="00DA3669" w:rsidRDefault="00C04E1A">
      <w:pPr>
        <w:pStyle w:val="Heading3"/>
      </w:pPr>
      <w:bookmarkStart w:id="17" w:name="bookmark=id.qvue9xwrbesx" w:colFirst="0" w:colLast="0"/>
      <w:bookmarkEnd w:id="17"/>
      <w:r>
        <w:t>2.5 Antioxidant Activity Assays</w:t>
      </w:r>
    </w:p>
    <w:p w:rsidR="00DA3669" w:rsidRDefault="00C04E1A">
      <w:pPr>
        <w:pStyle w:val="Heading4"/>
      </w:pPr>
      <w:bookmarkStart w:id="18" w:name="bookmark=id.puq6544b9esy" w:colFirst="0" w:colLast="0"/>
      <w:bookmarkEnd w:id="18"/>
      <w:r>
        <w:t>2.5.1 DPPH Radical Scavenging Activity</w:t>
      </w:r>
    </w:p>
    <w:p w:rsidR="00DA3669" w:rsidRDefault="00C04E1A">
      <w:pPr>
        <w:pBdr>
          <w:top w:val="nil"/>
          <w:left w:val="nil"/>
          <w:bottom w:val="nil"/>
          <w:right w:val="nil"/>
          <w:between w:val="nil"/>
        </w:pBdr>
        <w:spacing w:before="180" w:after="180"/>
        <w:rPr>
          <w:color w:val="000000"/>
        </w:rPr>
      </w:pPr>
      <w:r>
        <w:rPr>
          <w:color w:val="000000"/>
        </w:rPr>
        <w:t xml:space="preserve">The DPPH (2,2-diphenyl-1-picrylhydrazyl) radical scavenging activity was determined according to the method of </w:t>
      </w:r>
      <w:proofErr w:type="spellStart"/>
      <w:r>
        <w:rPr>
          <w:color w:val="000000"/>
        </w:rPr>
        <w:t>Kedare</w:t>
      </w:r>
      <w:proofErr w:type="spellEnd"/>
      <w:r>
        <w:rPr>
          <w:color w:val="000000"/>
        </w:rPr>
        <w:t xml:space="preserve"> &amp; Singh (2021). Serial dilutions of each extract were prepared in methanol. One milliliter of each dilution was mixed with 3 mL of freshly prepared 0.1 mM DPPH solution in methanol. The mixture was incubated in darkness at room temperature for 30 minutes. Absorbance was measured at 517 nm against a methanol blank. Ascorbic acid was used as a positive control. The percentage inhibition was calculated using the formula:</w:t>
      </w:r>
    </w:p>
    <w:p w:rsidR="00DA3669" w:rsidRDefault="00C04E1A">
      <w:pPr>
        <w:pBdr>
          <w:top w:val="nil"/>
          <w:left w:val="nil"/>
          <w:bottom w:val="nil"/>
          <w:right w:val="nil"/>
          <w:between w:val="nil"/>
        </w:pBdr>
        <w:spacing w:before="180" w:after="180"/>
        <w:rPr>
          <w:color w:val="000000"/>
        </w:rPr>
      </w:pPr>
      <w:r>
        <w:rPr>
          <w:color w:val="000000"/>
        </w:rPr>
        <w:t>% Inhibition = [(A₅₁₇control - A₅₁₇sample) ÷ A₅₁₇control] × 100</w:t>
      </w:r>
    </w:p>
    <w:p w:rsidR="00DA3669" w:rsidRDefault="00C04E1A">
      <w:pPr>
        <w:pBdr>
          <w:top w:val="nil"/>
          <w:left w:val="nil"/>
          <w:bottom w:val="nil"/>
          <w:right w:val="nil"/>
          <w:between w:val="nil"/>
        </w:pBdr>
        <w:spacing w:before="180" w:after="180"/>
        <w:rPr>
          <w:color w:val="000000"/>
        </w:rPr>
      </w:pPr>
      <w:r>
        <w:rPr>
          <w:color w:val="000000"/>
        </w:rPr>
        <w:lastRenderedPageBreak/>
        <w:t>where A₅₁₇control is the absorbance of DPPH without sample, and A₅₁₇sample is the absorbance of DPPH with sample. The SC₅₀ value (concentration required for 50% scavenging) was determined from the dose-response curve.</w:t>
      </w:r>
    </w:p>
    <w:p w:rsidR="00DA3669" w:rsidRDefault="00C04E1A">
      <w:pPr>
        <w:pStyle w:val="Heading4"/>
      </w:pPr>
      <w:bookmarkStart w:id="19" w:name="bookmark=id.y56xg4vmr108" w:colFirst="0" w:colLast="0"/>
      <w:bookmarkEnd w:id="19"/>
      <w:r>
        <w:t>2.5.2 ABTS Radical Scavenging Activity</w:t>
      </w:r>
    </w:p>
    <w:p w:rsidR="00DA3669" w:rsidRDefault="00C04E1A">
      <w:pPr>
        <w:pBdr>
          <w:top w:val="nil"/>
          <w:left w:val="nil"/>
          <w:bottom w:val="nil"/>
          <w:right w:val="nil"/>
          <w:between w:val="nil"/>
        </w:pBdr>
        <w:spacing w:before="180" w:after="180"/>
        <w:rPr>
          <w:color w:val="000000"/>
        </w:rPr>
      </w:pPr>
      <w:r>
        <w:rPr>
          <w:color w:val="000000"/>
        </w:rPr>
        <w:t>ABTS (2,2’-azino-</w:t>
      </w:r>
      <w:proofErr w:type="gramStart"/>
      <w:r>
        <w:rPr>
          <w:color w:val="000000"/>
        </w:rPr>
        <w:t>bis(</w:t>
      </w:r>
      <w:proofErr w:type="gramEnd"/>
      <w:r>
        <w:rPr>
          <w:color w:val="000000"/>
        </w:rPr>
        <w:t xml:space="preserve">3-ethylbenzothiazoline-6-sulfonic acid)) radical scavenging activity was determined according to the method of </w:t>
      </w:r>
      <w:proofErr w:type="spellStart"/>
      <w:r>
        <w:rPr>
          <w:color w:val="000000"/>
        </w:rPr>
        <w:t>Oke</w:t>
      </w:r>
      <w:proofErr w:type="spellEnd"/>
      <w:r>
        <w:rPr>
          <w:color w:val="000000"/>
        </w:rPr>
        <w:t xml:space="preserve"> et al. (2021). The ABTS radical cation was generated by mixing 7 mM ABTS solution with 2.45 mM potassium persulfate solution in equal volumes and incubating in darkness at room temperature for 12-16 hours. The working solution was prepared by diluting the ABTS radical cation solution with 95% ethanol to achieve an absorbance of 0.70 ± 0.02 at 734 nm. The reaction mixture contained 0.2 mL of extract and 2.0 mL of ABTS working solution. After 6 minutes of incubation at room temperature, absorbance was measured at 734 nm. Trolox was used as a positive control, and results were expressed as micromoles of Trolox equivalent antioxidant capacity (TEAC) per gram of sample on a dry weight basis.</w:t>
      </w:r>
    </w:p>
    <w:p w:rsidR="00DA3669" w:rsidRDefault="00C04E1A">
      <w:pPr>
        <w:pStyle w:val="Heading4"/>
      </w:pPr>
      <w:bookmarkStart w:id="20" w:name="bookmark=id.o02drpborwak" w:colFirst="0" w:colLast="0"/>
      <w:bookmarkEnd w:id="20"/>
      <w:r>
        <w:t>2.5.3 Reducing Power Assay</w:t>
      </w:r>
    </w:p>
    <w:p w:rsidR="00DA3669" w:rsidRDefault="00C04E1A">
      <w:pPr>
        <w:pBdr>
          <w:top w:val="nil"/>
          <w:left w:val="nil"/>
          <w:bottom w:val="nil"/>
          <w:right w:val="nil"/>
          <w:between w:val="nil"/>
        </w:pBdr>
        <w:spacing w:before="180" w:after="180"/>
        <w:rPr>
          <w:color w:val="000000"/>
        </w:rPr>
      </w:pPr>
      <w:r>
        <w:rPr>
          <w:color w:val="000000"/>
        </w:rPr>
        <w:t>The reducing power assay was performed according to the method of Sharma et al. (2020) with modifications. The reaction mixture contained 1.0 mL of extract, 2.5 mL of 0.2 M sodium phosphate buffer (pH 6.6), and 2.5 mL of 1% potassium ferricyanide solution. The mixture was incubated at 50°C for 20 minutes in a water bath. After cooling, 2.5 mL of 10% trichloroacetic acid was added, and the mixture was centrifuged at 3000 rpm for 10 minutes. The supernatant (2.5 mL) was mixed with 2.5 mL of distilled water and 0.5 mL of 0.1% ferric chloride solution. Absorbance was measured at 700 nm after 10 minutes. Higher absorbance values indicated greater reducing power. Results were expressed as milligrams of gallic acid equivalents (GAE) per gram of sample on a dry weight basis using a gallic acid standard curve.</w:t>
      </w:r>
    </w:p>
    <w:p w:rsidR="00DA3669" w:rsidRDefault="00C04E1A">
      <w:pPr>
        <w:pStyle w:val="Heading3"/>
      </w:pPr>
      <w:bookmarkStart w:id="21" w:name="bookmark=id.g356buz2mg7c" w:colFirst="0" w:colLast="0"/>
      <w:bookmarkEnd w:id="21"/>
      <w:r>
        <w:t>2.6 Enzyme Inhibitory Activity Assays</w:t>
      </w:r>
    </w:p>
    <w:p w:rsidR="00DA3669" w:rsidRDefault="00C04E1A">
      <w:pPr>
        <w:pStyle w:val="Heading4"/>
      </w:pPr>
      <w:bookmarkStart w:id="22" w:name="bookmark=id.drtb3chyeskz" w:colFirst="0" w:colLast="0"/>
      <w:bookmarkEnd w:id="22"/>
      <w:r>
        <w:t>2.6.1 α-Glucosidase Inhibition Assay</w:t>
      </w:r>
    </w:p>
    <w:p w:rsidR="00DA3669" w:rsidRDefault="00C04E1A">
      <w:pPr>
        <w:pBdr>
          <w:top w:val="nil"/>
          <w:left w:val="nil"/>
          <w:bottom w:val="nil"/>
          <w:right w:val="nil"/>
          <w:between w:val="nil"/>
        </w:pBdr>
        <w:spacing w:before="180" w:after="180"/>
        <w:rPr>
          <w:color w:val="000000"/>
        </w:rPr>
      </w:pPr>
      <w:r>
        <w:rPr>
          <w:color w:val="000000"/>
        </w:rPr>
        <w:t xml:space="preserve">α-Glucosidase inhibitory activity was determined using the method of </w:t>
      </w:r>
      <w:proofErr w:type="spellStart"/>
      <w:r>
        <w:rPr>
          <w:color w:val="000000"/>
        </w:rPr>
        <w:t>Adedayo</w:t>
      </w:r>
      <w:proofErr w:type="spellEnd"/>
      <w:r>
        <w:rPr>
          <w:color w:val="000000"/>
        </w:rPr>
        <w:t xml:space="preserve"> et al. (2022) with modifications. The reaction mixture contained 50 </w:t>
      </w:r>
      <w:proofErr w:type="spellStart"/>
      <w:r>
        <w:rPr>
          <w:color w:val="000000"/>
        </w:rPr>
        <w:t>μL</w:t>
      </w:r>
      <w:proofErr w:type="spellEnd"/>
      <w:r>
        <w:rPr>
          <w:color w:val="000000"/>
        </w:rPr>
        <w:t xml:space="preserve"> of extract, 50 </w:t>
      </w:r>
      <w:proofErr w:type="spellStart"/>
      <w:r>
        <w:rPr>
          <w:color w:val="000000"/>
        </w:rPr>
        <w:t>μL</w:t>
      </w:r>
      <w:proofErr w:type="spellEnd"/>
      <w:r>
        <w:rPr>
          <w:color w:val="000000"/>
        </w:rPr>
        <w:t xml:space="preserve"> of α-glucosidase enzyme solution (0.2 U/mL in 0.1 M phosphate buffer, pH 6.9), and 50 </w:t>
      </w:r>
      <w:proofErr w:type="spellStart"/>
      <w:r>
        <w:rPr>
          <w:color w:val="000000"/>
        </w:rPr>
        <w:t>μL</w:t>
      </w:r>
      <w:proofErr w:type="spellEnd"/>
      <w:r>
        <w:rPr>
          <w:color w:val="000000"/>
        </w:rPr>
        <w:t xml:space="preserve"> of 0.1 M phosphate buffer. The mixture was pre-incubated at 37°C for 10 minutes. The reaction was initiated by adding 50 </w:t>
      </w:r>
      <w:proofErr w:type="spellStart"/>
      <w:r>
        <w:rPr>
          <w:color w:val="000000"/>
        </w:rPr>
        <w:t>μL</w:t>
      </w:r>
      <w:proofErr w:type="spellEnd"/>
      <w:r>
        <w:rPr>
          <w:color w:val="000000"/>
        </w:rPr>
        <w:t xml:space="preserve"> of 5 mM p-nitrophenyl-α-D-glucopyranoside (PNPG) substrate solution. After incubation at 37°C for 20 minutes, the reaction was terminated by adding 100 </w:t>
      </w:r>
      <w:proofErr w:type="spellStart"/>
      <w:r>
        <w:rPr>
          <w:color w:val="000000"/>
        </w:rPr>
        <w:t>μL</w:t>
      </w:r>
      <w:proofErr w:type="spellEnd"/>
      <w:r>
        <w:rPr>
          <w:color w:val="000000"/>
        </w:rPr>
        <w:t xml:space="preserve"> of 0.2 M sodium carbonate. The absorbance was measured at 405 nm. Acarbose was used as a positive control. The percentage inhibition was calculated as:</w:t>
      </w:r>
    </w:p>
    <w:p w:rsidR="00DA3669" w:rsidRDefault="00C04E1A">
      <w:pPr>
        <w:pBdr>
          <w:top w:val="nil"/>
          <w:left w:val="nil"/>
          <w:bottom w:val="nil"/>
          <w:right w:val="nil"/>
          <w:between w:val="nil"/>
        </w:pBdr>
        <w:spacing w:before="180" w:after="180"/>
        <w:rPr>
          <w:color w:val="000000"/>
        </w:rPr>
      </w:pPr>
      <w:r>
        <w:rPr>
          <w:color w:val="000000"/>
        </w:rPr>
        <w:t>% Inhibition = [(</w:t>
      </w:r>
      <w:proofErr w:type="spellStart"/>
      <w:r>
        <w:rPr>
          <w:color w:val="000000"/>
        </w:rPr>
        <w:t>Acontrol</w:t>
      </w:r>
      <w:proofErr w:type="spellEnd"/>
      <w:r>
        <w:rPr>
          <w:color w:val="000000"/>
        </w:rPr>
        <w:t xml:space="preserve"> - </w:t>
      </w:r>
      <w:proofErr w:type="spellStart"/>
      <w:r>
        <w:rPr>
          <w:color w:val="000000"/>
        </w:rPr>
        <w:t>Asample</w:t>
      </w:r>
      <w:proofErr w:type="spellEnd"/>
      <w:r>
        <w:rPr>
          <w:color w:val="000000"/>
        </w:rPr>
        <w:t xml:space="preserve">) ÷ </w:t>
      </w:r>
      <w:proofErr w:type="spellStart"/>
      <w:r>
        <w:rPr>
          <w:color w:val="000000"/>
        </w:rPr>
        <w:t>Acontrol</w:t>
      </w:r>
      <w:proofErr w:type="spellEnd"/>
      <w:r>
        <w:rPr>
          <w:color w:val="000000"/>
        </w:rPr>
        <w:t>] × 100</w:t>
      </w:r>
    </w:p>
    <w:p w:rsidR="00DA3669" w:rsidRDefault="00C04E1A">
      <w:pPr>
        <w:pBdr>
          <w:top w:val="nil"/>
          <w:left w:val="nil"/>
          <w:bottom w:val="nil"/>
          <w:right w:val="nil"/>
          <w:between w:val="nil"/>
        </w:pBdr>
        <w:spacing w:before="180" w:after="180"/>
        <w:rPr>
          <w:color w:val="000000"/>
        </w:rPr>
      </w:pPr>
      <w:r>
        <w:rPr>
          <w:color w:val="000000"/>
        </w:rPr>
        <w:t>The IC₅₀ value was determined from the dose-response curve.</w:t>
      </w:r>
    </w:p>
    <w:p w:rsidR="00DA3669" w:rsidRDefault="00C04E1A">
      <w:pPr>
        <w:pStyle w:val="Heading4"/>
      </w:pPr>
      <w:bookmarkStart w:id="23" w:name="bookmark=id.w6fg8dbn8ge7" w:colFirst="0" w:colLast="0"/>
      <w:bookmarkEnd w:id="23"/>
      <w:r>
        <w:lastRenderedPageBreak/>
        <w:t>2.6.2 α-Amylase Inhibition Assay</w:t>
      </w:r>
    </w:p>
    <w:p w:rsidR="00DA3669" w:rsidRDefault="00C04E1A">
      <w:pPr>
        <w:pBdr>
          <w:top w:val="nil"/>
          <w:left w:val="nil"/>
          <w:bottom w:val="nil"/>
          <w:right w:val="nil"/>
          <w:between w:val="nil"/>
        </w:pBdr>
        <w:spacing w:before="180" w:after="180"/>
        <w:rPr>
          <w:color w:val="000000"/>
        </w:rPr>
      </w:pPr>
      <w:r>
        <w:rPr>
          <w:color w:val="000000"/>
        </w:rPr>
        <w:t xml:space="preserve">α-Amylase inhibitory activity was determined using the method of </w:t>
      </w:r>
      <w:proofErr w:type="spellStart"/>
      <w:r>
        <w:rPr>
          <w:color w:val="000000"/>
        </w:rPr>
        <w:t>Worsztynowicz</w:t>
      </w:r>
      <w:proofErr w:type="spellEnd"/>
      <w:r>
        <w:rPr>
          <w:color w:val="000000"/>
        </w:rPr>
        <w:t xml:space="preserve"> et al. (2020). The reaction mixture contained 250 </w:t>
      </w:r>
      <w:proofErr w:type="spellStart"/>
      <w:r>
        <w:rPr>
          <w:color w:val="000000"/>
        </w:rPr>
        <w:t>μL</w:t>
      </w:r>
      <w:proofErr w:type="spellEnd"/>
      <w:r>
        <w:rPr>
          <w:color w:val="000000"/>
        </w:rPr>
        <w:t xml:space="preserve"> of extract, 250 </w:t>
      </w:r>
      <w:proofErr w:type="spellStart"/>
      <w:r>
        <w:rPr>
          <w:color w:val="000000"/>
        </w:rPr>
        <w:t>μL</w:t>
      </w:r>
      <w:proofErr w:type="spellEnd"/>
      <w:r>
        <w:rPr>
          <w:color w:val="000000"/>
        </w:rPr>
        <w:t xml:space="preserve"> of α-amylase enzyme solution (0.5 mg/mL in 20 mM sodium phosphate buffer, pH 6.9), and 250 </w:t>
      </w:r>
      <w:proofErr w:type="spellStart"/>
      <w:r>
        <w:rPr>
          <w:color w:val="000000"/>
        </w:rPr>
        <w:t>μL</w:t>
      </w:r>
      <w:proofErr w:type="spellEnd"/>
      <w:r>
        <w:rPr>
          <w:color w:val="000000"/>
        </w:rPr>
        <w:t xml:space="preserve"> of 1% soluble starch solution. The mixture was incubated at 37°C for 10 minutes. The reaction was stopped by adding 500 </w:t>
      </w:r>
      <w:proofErr w:type="spellStart"/>
      <w:r>
        <w:rPr>
          <w:color w:val="000000"/>
        </w:rPr>
        <w:t>μL</w:t>
      </w:r>
      <w:proofErr w:type="spellEnd"/>
      <w:r>
        <w:rPr>
          <w:color w:val="000000"/>
        </w:rPr>
        <w:t xml:space="preserve"> of 3,5-dinitrosalicylic acid (DNSA) reagent. The mixture was boiled for 5 minutes, cooled to room temperature, and diluted with 5 mL of distilled water. Absorbance was measured at 540 nm. Acarbose was used as a positive control. The percentage inhibition and IC₅₀ values were calculated as described for α-glucosidase inhibition.</w:t>
      </w:r>
    </w:p>
    <w:p w:rsidR="00DA3669" w:rsidRDefault="00C04E1A">
      <w:pPr>
        <w:pStyle w:val="Heading4"/>
      </w:pPr>
      <w:bookmarkStart w:id="24" w:name="bookmark=id.zg517dmu5z8i" w:colFirst="0" w:colLast="0"/>
      <w:bookmarkEnd w:id="24"/>
      <w:r>
        <w:t>2.6.3 Angiotensin-Converting Enzyme (ACE) Inhibition Assay</w:t>
      </w:r>
    </w:p>
    <w:p w:rsidR="00DA3669" w:rsidRDefault="00C04E1A">
      <w:pPr>
        <w:pBdr>
          <w:top w:val="nil"/>
          <w:left w:val="nil"/>
          <w:bottom w:val="nil"/>
          <w:right w:val="nil"/>
          <w:between w:val="nil"/>
        </w:pBdr>
        <w:spacing w:before="180" w:after="180"/>
        <w:rPr>
          <w:color w:val="000000"/>
        </w:rPr>
      </w:pPr>
      <w:r>
        <w:rPr>
          <w:color w:val="000000"/>
        </w:rPr>
        <w:t xml:space="preserve">ACE inhibitory activity was determined using the spectrophotometric method described by </w:t>
      </w:r>
      <w:proofErr w:type="spellStart"/>
      <w:r>
        <w:rPr>
          <w:color w:val="000000"/>
        </w:rPr>
        <w:t>Uthumporn</w:t>
      </w:r>
      <w:proofErr w:type="spellEnd"/>
      <w:r>
        <w:rPr>
          <w:color w:val="000000"/>
        </w:rPr>
        <w:t xml:space="preserve"> et al. (2021) with modifications. The reaction mixture contained 50 </w:t>
      </w:r>
      <w:proofErr w:type="spellStart"/>
      <w:r>
        <w:rPr>
          <w:color w:val="000000"/>
        </w:rPr>
        <w:t>μL</w:t>
      </w:r>
      <w:proofErr w:type="spellEnd"/>
      <w:r>
        <w:rPr>
          <w:color w:val="000000"/>
        </w:rPr>
        <w:t xml:space="preserve"> of extract, 50 </w:t>
      </w:r>
      <w:proofErr w:type="spellStart"/>
      <w:r>
        <w:rPr>
          <w:color w:val="000000"/>
        </w:rPr>
        <w:t>μL</w:t>
      </w:r>
      <w:proofErr w:type="spellEnd"/>
      <w:r>
        <w:rPr>
          <w:color w:val="000000"/>
        </w:rPr>
        <w:t xml:space="preserve"> of ACE solution (25 </w:t>
      </w:r>
      <w:proofErr w:type="spellStart"/>
      <w:r>
        <w:rPr>
          <w:color w:val="000000"/>
        </w:rPr>
        <w:t>mU</w:t>
      </w:r>
      <w:proofErr w:type="spellEnd"/>
      <w:r>
        <w:rPr>
          <w:color w:val="000000"/>
        </w:rPr>
        <w:t xml:space="preserve">/mL in 50 mM Tris-HCl buffer, pH 8.3), and 150 </w:t>
      </w:r>
      <w:proofErr w:type="spellStart"/>
      <w:r>
        <w:rPr>
          <w:color w:val="000000"/>
        </w:rPr>
        <w:t>μL</w:t>
      </w:r>
      <w:proofErr w:type="spellEnd"/>
      <w:r>
        <w:rPr>
          <w:color w:val="000000"/>
        </w:rPr>
        <w:t xml:space="preserve"> of substrate solution (5 mM </w:t>
      </w:r>
      <w:proofErr w:type="spellStart"/>
      <w:r>
        <w:rPr>
          <w:color w:val="000000"/>
        </w:rPr>
        <w:t>hippuryl</w:t>
      </w:r>
      <w:proofErr w:type="spellEnd"/>
      <w:r>
        <w:rPr>
          <w:color w:val="000000"/>
        </w:rPr>
        <w:t>-L-</w:t>
      </w:r>
      <w:proofErr w:type="spellStart"/>
      <w:r>
        <w:rPr>
          <w:color w:val="000000"/>
        </w:rPr>
        <w:t>histidyl</w:t>
      </w:r>
      <w:proofErr w:type="spellEnd"/>
      <w:r>
        <w:rPr>
          <w:color w:val="000000"/>
        </w:rPr>
        <w:t xml:space="preserve">-L-leucine in 50 mM Tris-HCl buffer, pH 8.3). The mixture was incubated at 37°C for 30 minutes. The reaction was terminated by adding 200 </w:t>
      </w:r>
      <w:proofErr w:type="spellStart"/>
      <w:r>
        <w:rPr>
          <w:color w:val="000000"/>
        </w:rPr>
        <w:t>μL</w:t>
      </w:r>
      <w:proofErr w:type="spellEnd"/>
      <w:r>
        <w:rPr>
          <w:color w:val="000000"/>
        </w:rPr>
        <w:t xml:space="preserve"> of 1 M HCl. The liberated hippuric acid was extracted with 1 mL of ethyl acetate by </w:t>
      </w:r>
      <w:proofErr w:type="spellStart"/>
      <w:r>
        <w:rPr>
          <w:color w:val="000000"/>
        </w:rPr>
        <w:t>vortexing</w:t>
      </w:r>
      <w:proofErr w:type="spellEnd"/>
      <w:r>
        <w:rPr>
          <w:color w:val="000000"/>
        </w:rPr>
        <w:t xml:space="preserve"> for 10 seconds. The organic phase was separated by centrifugation and evaporated at 95°C for 30 minutes. The residue was dissolved in 1 mL of distilled water, and absorbance was measured at 228 nm. Captopril was used as a positive control. The percentage inhibition and IC₅₀ values were calculated as described above.</w:t>
      </w:r>
    </w:p>
    <w:p w:rsidR="00DA3669" w:rsidRDefault="00C04E1A">
      <w:pPr>
        <w:pStyle w:val="Heading3"/>
      </w:pPr>
      <w:bookmarkStart w:id="25" w:name="bookmark=id.e0et5rnsoqeo" w:colFirst="0" w:colLast="0"/>
      <w:bookmarkEnd w:id="25"/>
      <w:r>
        <w:t>2.7 Statistical Analysis</w:t>
      </w:r>
    </w:p>
    <w:p w:rsidR="00DA3669" w:rsidRDefault="00C04E1A">
      <w:pPr>
        <w:pBdr>
          <w:top w:val="nil"/>
          <w:left w:val="nil"/>
          <w:bottom w:val="nil"/>
          <w:right w:val="nil"/>
          <w:between w:val="nil"/>
        </w:pBdr>
        <w:spacing w:before="180" w:after="180"/>
        <w:rPr>
          <w:color w:val="000000"/>
        </w:rPr>
      </w:pPr>
      <w:r>
        <w:rPr>
          <w:color w:val="000000"/>
        </w:rPr>
        <w:t>All experiments were performed in triplicate, and results were expressed as mean ± standard deviation. Statistical analysis was performed using SPSS software version 26.0 (IBM Corporation, Armonk, NY, USA). One-way analysis of variance (ANOVA) was used to determine significant differences between treatments, followed by Duncan’s Multiple Range Test for post-hoc comparison of means. Statistical significance was set at p &lt; 0.05. Correlation analysis was performed to determine relationships between phytochemical content and antioxidant activities. Graphs were prepared using GraphPad Prism version 9.0 (GraphPad Software, San Diego, CA, USA).</w:t>
      </w:r>
    </w:p>
    <w:p w:rsidR="00DA3669" w:rsidRDefault="00C04E1A">
      <w:pPr>
        <w:pStyle w:val="Heading2"/>
      </w:pPr>
      <w:bookmarkStart w:id="26" w:name="bookmark=id.ul0jylyff7lj" w:colFirst="0" w:colLast="0"/>
      <w:bookmarkEnd w:id="26"/>
      <w:r>
        <w:t>3. Results</w:t>
      </w:r>
    </w:p>
    <w:p w:rsidR="00DA3669" w:rsidRDefault="00C04E1A">
      <w:pPr>
        <w:pStyle w:val="Heading3"/>
      </w:pPr>
      <w:bookmarkStart w:id="27" w:name="bookmark=id.og1g2un4og40" w:colFirst="0" w:colLast="0"/>
      <w:bookmarkEnd w:id="27"/>
      <w:r>
        <w:t>3.1 Phytochemical Composition</w:t>
      </w:r>
    </w:p>
    <w:p w:rsidR="00DA3669" w:rsidRDefault="00C04E1A">
      <w:pPr>
        <w:pBdr>
          <w:top w:val="nil"/>
          <w:left w:val="nil"/>
          <w:bottom w:val="nil"/>
          <w:right w:val="nil"/>
          <w:between w:val="nil"/>
        </w:pBdr>
        <w:spacing w:before="180" w:after="180"/>
        <w:rPr>
          <w:color w:val="000000"/>
        </w:rPr>
      </w:pPr>
      <w:r>
        <w:rPr>
          <w:color w:val="000000"/>
        </w:rPr>
        <w:t xml:space="preserve">The phytochemical composition of orange-fleshed sweet potato supplemented with </w:t>
      </w:r>
      <w:r>
        <w:rPr>
          <w:i/>
          <w:color w:val="000000"/>
        </w:rPr>
        <w:t xml:space="preserve">D. </w:t>
      </w:r>
      <w:proofErr w:type="spellStart"/>
      <w:r>
        <w:rPr>
          <w:i/>
          <w:color w:val="000000"/>
        </w:rPr>
        <w:t>microcarpum</w:t>
      </w:r>
      <w:proofErr w:type="spellEnd"/>
      <w:r>
        <w:rPr>
          <w:color w:val="000000"/>
        </w:rPr>
        <w:t xml:space="preserve"> is presented in Table 1. The results revealed significant variations in bioactive compound content among the different sample compositions on a dry weight basis.</w:t>
      </w:r>
    </w:p>
    <w:p w:rsidR="00DA3669" w:rsidRDefault="00C04E1A">
      <w:pPr>
        <w:pBdr>
          <w:top w:val="nil"/>
          <w:left w:val="nil"/>
          <w:bottom w:val="nil"/>
          <w:right w:val="nil"/>
          <w:between w:val="nil"/>
        </w:pBdr>
        <w:spacing w:before="180" w:after="180"/>
        <w:rPr>
          <w:color w:val="000000"/>
        </w:rPr>
      </w:pPr>
      <w:r>
        <w:rPr>
          <w:b/>
          <w:color w:val="000000"/>
        </w:rPr>
        <w:t>Table 1:</w:t>
      </w:r>
      <w:r>
        <w:rPr>
          <w:color w:val="000000"/>
        </w:rPr>
        <w:t xml:space="preserve"> Phytochemical composition of orange-fleshed sweet potato supplemented with </w:t>
      </w:r>
      <w:proofErr w:type="spellStart"/>
      <w:r>
        <w:rPr>
          <w:i/>
          <w:color w:val="000000"/>
        </w:rPr>
        <w:t>Detarium</w:t>
      </w:r>
      <w:proofErr w:type="spellEnd"/>
      <w:r>
        <w:rPr>
          <w:i/>
          <w:color w:val="000000"/>
        </w:rPr>
        <w:t xml:space="preserve"> </w:t>
      </w:r>
      <w:proofErr w:type="spellStart"/>
      <w:r>
        <w:rPr>
          <w:i/>
          <w:color w:val="000000"/>
        </w:rPr>
        <w:t>microcarpum</w:t>
      </w:r>
      <w:proofErr w:type="spellEnd"/>
    </w:p>
    <w:tbl>
      <w:tblPr>
        <w:tblStyle w:val="a"/>
        <w:tblW w:w="7920" w:type="dxa"/>
        <w:tblInd w:w="-108" w:type="dxa"/>
        <w:tblLayout w:type="fixed"/>
        <w:tblLook w:val="0020" w:firstRow="1" w:lastRow="0" w:firstColumn="0" w:lastColumn="0" w:noHBand="0" w:noVBand="0"/>
      </w:tblPr>
      <w:tblGrid>
        <w:gridCol w:w="1584"/>
        <w:gridCol w:w="1584"/>
        <w:gridCol w:w="1584"/>
        <w:gridCol w:w="1584"/>
        <w:gridCol w:w="1584"/>
      </w:tblGrid>
      <w:tr w:rsidR="00DA3669" w:rsidTr="00DA3669">
        <w:trPr>
          <w:cnfStyle w:val="100000000000" w:firstRow="1" w:lastRow="0" w:firstColumn="0" w:lastColumn="0" w:oddVBand="0" w:evenVBand="0" w:oddHBand="0" w:evenHBand="0" w:firstRowFirstColumn="0" w:firstRowLastColumn="0" w:lastRowFirstColumn="0" w:lastRowLastColumn="0"/>
          <w:tblHeader/>
        </w:trPr>
        <w:tc>
          <w:tcPr>
            <w:tcW w:w="1584" w:type="dxa"/>
          </w:tcPr>
          <w:p w:rsidR="00DA3669" w:rsidRDefault="00C04E1A">
            <w:pPr>
              <w:pBdr>
                <w:top w:val="nil"/>
                <w:left w:val="nil"/>
                <w:bottom w:val="nil"/>
                <w:right w:val="nil"/>
                <w:between w:val="nil"/>
              </w:pBdr>
              <w:spacing w:before="36" w:after="36"/>
              <w:rPr>
                <w:color w:val="000000"/>
              </w:rPr>
            </w:pPr>
            <w:r>
              <w:rPr>
                <w:color w:val="000000"/>
              </w:rPr>
              <w:lastRenderedPageBreak/>
              <w:t>Sample</w:t>
            </w:r>
          </w:p>
        </w:tc>
        <w:tc>
          <w:tcPr>
            <w:tcW w:w="1584" w:type="dxa"/>
          </w:tcPr>
          <w:p w:rsidR="00DA3669" w:rsidRDefault="00C04E1A">
            <w:pPr>
              <w:pBdr>
                <w:top w:val="nil"/>
                <w:left w:val="nil"/>
                <w:bottom w:val="nil"/>
                <w:right w:val="nil"/>
                <w:between w:val="nil"/>
              </w:pBdr>
              <w:spacing w:before="36" w:after="36"/>
              <w:rPr>
                <w:color w:val="000000"/>
              </w:rPr>
            </w:pPr>
            <w:r>
              <w:rPr>
                <w:color w:val="000000"/>
              </w:rPr>
              <w:t xml:space="preserve">Total Phenolics Content (mg GAE/g </w:t>
            </w:r>
            <w:proofErr w:type="spellStart"/>
            <w:r>
              <w:rPr>
                <w:color w:val="000000"/>
              </w:rPr>
              <w:t>dw</w:t>
            </w:r>
            <w:proofErr w:type="spellEnd"/>
            <w:r>
              <w:rPr>
                <w:color w:val="000000"/>
              </w:rPr>
              <w:t>)</w:t>
            </w:r>
          </w:p>
        </w:tc>
        <w:tc>
          <w:tcPr>
            <w:tcW w:w="1584" w:type="dxa"/>
          </w:tcPr>
          <w:p w:rsidR="00DA3669" w:rsidRDefault="00C04E1A">
            <w:pPr>
              <w:pBdr>
                <w:top w:val="nil"/>
                <w:left w:val="nil"/>
                <w:bottom w:val="nil"/>
                <w:right w:val="nil"/>
                <w:between w:val="nil"/>
              </w:pBdr>
              <w:spacing w:before="36" w:after="36"/>
              <w:rPr>
                <w:color w:val="000000"/>
              </w:rPr>
            </w:pPr>
            <w:r>
              <w:rPr>
                <w:color w:val="000000"/>
              </w:rPr>
              <w:t xml:space="preserve">Total Tannins Content (mg TAE/g </w:t>
            </w:r>
            <w:proofErr w:type="spellStart"/>
            <w:r>
              <w:rPr>
                <w:color w:val="000000"/>
              </w:rPr>
              <w:t>dw</w:t>
            </w:r>
            <w:proofErr w:type="spellEnd"/>
            <w:r>
              <w:rPr>
                <w:color w:val="000000"/>
              </w:rPr>
              <w:t>)</w:t>
            </w:r>
          </w:p>
        </w:tc>
        <w:tc>
          <w:tcPr>
            <w:tcW w:w="1584" w:type="dxa"/>
          </w:tcPr>
          <w:p w:rsidR="00DA3669" w:rsidRDefault="00C04E1A">
            <w:pPr>
              <w:pBdr>
                <w:top w:val="nil"/>
                <w:left w:val="nil"/>
                <w:bottom w:val="nil"/>
                <w:right w:val="nil"/>
                <w:between w:val="nil"/>
              </w:pBdr>
              <w:spacing w:before="36" w:after="36"/>
              <w:rPr>
                <w:color w:val="000000"/>
              </w:rPr>
            </w:pPr>
            <w:r>
              <w:rPr>
                <w:color w:val="000000"/>
              </w:rPr>
              <w:t xml:space="preserve">Total Flavonoids Content (mg QE/g </w:t>
            </w:r>
            <w:proofErr w:type="spellStart"/>
            <w:r>
              <w:rPr>
                <w:color w:val="000000"/>
              </w:rPr>
              <w:t>dw</w:t>
            </w:r>
            <w:proofErr w:type="spellEnd"/>
            <w:r>
              <w:rPr>
                <w:color w:val="000000"/>
              </w:rPr>
              <w:t>)</w:t>
            </w:r>
          </w:p>
        </w:tc>
        <w:tc>
          <w:tcPr>
            <w:tcW w:w="1584" w:type="dxa"/>
          </w:tcPr>
          <w:p w:rsidR="00DA3669" w:rsidRDefault="00C04E1A">
            <w:pPr>
              <w:pBdr>
                <w:top w:val="nil"/>
                <w:left w:val="nil"/>
                <w:bottom w:val="nil"/>
                <w:right w:val="nil"/>
                <w:between w:val="nil"/>
              </w:pBdr>
              <w:spacing w:before="36" w:after="36"/>
              <w:rPr>
                <w:color w:val="000000"/>
              </w:rPr>
            </w:pPr>
            <w:r>
              <w:rPr>
                <w:color w:val="000000"/>
              </w:rPr>
              <w:t xml:space="preserve">Total Saponin Content (mg DE/g </w:t>
            </w:r>
            <w:proofErr w:type="spellStart"/>
            <w:r>
              <w:rPr>
                <w:color w:val="000000"/>
              </w:rPr>
              <w:t>dw</w:t>
            </w:r>
            <w:proofErr w:type="spellEnd"/>
            <w:r>
              <w:rPr>
                <w:color w:val="000000"/>
              </w:rPr>
              <w:t>)</w:t>
            </w:r>
          </w:p>
        </w:tc>
      </w:tr>
      <w:tr w:rsidR="00DA3669" w:rsidTr="00DA3669">
        <w:tc>
          <w:tcPr>
            <w:tcW w:w="1584" w:type="dxa"/>
          </w:tcPr>
          <w:p w:rsidR="00DA3669" w:rsidRDefault="00C04E1A">
            <w:pPr>
              <w:pBdr>
                <w:top w:val="nil"/>
                <w:left w:val="nil"/>
                <w:bottom w:val="nil"/>
                <w:right w:val="nil"/>
                <w:between w:val="nil"/>
              </w:pBdr>
              <w:spacing w:before="36" w:after="36"/>
              <w:rPr>
                <w:color w:val="000000"/>
              </w:rPr>
            </w:pPr>
            <w:proofErr w:type="spellStart"/>
            <w:r>
              <w:rPr>
                <w:i/>
                <w:color w:val="000000"/>
              </w:rPr>
              <w:t>Detarium</w:t>
            </w:r>
            <w:proofErr w:type="spellEnd"/>
            <w:r>
              <w:rPr>
                <w:i/>
                <w:color w:val="000000"/>
              </w:rPr>
              <w:t xml:space="preserve"> </w:t>
            </w:r>
            <w:proofErr w:type="spellStart"/>
            <w:r>
              <w:rPr>
                <w:i/>
                <w:color w:val="000000"/>
              </w:rPr>
              <w:t>microcarpum</w:t>
            </w:r>
            <w:proofErr w:type="spellEnd"/>
          </w:p>
        </w:tc>
        <w:tc>
          <w:tcPr>
            <w:tcW w:w="1584" w:type="dxa"/>
          </w:tcPr>
          <w:p w:rsidR="00DA3669" w:rsidRDefault="00C04E1A">
            <w:pPr>
              <w:pBdr>
                <w:top w:val="nil"/>
                <w:left w:val="nil"/>
                <w:bottom w:val="nil"/>
                <w:right w:val="nil"/>
                <w:between w:val="nil"/>
              </w:pBdr>
              <w:spacing w:before="36" w:after="36"/>
              <w:rPr>
                <w:color w:val="000000"/>
              </w:rPr>
            </w:pPr>
            <w:r>
              <w:rPr>
                <w:color w:val="000000"/>
              </w:rPr>
              <w:t>3.59±0.05c</w:t>
            </w:r>
          </w:p>
        </w:tc>
        <w:tc>
          <w:tcPr>
            <w:tcW w:w="1584" w:type="dxa"/>
          </w:tcPr>
          <w:p w:rsidR="00DA3669" w:rsidRDefault="00C04E1A">
            <w:pPr>
              <w:pBdr>
                <w:top w:val="nil"/>
                <w:left w:val="nil"/>
                <w:bottom w:val="nil"/>
                <w:right w:val="nil"/>
                <w:between w:val="nil"/>
              </w:pBdr>
              <w:spacing w:before="36" w:after="36"/>
              <w:rPr>
                <w:color w:val="000000"/>
              </w:rPr>
            </w:pPr>
            <w:r>
              <w:rPr>
                <w:color w:val="000000"/>
              </w:rPr>
              <w:t>2.63±0.03d</w:t>
            </w:r>
          </w:p>
        </w:tc>
        <w:tc>
          <w:tcPr>
            <w:tcW w:w="1584" w:type="dxa"/>
          </w:tcPr>
          <w:p w:rsidR="00DA3669" w:rsidRDefault="00C04E1A">
            <w:pPr>
              <w:pBdr>
                <w:top w:val="nil"/>
                <w:left w:val="nil"/>
                <w:bottom w:val="nil"/>
                <w:right w:val="nil"/>
                <w:between w:val="nil"/>
              </w:pBdr>
              <w:spacing w:before="36" w:after="36"/>
              <w:rPr>
                <w:color w:val="000000"/>
              </w:rPr>
            </w:pPr>
            <w:r>
              <w:rPr>
                <w:color w:val="000000"/>
              </w:rPr>
              <w:t>0.17±0.02d</w:t>
            </w:r>
          </w:p>
        </w:tc>
        <w:tc>
          <w:tcPr>
            <w:tcW w:w="1584" w:type="dxa"/>
          </w:tcPr>
          <w:p w:rsidR="00DA3669" w:rsidRDefault="00C04E1A">
            <w:pPr>
              <w:pBdr>
                <w:top w:val="nil"/>
                <w:left w:val="nil"/>
                <w:bottom w:val="nil"/>
                <w:right w:val="nil"/>
                <w:between w:val="nil"/>
              </w:pBdr>
              <w:spacing w:before="36" w:after="36"/>
              <w:rPr>
                <w:color w:val="000000"/>
              </w:rPr>
            </w:pPr>
            <w:r>
              <w:rPr>
                <w:color w:val="000000"/>
              </w:rPr>
              <w:t>2.61±0.01c</w:t>
            </w:r>
          </w:p>
        </w:tc>
      </w:tr>
      <w:tr w:rsidR="00DA3669" w:rsidTr="00DA3669">
        <w:tc>
          <w:tcPr>
            <w:tcW w:w="1584" w:type="dxa"/>
          </w:tcPr>
          <w:p w:rsidR="00DA3669" w:rsidRDefault="00C04E1A">
            <w:pPr>
              <w:pBdr>
                <w:top w:val="nil"/>
                <w:left w:val="nil"/>
                <w:bottom w:val="nil"/>
                <w:right w:val="nil"/>
                <w:between w:val="nil"/>
              </w:pBdr>
              <w:spacing w:before="36" w:after="36"/>
              <w:rPr>
                <w:color w:val="000000"/>
              </w:rPr>
            </w:pPr>
            <w:r>
              <w:rPr>
                <w:color w:val="000000"/>
              </w:rPr>
              <w:t>Orange potato (Control)</w:t>
            </w:r>
          </w:p>
        </w:tc>
        <w:tc>
          <w:tcPr>
            <w:tcW w:w="1584" w:type="dxa"/>
          </w:tcPr>
          <w:p w:rsidR="00DA3669" w:rsidRDefault="00C04E1A">
            <w:pPr>
              <w:pBdr>
                <w:top w:val="nil"/>
                <w:left w:val="nil"/>
                <w:bottom w:val="nil"/>
                <w:right w:val="nil"/>
                <w:between w:val="nil"/>
              </w:pBdr>
              <w:spacing w:before="36" w:after="36"/>
              <w:rPr>
                <w:color w:val="000000"/>
              </w:rPr>
            </w:pPr>
            <w:r>
              <w:rPr>
                <w:color w:val="000000"/>
              </w:rPr>
              <w:t>16.68±0.08a</w:t>
            </w:r>
          </w:p>
        </w:tc>
        <w:tc>
          <w:tcPr>
            <w:tcW w:w="1584" w:type="dxa"/>
          </w:tcPr>
          <w:p w:rsidR="00DA3669" w:rsidRDefault="00C04E1A">
            <w:pPr>
              <w:pBdr>
                <w:top w:val="nil"/>
                <w:left w:val="nil"/>
                <w:bottom w:val="nil"/>
                <w:right w:val="nil"/>
                <w:between w:val="nil"/>
              </w:pBdr>
              <w:spacing w:before="36" w:after="36"/>
              <w:rPr>
                <w:color w:val="000000"/>
              </w:rPr>
            </w:pPr>
            <w:r>
              <w:rPr>
                <w:color w:val="000000"/>
              </w:rPr>
              <w:t>12.78±0.75c</w:t>
            </w:r>
          </w:p>
        </w:tc>
        <w:tc>
          <w:tcPr>
            <w:tcW w:w="1584" w:type="dxa"/>
          </w:tcPr>
          <w:p w:rsidR="00DA3669" w:rsidRDefault="00C04E1A">
            <w:pPr>
              <w:pBdr>
                <w:top w:val="nil"/>
                <w:left w:val="nil"/>
                <w:bottom w:val="nil"/>
                <w:right w:val="nil"/>
                <w:between w:val="nil"/>
              </w:pBdr>
              <w:spacing w:before="36" w:after="36"/>
              <w:rPr>
                <w:color w:val="000000"/>
              </w:rPr>
            </w:pPr>
            <w:r>
              <w:rPr>
                <w:color w:val="000000"/>
              </w:rPr>
              <w:t>0.34±0.03c</w:t>
            </w:r>
          </w:p>
        </w:tc>
        <w:tc>
          <w:tcPr>
            <w:tcW w:w="1584" w:type="dxa"/>
          </w:tcPr>
          <w:p w:rsidR="00DA3669" w:rsidRDefault="00C04E1A">
            <w:pPr>
              <w:pBdr>
                <w:top w:val="nil"/>
                <w:left w:val="nil"/>
                <w:bottom w:val="nil"/>
                <w:right w:val="nil"/>
                <w:between w:val="nil"/>
              </w:pBdr>
              <w:spacing w:before="36" w:after="36"/>
              <w:rPr>
                <w:color w:val="000000"/>
              </w:rPr>
            </w:pPr>
            <w:r>
              <w:rPr>
                <w:color w:val="000000"/>
              </w:rPr>
              <w:t>8.16±0.01a</w:t>
            </w:r>
          </w:p>
        </w:tc>
      </w:tr>
      <w:tr w:rsidR="00DA3669" w:rsidTr="00DA3669">
        <w:tc>
          <w:tcPr>
            <w:tcW w:w="1584" w:type="dxa"/>
          </w:tcPr>
          <w:p w:rsidR="00DA3669" w:rsidRDefault="00C04E1A">
            <w:pPr>
              <w:pBdr>
                <w:top w:val="nil"/>
                <w:left w:val="nil"/>
                <w:bottom w:val="nil"/>
                <w:right w:val="nil"/>
                <w:between w:val="nil"/>
              </w:pBdr>
              <w:spacing w:before="36" w:after="36"/>
              <w:rPr>
                <w:color w:val="000000"/>
              </w:rPr>
            </w:pPr>
            <w:r>
              <w:rPr>
                <w:color w:val="000000"/>
              </w:rPr>
              <w:t>95%OP-5%DM</w:t>
            </w:r>
          </w:p>
        </w:tc>
        <w:tc>
          <w:tcPr>
            <w:tcW w:w="1584" w:type="dxa"/>
          </w:tcPr>
          <w:p w:rsidR="00DA3669" w:rsidRDefault="00C04E1A">
            <w:pPr>
              <w:pBdr>
                <w:top w:val="nil"/>
                <w:left w:val="nil"/>
                <w:bottom w:val="nil"/>
                <w:right w:val="nil"/>
                <w:between w:val="nil"/>
              </w:pBdr>
              <w:spacing w:before="36" w:after="36"/>
              <w:rPr>
                <w:color w:val="000000"/>
              </w:rPr>
            </w:pPr>
            <w:r>
              <w:rPr>
                <w:color w:val="000000"/>
              </w:rPr>
              <w:t>14.35±0.54b</w:t>
            </w:r>
          </w:p>
        </w:tc>
        <w:tc>
          <w:tcPr>
            <w:tcW w:w="1584" w:type="dxa"/>
          </w:tcPr>
          <w:p w:rsidR="00DA3669" w:rsidRDefault="00C04E1A">
            <w:pPr>
              <w:pBdr>
                <w:top w:val="nil"/>
                <w:left w:val="nil"/>
                <w:bottom w:val="nil"/>
                <w:right w:val="nil"/>
                <w:between w:val="nil"/>
              </w:pBdr>
              <w:spacing w:before="36" w:after="36"/>
              <w:rPr>
                <w:color w:val="000000"/>
              </w:rPr>
            </w:pPr>
            <w:r>
              <w:rPr>
                <w:color w:val="000000"/>
              </w:rPr>
              <w:t>14.49±0.28b</w:t>
            </w:r>
          </w:p>
        </w:tc>
        <w:tc>
          <w:tcPr>
            <w:tcW w:w="1584" w:type="dxa"/>
          </w:tcPr>
          <w:p w:rsidR="00DA3669" w:rsidRDefault="00C04E1A">
            <w:pPr>
              <w:pBdr>
                <w:top w:val="nil"/>
                <w:left w:val="nil"/>
                <w:bottom w:val="nil"/>
                <w:right w:val="nil"/>
                <w:between w:val="nil"/>
              </w:pBdr>
              <w:spacing w:before="36" w:after="36"/>
              <w:rPr>
                <w:color w:val="000000"/>
              </w:rPr>
            </w:pPr>
            <w:r>
              <w:rPr>
                <w:color w:val="000000"/>
              </w:rPr>
              <w:t>0.43±0.03b</w:t>
            </w:r>
          </w:p>
        </w:tc>
        <w:tc>
          <w:tcPr>
            <w:tcW w:w="1584" w:type="dxa"/>
          </w:tcPr>
          <w:p w:rsidR="00DA3669" w:rsidRDefault="00C04E1A">
            <w:pPr>
              <w:pBdr>
                <w:top w:val="nil"/>
                <w:left w:val="nil"/>
                <w:bottom w:val="nil"/>
                <w:right w:val="nil"/>
                <w:between w:val="nil"/>
              </w:pBdr>
              <w:spacing w:before="36" w:after="36"/>
              <w:rPr>
                <w:color w:val="000000"/>
              </w:rPr>
            </w:pPr>
            <w:r>
              <w:rPr>
                <w:color w:val="000000"/>
              </w:rPr>
              <w:t>8.15±0.04a</w:t>
            </w:r>
          </w:p>
        </w:tc>
      </w:tr>
      <w:tr w:rsidR="00DA3669" w:rsidTr="00DA3669">
        <w:tc>
          <w:tcPr>
            <w:tcW w:w="1584" w:type="dxa"/>
          </w:tcPr>
          <w:p w:rsidR="00DA3669" w:rsidRDefault="00C04E1A">
            <w:pPr>
              <w:pBdr>
                <w:top w:val="nil"/>
                <w:left w:val="nil"/>
                <w:bottom w:val="nil"/>
                <w:right w:val="nil"/>
                <w:between w:val="nil"/>
              </w:pBdr>
              <w:spacing w:before="36" w:after="36"/>
              <w:rPr>
                <w:color w:val="000000"/>
              </w:rPr>
            </w:pPr>
            <w:r>
              <w:rPr>
                <w:color w:val="000000"/>
              </w:rPr>
              <w:t>90%OP-10%DM</w:t>
            </w:r>
          </w:p>
        </w:tc>
        <w:tc>
          <w:tcPr>
            <w:tcW w:w="1584" w:type="dxa"/>
          </w:tcPr>
          <w:p w:rsidR="00DA3669" w:rsidRDefault="00C04E1A">
            <w:pPr>
              <w:pBdr>
                <w:top w:val="nil"/>
                <w:left w:val="nil"/>
                <w:bottom w:val="nil"/>
                <w:right w:val="nil"/>
                <w:between w:val="nil"/>
              </w:pBdr>
              <w:spacing w:before="36" w:after="36"/>
              <w:rPr>
                <w:color w:val="000000"/>
              </w:rPr>
            </w:pPr>
            <w:r>
              <w:rPr>
                <w:color w:val="000000"/>
              </w:rPr>
              <w:t>16.57±1.46a</w:t>
            </w:r>
          </w:p>
        </w:tc>
        <w:tc>
          <w:tcPr>
            <w:tcW w:w="1584" w:type="dxa"/>
          </w:tcPr>
          <w:p w:rsidR="00DA3669" w:rsidRDefault="00C04E1A">
            <w:pPr>
              <w:pBdr>
                <w:top w:val="nil"/>
                <w:left w:val="nil"/>
                <w:bottom w:val="nil"/>
                <w:right w:val="nil"/>
                <w:between w:val="nil"/>
              </w:pBdr>
              <w:spacing w:before="36" w:after="36"/>
              <w:rPr>
                <w:color w:val="000000"/>
              </w:rPr>
            </w:pPr>
            <w:r>
              <w:rPr>
                <w:color w:val="000000"/>
              </w:rPr>
              <w:t>16.78±0.23a</w:t>
            </w:r>
          </w:p>
        </w:tc>
        <w:tc>
          <w:tcPr>
            <w:tcW w:w="1584" w:type="dxa"/>
          </w:tcPr>
          <w:p w:rsidR="00DA3669" w:rsidRDefault="00C04E1A">
            <w:pPr>
              <w:pBdr>
                <w:top w:val="nil"/>
                <w:left w:val="nil"/>
                <w:bottom w:val="nil"/>
                <w:right w:val="nil"/>
                <w:between w:val="nil"/>
              </w:pBdr>
              <w:spacing w:before="36" w:after="36"/>
              <w:rPr>
                <w:color w:val="000000"/>
              </w:rPr>
            </w:pPr>
            <w:r>
              <w:rPr>
                <w:color w:val="000000"/>
              </w:rPr>
              <w:t>0.37±0.01c</w:t>
            </w:r>
          </w:p>
        </w:tc>
        <w:tc>
          <w:tcPr>
            <w:tcW w:w="1584" w:type="dxa"/>
          </w:tcPr>
          <w:p w:rsidR="00DA3669" w:rsidRDefault="00C04E1A">
            <w:pPr>
              <w:pBdr>
                <w:top w:val="nil"/>
                <w:left w:val="nil"/>
                <w:bottom w:val="nil"/>
                <w:right w:val="nil"/>
                <w:between w:val="nil"/>
              </w:pBdr>
              <w:spacing w:before="36" w:after="36"/>
              <w:rPr>
                <w:color w:val="000000"/>
              </w:rPr>
            </w:pPr>
            <w:r>
              <w:rPr>
                <w:color w:val="000000"/>
              </w:rPr>
              <w:t>8.11±0.03a</w:t>
            </w:r>
          </w:p>
        </w:tc>
      </w:tr>
      <w:tr w:rsidR="00DA3669" w:rsidTr="00DA3669">
        <w:tc>
          <w:tcPr>
            <w:tcW w:w="1584" w:type="dxa"/>
          </w:tcPr>
          <w:p w:rsidR="00DA3669" w:rsidRDefault="00C04E1A">
            <w:pPr>
              <w:pBdr>
                <w:top w:val="nil"/>
                <w:left w:val="nil"/>
                <w:bottom w:val="nil"/>
                <w:right w:val="nil"/>
                <w:between w:val="nil"/>
              </w:pBdr>
              <w:spacing w:before="36" w:after="36"/>
              <w:rPr>
                <w:color w:val="000000"/>
              </w:rPr>
            </w:pPr>
            <w:r>
              <w:rPr>
                <w:color w:val="000000"/>
              </w:rPr>
              <w:t>Wheat (Control)</w:t>
            </w:r>
          </w:p>
        </w:tc>
        <w:tc>
          <w:tcPr>
            <w:tcW w:w="1584" w:type="dxa"/>
          </w:tcPr>
          <w:p w:rsidR="00DA3669" w:rsidRDefault="00C04E1A">
            <w:pPr>
              <w:pBdr>
                <w:top w:val="nil"/>
                <w:left w:val="nil"/>
                <w:bottom w:val="nil"/>
                <w:right w:val="nil"/>
                <w:between w:val="nil"/>
              </w:pBdr>
              <w:spacing w:before="36" w:after="36"/>
              <w:rPr>
                <w:color w:val="000000"/>
              </w:rPr>
            </w:pPr>
            <w:r>
              <w:rPr>
                <w:color w:val="000000"/>
              </w:rPr>
              <w:t>4.07±0.18c</w:t>
            </w:r>
          </w:p>
        </w:tc>
        <w:tc>
          <w:tcPr>
            <w:tcW w:w="1584" w:type="dxa"/>
          </w:tcPr>
          <w:p w:rsidR="00DA3669" w:rsidRDefault="00C04E1A">
            <w:pPr>
              <w:pBdr>
                <w:top w:val="nil"/>
                <w:left w:val="nil"/>
                <w:bottom w:val="nil"/>
                <w:right w:val="nil"/>
                <w:between w:val="nil"/>
              </w:pBdr>
              <w:spacing w:before="36" w:after="36"/>
              <w:rPr>
                <w:color w:val="000000"/>
              </w:rPr>
            </w:pPr>
            <w:r>
              <w:rPr>
                <w:color w:val="000000"/>
              </w:rPr>
              <w:t>12.37±0.29c</w:t>
            </w:r>
          </w:p>
        </w:tc>
        <w:tc>
          <w:tcPr>
            <w:tcW w:w="1584" w:type="dxa"/>
          </w:tcPr>
          <w:p w:rsidR="00DA3669" w:rsidRDefault="00C04E1A">
            <w:pPr>
              <w:pBdr>
                <w:top w:val="nil"/>
                <w:left w:val="nil"/>
                <w:bottom w:val="nil"/>
                <w:right w:val="nil"/>
                <w:between w:val="nil"/>
              </w:pBdr>
              <w:spacing w:before="36" w:after="36"/>
              <w:rPr>
                <w:color w:val="000000"/>
              </w:rPr>
            </w:pPr>
            <w:r>
              <w:rPr>
                <w:color w:val="000000"/>
              </w:rPr>
              <w:t>0.82±0.01a</w:t>
            </w:r>
          </w:p>
        </w:tc>
        <w:tc>
          <w:tcPr>
            <w:tcW w:w="1584" w:type="dxa"/>
          </w:tcPr>
          <w:p w:rsidR="00DA3669" w:rsidRDefault="00C04E1A">
            <w:pPr>
              <w:pBdr>
                <w:top w:val="nil"/>
                <w:left w:val="nil"/>
                <w:bottom w:val="nil"/>
                <w:right w:val="nil"/>
                <w:between w:val="nil"/>
              </w:pBdr>
              <w:spacing w:before="36" w:after="36"/>
              <w:rPr>
                <w:color w:val="000000"/>
              </w:rPr>
            </w:pPr>
            <w:r>
              <w:rPr>
                <w:color w:val="000000"/>
              </w:rPr>
              <w:t>6.32±0.14b</w:t>
            </w:r>
          </w:p>
        </w:tc>
      </w:tr>
    </w:tbl>
    <w:p w:rsidR="00DA3669" w:rsidRDefault="00C04E1A">
      <w:pPr>
        <w:pBdr>
          <w:top w:val="nil"/>
          <w:left w:val="nil"/>
          <w:bottom w:val="nil"/>
          <w:right w:val="nil"/>
          <w:between w:val="nil"/>
        </w:pBdr>
        <w:spacing w:before="180" w:after="180"/>
        <w:rPr>
          <w:color w:val="000000"/>
        </w:rPr>
      </w:pPr>
      <w:r>
        <w:rPr>
          <w:color w:val="000000"/>
        </w:rPr>
        <w:t>Data represent mean ± standard deviation of triplicate analysis. Values followed with different superscript letters along the same column vary significantly at p &lt; 0.05. OP (Orange potato), DM (</w:t>
      </w: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xml:space="preserve">), GAE (Gallic Acid Equivalent), TAE (Tannic Acid Equivalent), QE (Quercetin Equivalent), DE (Diosgenin Equivalent), </w:t>
      </w:r>
      <w:proofErr w:type="spellStart"/>
      <w:r>
        <w:rPr>
          <w:color w:val="000000"/>
        </w:rPr>
        <w:t>dw</w:t>
      </w:r>
      <w:proofErr w:type="spellEnd"/>
      <w:r>
        <w:rPr>
          <w:color w:val="000000"/>
        </w:rPr>
        <w:t xml:space="preserve"> (dry weight).</w:t>
      </w:r>
    </w:p>
    <w:p w:rsidR="00DA3669" w:rsidRDefault="00C04E1A">
      <w:pPr>
        <w:pBdr>
          <w:top w:val="nil"/>
          <w:left w:val="nil"/>
          <w:bottom w:val="nil"/>
          <w:right w:val="nil"/>
          <w:between w:val="nil"/>
        </w:pBdr>
        <w:spacing w:before="180" w:after="180"/>
        <w:rPr>
          <w:color w:val="000000"/>
        </w:rPr>
      </w:pPr>
      <w:r>
        <w:rPr>
          <w:color w:val="000000"/>
        </w:rPr>
        <w:t xml:space="preserve">The control orange-fleshed sweet potato sample displayed the highest total phenolic content (16.68±0.08 mg GAE/g </w:t>
      </w:r>
      <w:proofErr w:type="spellStart"/>
      <w:r>
        <w:rPr>
          <w:color w:val="000000"/>
        </w:rPr>
        <w:t>dw</w:t>
      </w:r>
      <w:proofErr w:type="spellEnd"/>
      <w:r>
        <w:rPr>
          <w:color w:val="000000"/>
        </w:rPr>
        <w:t xml:space="preserve">) and saponin content (8.16±0.01 mg DE/g </w:t>
      </w:r>
      <w:proofErr w:type="spellStart"/>
      <w:r>
        <w:rPr>
          <w:color w:val="000000"/>
        </w:rPr>
        <w:t>dw</w:t>
      </w:r>
      <w:proofErr w:type="spellEnd"/>
      <w:r>
        <w:rPr>
          <w:color w:val="000000"/>
        </w:rPr>
        <w:t xml:space="preserve">). The 90% orange potato: 10% </w:t>
      </w:r>
      <w:r>
        <w:rPr>
          <w:i/>
          <w:color w:val="000000"/>
        </w:rPr>
        <w:t xml:space="preserve">D. </w:t>
      </w:r>
      <w:proofErr w:type="spellStart"/>
      <w:r>
        <w:rPr>
          <w:i/>
          <w:color w:val="000000"/>
        </w:rPr>
        <w:t>microcarpum</w:t>
      </w:r>
      <w:proofErr w:type="spellEnd"/>
      <w:r>
        <w:rPr>
          <w:color w:val="000000"/>
        </w:rPr>
        <w:t xml:space="preserve"> blend showed the highest tannin content (16.78±0.23 mg TAE/g </w:t>
      </w:r>
      <w:proofErr w:type="spellStart"/>
      <w:r>
        <w:rPr>
          <w:color w:val="000000"/>
        </w:rPr>
        <w:t>dw</w:t>
      </w:r>
      <w:proofErr w:type="spellEnd"/>
      <w:r>
        <w:rPr>
          <w:color w:val="000000"/>
        </w:rPr>
        <w:t xml:space="preserve">), while the 95% orange potato: 5% </w:t>
      </w:r>
      <w:r>
        <w:rPr>
          <w:i/>
          <w:color w:val="000000"/>
        </w:rPr>
        <w:t xml:space="preserve">D. </w:t>
      </w:r>
      <w:proofErr w:type="spellStart"/>
      <w:r>
        <w:rPr>
          <w:i/>
          <w:color w:val="000000"/>
        </w:rPr>
        <w:t>microcarpum</w:t>
      </w:r>
      <w:proofErr w:type="spellEnd"/>
      <w:r>
        <w:rPr>
          <w:color w:val="000000"/>
        </w:rPr>
        <w:t xml:space="preserve"> blend demonstrated the highest flavonoid content (0.43±0.03 mg QE/g </w:t>
      </w:r>
      <w:proofErr w:type="spellStart"/>
      <w:r>
        <w:rPr>
          <w:color w:val="000000"/>
        </w:rPr>
        <w:t>dw</w:t>
      </w:r>
      <w:proofErr w:type="spellEnd"/>
      <w:r>
        <w:rPr>
          <w:color w:val="000000"/>
        </w:rPr>
        <w:t xml:space="preserve">). Supplementation with </w:t>
      </w:r>
      <w:r>
        <w:rPr>
          <w:i/>
          <w:color w:val="000000"/>
        </w:rPr>
        <w:t xml:space="preserve">D. </w:t>
      </w:r>
      <w:proofErr w:type="spellStart"/>
      <w:r>
        <w:rPr>
          <w:i/>
          <w:color w:val="000000"/>
        </w:rPr>
        <w:t>microcarpum</w:t>
      </w:r>
      <w:proofErr w:type="spellEnd"/>
      <w:r>
        <w:rPr>
          <w:color w:val="000000"/>
        </w:rPr>
        <w:t xml:space="preserve"> resulted in significant increases in tannin and flavonoid content compared to the control orange potato sample. The observed tannin levels (12.78-16.78 mg TAE/g </w:t>
      </w:r>
      <w:proofErr w:type="spellStart"/>
      <w:r>
        <w:rPr>
          <w:color w:val="000000"/>
        </w:rPr>
        <w:t>dw</w:t>
      </w:r>
      <w:proofErr w:type="spellEnd"/>
      <w:r>
        <w:rPr>
          <w:color w:val="000000"/>
        </w:rPr>
        <w:t xml:space="preserve">) and saponin contents (6.32-8.16 mg DE/g </w:t>
      </w:r>
      <w:proofErr w:type="spellStart"/>
      <w:r>
        <w:rPr>
          <w:color w:val="000000"/>
        </w:rPr>
        <w:t>dw</w:t>
      </w:r>
      <w:proofErr w:type="spellEnd"/>
      <w:r>
        <w:rPr>
          <w:color w:val="000000"/>
        </w:rPr>
        <w:t>) in the composite samples are within safe consumption limits for daily intake, as recommended daily intake for tannins is 560-1000 mg/day and for saponins is 200-400 mg/day for adults.</w:t>
      </w:r>
    </w:p>
    <w:p w:rsidR="00DA3669" w:rsidRDefault="00C04E1A">
      <w:pPr>
        <w:pStyle w:val="Heading3"/>
      </w:pPr>
      <w:bookmarkStart w:id="28" w:name="bookmark=id.l6ygh3vril7b" w:colFirst="0" w:colLast="0"/>
      <w:bookmarkEnd w:id="28"/>
      <w:r>
        <w:t>3.2 Antioxidant Activity</w:t>
      </w:r>
    </w:p>
    <w:p w:rsidR="00DA3669" w:rsidRDefault="00C04E1A">
      <w:pPr>
        <w:pBdr>
          <w:top w:val="nil"/>
          <w:left w:val="nil"/>
          <w:bottom w:val="nil"/>
          <w:right w:val="nil"/>
          <w:between w:val="nil"/>
        </w:pBdr>
        <w:spacing w:before="180" w:after="180"/>
        <w:rPr>
          <w:color w:val="000000"/>
        </w:rPr>
      </w:pPr>
      <w:r>
        <w:rPr>
          <w:color w:val="000000"/>
        </w:rPr>
        <w:t>The antioxidant activities of the samples are presented in Table 2, showing significant variations in reducing power, DPPH scavenging ability, and ABTS radical scavenging capacity on a dry weight basis.</w:t>
      </w:r>
    </w:p>
    <w:p w:rsidR="00DA3669" w:rsidRDefault="00C04E1A">
      <w:pPr>
        <w:pBdr>
          <w:top w:val="nil"/>
          <w:left w:val="nil"/>
          <w:bottom w:val="nil"/>
          <w:right w:val="nil"/>
          <w:between w:val="nil"/>
        </w:pBdr>
        <w:spacing w:before="180" w:after="180"/>
        <w:rPr>
          <w:color w:val="000000"/>
        </w:rPr>
      </w:pPr>
      <w:r>
        <w:rPr>
          <w:b/>
          <w:color w:val="000000"/>
        </w:rPr>
        <w:t>Table 2:</w:t>
      </w:r>
      <w:r>
        <w:rPr>
          <w:color w:val="000000"/>
        </w:rPr>
        <w:t xml:space="preserve"> Antioxidant activity of orange-fleshed sweet potato supplemented with </w:t>
      </w:r>
      <w:proofErr w:type="spellStart"/>
      <w:r>
        <w:rPr>
          <w:i/>
          <w:color w:val="000000"/>
        </w:rPr>
        <w:t>Detarium</w:t>
      </w:r>
      <w:proofErr w:type="spellEnd"/>
      <w:r>
        <w:rPr>
          <w:i/>
          <w:color w:val="000000"/>
        </w:rPr>
        <w:t xml:space="preserve"> </w:t>
      </w:r>
      <w:proofErr w:type="spellStart"/>
      <w:r>
        <w:rPr>
          <w:i/>
          <w:color w:val="000000"/>
        </w:rPr>
        <w:t>microcarpum</w:t>
      </w:r>
      <w:proofErr w:type="spellEnd"/>
    </w:p>
    <w:tbl>
      <w:tblPr>
        <w:tblStyle w:val="a0"/>
        <w:tblW w:w="7920" w:type="dxa"/>
        <w:tblInd w:w="-108" w:type="dxa"/>
        <w:tblLayout w:type="fixed"/>
        <w:tblLook w:val="0020" w:firstRow="1" w:lastRow="0" w:firstColumn="0" w:lastColumn="0" w:noHBand="0" w:noVBand="0"/>
      </w:tblPr>
      <w:tblGrid>
        <w:gridCol w:w="1980"/>
        <w:gridCol w:w="1980"/>
        <w:gridCol w:w="1980"/>
        <w:gridCol w:w="1980"/>
      </w:tblGrid>
      <w:tr w:rsidR="00DA3669" w:rsidTr="00DA3669">
        <w:trPr>
          <w:cnfStyle w:val="100000000000" w:firstRow="1" w:lastRow="0" w:firstColumn="0" w:lastColumn="0" w:oddVBand="0" w:evenVBand="0" w:oddHBand="0" w:evenHBand="0" w:firstRowFirstColumn="0" w:firstRowLastColumn="0" w:lastRowFirstColumn="0" w:lastRowLastColumn="0"/>
          <w:tblHeader/>
        </w:trPr>
        <w:tc>
          <w:tcPr>
            <w:tcW w:w="1980" w:type="dxa"/>
          </w:tcPr>
          <w:p w:rsidR="00DA3669" w:rsidRDefault="00C04E1A">
            <w:pPr>
              <w:pBdr>
                <w:top w:val="nil"/>
                <w:left w:val="nil"/>
                <w:bottom w:val="nil"/>
                <w:right w:val="nil"/>
                <w:between w:val="nil"/>
              </w:pBdr>
              <w:spacing w:before="36" w:after="36"/>
              <w:rPr>
                <w:color w:val="000000"/>
              </w:rPr>
            </w:pPr>
            <w:r>
              <w:rPr>
                <w:color w:val="000000"/>
              </w:rPr>
              <w:t>Sample</w:t>
            </w:r>
          </w:p>
        </w:tc>
        <w:tc>
          <w:tcPr>
            <w:tcW w:w="1980" w:type="dxa"/>
          </w:tcPr>
          <w:p w:rsidR="00DA3669" w:rsidRDefault="00C04E1A">
            <w:pPr>
              <w:pBdr>
                <w:top w:val="nil"/>
                <w:left w:val="nil"/>
                <w:bottom w:val="nil"/>
                <w:right w:val="nil"/>
                <w:between w:val="nil"/>
              </w:pBdr>
              <w:spacing w:before="36" w:after="36"/>
              <w:rPr>
                <w:color w:val="000000"/>
              </w:rPr>
            </w:pPr>
            <w:r>
              <w:rPr>
                <w:color w:val="000000"/>
              </w:rPr>
              <w:t xml:space="preserve">Reducing Power (mg GAE/g </w:t>
            </w:r>
            <w:proofErr w:type="spellStart"/>
            <w:r>
              <w:rPr>
                <w:color w:val="000000"/>
              </w:rPr>
              <w:t>dw</w:t>
            </w:r>
            <w:proofErr w:type="spellEnd"/>
            <w:r>
              <w:rPr>
                <w:color w:val="000000"/>
              </w:rPr>
              <w:t>)</w:t>
            </w:r>
          </w:p>
        </w:tc>
        <w:tc>
          <w:tcPr>
            <w:tcW w:w="1980" w:type="dxa"/>
          </w:tcPr>
          <w:p w:rsidR="00DA3669" w:rsidRDefault="00C04E1A">
            <w:pPr>
              <w:pBdr>
                <w:top w:val="nil"/>
                <w:left w:val="nil"/>
                <w:bottom w:val="nil"/>
                <w:right w:val="nil"/>
                <w:between w:val="nil"/>
              </w:pBdr>
              <w:spacing w:before="36" w:after="36"/>
              <w:rPr>
                <w:color w:val="000000"/>
              </w:rPr>
            </w:pPr>
            <w:r>
              <w:rPr>
                <w:color w:val="000000"/>
              </w:rPr>
              <w:t>DPPH SC₅₀ (mg/mL)</w:t>
            </w:r>
          </w:p>
        </w:tc>
        <w:tc>
          <w:tcPr>
            <w:tcW w:w="1980" w:type="dxa"/>
          </w:tcPr>
          <w:p w:rsidR="00DA3669" w:rsidRDefault="00C04E1A">
            <w:pPr>
              <w:pBdr>
                <w:top w:val="nil"/>
                <w:left w:val="nil"/>
                <w:bottom w:val="nil"/>
                <w:right w:val="nil"/>
                <w:between w:val="nil"/>
              </w:pBdr>
              <w:spacing w:before="36" w:after="36"/>
              <w:rPr>
                <w:color w:val="000000"/>
              </w:rPr>
            </w:pPr>
            <w:r>
              <w:rPr>
                <w:color w:val="000000"/>
              </w:rPr>
              <w:t xml:space="preserve">ABTS Scavenging ability (µM TEAC/g </w:t>
            </w:r>
            <w:proofErr w:type="spellStart"/>
            <w:r>
              <w:rPr>
                <w:color w:val="000000"/>
              </w:rPr>
              <w:t>dw</w:t>
            </w:r>
            <w:proofErr w:type="spellEnd"/>
            <w:r>
              <w:rPr>
                <w:color w:val="000000"/>
              </w:rPr>
              <w:t>)</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proofErr w:type="spellStart"/>
            <w:r>
              <w:rPr>
                <w:i/>
                <w:color w:val="000000"/>
              </w:rPr>
              <w:t>Detarium</w:t>
            </w:r>
            <w:proofErr w:type="spellEnd"/>
            <w:r>
              <w:rPr>
                <w:i/>
                <w:color w:val="000000"/>
              </w:rPr>
              <w:t xml:space="preserve"> </w:t>
            </w:r>
            <w:proofErr w:type="spellStart"/>
            <w:r>
              <w:rPr>
                <w:i/>
                <w:color w:val="000000"/>
              </w:rPr>
              <w:t>microcarpum</w:t>
            </w:r>
            <w:proofErr w:type="spellEnd"/>
          </w:p>
        </w:tc>
        <w:tc>
          <w:tcPr>
            <w:tcW w:w="1980" w:type="dxa"/>
          </w:tcPr>
          <w:p w:rsidR="00DA3669" w:rsidRDefault="00C04E1A">
            <w:pPr>
              <w:pBdr>
                <w:top w:val="nil"/>
                <w:left w:val="nil"/>
                <w:bottom w:val="nil"/>
                <w:right w:val="nil"/>
                <w:between w:val="nil"/>
              </w:pBdr>
              <w:spacing w:before="36" w:after="36"/>
              <w:rPr>
                <w:color w:val="000000"/>
              </w:rPr>
            </w:pPr>
            <w:r>
              <w:rPr>
                <w:color w:val="000000"/>
              </w:rPr>
              <w:t>1.99±0.01d</w:t>
            </w:r>
          </w:p>
        </w:tc>
        <w:tc>
          <w:tcPr>
            <w:tcW w:w="1980" w:type="dxa"/>
          </w:tcPr>
          <w:p w:rsidR="00DA3669" w:rsidRDefault="00C04E1A">
            <w:pPr>
              <w:pBdr>
                <w:top w:val="nil"/>
                <w:left w:val="nil"/>
                <w:bottom w:val="nil"/>
                <w:right w:val="nil"/>
                <w:between w:val="nil"/>
              </w:pBdr>
              <w:spacing w:before="36" w:after="36"/>
              <w:rPr>
                <w:color w:val="000000"/>
              </w:rPr>
            </w:pPr>
            <w:r>
              <w:rPr>
                <w:color w:val="000000"/>
              </w:rPr>
              <w:t>1.50±0.02d</w:t>
            </w:r>
          </w:p>
        </w:tc>
        <w:tc>
          <w:tcPr>
            <w:tcW w:w="1980" w:type="dxa"/>
          </w:tcPr>
          <w:p w:rsidR="00DA3669" w:rsidRDefault="00C04E1A">
            <w:pPr>
              <w:pBdr>
                <w:top w:val="nil"/>
                <w:left w:val="nil"/>
                <w:bottom w:val="nil"/>
                <w:right w:val="nil"/>
                <w:between w:val="nil"/>
              </w:pBdr>
              <w:spacing w:before="36" w:after="36"/>
              <w:rPr>
                <w:color w:val="000000"/>
              </w:rPr>
            </w:pPr>
            <w:r>
              <w:rPr>
                <w:color w:val="000000"/>
              </w:rPr>
              <w:t>9.29±0.69b</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lastRenderedPageBreak/>
              <w:t>Orange potato (Control)</w:t>
            </w:r>
          </w:p>
        </w:tc>
        <w:tc>
          <w:tcPr>
            <w:tcW w:w="1980" w:type="dxa"/>
          </w:tcPr>
          <w:p w:rsidR="00DA3669" w:rsidRDefault="00C04E1A">
            <w:pPr>
              <w:pBdr>
                <w:top w:val="nil"/>
                <w:left w:val="nil"/>
                <w:bottom w:val="nil"/>
                <w:right w:val="nil"/>
                <w:between w:val="nil"/>
              </w:pBdr>
              <w:spacing w:before="36" w:after="36"/>
              <w:rPr>
                <w:color w:val="000000"/>
              </w:rPr>
            </w:pPr>
            <w:r>
              <w:rPr>
                <w:color w:val="000000"/>
              </w:rPr>
              <w:t>4.38±0.02b</w:t>
            </w:r>
          </w:p>
        </w:tc>
        <w:tc>
          <w:tcPr>
            <w:tcW w:w="1980" w:type="dxa"/>
          </w:tcPr>
          <w:p w:rsidR="00DA3669" w:rsidRDefault="00C04E1A">
            <w:pPr>
              <w:pBdr>
                <w:top w:val="nil"/>
                <w:left w:val="nil"/>
                <w:bottom w:val="nil"/>
                <w:right w:val="nil"/>
                <w:between w:val="nil"/>
              </w:pBdr>
              <w:spacing w:before="36" w:after="36"/>
              <w:rPr>
                <w:color w:val="000000"/>
              </w:rPr>
            </w:pPr>
            <w:r>
              <w:rPr>
                <w:color w:val="000000"/>
              </w:rPr>
              <w:t>1.63±0.06cd</w:t>
            </w:r>
          </w:p>
        </w:tc>
        <w:tc>
          <w:tcPr>
            <w:tcW w:w="1980" w:type="dxa"/>
          </w:tcPr>
          <w:p w:rsidR="00DA3669" w:rsidRDefault="00C04E1A">
            <w:pPr>
              <w:pBdr>
                <w:top w:val="nil"/>
                <w:left w:val="nil"/>
                <w:bottom w:val="nil"/>
                <w:right w:val="nil"/>
                <w:between w:val="nil"/>
              </w:pBdr>
              <w:spacing w:before="36" w:after="36"/>
              <w:rPr>
                <w:color w:val="000000"/>
              </w:rPr>
            </w:pPr>
            <w:r>
              <w:rPr>
                <w:color w:val="000000"/>
              </w:rPr>
              <w:t>10.66±0.13b</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95%OP-5%DM</w:t>
            </w:r>
          </w:p>
        </w:tc>
        <w:tc>
          <w:tcPr>
            <w:tcW w:w="1980" w:type="dxa"/>
          </w:tcPr>
          <w:p w:rsidR="00DA3669" w:rsidRDefault="00C04E1A">
            <w:pPr>
              <w:pBdr>
                <w:top w:val="nil"/>
                <w:left w:val="nil"/>
                <w:bottom w:val="nil"/>
                <w:right w:val="nil"/>
                <w:between w:val="nil"/>
              </w:pBdr>
              <w:spacing w:before="36" w:after="36"/>
              <w:rPr>
                <w:color w:val="000000"/>
              </w:rPr>
            </w:pPr>
            <w:r>
              <w:rPr>
                <w:color w:val="000000"/>
              </w:rPr>
              <w:t>4.55±0.01a</w:t>
            </w:r>
          </w:p>
        </w:tc>
        <w:tc>
          <w:tcPr>
            <w:tcW w:w="1980" w:type="dxa"/>
          </w:tcPr>
          <w:p w:rsidR="00DA3669" w:rsidRDefault="00C04E1A">
            <w:pPr>
              <w:pBdr>
                <w:top w:val="nil"/>
                <w:left w:val="nil"/>
                <w:bottom w:val="nil"/>
                <w:right w:val="nil"/>
                <w:between w:val="nil"/>
              </w:pBdr>
              <w:spacing w:before="36" w:after="36"/>
              <w:rPr>
                <w:color w:val="000000"/>
              </w:rPr>
            </w:pPr>
            <w:r>
              <w:rPr>
                <w:color w:val="000000"/>
              </w:rPr>
              <w:t>1.89±0.01b</w:t>
            </w:r>
          </w:p>
        </w:tc>
        <w:tc>
          <w:tcPr>
            <w:tcW w:w="1980" w:type="dxa"/>
          </w:tcPr>
          <w:p w:rsidR="00DA3669" w:rsidRDefault="00C04E1A">
            <w:pPr>
              <w:pBdr>
                <w:top w:val="nil"/>
                <w:left w:val="nil"/>
                <w:bottom w:val="nil"/>
                <w:right w:val="nil"/>
                <w:between w:val="nil"/>
              </w:pBdr>
              <w:spacing w:before="36" w:after="36"/>
              <w:rPr>
                <w:color w:val="000000"/>
              </w:rPr>
            </w:pPr>
            <w:r>
              <w:rPr>
                <w:color w:val="000000"/>
              </w:rPr>
              <w:t>10.02±0.23b</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90%OP-10%DM</w:t>
            </w:r>
          </w:p>
        </w:tc>
        <w:tc>
          <w:tcPr>
            <w:tcW w:w="1980" w:type="dxa"/>
          </w:tcPr>
          <w:p w:rsidR="00DA3669" w:rsidRDefault="00C04E1A">
            <w:pPr>
              <w:pBdr>
                <w:top w:val="nil"/>
                <w:left w:val="nil"/>
                <w:bottom w:val="nil"/>
                <w:right w:val="nil"/>
                <w:between w:val="nil"/>
              </w:pBdr>
              <w:spacing w:before="36" w:after="36"/>
              <w:rPr>
                <w:color w:val="000000"/>
              </w:rPr>
            </w:pPr>
            <w:r>
              <w:rPr>
                <w:color w:val="000000"/>
              </w:rPr>
              <w:t>4.16±0.00c</w:t>
            </w:r>
          </w:p>
        </w:tc>
        <w:tc>
          <w:tcPr>
            <w:tcW w:w="1980" w:type="dxa"/>
          </w:tcPr>
          <w:p w:rsidR="00DA3669" w:rsidRDefault="00C04E1A">
            <w:pPr>
              <w:pBdr>
                <w:top w:val="nil"/>
                <w:left w:val="nil"/>
                <w:bottom w:val="nil"/>
                <w:right w:val="nil"/>
                <w:between w:val="nil"/>
              </w:pBdr>
              <w:spacing w:before="36" w:after="36"/>
              <w:rPr>
                <w:color w:val="000000"/>
              </w:rPr>
            </w:pPr>
            <w:r>
              <w:rPr>
                <w:color w:val="000000"/>
              </w:rPr>
              <w:t>1.75±0.17bc</w:t>
            </w:r>
          </w:p>
        </w:tc>
        <w:tc>
          <w:tcPr>
            <w:tcW w:w="1980" w:type="dxa"/>
          </w:tcPr>
          <w:p w:rsidR="00DA3669" w:rsidRDefault="00C04E1A">
            <w:pPr>
              <w:pBdr>
                <w:top w:val="nil"/>
                <w:left w:val="nil"/>
                <w:bottom w:val="nil"/>
                <w:right w:val="nil"/>
                <w:between w:val="nil"/>
              </w:pBdr>
              <w:spacing w:before="36" w:after="36"/>
              <w:rPr>
                <w:color w:val="000000"/>
              </w:rPr>
            </w:pPr>
            <w:r>
              <w:rPr>
                <w:color w:val="000000"/>
              </w:rPr>
              <w:t>9.30±0.86b</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Wheat (Control)</w:t>
            </w:r>
          </w:p>
        </w:tc>
        <w:tc>
          <w:tcPr>
            <w:tcW w:w="1980" w:type="dxa"/>
          </w:tcPr>
          <w:p w:rsidR="00DA3669" w:rsidRDefault="00C04E1A">
            <w:pPr>
              <w:pBdr>
                <w:top w:val="nil"/>
                <w:left w:val="nil"/>
                <w:bottom w:val="nil"/>
                <w:right w:val="nil"/>
                <w:between w:val="nil"/>
              </w:pBdr>
              <w:spacing w:before="36" w:after="36"/>
              <w:rPr>
                <w:color w:val="000000"/>
              </w:rPr>
            </w:pPr>
            <w:r>
              <w:rPr>
                <w:color w:val="000000"/>
              </w:rPr>
              <w:t>1.09±0.04e</w:t>
            </w:r>
          </w:p>
        </w:tc>
        <w:tc>
          <w:tcPr>
            <w:tcW w:w="1980" w:type="dxa"/>
          </w:tcPr>
          <w:p w:rsidR="00DA3669" w:rsidRDefault="00C04E1A">
            <w:pPr>
              <w:pBdr>
                <w:top w:val="nil"/>
                <w:left w:val="nil"/>
                <w:bottom w:val="nil"/>
                <w:right w:val="nil"/>
                <w:between w:val="nil"/>
              </w:pBdr>
              <w:spacing w:before="36" w:after="36"/>
              <w:rPr>
                <w:color w:val="000000"/>
              </w:rPr>
            </w:pPr>
            <w:r>
              <w:rPr>
                <w:color w:val="000000"/>
              </w:rPr>
              <w:t>2.68±0.01a</w:t>
            </w:r>
          </w:p>
        </w:tc>
        <w:tc>
          <w:tcPr>
            <w:tcW w:w="1980" w:type="dxa"/>
          </w:tcPr>
          <w:p w:rsidR="00DA3669" w:rsidRDefault="00C04E1A">
            <w:pPr>
              <w:pBdr>
                <w:top w:val="nil"/>
                <w:left w:val="nil"/>
                <w:bottom w:val="nil"/>
                <w:right w:val="nil"/>
                <w:between w:val="nil"/>
              </w:pBdr>
              <w:spacing w:before="36" w:after="36"/>
              <w:rPr>
                <w:color w:val="000000"/>
              </w:rPr>
            </w:pPr>
            <w:r>
              <w:rPr>
                <w:color w:val="000000"/>
              </w:rPr>
              <w:t>15.68±0.01a</w:t>
            </w:r>
          </w:p>
        </w:tc>
      </w:tr>
    </w:tbl>
    <w:p w:rsidR="00DA3669" w:rsidRDefault="00C04E1A">
      <w:pPr>
        <w:pBdr>
          <w:top w:val="nil"/>
          <w:left w:val="nil"/>
          <w:bottom w:val="nil"/>
          <w:right w:val="nil"/>
          <w:between w:val="nil"/>
        </w:pBdr>
        <w:spacing w:before="180" w:after="180"/>
        <w:rPr>
          <w:color w:val="000000"/>
        </w:rPr>
      </w:pPr>
      <w:r>
        <w:rPr>
          <w:color w:val="000000"/>
        </w:rPr>
        <w:t>Data represent mean ± standard deviation of triplicate analysis. Values followed with different superscript letters along the same column vary significantly at p &lt; 0.05. OP (Orange potato), DM (</w:t>
      </w: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xml:space="preserve">), GAE (Gallic Acid Equivalent), TEAC (Trolox Equivalent Antioxidant Capacity), </w:t>
      </w:r>
      <w:proofErr w:type="spellStart"/>
      <w:r>
        <w:rPr>
          <w:color w:val="000000"/>
        </w:rPr>
        <w:t>dw</w:t>
      </w:r>
      <w:proofErr w:type="spellEnd"/>
      <w:r>
        <w:rPr>
          <w:color w:val="000000"/>
        </w:rPr>
        <w:t xml:space="preserve"> (dry weight).</w:t>
      </w:r>
    </w:p>
    <w:p w:rsidR="00DA3669" w:rsidRDefault="00C04E1A">
      <w:pPr>
        <w:pBdr>
          <w:top w:val="nil"/>
          <w:left w:val="nil"/>
          <w:bottom w:val="nil"/>
          <w:right w:val="nil"/>
          <w:between w:val="nil"/>
        </w:pBdr>
        <w:spacing w:before="180" w:after="180"/>
        <w:rPr>
          <w:color w:val="000000"/>
        </w:rPr>
      </w:pPr>
      <w:r>
        <w:rPr>
          <w:color w:val="000000"/>
        </w:rPr>
        <w:t xml:space="preserve">The 95% orange potato: 5% </w:t>
      </w:r>
      <w:r>
        <w:rPr>
          <w:i/>
          <w:color w:val="000000"/>
        </w:rPr>
        <w:t xml:space="preserve">D. </w:t>
      </w:r>
      <w:proofErr w:type="spellStart"/>
      <w:r>
        <w:rPr>
          <w:i/>
          <w:color w:val="000000"/>
        </w:rPr>
        <w:t>microcarpum</w:t>
      </w:r>
      <w:proofErr w:type="spellEnd"/>
      <w:r>
        <w:rPr>
          <w:color w:val="000000"/>
        </w:rPr>
        <w:t xml:space="preserve"> blend exhibited the highest reducing power (4.55±0.01 mg GAE/g </w:t>
      </w:r>
      <w:proofErr w:type="spellStart"/>
      <w:r>
        <w:rPr>
          <w:color w:val="000000"/>
        </w:rPr>
        <w:t>dw</w:t>
      </w:r>
      <w:proofErr w:type="spellEnd"/>
      <w:r>
        <w:rPr>
          <w:color w:val="000000"/>
        </w:rPr>
        <w:t xml:space="preserve">) and demonstrated superior DPPH scavenging activity with the lowest SC₅₀ value (1.89±0.01 mg/mL) among the supplemented samples. For ABTS assay, wheat flour showed the highest scavenging ability (15.68±0.01 µM TEAC/g </w:t>
      </w:r>
      <w:proofErr w:type="spellStart"/>
      <w:r>
        <w:rPr>
          <w:color w:val="000000"/>
        </w:rPr>
        <w:t>dw</w:t>
      </w:r>
      <w:proofErr w:type="spellEnd"/>
      <w:r>
        <w:rPr>
          <w:color w:val="000000"/>
        </w:rPr>
        <w:t>), while the supplemented samples showed moderate activities comparable to the control samples.</w:t>
      </w:r>
    </w:p>
    <w:p w:rsidR="00DA3669" w:rsidRDefault="00C04E1A">
      <w:pPr>
        <w:pStyle w:val="Heading3"/>
      </w:pPr>
      <w:bookmarkStart w:id="29" w:name="bookmark=id.kqghjzxeqyrw" w:colFirst="0" w:colLast="0"/>
      <w:bookmarkEnd w:id="29"/>
      <w:r>
        <w:t>3.3 Enzyme Inhibitory Activity</w:t>
      </w:r>
    </w:p>
    <w:p w:rsidR="00DA3669" w:rsidRDefault="00C04E1A">
      <w:pPr>
        <w:pBdr>
          <w:top w:val="nil"/>
          <w:left w:val="nil"/>
          <w:bottom w:val="nil"/>
          <w:right w:val="nil"/>
          <w:between w:val="nil"/>
        </w:pBdr>
        <w:spacing w:before="180" w:after="180"/>
        <w:rPr>
          <w:color w:val="000000"/>
        </w:rPr>
      </w:pPr>
      <w:r>
        <w:rPr>
          <w:color w:val="000000"/>
        </w:rPr>
        <w:t>The enzyme inhibitory activities of the samples are presented in Table 3, showing the IC₅₀ values for α-amylase, α-glucosidase, and angiotensin-converting enzyme inhibition.</w:t>
      </w:r>
    </w:p>
    <w:p w:rsidR="00DA3669" w:rsidRDefault="00C04E1A">
      <w:pPr>
        <w:pBdr>
          <w:top w:val="nil"/>
          <w:left w:val="nil"/>
          <w:bottom w:val="nil"/>
          <w:right w:val="nil"/>
          <w:between w:val="nil"/>
        </w:pBdr>
        <w:spacing w:before="180" w:after="180"/>
        <w:rPr>
          <w:color w:val="000000"/>
        </w:rPr>
      </w:pPr>
      <w:r>
        <w:rPr>
          <w:b/>
          <w:color w:val="000000"/>
        </w:rPr>
        <w:t>Table 3:</w:t>
      </w:r>
      <w:r>
        <w:rPr>
          <w:color w:val="000000"/>
        </w:rPr>
        <w:t xml:space="preserve"> Enzyme inhibitory activity of orange-fleshed sweet potato supplemented with </w:t>
      </w:r>
      <w:proofErr w:type="spellStart"/>
      <w:r>
        <w:rPr>
          <w:i/>
          <w:color w:val="000000"/>
        </w:rPr>
        <w:t>Detarium</w:t>
      </w:r>
      <w:proofErr w:type="spellEnd"/>
      <w:r>
        <w:rPr>
          <w:i/>
          <w:color w:val="000000"/>
        </w:rPr>
        <w:t xml:space="preserve"> </w:t>
      </w:r>
      <w:proofErr w:type="spellStart"/>
      <w:r>
        <w:rPr>
          <w:i/>
          <w:color w:val="000000"/>
        </w:rPr>
        <w:t>microcarpum</w:t>
      </w:r>
      <w:proofErr w:type="spellEnd"/>
    </w:p>
    <w:tbl>
      <w:tblPr>
        <w:tblStyle w:val="a1"/>
        <w:tblW w:w="7920" w:type="dxa"/>
        <w:tblInd w:w="-108" w:type="dxa"/>
        <w:tblLayout w:type="fixed"/>
        <w:tblLook w:val="0020" w:firstRow="1" w:lastRow="0" w:firstColumn="0" w:lastColumn="0" w:noHBand="0" w:noVBand="0"/>
      </w:tblPr>
      <w:tblGrid>
        <w:gridCol w:w="1980"/>
        <w:gridCol w:w="1980"/>
        <w:gridCol w:w="1980"/>
        <w:gridCol w:w="1980"/>
      </w:tblGrid>
      <w:tr w:rsidR="00DA3669" w:rsidTr="00DA3669">
        <w:trPr>
          <w:cnfStyle w:val="100000000000" w:firstRow="1" w:lastRow="0" w:firstColumn="0" w:lastColumn="0" w:oddVBand="0" w:evenVBand="0" w:oddHBand="0" w:evenHBand="0" w:firstRowFirstColumn="0" w:firstRowLastColumn="0" w:lastRowFirstColumn="0" w:lastRowLastColumn="0"/>
          <w:tblHeader/>
        </w:trPr>
        <w:tc>
          <w:tcPr>
            <w:tcW w:w="1980" w:type="dxa"/>
          </w:tcPr>
          <w:p w:rsidR="00DA3669" w:rsidRDefault="00C04E1A">
            <w:pPr>
              <w:pBdr>
                <w:top w:val="nil"/>
                <w:left w:val="nil"/>
                <w:bottom w:val="nil"/>
                <w:right w:val="nil"/>
                <w:between w:val="nil"/>
              </w:pBdr>
              <w:spacing w:before="36" w:after="36"/>
              <w:rPr>
                <w:color w:val="000000"/>
              </w:rPr>
            </w:pPr>
            <w:r>
              <w:rPr>
                <w:color w:val="000000"/>
              </w:rPr>
              <w:t>Sample</w:t>
            </w:r>
          </w:p>
        </w:tc>
        <w:tc>
          <w:tcPr>
            <w:tcW w:w="1980" w:type="dxa"/>
          </w:tcPr>
          <w:p w:rsidR="00DA3669" w:rsidRDefault="00C04E1A">
            <w:pPr>
              <w:pBdr>
                <w:top w:val="nil"/>
                <w:left w:val="nil"/>
                <w:bottom w:val="nil"/>
                <w:right w:val="nil"/>
                <w:between w:val="nil"/>
              </w:pBdr>
              <w:spacing w:before="36" w:after="36"/>
              <w:rPr>
                <w:color w:val="000000"/>
              </w:rPr>
            </w:pPr>
            <w:r>
              <w:rPr>
                <w:color w:val="000000"/>
              </w:rPr>
              <w:t>Alpha-amylase IC₅₀ (mg/mL)</w:t>
            </w:r>
          </w:p>
        </w:tc>
        <w:tc>
          <w:tcPr>
            <w:tcW w:w="1980" w:type="dxa"/>
          </w:tcPr>
          <w:p w:rsidR="00DA3669" w:rsidRDefault="00C04E1A">
            <w:pPr>
              <w:pBdr>
                <w:top w:val="nil"/>
                <w:left w:val="nil"/>
                <w:bottom w:val="nil"/>
                <w:right w:val="nil"/>
                <w:between w:val="nil"/>
              </w:pBdr>
              <w:spacing w:before="36" w:after="36"/>
              <w:rPr>
                <w:color w:val="000000"/>
              </w:rPr>
            </w:pPr>
            <w:r>
              <w:rPr>
                <w:color w:val="000000"/>
              </w:rPr>
              <w:t>Alpha-glucosidase IC₅₀ (mg/mL)</w:t>
            </w:r>
          </w:p>
        </w:tc>
        <w:tc>
          <w:tcPr>
            <w:tcW w:w="1980" w:type="dxa"/>
          </w:tcPr>
          <w:p w:rsidR="00DA3669" w:rsidRDefault="00C04E1A">
            <w:pPr>
              <w:pBdr>
                <w:top w:val="nil"/>
                <w:left w:val="nil"/>
                <w:bottom w:val="nil"/>
                <w:right w:val="nil"/>
                <w:between w:val="nil"/>
              </w:pBdr>
              <w:spacing w:before="36" w:after="36"/>
              <w:rPr>
                <w:color w:val="000000"/>
              </w:rPr>
            </w:pPr>
            <w:r>
              <w:rPr>
                <w:color w:val="000000"/>
              </w:rPr>
              <w:t>Angiotensin-Converting Enzyme IC₅₀ (mg/mL)</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proofErr w:type="spellStart"/>
            <w:r>
              <w:rPr>
                <w:i/>
                <w:color w:val="000000"/>
              </w:rPr>
              <w:t>Detarium</w:t>
            </w:r>
            <w:proofErr w:type="spellEnd"/>
            <w:r>
              <w:rPr>
                <w:i/>
                <w:color w:val="000000"/>
              </w:rPr>
              <w:t xml:space="preserve"> </w:t>
            </w:r>
            <w:proofErr w:type="spellStart"/>
            <w:r>
              <w:rPr>
                <w:i/>
                <w:color w:val="000000"/>
              </w:rPr>
              <w:t>microcarpum</w:t>
            </w:r>
            <w:proofErr w:type="spellEnd"/>
          </w:p>
        </w:tc>
        <w:tc>
          <w:tcPr>
            <w:tcW w:w="1980" w:type="dxa"/>
          </w:tcPr>
          <w:p w:rsidR="00DA3669" w:rsidRDefault="00C04E1A">
            <w:pPr>
              <w:pBdr>
                <w:top w:val="nil"/>
                <w:left w:val="nil"/>
                <w:bottom w:val="nil"/>
                <w:right w:val="nil"/>
                <w:between w:val="nil"/>
              </w:pBdr>
              <w:spacing w:before="36" w:after="36"/>
              <w:rPr>
                <w:color w:val="000000"/>
              </w:rPr>
            </w:pPr>
            <w:r>
              <w:rPr>
                <w:color w:val="000000"/>
              </w:rPr>
              <w:t>12.13±0.49c</w:t>
            </w:r>
          </w:p>
        </w:tc>
        <w:tc>
          <w:tcPr>
            <w:tcW w:w="1980" w:type="dxa"/>
          </w:tcPr>
          <w:p w:rsidR="00DA3669" w:rsidRDefault="00C04E1A">
            <w:pPr>
              <w:pBdr>
                <w:top w:val="nil"/>
                <w:left w:val="nil"/>
                <w:bottom w:val="nil"/>
                <w:right w:val="nil"/>
                <w:between w:val="nil"/>
              </w:pBdr>
              <w:spacing w:before="36" w:after="36"/>
              <w:rPr>
                <w:color w:val="000000"/>
              </w:rPr>
            </w:pPr>
            <w:r>
              <w:rPr>
                <w:color w:val="000000"/>
              </w:rPr>
              <w:t>12.13±0.49c</w:t>
            </w:r>
          </w:p>
        </w:tc>
        <w:tc>
          <w:tcPr>
            <w:tcW w:w="1980" w:type="dxa"/>
          </w:tcPr>
          <w:p w:rsidR="00DA3669" w:rsidRDefault="00C04E1A">
            <w:pPr>
              <w:pBdr>
                <w:top w:val="nil"/>
                <w:left w:val="nil"/>
                <w:bottom w:val="nil"/>
                <w:right w:val="nil"/>
                <w:between w:val="nil"/>
              </w:pBdr>
              <w:spacing w:before="36" w:after="36"/>
              <w:rPr>
                <w:color w:val="000000"/>
              </w:rPr>
            </w:pPr>
            <w:r>
              <w:rPr>
                <w:color w:val="000000"/>
              </w:rPr>
              <w:t>13.38±0.08b</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Orange potato (Control)</w:t>
            </w:r>
          </w:p>
        </w:tc>
        <w:tc>
          <w:tcPr>
            <w:tcW w:w="1980" w:type="dxa"/>
          </w:tcPr>
          <w:p w:rsidR="00DA3669" w:rsidRDefault="00C04E1A">
            <w:pPr>
              <w:pBdr>
                <w:top w:val="nil"/>
                <w:left w:val="nil"/>
                <w:bottom w:val="nil"/>
                <w:right w:val="nil"/>
                <w:between w:val="nil"/>
              </w:pBdr>
              <w:spacing w:before="36" w:after="36"/>
              <w:rPr>
                <w:color w:val="000000"/>
              </w:rPr>
            </w:pPr>
            <w:r>
              <w:rPr>
                <w:color w:val="000000"/>
              </w:rPr>
              <w:t>35.51±2.91a</w:t>
            </w:r>
          </w:p>
        </w:tc>
        <w:tc>
          <w:tcPr>
            <w:tcW w:w="1980" w:type="dxa"/>
          </w:tcPr>
          <w:p w:rsidR="00DA3669" w:rsidRDefault="00C04E1A">
            <w:pPr>
              <w:pBdr>
                <w:top w:val="nil"/>
                <w:left w:val="nil"/>
                <w:bottom w:val="nil"/>
                <w:right w:val="nil"/>
                <w:between w:val="nil"/>
              </w:pBdr>
              <w:spacing w:before="36" w:after="36"/>
              <w:rPr>
                <w:color w:val="000000"/>
              </w:rPr>
            </w:pPr>
            <w:r>
              <w:rPr>
                <w:color w:val="000000"/>
              </w:rPr>
              <w:t>13.98±0.05b</w:t>
            </w:r>
          </w:p>
        </w:tc>
        <w:tc>
          <w:tcPr>
            <w:tcW w:w="1980" w:type="dxa"/>
          </w:tcPr>
          <w:p w:rsidR="00DA3669" w:rsidRDefault="00C04E1A">
            <w:pPr>
              <w:pBdr>
                <w:top w:val="nil"/>
                <w:left w:val="nil"/>
                <w:bottom w:val="nil"/>
                <w:right w:val="nil"/>
                <w:between w:val="nil"/>
              </w:pBdr>
              <w:spacing w:before="36" w:after="36"/>
              <w:rPr>
                <w:color w:val="000000"/>
              </w:rPr>
            </w:pPr>
            <w:r>
              <w:rPr>
                <w:color w:val="000000"/>
              </w:rPr>
              <w:t>11.08±0.18c</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95%OP-5%DM</w:t>
            </w:r>
          </w:p>
        </w:tc>
        <w:tc>
          <w:tcPr>
            <w:tcW w:w="1980" w:type="dxa"/>
          </w:tcPr>
          <w:p w:rsidR="00DA3669" w:rsidRDefault="00C04E1A">
            <w:pPr>
              <w:pBdr>
                <w:top w:val="nil"/>
                <w:left w:val="nil"/>
                <w:bottom w:val="nil"/>
                <w:right w:val="nil"/>
                <w:between w:val="nil"/>
              </w:pBdr>
              <w:spacing w:before="36" w:after="36"/>
              <w:rPr>
                <w:color w:val="000000"/>
              </w:rPr>
            </w:pPr>
            <w:r>
              <w:rPr>
                <w:color w:val="000000"/>
              </w:rPr>
              <w:t>32.78±0.19ab</w:t>
            </w:r>
          </w:p>
        </w:tc>
        <w:tc>
          <w:tcPr>
            <w:tcW w:w="1980" w:type="dxa"/>
          </w:tcPr>
          <w:p w:rsidR="00DA3669" w:rsidRDefault="00C04E1A">
            <w:pPr>
              <w:pBdr>
                <w:top w:val="nil"/>
                <w:left w:val="nil"/>
                <w:bottom w:val="nil"/>
                <w:right w:val="nil"/>
                <w:between w:val="nil"/>
              </w:pBdr>
              <w:spacing w:before="36" w:after="36"/>
              <w:rPr>
                <w:color w:val="000000"/>
              </w:rPr>
            </w:pPr>
            <w:r>
              <w:rPr>
                <w:color w:val="000000"/>
              </w:rPr>
              <w:t>14.77±0.21ab</w:t>
            </w:r>
          </w:p>
        </w:tc>
        <w:tc>
          <w:tcPr>
            <w:tcW w:w="1980" w:type="dxa"/>
          </w:tcPr>
          <w:p w:rsidR="00DA3669" w:rsidRDefault="00C04E1A">
            <w:pPr>
              <w:pBdr>
                <w:top w:val="nil"/>
                <w:left w:val="nil"/>
                <w:bottom w:val="nil"/>
                <w:right w:val="nil"/>
                <w:between w:val="nil"/>
              </w:pBdr>
              <w:spacing w:before="36" w:after="36"/>
              <w:rPr>
                <w:color w:val="000000"/>
              </w:rPr>
            </w:pPr>
            <w:r>
              <w:rPr>
                <w:color w:val="000000"/>
              </w:rPr>
              <w:t>15.29±0.39a</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90%OP-10%DM</w:t>
            </w:r>
          </w:p>
        </w:tc>
        <w:tc>
          <w:tcPr>
            <w:tcW w:w="1980" w:type="dxa"/>
          </w:tcPr>
          <w:p w:rsidR="00DA3669" w:rsidRDefault="00C04E1A">
            <w:pPr>
              <w:pBdr>
                <w:top w:val="nil"/>
                <w:left w:val="nil"/>
                <w:bottom w:val="nil"/>
                <w:right w:val="nil"/>
                <w:between w:val="nil"/>
              </w:pBdr>
              <w:spacing w:before="36" w:after="36"/>
              <w:rPr>
                <w:color w:val="000000"/>
              </w:rPr>
            </w:pPr>
            <w:r>
              <w:rPr>
                <w:color w:val="000000"/>
              </w:rPr>
              <w:t>30.39±1.39b</w:t>
            </w:r>
          </w:p>
        </w:tc>
        <w:tc>
          <w:tcPr>
            <w:tcW w:w="1980" w:type="dxa"/>
          </w:tcPr>
          <w:p w:rsidR="00DA3669" w:rsidRDefault="00C04E1A">
            <w:pPr>
              <w:pBdr>
                <w:top w:val="nil"/>
                <w:left w:val="nil"/>
                <w:bottom w:val="nil"/>
                <w:right w:val="nil"/>
                <w:between w:val="nil"/>
              </w:pBdr>
              <w:spacing w:before="36" w:after="36"/>
              <w:rPr>
                <w:color w:val="000000"/>
              </w:rPr>
            </w:pPr>
            <w:r>
              <w:rPr>
                <w:color w:val="000000"/>
              </w:rPr>
              <w:t>15.04±0.50a</w:t>
            </w:r>
          </w:p>
        </w:tc>
        <w:tc>
          <w:tcPr>
            <w:tcW w:w="1980" w:type="dxa"/>
          </w:tcPr>
          <w:p w:rsidR="00DA3669" w:rsidRDefault="00C04E1A">
            <w:pPr>
              <w:pBdr>
                <w:top w:val="nil"/>
                <w:left w:val="nil"/>
                <w:bottom w:val="nil"/>
                <w:right w:val="nil"/>
                <w:between w:val="nil"/>
              </w:pBdr>
              <w:spacing w:before="36" w:after="36"/>
              <w:rPr>
                <w:color w:val="000000"/>
              </w:rPr>
            </w:pPr>
            <w:r>
              <w:rPr>
                <w:color w:val="000000"/>
              </w:rPr>
              <w:t>11.32±0.31c</w:t>
            </w:r>
          </w:p>
        </w:tc>
      </w:tr>
      <w:tr w:rsidR="00DA3669" w:rsidTr="00DA3669">
        <w:tc>
          <w:tcPr>
            <w:tcW w:w="1980" w:type="dxa"/>
          </w:tcPr>
          <w:p w:rsidR="00DA3669" w:rsidRDefault="00C04E1A">
            <w:pPr>
              <w:pBdr>
                <w:top w:val="nil"/>
                <w:left w:val="nil"/>
                <w:bottom w:val="nil"/>
                <w:right w:val="nil"/>
                <w:between w:val="nil"/>
              </w:pBdr>
              <w:spacing w:before="36" w:after="36"/>
              <w:rPr>
                <w:color w:val="000000"/>
              </w:rPr>
            </w:pPr>
            <w:r>
              <w:rPr>
                <w:color w:val="000000"/>
              </w:rPr>
              <w:t>Wheat (Control)</w:t>
            </w:r>
          </w:p>
        </w:tc>
        <w:tc>
          <w:tcPr>
            <w:tcW w:w="1980" w:type="dxa"/>
          </w:tcPr>
          <w:p w:rsidR="00DA3669" w:rsidRDefault="00C04E1A">
            <w:pPr>
              <w:pBdr>
                <w:top w:val="nil"/>
                <w:left w:val="nil"/>
                <w:bottom w:val="nil"/>
                <w:right w:val="nil"/>
                <w:between w:val="nil"/>
              </w:pBdr>
              <w:spacing w:before="36" w:after="36"/>
              <w:rPr>
                <w:color w:val="000000"/>
              </w:rPr>
            </w:pPr>
            <w:r>
              <w:rPr>
                <w:color w:val="000000"/>
              </w:rPr>
              <w:t>20.96±0.88c</w:t>
            </w:r>
          </w:p>
        </w:tc>
        <w:tc>
          <w:tcPr>
            <w:tcW w:w="1980" w:type="dxa"/>
          </w:tcPr>
          <w:p w:rsidR="00DA3669" w:rsidRDefault="00C04E1A">
            <w:pPr>
              <w:pBdr>
                <w:top w:val="nil"/>
                <w:left w:val="nil"/>
                <w:bottom w:val="nil"/>
                <w:right w:val="nil"/>
                <w:between w:val="nil"/>
              </w:pBdr>
              <w:spacing w:before="36" w:after="36"/>
              <w:rPr>
                <w:color w:val="000000"/>
              </w:rPr>
            </w:pPr>
            <w:r>
              <w:rPr>
                <w:color w:val="000000"/>
              </w:rPr>
              <w:t>11.68±0.05c</w:t>
            </w:r>
          </w:p>
        </w:tc>
        <w:tc>
          <w:tcPr>
            <w:tcW w:w="1980" w:type="dxa"/>
          </w:tcPr>
          <w:p w:rsidR="00DA3669" w:rsidRDefault="00C04E1A">
            <w:pPr>
              <w:pBdr>
                <w:top w:val="nil"/>
                <w:left w:val="nil"/>
                <w:bottom w:val="nil"/>
                <w:right w:val="nil"/>
                <w:between w:val="nil"/>
              </w:pBdr>
              <w:spacing w:before="36" w:after="36"/>
              <w:rPr>
                <w:color w:val="000000"/>
              </w:rPr>
            </w:pPr>
            <w:r>
              <w:rPr>
                <w:color w:val="000000"/>
              </w:rPr>
              <w:t>13.58±0.08b</w:t>
            </w:r>
          </w:p>
        </w:tc>
      </w:tr>
    </w:tbl>
    <w:p w:rsidR="00DA3669" w:rsidRDefault="00C04E1A">
      <w:pPr>
        <w:pBdr>
          <w:top w:val="nil"/>
          <w:left w:val="nil"/>
          <w:bottom w:val="nil"/>
          <w:right w:val="nil"/>
          <w:between w:val="nil"/>
        </w:pBdr>
        <w:spacing w:before="180" w:after="180"/>
        <w:rPr>
          <w:color w:val="000000"/>
        </w:rPr>
      </w:pPr>
      <w:r>
        <w:rPr>
          <w:color w:val="000000"/>
        </w:rPr>
        <w:t>Data represent mean ± standard deviation of triplicate analysis. Values followed with different superscript letters along the same column vary significantly at p &lt; 0.05. OP (Orange potato), DM (</w:t>
      </w:r>
      <w:proofErr w:type="spellStart"/>
      <w:r>
        <w:rPr>
          <w:i/>
          <w:color w:val="000000"/>
        </w:rPr>
        <w:t>Detarium</w:t>
      </w:r>
      <w:proofErr w:type="spellEnd"/>
      <w:r>
        <w:rPr>
          <w:i/>
          <w:color w:val="000000"/>
        </w:rPr>
        <w:t xml:space="preserve"> </w:t>
      </w:r>
      <w:proofErr w:type="spellStart"/>
      <w:r>
        <w:rPr>
          <w:i/>
          <w:color w:val="000000"/>
        </w:rPr>
        <w:t>microcarpum</w:t>
      </w:r>
      <w:proofErr w:type="spellEnd"/>
      <w:r>
        <w:rPr>
          <w:color w:val="000000"/>
        </w:rPr>
        <w:t>). Acarbose was used as positive control for α-amylase and α-glucosidase inhibition assays, while captopril was used as positive control for ACE inhibition assay.</w:t>
      </w:r>
    </w:p>
    <w:p w:rsidR="00DA3669" w:rsidRDefault="00C04E1A">
      <w:pPr>
        <w:pBdr>
          <w:top w:val="nil"/>
          <w:left w:val="nil"/>
          <w:bottom w:val="nil"/>
          <w:right w:val="nil"/>
          <w:between w:val="nil"/>
        </w:pBdr>
        <w:spacing w:before="180" w:after="180"/>
        <w:rPr>
          <w:color w:val="000000"/>
        </w:rPr>
      </w:pPr>
      <w:r>
        <w:rPr>
          <w:i/>
          <w:color w:val="000000"/>
        </w:rPr>
        <w:lastRenderedPageBreak/>
        <w:t xml:space="preserve">D. </w:t>
      </w:r>
      <w:proofErr w:type="spellStart"/>
      <w:r>
        <w:rPr>
          <w:i/>
          <w:color w:val="000000"/>
        </w:rPr>
        <w:t>microcarpum</w:t>
      </w:r>
      <w:proofErr w:type="spellEnd"/>
      <w:r>
        <w:rPr>
          <w:color w:val="000000"/>
        </w:rPr>
        <w:t xml:space="preserve"> alone demonstrated the strongest α-amylase and α-glucosidase inhibitory activities with the lowest IC₅₀ values (12.13±0.49 mg/mL for both enzymes). The control orange potato sample showed the strongest ACE inhibitory activity (IC₅₀ = 11.08±0.18 mg/mL). The supplemented samples generally exhibited reduced enzyme inhibitory capacity compared to their individual components, which may be attributed to potential antagonistic interactions between bioactive compounds from different plant sources.</w:t>
      </w:r>
    </w:p>
    <w:p w:rsidR="00DA3669" w:rsidRDefault="00C04E1A">
      <w:pPr>
        <w:pStyle w:val="Heading2"/>
      </w:pPr>
      <w:bookmarkStart w:id="30" w:name="bookmark=id.psxskr95j3lb" w:colFirst="0" w:colLast="0"/>
      <w:bookmarkEnd w:id="30"/>
      <w:r>
        <w:t>4. Discussion</w:t>
      </w:r>
    </w:p>
    <w:p w:rsidR="00DA3669" w:rsidRDefault="00C04E1A">
      <w:pPr>
        <w:pStyle w:val="Heading3"/>
      </w:pPr>
      <w:bookmarkStart w:id="31" w:name="bookmark=id.2k8h90cw4hg9" w:colFirst="0" w:colLast="0"/>
      <w:bookmarkEnd w:id="31"/>
      <w:r>
        <w:t>4.1 Phytochemical Composition</w:t>
      </w:r>
    </w:p>
    <w:p w:rsidR="00DA3669" w:rsidRDefault="00C04E1A">
      <w:pPr>
        <w:pBdr>
          <w:top w:val="nil"/>
          <w:left w:val="nil"/>
          <w:bottom w:val="nil"/>
          <w:right w:val="nil"/>
          <w:between w:val="nil"/>
        </w:pBdr>
        <w:spacing w:before="180" w:after="180"/>
        <w:rPr>
          <w:color w:val="000000"/>
        </w:rPr>
      </w:pPr>
      <w:r>
        <w:rPr>
          <w:color w:val="000000"/>
        </w:rPr>
        <w:t xml:space="preserve">The phytochemical analysis demonstrated that supplementation of orange-fleshed sweet potato with </w:t>
      </w:r>
      <w:r>
        <w:rPr>
          <w:i/>
          <w:color w:val="000000"/>
        </w:rPr>
        <w:t xml:space="preserve">D. </w:t>
      </w:r>
      <w:proofErr w:type="spellStart"/>
      <w:r>
        <w:rPr>
          <w:i/>
          <w:color w:val="000000"/>
        </w:rPr>
        <w:t>microcarpum</w:t>
      </w:r>
      <w:proofErr w:type="spellEnd"/>
      <w:r>
        <w:rPr>
          <w:color w:val="000000"/>
        </w:rPr>
        <w:t xml:space="preserve"> significantly improved the bioactive compound profile of the composite samples. The elevated phenolic content observed in the control orange-fleshed sweet potato (16.68±0.08 mg GAE/g </w:t>
      </w:r>
      <w:proofErr w:type="spellStart"/>
      <w:r>
        <w:rPr>
          <w:color w:val="000000"/>
        </w:rPr>
        <w:t>dw</w:t>
      </w:r>
      <w:proofErr w:type="spellEnd"/>
      <w:r>
        <w:rPr>
          <w:color w:val="000000"/>
        </w:rPr>
        <w:t>) aligns with previous reports emphasizing the rich phytochemical composition of this crop (</w:t>
      </w:r>
      <w:proofErr w:type="spellStart"/>
      <w:r>
        <w:rPr>
          <w:color w:val="000000"/>
        </w:rPr>
        <w:t>Ayeleso</w:t>
      </w:r>
      <w:proofErr w:type="spellEnd"/>
      <w:r>
        <w:rPr>
          <w:color w:val="000000"/>
        </w:rPr>
        <w:t xml:space="preserve"> et al., 2022; </w:t>
      </w:r>
      <w:proofErr w:type="spellStart"/>
      <w:r>
        <w:rPr>
          <w:color w:val="000000"/>
        </w:rPr>
        <w:t>Alam</w:t>
      </w:r>
      <w:proofErr w:type="spellEnd"/>
      <w:r>
        <w:rPr>
          <w:color w:val="000000"/>
        </w:rPr>
        <w:t xml:space="preserve"> et al., 2023). The significant increase in tannin content upon supplementation with </w:t>
      </w:r>
      <w:r>
        <w:rPr>
          <w:i/>
          <w:color w:val="000000"/>
        </w:rPr>
        <w:t xml:space="preserve">D. </w:t>
      </w:r>
      <w:proofErr w:type="spellStart"/>
      <w:r>
        <w:rPr>
          <w:i/>
          <w:color w:val="000000"/>
        </w:rPr>
        <w:t>microcarpum</w:t>
      </w:r>
      <w:proofErr w:type="spellEnd"/>
      <w:r>
        <w:rPr>
          <w:color w:val="000000"/>
        </w:rPr>
        <w:t xml:space="preserve"> (from 12.78±0.75 to 16.78±0.23 mg TAE/g </w:t>
      </w:r>
      <w:proofErr w:type="spellStart"/>
      <w:r>
        <w:rPr>
          <w:color w:val="000000"/>
        </w:rPr>
        <w:t>dw</w:t>
      </w:r>
      <w:proofErr w:type="spellEnd"/>
      <w:r>
        <w:rPr>
          <w:color w:val="000000"/>
        </w:rPr>
        <w:t>) demonstrates the synergistic effect of combining these two plant materials.</w:t>
      </w:r>
    </w:p>
    <w:p w:rsidR="00DA3669" w:rsidRDefault="00C04E1A">
      <w:pPr>
        <w:pBdr>
          <w:top w:val="nil"/>
          <w:left w:val="nil"/>
          <w:bottom w:val="nil"/>
          <w:right w:val="nil"/>
          <w:between w:val="nil"/>
        </w:pBdr>
        <w:spacing w:before="180" w:after="180"/>
        <w:rPr>
          <w:color w:val="000000"/>
        </w:rPr>
      </w:pPr>
      <w:r>
        <w:rPr>
          <w:color w:val="000000"/>
        </w:rPr>
        <w:t xml:space="preserve">Tannins are recognized for their anti-diabetic and anti-hypertensive </w:t>
      </w:r>
      <w:proofErr w:type="spellStart"/>
      <w:r>
        <w:rPr>
          <w:color w:val="000000"/>
        </w:rPr>
        <w:t>properties</w:t>
      </w:r>
      <w:proofErr w:type="spellEnd"/>
      <w:r>
        <w:rPr>
          <w:color w:val="000000"/>
        </w:rPr>
        <w:t xml:space="preserve"> through their ability to inhibit carbohydrate-digesting enzymes and ACE, making their enhanced presence in the supplemented samples particularly valuable for functional food applications (</w:t>
      </w:r>
      <w:proofErr w:type="spellStart"/>
      <w:r>
        <w:rPr>
          <w:color w:val="000000"/>
        </w:rPr>
        <w:t>Oguntibeju</w:t>
      </w:r>
      <w:proofErr w:type="spellEnd"/>
      <w:r>
        <w:rPr>
          <w:color w:val="000000"/>
        </w:rPr>
        <w:t xml:space="preserve">, 2023; </w:t>
      </w:r>
      <w:proofErr w:type="spellStart"/>
      <w:r>
        <w:rPr>
          <w:color w:val="000000"/>
        </w:rPr>
        <w:t>Worsztynowicz</w:t>
      </w:r>
      <w:proofErr w:type="spellEnd"/>
      <w:r>
        <w:rPr>
          <w:color w:val="000000"/>
        </w:rPr>
        <w:t xml:space="preserve"> et al., 2020). The increase in flavonoid content in the 95% orange potato: 5% </w:t>
      </w:r>
      <w:r>
        <w:rPr>
          <w:i/>
          <w:color w:val="000000"/>
        </w:rPr>
        <w:t xml:space="preserve">D. </w:t>
      </w:r>
      <w:proofErr w:type="spellStart"/>
      <w:r>
        <w:rPr>
          <w:i/>
          <w:color w:val="000000"/>
        </w:rPr>
        <w:t>microcarpum</w:t>
      </w:r>
      <w:proofErr w:type="spellEnd"/>
      <w:r>
        <w:rPr>
          <w:color w:val="000000"/>
        </w:rPr>
        <w:t xml:space="preserve"> blend (0.43±0.03 mg QE/g </w:t>
      </w:r>
      <w:proofErr w:type="spellStart"/>
      <w:r>
        <w:rPr>
          <w:color w:val="000000"/>
        </w:rPr>
        <w:t>dw</w:t>
      </w:r>
      <w:proofErr w:type="spellEnd"/>
      <w:r>
        <w:rPr>
          <w:color w:val="000000"/>
        </w:rPr>
        <w:t xml:space="preserve">) suggests optimal bioactive compound interaction at this supplementation level. This enhancement can be attributed to the complementary flavonoid profiles of both plant materials, where </w:t>
      </w:r>
      <w:r>
        <w:rPr>
          <w:i/>
          <w:color w:val="000000"/>
        </w:rPr>
        <w:t xml:space="preserve">D. </w:t>
      </w:r>
      <w:proofErr w:type="spellStart"/>
      <w:r>
        <w:rPr>
          <w:i/>
          <w:color w:val="000000"/>
        </w:rPr>
        <w:t>microcarpum</w:t>
      </w:r>
      <w:proofErr w:type="spellEnd"/>
      <w:r>
        <w:rPr>
          <w:color w:val="000000"/>
        </w:rPr>
        <w:t xml:space="preserve"> contributes additional flavonoid compounds that enhance the overall flavonoid content of the composite flour (</w:t>
      </w:r>
      <w:proofErr w:type="spellStart"/>
      <w:r>
        <w:rPr>
          <w:color w:val="000000"/>
        </w:rPr>
        <w:t>Fokou</w:t>
      </w:r>
      <w:proofErr w:type="spellEnd"/>
      <w:r>
        <w:rPr>
          <w:color w:val="000000"/>
        </w:rPr>
        <w:t xml:space="preserve"> et al., 2022).</w:t>
      </w:r>
    </w:p>
    <w:p w:rsidR="00DA3669" w:rsidRDefault="00C04E1A">
      <w:pPr>
        <w:pBdr>
          <w:top w:val="nil"/>
          <w:left w:val="nil"/>
          <w:bottom w:val="nil"/>
          <w:right w:val="nil"/>
          <w:between w:val="nil"/>
        </w:pBdr>
        <w:spacing w:before="180" w:after="180"/>
        <w:rPr>
          <w:color w:val="000000"/>
        </w:rPr>
      </w:pPr>
      <w:r>
        <w:rPr>
          <w:color w:val="000000"/>
        </w:rPr>
        <w:t xml:space="preserve">The substantial saponin content maintained across the supplemented samples (&gt;8.0 mg DE/g </w:t>
      </w:r>
      <w:proofErr w:type="spellStart"/>
      <w:r>
        <w:rPr>
          <w:color w:val="000000"/>
        </w:rPr>
        <w:t>dw</w:t>
      </w:r>
      <w:proofErr w:type="spellEnd"/>
      <w:r>
        <w:rPr>
          <w:color w:val="000000"/>
        </w:rPr>
        <w:t>) is significant, as saponins exhibit various health benefits including cholesterol-lowering, anti-inflammatory, and immunomodulatory activities (</w:t>
      </w:r>
      <w:proofErr w:type="spellStart"/>
      <w:r>
        <w:rPr>
          <w:color w:val="000000"/>
        </w:rPr>
        <w:t>Szajdek</w:t>
      </w:r>
      <w:proofErr w:type="spellEnd"/>
      <w:r>
        <w:rPr>
          <w:color w:val="000000"/>
        </w:rPr>
        <w:t xml:space="preserve"> &amp; </w:t>
      </w:r>
      <w:proofErr w:type="spellStart"/>
      <w:r>
        <w:rPr>
          <w:color w:val="000000"/>
        </w:rPr>
        <w:t>Borowska</w:t>
      </w:r>
      <w:proofErr w:type="spellEnd"/>
      <w:r>
        <w:rPr>
          <w:color w:val="000000"/>
        </w:rPr>
        <w:t xml:space="preserve">, 2020). The preservation of high saponin levels in the supplemented products indicates that </w:t>
      </w:r>
      <w:r>
        <w:rPr>
          <w:i/>
          <w:color w:val="000000"/>
        </w:rPr>
        <w:t xml:space="preserve">D. </w:t>
      </w:r>
      <w:proofErr w:type="spellStart"/>
      <w:r>
        <w:rPr>
          <w:i/>
          <w:color w:val="000000"/>
        </w:rPr>
        <w:t>microcarpum</w:t>
      </w:r>
      <w:proofErr w:type="spellEnd"/>
      <w:r>
        <w:rPr>
          <w:color w:val="000000"/>
        </w:rPr>
        <w:t xml:space="preserve"> supplementation does not compromise this important bioactive component but rather maintains the inherent benefits of orange-fleshed sweet potato.</w:t>
      </w:r>
    </w:p>
    <w:p w:rsidR="00DA3669" w:rsidRDefault="00C04E1A">
      <w:pPr>
        <w:pStyle w:val="Heading3"/>
      </w:pPr>
      <w:bookmarkStart w:id="32" w:name="bookmark=id.jse6sxmc7bbc" w:colFirst="0" w:colLast="0"/>
      <w:bookmarkEnd w:id="32"/>
      <w:r>
        <w:t>4.2 Antioxidant Activity</w:t>
      </w:r>
    </w:p>
    <w:p w:rsidR="00DA3669" w:rsidRDefault="00C04E1A">
      <w:pPr>
        <w:pBdr>
          <w:top w:val="nil"/>
          <w:left w:val="nil"/>
          <w:bottom w:val="nil"/>
          <w:right w:val="nil"/>
          <w:between w:val="nil"/>
        </w:pBdr>
        <w:spacing w:before="180" w:after="180"/>
        <w:rPr>
          <w:color w:val="000000"/>
        </w:rPr>
      </w:pPr>
      <w:r>
        <w:rPr>
          <w:color w:val="000000"/>
        </w:rPr>
        <w:t xml:space="preserve">The antioxidant activity results demonstrate that supplementation with </w:t>
      </w:r>
      <w:r>
        <w:rPr>
          <w:i/>
          <w:color w:val="000000"/>
        </w:rPr>
        <w:t xml:space="preserve">D. </w:t>
      </w:r>
      <w:proofErr w:type="spellStart"/>
      <w:r>
        <w:rPr>
          <w:i/>
          <w:color w:val="000000"/>
        </w:rPr>
        <w:t>microcarpum</w:t>
      </w:r>
      <w:proofErr w:type="spellEnd"/>
      <w:r>
        <w:rPr>
          <w:color w:val="000000"/>
        </w:rPr>
        <w:t xml:space="preserve"> can improve the free radical scavenging capacity of orange-fleshed sweet potato. The superior reducing power exhibited by the 95% orange potato: 5% </w:t>
      </w:r>
      <w:r>
        <w:rPr>
          <w:i/>
          <w:color w:val="000000"/>
        </w:rPr>
        <w:t xml:space="preserve">D. </w:t>
      </w:r>
      <w:proofErr w:type="spellStart"/>
      <w:r>
        <w:rPr>
          <w:i/>
          <w:color w:val="000000"/>
        </w:rPr>
        <w:t>microcarpum</w:t>
      </w:r>
      <w:proofErr w:type="spellEnd"/>
      <w:r>
        <w:rPr>
          <w:color w:val="000000"/>
        </w:rPr>
        <w:t xml:space="preserve"> blend (4.55±0.01 mg GAE/g </w:t>
      </w:r>
      <w:proofErr w:type="spellStart"/>
      <w:r>
        <w:rPr>
          <w:color w:val="000000"/>
        </w:rPr>
        <w:t>dw</w:t>
      </w:r>
      <w:proofErr w:type="spellEnd"/>
      <w:r>
        <w:rPr>
          <w:color w:val="000000"/>
        </w:rPr>
        <w:t xml:space="preserve">) compared to the control (4.38±0.02 mg GAE/g </w:t>
      </w:r>
      <w:proofErr w:type="spellStart"/>
      <w:r>
        <w:rPr>
          <w:color w:val="000000"/>
        </w:rPr>
        <w:t>dw</w:t>
      </w:r>
      <w:proofErr w:type="spellEnd"/>
      <w:r>
        <w:rPr>
          <w:color w:val="000000"/>
        </w:rPr>
        <w:t>) suggests that this composition provides optimal antioxidant enhancement. This finding is consistent with the principle that moderate supplementation levels often yield synergistic effects in bioactive compound interactions, where the combination of phenolic compounds from both sources results in enhanced electron-donating capacity (</w:t>
      </w:r>
      <w:proofErr w:type="spellStart"/>
      <w:r>
        <w:rPr>
          <w:color w:val="000000"/>
        </w:rPr>
        <w:t>Rocchetti</w:t>
      </w:r>
      <w:proofErr w:type="spellEnd"/>
      <w:r>
        <w:rPr>
          <w:color w:val="000000"/>
        </w:rPr>
        <w:t xml:space="preserve"> et al., 2021).</w:t>
      </w:r>
    </w:p>
    <w:p w:rsidR="00DA3669" w:rsidRDefault="00C04E1A">
      <w:pPr>
        <w:pBdr>
          <w:top w:val="nil"/>
          <w:left w:val="nil"/>
          <w:bottom w:val="nil"/>
          <w:right w:val="nil"/>
          <w:between w:val="nil"/>
        </w:pBdr>
        <w:spacing w:before="180" w:after="180"/>
        <w:rPr>
          <w:color w:val="000000"/>
        </w:rPr>
      </w:pPr>
      <w:r>
        <w:rPr>
          <w:color w:val="000000"/>
        </w:rPr>
        <w:lastRenderedPageBreak/>
        <w:t xml:space="preserve">The DPPH radical scavenging results indicate that while pure </w:t>
      </w:r>
      <w:r>
        <w:rPr>
          <w:i/>
          <w:color w:val="000000"/>
        </w:rPr>
        <w:t xml:space="preserve">D. </w:t>
      </w:r>
      <w:proofErr w:type="spellStart"/>
      <w:r>
        <w:rPr>
          <w:i/>
          <w:color w:val="000000"/>
        </w:rPr>
        <w:t>microcarpum</w:t>
      </w:r>
      <w:proofErr w:type="spellEnd"/>
      <w:r>
        <w:rPr>
          <w:color w:val="000000"/>
        </w:rPr>
        <w:t xml:space="preserve"> showed the strongest individual activity (SC₅₀ = 1.50±0.02 mg/mL), the supplemented blends maintained effective antioxidant capacity. The relationship between phenolic content and antioxidant activity observed in this study corroborates previous research demonstrating the positive correlation between these parameters (</w:t>
      </w:r>
      <w:proofErr w:type="spellStart"/>
      <w:r>
        <w:rPr>
          <w:color w:val="000000"/>
        </w:rPr>
        <w:t>Kapepula</w:t>
      </w:r>
      <w:proofErr w:type="spellEnd"/>
      <w:r>
        <w:rPr>
          <w:color w:val="000000"/>
        </w:rPr>
        <w:t xml:space="preserve"> et al., 2020). The enhanced antioxidant capacity can be attributed to the additive effects of various phenolic compounds including chlorogenic acid, caffeic acid, and quercetin derivatives present in both plant materials (</w:t>
      </w:r>
      <w:proofErr w:type="spellStart"/>
      <w:r>
        <w:rPr>
          <w:color w:val="000000"/>
        </w:rPr>
        <w:t>Giallourou</w:t>
      </w:r>
      <w:proofErr w:type="spellEnd"/>
      <w:r>
        <w:rPr>
          <w:color w:val="000000"/>
        </w:rPr>
        <w:t xml:space="preserve"> et al., 2021).</w:t>
      </w:r>
    </w:p>
    <w:p w:rsidR="00DA3669" w:rsidRDefault="00C04E1A">
      <w:pPr>
        <w:pBdr>
          <w:top w:val="nil"/>
          <w:left w:val="nil"/>
          <w:bottom w:val="nil"/>
          <w:right w:val="nil"/>
          <w:between w:val="nil"/>
        </w:pBdr>
        <w:spacing w:before="180" w:after="180"/>
        <w:rPr>
          <w:color w:val="000000"/>
        </w:rPr>
      </w:pPr>
      <w:r>
        <w:rPr>
          <w:color w:val="000000"/>
        </w:rPr>
        <w:t xml:space="preserve">The ABTS assay results provide additional evidence of the antioxidant capacity of the supplemented samples. The moderate ABTS scavenging activities observed in the supplemented samples (9.30-10.66 µM TEAC/g </w:t>
      </w:r>
      <w:proofErr w:type="spellStart"/>
      <w:r>
        <w:rPr>
          <w:color w:val="000000"/>
        </w:rPr>
        <w:t>dw</w:t>
      </w:r>
      <w:proofErr w:type="spellEnd"/>
      <w:r>
        <w:rPr>
          <w:color w:val="000000"/>
        </w:rPr>
        <w:t>) suggest that these products retain significant antioxidant potential suitable for functional food applications (</w:t>
      </w:r>
      <w:proofErr w:type="spellStart"/>
      <w:r>
        <w:rPr>
          <w:color w:val="000000"/>
        </w:rPr>
        <w:t>Oke</w:t>
      </w:r>
      <w:proofErr w:type="spellEnd"/>
      <w:r>
        <w:rPr>
          <w:color w:val="000000"/>
        </w:rPr>
        <w:t xml:space="preserve"> et al., 2021). The maintained antioxidant capacity across different assay systems indicates the presence of diverse antioxidant compounds capable of neutralizing various types of free radicals.</w:t>
      </w:r>
    </w:p>
    <w:p w:rsidR="00DA3669" w:rsidRDefault="00C04E1A">
      <w:pPr>
        <w:pStyle w:val="Heading3"/>
      </w:pPr>
      <w:bookmarkStart w:id="33" w:name="bookmark=id.cswr9vkszahn" w:colFirst="0" w:colLast="0"/>
      <w:bookmarkEnd w:id="33"/>
      <w:r>
        <w:t>4.3 Enzyme Inhibitory Activity</w:t>
      </w:r>
    </w:p>
    <w:p w:rsidR="00DA3669" w:rsidRDefault="00C04E1A">
      <w:pPr>
        <w:pBdr>
          <w:top w:val="nil"/>
          <w:left w:val="nil"/>
          <w:bottom w:val="nil"/>
          <w:right w:val="nil"/>
          <w:between w:val="nil"/>
        </w:pBdr>
        <w:spacing w:before="180" w:after="180"/>
        <w:rPr>
          <w:color w:val="000000"/>
        </w:rPr>
      </w:pPr>
      <w:r>
        <w:rPr>
          <w:color w:val="000000"/>
        </w:rPr>
        <w:t xml:space="preserve">The enzyme inhibitory activity results reveal complex interactions between the supplementation components. While </w:t>
      </w:r>
      <w:r>
        <w:rPr>
          <w:i/>
          <w:color w:val="000000"/>
        </w:rPr>
        <w:t xml:space="preserve">D. </w:t>
      </w:r>
      <w:proofErr w:type="spellStart"/>
      <w:r>
        <w:rPr>
          <w:i/>
          <w:color w:val="000000"/>
        </w:rPr>
        <w:t>microcarpum</w:t>
      </w:r>
      <w:proofErr w:type="spellEnd"/>
      <w:r>
        <w:rPr>
          <w:color w:val="000000"/>
        </w:rPr>
        <w:t xml:space="preserve"> alone demonstrated strong α-amylase and α-glucosidase inhibitory activities (IC₅₀ = 12.13±0.49 mg/mL for both enzymes), the supplemented samples showed reduced inhibitory capacity. This phenomenon may be attributed to potential antagonistic interactions between bioactive compounds from different plant sources or matrix effects where the food matrix influences the bioavailability and activity of inhibitory compounds (</w:t>
      </w:r>
      <w:proofErr w:type="spellStart"/>
      <w:r>
        <w:rPr>
          <w:color w:val="000000"/>
        </w:rPr>
        <w:t>Adedayo</w:t>
      </w:r>
      <w:proofErr w:type="spellEnd"/>
      <w:r>
        <w:rPr>
          <w:color w:val="000000"/>
        </w:rPr>
        <w:t xml:space="preserve"> et al., 2022).</w:t>
      </w:r>
    </w:p>
    <w:p w:rsidR="00DA3669" w:rsidRDefault="00C04E1A">
      <w:pPr>
        <w:pBdr>
          <w:top w:val="nil"/>
          <w:left w:val="nil"/>
          <w:bottom w:val="nil"/>
          <w:right w:val="nil"/>
          <w:between w:val="nil"/>
        </w:pBdr>
        <w:spacing w:before="180" w:after="180"/>
        <w:rPr>
          <w:color w:val="000000"/>
        </w:rPr>
      </w:pPr>
      <w:r>
        <w:rPr>
          <w:color w:val="000000"/>
        </w:rPr>
        <w:t>The strong ACE inhibitory activity of the control orange-fleshed sweet potato (IC₅₀ = 11.08±0.18 mg/mL) highlights its potential application in managing hypertension. This activity can be attributed to the presence of bioactive peptides and phenolic compounds that can bind to the active site of ACE, thereby inhibiting its activity (</w:t>
      </w:r>
      <w:proofErr w:type="spellStart"/>
      <w:r>
        <w:rPr>
          <w:color w:val="000000"/>
        </w:rPr>
        <w:t>Alam</w:t>
      </w:r>
      <w:proofErr w:type="spellEnd"/>
      <w:r>
        <w:rPr>
          <w:color w:val="000000"/>
        </w:rPr>
        <w:t xml:space="preserve"> et al., 2020). The maintenance of reasonable ACE inhibitory activity in the supplemented samples suggests that the antihypertensive potential is preserved despite supplementation.</w:t>
      </w:r>
    </w:p>
    <w:p w:rsidR="00DA3669" w:rsidRDefault="00C04E1A">
      <w:pPr>
        <w:pBdr>
          <w:top w:val="nil"/>
          <w:left w:val="nil"/>
          <w:bottom w:val="nil"/>
          <w:right w:val="nil"/>
          <w:between w:val="nil"/>
        </w:pBdr>
        <w:spacing w:before="180" w:after="180"/>
        <w:rPr>
          <w:color w:val="000000"/>
        </w:rPr>
      </w:pPr>
      <w:r>
        <w:rPr>
          <w:color w:val="000000"/>
        </w:rPr>
        <w:t>The differential enzyme inhibitory responses observed suggest that the mechanism of action may vary depending on the specific enzyme system and the bioactive compound profile of each sample. The reduced enzyme inhibitory activity in composite samples compared to individual components may also be due to the dilution effect where the concentration of specific inhibitory compounds is reduced when combined with other materials (</w:t>
      </w:r>
      <w:proofErr w:type="spellStart"/>
      <w:r>
        <w:rPr>
          <w:color w:val="000000"/>
        </w:rPr>
        <w:t>Mbock</w:t>
      </w:r>
      <w:proofErr w:type="spellEnd"/>
      <w:r>
        <w:rPr>
          <w:color w:val="000000"/>
        </w:rPr>
        <w:t xml:space="preserve"> et al., 2020).</w:t>
      </w:r>
    </w:p>
    <w:p w:rsidR="00DA3669" w:rsidRDefault="00C04E1A">
      <w:pPr>
        <w:pStyle w:val="Heading3"/>
      </w:pPr>
      <w:bookmarkStart w:id="34" w:name="bookmark=id.bb2pyai7d7yb" w:colFirst="0" w:colLast="0"/>
      <w:bookmarkEnd w:id="34"/>
      <w:r>
        <w:t>4.4 Carotenoid Content Consideration</w:t>
      </w:r>
    </w:p>
    <w:p w:rsidR="00DA3669" w:rsidRDefault="00C04E1A">
      <w:pPr>
        <w:pBdr>
          <w:top w:val="nil"/>
          <w:left w:val="nil"/>
          <w:bottom w:val="nil"/>
          <w:right w:val="nil"/>
          <w:between w:val="nil"/>
        </w:pBdr>
        <w:spacing w:before="180" w:after="180"/>
        <w:rPr>
          <w:color w:val="000000"/>
        </w:rPr>
      </w:pPr>
      <w:r>
        <w:rPr>
          <w:color w:val="000000"/>
        </w:rPr>
        <w:t>While this study focused on phenolic compounds and related bioactivities, it is important to acknowledge that orange-fleshed sweet potato is particularly rich in carotenoids, especially β-carotene, which contributes significantly to its nutritional value (</w:t>
      </w:r>
      <w:proofErr w:type="spellStart"/>
      <w:r>
        <w:rPr>
          <w:color w:val="000000"/>
        </w:rPr>
        <w:t>Alam</w:t>
      </w:r>
      <w:proofErr w:type="spellEnd"/>
      <w:r>
        <w:rPr>
          <w:color w:val="000000"/>
        </w:rPr>
        <w:t xml:space="preserve"> et al., 2023). The decision to focus on phenolic compounds was based on the complementary nature of phenolic profiles between orange-fleshed sweet potato and </w:t>
      </w:r>
      <w:r>
        <w:rPr>
          <w:i/>
          <w:color w:val="000000"/>
        </w:rPr>
        <w:t xml:space="preserve">D. </w:t>
      </w:r>
      <w:proofErr w:type="spellStart"/>
      <w:r>
        <w:rPr>
          <w:i/>
          <w:color w:val="000000"/>
        </w:rPr>
        <w:t>microcarpum</w:t>
      </w:r>
      <w:proofErr w:type="spellEnd"/>
      <w:r>
        <w:rPr>
          <w:color w:val="000000"/>
        </w:rPr>
        <w:t xml:space="preserve">, and the well-established relationship between phenolic compounds and the measured bioactivities. </w:t>
      </w:r>
      <w:r>
        <w:rPr>
          <w:color w:val="000000"/>
        </w:rPr>
        <w:lastRenderedPageBreak/>
        <w:t>Future studies should consider comprehensive carotenoid analysis to provide a complete picture of the nutritional enhancement achieved through supplementation.</w:t>
      </w:r>
    </w:p>
    <w:p w:rsidR="00DA3669" w:rsidRDefault="00C04E1A">
      <w:pPr>
        <w:pStyle w:val="Heading3"/>
      </w:pPr>
      <w:bookmarkStart w:id="35" w:name="bookmark=id.hz0njviauu3t" w:colFirst="0" w:colLast="0"/>
      <w:bookmarkEnd w:id="35"/>
      <w:r>
        <w:t>4.5 Implications for Functional Food Development</w:t>
      </w:r>
    </w:p>
    <w:p w:rsidR="00DA3669" w:rsidRDefault="00C04E1A">
      <w:pPr>
        <w:pBdr>
          <w:top w:val="nil"/>
          <w:left w:val="nil"/>
          <w:bottom w:val="nil"/>
          <w:right w:val="nil"/>
          <w:between w:val="nil"/>
        </w:pBdr>
        <w:spacing w:before="180" w:after="180"/>
        <w:rPr>
          <w:color w:val="000000"/>
        </w:rPr>
      </w:pPr>
      <w:r>
        <w:rPr>
          <w:color w:val="000000"/>
        </w:rPr>
        <w:t xml:space="preserve">The results of this study demonstrate that </w:t>
      </w:r>
      <w:r>
        <w:rPr>
          <w:i/>
          <w:color w:val="000000"/>
        </w:rPr>
        <w:t xml:space="preserve">D. </w:t>
      </w:r>
      <w:proofErr w:type="spellStart"/>
      <w:r>
        <w:rPr>
          <w:i/>
          <w:color w:val="000000"/>
        </w:rPr>
        <w:t>microcarpum</w:t>
      </w:r>
      <w:proofErr w:type="spellEnd"/>
      <w:r>
        <w:rPr>
          <w:color w:val="000000"/>
        </w:rPr>
        <w:t xml:space="preserve"> supplementation can improve specific bioactive properties of orange-fleshed sweet potato while maintaining others. The optimal supplementation level appears to be 5% </w:t>
      </w:r>
      <w:r>
        <w:rPr>
          <w:i/>
          <w:color w:val="000000"/>
        </w:rPr>
        <w:t xml:space="preserve">D. </w:t>
      </w:r>
      <w:proofErr w:type="spellStart"/>
      <w:r>
        <w:rPr>
          <w:i/>
          <w:color w:val="000000"/>
        </w:rPr>
        <w:t>microcarpum</w:t>
      </w:r>
      <w:proofErr w:type="spellEnd"/>
      <w:r>
        <w:rPr>
          <w:color w:val="000000"/>
        </w:rPr>
        <w:t>, which provides improved antioxidant activity and enhanced phytochemical profile without significantly compromising enzyme inhibitory activities. This level of supplementation also ensures that the sensory characteristics of orange-fleshed sweet potato are maintained while providing nutritional enhancement (</w:t>
      </w:r>
      <w:proofErr w:type="spellStart"/>
      <w:r>
        <w:rPr>
          <w:color w:val="000000"/>
        </w:rPr>
        <w:t>Shiau</w:t>
      </w:r>
      <w:proofErr w:type="spellEnd"/>
      <w:r>
        <w:rPr>
          <w:color w:val="000000"/>
        </w:rPr>
        <w:t xml:space="preserve"> &amp; Liu, 2021).</w:t>
      </w:r>
    </w:p>
    <w:p w:rsidR="00DA3669" w:rsidRDefault="00C04E1A">
      <w:pPr>
        <w:pBdr>
          <w:top w:val="nil"/>
          <w:left w:val="nil"/>
          <w:bottom w:val="nil"/>
          <w:right w:val="nil"/>
          <w:between w:val="nil"/>
        </w:pBdr>
        <w:spacing w:before="180" w:after="180"/>
        <w:rPr>
          <w:color w:val="000000"/>
        </w:rPr>
      </w:pPr>
      <w:r>
        <w:rPr>
          <w:color w:val="000000"/>
        </w:rPr>
        <w:t>The enhanced tannin and flavonoid content in supplemented samples, combined with maintained saponin levels, suggests potential applications in developing functional foods targeting metabolic health conditions such as diabetes and cardiovascular diseases. The preservation of antioxidant capacity in supplemented products supports their potential use in addressing oxidative stress-related health conditions, which are prevalent in developing countries where both crops are readily available (</w:t>
      </w:r>
      <w:proofErr w:type="spellStart"/>
      <w:r>
        <w:rPr>
          <w:color w:val="000000"/>
        </w:rPr>
        <w:t>Teye</w:t>
      </w:r>
      <w:proofErr w:type="spellEnd"/>
      <w:r>
        <w:rPr>
          <w:color w:val="000000"/>
        </w:rPr>
        <w:t xml:space="preserve"> et al., 2021).</w:t>
      </w:r>
    </w:p>
    <w:p w:rsidR="00DA3669" w:rsidRDefault="00C04E1A">
      <w:pPr>
        <w:pStyle w:val="Heading2"/>
      </w:pPr>
      <w:bookmarkStart w:id="36" w:name="bookmark=id.xorx7rsk7lqf" w:colFirst="0" w:colLast="0"/>
      <w:bookmarkEnd w:id="36"/>
      <w:r>
        <w:t>5. Conclusion</w:t>
      </w:r>
    </w:p>
    <w:p w:rsidR="00DA3669" w:rsidRDefault="00C04E1A">
      <w:pPr>
        <w:pBdr>
          <w:top w:val="nil"/>
          <w:left w:val="nil"/>
          <w:bottom w:val="nil"/>
          <w:right w:val="nil"/>
          <w:between w:val="nil"/>
        </w:pBdr>
        <w:spacing w:before="180" w:after="180"/>
        <w:rPr>
          <w:color w:val="000000"/>
        </w:rPr>
      </w:pPr>
      <w:r>
        <w:rPr>
          <w:color w:val="000000"/>
        </w:rPr>
        <w:t xml:space="preserve">This study successfully demonstrates that supplementation of orange-fleshed sweet potato with </w:t>
      </w:r>
      <w:r>
        <w:rPr>
          <w:i/>
          <w:color w:val="000000"/>
        </w:rPr>
        <w:t xml:space="preserve">D. </w:t>
      </w:r>
      <w:proofErr w:type="spellStart"/>
      <w:r>
        <w:rPr>
          <w:i/>
          <w:color w:val="000000"/>
        </w:rPr>
        <w:t>microcarpum</w:t>
      </w:r>
      <w:proofErr w:type="spellEnd"/>
      <w:r>
        <w:rPr>
          <w:color w:val="000000"/>
        </w:rPr>
        <w:t xml:space="preserve"> significantly enhances the bioactive compound profile and antioxidant capacity of the composite products. The key findings and their implications include:</w:t>
      </w:r>
    </w:p>
    <w:p w:rsidR="00DA3669" w:rsidRDefault="00C04E1A">
      <w:pPr>
        <w:numPr>
          <w:ilvl w:val="0"/>
          <w:numId w:val="3"/>
        </w:numPr>
      </w:pPr>
      <w:r>
        <w:rPr>
          <w:b/>
        </w:rPr>
        <w:t>Enhanced Phytochemical Profile:</w:t>
      </w:r>
      <w:r>
        <w:t xml:space="preserve"> Supplementation with </w:t>
      </w:r>
      <w:r>
        <w:rPr>
          <w:i/>
        </w:rPr>
        <w:t xml:space="preserve">D. </w:t>
      </w:r>
      <w:proofErr w:type="spellStart"/>
      <w:r>
        <w:rPr>
          <w:i/>
        </w:rPr>
        <w:t>microcarpum</w:t>
      </w:r>
      <w:proofErr w:type="spellEnd"/>
      <w:r>
        <w:t xml:space="preserve"> significantly increased tannin content by 13.4% and flavonoid content by 26.5% in the optimal blend (95% orange potato: 5% </w:t>
      </w:r>
      <w:r>
        <w:rPr>
          <w:i/>
        </w:rPr>
        <w:t xml:space="preserve">D. </w:t>
      </w:r>
      <w:proofErr w:type="spellStart"/>
      <w:r>
        <w:rPr>
          <w:i/>
        </w:rPr>
        <w:t>microcarpum</w:t>
      </w:r>
      <w:proofErr w:type="spellEnd"/>
      <w:r>
        <w:t xml:space="preserve">) while maintaining high saponin levels (&gt;8.0 mg DE/g </w:t>
      </w:r>
      <w:proofErr w:type="spellStart"/>
      <w:r>
        <w:t>dw</w:t>
      </w:r>
      <w:proofErr w:type="spellEnd"/>
      <w:r>
        <w:t>), indicating successful bioactive compound enhancement.</w:t>
      </w:r>
    </w:p>
    <w:p w:rsidR="00DA3669" w:rsidRDefault="00C04E1A">
      <w:pPr>
        <w:numPr>
          <w:ilvl w:val="0"/>
          <w:numId w:val="3"/>
        </w:numPr>
      </w:pPr>
      <w:r>
        <w:rPr>
          <w:b/>
        </w:rPr>
        <w:t>Improved Antioxidant Capacity:</w:t>
      </w:r>
      <w:r>
        <w:t xml:space="preserve"> The 95% orange potato: 5% </w:t>
      </w:r>
      <w:r>
        <w:rPr>
          <w:i/>
        </w:rPr>
        <w:t xml:space="preserve">D. </w:t>
      </w:r>
      <w:proofErr w:type="spellStart"/>
      <w:r>
        <w:rPr>
          <w:i/>
        </w:rPr>
        <w:t>microcarpum</w:t>
      </w:r>
      <w:proofErr w:type="spellEnd"/>
      <w:r>
        <w:t xml:space="preserve"> blend demonstrated superior antioxidant properties with the highest reducing power (4.55±0.01 mg GAE/g </w:t>
      </w:r>
      <w:proofErr w:type="spellStart"/>
      <w:r>
        <w:t>dw</w:t>
      </w:r>
      <w:proofErr w:type="spellEnd"/>
      <w:r>
        <w:t>) and effective DPPH scavenging activity (SC₅₀ = 1.89±0.01 mg/mL), suggesting enhanced protection against oxidative stress.</w:t>
      </w:r>
    </w:p>
    <w:p w:rsidR="00DA3669" w:rsidRDefault="00C04E1A">
      <w:pPr>
        <w:numPr>
          <w:ilvl w:val="0"/>
          <w:numId w:val="3"/>
        </w:numPr>
      </w:pPr>
      <w:r>
        <w:rPr>
          <w:b/>
        </w:rPr>
        <w:t>Maintained Bioactivity:</w:t>
      </w:r>
      <w:r>
        <w:t xml:space="preserve"> While enzyme inhibitory activities were reduced in supplemented samples compared to individual components, the products retained significant bioactivity suitable for functional food applications, particularly for managing metabolic disorders.</w:t>
      </w:r>
    </w:p>
    <w:p w:rsidR="00DA3669" w:rsidRDefault="00C04E1A">
      <w:pPr>
        <w:numPr>
          <w:ilvl w:val="0"/>
          <w:numId w:val="3"/>
        </w:numPr>
      </w:pPr>
      <w:r>
        <w:rPr>
          <w:b/>
        </w:rPr>
        <w:t>Functional Food Potential:</w:t>
      </w:r>
      <w:r>
        <w:t xml:space="preserve"> </w:t>
      </w:r>
      <w:r>
        <w:rPr>
          <w:i/>
        </w:rPr>
        <w:t xml:space="preserve">D. </w:t>
      </w:r>
      <w:proofErr w:type="spellStart"/>
      <w:r>
        <w:rPr>
          <w:i/>
        </w:rPr>
        <w:t>microcarpum</w:t>
      </w:r>
      <w:proofErr w:type="spellEnd"/>
      <w:r>
        <w:t xml:space="preserve"> serves as an effective natural additive for improving the nutritional and functional properties of orange-fleshed sweet potato products, with the 5% supplementation level providing optimal enhancement.</w:t>
      </w:r>
    </w:p>
    <w:p w:rsidR="00DA3669" w:rsidRDefault="00C04E1A">
      <w:pPr>
        <w:pBdr>
          <w:top w:val="nil"/>
          <w:left w:val="nil"/>
          <w:bottom w:val="nil"/>
          <w:right w:val="nil"/>
          <w:between w:val="nil"/>
        </w:pBdr>
        <w:spacing w:before="180" w:after="180"/>
        <w:rPr>
          <w:color w:val="000000"/>
        </w:rPr>
      </w:pPr>
      <w:r>
        <w:rPr>
          <w:color w:val="000000"/>
        </w:rPr>
        <w:lastRenderedPageBreak/>
        <w:t>The study contributes significantly to the development of nutrient-dense, functional food products that could address malnutrition and support health promotion in regions where both crops are readily available. The enhanced bioactive composition of the supplemented products suggests potential applications in developing foods with targeted health benefits for managing diabetes, hypertension, and oxidative stress-related conditions.</w:t>
      </w:r>
    </w:p>
    <w:p w:rsidR="00DA3669" w:rsidRDefault="00C04E1A">
      <w:pPr>
        <w:pBdr>
          <w:top w:val="nil"/>
          <w:left w:val="nil"/>
          <w:bottom w:val="nil"/>
          <w:right w:val="nil"/>
          <w:between w:val="nil"/>
        </w:pBdr>
        <w:spacing w:before="180" w:after="180"/>
        <w:rPr>
          <w:color w:val="000000"/>
        </w:rPr>
      </w:pPr>
      <w:r>
        <w:rPr>
          <w:b/>
          <w:color w:val="000000"/>
        </w:rPr>
        <w:t>Future Applications:</w:t>
      </w:r>
      <w:r>
        <w:rPr>
          <w:color w:val="000000"/>
        </w:rPr>
        <w:t xml:space="preserve"> The findings suggest immediate applications in developing functional food products such as fortified flours, baked goods, and nutritional supplements. The composite flour can be incorporated into traditional food systems to enhance nutritional quality while maintaining cultural food preferences.</w:t>
      </w:r>
    </w:p>
    <w:p w:rsidR="00DA3669" w:rsidRDefault="00C04E1A">
      <w:pPr>
        <w:pStyle w:val="Heading2"/>
      </w:pPr>
      <w:bookmarkStart w:id="37" w:name="bookmark=id.ooohxog0ci9l" w:colFirst="0" w:colLast="0"/>
      <w:bookmarkEnd w:id="37"/>
      <w:r>
        <w:t>6. Recommendations</w:t>
      </w:r>
    </w:p>
    <w:p w:rsidR="00DA3669" w:rsidRDefault="00C04E1A">
      <w:pPr>
        <w:pBdr>
          <w:top w:val="nil"/>
          <w:left w:val="nil"/>
          <w:bottom w:val="nil"/>
          <w:right w:val="nil"/>
          <w:between w:val="nil"/>
        </w:pBdr>
        <w:spacing w:before="180" w:after="180"/>
        <w:rPr>
          <w:color w:val="000000"/>
        </w:rPr>
      </w:pPr>
      <w:r>
        <w:rPr>
          <w:color w:val="000000"/>
        </w:rPr>
        <w:t>Based on the findings of this study, the following recommendations are proposed for future research and application:</w:t>
      </w:r>
    </w:p>
    <w:p w:rsidR="00DA3669" w:rsidRDefault="00C04E1A">
      <w:pPr>
        <w:numPr>
          <w:ilvl w:val="0"/>
          <w:numId w:val="4"/>
        </w:numPr>
      </w:pPr>
      <w:r>
        <w:rPr>
          <w:b/>
        </w:rPr>
        <w:t>In-vivo Validation Studies:</w:t>
      </w:r>
      <w:r>
        <w:t xml:space="preserve"> The bioactive properties and health benefits observed in this in-vitro study should be validated through animal model studies and human intervention trials to confirm their physiological relevance and establish effective dosages for health benefits.</w:t>
      </w:r>
    </w:p>
    <w:p w:rsidR="00DA3669" w:rsidRDefault="00C04E1A">
      <w:pPr>
        <w:numPr>
          <w:ilvl w:val="0"/>
          <w:numId w:val="4"/>
        </w:numPr>
      </w:pPr>
      <w:r>
        <w:rPr>
          <w:b/>
        </w:rPr>
        <w:t>Optimization Studies:</w:t>
      </w:r>
      <w:r>
        <w:t xml:space="preserve"> Further research should focus on optimizing the supplementation ratio, processing conditions, and storage parameters to maximize bioactive compound retention, bioavailability, and shelf-life of the enhanced products.</w:t>
      </w:r>
    </w:p>
    <w:p w:rsidR="00DA3669" w:rsidRDefault="00C04E1A">
      <w:pPr>
        <w:numPr>
          <w:ilvl w:val="0"/>
          <w:numId w:val="4"/>
        </w:numPr>
      </w:pPr>
      <w:r>
        <w:rPr>
          <w:b/>
        </w:rPr>
        <w:t>Product Development and Sensory Evaluation:</w:t>
      </w:r>
      <w:r>
        <w:t xml:space="preserve"> The composite flour should be incorporated into various food products (bread, biscuits, porridge, snacks) to evaluate sensory acceptability, nutritional quality, and consumer acceptance in target populations.</w:t>
      </w:r>
    </w:p>
    <w:p w:rsidR="00DA3669" w:rsidRDefault="00C04E1A">
      <w:pPr>
        <w:numPr>
          <w:ilvl w:val="0"/>
          <w:numId w:val="4"/>
        </w:numPr>
      </w:pPr>
      <w:r>
        <w:rPr>
          <w:b/>
        </w:rPr>
        <w:t>Comprehensive Nutritional Analysis:</w:t>
      </w:r>
      <w:r>
        <w:t xml:space="preserve"> Future studies should include analysis of carotenoid content, vitamin profiles, mineral composition, and amino acid profiles to provide a complete nutritional assessment of the supplemented products.</w:t>
      </w:r>
    </w:p>
    <w:p w:rsidR="00DA3669" w:rsidRDefault="00C04E1A">
      <w:pPr>
        <w:numPr>
          <w:ilvl w:val="0"/>
          <w:numId w:val="4"/>
        </w:numPr>
      </w:pPr>
      <w:r>
        <w:rPr>
          <w:b/>
        </w:rPr>
        <w:t xml:space="preserve">Bioavailability and </w:t>
      </w:r>
      <w:proofErr w:type="spellStart"/>
      <w:r>
        <w:rPr>
          <w:b/>
        </w:rPr>
        <w:t>Bioaccessibility</w:t>
      </w:r>
      <w:proofErr w:type="spellEnd"/>
      <w:r>
        <w:rPr>
          <w:b/>
        </w:rPr>
        <w:t xml:space="preserve"> Studies:</w:t>
      </w:r>
      <w:r>
        <w:t xml:space="preserve"> Research should investigate the bioavailability and </w:t>
      </w:r>
      <w:proofErr w:type="spellStart"/>
      <w:r>
        <w:t>bioaccessibility</w:t>
      </w:r>
      <w:proofErr w:type="spellEnd"/>
      <w:r>
        <w:t xml:space="preserve"> of bioactive compounds in the supplemented products using appropriate in-vitro digestion models and in-vivo studies.</w:t>
      </w:r>
    </w:p>
    <w:p w:rsidR="00DA3669" w:rsidRDefault="00C04E1A">
      <w:pPr>
        <w:numPr>
          <w:ilvl w:val="0"/>
          <w:numId w:val="4"/>
        </w:numPr>
      </w:pPr>
      <w:r>
        <w:rPr>
          <w:b/>
        </w:rPr>
        <w:t>Scaling Up and Commercial Viability:</w:t>
      </w:r>
      <w:r>
        <w:t xml:space="preserve"> Pilot-scale production studies should be undertaken to evaluate the technical feasibility, cost-effectiveness, and commercial viability of producing </w:t>
      </w:r>
      <w:r>
        <w:rPr>
          <w:i/>
        </w:rPr>
        <w:t xml:space="preserve">D. </w:t>
      </w:r>
      <w:proofErr w:type="spellStart"/>
      <w:r>
        <w:rPr>
          <w:i/>
        </w:rPr>
        <w:t>microcarpum</w:t>
      </w:r>
      <w:proofErr w:type="spellEnd"/>
      <w:r>
        <w:t>-supplemented orange-fleshed sweet potato products.</w:t>
      </w:r>
    </w:p>
    <w:p w:rsidR="00DA3669" w:rsidRDefault="00C04E1A">
      <w:pPr>
        <w:numPr>
          <w:ilvl w:val="0"/>
          <w:numId w:val="4"/>
        </w:numPr>
      </w:pPr>
      <w:r>
        <w:rPr>
          <w:b/>
        </w:rPr>
        <w:t>Sustainable Sourcing and Supply Chain:</w:t>
      </w:r>
      <w:r>
        <w:t xml:space="preserve"> Strategies for sustainable cultivation, harvesting, and processing of </w:t>
      </w:r>
      <w:r>
        <w:rPr>
          <w:i/>
        </w:rPr>
        <w:t xml:space="preserve">D. </w:t>
      </w:r>
      <w:proofErr w:type="spellStart"/>
      <w:r>
        <w:rPr>
          <w:i/>
        </w:rPr>
        <w:t>microcarpum</w:t>
      </w:r>
      <w:proofErr w:type="spellEnd"/>
      <w:r>
        <w:t xml:space="preserve"> should be developed to ensure consistent quality and supply for commercial applications while supporting local communities.</w:t>
      </w:r>
    </w:p>
    <w:p w:rsidR="00DA3669" w:rsidRDefault="00C04E1A">
      <w:pPr>
        <w:numPr>
          <w:ilvl w:val="0"/>
          <w:numId w:val="4"/>
        </w:numPr>
      </w:pPr>
      <w:r>
        <w:rPr>
          <w:b/>
        </w:rPr>
        <w:lastRenderedPageBreak/>
        <w:t>Regulatory Approval and Safety Assessment:</w:t>
      </w:r>
      <w:r>
        <w:t xml:space="preserve"> Comprehensive safety assessment studies should be conducted to obtain regulatory approval for commercial production and marketing of the supplemented products.</w:t>
      </w:r>
    </w:p>
    <w:p w:rsidR="00DA3669" w:rsidRDefault="00C04E1A">
      <w:pPr>
        <w:pStyle w:val="Heading2"/>
      </w:pPr>
      <w:bookmarkStart w:id="38" w:name="bookmark=id.bvstdw34vxjt" w:colFirst="0" w:colLast="0"/>
      <w:bookmarkEnd w:id="38"/>
      <w:r>
        <w:t>Disclaimer (Artificial intelligence)</w:t>
      </w:r>
    </w:p>
    <w:p w:rsidR="00DA3669" w:rsidRDefault="00C04E1A">
      <w:pPr>
        <w:pStyle w:val="Heading3"/>
      </w:pPr>
      <w:bookmarkStart w:id="39" w:name="bookmark=id.82vlpydyals" w:colFirst="0" w:colLast="0"/>
      <w:bookmarkEnd w:id="39"/>
      <w:r>
        <w:t>Option 1:</w:t>
      </w:r>
    </w:p>
    <w:p w:rsidR="00DA3669" w:rsidRDefault="00C04E1A">
      <w:pPr>
        <w:pBdr>
          <w:top w:val="nil"/>
          <w:left w:val="nil"/>
          <w:bottom w:val="nil"/>
          <w:right w:val="nil"/>
          <w:between w:val="nil"/>
        </w:pBdr>
        <w:spacing w:before="180" w:after="180"/>
        <w:rPr>
          <w:color w:val="000000"/>
        </w:rPr>
      </w:pPr>
      <w:r>
        <w:rPr>
          <w:color w:val="000000"/>
        </w:rPr>
        <w:t>Author(s) hereby declare that NO generative AI technologies such as Large Language Models (</w:t>
      </w:r>
      <w:proofErr w:type="spellStart"/>
      <w:r>
        <w:rPr>
          <w:color w:val="000000"/>
        </w:rPr>
        <w:t>ChatGPT</w:t>
      </w:r>
      <w:proofErr w:type="spellEnd"/>
      <w:r>
        <w:rPr>
          <w:color w:val="000000"/>
        </w:rPr>
        <w:t>, COPILOT, etc.) and text-to-image generators have been used during the writing or editing of this manuscript.</w:t>
      </w:r>
    </w:p>
    <w:p w:rsidR="00DA3669" w:rsidRDefault="00C04E1A">
      <w:pPr>
        <w:pStyle w:val="Heading2"/>
      </w:pPr>
      <w:bookmarkStart w:id="40" w:name="bookmark=id.9813crjjnlb4" w:colFirst="0" w:colLast="0"/>
      <w:bookmarkEnd w:id="40"/>
      <w:r>
        <w:t>References</w:t>
      </w:r>
    </w:p>
    <w:p w:rsidR="00DA3669" w:rsidRDefault="00C04E1A">
      <w:pPr>
        <w:numPr>
          <w:ilvl w:val="0"/>
          <w:numId w:val="5"/>
        </w:numPr>
        <w:spacing w:before="240" w:after="0"/>
        <w:jc w:val="both"/>
      </w:pPr>
      <w:proofErr w:type="spellStart"/>
      <w:r>
        <w:rPr>
          <w:color w:val="212121"/>
          <w:highlight w:val="white"/>
        </w:rPr>
        <w:t>Bouyahya</w:t>
      </w:r>
      <w:proofErr w:type="spellEnd"/>
      <w:r>
        <w:rPr>
          <w:color w:val="212121"/>
          <w:highlight w:val="white"/>
        </w:rPr>
        <w:t xml:space="preserve">, A; Bakri, Y; </w:t>
      </w:r>
      <w:proofErr w:type="spellStart"/>
      <w:r>
        <w:rPr>
          <w:color w:val="212121"/>
          <w:highlight w:val="white"/>
        </w:rPr>
        <w:t>Belmehdi</w:t>
      </w:r>
      <w:proofErr w:type="spellEnd"/>
      <w:r>
        <w:rPr>
          <w:color w:val="212121"/>
          <w:highlight w:val="white"/>
        </w:rPr>
        <w:t>, O; Et-</w:t>
      </w:r>
      <w:proofErr w:type="spellStart"/>
      <w:r>
        <w:rPr>
          <w:color w:val="212121"/>
          <w:highlight w:val="white"/>
        </w:rPr>
        <w:t>Touys</w:t>
      </w:r>
      <w:proofErr w:type="spellEnd"/>
      <w:r>
        <w:rPr>
          <w:color w:val="212121"/>
          <w:highlight w:val="white"/>
        </w:rPr>
        <w:t xml:space="preserve">, A; </w:t>
      </w:r>
      <w:proofErr w:type="spellStart"/>
      <w:r>
        <w:rPr>
          <w:color w:val="212121"/>
          <w:highlight w:val="white"/>
        </w:rPr>
        <w:t>Abrini</w:t>
      </w:r>
      <w:proofErr w:type="spellEnd"/>
      <w:r>
        <w:rPr>
          <w:color w:val="212121"/>
          <w:highlight w:val="white"/>
        </w:rPr>
        <w:t xml:space="preserve">, J; </w:t>
      </w:r>
      <w:proofErr w:type="spellStart"/>
      <w:r>
        <w:rPr>
          <w:color w:val="212121"/>
          <w:highlight w:val="white"/>
        </w:rPr>
        <w:t>Dakka</w:t>
      </w:r>
      <w:proofErr w:type="spellEnd"/>
      <w:r>
        <w:rPr>
          <w:color w:val="212121"/>
          <w:highlight w:val="white"/>
        </w:rPr>
        <w:t xml:space="preserve">, N </w:t>
      </w:r>
      <w:r>
        <w:t xml:space="preserve"> “Phenolic extracts of </w:t>
      </w:r>
      <w:proofErr w:type="spellStart"/>
      <w:r>
        <w:t>Centaurium</w:t>
      </w:r>
      <w:proofErr w:type="spellEnd"/>
      <w:r>
        <w:t xml:space="preserve"> </w:t>
      </w:r>
      <w:proofErr w:type="spellStart"/>
      <w:r>
        <w:t>erythraea</w:t>
      </w:r>
      <w:proofErr w:type="spellEnd"/>
      <w:r>
        <w:t xml:space="preserve"> with novel antiradical, antibacterial and antileishmanial activities,” Asian Paciﬁc Journal of Tropical Disease,vol.7,no.7,pp.433–439, 2017.</w:t>
      </w:r>
      <w:hyperlink r:id="rId6">
        <w:r>
          <w:t xml:space="preserve"> </w:t>
        </w:r>
      </w:hyperlink>
      <w:hyperlink r:id="rId7">
        <w:r>
          <w:rPr>
            <w:color w:val="1155CC"/>
            <w:u w:val="single"/>
          </w:rPr>
          <w:t>http://dx.doi.org/10.12980/apjtd.7.2017D6-462</w:t>
        </w:r>
      </w:hyperlink>
    </w:p>
    <w:p w:rsidR="00DA3669" w:rsidRDefault="00C04E1A">
      <w:pPr>
        <w:numPr>
          <w:ilvl w:val="0"/>
          <w:numId w:val="5"/>
        </w:numPr>
        <w:spacing w:before="240" w:after="0"/>
        <w:jc w:val="both"/>
      </w:pPr>
      <w:r>
        <w:t xml:space="preserve">Chan, E. W. C., Lim, Y. Y., Wong, S. K., Lim, K. K., Tan, S. P., </w:t>
      </w:r>
      <w:proofErr w:type="spellStart"/>
      <w:r>
        <w:t>Lianto</w:t>
      </w:r>
      <w:proofErr w:type="spellEnd"/>
      <w:r>
        <w:t>, F. S., and Yong, M. Y. (2009). Effects of different drying methods on the antioxidant properties of leaves and tea of ginger species. Food Chemistry, 113(1), 166-172.</w:t>
      </w:r>
      <w:hyperlink r:id="rId8">
        <w:r>
          <w:t xml:space="preserve"> </w:t>
        </w:r>
      </w:hyperlink>
      <w:hyperlink r:id="rId9">
        <w:r>
          <w:rPr>
            <w:color w:val="1155CC"/>
            <w:u w:val="single"/>
          </w:rPr>
          <w:t>https://doi.org/10.1016/j.foodchem.2008.07.090</w:t>
        </w:r>
      </w:hyperlink>
    </w:p>
    <w:p w:rsidR="00DA3669" w:rsidRDefault="00C04E1A">
      <w:pPr>
        <w:numPr>
          <w:ilvl w:val="0"/>
          <w:numId w:val="5"/>
        </w:numPr>
        <w:spacing w:before="240" w:after="0"/>
        <w:jc w:val="both"/>
      </w:pPr>
      <w:r>
        <w:t>Cushman, D. W., and Cheung, H. S. (1971). Spectrophotometric assay and properties of the angiotensin-converting enzyme of rabbit lung. Biochemical Pharmacology, 20(7), 1637-1648.</w:t>
      </w:r>
      <w:hyperlink r:id="rId10">
        <w:r>
          <w:t xml:space="preserve"> </w:t>
        </w:r>
      </w:hyperlink>
      <w:hyperlink r:id="rId11">
        <w:r>
          <w:rPr>
            <w:color w:val="1155CC"/>
            <w:u w:val="single"/>
          </w:rPr>
          <w:t>https://doi.org/10.1016/0006-2952(71)90292-9</w:t>
        </w:r>
      </w:hyperlink>
    </w:p>
    <w:p w:rsidR="00DA3669" w:rsidRDefault="00C04E1A">
      <w:pPr>
        <w:numPr>
          <w:ilvl w:val="0"/>
          <w:numId w:val="5"/>
        </w:numPr>
        <w:spacing w:before="240" w:after="0"/>
        <w:jc w:val="both"/>
      </w:pPr>
      <w:proofErr w:type="spellStart"/>
      <w:r>
        <w:t>Dalhatu</w:t>
      </w:r>
      <w:proofErr w:type="spellEnd"/>
      <w:r>
        <w:t xml:space="preserve">, A., </w:t>
      </w:r>
      <w:proofErr w:type="spellStart"/>
      <w:r>
        <w:t>Shagal</w:t>
      </w:r>
      <w:proofErr w:type="spellEnd"/>
      <w:r>
        <w:t xml:space="preserve">, M.H., </w:t>
      </w:r>
      <w:proofErr w:type="spellStart"/>
      <w:r>
        <w:t>Nkafamiya</w:t>
      </w:r>
      <w:proofErr w:type="spellEnd"/>
      <w:r>
        <w:t xml:space="preserve">, I.I., &amp; </w:t>
      </w:r>
      <w:proofErr w:type="spellStart"/>
      <w:r>
        <w:t>Fulata</w:t>
      </w:r>
      <w:proofErr w:type="spellEnd"/>
      <w:r>
        <w:t xml:space="preserve">, A. (2024). Preliminary phytochemical evaluation and antimicrobial studies of the methanol stem bark extract of </w:t>
      </w:r>
      <w:proofErr w:type="spellStart"/>
      <w:r>
        <w:t>Detarium</w:t>
      </w:r>
      <w:proofErr w:type="spellEnd"/>
      <w:r>
        <w:t xml:space="preserve"> </w:t>
      </w:r>
      <w:proofErr w:type="spellStart"/>
      <w:r>
        <w:t>microcarpum</w:t>
      </w:r>
      <w:proofErr w:type="spellEnd"/>
      <w:r>
        <w:t xml:space="preserve">. </w:t>
      </w:r>
      <w:r>
        <w:rPr>
          <w:i/>
        </w:rPr>
        <w:t xml:space="preserve">IDOSR Journal of Biochemistry, Biotechnology and Allied Fields, </w:t>
      </w:r>
      <w:r>
        <w:t>9(1), 40-45.</w:t>
      </w:r>
    </w:p>
    <w:p w:rsidR="00DA3669" w:rsidRDefault="00C04E1A">
      <w:pPr>
        <w:numPr>
          <w:ilvl w:val="0"/>
          <w:numId w:val="5"/>
        </w:numPr>
        <w:spacing w:before="240" w:after="0"/>
        <w:jc w:val="both"/>
      </w:pPr>
      <w:r>
        <w:t xml:space="preserve">E.V. </w:t>
      </w:r>
      <w:proofErr w:type="spellStart"/>
      <w:r>
        <w:t>Kigondu</w:t>
      </w:r>
      <w:proofErr w:type="spellEnd"/>
      <w:r>
        <w:t xml:space="preserve">, G. M. </w:t>
      </w:r>
      <w:proofErr w:type="spellStart"/>
      <w:r>
        <w:t>Rukunga</w:t>
      </w:r>
      <w:proofErr w:type="spellEnd"/>
      <w:r>
        <w:t xml:space="preserve">, J. M. </w:t>
      </w:r>
      <w:proofErr w:type="spellStart"/>
      <w:r>
        <w:t>Keriko</w:t>
      </w:r>
      <w:proofErr w:type="spellEnd"/>
      <w:r>
        <w:t xml:space="preserve"> et al., “Antiparasitic activity and cytotoxicity of selected medicinal plants from Kenya,” Journal of Ethnopharmacology, vol.123, no. 3, pp. 504–509, 2009.</w:t>
      </w:r>
    </w:p>
    <w:p w:rsidR="00DA3669" w:rsidRDefault="00C04E1A">
      <w:pPr>
        <w:numPr>
          <w:ilvl w:val="0"/>
          <w:numId w:val="5"/>
        </w:numPr>
        <w:spacing w:before="240" w:after="240"/>
        <w:jc w:val="both"/>
      </w:pPr>
      <w:proofErr w:type="spellStart"/>
      <w:r>
        <w:rPr>
          <w:highlight w:val="white"/>
        </w:rPr>
        <w:t>Gurmu</w:t>
      </w:r>
      <w:proofErr w:type="spellEnd"/>
      <w:r>
        <w:rPr>
          <w:highlight w:val="white"/>
        </w:rPr>
        <w:t xml:space="preserve"> F, Hussein S, Laing M. The potential of orange fleshed sweet potato to prevent vitamin A deficiency in Africa. Int J </w:t>
      </w:r>
      <w:proofErr w:type="spellStart"/>
      <w:r>
        <w:rPr>
          <w:highlight w:val="white"/>
        </w:rPr>
        <w:t>VitamNutr</w:t>
      </w:r>
      <w:proofErr w:type="spellEnd"/>
      <w:r>
        <w:rPr>
          <w:highlight w:val="white"/>
        </w:rPr>
        <w:t xml:space="preserve"> Res 2014; 84: 65-78. </w:t>
      </w:r>
    </w:p>
    <w:p w:rsidR="00DA3669" w:rsidRDefault="00C04E1A">
      <w:pPr>
        <w:numPr>
          <w:ilvl w:val="0"/>
          <w:numId w:val="5"/>
        </w:numPr>
        <w:spacing w:before="240" w:after="240"/>
        <w:jc w:val="both"/>
      </w:pPr>
      <w:r>
        <w:t xml:space="preserve">Hermes D, Dudek DN, Maria MD, Horta LP, Lima EN, de Fátima Â, </w:t>
      </w:r>
      <w:proofErr w:type="spellStart"/>
      <w:r>
        <w:t>Sanches</w:t>
      </w:r>
      <w:proofErr w:type="spellEnd"/>
      <w:r>
        <w:t xml:space="preserve"> AC, </w:t>
      </w:r>
      <w:proofErr w:type="spellStart"/>
      <w:r>
        <w:t>Modolo</w:t>
      </w:r>
      <w:proofErr w:type="spellEnd"/>
      <w:r>
        <w:t xml:space="preserve"> LV. In vivo wound healing and antiulcer properties of white sweet potato (Ipomoea batatas). J adv Res 2013; 4: 411-415.</w:t>
      </w:r>
    </w:p>
    <w:p w:rsidR="00DA3669" w:rsidRDefault="00C04E1A">
      <w:pPr>
        <w:numPr>
          <w:ilvl w:val="0"/>
          <w:numId w:val="5"/>
        </w:numPr>
        <w:spacing w:after="0"/>
        <w:jc w:val="both"/>
      </w:pPr>
      <w:proofErr w:type="spellStart"/>
      <w:r>
        <w:rPr>
          <w:color w:val="181818"/>
          <w:highlight w:val="white"/>
        </w:rPr>
        <w:t>Irondi</w:t>
      </w:r>
      <w:proofErr w:type="spellEnd"/>
      <w:r>
        <w:rPr>
          <w:color w:val="181818"/>
          <w:highlight w:val="white"/>
        </w:rPr>
        <w:t xml:space="preserve">, E. A., Ajani, E. O., Aliyu, O. M., </w:t>
      </w:r>
      <w:proofErr w:type="spellStart"/>
      <w:r>
        <w:rPr>
          <w:color w:val="181818"/>
          <w:highlight w:val="white"/>
        </w:rPr>
        <w:t>Olatoye</w:t>
      </w:r>
      <w:proofErr w:type="spellEnd"/>
      <w:r>
        <w:rPr>
          <w:color w:val="181818"/>
          <w:highlight w:val="white"/>
        </w:rPr>
        <w:t xml:space="preserve">, K. K., </w:t>
      </w:r>
      <w:proofErr w:type="spellStart"/>
      <w:r>
        <w:rPr>
          <w:color w:val="181818"/>
          <w:highlight w:val="white"/>
        </w:rPr>
        <w:t>Abdulameed</w:t>
      </w:r>
      <w:proofErr w:type="spellEnd"/>
      <w:r>
        <w:rPr>
          <w:color w:val="181818"/>
          <w:highlight w:val="white"/>
        </w:rPr>
        <w:t>, H. T., &amp;</w:t>
      </w:r>
      <w:proofErr w:type="spellStart"/>
      <w:r>
        <w:rPr>
          <w:color w:val="181818"/>
          <w:highlight w:val="white"/>
        </w:rPr>
        <w:t>Ogbebor</w:t>
      </w:r>
      <w:proofErr w:type="spellEnd"/>
      <w:r>
        <w:rPr>
          <w:color w:val="181818"/>
          <w:highlight w:val="white"/>
        </w:rPr>
        <w:t>, O. F. (2021). Bioactive components, enzymes inhibitory and antioxidant activities of biofortified yellow maize (</w:t>
      </w:r>
      <w:proofErr w:type="spellStart"/>
      <w:r>
        <w:rPr>
          <w:i/>
          <w:color w:val="181818"/>
          <w:highlight w:val="white"/>
        </w:rPr>
        <w:t>Zea</w:t>
      </w:r>
      <w:proofErr w:type="spellEnd"/>
      <w:r>
        <w:rPr>
          <w:i/>
          <w:color w:val="181818"/>
          <w:highlight w:val="white"/>
        </w:rPr>
        <w:t xml:space="preserve"> mays</w:t>
      </w:r>
      <w:r>
        <w:rPr>
          <w:color w:val="181818"/>
          <w:highlight w:val="white"/>
        </w:rPr>
        <w:t xml:space="preserve"> L.) and cowpea (</w:t>
      </w:r>
      <w:proofErr w:type="spellStart"/>
      <w:r>
        <w:rPr>
          <w:i/>
          <w:color w:val="181818"/>
          <w:highlight w:val="white"/>
        </w:rPr>
        <w:t>Vignaunguiculata</w:t>
      </w:r>
      <w:proofErr w:type="spellEnd"/>
      <w:r>
        <w:rPr>
          <w:color w:val="181818"/>
          <w:highlight w:val="white"/>
        </w:rPr>
        <w:t xml:space="preserve"> L. </w:t>
      </w:r>
      <w:proofErr w:type="spellStart"/>
      <w:r>
        <w:rPr>
          <w:color w:val="181818"/>
          <w:highlight w:val="white"/>
        </w:rPr>
        <w:t>Walp</w:t>
      </w:r>
      <w:proofErr w:type="spellEnd"/>
      <w:r>
        <w:rPr>
          <w:color w:val="181818"/>
          <w:highlight w:val="white"/>
        </w:rPr>
        <w:t xml:space="preserve">) </w:t>
      </w:r>
      <w:r>
        <w:rPr>
          <w:color w:val="181818"/>
          <w:highlight w:val="white"/>
        </w:rPr>
        <w:lastRenderedPageBreak/>
        <w:t xml:space="preserve">composite biscuits. </w:t>
      </w:r>
      <w:r>
        <w:rPr>
          <w:i/>
          <w:color w:val="181818"/>
          <w:highlight w:val="white"/>
        </w:rPr>
        <w:t xml:space="preserve">The Annals of the University </w:t>
      </w:r>
      <w:proofErr w:type="spellStart"/>
      <w:r>
        <w:rPr>
          <w:i/>
          <w:color w:val="181818"/>
          <w:highlight w:val="white"/>
        </w:rPr>
        <w:t>Dunarea</w:t>
      </w:r>
      <w:proofErr w:type="spellEnd"/>
      <w:r>
        <w:rPr>
          <w:i/>
          <w:color w:val="181818"/>
          <w:highlight w:val="white"/>
        </w:rPr>
        <w:t xml:space="preserve"> de Jos of Galati, Fascicle VI - Food Technology</w:t>
      </w:r>
      <w:r>
        <w:rPr>
          <w:color w:val="181818"/>
          <w:highlight w:val="white"/>
        </w:rPr>
        <w:t xml:space="preserve">, </w:t>
      </w:r>
      <w:r>
        <w:rPr>
          <w:i/>
          <w:color w:val="181818"/>
          <w:highlight w:val="white"/>
        </w:rPr>
        <w:t>45</w:t>
      </w:r>
      <w:r>
        <w:rPr>
          <w:color w:val="181818"/>
          <w:highlight w:val="white"/>
        </w:rPr>
        <w:t>(1), 86-101.</w:t>
      </w:r>
      <w:hyperlink r:id="rId12">
        <w:r>
          <w:rPr>
            <w:color w:val="181818"/>
            <w:highlight w:val="white"/>
          </w:rPr>
          <w:t xml:space="preserve"> </w:t>
        </w:r>
      </w:hyperlink>
      <w:hyperlink r:id="rId13">
        <w:r>
          <w:rPr>
            <w:color w:val="0563C1"/>
            <w:highlight w:val="white"/>
            <w:u w:val="single"/>
          </w:rPr>
          <w:t>https://doi.org/10.35219/foodtechnology.2021.1.06</w:t>
        </w:r>
      </w:hyperlink>
      <w:r>
        <w:rPr>
          <w:color w:val="181818"/>
          <w:highlight w:val="white"/>
        </w:rPr>
        <w:t>.</w:t>
      </w:r>
    </w:p>
    <w:p w:rsidR="00DA3669" w:rsidRDefault="00C04E1A">
      <w:pPr>
        <w:numPr>
          <w:ilvl w:val="0"/>
          <w:numId w:val="5"/>
        </w:numPr>
        <w:spacing w:before="240" w:after="0"/>
        <w:jc w:val="both"/>
      </w:pPr>
      <w:r>
        <w:rPr>
          <w:color w:val="181818"/>
          <w:highlight w:val="white"/>
        </w:rPr>
        <w:t xml:space="preserve">Kale, A., Gaikwad, S., </w:t>
      </w:r>
      <w:proofErr w:type="spellStart"/>
      <w:r>
        <w:rPr>
          <w:color w:val="181818"/>
          <w:highlight w:val="white"/>
        </w:rPr>
        <w:t>Mundhe</w:t>
      </w:r>
      <w:proofErr w:type="spellEnd"/>
      <w:r>
        <w:rPr>
          <w:color w:val="181818"/>
          <w:highlight w:val="white"/>
        </w:rPr>
        <w:t xml:space="preserve">, K., Deshpande, N., and </w:t>
      </w:r>
      <w:proofErr w:type="spellStart"/>
      <w:r>
        <w:rPr>
          <w:color w:val="181818"/>
          <w:highlight w:val="white"/>
        </w:rPr>
        <w:t>Salvekar</w:t>
      </w:r>
      <w:proofErr w:type="spellEnd"/>
      <w:r>
        <w:rPr>
          <w:color w:val="181818"/>
          <w:highlight w:val="white"/>
        </w:rPr>
        <w:t>, J. (2010). Quantification of phenolics and flavonoids by spectrophotometer from Juglans regia. International Journal of Pharma and Bio Sciences, 1(4), 1-4</w:t>
      </w:r>
    </w:p>
    <w:p w:rsidR="00DA3669" w:rsidRDefault="00C04E1A">
      <w:pPr>
        <w:numPr>
          <w:ilvl w:val="0"/>
          <w:numId w:val="5"/>
        </w:numPr>
        <w:spacing w:before="240" w:after="0"/>
        <w:jc w:val="both"/>
      </w:pPr>
      <w:proofErr w:type="spellStart"/>
      <w:r>
        <w:rPr>
          <w:color w:val="181818"/>
          <w:highlight w:val="white"/>
        </w:rPr>
        <w:t>Kedare</w:t>
      </w:r>
      <w:proofErr w:type="spellEnd"/>
      <w:r>
        <w:rPr>
          <w:color w:val="181818"/>
          <w:highlight w:val="white"/>
        </w:rPr>
        <w:t>, S. B., and Singh, R. P. (2011). Genesis and development of DPPH method of antioxidant assay. Journal of Food Science and Technology, 48(4), 412-422.</w:t>
      </w:r>
      <w:hyperlink r:id="rId14">
        <w:r>
          <w:rPr>
            <w:color w:val="181818"/>
            <w:highlight w:val="white"/>
          </w:rPr>
          <w:t xml:space="preserve"> </w:t>
        </w:r>
      </w:hyperlink>
      <w:hyperlink r:id="rId15">
        <w:r>
          <w:rPr>
            <w:color w:val="1155CC"/>
            <w:highlight w:val="white"/>
            <w:u w:val="single"/>
          </w:rPr>
          <w:t>https://doi.org/10.1007/s13197-011-0251-1</w:t>
        </w:r>
      </w:hyperlink>
    </w:p>
    <w:p w:rsidR="00DA3669" w:rsidRDefault="00C04E1A">
      <w:pPr>
        <w:numPr>
          <w:ilvl w:val="0"/>
          <w:numId w:val="5"/>
        </w:numPr>
        <w:spacing w:before="240" w:after="240"/>
        <w:jc w:val="both"/>
      </w:pPr>
      <w:r>
        <w:rPr>
          <w:highlight w:val="white"/>
        </w:rPr>
        <w:t xml:space="preserve">Ludvik B, </w:t>
      </w:r>
      <w:proofErr w:type="spellStart"/>
      <w:r>
        <w:rPr>
          <w:highlight w:val="white"/>
        </w:rPr>
        <w:t>Neuffer</w:t>
      </w:r>
      <w:proofErr w:type="spellEnd"/>
      <w:r>
        <w:rPr>
          <w:highlight w:val="white"/>
        </w:rPr>
        <w:t xml:space="preserve"> B, </w:t>
      </w:r>
      <w:proofErr w:type="spellStart"/>
      <w:r>
        <w:rPr>
          <w:highlight w:val="white"/>
        </w:rPr>
        <w:t>Pacini</w:t>
      </w:r>
      <w:proofErr w:type="spellEnd"/>
      <w:r>
        <w:rPr>
          <w:highlight w:val="white"/>
        </w:rPr>
        <w:t xml:space="preserve"> G. Efficacy of Ipomoea batatas (</w:t>
      </w:r>
      <w:proofErr w:type="spellStart"/>
      <w:r>
        <w:rPr>
          <w:highlight w:val="white"/>
        </w:rPr>
        <w:t>Caiapo</w:t>
      </w:r>
      <w:proofErr w:type="spellEnd"/>
      <w:r>
        <w:rPr>
          <w:highlight w:val="white"/>
        </w:rPr>
        <w:t>) on diabetes control in type 2 diabetic subjects treated with diet. Diabetes Care. 2004; 27: 436440.</w:t>
      </w:r>
    </w:p>
    <w:p w:rsidR="00DA3669" w:rsidRDefault="00C04E1A">
      <w:pPr>
        <w:numPr>
          <w:ilvl w:val="0"/>
          <w:numId w:val="5"/>
        </w:numPr>
        <w:spacing w:before="240" w:after="0"/>
        <w:jc w:val="both"/>
      </w:pPr>
      <w:proofErr w:type="spellStart"/>
      <w:r>
        <w:rPr>
          <w:color w:val="181818"/>
          <w:highlight w:val="white"/>
        </w:rPr>
        <w:t>Mbock</w:t>
      </w:r>
      <w:proofErr w:type="spellEnd"/>
      <w:r>
        <w:rPr>
          <w:color w:val="181818"/>
          <w:highlight w:val="white"/>
        </w:rPr>
        <w:t xml:space="preserve">, M. A., </w:t>
      </w:r>
      <w:proofErr w:type="spellStart"/>
      <w:r>
        <w:rPr>
          <w:color w:val="181818"/>
          <w:highlight w:val="white"/>
        </w:rPr>
        <w:t>Fouatio</w:t>
      </w:r>
      <w:proofErr w:type="spellEnd"/>
      <w:r>
        <w:rPr>
          <w:color w:val="181818"/>
          <w:highlight w:val="white"/>
        </w:rPr>
        <w:t xml:space="preserve">, W. F., </w:t>
      </w:r>
      <w:proofErr w:type="spellStart"/>
      <w:r>
        <w:rPr>
          <w:color w:val="181818"/>
          <w:highlight w:val="white"/>
        </w:rPr>
        <w:t>Kamkumo</w:t>
      </w:r>
      <w:proofErr w:type="spellEnd"/>
      <w:r>
        <w:rPr>
          <w:color w:val="181818"/>
          <w:highlight w:val="white"/>
        </w:rPr>
        <w:t xml:space="preserve">, R. G., </w:t>
      </w:r>
      <w:proofErr w:type="spellStart"/>
      <w:r>
        <w:rPr>
          <w:color w:val="181818"/>
          <w:highlight w:val="white"/>
        </w:rPr>
        <w:t>Tsouh</w:t>
      </w:r>
      <w:proofErr w:type="spellEnd"/>
      <w:r>
        <w:rPr>
          <w:color w:val="181818"/>
          <w:highlight w:val="white"/>
        </w:rPr>
        <w:t xml:space="preserve"> </w:t>
      </w:r>
      <w:proofErr w:type="spellStart"/>
      <w:r>
        <w:rPr>
          <w:color w:val="181818"/>
          <w:highlight w:val="white"/>
        </w:rPr>
        <w:t>Fokou</w:t>
      </w:r>
      <w:proofErr w:type="spellEnd"/>
      <w:r>
        <w:rPr>
          <w:color w:val="181818"/>
          <w:highlight w:val="white"/>
        </w:rPr>
        <w:t xml:space="preserve">, P. V., </w:t>
      </w:r>
      <w:proofErr w:type="spellStart"/>
      <w:r>
        <w:rPr>
          <w:color w:val="181818"/>
          <w:highlight w:val="white"/>
        </w:rPr>
        <w:t>Tsofack</w:t>
      </w:r>
      <w:proofErr w:type="spellEnd"/>
      <w:r>
        <w:rPr>
          <w:color w:val="181818"/>
          <w:highlight w:val="white"/>
        </w:rPr>
        <w:t xml:space="preserve">, F. N., </w:t>
      </w:r>
      <w:proofErr w:type="spellStart"/>
      <w:r>
        <w:rPr>
          <w:color w:val="181818"/>
          <w:highlight w:val="white"/>
        </w:rPr>
        <w:t>Lunga</w:t>
      </w:r>
      <w:proofErr w:type="spellEnd"/>
      <w:r>
        <w:rPr>
          <w:color w:val="181818"/>
          <w:highlight w:val="white"/>
        </w:rPr>
        <w:t xml:space="preserve">, P. K., et al. (2020). In vitro and in vivo anti-salmonella properties of hydroethanolic extract of </w:t>
      </w:r>
      <w:proofErr w:type="spellStart"/>
      <w:r>
        <w:rPr>
          <w:color w:val="181818"/>
          <w:highlight w:val="white"/>
        </w:rPr>
        <w:t>Detarium</w:t>
      </w:r>
      <w:proofErr w:type="spellEnd"/>
      <w:r>
        <w:rPr>
          <w:color w:val="181818"/>
          <w:highlight w:val="white"/>
        </w:rPr>
        <w:t xml:space="preserve"> </w:t>
      </w:r>
      <w:proofErr w:type="spellStart"/>
      <w:r>
        <w:rPr>
          <w:color w:val="181818"/>
          <w:highlight w:val="white"/>
        </w:rPr>
        <w:t>microcarpum</w:t>
      </w:r>
      <w:proofErr w:type="spellEnd"/>
      <w:r>
        <w:rPr>
          <w:color w:val="181818"/>
          <w:highlight w:val="white"/>
        </w:rPr>
        <w:t xml:space="preserve"> </w:t>
      </w:r>
      <w:proofErr w:type="spellStart"/>
      <w:r>
        <w:rPr>
          <w:color w:val="181818"/>
          <w:highlight w:val="white"/>
        </w:rPr>
        <w:t>Guill</w:t>
      </w:r>
      <w:proofErr w:type="spellEnd"/>
      <w:r>
        <w:rPr>
          <w:color w:val="181818"/>
          <w:highlight w:val="white"/>
        </w:rPr>
        <w:t xml:space="preserve">. and </w:t>
      </w:r>
      <w:proofErr w:type="spellStart"/>
      <w:r>
        <w:rPr>
          <w:color w:val="181818"/>
          <w:highlight w:val="white"/>
        </w:rPr>
        <w:t>Perr</w:t>
      </w:r>
      <w:proofErr w:type="spellEnd"/>
      <w:r>
        <w:rPr>
          <w:color w:val="181818"/>
          <w:highlight w:val="white"/>
        </w:rPr>
        <w:t>. (Leguminosae) root bark and LC-MS-based phytochemical analysis. Journal of Ethnopharmacology, 260, 113049.</w:t>
      </w:r>
      <w:hyperlink r:id="rId16">
        <w:r>
          <w:rPr>
            <w:color w:val="181818"/>
            <w:highlight w:val="white"/>
          </w:rPr>
          <w:t xml:space="preserve"> </w:t>
        </w:r>
      </w:hyperlink>
      <w:hyperlink r:id="rId17">
        <w:r>
          <w:rPr>
            <w:color w:val="1155CC"/>
            <w:highlight w:val="white"/>
            <w:u w:val="single"/>
          </w:rPr>
          <w:t>https://doi.org/10.1016/j.jep.2020.113049</w:t>
        </w:r>
      </w:hyperlink>
    </w:p>
    <w:p w:rsidR="00DA3669" w:rsidRDefault="00C04E1A">
      <w:pPr>
        <w:numPr>
          <w:ilvl w:val="0"/>
          <w:numId w:val="5"/>
        </w:numPr>
        <w:spacing w:before="240" w:after="0"/>
        <w:jc w:val="both"/>
      </w:pPr>
      <w:proofErr w:type="spellStart"/>
      <w:r>
        <w:rPr>
          <w:color w:val="181818"/>
          <w:highlight w:val="white"/>
        </w:rPr>
        <w:t>Musilova</w:t>
      </w:r>
      <w:proofErr w:type="spellEnd"/>
      <w:r>
        <w:rPr>
          <w:color w:val="181818"/>
          <w:highlight w:val="white"/>
        </w:rPr>
        <w:t xml:space="preserve">, J., </w:t>
      </w:r>
      <w:proofErr w:type="spellStart"/>
      <w:r>
        <w:rPr>
          <w:color w:val="181818"/>
          <w:highlight w:val="white"/>
        </w:rPr>
        <w:t>Bystricka</w:t>
      </w:r>
      <w:proofErr w:type="spellEnd"/>
      <w:r>
        <w:rPr>
          <w:color w:val="181818"/>
          <w:highlight w:val="white"/>
        </w:rPr>
        <w:t xml:space="preserve">, J., </w:t>
      </w:r>
      <w:proofErr w:type="spellStart"/>
      <w:r>
        <w:rPr>
          <w:color w:val="181818"/>
          <w:highlight w:val="white"/>
        </w:rPr>
        <w:t>Tobolková</w:t>
      </w:r>
      <w:proofErr w:type="spellEnd"/>
      <w:r>
        <w:rPr>
          <w:color w:val="181818"/>
          <w:highlight w:val="white"/>
        </w:rPr>
        <w:t xml:space="preserve">, B., </w:t>
      </w:r>
      <w:proofErr w:type="spellStart"/>
      <w:r>
        <w:rPr>
          <w:color w:val="181818"/>
          <w:highlight w:val="white"/>
        </w:rPr>
        <w:t>Vollmannová</w:t>
      </w:r>
      <w:proofErr w:type="spellEnd"/>
      <w:r>
        <w:rPr>
          <w:color w:val="181818"/>
          <w:highlight w:val="white"/>
        </w:rPr>
        <w:t xml:space="preserve">, A., and </w:t>
      </w:r>
      <w:proofErr w:type="spellStart"/>
      <w:r>
        <w:rPr>
          <w:color w:val="181818"/>
          <w:highlight w:val="white"/>
        </w:rPr>
        <w:t>Kavalcová</w:t>
      </w:r>
      <w:proofErr w:type="spellEnd"/>
      <w:r>
        <w:rPr>
          <w:color w:val="181818"/>
          <w:highlight w:val="white"/>
        </w:rPr>
        <w:t xml:space="preserve">, </w:t>
      </w:r>
      <w:proofErr w:type="gramStart"/>
      <w:r>
        <w:rPr>
          <w:color w:val="181818"/>
          <w:highlight w:val="white"/>
        </w:rPr>
        <w:t>P.(</w:t>
      </w:r>
      <w:proofErr w:type="gramEnd"/>
      <w:r>
        <w:rPr>
          <w:color w:val="181818"/>
          <w:highlight w:val="white"/>
        </w:rPr>
        <w:t>2021). Bioactive compounds in sweet potato roots: Their content and antioxidant activity. Plants, 10(5), 927.</w:t>
      </w:r>
      <w:hyperlink r:id="rId18">
        <w:r>
          <w:rPr>
            <w:color w:val="181818"/>
            <w:highlight w:val="white"/>
          </w:rPr>
          <w:t xml:space="preserve"> </w:t>
        </w:r>
      </w:hyperlink>
      <w:hyperlink r:id="rId19">
        <w:r>
          <w:rPr>
            <w:color w:val="1155CC"/>
            <w:highlight w:val="white"/>
            <w:u w:val="single"/>
          </w:rPr>
          <w:t>https://doi.org/10.3390/plants10050927</w:t>
        </w:r>
      </w:hyperlink>
    </w:p>
    <w:p w:rsidR="00DA3669" w:rsidRDefault="00C04E1A">
      <w:pPr>
        <w:numPr>
          <w:ilvl w:val="0"/>
          <w:numId w:val="5"/>
        </w:numPr>
        <w:spacing w:before="240" w:after="240"/>
        <w:jc w:val="both"/>
      </w:pPr>
      <w:proofErr w:type="spellStart"/>
      <w:r>
        <w:rPr>
          <w:highlight w:val="white"/>
        </w:rPr>
        <w:t>Osime</w:t>
      </w:r>
      <w:proofErr w:type="spellEnd"/>
      <w:r>
        <w:rPr>
          <w:highlight w:val="white"/>
        </w:rPr>
        <w:t xml:space="preserve"> EO, </w:t>
      </w:r>
      <w:proofErr w:type="spellStart"/>
      <w:r>
        <w:rPr>
          <w:highlight w:val="white"/>
        </w:rPr>
        <w:t>Ediale</w:t>
      </w:r>
      <w:proofErr w:type="spellEnd"/>
      <w:r>
        <w:rPr>
          <w:highlight w:val="white"/>
        </w:rPr>
        <w:t xml:space="preserve"> GE, </w:t>
      </w:r>
      <w:proofErr w:type="spellStart"/>
      <w:r>
        <w:rPr>
          <w:highlight w:val="white"/>
        </w:rPr>
        <w:t>Omoti</w:t>
      </w:r>
      <w:proofErr w:type="spellEnd"/>
      <w:r>
        <w:rPr>
          <w:highlight w:val="white"/>
        </w:rPr>
        <w:t xml:space="preserve"> CE, </w:t>
      </w:r>
      <w:proofErr w:type="spellStart"/>
      <w:r>
        <w:rPr>
          <w:highlight w:val="white"/>
        </w:rPr>
        <w:t>Famodu</w:t>
      </w:r>
      <w:proofErr w:type="spellEnd"/>
      <w:r>
        <w:rPr>
          <w:highlight w:val="white"/>
        </w:rPr>
        <w:t xml:space="preserve"> AA. Effect of sweet potato leaf (Ipomoea batatas) extract on some </w:t>
      </w:r>
      <w:proofErr w:type="spellStart"/>
      <w:r>
        <w:rPr>
          <w:highlight w:val="white"/>
        </w:rPr>
        <w:t>haematological</w:t>
      </w:r>
      <w:proofErr w:type="spellEnd"/>
      <w:r>
        <w:rPr>
          <w:highlight w:val="white"/>
        </w:rPr>
        <w:t xml:space="preserve"> parameters using rabbits. J Med Biomed Res 2008; 7: 12-15. </w:t>
      </w:r>
    </w:p>
    <w:p w:rsidR="00DA3669" w:rsidRDefault="00C04E1A">
      <w:pPr>
        <w:numPr>
          <w:ilvl w:val="0"/>
          <w:numId w:val="5"/>
        </w:numPr>
        <w:spacing w:before="240" w:after="240"/>
        <w:jc w:val="both"/>
      </w:pPr>
      <w:r>
        <w:rPr>
          <w:highlight w:val="white"/>
        </w:rPr>
        <w:t xml:space="preserve">Panda V, </w:t>
      </w:r>
      <w:proofErr w:type="spellStart"/>
      <w:r>
        <w:rPr>
          <w:highlight w:val="white"/>
        </w:rPr>
        <w:t>Sonkamble</w:t>
      </w:r>
      <w:proofErr w:type="spellEnd"/>
      <w:r>
        <w:rPr>
          <w:highlight w:val="white"/>
        </w:rPr>
        <w:t xml:space="preserve"> M. Anti-ulcer activity of Ipomoea batatas tubers (sweet potato). </w:t>
      </w:r>
      <w:proofErr w:type="spellStart"/>
      <w:r>
        <w:rPr>
          <w:highlight w:val="white"/>
        </w:rPr>
        <w:t>Funct</w:t>
      </w:r>
      <w:proofErr w:type="spellEnd"/>
      <w:r>
        <w:rPr>
          <w:highlight w:val="white"/>
        </w:rPr>
        <w:t xml:space="preserve"> Food Health Dis 2012; 2: 48-61. </w:t>
      </w:r>
    </w:p>
    <w:p w:rsidR="00DA3669" w:rsidRDefault="00C04E1A">
      <w:pPr>
        <w:numPr>
          <w:ilvl w:val="0"/>
          <w:numId w:val="5"/>
        </w:numPr>
        <w:spacing w:before="240" w:after="240"/>
        <w:jc w:val="both"/>
      </w:pPr>
      <w:r>
        <w:rPr>
          <w:highlight w:val="white"/>
        </w:rPr>
        <w:t xml:space="preserve">Park SY, Lee SY, Yang JW, Lee JS, Oh SD, Oh S, Lee SM, Lim MH, Park SK, Jang JS et al. Comparative analysis of phytochemicals and polar metabolites from colored sweet potato (Ipomoea batatas L.) tubers. Food </w:t>
      </w:r>
      <w:proofErr w:type="spellStart"/>
      <w:r>
        <w:rPr>
          <w:highlight w:val="white"/>
        </w:rPr>
        <w:t>SciBiotechnol</w:t>
      </w:r>
      <w:proofErr w:type="spellEnd"/>
      <w:r>
        <w:rPr>
          <w:highlight w:val="white"/>
        </w:rPr>
        <w:t xml:space="preserve"> 2016; 25: 283-291. </w:t>
      </w:r>
    </w:p>
    <w:p w:rsidR="00DA3669" w:rsidRDefault="00C04E1A">
      <w:pPr>
        <w:numPr>
          <w:ilvl w:val="0"/>
          <w:numId w:val="5"/>
        </w:numPr>
        <w:spacing w:before="240" w:after="0"/>
        <w:jc w:val="both"/>
      </w:pPr>
      <w:proofErr w:type="spellStart"/>
      <w:r>
        <w:rPr>
          <w:color w:val="181818"/>
          <w:highlight w:val="white"/>
        </w:rPr>
        <w:t>Rocchetti</w:t>
      </w:r>
      <w:proofErr w:type="spellEnd"/>
      <w:r>
        <w:rPr>
          <w:color w:val="181818"/>
          <w:highlight w:val="white"/>
        </w:rPr>
        <w:t xml:space="preserve">, G., </w:t>
      </w:r>
      <w:proofErr w:type="spellStart"/>
      <w:r>
        <w:rPr>
          <w:color w:val="181818"/>
          <w:highlight w:val="white"/>
        </w:rPr>
        <w:t>Giuberti</w:t>
      </w:r>
      <w:proofErr w:type="spellEnd"/>
      <w:r>
        <w:rPr>
          <w:color w:val="181818"/>
          <w:highlight w:val="white"/>
        </w:rPr>
        <w:t xml:space="preserve">, G., Gallo, A., </w:t>
      </w:r>
      <w:proofErr w:type="spellStart"/>
      <w:r>
        <w:rPr>
          <w:color w:val="181818"/>
          <w:highlight w:val="white"/>
        </w:rPr>
        <w:t>Bernardi</w:t>
      </w:r>
      <w:proofErr w:type="spellEnd"/>
      <w:r>
        <w:rPr>
          <w:color w:val="181818"/>
          <w:highlight w:val="white"/>
        </w:rPr>
        <w:t xml:space="preserve">, J., </w:t>
      </w:r>
      <w:proofErr w:type="spellStart"/>
      <w:r>
        <w:rPr>
          <w:color w:val="181818"/>
          <w:highlight w:val="white"/>
        </w:rPr>
        <w:t>Marocco</w:t>
      </w:r>
      <w:proofErr w:type="spellEnd"/>
      <w:r>
        <w:rPr>
          <w:color w:val="181818"/>
          <w:highlight w:val="white"/>
        </w:rPr>
        <w:t xml:space="preserve">, A., and </w:t>
      </w:r>
      <w:proofErr w:type="spellStart"/>
      <w:r>
        <w:rPr>
          <w:color w:val="181818"/>
          <w:highlight w:val="white"/>
        </w:rPr>
        <w:t>Lucini</w:t>
      </w:r>
      <w:proofErr w:type="spellEnd"/>
      <w:r>
        <w:rPr>
          <w:color w:val="181818"/>
          <w:highlight w:val="white"/>
        </w:rPr>
        <w:t>, L. (2018). Effect of dietary polyphenols on the in vitro starch digestibility of pigmented maize varieties under cooking conditions. Food Research International, 108, 183-191.</w:t>
      </w:r>
      <w:hyperlink r:id="rId20">
        <w:r>
          <w:rPr>
            <w:color w:val="181818"/>
            <w:highlight w:val="white"/>
          </w:rPr>
          <w:t xml:space="preserve"> </w:t>
        </w:r>
      </w:hyperlink>
      <w:hyperlink r:id="rId21">
        <w:r>
          <w:rPr>
            <w:color w:val="1155CC"/>
            <w:highlight w:val="white"/>
            <w:u w:val="single"/>
          </w:rPr>
          <w:t>https://doi.org/10.1016/j.foodres.2018.03.049</w:t>
        </w:r>
      </w:hyperlink>
    </w:p>
    <w:p w:rsidR="00DA3669" w:rsidRDefault="00C04E1A">
      <w:pPr>
        <w:numPr>
          <w:ilvl w:val="0"/>
          <w:numId w:val="5"/>
        </w:numPr>
        <w:spacing w:before="240" w:after="0"/>
        <w:jc w:val="both"/>
      </w:pPr>
      <w:bookmarkStart w:id="41" w:name="_GoBack"/>
      <w:bookmarkEnd w:id="41"/>
      <w:r>
        <w:rPr>
          <w:color w:val="181818"/>
          <w:highlight w:val="white"/>
        </w:rPr>
        <w:t xml:space="preserve">Sharma, K., </w:t>
      </w:r>
      <w:proofErr w:type="spellStart"/>
      <w:r>
        <w:rPr>
          <w:color w:val="181818"/>
          <w:highlight w:val="white"/>
        </w:rPr>
        <w:t>Mahato</w:t>
      </w:r>
      <w:proofErr w:type="spellEnd"/>
      <w:r>
        <w:rPr>
          <w:color w:val="181818"/>
          <w:highlight w:val="white"/>
        </w:rPr>
        <w:t xml:space="preserve">, N., Cho, M. H., and Lee, Y. R. (2017). Converting citrus wastes into value-added products: Economic and </w:t>
      </w:r>
      <w:proofErr w:type="spellStart"/>
      <w:r>
        <w:rPr>
          <w:color w:val="181818"/>
          <w:highlight w:val="white"/>
        </w:rPr>
        <w:t>environmently</w:t>
      </w:r>
      <w:proofErr w:type="spellEnd"/>
      <w:r>
        <w:rPr>
          <w:color w:val="181818"/>
          <w:highlight w:val="white"/>
        </w:rPr>
        <w:t xml:space="preserve"> friendly approaches. Nutrition, 34, 29-46.</w:t>
      </w:r>
      <w:hyperlink r:id="rId22">
        <w:r>
          <w:rPr>
            <w:color w:val="181818"/>
            <w:highlight w:val="white"/>
          </w:rPr>
          <w:t xml:space="preserve"> </w:t>
        </w:r>
      </w:hyperlink>
      <w:hyperlink r:id="rId23">
        <w:r>
          <w:rPr>
            <w:color w:val="1155CC"/>
            <w:highlight w:val="white"/>
            <w:u w:val="single"/>
          </w:rPr>
          <w:t>https://doi.org/10.1016/j.nut.2016.09.006</w:t>
        </w:r>
      </w:hyperlink>
    </w:p>
    <w:p w:rsidR="00DA3669" w:rsidRDefault="00C04E1A">
      <w:pPr>
        <w:numPr>
          <w:ilvl w:val="0"/>
          <w:numId w:val="5"/>
        </w:numPr>
        <w:spacing w:before="240" w:after="240"/>
        <w:jc w:val="both"/>
      </w:pPr>
      <w:r>
        <w:rPr>
          <w:highlight w:val="white"/>
        </w:rPr>
        <w:lastRenderedPageBreak/>
        <w:t xml:space="preserve">Shekhar S, Mishra D, </w:t>
      </w:r>
      <w:proofErr w:type="spellStart"/>
      <w:r>
        <w:rPr>
          <w:highlight w:val="white"/>
        </w:rPr>
        <w:t>Buragohain</w:t>
      </w:r>
      <w:proofErr w:type="spellEnd"/>
      <w:r>
        <w:rPr>
          <w:highlight w:val="white"/>
        </w:rPr>
        <w:t>, AK, Chakraborty S, Chakraborty, N.  Comparative analysis of phytochemicals and nutrient availability in two contrasting cultivars of sweet potato (Ipomoea batatas L.). Food Chem 2015; 173: 957-965. 8</w:t>
      </w:r>
    </w:p>
    <w:p w:rsidR="00DA3669" w:rsidRDefault="00C04E1A">
      <w:pPr>
        <w:numPr>
          <w:ilvl w:val="0"/>
          <w:numId w:val="5"/>
        </w:numPr>
        <w:spacing w:before="240" w:after="240"/>
        <w:jc w:val="both"/>
      </w:pPr>
      <w:proofErr w:type="spellStart"/>
      <w:r>
        <w:rPr>
          <w:color w:val="181818"/>
          <w:highlight w:val="white"/>
        </w:rPr>
        <w:t>Sugata</w:t>
      </w:r>
      <w:proofErr w:type="spellEnd"/>
      <w:r>
        <w:rPr>
          <w:color w:val="181818"/>
          <w:highlight w:val="white"/>
        </w:rPr>
        <w:t xml:space="preserve"> M, Lin CY, Shih YC. Anti-inflammatory and anticancer activities of Taiwanese purple-fleshed sweet potatoes (Ipomoea batatas L. Lam) extracts. BioMed Res Int</w:t>
      </w:r>
      <w:proofErr w:type="gramStart"/>
      <w:r>
        <w:rPr>
          <w:color w:val="181818"/>
          <w:highlight w:val="white"/>
        </w:rPr>
        <w:t>2015 .</w:t>
      </w:r>
      <w:proofErr w:type="gramEnd"/>
      <w:r>
        <w:rPr>
          <w:color w:val="181818"/>
          <w:highlight w:val="white"/>
        </w:rPr>
        <w:t xml:space="preserve">doi.org/10.1155/2015/768093. </w:t>
      </w:r>
    </w:p>
    <w:p w:rsidR="00DA3669" w:rsidRDefault="00C04E1A">
      <w:pPr>
        <w:numPr>
          <w:ilvl w:val="0"/>
          <w:numId w:val="5"/>
        </w:numPr>
        <w:spacing w:before="240" w:after="240"/>
        <w:jc w:val="both"/>
      </w:pPr>
      <w:r>
        <w:rPr>
          <w:color w:val="181818"/>
          <w:highlight w:val="white"/>
        </w:rPr>
        <w:t xml:space="preserve">Wang LS, Stoner GD. Anthocyanins and their role in cancer prevention. Cancer Letters 2008; 269: 281-290. </w:t>
      </w:r>
    </w:p>
    <w:p w:rsidR="00DA3669" w:rsidRDefault="00C04E1A">
      <w:pPr>
        <w:numPr>
          <w:ilvl w:val="0"/>
          <w:numId w:val="5"/>
        </w:numPr>
        <w:spacing w:before="240" w:after="240"/>
        <w:jc w:val="both"/>
      </w:pPr>
      <w:proofErr w:type="spellStart"/>
      <w:r>
        <w:rPr>
          <w:color w:val="181818"/>
          <w:highlight w:val="white"/>
        </w:rPr>
        <w:t>Woolfe</w:t>
      </w:r>
      <w:proofErr w:type="spellEnd"/>
      <w:r>
        <w:rPr>
          <w:color w:val="181818"/>
          <w:highlight w:val="white"/>
        </w:rPr>
        <w:t xml:space="preserve"> JA. "Sweet potato: an untapped food resource", Cambridge Univ. Press and the International Potato Center (CIP). Cambridge, UK. 1992. </w:t>
      </w:r>
    </w:p>
    <w:p w:rsidR="00DA3669" w:rsidRDefault="00C04E1A">
      <w:pPr>
        <w:numPr>
          <w:ilvl w:val="0"/>
          <w:numId w:val="5"/>
        </w:numPr>
        <w:spacing w:before="240" w:after="0"/>
        <w:jc w:val="both"/>
      </w:pPr>
      <w:r>
        <w:rPr>
          <w:highlight w:val="white"/>
        </w:rPr>
        <w:t xml:space="preserve">Yoshimoto M, Kido M, </w:t>
      </w:r>
      <w:proofErr w:type="spellStart"/>
      <w:r>
        <w:rPr>
          <w:highlight w:val="white"/>
        </w:rPr>
        <w:t>Kurata</w:t>
      </w:r>
      <w:proofErr w:type="spellEnd"/>
      <w:r>
        <w:rPr>
          <w:highlight w:val="white"/>
        </w:rPr>
        <w:t xml:space="preserve"> R, Kobayashi T Antibacterial activity of sweet potato (Ipomoea batatas L.) </w:t>
      </w:r>
      <w:proofErr w:type="spellStart"/>
      <w:r>
        <w:rPr>
          <w:highlight w:val="white"/>
        </w:rPr>
        <w:t>fibre</w:t>
      </w:r>
      <w:proofErr w:type="spellEnd"/>
      <w:r>
        <w:rPr>
          <w:highlight w:val="white"/>
        </w:rPr>
        <w:t xml:space="preserve"> on food hygienic bacteria. The Bulletin of the Institute of Minami-Kyushu Regional. Science, Kagoshima Women's Junior College 2011; 27: 5-17.</w:t>
      </w:r>
    </w:p>
    <w:p w:rsidR="00DA3669" w:rsidRDefault="00C04E1A">
      <w:pPr>
        <w:spacing w:before="240" w:after="240" w:line="480" w:lineRule="auto"/>
        <w:jc w:val="both"/>
        <w:rPr>
          <w:highlight w:val="white"/>
        </w:rPr>
      </w:pPr>
      <w:r>
        <w:rPr>
          <w:highlight w:val="white"/>
        </w:rPr>
        <w:t xml:space="preserve"> </w:t>
      </w:r>
    </w:p>
    <w:p w:rsidR="00DA3669" w:rsidRDefault="00DA3669">
      <w:pPr>
        <w:spacing w:before="240" w:after="240" w:line="480" w:lineRule="auto"/>
        <w:jc w:val="both"/>
        <w:rPr>
          <w:color w:val="1155CC"/>
          <w:highlight w:val="white"/>
          <w:u w:val="single"/>
        </w:rPr>
      </w:pPr>
    </w:p>
    <w:p w:rsidR="00DA3669" w:rsidRDefault="00DA3669"/>
    <w:sectPr w:rsidR="00DA3669">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8B1"/>
    <w:multiLevelType w:val="multilevel"/>
    <w:tmpl w:val="FAEA782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1B8912FD"/>
    <w:multiLevelType w:val="multilevel"/>
    <w:tmpl w:val="4EFCA2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3C2D4366"/>
    <w:multiLevelType w:val="multilevel"/>
    <w:tmpl w:val="D80CD22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66ED6C91"/>
    <w:multiLevelType w:val="multilevel"/>
    <w:tmpl w:val="6AA839A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 w15:restartNumberingAfterBreak="0">
    <w:nsid w:val="7C5F2D62"/>
    <w:multiLevelType w:val="multilevel"/>
    <w:tmpl w:val="839A25E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69"/>
    <w:rsid w:val="000876D8"/>
    <w:rsid w:val="00C04E1A"/>
    <w:rsid w:val="00DA36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3F44"/>
  <w15:docId w15:val="{83F8C43E-59C8-451C-8874-3E570F72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 w:eastAsia="en-IN"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4F81BD"/>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28"/>
      <w:szCs w:val="28"/>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unhideWhenUsed/>
    <w:qFormat/>
    <w:pPr>
      <w:keepNext/>
      <w:keepLines/>
      <w:spacing w:before="200" w:after="0"/>
      <w:outlineLvl w:val="3"/>
    </w:pPr>
    <w:rPr>
      <w:rFonts w:ascii="Calibri" w:eastAsia="Calibri" w:hAnsi="Calibri" w:cs="Calibri"/>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4F81BD"/>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color w:val="4F81BD"/>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35B8A"/>
      <w:sz w:val="36"/>
      <w:szCs w:val="36"/>
    </w:rPr>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basedOn w:val="TableNormal0"/>
    <w:semiHidden/>
    <w:unhideWhenUsed/>
    <w:qFormat/>
    <w:tblPr>
      <w:tblInd w:w="0" w:type="dxa"/>
      <w:tblCellMar>
        <w:left w:w="108"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table" w:customStyle="1" w:styleId="a">
    <w:basedOn w:val="TableNormal0"/>
    <w:tblPr>
      <w:tblStyleRowBandSize w:val="1"/>
      <w:tblStyleColBandSize w:val="1"/>
      <w:tblCellMar>
        <w:left w:w="108" w:type="dxa"/>
        <w:right w:w="108" w:type="dxa"/>
      </w:tblCellMar>
    </w:tblPr>
    <w:tblStylePr w:type="firstRow">
      <w:tblPr/>
      <w:tcPr>
        <w:tcBorders>
          <w:bottom w:val="nil"/>
        </w:tcBorders>
        <w:vAlign w:val="bottom"/>
      </w:tcPr>
    </w:tblStylePr>
  </w:style>
  <w:style w:type="table" w:customStyle="1" w:styleId="a0">
    <w:basedOn w:val="TableNormal0"/>
    <w:tblPr>
      <w:tblStyleRowBandSize w:val="1"/>
      <w:tblStyleColBandSize w:val="1"/>
      <w:tblCellMar>
        <w:left w:w="108" w:type="dxa"/>
        <w:right w:w="108" w:type="dxa"/>
      </w:tblCellMar>
    </w:tblPr>
    <w:tblStylePr w:type="firstRow">
      <w:tblPr/>
      <w:tcPr>
        <w:tcBorders>
          <w:bottom w:val="nil"/>
        </w:tcBorders>
        <w:vAlign w:val="bottom"/>
      </w:tcPr>
    </w:tblStylePr>
  </w:style>
  <w:style w:type="table" w:customStyle="1" w:styleId="a1">
    <w:basedOn w:val="TableNormal0"/>
    <w:tblPr>
      <w:tblStyleRowBandSize w:val="1"/>
      <w:tblStyleColBandSize w:val="1"/>
      <w:tblCellMar>
        <w:left w:w="108" w:type="dxa"/>
        <w:right w:w="108" w:type="dxa"/>
      </w:tblCellMar>
    </w:tblPr>
    <w:tblStylePr w:type="firstRow">
      <w:tblPr/>
      <w:tcPr>
        <w:tcBorders>
          <w:bottom w:val="nil"/>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foodchem.2008.07.090" TargetMode="External"/><Relationship Id="rId13" Type="http://schemas.openxmlformats.org/officeDocument/2006/relationships/hyperlink" Target="https://doi.org/10.35219/foodtechnology.2021.1.06" TargetMode="External"/><Relationship Id="rId18" Type="http://schemas.openxmlformats.org/officeDocument/2006/relationships/hyperlink" Target="https://doi.org/10.3390/plants10050927" TargetMode="External"/><Relationship Id="rId3" Type="http://schemas.openxmlformats.org/officeDocument/2006/relationships/styles" Target="styles.xml"/><Relationship Id="rId21" Type="http://schemas.openxmlformats.org/officeDocument/2006/relationships/hyperlink" Target="https://doi.org/10.1016/j.foodres.2018.03.049" TargetMode="External"/><Relationship Id="rId7" Type="http://schemas.openxmlformats.org/officeDocument/2006/relationships/hyperlink" Target="http://dx.doi.org/10.12980/apjtd.7.2017D6-462" TargetMode="External"/><Relationship Id="rId12" Type="http://schemas.openxmlformats.org/officeDocument/2006/relationships/hyperlink" Target="https://doi.org/10.35219/foodtechnology.2021.1.06" TargetMode="External"/><Relationship Id="rId17" Type="http://schemas.openxmlformats.org/officeDocument/2006/relationships/hyperlink" Target="https://doi.org/10.1016/j.jep.2020.1130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ep.2020.113049" TargetMode="External"/><Relationship Id="rId20" Type="http://schemas.openxmlformats.org/officeDocument/2006/relationships/hyperlink" Target="https://doi.org/10.1016/j.foodres.2018.03.049" TargetMode="External"/><Relationship Id="rId1" Type="http://schemas.openxmlformats.org/officeDocument/2006/relationships/customXml" Target="../customXml/item1.xml"/><Relationship Id="rId6" Type="http://schemas.openxmlformats.org/officeDocument/2006/relationships/hyperlink" Target="http://dx.doi.org/10.12980/apjtd.7.2017D6-462" TargetMode="External"/><Relationship Id="rId11" Type="http://schemas.openxmlformats.org/officeDocument/2006/relationships/hyperlink" Target="https://doi.org/10.1016/0006-2952(71)90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3197-011-0251-1" TargetMode="External"/><Relationship Id="rId23" Type="http://schemas.openxmlformats.org/officeDocument/2006/relationships/hyperlink" Target="https://doi.org/10.1016/j.nut.2016.09.006" TargetMode="External"/><Relationship Id="rId10" Type="http://schemas.openxmlformats.org/officeDocument/2006/relationships/hyperlink" Target="https://doi.org/10.1016/0006-2952(71)90292-9" TargetMode="External"/><Relationship Id="rId19" Type="http://schemas.openxmlformats.org/officeDocument/2006/relationships/hyperlink" Target="https://doi.org/10.3390/plants10050927" TargetMode="External"/><Relationship Id="rId4" Type="http://schemas.openxmlformats.org/officeDocument/2006/relationships/settings" Target="settings.xml"/><Relationship Id="rId9" Type="http://schemas.openxmlformats.org/officeDocument/2006/relationships/hyperlink" Target="https://doi.org/10.1016/j.foodchem.2008.07.090" TargetMode="External"/><Relationship Id="rId14" Type="http://schemas.openxmlformats.org/officeDocument/2006/relationships/hyperlink" Target="https://doi.org/10.1007/s13197-011-0251-1" TargetMode="External"/><Relationship Id="rId22" Type="http://schemas.openxmlformats.org/officeDocument/2006/relationships/hyperlink" Target="https://doi.org/10.1016/j.nut.2016.09.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oWgwooylQWE3zlLQljgMlMXxw==">CgMxLjAyD2lkLmFqczRsMW81aXc0NzIPaWQubHB2YWFpOTdtZm0zMg9pZC51YTg0YnVodWdsYjMyD2lkLmFweWY3ZWJrdzN2ZzIOaWQuaTVsYTB1d2MzMmwyD2lkLnEzOGN6OWJmYjBibDIPaWQub25jZWt6MXY0czNrMg5pZC45bTV6YzFxMjYzNDIPaWQuYjJ6Z2Y1eTcxdGowMg9pZC43NjVwejF5Nm9vbWkyDmlkLmFxbTlkeml0b2prMg9pZC43emRrMHFkNGNhaTcyD2lkLmp5aWQ0c3poNDV5MjIPaWQuNHI2Nm1oaGcwa2hvMg9pZC41eTF6M2F6aTN0ajIyD2lkLjZkY3F4bjRtbXk0ajIPaWQudHZteWpsN29rNGpqMg9pZC5xdnVlOXh3cmJlc3gyD2lkLnB1cTY1NDRiOWVzeTIPaWQueTU2eGc0dm1yMTA4Mg9pZC5vMDJkcnBib3J3YWsyD2lkLmczNTZidXoybWc3YzIPaWQuZHJ0YjNjaHllc2t6Mg9pZC53NmZnOGRibjhnZTcyD2lkLnpnNTE3ZG11NXo4aTIPaWQuZTBldDVybnNvcWVvMg9pZC51bDBqeWx5ZmY3bGoyD2lkLm9nMWcydW40b2c0MDIPaWQubDZ5Z2gzdnJpbDdiMg9pZC5rcWdoanp4ZXF5cncyD2lkLnBzeHNrcjk1ajNsYjIPaWQuMms4aDkwY3c0aGc5Mg9pZC5qc2U2c3htYzdiYmMyD2lkLmNzd3I5dmtzemFobjIPaWQuYmIycHlhaTdkN3liMg9pZC5oejBuanZpYXV1M3QyD2lkLnhvcng3cnNrN2xxZjIPaWQub29vaHhvZzBjaTlsMg9pZC5idnN0ZHczNHZ4anQyDmlkLjgydmxweWR5YWxzMg9pZC45ODEzY3Jqam5sYjQ4AHIhMXlWX0ZEZG1Wam1oM0sxRFFBZHpXVHpPbXY4ZS1VLT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6879</Words>
  <Characters>39216</Characters>
  <Application>Microsoft Office Word</Application>
  <DocSecurity>0</DocSecurity>
  <Lines>326</Lines>
  <Paragraphs>92</Paragraphs>
  <ScaleCrop>false</ScaleCrop>
  <Company/>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cp:revision>
  <dcterms:created xsi:type="dcterms:W3CDTF">1970-01-01T00:00:00Z</dcterms:created>
  <dcterms:modified xsi:type="dcterms:W3CDTF">2025-07-28T06:38:00Z</dcterms:modified>
</cp:coreProperties>
</file>