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72290" w14:textId="77777777" w:rsidR="00327DB3" w:rsidRDefault="00327DB3" w:rsidP="00441B6F">
      <w:pPr>
        <w:pStyle w:val="Title"/>
        <w:spacing w:after="0"/>
        <w:jc w:val="both"/>
        <w:rPr>
          <w:rFonts w:ascii="Arial" w:hAnsi="Arial" w:cs="Arial"/>
        </w:rPr>
      </w:pPr>
    </w:p>
    <w:p w14:paraId="54F1B8CC" w14:textId="78C8C86F" w:rsidR="00163BC4" w:rsidRPr="00163BC4" w:rsidRDefault="00EB27E4" w:rsidP="00441B6F">
      <w:pPr>
        <w:pStyle w:val="Author"/>
        <w:spacing w:line="240" w:lineRule="auto"/>
        <w:rPr>
          <w:rFonts w:ascii="Arial" w:hAnsi="Arial" w:cs="Arial"/>
          <w:bCs/>
          <w:iCs/>
          <w:kern w:val="28"/>
          <w:sz w:val="36"/>
        </w:rPr>
      </w:pPr>
      <w:bookmarkStart w:id="0" w:name="_Hlk204198738"/>
      <w:r w:rsidRPr="00EB27E4">
        <w:rPr>
          <w:rFonts w:ascii="Arial" w:hAnsi="Arial" w:cs="Arial"/>
          <w:bCs/>
          <w:iCs/>
          <w:kern w:val="28"/>
          <w:sz w:val="36"/>
          <w:lang w:val="en-ID"/>
        </w:rPr>
        <w:t xml:space="preserve">Use Of Yakult Probiotic Materials With Different Fermentation Durations In </w:t>
      </w:r>
      <w:proofErr w:type="spellStart"/>
      <w:r w:rsidRPr="00EB27E4">
        <w:rPr>
          <w:rFonts w:ascii="Arial" w:hAnsi="Arial" w:cs="Arial"/>
          <w:bCs/>
          <w:iCs/>
          <w:kern w:val="28"/>
          <w:sz w:val="36"/>
          <w:lang w:val="en-ID"/>
        </w:rPr>
        <w:t>Bioflock</w:t>
      </w:r>
      <w:proofErr w:type="spellEnd"/>
      <w:r w:rsidRPr="00EB27E4">
        <w:rPr>
          <w:rFonts w:ascii="Arial" w:hAnsi="Arial" w:cs="Arial"/>
          <w:bCs/>
          <w:iCs/>
          <w:kern w:val="28"/>
          <w:sz w:val="36"/>
          <w:lang w:val="en-ID"/>
        </w:rPr>
        <w:t xml:space="preserve"> Systems On Biological Performance Of </w:t>
      </w:r>
      <w:proofErr w:type="spellStart"/>
      <w:r w:rsidRPr="00EB27E4">
        <w:rPr>
          <w:rFonts w:ascii="Arial" w:hAnsi="Arial" w:cs="Arial"/>
          <w:bCs/>
          <w:iCs/>
          <w:kern w:val="28"/>
          <w:sz w:val="36"/>
          <w:lang w:val="en-ID"/>
        </w:rPr>
        <w:t>Vanname</w:t>
      </w:r>
      <w:proofErr w:type="spellEnd"/>
      <w:r w:rsidRPr="00EB27E4">
        <w:rPr>
          <w:rFonts w:ascii="Arial" w:hAnsi="Arial" w:cs="Arial"/>
          <w:bCs/>
          <w:iCs/>
          <w:kern w:val="28"/>
          <w:sz w:val="36"/>
          <w:lang w:val="en-ID"/>
        </w:rPr>
        <w:t xml:space="preserve"> </w:t>
      </w:r>
      <w:r w:rsidR="008916D8">
        <w:rPr>
          <w:rFonts w:ascii="Arial" w:hAnsi="Arial" w:cs="Arial"/>
          <w:bCs/>
          <w:iCs/>
          <w:kern w:val="28"/>
          <w:sz w:val="36"/>
          <w:lang w:val="en-ID"/>
        </w:rPr>
        <w:t>Shrimp</w:t>
      </w:r>
      <w:r w:rsidRPr="00EB27E4">
        <w:rPr>
          <w:rFonts w:ascii="Arial" w:hAnsi="Arial" w:cs="Arial"/>
          <w:bCs/>
          <w:iCs/>
          <w:kern w:val="28"/>
          <w:sz w:val="36"/>
          <w:lang w:val="en-ID"/>
        </w:rPr>
        <w:t xml:space="preserve"> (</w:t>
      </w:r>
      <w:proofErr w:type="spellStart"/>
      <w:r w:rsidR="00102F90" w:rsidRPr="00102F90">
        <w:rPr>
          <w:rFonts w:ascii="Arial" w:hAnsi="Arial" w:cs="Arial"/>
          <w:bCs/>
          <w:i/>
          <w:iCs/>
          <w:kern w:val="28"/>
          <w:sz w:val="36"/>
          <w:lang w:val="en-ID"/>
        </w:rPr>
        <w:t>Litopenaeus</w:t>
      </w:r>
      <w:proofErr w:type="spellEnd"/>
      <w:r w:rsidR="00102F90" w:rsidRPr="00102F90">
        <w:rPr>
          <w:rFonts w:ascii="Arial" w:hAnsi="Arial" w:cs="Arial"/>
          <w:bCs/>
          <w:i/>
          <w:iCs/>
          <w:kern w:val="28"/>
          <w:sz w:val="36"/>
          <w:lang w:val="en-ID"/>
        </w:rPr>
        <w:t xml:space="preserve"> </w:t>
      </w:r>
      <w:proofErr w:type="spellStart"/>
      <w:r w:rsidR="00102F90" w:rsidRPr="00102F90">
        <w:rPr>
          <w:rFonts w:ascii="Arial" w:hAnsi="Arial" w:cs="Arial"/>
          <w:bCs/>
          <w:i/>
          <w:iCs/>
          <w:kern w:val="28"/>
          <w:sz w:val="36"/>
          <w:lang w:val="en-ID"/>
        </w:rPr>
        <w:t>vannamei</w:t>
      </w:r>
      <w:proofErr w:type="spellEnd"/>
      <w:r w:rsidRPr="00EB27E4">
        <w:rPr>
          <w:rFonts w:ascii="Arial" w:hAnsi="Arial" w:cs="Arial"/>
          <w:bCs/>
          <w:iCs/>
          <w:kern w:val="28"/>
          <w:sz w:val="36"/>
          <w:lang w:val="en-ID"/>
        </w:rPr>
        <w:t>)</w:t>
      </w:r>
      <w:bookmarkEnd w:id="0"/>
      <w:r w:rsidR="00231920">
        <w:rPr>
          <w:rFonts w:ascii="Arial" w:hAnsi="Arial" w:cs="Arial"/>
          <w:bCs/>
          <w:iCs/>
          <w:kern w:val="28"/>
          <w:sz w:val="36"/>
        </w:rPr>
        <w:t xml:space="preserve"> </w:t>
      </w:r>
    </w:p>
    <w:p w14:paraId="584B46DF" w14:textId="77777777" w:rsidR="00A258C3" w:rsidRPr="00790ADA" w:rsidRDefault="00A258C3" w:rsidP="00441B6F">
      <w:pPr>
        <w:pStyle w:val="Author"/>
        <w:spacing w:line="240" w:lineRule="auto"/>
        <w:jc w:val="both"/>
        <w:rPr>
          <w:rFonts w:ascii="Arial" w:hAnsi="Arial" w:cs="Arial"/>
          <w:sz w:val="36"/>
        </w:rPr>
      </w:pPr>
    </w:p>
    <w:p w14:paraId="1210CAE5" w14:textId="77777777" w:rsidR="00790ADA" w:rsidRDefault="00790ADA" w:rsidP="00441B6F">
      <w:pPr>
        <w:pStyle w:val="Affiliation"/>
        <w:spacing w:after="0" w:line="240" w:lineRule="auto"/>
        <w:jc w:val="both"/>
        <w:rPr>
          <w:rFonts w:ascii="Arial" w:hAnsi="Arial" w:cs="Arial"/>
        </w:rPr>
      </w:pPr>
    </w:p>
    <w:p w14:paraId="2944658C" w14:textId="77777777" w:rsidR="002C57D2" w:rsidRPr="00FB3A86" w:rsidRDefault="002C57D2" w:rsidP="00441B6F">
      <w:pPr>
        <w:pStyle w:val="Affiliation"/>
        <w:spacing w:after="0" w:line="240" w:lineRule="auto"/>
        <w:jc w:val="both"/>
        <w:rPr>
          <w:rFonts w:ascii="Arial" w:hAnsi="Arial" w:cs="Arial"/>
        </w:rPr>
      </w:pPr>
    </w:p>
    <w:p w14:paraId="3FF861BC" w14:textId="569A127A" w:rsidR="00B01FCD" w:rsidRPr="00FB3A86" w:rsidRDefault="00255CB5" w:rsidP="00441B6F">
      <w:pPr>
        <w:pStyle w:val="Copyright"/>
        <w:spacing w:after="0" w:line="240" w:lineRule="auto"/>
        <w:jc w:val="both"/>
        <w:rPr>
          <w:rFonts w:ascii="Arial" w:hAnsi="Arial" w:cs="Arial"/>
        </w:rPr>
        <w:sectPr w:rsidR="00B01FCD" w:rsidRPr="00FB3A86" w:rsidSect="00231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CB593F" wp14:editId="17669CCD">
                <wp:extent cx="5303520" cy="635"/>
                <wp:effectExtent l="15240" t="17145" r="15240" b="11430"/>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967A15"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BewWE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6CA33C7" w14:textId="0F52FDC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3121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90B5E4" w14:textId="77777777" w:rsidTr="001E44FE">
        <w:tc>
          <w:tcPr>
            <w:tcW w:w="9576" w:type="dxa"/>
            <w:shd w:val="clear" w:color="auto" w:fill="F2F2F2"/>
          </w:tcPr>
          <w:p w14:paraId="595F194D" w14:textId="77777777" w:rsidR="00505F06" w:rsidRDefault="00D77DD5" w:rsidP="00441B6F">
            <w:pPr>
              <w:pStyle w:val="Body"/>
              <w:spacing w:after="0"/>
            </w:pPr>
            <w:proofErr w:type="spellStart"/>
            <w:r>
              <w:rPr>
                <w:rStyle w:val="Emphasis"/>
                <w:color w:val="0E101A"/>
              </w:rPr>
              <w:t>Litopenaeus</w:t>
            </w:r>
            <w:proofErr w:type="spellEnd"/>
            <w:r>
              <w:rPr>
                <w:rStyle w:val="Emphasis"/>
                <w:color w:val="0E101A"/>
              </w:rPr>
              <w:t xml:space="preserve"> </w:t>
            </w:r>
            <w:proofErr w:type="spellStart"/>
            <w:r>
              <w:rPr>
                <w:rStyle w:val="Emphasis"/>
                <w:color w:val="0E101A"/>
              </w:rPr>
              <w:t>vannamei</w:t>
            </w:r>
            <w:proofErr w:type="spellEnd"/>
            <w:r>
              <w:t xml:space="preserve"> is one of the most economically important aquaculture species globally. However, intensified farming practices have raised concerns over feed efficiency and environmental sustainability. </w:t>
            </w:r>
            <w:proofErr w:type="spellStart"/>
            <w:r>
              <w:t>Biofloc</w:t>
            </w:r>
            <w:proofErr w:type="spellEnd"/>
            <w:r>
              <w:t xml:space="preserve"> technology, which utilizes microbial fermentation to enhance water quality and provide supplementary nutrition, has shown promising results. This study aimed to investigate the effect of different fermentation durations using Yakult-based probiotics on the biological performance of </w:t>
            </w:r>
            <w:r>
              <w:rPr>
                <w:rStyle w:val="Emphasis"/>
                <w:color w:val="0E101A"/>
              </w:rPr>
              <w:t xml:space="preserve">L. </w:t>
            </w:r>
            <w:proofErr w:type="spellStart"/>
            <w:r>
              <w:rPr>
                <w:rStyle w:val="Emphasis"/>
                <w:color w:val="0E101A"/>
              </w:rPr>
              <w:t>vannamei</w:t>
            </w:r>
            <w:proofErr w:type="spellEnd"/>
            <w:r>
              <w:t xml:space="preserve"> cultured in a </w:t>
            </w:r>
            <w:proofErr w:type="spellStart"/>
            <w:r>
              <w:t>biofloc</w:t>
            </w:r>
            <w:proofErr w:type="spellEnd"/>
            <w:r>
              <w:t xml:space="preserve"> system. The experiment was conducted for 60 days using a completely randomized design consisting of three treatments (3-day fermentation, 7-day fermentation, and control) with three replicates each. Key performance indicators, including absolute growth, survival rate, feed conversion ratio (FCR), feed efficiency, </w:t>
            </w:r>
            <w:proofErr w:type="spellStart"/>
            <w:r>
              <w:t>biofloc</w:t>
            </w:r>
            <w:proofErr w:type="spellEnd"/>
            <w:r>
              <w:t xml:space="preserve"> volume, and water quality parameters, were evaluated. Results revealed that the 7-day fermentation treatment produced significantly higher growth (1.64 g), a higher survival rate (82.9%), and greater feed efficiency, as well as a larger </w:t>
            </w:r>
            <w:proofErr w:type="spellStart"/>
            <w:r>
              <w:t>biofloc</w:t>
            </w:r>
            <w:proofErr w:type="spellEnd"/>
            <w:r>
              <w:t xml:space="preserve"> volume (35 ml/L), compared to the 3-day treatment and control. The control group without </w:t>
            </w:r>
            <w:proofErr w:type="spellStart"/>
            <w:r>
              <w:t>biofloc</w:t>
            </w:r>
            <w:proofErr w:type="spellEnd"/>
            <w:r>
              <w:t xml:space="preserve"> demonstrated the lowest performance. These findings suggest that a 7-day Yakult-based probiotic fermentation enhances the functionality of the </w:t>
            </w:r>
            <w:proofErr w:type="spellStart"/>
            <w:r>
              <w:t>biofloc</w:t>
            </w:r>
            <w:proofErr w:type="spellEnd"/>
            <w:r>
              <w:t xml:space="preserve"> system, thereby improving shrimp performance and reducing environmental waste. This approach offers a viable strategy for advancing sustainable aquaculture practices.</w:t>
            </w:r>
          </w:p>
          <w:p w14:paraId="1AF9084E" w14:textId="77777777" w:rsidR="00D77DD5" w:rsidRDefault="00D77DD5" w:rsidP="00441B6F">
            <w:pPr>
              <w:pStyle w:val="Body"/>
              <w:spacing w:after="0"/>
              <w:rPr>
                <w:rFonts w:eastAsia="Calibri" w:cs="Arial"/>
                <w:szCs w:val="22"/>
              </w:rPr>
            </w:pPr>
          </w:p>
          <w:p w14:paraId="56652D89" w14:textId="53126DF9" w:rsidR="00D77DD5" w:rsidRPr="00B038CC" w:rsidRDefault="00D77DD5" w:rsidP="00441B6F">
            <w:pPr>
              <w:pStyle w:val="Body"/>
              <w:spacing w:after="0"/>
              <w:rPr>
                <w:rFonts w:ascii="Arial" w:eastAsia="Calibri" w:hAnsi="Arial" w:cs="Arial"/>
                <w:szCs w:val="22"/>
              </w:rPr>
            </w:pPr>
            <w:r>
              <w:rPr>
                <w:rStyle w:val="Strong"/>
              </w:rPr>
              <w:t xml:space="preserve">Keywords: </w:t>
            </w:r>
            <w:proofErr w:type="spellStart"/>
            <w:r>
              <w:t>Biofloc</w:t>
            </w:r>
            <w:proofErr w:type="spellEnd"/>
            <w:r>
              <w:t xml:space="preserve"> technology; </w:t>
            </w:r>
            <w:proofErr w:type="spellStart"/>
            <w:r>
              <w:rPr>
                <w:rStyle w:val="Emphasis"/>
              </w:rPr>
              <w:t>Litopenaeus</w:t>
            </w:r>
            <w:proofErr w:type="spellEnd"/>
            <w:r>
              <w:rPr>
                <w:rStyle w:val="Emphasis"/>
              </w:rPr>
              <w:t xml:space="preserve"> </w:t>
            </w:r>
            <w:proofErr w:type="spellStart"/>
            <w:r>
              <w:rPr>
                <w:rStyle w:val="Emphasis"/>
              </w:rPr>
              <w:t>vannamei</w:t>
            </w:r>
            <w:proofErr w:type="spellEnd"/>
            <w:r>
              <w:t>; Probiotic fermentation; Feed efficiency; Water quality</w:t>
            </w:r>
          </w:p>
        </w:tc>
      </w:tr>
    </w:tbl>
    <w:p w14:paraId="049EAC7F" w14:textId="77777777" w:rsidR="00636EB2" w:rsidRDefault="00636EB2" w:rsidP="00441B6F">
      <w:pPr>
        <w:pStyle w:val="Body"/>
        <w:spacing w:after="0"/>
        <w:rPr>
          <w:rFonts w:ascii="Arial" w:hAnsi="Arial" w:cs="Arial"/>
          <w:i/>
        </w:rPr>
      </w:pPr>
    </w:p>
    <w:p w14:paraId="43971ADE" w14:textId="77777777" w:rsidR="00790ADA" w:rsidRDefault="00790ADA" w:rsidP="00441B6F">
      <w:pPr>
        <w:pStyle w:val="Body"/>
        <w:spacing w:after="0"/>
        <w:rPr>
          <w:rFonts w:ascii="Arial" w:hAnsi="Arial" w:cs="Arial"/>
          <w:i/>
        </w:rPr>
      </w:pPr>
    </w:p>
    <w:p w14:paraId="2B5B9F55" w14:textId="77777777" w:rsidR="0024282C" w:rsidRDefault="0024282C" w:rsidP="00441B6F">
      <w:pPr>
        <w:pStyle w:val="Body"/>
        <w:spacing w:after="0"/>
        <w:rPr>
          <w:rFonts w:ascii="Arial" w:hAnsi="Arial" w:cs="Arial"/>
          <w:i/>
          <w:sz w:val="18"/>
        </w:rPr>
      </w:pPr>
    </w:p>
    <w:p w14:paraId="74FC566B" w14:textId="77777777" w:rsidR="00505F06" w:rsidRPr="00A24E7E" w:rsidRDefault="00505F06" w:rsidP="00441B6F">
      <w:pPr>
        <w:pStyle w:val="Body"/>
        <w:spacing w:after="0"/>
        <w:rPr>
          <w:rFonts w:ascii="Arial" w:hAnsi="Arial" w:cs="Arial"/>
          <w:i/>
        </w:rPr>
      </w:pPr>
    </w:p>
    <w:p w14:paraId="0F8C3F36" w14:textId="4D017F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BFE017C" w14:textId="77777777" w:rsidR="0047009C" w:rsidRPr="0047009C" w:rsidRDefault="0047009C" w:rsidP="0047009C">
      <w:pPr>
        <w:autoSpaceDE w:val="0"/>
        <w:autoSpaceDN w:val="0"/>
        <w:adjustRightInd w:val="0"/>
        <w:spacing w:before="120"/>
        <w:jc w:val="both"/>
        <w:rPr>
          <w:rFonts w:ascii="Arial" w:hAnsi="Arial" w:cs="Arial"/>
        </w:rPr>
      </w:pPr>
      <w:proofErr w:type="spellStart"/>
      <w:r w:rsidRPr="0047009C">
        <w:rPr>
          <w:rFonts w:ascii="Arial" w:hAnsi="Arial" w:cs="Arial"/>
          <w:i/>
          <w:iCs/>
        </w:rPr>
        <w:t>Litopenaeus</w:t>
      </w:r>
      <w:proofErr w:type="spellEnd"/>
      <w:r w:rsidRPr="0047009C">
        <w:rPr>
          <w:rFonts w:ascii="Arial" w:hAnsi="Arial" w:cs="Arial"/>
          <w:i/>
          <w:iCs/>
        </w:rPr>
        <w:t xml:space="preserve"> </w:t>
      </w:r>
      <w:proofErr w:type="spellStart"/>
      <w:r w:rsidRPr="0047009C">
        <w:rPr>
          <w:rFonts w:ascii="Arial" w:hAnsi="Arial" w:cs="Arial"/>
          <w:i/>
          <w:iCs/>
        </w:rPr>
        <w:t>vannamei</w:t>
      </w:r>
      <w:proofErr w:type="spellEnd"/>
      <w:r w:rsidRPr="0047009C">
        <w:rPr>
          <w:rFonts w:ascii="Arial" w:hAnsi="Arial" w:cs="Arial"/>
        </w:rPr>
        <w:t xml:space="preserve">, commonly known as Pacific white shrimp, is one of the leading aquaculture commodities with high economic value on a global scale. The consistently increasing market demand for this species has driven the intensification of shrimp farming systems to meet large-scale production targets. The biological advantages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such as rapid growth rate, favorable feed conversion efficiency, and adaptability to a wide range of environmental conditions—particularly salinity and temperature—make it an ideal candidate for sustainable aquaculture development strategies in tropical and subtropical regions. Furthermore,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exhibits notable physiological resilience to environmental stressors, rendering it compatible with advanced production systems such as </w:t>
      </w:r>
      <w:proofErr w:type="spellStart"/>
      <w:r w:rsidRPr="0047009C">
        <w:rPr>
          <w:rFonts w:ascii="Arial" w:hAnsi="Arial" w:cs="Arial"/>
        </w:rPr>
        <w:t>biofloc</w:t>
      </w:r>
      <w:proofErr w:type="spellEnd"/>
      <w:r w:rsidRPr="0047009C">
        <w:rPr>
          <w:rFonts w:ascii="Arial" w:hAnsi="Arial" w:cs="Arial"/>
        </w:rPr>
        <w:t xml:space="preserve"> and recirculating aquaculture systems (RAS) (Hasim et al., 2021; Tahe et al., 2015).</w:t>
      </w:r>
    </w:p>
    <w:p w14:paraId="4A8BC810" w14:textId="77777777" w:rsidR="0047009C" w:rsidRPr="0047009C" w:rsidRDefault="0047009C" w:rsidP="0047009C">
      <w:pPr>
        <w:autoSpaceDE w:val="0"/>
        <w:autoSpaceDN w:val="0"/>
        <w:adjustRightInd w:val="0"/>
        <w:spacing w:before="120"/>
        <w:jc w:val="both"/>
        <w:rPr>
          <w:rFonts w:ascii="Arial" w:hAnsi="Arial" w:cs="Arial"/>
        </w:rPr>
      </w:pPr>
      <w:r w:rsidRPr="0047009C">
        <w:rPr>
          <w:rFonts w:ascii="Arial" w:hAnsi="Arial" w:cs="Arial"/>
        </w:rPr>
        <w:lastRenderedPageBreak/>
        <w:t xml:space="preserve">Although the intensification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culture has led to increased productivity, it often results in adverse ecological consequences when not accompanied by proper environmental management. These include deteriorating water quality, accumulation of organic waste, increased physiological stress on cultured organisms, and reduced feed efficiency (Crab et al., 2012). To address these challenges, ecologically based technologies such as the </w:t>
      </w:r>
      <w:proofErr w:type="spellStart"/>
      <w:r w:rsidRPr="0047009C">
        <w:rPr>
          <w:rFonts w:ascii="Arial" w:hAnsi="Arial" w:cs="Arial"/>
        </w:rPr>
        <w:t>biofloc</w:t>
      </w:r>
      <w:proofErr w:type="spellEnd"/>
      <w:r w:rsidRPr="0047009C">
        <w:rPr>
          <w:rFonts w:ascii="Arial" w:hAnsi="Arial" w:cs="Arial"/>
        </w:rPr>
        <w:t xml:space="preserve"> system have been widely adopted as integrated solutions. This system relies on the activity of heterotrophic bacteria to convert nitrogenous waste into nutrient-rich microbial biomass. </w:t>
      </w:r>
      <w:proofErr w:type="spellStart"/>
      <w:r w:rsidRPr="0047009C">
        <w:rPr>
          <w:rFonts w:ascii="Arial" w:hAnsi="Arial" w:cs="Arial"/>
        </w:rPr>
        <w:t>Bioflocs</w:t>
      </w:r>
      <w:proofErr w:type="spellEnd"/>
      <w:r w:rsidRPr="0047009C">
        <w:rPr>
          <w:rFonts w:ascii="Arial" w:hAnsi="Arial" w:cs="Arial"/>
        </w:rPr>
        <w:t xml:space="preserve"> consist of aggregated microorganisms, organic particles, and natural feed materials rich in protein, which can be directly consumed by shrimp as an additional source of energy and protein, thereby enhancing growth performance and survival rates (</w:t>
      </w:r>
      <w:proofErr w:type="spellStart"/>
      <w:r w:rsidRPr="0047009C">
        <w:rPr>
          <w:rFonts w:ascii="Arial" w:hAnsi="Arial" w:cs="Arial"/>
        </w:rPr>
        <w:t>Adipu</w:t>
      </w:r>
      <w:proofErr w:type="spellEnd"/>
      <w:r w:rsidRPr="0047009C">
        <w:rPr>
          <w:rFonts w:ascii="Arial" w:hAnsi="Arial" w:cs="Arial"/>
        </w:rPr>
        <w:t xml:space="preserve">, 2019; </w:t>
      </w:r>
      <w:proofErr w:type="spellStart"/>
      <w:r w:rsidRPr="0047009C">
        <w:rPr>
          <w:rFonts w:ascii="Arial" w:hAnsi="Arial" w:cs="Arial"/>
        </w:rPr>
        <w:t>Emerenciano</w:t>
      </w:r>
      <w:proofErr w:type="spellEnd"/>
      <w:r w:rsidRPr="0047009C">
        <w:rPr>
          <w:rFonts w:ascii="Arial" w:hAnsi="Arial" w:cs="Arial"/>
        </w:rPr>
        <w:t xml:space="preserve"> et al., 2013).</w:t>
      </w:r>
    </w:p>
    <w:p w14:paraId="6F86FBBB" w14:textId="77777777" w:rsidR="0047009C" w:rsidRPr="0047009C" w:rsidRDefault="0047009C" w:rsidP="0047009C">
      <w:pPr>
        <w:autoSpaceDE w:val="0"/>
        <w:autoSpaceDN w:val="0"/>
        <w:adjustRightInd w:val="0"/>
        <w:spacing w:before="120"/>
        <w:jc w:val="both"/>
        <w:rPr>
          <w:rFonts w:ascii="Arial" w:hAnsi="Arial" w:cs="Arial"/>
        </w:rPr>
      </w:pPr>
      <w:proofErr w:type="spellStart"/>
      <w:r w:rsidRPr="0047009C">
        <w:rPr>
          <w:rFonts w:ascii="Arial" w:hAnsi="Arial" w:cs="Arial"/>
        </w:rPr>
        <w:t>Biofloc</w:t>
      </w:r>
      <w:proofErr w:type="spellEnd"/>
      <w:r w:rsidRPr="0047009C">
        <w:rPr>
          <w:rFonts w:ascii="Arial" w:hAnsi="Arial" w:cs="Arial"/>
        </w:rPr>
        <w:t xml:space="preserve"> fermentation is generally initiated through the addition of probiotics, carbon sources, and other fermenting agents. One widely used probiotic is the commercial product Yakult, which contains lactic acid bacteria (</w:t>
      </w:r>
      <w:r w:rsidRPr="0047009C">
        <w:rPr>
          <w:rFonts w:ascii="Arial" w:hAnsi="Arial" w:cs="Arial"/>
          <w:i/>
          <w:iCs/>
        </w:rPr>
        <w:t>Lactobacillus</w:t>
      </w:r>
      <w:r w:rsidRPr="0047009C">
        <w:rPr>
          <w:rFonts w:ascii="Arial" w:hAnsi="Arial" w:cs="Arial"/>
        </w:rPr>
        <w:t xml:space="preserve"> spp.) capable of increasing floc density and improving water quality (Setiawan et al., 2016; </w:t>
      </w:r>
      <w:proofErr w:type="spellStart"/>
      <w:r w:rsidRPr="0047009C">
        <w:rPr>
          <w:rFonts w:ascii="Arial" w:hAnsi="Arial" w:cs="Arial"/>
        </w:rPr>
        <w:t>Citria</w:t>
      </w:r>
      <w:proofErr w:type="spellEnd"/>
      <w:r w:rsidRPr="0047009C">
        <w:rPr>
          <w:rFonts w:ascii="Arial" w:hAnsi="Arial" w:cs="Arial"/>
        </w:rPr>
        <w:t xml:space="preserve"> et al., 2018). However, the effectiveness of </w:t>
      </w:r>
      <w:proofErr w:type="spellStart"/>
      <w:r w:rsidRPr="0047009C">
        <w:rPr>
          <w:rFonts w:ascii="Arial" w:hAnsi="Arial" w:cs="Arial"/>
        </w:rPr>
        <w:t>biofloc</w:t>
      </w:r>
      <w:proofErr w:type="spellEnd"/>
      <w:r w:rsidRPr="0047009C">
        <w:rPr>
          <w:rFonts w:ascii="Arial" w:hAnsi="Arial" w:cs="Arial"/>
        </w:rPr>
        <w:t xml:space="preserve"> fermentation is highly dependent on the duration of fermentation. Previous studies have shown that varying fermentation times result in flocs with different microbial densities, structural integrity, and nutritional compositions, all of which can impact the biological performance of cultured shrimp (Faridah et al., 2019; </w:t>
      </w:r>
      <w:proofErr w:type="spellStart"/>
      <w:r w:rsidRPr="0047009C">
        <w:rPr>
          <w:rFonts w:ascii="Arial" w:hAnsi="Arial" w:cs="Arial"/>
        </w:rPr>
        <w:t>Suryaningrum</w:t>
      </w:r>
      <w:proofErr w:type="spellEnd"/>
      <w:r w:rsidRPr="0047009C">
        <w:rPr>
          <w:rFonts w:ascii="Arial" w:hAnsi="Arial" w:cs="Arial"/>
        </w:rPr>
        <w:t>, 2012).</w:t>
      </w:r>
    </w:p>
    <w:p w14:paraId="75FC98E0" w14:textId="287420AF" w:rsidR="0047009C" w:rsidRDefault="0047009C" w:rsidP="0047009C">
      <w:pPr>
        <w:pStyle w:val="Body"/>
        <w:spacing w:before="120" w:after="0"/>
        <w:rPr>
          <w:rFonts w:ascii="Arial" w:hAnsi="Arial" w:cs="Arial"/>
        </w:rPr>
      </w:pPr>
      <w:r w:rsidRPr="0047009C">
        <w:rPr>
          <w:rFonts w:ascii="Arial" w:hAnsi="Arial" w:cs="Arial"/>
        </w:rPr>
        <w:t xml:space="preserve">While several studies have examined the application of </w:t>
      </w:r>
      <w:proofErr w:type="spellStart"/>
      <w:r w:rsidRPr="0047009C">
        <w:rPr>
          <w:rFonts w:ascii="Arial" w:hAnsi="Arial" w:cs="Arial"/>
        </w:rPr>
        <w:t>biofloc</w:t>
      </w:r>
      <w:proofErr w:type="spellEnd"/>
      <w:r w:rsidRPr="0047009C">
        <w:rPr>
          <w:rFonts w:ascii="Arial" w:hAnsi="Arial" w:cs="Arial"/>
        </w:rPr>
        <w:t xml:space="preserve"> and probiotics in shrimp culture, a critical knowledge gap remains concerning the optimization of fermentation duration for Yakult-based probiotics in </w:t>
      </w:r>
      <w:proofErr w:type="spellStart"/>
      <w:r w:rsidRPr="0047009C">
        <w:rPr>
          <w:rFonts w:ascii="Arial" w:hAnsi="Arial" w:cs="Arial"/>
        </w:rPr>
        <w:t>biofloc</w:t>
      </w:r>
      <w:proofErr w:type="spellEnd"/>
      <w:r w:rsidRPr="0047009C">
        <w:rPr>
          <w:rFonts w:ascii="Arial" w:hAnsi="Arial" w:cs="Arial"/>
        </w:rPr>
        <w:t xml:space="preserve"> systems and their direct impact on the growth, survival, feed conversion ratio (FCR), and feed efficiency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Therefore, this study aims to evaluate the effects of different fermentation durations (3 days and 7 days) of Yakult-based probiotics within a </w:t>
      </w:r>
      <w:proofErr w:type="spellStart"/>
      <w:r w:rsidRPr="0047009C">
        <w:rPr>
          <w:rFonts w:ascii="Arial" w:hAnsi="Arial" w:cs="Arial"/>
        </w:rPr>
        <w:t>biofloc</w:t>
      </w:r>
      <w:proofErr w:type="spellEnd"/>
      <w:r w:rsidRPr="0047009C">
        <w:rPr>
          <w:rFonts w:ascii="Arial" w:hAnsi="Arial" w:cs="Arial"/>
        </w:rPr>
        <w:t xml:space="preserve"> system on the biological performance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The findings are expected to contribute both scientifically and practically to the advancement of efficient and environmentally friendly </w:t>
      </w:r>
      <w:proofErr w:type="spellStart"/>
      <w:r w:rsidRPr="0047009C">
        <w:rPr>
          <w:rFonts w:ascii="Arial" w:hAnsi="Arial" w:cs="Arial"/>
        </w:rPr>
        <w:t>biofloc</w:t>
      </w:r>
      <w:proofErr w:type="spellEnd"/>
      <w:r w:rsidRPr="0047009C">
        <w:rPr>
          <w:rFonts w:ascii="Arial" w:hAnsi="Arial" w:cs="Arial"/>
        </w:rPr>
        <w:t>-based aquaculture technologies.</w:t>
      </w:r>
    </w:p>
    <w:p w14:paraId="154CC39D" w14:textId="77777777" w:rsidR="0047009C" w:rsidRPr="0047009C" w:rsidRDefault="0047009C" w:rsidP="0047009C">
      <w:pPr>
        <w:pStyle w:val="Body"/>
        <w:spacing w:before="120" w:after="0"/>
        <w:rPr>
          <w:rFonts w:ascii="Arial" w:hAnsi="Arial" w:cs="Arial"/>
        </w:rPr>
      </w:pPr>
    </w:p>
    <w:p w14:paraId="506E1EB2" w14:textId="4824F87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B9C7259" w14:textId="77777777" w:rsidR="00790ADA" w:rsidRPr="00FB3A86" w:rsidRDefault="00790ADA" w:rsidP="00441B6F">
      <w:pPr>
        <w:pStyle w:val="AbstHead"/>
        <w:spacing w:after="0"/>
        <w:jc w:val="both"/>
        <w:rPr>
          <w:rFonts w:ascii="Arial" w:hAnsi="Arial" w:cs="Arial"/>
        </w:rPr>
      </w:pPr>
    </w:p>
    <w:p w14:paraId="3A84B39E"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research was conducted for 60 days with the research location at </w:t>
      </w:r>
      <w:proofErr w:type="spellStart"/>
      <w:r w:rsidRPr="00D140A1">
        <w:rPr>
          <w:rFonts w:ascii="Arial" w:hAnsi="Arial" w:cs="Arial"/>
          <w:color w:val="0E101A"/>
          <w:sz w:val="20"/>
          <w:szCs w:val="20"/>
        </w:rPr>
        <w:t>Balai</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Pengembangan</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Teknologi</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Budidaya</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Ikan</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Laut</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dan</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Payau</w:t>
      </w:r>
      <w:proofErr w:type="spellEnd"/>
      <w:r w:rsidRPr="00D140A1">
        <w:rPr>
          <w:rFonts w:ascii="Arial" w:hAnsi="Arial" w:cs="Arial"/>
          <w:color w:val="0E101A"/>
          <w:sz w:val="20"/>
          <w:szCs w:val="20"/>
        </w:rPr>
        <w:t xml:space="preserve"> (BPTBILP) in </w:t>
      </w:r>
      <w:proofErr w:type="spellStart"/>
      <w:r w:rsidRPr="00D140A1">
        <w:rPr>
          <w:rFonts w:ascii="Arial" w:hAnsi="Arial" w:cs="Arial"/>
          <w:color w:val="0E101A"/>
          <w:sz w:val="20"/>
          <w:szCs w:val="20"/>
        </w:rPr>
        <w:t>Lamu</w:t>
      </w:r>
      <w:proofErr w:type="spellEnd"/>
      <w:r w:rsidRPr="00D140A1">
        <w:rPr>
          <w:rFonts w:ascii="Arial" w:hAnsi="Arial" w:cs="Arial"/>
          <w:color w:val="0E101A"/>
          <w:sz w:val="20"/>
          <w:szCs w:val="20"/>
        </w:rPr>
        <w:t xml:space="preserve"> Village, </w:t>
      </w:r>
      <w:proofErr w:type="spellStart"/>
      <w:r w:rsidRPr="00D140A1">
        <w:rPr>
          <w:rFonts w:ascii="Arial" w:hAnsi="Arial" w:cs="Arial"/>
          <w:color w:val="0E101A"/>
          <w:sz w:val="20"/>
          <w:szCs w:val="20"/>
        </w:rPr>
        <w:t>Boalemo</w:t>
      </w:r>
      <w:proofErr w:type="spellEnd"/>
      <w:r w:rsidRPr="00D140A1">
        <w:rPr>
          <w:rFonts w:ascii="Arial" w:hAnsi="Arial" w:cs="Arial"/>
          <w:color w:val="0E101A"/>
          <w:sz w:val="20"/>
          <w:szCs w:val="20"/>
        </w:rPr>
        <w:t xml:space="preserve"> Regency, Gorontalo Province.</w:t>
      </w:r>
      <w:r>
        <w:rPr>
          <w:rFonts w:ascii="Arial" w:hAnsi="Arial" w:cs="Arial"/>
          <w:color w:val="0E101A"/>
          <w:sz w:val="20"/>
          <w:szCs w:val="20"/>
        </w:rPr>
        <w:t xml:space="preserve"> </w:t>
      </w:r>
    </w:p>
    <w:p w14:paraId="0FEB80AE"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tools used in this study include an aquarium as a cultivation container, a blower to supply oxygen, a thermometer to measure temperature, a pH meter to measure acidity, a DO meter to measure dissolved oxygen, a refractometer to measure salinity, scales to measure organism body weight, and sample bottles. At the same time, the materials used in this study are </w:t>
      </w:r>
      <w:proofErr w:type="spellStart"/>
      <w:r w:rsidRPr="00D140A1">
        <w:rPr>
          <w:rFonts w:ascii="Arial" w:hAnsi="Arial" w:cs="Arial"/>
          <w:color w:val="0E101A"/>
          <w:sz w:val="20"/>
          <w:szCs w:val="20"/>
        </w:rPr>
        <w:t>vannamei</w:t>
      </w:r>
      <w:proofErr w:type="spellEnd"/>
      <w:r w:rsidRPr="00D140A1">
        <w:rPr>
          <w:rFonts w:ascii="Arial" w:hAnsi="Arial" w:cs="Arial"/>
          <w:color w:val="0E101A"/>
          <w:sz w:val="20"/>
          <w:szCs w:val="20"/>
        </w:rPr>
        <w:t xml:space="preserve"> shrimp (</w:t>
      </w:r>
      <w:proofErr w:type="spellStart"/>
      <w:r w:rsidRPr="00D140A1">
        <w:rPr>
          <w:rStyle w:val="Emphasis"/>
          <w:rFonts w:ascii="Arial" w:hAnsi="Arial" w:cs="Arial"/>
          <w:color w:val="0E101A"/>
          <w:sz w:val="20"/>
          <w:szCs w:val="20"/>
        </w:rPr>
        <w:t>Litopenaeus</w:t>
      </w:r>
      <w:proofErr w:type="spellEnd"/>
      <w:r w:rsidRPr="00D140A1">
        <w:rPr>
          <w:rStyle w:val="Emphasis"/>
          <w:rFonts w:ascii="Arial" w:hAnsi="Arial" w:cs="Arial"/>
          <w:color w:val="0E101A"/>
          <w:sz w:val="20"/>
          <w:szCs w:val="20"/>
        </w:rPr>
        <w:t xml:space="preserve"> </w:t>
      </w:r>
      <w:proofErr w:type="spellStart"/>
      <w:r w:rsidRPr="00D140A1">
        <w:rPr>
          <w:rStyle w:val="Emphasis"/>
          <w:rFonts w:ascii="Arial" w:hAnsi="Arial" w:cs="Arial"/>
          <w:color w:val="0E101A"/>
          <w:sz w:val="20"/>
          <w:szCs w:val="20"/>
        </w:rPr>
        <w:t>vannamei</w:t>
      </w:r>
      <w:proofErr w:type="spellEnd"/>
      <w:r w:rsidRPr="00D140A1">
        <w:rPr>
          <w:rFonts w:ascii="Arial" w:hAnsi="Arial" w:cs="Arial"/>
          <w:color w:val="0E101A"/>
          <w:sz w:val="20"/>
          <w:szCs w:val="20"/>
        </w:rPr>
        <w:t>) as the research object, probiotic ingredients, Yakult, palm sugar, fine bran, pellets, and yeast as fermentation ingredients.</w:t>
      </w:r>
    </w:p>
    <w:p w14:paraId="58B4433D"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This study employed a completely randomized design with three treatments and three replications. Fermentation duration of 3 days with the use of probiotic Yakult (A), fermentation duration of 7 days with the use of probiotic Yakult (B), and control without any additional treatment (C).</w:t>
      </w:r>
    </w:p>
    <w:p w14:paraId="16846590"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stages in this study include preparing cultivation containers, conducting the fermentation process, checking water quality, rearing shrimp, feeding, adding carbohydrates, and monitoring and observing shrimp conditions. This study was conducted using an aquarium container measuring 50 x 40 x 30 cm, and 30 </w:t>
      </w:r>
      <w:proofErr w:type="spellStart"/>
      <w:r w:rsidRPr="00D140A1">
        <w:rPr>
          <w:rFonts w:ascii="Arial" w:hAnsi="Arial" w:cs="Arial"/>
          <w:color w:val="0E101A"/>
          <w:sz w:val="20"/>
          <w:szCs w:val="20"/>
        </w:rPr>
        <w:t>liters</w:t>
      </w:r>
      <w:proofErr w:type="spellEnd"/>
      <w:r w:rsidRPr="00D140A1">
        <w:rPr>
          <w:rFonts w:ascii="Arial" w:hAnsi="Arial" w:cs="Arial"/>
          <w:color w:val="0E101A"/>
          <w:sz w:val="20"/>
          <w:szCs w:val="20"/>
        </w:rPr>
        <w:t xml:space="preserve"> of seawater equipped with aeration.</w:t>
      </w:r>
    </w:p>
    <w:p w14:paraId="1DCF733D" w14:textId="77777777" w:rsidR="00F65EFC" w:rsidRDefault="00F65EFC" w:rsidP="00441B6F">
      <w:pPr>
        <w:pStyle w:val="Body"/>
        <w:spacing w:after="0"/>
        <w:rPr>
          <w:rFonts w:ascii="Arial" w:hAnsi="Arial" w:cs="Arial"/>
          <w:lang w:val="en-ID"/>
        </w:rPr>
      </w:pPr>
    </w:p>
    <w:p w14:paraId="19DCFED1" w14:textId="77777777" w:rsidR="00F65EFC" w:rsidRPr="00D140A1" w:rsidRDefault="00F65EFC" w:rsidP="00F65EFC">
      <w:pPr>
        <w:jc w:val="both"/>
        <w:rPr>
          <w:rFonts w:ascii="Arial" w:hAnsi="Arial" w:cs="Arial"/>
        </w:rPr>
      </w:pPr>
      <w:proofErr w:type="spellStart"/>
      <w:r w:rsidRPr="00D140A1">
        <w:rPr>
          <w:rFonts w:ascii="Arial" w:hAnsi="Arial" w:cs="Arial"/>
        </w:rPr>
        <w:lastRenderedPageBreak/>
        <w:t>Biofloc</w:t>
      </w:r>
      <w:proofErr w:type="spellEnd"/>
      <w:r w:rsidRPr="00D140A1">
        <w:rPr>
          <w:rFonts w:ascii="Arial" w:hAnsi="Arial" w:cs="Arial"/>
        </w:rPr>
        <w:t xml:space="preserve"> growth is achieved by first fermenting different types of probiotic ingredients, which are then stocked in each fermentation aquarium. The </w:t>
      </w:r>
      <w:proofErr w:type="spellStart"/>
      <w:r w:rsidRPr="00D140A1">
        <w:rPr>
          <w:rFonts w:ascii="Arial" w:hAnsi="Arial" w:cs="Arial"/>
        </w:rPr>
        <w:t>biofloc</w:t>
      </w:r>
      <w:proofErr w:type="spellEnd"/>
      <w:r w:rsidRPr="00D140A1">
        <w:rPr>
          <w:rFonts w:ascii="Arial" w:hAnsi="Arial" w:cs="Arial"/>
        </w:rPr>
        <w:t xml:space="preserve"> will be stocked at 3 and 7 days in the culture container, and added 7 days prior to </w:t>
      </w:r>
      <w:proofErr w:type="spellStart"/>
      <w:r w:rsidRPr="00D140A1">
        <w:rPr>
          <w:rFonts w:ascii="Arial" w:hAnsi="Arial" w:cs="Arial"/>
        </w:rPr>
        <w:t>vannamei</w:t>
      </w:r>
      <w:proofErr w:type="spellEnd"/>
      <w:r w:rsidRPr="00D140A1">
        <w:rPr>
          <w:rFonts w:ascii="Arial" w:hAnsi="Arial" w:cs="Arial"/>
        </w:rPr>
        <w:t xml:space="preserve"> shrimp stocking. The dose used in fermentation consists of 15 ml of probiotics, 450 g of palm sugar, 15 g of baker's yeast, and 450 g of fine bran, all dissolved in 6 liters of water.</w:t>
      </w:r>
    </w:p>
    <w:p w14:paraId="4E2867F3" w14:textId="77777777" w:rsidR="00F65EFC" w:rsidRPr="00D140A1" w:rsidRDefault="00F65EFC" w:rsidP="00F65EFC">
      <w:pPr>
        <w:jc w:val="both"/>
        <w:rPr>
          <w:rFonts w:ascii="Arial" w:hAnsi="Arial" w:cs="Arial"/>
        </w:rPr>
      </w:pPr>
    </w:p>
    <w:p w14:paraId="7F28AED0" w14:textId="77777777" w:rsidR="00F65EFC" w:rsidRPr="00D140A1" w:rsidRDefault="00F65EFC" w:rsidP="00F65EFC">
      <w:pPr>
        <w:jc w:val="both"/>
        <w:rPr>
          <w:rFonts w:ascii="Arial" w:hAnsi="Arial" w:cs="Arial"/>
        </w:rPr>
      </w:pPr>
      <w:r w:rsidRPr="00D140A1">
        <w:rPr>
          <w:rFonts w:ascii="Arial" w:hAnsi="Arial" w:cs="Arial"/>
        </w:rPr>
        <w:t>White shrimp rearing was carried out for 60 days, stocked with a density of 60 shrimp/30 L. PL20 white shrimp seeds with an average size of ± 0.03 g and a weight of ± 1 cm. Feeding is done twice a day, at 7:00 am and 4:00 pm, with the amount of feed given adjusted according to body weight, at 5%.</w:t>
      </w:r>
    </w:p>
    <w:p w14:paraId="56C76416" w14:textId="77777777" w:rsidR="00F65EFC" w:rsidRPr="00D140A1" w:rsidRDefault="00F65EFC" w:rsidP="00F65EFC">
      <w:pPr>
        <w:jc w:val="both"/>
        <w:rPr>
          <w:rFonts w:ascii="Arial" w:hAnsi="Arial" w:cs="Arial"/>
        </w:rPr>
      </w:pPr>
    </w:p>
    <w:p w14:paraId="3A5789DE" w14:textId="77777777" w:rsidR="00F65EFC" w:rsidRPr="00D140A1" w:rsidRDefault="00F65EFC" w:rsidP="00F65EFC">
      <w:pPr>
        <w:jc w:val="both"/>
        <w:rPr>
          <w:rFonts w:ascii="Arial" w:hAnsi="Arial" w:cs="Arial"/>
        </w:rPr>
      </w:pPr>
      <w:r w:rsidRPr="00D140A1">
        <w:rPr>
          <w:rFonts w:ascii="Arial" w:hAnsi="Arial" w:cs="Arial"/>
        </w:rPr>
        <w:t xml:space="preserve">Water quality measurements are necessary to assess the impact of </w:t>
      </w:r>
      <w:proofErr w:type="spellStart"/>
      <w:r w:rsidRPr="00D140A1">
        <w:rPr>
          <w:rFonts w:ascii="Arial" w:hAnsi="Arial" w:cs="Arial"/>
        </w:rPr>
        <w:t>bioflocs</w:t>
      </w:r>
      <w:proofErr w:type="spellEnd"/>
      <w:r w:rsidRPr="00D140A1">
        <w:rPr>
          <w:rFonts w:ascii="Arial" w:hAnsi="Arial" w:cs="Arial"/>
        </w:rPr>
        <w:t xml:space="preserve"> on the water conditions of the rearing media. The measured water quality, namely temperature, DO, pH, and salinity, was carried out every 7 days before and after storage during the study. Other quality measurements, including ammonia, nitrate, and nitrite, will be tested in the laboratory using the results obtained during the study.</w:t>
      </w:r>
    </w:p>
    <w:p w14:paraId="4B50D660" w14:textId="77777777" w:rsidR="00F65EFC" w:rsidRPr="00D140A1" w:rsidRDefault="00F65EFC" w:rsidP="00F65EFC">
      <w:pPr>
        <w:jc w:val="both"/>
        <w:rPr>
          <w:rFonts w:ascii="Arial" w:hAnsi="Arial" w:cs="Arial"/>
        </w:rPr>
      </w:pPr>
    </w:p>
    <w:p w14:paraId="773CFAB6" w14:textId="77777777" w:rsidR="00F65EFC" w:rsidRPr="00D140A1" w:rsidRDefault="00F65EFC" w:rsidP="00F65EFC">
      <w:pPr>
        <w:jc w:val="both"/>
        <w:rPr>
          <w:rFonts w:ascii="Arial" w:hAnsi="Arial" w:cs="Arial"/>
        </w:rPr>
      </w:pPr>
      <w:r w:rsidRPr="00D140A1">
        <w:rPr>
          <w:rFonts w:ascii="Arial" w:hAnsi="Arial" w:cs="Arial"/>
        </w:rPr>
        <w:t>Data obtained, such as growth, survival, and feed efficiency, on biological performance, are analyzed using analysis of variance (ANOVA) at a 95% confidence level. If. If the data shows a real effect, it will be further analyzed using the Least Significant Difference (LSD) method.</w:t>
      </w:r>
    </w:p>
    <w:p w14:paraId="796B1026" w14:textId="77777777" w:rsidR="00F65EFC" w:rsidRPr="00D140A1" w:rsidRDefault="00F65EFC" w:rsidP="00F65EFC">
      <w:pPr>
        <w:jc w:val="both"/>
        <w:rPr>
          <w:rFonts w:ascii="Arial" w:hAnsi="Arial" w:cs="Arial"/>
        </w:rPr>
      </w:pPr>
    </w:p>
    <w:p w14:paraId="1B57818F" w14:textId="77777777" w:rsidR="00F65EFC" w:rsidRPr="0000257A" w:rsidRDefault="00F65EFC" w:rsidP="00F65EFC">
      <w:pPr>
        <w:jc w:val="both"/>
        <w:rPr>
          <w:rFonts w:ascii="Arial" w:hAnsi="Arial" w:cs="Arial"/>
        </w:rPr>
      </w:pPr>
      <w:r w:rsidRPr="00D140A1">
        <w:rPr>
          <w:rFonts w:ascii="Arial" w:hAnsi="Arial" w:cs="Arial"/>
        </w:rPr>
        <w:t>Absolute biomass growth is the difference between the wet weight at the end of the study and the wet weight at the beginning of the study (Sedu et al., 2020):</w:t>
      </w:r>
    </w:p>
    <w:p w14:paraId="153E80B9" w14:textId="77777777" w:rsidR="00F65EFC" w:rsidRPr="00336B18" w:rsidRDefault="00F65EFC" w:rsidP="00F65EFC">
      <w:pPr>
        <w:pStyle w:val="Body"/>
        <w:spacing w:after="0"/>
        <w:rPr>
          <w:rFonts w:ascii="Arial" w:hAnsi="Arial" w:cs="Arial"/>
          <w:lang w:val="en-ID"/>
        </w:rPr>
      </w:pPr>
    </w:p>
    <w:p w14:paraId="79F1BC92" w14:textId="77777777" w:rsidR="0049220D" w:rsidRPr="00336B18" w:rsidRDefault="0049220D" w:rsidP="0049220D">
      <w:pPr>
        <w:pStyle w:val="Body"/>
        <w:spacing w:after="0"/>
        <w:jc w:val="center"/>
        <w:rPr>
          <w:rFonts w:ascii="Arial" w:hAnsi="Arial" w:cs="Arial"/>
        </w:rPr>
      </w:pPr>
    </w:p>
    <w:p w14:paraId="118FA940" w14:textId="25C49A7C" w:rsidR="0049220D" w:rsidRPr="00336B18" w:rsidRDefault="00C607C5" w:rsidP="0049220D">
      <w:pPr>
        <w:pStyle w:val="Body"/>
        <w:spacing w:after="0"/>
        <w:jc w:val="center"/>
        <w:rPr>
          <w:rFonts w:ascii="Arial" w:hAnsi="Arial" w:cs="Arial"/>
          <w:iCs/>
        </w:rPr>
      </w:pPr>
      <m:oMathPara>
        <m:oMath>
          <m:r>
            <w:rPr>
              <w:rFonts w:ascii="Cambria Math" w:hAnsi="Cambria Math" w:cs="Arial"/>
            </w:rPr>
            <m:t>W</m:t>
          </m:r>
          <m:r>
            <m:rPr>
              <m:sty m:val="p"/>
            </m:rPr>
            <w:rPr>
              <w:rFonts w:ascii="Cambria Math" w:hAnsi="Cambria Math" w:cs="Arial"/>
            </w:rPr>
            <m:t>=</m:t>
          </m:r>
          <m:sSub>
            <m:sSubPr>
              <m:ctrlPr>
                <w:rPr>
                  <w:rFonts w:ascii="Cambria Math" w:hAnsi="Cambria Math" w:cs="Arial"/>
                  <w:iCs/>
                </w:rPr>
              </m:ctrlPr>
            </m:sSubPr>
            <m:e>
              <m:r>
                <w:rPr>
                  <w:rFonts w:ascii="Cambria Math" w:hAnsi="Cambria Math" w:cs="Arial"/>
                </w:rPr>
                <m:t>W</m:t>
              </m:r>
            </m:e>
            <m:sub>
              <m:r>
                <w:rPr>
                  <w:rFonts w:ascii="Cambria Math" w:hAnsi="Cambria Math" w:cs="Arial"/>
                </w:rPr>
                <m:t>t</m:t>
              </m:r>
            </m:sub>
          </m:sSub>
          <m:r>
            <w:rPr>
              <w:rFonts w:ascii="Cambria Math" w:hAnsi="Cambria Math" w:cs="Arial"/>
            </w:rPr>
            <m:t xml:space="preserve">- </m:t>
          </m:r>
          <m:sSub>
            <m:sSubPr>
              <m:ctrlPr>
                <w:rPr>
                  <w:rFonts w:ascii="Cambria Math" w:hAnsi="Cambria Math" w:cs="Arial"/>
                  <w:i/>
                  <w:iCs/>
                </w:rPr>
              </m:ctrlPr>
            </m:sSubPr>
            <m:e>
              <m:r>
                <w:rPr>
                  <w:rFonts w:ascii="Cambria Math" w:hAnsi="Cambria Math" w:cs="Arial"/>
                </w:rPr>
                <m:t>W</m:t>
              </m:r>
            </m:e>
            <m:sub>
              <m:r>
                <w:rPr>
                  <w:rFonts w:ascii="Cambria Math" w:hAnsi="Cambria Math" w:cs="Arial"/>
                </w:rPr>
                <m:t>0</m:t>
              </m:r>
            </m:sub>
          </m:sSub>
        </m:oMath>
      </m:oMathPara>
    </w:p>
    <w:p w14:paraId="65A4CE9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7E960E9B"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 xml:space="preserve">W = Absolute growth (gr) </w:t>
      </w:r>
    </w:p>
    <w:p w14:paraId="5DBB4066" w14:textId="77777777"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W</w:t>
      </w:r>
      <w:r w:rsidRPr="00336B18">
        <w:rPr>
          <w:rFonts w:ascii="Arial" w:hAnsi="Arial" w:cs="Arial"/>
          <w:iCs/>
          <w:vertAlign w:val="subscript"/>
          <w:lang w:val="en-ID"/>
        </w:rPr>
        <w:t>t</w:t>
      </w:r>
      <w:proofErr w:type="spellEnd"/>
      <w:r w:rsidRPr="00336B18">
        <w:rPr>
          <w:rFonts w:ascii="Arial" w:hAnsi="Arial" w:cs="Arial"/>
          <w:iCs/>
          <w:lang w:val="en-ID"/>
        </w:rPr>
        <w:t xml:space="preserve"> = Biomass weight at the end of the study (gr) </w:t>
      </w:r>
    </w:p>
    <w:p w14:paraId="0FEADD7F" w14:textId="73A27F10"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W</w:t>
      </w:r>
      <w:r w:rsidRPr="00336B18">
        <w:rPr>
          <w:rFonts w:ascii="Arial" w:hAnsi="Arial" w:cs="Arial"/>
          <w:iCs/>
          <w:vertAlign w:val="subscript"/>
          <w:lang w:val="en-ID"/>
        </w:rPr>
        <w:t>o</w:t>
      </w:r>
      <w:r w:rsidRPr="00336B18">
        <w:rPr>
          <w:rFonts w:ascii="Arial" w:hAnsi="Arial" w:cs="Arial"/>
          <w:iCs/>
          <w:lang w:val="en-ID"/>
        </w:rPr>
        <w:t xml:space="preserve"> = Biomass weight at the beginning of the study (gr)</w:t>
      </w:r>
    </w:p>
    <w:p w14:paraId="111B8F84" w14:textId="77777777" w:rsidR="00C607C5" w:rsidRPr="00336B18" w:rsidRDefault="00C607C5" w:rsidP="00C607C5">
      <w:pPr>
        <w:pStyle w:val="Body"/>
        <w:spacing w:after="0"/>
        <w:rPr>
          <w:rFonts w:ascii="Arial" w:hAnsi="Arial" w:cs="Arial"/>
          <w:iCs/>
          <w:lang w:val="en-ID"/>
        </w:rPr>
      </w:pPr>
    </w:p>
    <w:p w14:paraId="793348E7" w14:textId="118AE5C4" w:rsidR="00C607C5" w:rsidRPr="00336B18" w:rsidRDefault="006471A5" w:rsidP="00C607C5">
      <w:pPr>
        <w:pStyle w:val="Body"/>
        <w:spacing w:after="0"/>
        <w:rPr>
          <w:rFonts w:ascii="Arial" w:hAnsi="Arial" w:cs="Arial"/>
          <w:iCs/>
          <w:lang w:val="en-ID"/>
        </w:rPr>
      </w:pPr>
      <w:r>
        <w:rPr>
          <w:rFonts w:ascii="Arial" w:hAnsi="Arial" w:cs="Arial"/>
          <w:iCs/>
          <w:lang w:val="en-ID"/>
        </w:rPr>
        <w:t>Shrimp</w:t>
      </w:r>
      <w:r w:rsidR="00C607C5" w:rsidRPr="00336B18">
        <w:rPr>
          <w:rFonts w:ascii="Arial" w:hAnsi="Arial" w:cs="Arial"/>
          <w:iCs/>
          <w:lang w:val="en-ID"/>
        </w:rPr>
        <w:t xml:space="preserve"> survival rate can be calculated using the formula from research (</w:t>
      </w:r>
      <w:r w:rsidR="00A44C95">
        <w:rPr>
          <w:rFonts w:ascii="Arial" w:hAnsi="Arial" w:cs="Arial"/>
          <w:iCs/>
          <w:lang w:val="en-ID"/>
        </w:rPr>
        <w:t>Rozi et al.</w:t>
      </w:r>
      <w:r w:rsidR="00C607C5" w:rsidRPr="00336B18">
        <w:rPr>
          <w:rFonts w:ascii="Arial" w:hAnsi="Arial" w:cs="Arial"/>
          <w:iCs/>
          <w:lang w:val="en-ID"/>
        </w:rPr>
        <w:t>, 2018):</w:t>
      </w:r>
    </w:p>
    <w:p w14:paraId="6DC509AB" w14:textId="77777777" w:rsidR="00C607C5" w:rsidRPr="00336B18" w:rsidRDefault="00C607C5" w:rsidP="00C607C5">
      <w:pPr>
        <w:pStyle w:val="Body"/>
        <w:spacing w:after="0"/>
        <w:jc w:val="center"/>
        <w:rPr>
          <w:rFonts w:ascii="Arial" w:hAnsi="Arial" w:cs="Arial"/>
          <w:iCs/>
          <w:lang w:val="en-ID"/>
        </w:rPr>
      </w:pPr>
    </w:p>
    <w:p w14:paraId="2E87D2E1" w14:textId="79203C09" w:rsidR="00C607C5" w:rsidRPr="00336B18" w:rsidRDefault="00C607C5" w:rsidP="00C607C5">
      <w:pPr>
        <w:pStyle w:val="Body"/>
        <w:spacing w:after="0"/>
        <w:jc w:val="center"/>
        <w:rPr>
          <w:rFonts w:ascii="Arial" w:hAnsi="Arial" w:cs="Arial"/>
          <w:iCs/>
        </w:rPr>
      </w:pPr>
      <m:oMathPara>
        <m:oMath>
          <m:r>
            <w:rPr>
              <w:rFonts w:ascii="Cambria Math" w:hAnsi="Cambria Math" w:cs="Arial"/>
            </w:rPr>
            <m:t xml:space="preserve">SR= </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i/>
                      <w:iCs/>
                    </w:rPr>
                  </m:ctrlPr>
                </m:sSubPr>
                <m:e>
                  <m:r>
                    <w:rPr>
                      <w:rFonts w:ascii="Cambria Math" w:hAnsi="Cambria Math" w:cs="Arial"/>
                    </w:rPr>
                    <m:t>N</m:t>
                  </m:r>
                </m:e>
                <m:sub>
                  <m:r>
                    <w:rPr>
                      <w:rFonts w:ascii="Cambria Math" w:hAnsi="Cambria Math" w:cs="Arial"/>
                    </w:rPr>
                    <m:t>0</m:t>
                  </m:r>
                </m:sub>
              </m:sSub>
            </m:den>
          </m:f>
          <m:r>
            <w:rPr>
              <w:rFonts w:ascii="Cambria Math" w:hAnsi="Cambria Math" w:cs="Arial"/>
            </w:rPr>
            <m:t xml:space="preserve"> x 100%</m:t>
          </m:r>
        </m:oMath>
      </m:oMathPara>
    </w:p>
    <w:p w14:paraId="689704D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04A13CE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SR = Survival rate</w:t>
      </w:r>
    </w:p>
    <w:p w14:paraId="38A9C4AE" w14:textId="666DA288"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N</w:t>
      </w:r>
      <w:r w:rsidRPr="00336B18">
        <w:rPr>
          <w:rFonts w:ascii="Arial" w:hAnsi="Arial" w:cs="Arial"/>
          <w:iCs/>
          <w:vertAlign w:val="subscript"/>
          <w:lang w:val="en-ID"/>
        </w:rPr>
        <w:t>o</w:t>
      </w:r>
      <w:r w:rsidRPr="00336B18">
        <w:rPr>
          <w:rFonts w:ascii="Arial" w:hAnsi="Arial" w:cs="Arial"/>
          <w:iCs/>
          <w:lang w:val="en-ID"/>
        </w:rPr>
        <w:t xml:space="preserve"> = Initial </w:t>
      </w:r>
      <w:r w:rsidR="006471A5">
        <w:rPr>
          <w:rFonts w:ascii="Arial" w:hAnsi="Arial" w:cs="Arial"/>
          <w:iCs/>
          <w:lang w:val="en-ID"/>
        </w:rPr>
        <w:t>shrimp</w:t>
      </w:r>
      <w:r w:rsidRPr="00336B18">
        <w:rPr>
          <w:rFonts w:ascii="Arial" w:hAnsi="Arial" w:cs="Arial"/>
          <w:iCs/>
          <w:lang w:val="en-ID"/>
        </w:rPr>
        <w:t xml:space="preserve"> count</w:t>
      </w:r>
    </w:p>
    <w:p w14:paraId="63EB167C" w14:textId="24F6E5BE"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N</w:t>
      </w:r>
      <w:r w:rsidRPr="00336B18">
        <w:rPr>
          <w:rFonts w:ascii="Arial" w:hAnsi="Arial" w:cs="Arial"/>
          <w:iCs/>
          <w:vertAlign w:val="subscript"/>
          <w:lang w:val="en-ID"/>
        </w:rPr>
        <w:t>t</w:t>
      </w:r>
      <w:proofErr w:type="spellEnd"/>
      <w:r w:rsidRPr="00336B18">
        <w:rPr>
          <w:rFonts w:ascii="Arial" w:hAnsi="Arial" w:cs="Arial"/>
          <w:iCs/>
          <w:lang w:val="en-ID"/>
        </w:rPr>
        <w:t xml:space="preserve"> = Final </w:t>
      </w:r>
      <w:r w:rsidR="006471A5">
        <w:rPr>
          <w:rFonts w:ascii="Arial" w:hAnsi="Arial" w:cs="Arial"/>
          <w:iCs/>
          <w:lang w:val="en-ID"/>
        </w:rPr>
        <w:t>shrimp</w:t>
      </w:r>
      <w:r w:rsidRPr="00336B18">
        <w:rPr>
          <w:rFonts w:ascii="Arial" w:hAnsi="Arial" w:cs="Arial"/>
          <w:iCs/>
          <w:lang w:val="en-ID"/>
        </w:rPr>
        <w:t xml:space="preserve"> count</w:t>
      </w:r>
    </w:p>
    <w:p w14:paraId="6724ECC8" w14:textId="77777777" w:rsidR="00C607C5" w:rsidRPr="00336B18" w:rsidRDefault="00C607C5" w:rsidP="00C607C5">
      <w:pPr>
        <w:pStyle w:val="Body"/>
        <w:spacing w:after="0"/>
        <w:rPr>
          <w:rFonts w:ascii="Arial" w:hAnsi="Arial" w:cs="Arial"/>
          <w:iCs/>
        </w:rPr>
      </w:pPr>
    </w:p>
    <w:p w14:paraId="4B1B747D" w14:textId="77777777" w:rsidR="00C607C5" w:rsidRPr="00336B18" w:rsidRDefault="00C607C5" w:rsidP="00C607C5">
      <w:pPr>
        <w:pStyle w:val="Body"/>
        <w:spacing w:after="0"/>
        <w:rPr>
          <w:rFonts w:ascii="Arial" w:hAnsi="Arial" w:cs="Arial"/>
          <w:iCs/>
          <w:lang w:val="en-ID"/>
        </w:rPr>
      </w:pPr>
      <w:r w:rsidRPr="00336B18">
        <w:rPr>
          <w:rFonts w:ascii="Arial" w:hAnsi="Arial" w:cs="Arial"/>
          <w:iCs/>
          <w:lang w:val="en-ID"/>
        </w:rPr>
        <w:t>The feed conversion ratio value can be calculated using the formula (</w:t>
      </w:r>
      <w:proofErr w:type="spellStart"/>
      <w:r w:rsidRPr="00336B18">
        <w:rPr>
          <w:rFonts w:ascii="Arial" w:hAnsi="Arial" w:cs="Arial"/>
          <w:iCs/>
          <w:lang w:val="en-ID"/>
        </w:rPr>
        <w:t>Irsyadi</w:t>
      </w:r>
      <w:proofErr w:type="spellEnd"/>
      <w:r w:rsidRPr="00336B18">
        <w:rPr>
          <w:rFonts w:ascii="Arial" w:hAnsi="Arial" w:cs="Arial"/>
          <w:iCs/>
          <w:lang w:val="en-ID"/>
        </w:rPr>
        <w:t>, 2020):</w:t>
      </w:r>
    </w:p>
    <w:p w14:paraId="0873FE6E" w14:textId="77777777" w:rsidR="00C607C5" w:rsidRPr="00336B18" w:rsidRDefault="00C607C5" w:rsidP="00C607C5">
      <w:pPr>
        <w:pStyle w:val="Body"/>
        <w:spacing w:after="0"/>
        <w:rPr>
          <w:rFonts w:ascii="Arial" w:hAnsi="Arial" w:cs="Arial"/>
          <w:iCs/>
        </w:rPr>
      </w:pPr>
    </w:p>
    <w:p w14:paraId="322B1A31" w14:textId="4DD6E9AC" w:rsidR="0049220D" w:rsidRPr="00336B18" w:rsidRDefault="00722274" w:rsidP="0049220D">
      <w:pPr>
        <w:pStyle w:val="Body"/>
        <w:spacing w:after="0"/>
        <w:jc w:val="center"/>
        <w:rPr>
          <w:rFonts w:ascii="Arial" w:hAnsi="Arial" w:cs="Arial"/>
        </w:rPr>
      </w:pPr>
      <m:oMathPara>
        <m:oMath>
          <m:r>
            <w:rPr>
              <w:rFonts w:ascii="Cambria Math" w:hAnsi="Cambria Math" w:cs="Arial"/>
            </w:rPr>
            <m:t xml:space="preserve">FCR= </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+D</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0</m:t>
                  </m:r>
                </m:sub>
              </m:sSub>
            </m:num>
            <m:den>
              <m:r>
                <w:rPr>
                  <w:rFonts w:ascii="Cambria Math" w:hAnsi="Cambria Math" w:cs="Arial"/>
                </w:rPr>
                <m:t>F</m:t>
              </m:r>
            </m:den>
          </m:f>
        </m:oMath>
      </m:oMathPara>
    </w:p>
    <w:p w14:paraId="6441A923"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46028D4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FCR = Feed Conversion Ratio </w:t>
      </w:r>
    </w:p>
    <w:p w14:paraId="6AF32719" w14:textId="41369EC1"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w:t>
      </w:r>
      <w:r w:rsidRPr="00336B18">
        <w:rPr>
          <w:rFonts w:ascii="Arial" w:eastAsia="Calibri" w:hAnsi="Arial" w:cs="Arial"/>
          <w:szCs w:val="22"/>
          <w:vertAlign w:val="subscript"/>
          <w:lang w:val="en-ID"/>
        </w:rPr>
        <w:t>t</w:t>
      </w:r>
      <w:proofErr w:type="spellEnd"/>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End of the Study (gr) </w:t>
      </w:r>
    </w:p>
    <w:p w14:paraId="0D2FD469" w14:textId="13B9D19C"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W</w:t>
      </w:r>
      <w:r w:rsidRPr="00336B18">
        <w:rPr>
          <w:rFonts w:ascii="Arial" w:eastAsia="Calibri" w:hAnsi="Arial" w:cs="Arial"/>
          <w:szCs w:val="22"/>
          <w:vertAlign w:val="subscript"/>
          <w:lang w:val="en-ID"/>
        </w:rPr>
        <w:t>o</w:t>
      </w:r>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Beginning of the Study (gr)</w:t>
      </w:r>
    </w:p>
    <w:p w14:paraId="7EF46A07" w14:textId="705A3DD1"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w:t>
      </w:r>
      <w:r w:rsidR="006471A5">
        <w:rPr>
          <w:rFonts w:ascii="Arial" w:eastAsia="Calibri" w:hAnsi="Arial" w:cs="Arial"/>
          <w:szCs w:val="22"/>
          <w:lang w:val="en-ID"/>
        </w:rPr>
        <w:t>Shrimp</w:t>
      </w:r>
      <w:r w:rsidRPr="00336B18">
        <w:rPr>
          <w:rFonts w:ascii="Arial" w:eastAsia="Calibri" w:hAnsi="Arial" w:cs="Arial"/>
          <w:szCs w:val="22"/>
          <w:lang w:val="en-ID"/>
        </w:rPr>
        <w:t xml:space="preserve"> That Died During the Study (gr) </w:t>
      </w:r>
    </w:p>
    <w:p w14:paraId="264DDC73" w14:textId="629FE7C2"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w:t>
      </w:r>
      <w:r w:rsidR="006471A5">
        <w:rPr>
          <w:rFonts w:ascii="Arial" w:eastAsia="Calibri" w:hAnsi="Arial" w:cs="Arial"/>
          <w:szCs w:val="22"/>
          <w:lang w:val="en-ID"/>
        </w:rPr>
        <w:t>Shrimp</w:t>
      </w:r>
      <w:r w:rsidRPr="00336B18">
        <w:rPr>
          <w:rFonts w:ascii="Arial" w:eastAsia="Calibri" w:hAnsi="Arial" w:cs="Arial"/>
          <w:szCs w:val="22"/>
          <w:lang w:val="en-ID"/>
        </w:rPr>
        <w:t xml:space="preserve"> Feed Given During the Study (gr)</w:t>
      </w:r>
    </w:p>
    <w:p w14:paraId="148B4655" w14:textId="77777777" w:rsidR="00722274" w:rsidRPr="00336B18" w:rsidRDefault="00722274" w:rsidP="00722274">
      <w:pPr>
        <w:pStyle w:val="Body"/>
        <w:spacing w:after="0"/>
        <w:rPr>
          <w:rFonts w:ascii="Arial" w:eastAsia="Calibri" w:hAnsi="Arial" w:cs="Arial"/>
          <w:szCs w:val="22"/>
          <w:lang w:val="en-ID"/>
        </w:rPr>
      </w:pPr>
    </w:p>
    <w:p w14:paraId="639F523C" w14:textId="47DE56E9"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 xml:space="preserve">Feed efficiency was calculated using the formula by </w:t>
      </w:r>
      <w:r w:rsidR="006D17DC">
        <w:rPr>
          <w:rFonts w:ascii="Arial" w:eastAsia="Calibri" w:hAnsi="Arial" w:cs="Arial"/>
          <w:szCs w:val="22"/>
          <w:lang w:val="en-ID"/>
        </w:rPr>
        <w:t xml:space="preserve">Rozi </w:t>
      </w:r>
      <w:r w:rsidRPr="00336B18">
        <w:rPr>
          <w:rFonts w:ascii="Arial" w:eastAsia="Calibri" w:hAnsi="Arial" w:cs="Arial"/>
          <w:szCs w:val="22"/>
          <w:lang w:val="en-ID"/>
        </w:rPr>
        <w:t>et al. (201</w:t>
      </w:r>
      <w:r w:rsidR="006D17DC">
        <w:rPr>
          <w:rFonts w:ascii="Arial" w:eastAsia="Calibri" w:hAnsi="Arial" w:cs="Arial"/>
          <w:szCs w:val="22"/>
          <w:lang w:val="en-ID"/>
        </w:rPr>
        <w:t>8</w:t>
      </w:r>
      <w:r w:rsidRPr="00336B18">
        <w:rPr>
          <w:rFonts w:ascii="Arial" w:eastAsia="Calibri" w:hAnsi="Arial" w:cs="Arial"/>
          <w:szCs w:val="22"/>
          <w:lang w:val="en-ID"/>
        </w:rPr>
        <w:t>) as follows</w:t>
      </w:r>
    </w:p>
    <w:p w14:paraId="51AC69EA" w14:textId="77777777" w:rsidR="00722274" w:rsidRPr="00336B18" w:rsidRDefault="00722274" w:rsidP="00722274">
      <w:pPr>
        <w:pStyle w:val="Body"/>
        <w:spacing w:after="0"/>
        <w:rPr>
          <w:rFonts w:ascii="Arial" w:eastAsia="Calibri" w:hAnsi="Arial" w:cs="Arial"/>
          <w:szCs w:val="22"/>
        </w:rPr>
      </w:pPr>
    </w:p>
    <w:p w14:paraId="5D7460D9" w14:textId="005CD819"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w:lastRenderedPageBreak/>
            <m:t>EP=</m:t>
          </m:r>
          <m:f>
            <m:fPr>
              <m:ctrlPr>
                <w:rPr>
                  <w:rFonts w:ascii="Cambria Math" w:eastAsia="Calibri" w:hAnsi="Cambria Math" w:cs="Arial"/>
                  <w:i/>
                  <w:szCs w:val="22"/>
                </w:rPr>
              </m:ctrlPr>
            </m:fPr>
            <m:num>
              <m:d>
                <m:dPr>
                  <m:ctrlPr>
                    <w:rPr>
                      <w:rFonts w:ascii="Cambria Math" w:eastAsia="Calibri" w:hAnsi="Cambria Math" w:cs="Arial"/>
                      <w:i/>
                      <w:szCs w:val="22"/>
                    </w:rPr>
                  </m:ctrlPr>
                </m:dPr>
                <m:e>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t</m:t>
                      </m:r>
                    </m:sub>
                  </m:sSub>
                  <m:r>
                    <w:rPr>
                      <w:rFonts w:ascii="Cambria Math" w:eastAsia="Calibri" w:hAnsi="Cambria Math" w:cs="Arial"/>
                      <w:szCs w:val="22"/>
                    </w:rPr>
                    <m:t>+D</m:t>
                  </m:r>
                </m:e>
              </m:d>
              <m:r>
                <w:rPr>
                  <w:rFonts w:ascii="Cambria Math" w:eastAsia="Calibri" w:hAnsi="Cambria Math" w:cs="Arial"/>
                  <w:szCs w:val="22"/>
                </w:rPr>
                <m:t>-</m:t>
              </m:r>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0</m:t>
                  </m:r>
                </m:sub>
              </m:sSub>
            </m:num>
            <m:den>
              <m:r>
                <w:rPr>
                  <w:rFonts w:ascii="Cambria Math" w:eastAsia="Calibri" w:hAnsi="Cambria Math" w:cs="Arial"/>
                  <w:szCs w:val="22"/>
                </w:rPr>
                <m:t>F</m:t>
              </m:r>
            </m:den>
          </m:f>
          <m:r>
            <w:rPr>
              <w:rFonts w:ascii="Cambria Math" w:eastAsia="Calibri" w:hAnsi="Cambria Math" w:cs="Arial"/>
              <w:szCs w:val="22"/>
            </w:rPr>
            <m:t xml:space="preserve"> x 100%</m:t>
          </m:r>
        </m:oMath>
      </m:oMathPara>
    </w:p>
    <w:p w14:paraId="54FA73F4"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273F39CC"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EP = Feed Efficiency (%) </w:t>
      </w:r>
    </w:p>
    <w:p w14:paraId="3F991F00" w14:textId="09AC6201"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Wt</w:t>
      </w:r>
      <w:proofErr w:type="spellEnd"/>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End of the Study (gr) </w:t>
      </w:r>
    </w:p>
    <w:p w14:paraId="70471F4F" w14:textId="535BDE48"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Wo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Beginning of the Study (gr)</w:t>
      </w:r>
    </w:p>
    <w:p w14:paraId="73891182" w14:textId="609D43CB"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w:t>
      </w:r>
      <w:r w:rsidR="006471A5">
        <w:rPr>
          <w:rFonts w:ascii="Arial" w:eastAsia="Calibri" w:hAnsi="Arial" w:cs="Arial"/>
          <w:szCs w:val="22"/>
          <w:lang w:val="en-ID"/>
        </w:rPr>
        <w:t>Shrimp</w:t>
      </w:r>
      <w:r w:rsidRPr="00336B18">
        <w:rPr>
          <w:rFonts w:ascii="Arial" w:eastAsia="Calibri" w:hAnsi="Arial" w:cs="Arial"/>
          <w:szCs w:val="22"/>
          <w:lang w:val="en-ID"/>
        </w:rPr>
        <w:t xml:space="preserve"> that Die During the Study (gr) </w:t>
      </w:r>
    </w:p>
    <w:p w14:paraId="6C719326" w14:textId="5BF276AB"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w:t>
      </w:r>
      <w:r w:rsidR="006471A5">
        <w:rPr>
          <w:rFonts w:ascii="Arial" w:eastAsia="Calibri" w:hAnsi="Arial" w:cs="Arial"/>
          <w:szCs w:val="22"/>
          <w:lang w:val="en-ID"/>
        </w:rPr>
        <w:t>Shrimp</w:t>
      </w:r>
      <w:r w:rsidRPr="00336B18">
        <w:rPr>
          <w:rFonts w:ascii="Arial" w:eastAsia="Calibri" w:hAnsi="Arial" w:cs="Arial"/>
          <w:szCs w:val="22"/>
          <w:lang w:val="en-ID"/>
        </w:rPr>
        <w:t xml:space="preserve"> Feed Given During the Study (gr)</w:t>
      </w:r>
    </w:p>
    <w:p w14:paraId="45A55895" w14:textId="77777777" w:rsidR="00722274" w:rsidRPr="00336B18" w:rsidRDefault="00722274" w:rsidP="00722274">
      <w:pPr>
        <w:pStyle w:val="Body"/>
        <w:spacing w:after="0"/>
        <w:rPr>
          <w:rFonts w:ascii="Arial" w:eastAsia="Calibri" w:hAnsi="Arial" w:cs="Arial"/>
          <w:szCs w:val="22"/>
        </w:rPr>
      </w:pPr>
    </w:p>
    <w:p w14:paraId="0AC23934" w14:textId="77777777"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Floc volume is a representation of the density of floc particles in a water column (</w:t>
      </w:r>
      <w:proofErr w:type="spellStart"/>
      <w:r w:rsidRPr="00336B18">
        <w:rPr>
          <w:rFonts w:ascii="Arial" w:eastAsia="Calibri" w:hAnsi="Arial" w:cs="Arial"/>
          <w:szCs w:val="22"/>
          <w:lang w:val="en-ID"/>
        </w:rPr>
        <w:t>Avnimelech</w:t>
      </w:r>
      <w:proofErr w:type="spellEnd"/>
      <w:r w:rsidRPr="00336B18">
        <w:rPr>
          <w:rFonts w:ascii="Arial" w:eastAsia="Calibri" w:hAnsi="Arial" w:cs="Arial"/>
          <w:szCs w:val="22"/>
          <w:lang w:val="en-ID"/>
        </w:rPr>
        <w:t xml:space="preserve"> et al., 2012). A total of 50 ml of water sample was sedimented for 30 minutes in a 50 ml conical tube.</w:t>
      </w:r>
    </w:p>
    <w:p w14:paraId="37E6B4AF" w14:textId="49C58A78"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m:t>Floc Volume=</m:t>
          </m:r>
          <m:f>
            <m:fPr>
              <m:ctrlPr>
                <w:rPr>
                  <w:rFonts w:ascii="Cambria Math" w:eastAsia="Calibri" w:hAnsi="Cambria Math" w:cs="Arial"/>
                  <w:i/>
                  <w:szCs w:val="22"/>
                </w:rPr>
              </m:ctrlPr>
            </m:fPr>
            <m:num>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e</m:t>
                  </m:r>
                </m:sub>
              </m:sSub>
            </m:num>
            <m:den>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s</m:t>
                  </m:r>
                </m:sub>
              </m:sSub>
            </m:den>
          </m:f>
          <m:r>
            <w:rPr>
              <w:rFonts w:ascii="Cambria Math" w:eastAsia="Calibri" w:hAnsi="Cambria Math" w:cs="Arial"/>
              <w:szCs w:val="22"/>
            </w:rPr>
            <m:t xml:space="preserve"> x 1000</m:t>
          </m:r>
        </m:oMath>
      </m:oMathPara>
    </w:p>
    <w:p w14:paraId="04F9C89B"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7D91A5A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FV = Floc Volume (ml/l)</w:t>
      </w:r>
    </w:p>
    <w:p w14:paraId="578D7646"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Vs = Total Measured Water Volume (ml)</w:t>
      </w:r>
    </w:p>
    <w:p w14:paraId="4248825D" w14:textId="7A7C1517" w:rsidR="00AA74E0" w:rsidRPr="000D7184" w:rsidRDefault="00722274" w:rsidP="000D7184">
      <w:pPr>
        <w:pStyle w:val="Body"/>
        <w:spacing w:after="0"/>
        <w:ind w:left="720"/>
        <w:rPr>
          <w:rFonts w:ascii="Arial" w:eastAsia="Calibri" w:hAnsi="Arial" w:cs="Arial"/>
          <w:szCs w:val="22"/>
        </w:rPr>
      </w:pPr>
      <w:r w:rsidRPr="00336B18">
        <w:rPr>
          <w:rFonts w:ascii="Arial" w:eastAsia="Calibri" w:hAnsi="Arial" w:cs="Arial"/>
          <w:szCs w:val="22"/>
          <w:lang w:val="en-ID"/>
        </w:rPr>
        <w:t>Ve = Measured Floc Sediment Volume (ml)</w:t>
      </w:r>
      <w:r w:rsidR="00AA74E0" w:rsidRPr="00336B18">
        <w:rPr>
          <w:rFonts w:ascii="Arial" w:hAnsi="Arial" w:cs="Arial"/>
        </w:rPr>
        <w:t>]</w:t>
      </w:r>
      <w:r w:rsidR="00AA74E0" w:rsidRPr="00FB3A86">
        <w:rPr>
          <w:rFonts w:ascii="Arial" w:hAnsi="Arial" w:cs="Arial"/>
        </w:rPr>
        <w:t xml:space="preserve">  </w:t>
      </w:r>
    </w:p>
    <w:p w14:paraId="72BE0C3D" w14:textId="77777777" w:rsidR="00790ADA" w:rsidRPr="00FB3A86" w:rsidRDefault="00790ADA" w:rsidP="00441B6F">
      <w:pPr>
        <w:pStyle w:val="Body"/>
        <w:spacing w:after="0"/>
        <w:rPr>
          <w:rFonts w:ascii="Arial" w:hAnsi="Arial" w:cs="Arial"/>
        </w:rPr>
      </w:pPr>
    </w:p>
    <w:p w14:paraId="7FE873E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B41701" w14:textId="77777777" w:rsidR="00790ADA" w:rsidRPr="00FB3A86" w:rsidRDefault="00790ADA" w:rsidP="00441B6F">
      <w:pPr>
        <w:pStyle w:val="Head1"/>
        <w:spacing w:after="0"/>
        <w:jc w:val="both"/>
        <w:rPr>
          <w:rFonts w:ascii="Arial" w:hAnsi="Arial" w:cs="Arial"/>
        </w:rPr>
      </w:pPr>
    </w:p>
    <w:p w14:paraId="1A2F655A" w14:textId="54E8D83D" w:rsidR="00C30A0F" w:rsidRDefault="00502516" w:rsidP="00441B6F">
      <w:pPr>
        <w:pStyle w:val="Body"/>
        <w:spacing w:after="0"/>
        <w:rPr>
          <w:rFonts w:ascii="Arial" w:hAnsi="Arial" w:cs="Arial"/>
        </w:rPr>
      </w:pPr>
      <w:r>
        <w:rPr>
          <w:rFonts w:ascii="Arial" w:hAnsi="Arial" w:cs="Arial"/>
        </w:rPr>
        <w:t>[</w:t>
      </w:r>
      <w:r w:rsidR="00C30A0F">
        <w:rPr>
          <w:rFonts w:ascii="Arial" w:hAnsi="Arial" w:cs="Arial"/>
          <w:b/>
          <w:caps/>
          <w:sz w:val="22"/>
        </w:rPr>
        <w:t>3</w:t>
      </w:r>
      <w:r w:rsidR="00C30A0F" w:rsidRPr="00C30A0F">
        <w:rPr>
          <w:rFonts w:ascii="Arial" w:hAnsi="Arial" w:cs="Arial"/>
          <w:b/>
          <w:caps/>
          <w:sz w:val="22"/>
        </w:rPr>
        <w:t xml:space="preserve">.1 </w:t>
      </w:r>
      <w:r w:rsidR="000D7184" w:rsidRPr="000D7184">
        <w:rPr>
          <w:rFonts w:ascii="Arial" w:hAnsi="Arial" w:cs="Arial"/>
          <w:b/>
          <w:bCs/>
          <w:sz w:val="22"/>
          <w:lang w:val="en-ID"/>
        </w:rPr>
        <w:t>Absolute Growth Rate</w:t>
      </w:r>
      <w:r w:rsidR="000D7184" w:rsidRPr="000D7184">
        <w:rPr>
          <w:rFonts w:ascii="Arial" w:hAnsi="Arial" w:cs="Arial"/>
          <w:b/>
          <w:caps/>
          <w:sz w:val="22"/>
        </w:rPr>
        <w:t xml:space="preserve"> </w:t>
      </w:r>
      <w:r w:rsidR="00C30A0F" w:rsidRPr="00FB3A86">
        <w:rPr>
          <w:rFonts w:ascii="Arial" w:hAnsi="Arial" w:cs="Arial"/>
        </w:rPr>
        <w:t xml:space="preserve">  </w:t>
      </w:r>
    </w:p>
    <w:p w14:paraId="036CDB30" w14:textId="77777777" w:rsidR="000D7184" w:rsidRDefault="000D7184" w:rsidP="00441B6F">
      <w:pPr>
        <w:pStyle w:val="Body"/>
        <w:spacing w:after="0"/>
        <w:rPr>
          <w:rFonts w:ascii="Arial" w:hAnsi="Arial" w:cs="Arial"/>
        </w:rPr>
      </w:pPr>
    </w:p>
    <w:p w14:paraId="7173020D" w14:textId="4D870175" w:rsidR="000D7184" w:rsidRDefault="000D7184" w:rsidP="00441B6F">
      <w:pPr>
        <w:pStyle w:val="Body"/>
        <w:spacing w:after="0"/>
        <w:rPr>
          <w:rFonts w:ascii="Arial" w:hAnsi="Arial" w:cs="Arial"/>
          <w:lang w:val="en-ID"/>
        </w:rPr>
      </w:pPr>
      <w:r w:rsidRPr="000D7184">
        <w:rPr>
          <w:rFonts w:ascii="Arial" w:hAnsi="Arial" w:cs="Arial"/>
          <w:lang w:val="en-ID"/>
        </w:rPr>
        <w:t xml:space="preserve">Growth becomes one of the important things in the cultivation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this can be obtained from the increase in length and weight of shrimp during maintenance. The observation of absolute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during the study can be seen in Figure 1.</w:t>
      </w:r>
    </w:p>
    <w:p w14:paraId="3DADD1F8" w14:textId="77777777" w:rsidR="000D7184" w:rsidRDefault="000D7184" w:rsidP="00441B6F">
      <w:pPr>
        <w:pStyle w:val="Body"/>
        <w:spacing w:after="0"/>
        <w:rPr>
          <w:rFonts w:ascii="Arial" w:hAnsi="Arial" w:cs="Arial"/>
          <w:lang w:val="en-ID"/>
        </w:rPr>
      </w:pPr>
    </w:p>
    <w:p w14:paraId="0F67665A" w14:textId="656C0F4C" w:rsidR="000D7184" w:rsidRDefault="000D7184" w:rsidP="000D7184">
      <w:pPr>
        <w:pStyle w:val="Body"/>
        <w:spacing w:after="0"/>
        <w:jc w:val="center"/>
        <w:rPr>
          <w:rFonts w:ascii="Arial" w:hAnsi="Arial" w:cs="Arial"/>
          <w:lang w:val="en-ID"/>
        </w:rPr>
      </w:pPr>
    </w:p>
    <w:p w14:paraId="0709CBCE" w14:textId="44FEEFCF" w:rsidR="00102F90" w:rsidRDefault="00102F90" w:rsidP="000D7184">
      <w:pPr>
        <w:pStyle w:val="Body"/>
        <w:spacing w:after="0"/>
        <w:jc w:val="center"/>
        <w:rPr>
          <w:rFonts w:ascii="Arial" w:hAnsi="Arial" w:cs="Arial"/>
          <w:lang w:val="en-ID"/>
        </w:rPr>
      </w:pPr>
      <w:r>
        <w:rPr>
          <w:noProof/>
        </w:rPr>
        <w:drawing>
          <wp:inline distT="0" distB="0" distL="0" distR="0" wp14:anchorId="03429F76" wp14:editId="254C5E5A">
            <wp:extent cx="3189600" cy="2318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9DE632" w14:textId="789BC693" w:rsidR="000D7184" w:rsidRDefault="000D7184" w:rsidP="000D7184">
      <w:pPr>
        <w:pStyle w:val="Body"/>
        <w:spacing w:after="0"/>
        <w:jc w:val="center"/>
        <w:rPr>
          <w:rFonts w:ascii="Arial" w:hAnsi="Arial" w:cs="Arial"/>
          <w:sz w:val="22"/>
          <w:lang w:val="en-ID"/>
        </w:rPr>
      </w:pPr>
      <w:r>
        <w:rPr>
          <w:rFonts w:ascii="Arial" w:hAnsi="Arial" w:cs="Arial"/>
          <w:lang w:val="en-ID"/>
        </w:rPr>
        <w:t xml:space="preserve">Figure 1. </w:t>
      </w:r>
      <w:r w:rsidRPr="000D7184">
        <w:rPr>
          <w:rFonts w:ascii="Arial" w:hAnsi="Arial" w:cs="Arial"/>
          <w:sz w:val="22"/>
          <w:lang w:val="en-ID"/>
        </w:rPr>
        <w:t>Absolute Growth Rate</w:t>
      </w:r>
    </w:p>
    <w:p w14:paraId="32222516" w14:textId="446EC1FB" w:rsidR="000D7184" w:rsidRPr="000D7184" w:rsidRDefault="000D7184" w:rsidP="000D7184">
      <w:pPr>
        <w:pStyle w:val="Body"/>
        <w:spacing w:after="0"/>
        <w:rPr>
          <w:rFonts w:ascii="Arial" w:hAnsi="Arial" w:cs="Arial"/>
          <w:sz w:val="18"/>
          <w:szCs w:val="18"/>
          <w:lang w:val="en-ID"/>
        </w:rPr>
      </w:pPr>
      <w:r w:rsidRPr="000D7184">
        <w:rPr>
          <w:rFonts w:ascii="Arial" w:hAnsi="Arial" w:cs="Arial"/>
          <w:szCs w:val="18"/>
          <w:lang w:val="en-ID"/>
        </w:rPr>
        <w:t xml:space="preserve">Based on Figure 1, it can be seen that the growth rate of </w:t>
      </w:r>
      <w:proofErr w:type="spellStart"/>
      <w:r w:rsidRPr="000D7184">
        <w:rPr>
          <w:rFonts w:ascii="Arial" w:hAnsi="Arial" w:cs="Arial"/>
          <w:szCs w:val="18"/>
          <w:lang w:val="en-ID"/>
        </w:rPr>
        <w:t>vanname</w:t>
      </w:r>
      <w:proofErr w:type="spellEnd"/>
      <w:r w:rsidRPr="000D7184">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0D7184">
        <w:rPr>
          <w:rFonts w:ascii="Arial" w:hAnsi="Arial" w:cs="Arial"/>
          <w:szCs w:val="18"/>
          <w:lang w:val="en-ID"/>
        </w:rPr>
        <w:t xml:space="preserve">) experienced an increase in body weight from the beginning of stocking, which was 0.03 g. The absolute growth rate at the end of the study had a weight ranging from 1.24-1.64 g. This study shows that the best growth rate is the treatment of 7 days of fermentation using </w:t>
      </w:r>
      <w:proofErr w:type="spellStart"/>
      <w:r w:rsidRPr="000D7184">
        <w:rPr>
          <w:rFonts w:ascii="Arial" w:hAnsi="Arial" w:cs="Arial"/>
          <w:szCs w:val="18"/>
          <w:lang w:val="en-ID"/>
        </w:rPr>
        <w:t>yakult</w:t>
      </w:r>
      <w:proofErr w:type="spellEnd"/>
      <w:r w:rsidRPr="000D7184">
        <w:rPr>
          <w:rFonts w:ascii="Arial" w:hAnsi="Arial" w:cs="Arial"/>
          <w:szCs w:val="18"/>
          <w:lang w:val="en-ID"/>
        </w:rPr>
        <w:t xml:space="preserve"> probiotic material (B) has a shrimp weight of 1. 64 g. In contrast to the treatment of 3 days of fermentation using </w:t>
      </w:r>
      <w:proofErr w:type="spellStart"/>
      <w:r w:rsidRPr="000D7184">
        <w:rPr>
          <w:rFonts w:ascii="Arial" w:hAnsi="Arial" w:cs="Arial"/>
          <w:szCs w:val="18"/>
          <w:lang w:val="en-ID"/>
        </w:rPr>
        <w:t>yakult</w:t>
      </w:r>
      <w:proofErr w:type="spellEnd"/>
      <w:r w:rsidRPr="000D7184">
        <w:rPr>
          <w:rFonts w:ascii="Arial" w:hAnsi="Arial" w:cs="Arial"/>
          <w:szCs w:val="18"/>
          <w:lang w:val="en-ID"/>
        </w:rPr>
        <w:t xml:space="preserve"> probiotic material (A) got the weight of shrimp 1.54 g. The lowest value of absolute growth rate was in the control treatment (C) by not using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w:t>
      </w:r>
      <w:r w:rsidRPr="000D7184">
        <w:rPr>
          <w:rFonts w:ascii="Arial" w:hAnsi="Arial" w:cs="Arial"/>
          <w:szCs w:val="18"/>
          <w:lang w:val="en-ID"/>
        </w:rPr>
        <w:lastRenderedPageBreak/>
        <w:t xml:space="preserve">obtained shrimp weight 1.26 g. The results of this study showed that shrimp given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substitution showed better growth than control.</w:t>
      </w:r>
    </w:p>
    <w:p w14:paraId="5E1BF501" w14:textId="77777777" w:rsidR="000D7184" w:rsidRDefault="000D7184" w:rsidP="00441B6F">
      <w:pPr>
        <w:pStyle w:val="Body"/>
        <w:spacing w:after="0"/>
        <w:rPr>
          <w:rFonts w:ascii="Arial" w:hAnsi="Arial" w:cs="Arial"/>
        </w:rPr>
      </w:pPr>
    </w:p>
    <w:p w14:paraId="3DFA5B6E" w14:textId="0B92C47A" w:rsidR="000D7184" w:rsidRDefault="000D7184" w:rsidP="000D7184">
      <w:pPr>
        <w:pStyle w:val="Body"/>
        <w:spacing w:after="0"/>
        <w:rPr>
          <w:rFonts w:ascii="Arial" w:hAnsi="Arial" w:cs="Arial"/>
          <w:lang w:val="en-ID"/>
        </w:rPr>
      </w:pPr>
      <w:r w:rsidRPr="000D7184">
        <w:rPr>
          <w:rFonts w:ascii="Arial" w:hAnsi="Arial" w:cs="Arial"/>
          <w:lang w:val="en-ID"/>
        </w:rPr>
        <w:t xml:space="preserve">The results of this study prove that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given probiotic </w:t>
      </w:r>
      <w:proofErr w:type="spellStart"/>
      <w:r w:rsidRPr="000D7184">
        <w:rPr>
          <w:rFonts w:ascii="Arial" w:hAnsi="Arial" w:cs="Arial"/>
          <w:lang w:val="en-ID"/>
        </w:rPr>
        <w:t>yakult</w:t>
      </w:r>
      <w:proofErr w:type="spellEnd"/>
      <w:r w:rsidRPr="000D7184">
        <w:rPr>
          <w:rFonts w:ascii="Arial" w:hAnsi="Arial" w:cs="Arial"/>
          <w:lang w:val="en-ID"/>
        </w:rPr>
        <w:t xml:space="preserve"> with 7 days of fermentation (B) showed the best growth results, this is due to the high total bacteria in the </w:t>
      </w:r>
      <w:proofErr w:type="spellStart"/>
      <w:r w:rsidRPr="000D7184">
        <w:rPr>
          <w:rFonts w:ascii="Arial" w:hAnsi="Arial" w:cs="Arial"/>
          <w:lang w:val="en-ID"/>
        </w:rPr>
        <w:t>biofloc</w:t>
      </w:r>
      <w:proofErr w:type="spellEnd"/>
      <w:r w:rsidRPr="000D7184">
        <w:rPr>
          <w:rFonts w:ascii="Arial" w:hAnsi="Arial" w:cs="Arial"/>
          <w:lang w:val="en-ID"/>
        </w:rPr>
        <w:t xml:space="preserve"> that is 52 x 10</w:t>
      </w:r>
      <w:r w:rsidRPr="000D7184">
        <w:rPr>
          <w:rFonts w:ascii="Arial" w:hAnsi="Arial" w:cs="Arial"/>
          <w:vertAlign w:val="superscript"/>
          <w:lang w:val="en-ID"/>
        </w:rPr>
        <w:t>7</w:t>
      </w:r>
      <w:r w:rsidRPr="000D7184">
        <w:rPr>
          <w:rFonts w:ascii="Arial" w:hAnsi="Arial" w:cs="Arial"/>
          <w:lang w:val="en-ID"/>
        </w:rPr>
        <w:t xml:space="preserve"> so as to produce an abundant amount of floc as an additional feed besides pellets. Good bacterial density will spur the protein source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w:t>
      </w:r>
    </w:p>
    <w:p w14:paraId="0A97D891" w14:textId="77777777" w:rsidR="000D7184" w:rsidRPr="000D7184" w:rsidRDefault="000D7184" w:rsidP="000D7184">
      <w:pPr>
        <w:pStyle w:val="Body"/>
        <w:spacing w:after="0"/>
        <w:rPr>
          <w:rFonts w:ascii="Arial" w:hAnsi="Arial" w:cs="Arial"/>
          <w:lang w:val="en-ID"/>
        </w:rPr>
      </w:pPr>
    </w:p>
    <w:p w14:paraId="4892598F" w14:textId="3E3678E8" w:rsidR="000D7184" w:rsidRDefault="000D7184" w:rsidP="000D7184">
      <w:pPr>
        <w:pStyle w:val="Body"/>
        <w:spacing w:after="0"/>
        <w:rPr>
          <w:rFonts w:ascii="Arial" w:hAnsi="Arial" w:cs="Arial"/>
          <w:lang w:val="en-ID"/>
        </w:rPr>
      </w:pPr>
      <w:r w:rsidRPr="000D7184">
        <w:rPr>
          <w:rFonts w:ascii="Arial" w:hAnsi="Arial" w:cs="Arial"/>
          <w:lang w:val="en-ID"/>
        </w:rPr>
        <w:t xml:space="preserve">The use of </w:t>
      </w:r>
      <w:proofErr w:type="spellStart"/>
      <w:r w:rsidRPr="000D7184">
        <w:rPr>
          <w:rFonts w:ascii="Arial" w:hAnsi="Arial" w:cs="Arial"/>
          <w:lang w:val="en-ID"/>
        </w:rPr>
        <w:t>bioflocs</w:t>
      </w:r>
      <w:proofErr w:type="spellEnd"/>
      <w:r w:rsidRPr="000D7184">
        <w:rPr>
          <w:rFonts w:ascii="Arial" w:hAnsi="Arial" w:cs="Arial"/>
          <w:lang w:val="en-ID"/>
        </w:rPr>
        <w:t xml:space="preserve"> with abundant bacterial density will provide an additional source of protein in addition to pellet feed, this greatly affects the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in retaining protein (Martini, 2017). Yakult which contains Lactobacillus sp. bacteria that can accelerate shrimp growth is supported by research (</w:t>
      </w:r>
      <w:proofErr w:type="spellStart"/>
      <w:r w:rsidRPr="000D7184">
        <w:rPr>
          <w:rFonts w:ascii="Arial" w:hAnsi="Arial" w:cs="Arial"/>
          <w:lang w:val="en-ID"/>
        </w:rPr>
        <w:t>Anggana</w:t>
      </w:r>
      <w:proofErr w:type="spellEnd"/>
      <w:r w:rsidRPr="000D7184">
        <w:rPr>
          <w:rFonts w:ascii="Arial" w:hAnsi="Arial" w:cs="Arial"/>
          <w:lang w:val="en-ID"/>
        </w:rPr>
        <w:t xml:space="preserve"> et al., 2021).</w:t>
      </w:r>
    </w:p>
    <w:p w14:paraId="7180585F" w14:textId="77777777" w:rsidR="000D7184" w:rsidRDefault="000D7184" w:rsidP="000D7184">
      <w:pPr>
        <w:pStyle w:val="Body"/>
        <w:spacing w:after="0"/>
        <w:rPr>
          <w:rFonts w:ascii="Arial" w:hAnsi="Arial" w:cs="Arial"/>
          <w:lang w:val="en-ID"/>
        </w:rPr>
      </w:pPr>
    </w:p>
    <w:p w14:paraId="307815D0" w14:textId="777261ED" w:rsidR="000D7184" w:rsidRDefault="000D7184" w:rsidP="000D7184">
      <w:pPr>
        <w:pStyle w:val="Body"/>
        <w:spacing w:after="0"/>
        <w:rPr>
          <w:rFonts w:ascii="Arial" w:hAnsi="Arial" w:cs="Arial"/>
          <w:lang w:val="en-ID"/>
        </w:rPr>
      </w:pPr>
      <w:r w:rsidRPr="000D7184">
        <w:rPr>
          <w:rFonts w:ascii="Arial" w:hAnsi="Arial" w:cs="Arial"/>
          <w:lang w:val="en-ID"/>
        </w:rPr>
        <w:t xml:space="preserve">In contrast to the growth results of the use of probiotic </w:t>
      </w:r>
      <w:proofErr w:type="spellStart"/>
      <w:r w:rsidRPr="000D7184">
        <w:rPr>
          <w:rFonts w:ascii="Arial" w:hAnsi="Arial" w:cs="Arial"/>
          <w:lang w:val="en-ID"/>
        </w:rPr>
        <w:t>yakult</w:t>
      </w:r>
      <w:proofErr w:type="spellEnd"/>
      <w:r w:rsidRPr="000D7184">
        <w:rPr>
          <w:rFonts w:ascii="Arial" w:hAnsi="Arial" w:cs="Arial"/>
          <w:lang w:val="en-ID"/>
        </w:rPr>
        <w:t xml:space="preserve"> ingredients with a fermentation duration of 3 days (A) is lower because the formation of flocs has not been maximized compared to 7 days fermentation (B). Treatment A has a lower growth value than treatment B because the total bacteria obtained is around 26 x 10</w:t>
      </w:r>
      <w:r w:rsidRPr="000D7184">
        <w:rPr>
          <w:rFonts w:ascii="Arial" w:hAnsi="Arial" w:cs="Arial"/>
          <w:vertAlign w:val="superscript"/>
          <w:lang w:val="en-ID"/>
        </w:rPr>
        <w:t>7</w:t>
      </w:r>
      <w:r w:rsidRPr="000D7184">
        <w:rPr>
          <w:rFonts w:ascii="Arial" w:hAnsi="Arial" w:cs="Arial"/>
          <w:lang w:val="en-ID"/>
        </w:rPr>
        <w:t xml:space="preserve"> so that the resulting floc is less abundant for shrimp. The role of bacteria produced from probiotic ingredients </w:t>
      </w:r>
      <w:proofErr w:type="spellStart"/>
      <w:r w:rsidRPr="000D7184">
        <w:rPr>
          <w:rFonts w:ascii="Arial" w:hAnsi="Arial" w:cs="Arial"/>
          <w:lang w:val="en-ID"/>
        </w:rPr>
        <w:t>yakult</w:t>
      </w:r>
      <w:proofErr w:type="spellEnd"/>
      <w:r w:rsidRPr="000D7184">
        <w:rPr>
          <w:rFonts w:ascii="Arial" w:hAnsi="Arial" w:cs="Arial"/>
          <w:lang w:val="en-ID"/>
        </w:rPr>
        <w:t xml:space="preserve"> will occur, when the length of fermentation </w:t>
      </w:r>
      <w:proofErr w:type="spellStart"/>
      <w:r w:rsidRPr="000D7184">
        <w:rPr>
          <w:rFonts w:ascii="Arial" w:hAnsi="Arial" w:cs="Arial"/>
          <w:lang w:val="en-ID"/>
        </w:rPr>
        <w:t>biofloc</w:t>
      </w:r>
      <w:proofErr w:type="spellEnd"/>
      <w:r w:rsidRPr="000D7184">
        <w:rPr>
          <w:rFonts w:ascii="Arial" w:hAnsi="Arial" w:cs="Arial"/>
          <w:lang w:val="en-ID"/>
        </w:rPr>
        <w:t xml:space="preserve"> produced successfully process organic waste. Bacterial density in each treatment except control can indicate the provision of bacteria or probiotics affect the density of bacteria, so that their effectiveness to remodel organic matter as food can accelerate growth.</w:t>
      </w:r>
    </w:p>
    <w:p w14:paraId="7A23C03F" w14:textId="48933A88" w:rsidR="001177DE" w:rsidRDefault="001177DE" w:rsidP="000D7184">
      <w:pPr>
        <w:pStyle w:val="Body"/>
        <w:spacing w:after="0"/>
        <w:rPr>
          <w:rFonts w:ascii="Arial" w:hAnsi="Arial" w:cs="Arial"/>
          <w:lang w:val="en-ID"/>
        </w:rPr>
      </w:pPr>
    </w:p>
    <w:p w14:paraId="274FFDC9" w14:textId="2B422B9D" w:rsidR="00505F06" w:rsidRPr="001177DE" w:rsidRDefault="001177DE" w:rsidP="001177DE">
      <w:pPr>
        <w:pStyle w:val="Body"/>
        <w:rPr>
          <w:rFonts w:ascii="Arial" w:hAnsi="Arial" w:cs="Arial"/>
          <w:lang w:val="en-ID"/>
        </w:rPr>
      </w:pPr>
      <w:r w:rsidRPr="001177DE">
        <w:rPr>
          <w:rFonts w:ascii="Arial" w:hAnsi="Arial" w:cs="Arial"/>
          <w:lang w:val="en-ID"/>
        </w:rPr>
        <w:t xml:space="preserve">Based on the results of the 95% analysis variance test, each treatment had a significant effect (P&lt;0.05) on the feed efficiency of </w:t>
      </w:r>
      <w:proofErr w:type="spellStart"/>
      <w:r w:rsidRPr="001177DE">
        <w:rPr>
          <w:rFonts w:ascii="Arial" w:hAnsi="Arial" w:cs="Arial"/>
          <w:lang w:val="en-ID"/>
        </w:rPr>
        <w:t>vaname</w:t>
      </w:r>
      <w:proofErr w:type="spellEnd"/>
      <w:r w:rsidRPr="001177DE">
        <w:rPr>
          <w:rFonts w:ascii="Arial" w:hAnsi="Arial" w:cs="Arial"/>
          <w:lang w:val="en-ID"/>
        </w:rPr>
        <w:t xml:space="preserve"> shrimp (</w:t>
      </w:r>
      <w:proofErr w:type="spellStart"/>
      <w:r w:rsidRPr="001177DE">
        <w:rPr>
          <w:rFonts w:ascii="Arial" w:hAnsi="Arial" w:cs="Arial"/>
          <w:i/>
          <w:lang w:val="en-ID"/>
        </w:rPr>
        <w:t>Litopenaeus</w:t>
      </w:r>
      <w:proofErr w:type="spellEnd"/>
      <w:r w:rsidRPr="001177DE">
        <w:rPr>
          <w:rFonts w:ascii="Arial" w:hAnsi="Arial" w:cs="Arial"/>
          <w:i/>
          <w:lang w:val="en-ID"/>
        </w:rPr>
        <w:t xml:space="preserve"> </w:t>
      </w:r>
      <w:proofErr w:type="spellStart"/>
      <w:r w:rsidRPr="001177DE">
        <w:rPr>
          <w:rFonts w:ascii="Arial" w:hAnsi="Arial" w:cs="Arial"/>
          <w:i/>
          <w:lang w:val="en-ID"/>
        </w:rPr>
        <w:t>vannamei</w:t>
      </w:r>
      <w:proofErr w:type="spellEnd"/>
      <w:r w:rsidRPr="001177DE">
        <w:rPr>
          <w:rFonts w:ascii="Arial" w:hAnsi="Arial" w:cs="Arial"/>
          <w:lang w:val="en-ID"/>
        </w:rPr>
        <w:t xml:space="preserve">). Subsequently, a </w:t>
      </w:r>
      <w:r w:rsidR="00E6011D">
        <w:rPr>
          <w:rFonts w:ascii="Arial" w:hAnsi="Arial" w:cs="Arial"/>
          <w:lang w:val="en-ID"/>
        </w:rPr>
        <w:t>LSD</w:t>
      </w:r>
      <w:r w:rsidRPr="001177DE">
        <w:rPr>
          <w:rFonts w:ascii="Arial" w:hAnsi="Arial" w:cs="Arial"/>
          <w:lang w:val="en-ID"/>
        </w:rPr>
        <w:t xml:space="preserve"> test was conducted to determine that treatment B differed significantly (P&lt;0.05) from treatments A and C, and treatment A differed significantly (P&lt;0.05) from treatment C. Treatment B with a fermentation period of 7 days yielded the best results because the total number of bacteria entering the shrimp's digestive tract and surviving aligned with the shrimp's growth.</w:t>
      </w:r>
    </w:p>
    <w:p w14:paraId="2B9A876B" w14:textId="77777777" w:rsidR="000D7184" w:rsidRPr="000D7184" w:rsidRDefault="000D7184" w:rsidP="000D7184">
      <w:pPr>
        <w:pStyle w:val="Body"/>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0D7184">
        <w:rPr>
          <w:rFonts w:ascii="Arial" w:hAnsi="Arial" w:cs="Arial"/>
          <w:b/>
          <w:bCs/>
          <w:sz w:val="22"/>
          <w:lang w:val="en-ID"/>
        </w:rPr>
        <w:t>Survival Rate</w:t>
      </w:r>
    </w:p>
    <w:p w14:paraId="0A4D5186" w14:textId="77777777" w:rsidR="003A5832" w:rsidRPr="0000257A" w:rsidRDefault="003A5832" w:rsidP="003A5832">
      <w:pPr>
        <w:spacing w:before="120"/>
        <w:jc w:val="both"/>
        <w:rPr>
          <w:rFonts w:ascii="Arial" w:hAnsi="Arial" w:cs="Arial"/>
        </w:rPr>
      </w:pPr>
      <w:r>
        <w:t>Survival Rate is the percentage of the number of shrimp that live during the rearing period compared to the number of shrimp at the time of the start of stocking.  Based on the results obtained in this study, the survival value of Vanname shrimp culture (</w:t>
      </w:r>
      <w:proofErr w:type="spellStart"/>
      <w:r>
        <w:rPr>
          <w:rStyle w:val="Emphasis"/>
          <w:color w:val="0E101A"/>
        </w:rPr>
        <w:t>Litopenaeus</w:t>
      </w:r>
      <w:proofErr w:type="spellEnd"/>
      <w:r>
        <w:rPr>
          <w:rStyle w:val="Emphasis"/>
          <w:color w:val="0E101A"/>
        </w:rPr>
        <w:t xml:space="preserve"> </w:t>
      </w:r>
      <w:proofErr w:type="spellStart"/>
      <w:r>
        <w:rPr>
          <w:rStyle w:val="Emphasis"/>
          <w:color w:val="0E101A"/>
        </w:rPr>
        <w:t>vannamei</w:t>
      </w:r>
      <w:proofErr w:type="spellEnd"/>
      <w:r>
        <w:t xml:space="preserve">) had the highest average value, followed by treatments B (82.9%), A (77.6%), and K (53.3%). Treatments A and B, supplemented with probiotic ingredients from Yakult, achieved a higher SR of 77.6-82.9%, indicating that the application of the </w:t>
      </w:r>
      <w:proofErr w:type="spellStart"/>
      <w:r>
        <w:t>biofloc</w:t>
      </w:r>
      <w:proofErr w:type="spellEnd"/>
      <w:r>
        <w:t xml:space="preserve"> system provided important nutritional content and increased the antioxidants contained therein.</w:t>
      </w:r>
    </w:p>
    <w:p w14:paraId="21AD9038" w14:textId="6249EBC3" w:rsidR="000D7184" w:rsidRDefault="000D7184" w:rsidP="000D7184">
      <w:pPr>
        <w:pStyle w:val="Body"/>
        <w:spacing w:after="0"/>
        <w:rPr>
          <w:rFonts w:ascii="Arial" w:hAnsi="Arial" w:cs="Arial"/>
        </w:rPr>
      </w:pPr>
    </w:p>
    <w:p w14:paraId="385F3A4F" w14:textId="5F5B4E17" w:rsidR="000D7184" w:rsidRDefault="000D7184" w:rsidP="000D7184">
      <w:pPr>
        <w:pStyle w:val="Body"/>
        <w:spacing w:after="0"/>
        <w:jc w:val="center"/>
        <w:rPr>
          <w:rFonts w:ascii="Arial" w:hAnsi="Arial" w:cs="Arial"/>
        </w:rPr>
      </w:pPr>
      <w:r>
        <w:rPr>
          <w:noProof/>
        </w:rPr>
        <w:lastRenderedPageBreak/>
        <w:drawing>
          <wp:inline distT="0" distB="0" distL="0" distR="0" wp14:anchorId="4CCFA065" wp14:editId="7CF9B4BB">
            <wp:extent cx="3187700" cy="2317750"/>
            <wp:effectExtent l="0" t="0" r="0" b="0"/>
            <wp:docPr id="237768016" name="Chart 23776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FEA51D" w14:textId="1F97ED58" w:rsidR="000D7184" w:rsidRDefault="000D7184" w:rsidP="000D7184">
      <w:pPr>
        <w:pStyle w:val="Body"/>
        <w:spacing w:after="0"/>
        <w:jc w:val="center"/>
        <w:rPr>
          <w:rFonts w:ascii="Arial" w:hAnsi="Arial" w:cs="Arial"/>
        </w:rPr>
      </w:pPr>
      <w:r>
        <w:rPr>
          <w:rFonts w:ascii="Arial" w:hAnsi="Arial" w:cs="Arial"/>
        </w:rPr>
        <w:t>Figure 2. Survival Rate</w:t>
      </w:r>
    </w:p>
    <w:p w14:paraId="0BEEE598" w14:textId="77777777" w:rsidR="003A5832" w:rsidRDefault="003A5832" w:rsidP="003A5832">
      <w:pPr>
        <w:pStyle w:val="NormalWeb"/>
        <w:spacing w:before="120" w:beforeAutospacing="0" w:after="0" w:afterAutospacing="0"/>
        <w:jc w:val="both"/>
        <w:rPr>
          <w:rFonts w:ascii="Arial" w:hAnsi="Arial" w:cs="Arial"/>
          <w:color w:val="0E101A"/>
          <w:sz w:val="20"/>
          <w:szCs w:val="20"/>
        </w:rPr>
      </w:pPr>
    </w:p>
    <w:p w14:paraId="5F900C1C" w14:textId="2D9A1A4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The trajectory of treatment using probiotic ingredients to maintain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xml:space="preserve"> shrimp (</w:t>
      </w:r>
      <w:proofErr w:type="spellStart"/>
      <w:r w:rsidRPr="0000257A">
        <w:rPr>
          <w:rStyle w:val="Emphasis"/>
          <w:rFonts w:ascii="Arial" w:hAnsi="Arial" w:cs="Arial"/>
          <w:color w:val="0E101A"/>
          <w:sz w:val="20"/>
          <w:szCs w:val="20"/>
        </w:rPr>
        <w:t>Litopenaeus</w:t>
      </w:r>
      <w:proofErr w:type="spellEnd"/>
      <w:r w:rsidRPr="0000257A">
        <w:rPr>
          <w:rStyle w:val="Emphasis"/>
          <w:rFonts w:ascii="Arial" w:hAnsi="Arial" w:cs="Arial"/>
          <w:color w:val="0E101A"/>
          <w:sz w:val="20"/>
          <w:szCs w:val="20"/>
        </w:rPr>
        <w:t xml:space="preserve"> </w:t>
      </w:r>
      <w:proofErr w:type="spellStart"/>
      <w:r w:rsidRPr="0000257A">
        <w:rPr>
          <w:rStyle w:val="Emphasis"/>
          <w:rFonts w:ascii="Arial" w:hAnsi="Arial" w:cs="Arial"/>
          <w:color w:val="0E101A"/>
          <w:sz w:val="20"/>
          <w:szCs w:val="20"/>
        </w:rPr>
        <w:t>vannamei</w:t>
      </w:r>
      <w:proofErr w:type="spellEnd"/>
      <w:r w:rsidRPr="0000257A">
        <w:rPr>
          <w:rFonts w:ascii="Arial" w:hAnsi="Arial" w:cs="Arial"/>
          <w:color w:val="0E101A"/>
          <w:sz w:val="20"/>
          <w:szCs w:val="20"/>
        </w:rPr>
        <w:t xml:space="preserve">) can achieve survival rates ranging from 71.55% to 99.78% (Dahlan et al., 2017). This suggests that the treatment of probiotic Yakult material does not interfere with the physiological processes and </w:t>
      </w:r>
      <w:proofErr w:type="spellStart"/>
      <w:r w:rsidRPr="0000257A">
        <w:rPr>
          <w:rFonts w:ascii="Arial" w:hAnsi="Arial" w:cs="Arial"/>
          <w:color w:val="0E101A"/>
          <w:sz w:val="20"/>
          <w:szCs w:val="20"/>
        </w:rPr>
        <w:t>behavior</w:t>
      </w:r>
      <w:proofErr w:type="spellEnd"/>
      <w:r w:rsidRPr="0000257A">
        <w:rPr>
          <w:rFonts w:ascii="Arial" w:hAnsi="Arial" w:cs="Arial"/>
          <w:color w:val="0E101A"/>
          <w:sz w:val="20"/>
          <w:szCs w:val="20"/>
        </w:rPr>
        <w:t xml:space="preserve"> of shrimp during maintenance but instead stimulates an increase in the biological performance of shrimp.</w:t>
      </w:r>
    </w:p>
    <w:p w14:paraId="342D8921" w14:textId="771BDDDD"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The treatment with a fermentation time of 3 days (A) had a lower survival value (77.6%) than the treatment with a fermentation time of 7 days (B), which had a survival value (82.9%). It is known that the bacteria that play a role in </w:t>
      </w:r>
      <w:proofErr w:type="spellStart"/>
      <w:r w:rsidRPr="0000257A">
        <w:rPr>
          <w:rFonts w:ascii="Arial" w:hAnsi="Arial" w:cs="Arial"/>
          <w:color w:val="0E101A"/>
          <w:sz w:val="20"/>
          <w:szCs w:val="20"/>
        </w:rPr>
        <w:t>bioflocs</w:t>
      </w:r>
      <w:proofErr w:type="spellEnd"/>
      <w:r w:rsidRPr="0000257A">
        <w:rPr>
          <w:rFonts w:ascii="Arial" w:hAnsi="Arial" w:cs="Arial"/>
          <w:color w:val="0E101A"/>
          <w:sz w:val="20"/>
          <w:szCs w:val="20"/>
        </w:rPr>
        <w:t xml:space="preserve"> increase because 7 days of fermentation can produce a high number of bacteria. The lack of mortality was due to the availability of additional food in the form of flocs, which can suppress cannibalism. The length of probiotic fermentation increased to 7 days on day 6, resulting in a bacterial count of 10</w:t>
      </w:r>
      <w:r w:rsidRPr="003A5832">
        <w:rPr>
          <w:rFonts w:ascii="Arial" w:hAnsi="Arial" w:cs="Arial"/>
          <w:color w:val="0E101A"/>
          <w:sz w:val="20"/>
          <w:szCs w:val="20"/>
          <w:vertAlign w:val="superscript"/>
        </w:rPr>
        <w:t>9</w:t>
      </w:r>
      <w:r w:rsidRPr="0000257A">
        <w:rPr>
          <w:rFonts w:ascii="Arial" w:hAnsi="Arial" w:cs="Arial"/>
          <w:color w:val="0E101A"/>
          <w:sz w:val="20"/>
          <w:szCs w:val="20"/>
        </w:rPr>
        <w:t>-10</w:t>
      </w:r>
      <w:r w:rsidRPr="003A5832">
        <w:rPr>
          <w:rFonts w:ascii="Arial" w:hAnsi="Arial" w:cs="Arial"/>
          <w:color w:val="0E101A"/>
          <w:sz w:val="20"/>
          <w:szCs w:val="20"/>
          <w:vertAlign w:val="superscript"/>
        </w:rPr>
        <w:t>11</w:t>
      </w:r>
      <w:r w:rsidRPr="0000257A">
        <w:rPr>
          <w:rFonts w:ascii="Arial" w:hAnsi="Arial" w:cs="Arial"/>
          <w:color w:val="0E101A"/>
          <w:sz w:val="20"/>
          <w:szCs w:val="20"/>
        </w:rPr>
        <w:t xml:space="preserve"> CFU/ml (</w:t>
      </w:r>
      <w:proofErr w:type="spellStart"/>
      <w:r w:rsidRPr="0000257A">
        <w:rPr>
          <w:rFonts w:ascii="Arial" w:hAnsi="Arial" w:cs="Arial"/>
          <w:color w:val="0E101A"/>
          <w:sz w:val="20"/>
          <w:szCs w:val="20"/>
        </w:rPr>
        <w:t>Citria</w:t>
      </w:r>
      <w:proofErr w:type="spellEnd"/>
      <w:r w:rsidRPr="0000257A">
        <w:rPr>
          <w:rFonts w:ascii="Arial" w:hAnsi="Arial" w:cs="Arial"/>
          <w:color w:val="0E101A"/>
          <w:sz w:val="20"/>
          <w:szCs w:val="20"/>
        </w:rPr>
        <w:t xml:space="preserve"> et al., 2018).</w:t>
      </w:r>
    </w:p>
    <w:p w14:paraId="51F29399" w14:textId="7777777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The survival results showed that the control treatment had the lowest survival rate at 60.5% due to high mortality, which was influenced by the lack of feed, leading to cannibalism among the shrimps. Low survival due to competition for food can trigger cannibalism in shrimps (</w:t>
      </w:r>
      <w:proofErr w:type="spellStart"/>
      <w:r w:rsidRPr="0000257A">
        <w:rPr>
          <w:rFonts w:ascii="Arial" w:hAnsi="Arial" w:cs="Arial"/>
          <w:color w:val="0E101A"/>
          <w:sz w:val="20"/>
          <w:szCs w:val="20"/>
        </w:rPr>
        <w:t>Afriyadi</w:t>
      </w:r>
      <w:proofErr w:type="spellEnd"/>
      <w:r w:rsidRPr="0000257A">
        <w:rPr>
          <w:rFonts w:ascii="Arial" w:hAnsi="Arial" w:cs="Arial"/>
          <w:color w:val="0E101A"/>
          <w:sz w:val="20"/>
          <w:szCs w:val="20"/>
        </w:rPr>
        <w:t xml:space="preserve"> et al., 2020). This study showed that the survival rate of shrimp treated with the </w:t>
      </w:r>
      <w:proofErr w:type="spellStart"/>
      <w:r w:rsidRPr="0000257A">
        <w:rPr>
          <w:rFonts w:ascii="Arial" w:hAnsi="Arial" w:cs="Arial"/>
          <w:color w:val="0E101A"/>
          <w:sz w:val="20"/>
          <w:szCs w:val="20"/>
        </w:rPr>
        <w:t>biofloc</w:t>
      </w:r>
      <w:proofErr w:type="spellEnd"/>
      <w:r w:rsidRPr="0000257A">
        <w:rPr>
          <w:rFonts w:ascii="Arial" w:hAnsi="Arial" w:cs="Arial"/>
          <w:color w:val="0E101A"/>
          <w:sz w:val="20"/>
          <w:szCs w:val="20"/>
        </w:rPr>
        <w:t xml:space="preserve"> system was higher than that of the control, which is thought to be because shrimp treated with </w:t>
      </w:r>
      <w:proofErr w:type="spellStart"/>
      <w:r w:rsidRPr="0000257A">
        <w:rPr>
          <w:rFonts w:ascii="Arial" w:hAnsi="Arial" w:cs="Arial"/>
          <w:color w:val="0E101A"/>
          <w:sz w:val="20"/>
          <w:szCs w:val="20"/>
        </w:rPr>
        <w:t>biofloc</w:t>
      </w:r>
      <w:proofErr w:type="spellEnd"/>
      <w:r w:rsidRPr="0000257A">
        <w:rPr>
          <w:rFonts w:ascii="Arial" w:hAnsi="Arial" w:cs="Arial"/>
          <w:color w:val="0E101A"/>
          <w:sz w:val="20"/>
          <w:szCs w:val="20"/>
        </w:rPr>
        <w:t xml:space="preserve"> were in healthier conditions and had a more </w:t>
      </w:r>
      <w:proofErr w:type="spellStart"/>
      <w:r w:rsidRPr="0000257A">
        <w:rPr>
          <w:rFonts w:ascii="Arial" w:hAnsi="Arial" w:cs="Arial"/>
          <w:color w:val="0E101A"/>
          <w:sz w:val="20"/>
          <w:szCs w:val="20"/>
        </w:rPr>
        <w:t>favorable</w:t>
      </w:r>
      <w:proofErr w:type="spellEnd"/>
      <w:r w:rsidRPr="0000257A">
        <w:rPr>
          <w:rFonts w:ascii="Arial" w:hAnsi="Arial" w:cs="Arial"/>
          <w:color w:val="0E101A"/>
          <w:sz w:val="20"/>
          <w:szCs w:val="20"/>
        </w:rPr>
        <w:t xml:space="preserve"> impact on survival than those in the control pond.</w:t>
      </w:r>
    </w:p>
    <w:p w14:paraId="621541E7" w14:textId="7777777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Based on the results of the 95% analysis of variance, each treatment had a significant effect (P&lt;0.05) on the survival of the </w:t>
      </w:r>
      <w:proofErr w:type="spellStart"/>
      <w:r w:rsidRPr="0000257A">
        <w:rPr>
          <w:rFonts w:ascii="Arial" w:hAnsi="Arial" w:cs="Arial"/>
          <w:color w:val="0E101A"/>
          <w:sz w:val="20"/>
          <w:szCs w:val="20"/>
        </w:rPr>
        <w:t>vanname</w:t>
      </w:r>
      <w:proofErr w:type="spellEnd"/>
      <w:r w:rsidRPr="0000257A">
        <w:rPr>
          <w:rFonts w:ascii="Arial" w:hAnsi="Arial" w:cs="Arial"/>
          <w:color w:val="0E101A"/>
          <w:sz w:val="20"/>
          <w:szCs w:val="20"/>
        </w:rPr>
        <w:t xml:space="preserve"> shrimp (</w:t>
      </w:r>
      <w:proofErr w:type="spellStart"/>
      <w:r w:rsidRPr="0000257A">
        <w:rPr>
          <w:rFonts w:ascii="Arial" w:hAnsi="Arial" w:cs="Arial"/>
          <w:color w:val="0E101A"/>
          <w:sz w:val="20"/>
          <w:szCs w:val="20"/>
        </w:rPr>
        <w:t>Litopenaeus</w:t>
      </w:r>
      <w:proofErr w:type="spellEnd"/>
      <w:r w:rsidRPr="0000257A">
        <w:rPr>
          <w:rFonts w:ascii="Arial" w:hAnsi="Arial" w:cs="Arial"/>
          <w:color w:val="0E101A"/>
          <w:sz w:val="20"/>
          <w:szCs w:val="20"/>
        </w:rPr>
        <w:t xml:space="preserve">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xml:space="preserve">). An LSD test was then conducted, showing that treatment B differed significantly (P&lt;0.05) from treatments A and C, and treatment A differed significantly (P&lt;0.05) from treatment C. Treatment B, which used Yakult probiotic material and a fermentation period of 7 days, showed high results because it did not interfere with the physiological processes and </w:t>
      </w:r>
      <w:proofErr w:type="spellStart"/>
      <w:r w:rsidRPr="0000257A">
        <w:rPr>
          <w:rFonts w:ascii="Arial" w:hAnsi="Arial" w:cs="Arial"/>
          <w:color w:val="0E101A"/>
          <w:sz w:val="20"/>
          <w:szCs w:val="20"/>
        </w:rPr>
        <w:t>behavior</w:t>
      </w:r>
      <w:proofErr w:type="spellEnd"/>
      <w:r w:rsidRPr="0000257A">
        <w:rPr>
          <w:rFonts w:ascii="Arial" w:hAnsi="Arial" w:cs="Arial"/>
          <w:color w:val="0E101A"/>
          <w:sz w:val="20"/>
          <w:szCs w:val="20"/>
        </w:rPr>
        <w:t xml:space="preserve"> of </w:t>
      </w:r>
      <w:proofErr w:type="spellStart"/>
      <w:r w:rsidRPr="0000257A">
        <w:rPr>
          <w:rFonts w:ascii="Arial" w:hAnsi="Arial" w:cs="Arial"/>
          <w:color w:val="0E101A"/>
          <w:sz w:val="20"/>
          <w:szCs w:val="20"/>
        </w:rPr>
        <w:t>vanamei</w:t>
      </w:r>
      <w:proofErr w:type="spellEnd"/>
      <w:r w:rsidRPr="0000257A">
        <w:rPr>
          <w:rFonts w:ascii="Arial" w:hAnsi="Arial" w:cs="Arial"/>
          <w:color w:val="0E101A"/>
          <w:sz w:val="20"/>
          <w:szCs w:val="20"/>
        </w:rPr>
        <w:t xml:space="preserve"> shrimp (</w:t>
      </w:r>
      <w:proofErr w:type="spellStart"/>
      <w:r w:rsidRPr="0000257A">
        <w:rPr>
          <w:rFonts w:ascii="Arial" w:hAnsi="Arial" w:cs="Arial"/>
          <w:color w:val="0E101A"/>
          <w:sz w:val="20"/>
          <w:szCs w:val="20"/>
        </w:rPr>
        <w:t>Litopenaeus</w:t>
      </w:r>
      <w:proofErr w:type="spellEnd"/>
      <w:r w:rsidRPr="0000257A">
        <w:rPr>
          <w:rFonts w:ascii="Arial" w:hAnsi="Arial" w:cs="Arial"/>
          <w:color w:val="0E101A"/>
          <w:sz w:val="20"/>
          <w:szCs w:val="20"/>
        </w:rPr>
        <w:t xml:space="preserve">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resulting in lower mortality rates.</w:t>
      </w:r>
    </w:p>
    <w:p w14:paraId="648E1548" w14:textId="77777777" w:rsidR="003A5832" w:rsidRPr="0000257A" w:rsidRDefault="003A5832" w:rsidP="003A5832">
      <w:pPr>
        <w:spacing w:before="120"/>
        <w:jc w:val="both"/>
        <w:rPr>
          <w:rFonts w:ascii="Arial" w:hAnsi="Arial" w:cs="Arial"/>
        </w:rPr>
      </w:pPr>
    </w:p>
    <w:p w14:paraId="5F6906DD" w14:textId="77777777" w:rsidR="003A5832" w:rsidRDefault="003A5832" w:rsidP="001177DE">
      <w:pPr>
        <w:pStyle w:val="Body"/>
        <w:rPr>
          <w:rFonts w:ascii="Arial" w:hAnsi="Arial" w:cs="Arial"/>
          <w:lang w:val="en-ID"/>
        </w:rPr>
      </w:pPr>
    </w:p>
    <w:p w14:paraId="49887680" w14:textId="77777777" w:rsidR="00F65EFC" w:rsidRDefault="00F65EFC" w:rsidP="001177DE">
      <w:pPr>
        <w:pStyle w:val="Body"/>
        <w:rPr>
          <w:rFonts w:ascii="Arial" w:hAnsi="Arial" w:cs="Arial"/>
          <w:lang w:val="en-ID"/>
        </w:rPr>
      </w:pPr>
    </w:p>
    <w:p w14:paraId="3C99C47E" w14:textId="77777777" w:rsidR="00F65EFC" w:rsidRPr="001177DE" w:rsidRDefault="00F65EFC" w:rsidP="001177DE">
      <w:pPr>
        <w:pStyle w:val="Body"/>
        <w:rPr>
          <w:rFonts w:ascii="Arial" w:hAnsi="Arial" w:cs="Arial"/>
          <w:lang w:val="en-ID"/>
        </w:rPr>
      </w:pPr>
    </w:p>
    <w:p w14:paraId="3E6D3C5D" w14:textId="7BE5E118" w:rsidR="00FA6D54" w:rsidRDefault="000D7184" w:rsidP="000D7184">
      <w:pPr>
        <w:pStyle w:val="Body"/>
        <w:spacing w:after="0"/>
        <w:rPr>
          <w:rFonts w:ascii="Arial" w:hAnsi="Arial" w:cs="Arial"/>
          <w:b/>
          <w:bCs/>
          <w:sz w:val="22"/>
          <w:szCs w:val="22"/>
          <w:lang w:val="en-ID"/>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FA6D54" w:rsidRPr="00FA6D54">
        <w:rPr>
          <w:rFonts w:ascii="Arial" w:hAnsi="Arial" w:cs="Arial"/>
          <w:b/>
          <w:bCs/>
          <w:sz w:val="22"/>
          <w:szCs w:val="22"/>
          <w:lang w:val="en-ID"/>
        </w:rPr>
        <w:t>Feed Conversion Ratio</w:t>
      </w:r>
    </w:p>
    <w:p w14:paraId="3CF95133" w14:textId="77777777" w:rsidR="001177DE" w:rsidRDefault="001177DE" w:rsidP="000D7184">
      <w:pPr>
        <w:pStyle w:val="Body"/>
        <w:spacing w:after="0"/>
        <w:rPr>
          <w:rFonts w:ascii="Arial" w:hAnsi="Arial" w:cs="Arial"/>
          <w:b/>
          <w:bCs/>
          <w:sz w:val="22"/>
          <w:szCs w:val="22"/>
          <w:lang w:val="en-ID"/>
        </w:rPr>
      </w:pPr>
    </w:p>
    <w:p w14:paraId="38DF2054" w14:textId="77777777" w:rsidR="00FA6D54" w:rsidRPr="00E65470" w:rsidRDefault="00FA6D54" w:rsidP="00FA6D54">
      <w:pPr>
        <w:pStyle w:val="Body"/>
        <w:spacing w:after="0"/>
        <w:rPr>
          <w:rFonts w:ascii="Arial" w:hAnsi="Arial" w:cs="Arial"/>
          <w:lang w:val="en-ID"/>
        </w:rPr>
      </w:pPr>
      <w:r w:rsidRPr="00E65470">
        <w:rPr>
          <w:rFonts w:ascii="Arial" w:hAnsi="Arial" w:cs="Arial"/>
          <w:lang w:val="en-ID"/>
        </w:rPr>
        <w:t>Feed conversion ratio (FCR) is the ratio of the total amount of feed given to the weight gain of shrimp during maintenance. The observation results obtained during the study started from the smallest feed conversion ratio value of B (1.99 g), followed by treatment A (2.06 g), and C (3.26 g). The value of feed conversion ratio can be seen in Figure 3.</w:t>
      </w:r>
    </w:p>
    <w:p w14:paraId="226B5F98" w14:textId="462A9024" w:rsidR="00FA6D54" w:rsidRDefault="00FA6D54" w:rsidP="00FA6D54">
      <w:pPr>
        <w:pStyle w:val="Body"/>
        <w:spacing w:after="0"/>
        <w:jc w:val="center"/>
        <w:rPr>
          <w:rFonts w:ascii="Arial" w:hAnsi="Arial" w:cs="Arial"/>
          <w:sz w:val="22"/>
          <w:szCs w:val="22"/>
        </w:rPr>
      </w:pPr>
      <w:r>
        <w:rPr>
          <w:noProof/>
        </w:rPr>
        <w:drawing>
          <wp:inline distT="0" distB="0" distL="0" distR="0" wp14:anchorId="69E881A7" wp14:editId="139F4FC5">
            <wp:extent cx="3189600" cy="2318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F296F1" w14:textId="40AD6E95" w:rsidR="00FA6D54" w:rsidRPr="00FA6D54" w:rsidRDefault="00FA6D54" w:rsidP="00FA6D54">
      <w:pPr>
        <w:pStyle w:val="Body"/>
        <w:spacing w:after="0"/>
        <w:jc w:val="center"/>
        <w:rPr>
          <w:rFonts w:ascii="Arial" w:hAnsi="Arial" w:cs="Arial"/>
        </w:rPr>
      </w:pPr>
      <w:r w:rsidRPr="00FA6D54">
        <w:rPr>
          <w:rFonts w:ascii="Arial" w:hAnsi="Arial" w:cs="Arial"/>
        </w:rPr>
        <w:t xml:space="preserve">Figure </w:t>
      </w:r>
      <w:r w:rsidR="00E65470">
        <w:rPr>
          <w:rFonts w:ascii="Arial" w:hAnsi="Arial" w:cs="Arial"/>
        </w:rPr>
        <w:t>3</w:t>
      </w:r>
      <w:r w:rsidRPr="00FA6D54">
        <w:rPr>
          <w:rFonts w:ascii="Arial" w:hAnsi="Arial" w:cs="Arial"/>
        </w:rPr>
        <w:t>. Feed Conversion Ratio</w:t>
      </w:r>
    </w:p>
    <w:p w14:paraId="75CE1C08" w14:textId="77777777" w:rsidR="00FA6D54" w:rsidRDefault="00FA6D54" w:rsidP="00FA6D54">
      <w:pPr>
        <w:pStyle w:val="Body"/>
        <w:spacing w:after="0"/>
        <w:rPr>
          <w:rFonts w:ascii="Arial" w:hAnsi="Arial" w:cs="Arial"/>
          <w:lang w:val="en-ID"/>
        </w:rPr>
      </w:pPr>
    </w:p>
    <w:p w14:paraId="01A1E63B" w14:textId="22DF9118" w:rsidR="00FA6D54" w:rsidRDefault="00FA6D54" w:rsidP="00FA6D54">
      <w:pPr>
        <w:pStyle w:val="Body"/>
        <w:spacing w:after="0"/>
        <w:rPr>
          <w:rFonts w:ascii="Arial" w:hAnsi="Arial" w:cs="Arial"/>
          <w:lang w:val="en-ID"/>
        </w:rPr>
      </w:pPr>
      <w:r w:rsidRPr="00FA6D54">
        <w:rPr>
          <w:rFonts w:ascii="Arial" w:hAnsi="Arial" w:cs="Arial"/>
          <w:lang w:val="en-ID"/>
        </w:rPr>
        <w:t>Based on Figure 3 shows that the value of feed conversion ratio in this study is different in each treatment. In treatment B has the lowest FCR value so that to produce 1 g of shrimp meat requires 1.99 g, while treatment A with an increase in shrimp weight of 1 g required 2.06 g and treatment C with the highest FCR value requires 3.26 g of feed to produce 1 g shrimp weight. The value of feed conversion ratio in treatments A and B proves that the rate of growth and survival is high.</w:t>
      </w:r>
    </w:p>
    <w:p w14:paraId="3B51C152" w14:textId="77777777" w:rsidR="00FA6D54" w:rsidRPr="00FA6D54" w:rsidRDefault="00FA6D54" w:rsidP="00FA6D54">
      <w:pPr>
        <w:pStyle w:val="Body"/>
        <w:spacing w:after="0"/>
        <w:rPr>
          <w:rFonts w:ascii="Arial" w:hAnsi="Arial" w:cs="Arial"/>
          <w:lang w:val="en-ID"/>
        </w:rPr>
      </w:pPr>
    </w:p>
    <w:p w14:paraId="7D623D4F" w14:textId="3CD6F629" w:rsidR="001177DE" w:rsidRDefault="00FA6D54" w:rsidP="00FA6D54">
      <w:pPr>
        <w:pStyle w:val="Body"/>
        <w:spacing w:after="0"/>
        <w:rPr>
          <w:rFonts w:ascii="Arial" w:hAnsi="Arial" w:cs="Arial"/>
          <w:lang w:val="en-ID"/>
        </w:rPr>
      </w:pPr>
      <w:r w:rsidRPr="00FA6D54">
        <w:rPr>
          <w:rFonts w:ascii="Arial" w:hAnsi="Arial" w:cs="Arial"/>
          <w:lang w:val="en-ID"/>
        </w:rPr>
        <w:t xml:space="preserve">Based on the results of the feed conversion ratio value, the fermentation time of 3 days (A) is lower than the fermentation time of 7 days (B), this is a reference that the longer the fermentation, the better it is to use so that at the stage before stocking the same time is added for both treatments, namely 7 days. In accordance with research </w:t>
      </w:r>
      <w:proofErr w:type="spellStart"/>
      <w:r w:rsidRPr="00FA6D54">
        <w:rPr>
          <w:rFonts w:ascii="Arial" w:hAnsi="Arial" w:cs="Arial"/>
          <w:lang w:val="en-ID"/>
        </w:rPr>
        <w:t>Adipu</w:t>
      </w:r>
      <w:proofErr w:type="spellEnd"/>
      <w:r w:rsidRPr="00FA6D54">
        <w:rPr>
          <w:rFonts w:ascii="Arial" w:hAnsi="Arial" w:cs="Arial"/>
          <w:lang w:val="en-ID"/>
        </w:rPr>
        <w:t>, (2019) that fermentation for 7 days with the addition of probiotic ingredients can produce an aroma that is not pungent or in neutral conditions so it is good to use before stocking shrimp, while the length of fermentation for 3 days produces a foul-smelling aroma because the process of microbial decomposition of protein and other nitrogenous components has not been maximized.</w:t>
      </w:r>
    </w:p>
    <w:p w14:paraId="1F7CE2A4" w14:textId="150F5F8F" w:rsidR="001177DE" w:rsidRDefault="001177DE" w:rsidP="00FA6D54">
      <w:pPr>
        <w:pStyle w:val="Body"/>
        <w:spacing w:after="0"/>
        <w:rPr>
          <w:rFonts w:ascii="Arial" w:hAnsi="Arial" w:cs="Arial"/>
          <w:lang w:val="en-ID"/>
        </w:rPr>
      </w:pPr>
    </w:p>
    <w:p w14:paraId="09D1AA59" w14:textId="7FB5FF15" w:rsidR="001177DE" w:rsidRDefault="001177DE" w:rsidP="00FA6D54">
      <w:pPr>
        <w:pStyle w:val="Body"/>
        <w:spacing w:after="0"/>
        <w:rPr>
          <w:rFonts w:ascii="Arial" w:hAnsi="Arial" w:cs="Arial"/>
          <w:lang w:val="en-ID"/>
        </w:rPr>
      </w:pPr>
      <w:r w:rsidRPr="001177DE">
        <w:rPr>
          <w:rFonts w:ascii="Arial" w:hAnsi="Arial" w:cs="Arial"/>
          <w:lang w:val="en-ID"/>
        </w:rPr>
        <w:t xml:space="preserve">Based on the results of the 95% analysis variance test, each treatment had a significant effect (P&lt;0.05) on the feed conversion ratio of </w:t>
      </w:r>
      <w:proofErr w:type="spellStart"/>
      <w:r w:rsidRPr="001177DE">
        <w:rPr>
          <w:rFonts w:ascii="Arial" w:hAnsi="Arial" w:cs="Arial"/>
          <w:lang w:val="en-ID"/>
        </w:rPr>
        <w:t>vaname</w:t>
      </w:r>
      <w:proofErr w:type="spellEnd"/>
      <w:r w:rsidRPr="001177DE">
        <w:rPr>
          <w:rFonts w:ascii="Arial" w:hAnsi="Arial" w:cs="Arial"/>
          <w:lang w:val="en-ID"/>
        </w:rPr>
        <w:t xml:space="preserve"> shrimp (</w:t>
      </w:r>
      <w:proofErr w:type="spellStart"/>
      <w:r w:rsidRPr="001177DE">
        <w:rPr>
          <w:rFonts w:ascii="Arial" w:hAnsi="Arial" w:cs="Arial"/>
          <w:lang w:val="en-ID"/>
        </w:rPr>
        <w:t>Litopenaeus</w:t>
      </w:r>
      <w:proofErr w:type="spellEnd"/>
      <w:r w:rsidRPr="001177DE">
        <w:rPr>
          <w:rFonts w:ascii="Arial" w:hAnsi="Arial" w:cs="Arial"/>
          <w:lang w:val="en-ID"/>
        </w:rPr>
        <w:t xml:space="preserve"> </w:t>
      </w:r>
      <w:proofErr w:type="spellStart"/>
      <w:r w:rsidRPr="001177DE">
        <w:rPr>
          <w:rFonts w:ascii="Arial" w:hAnsi="Arial" w:cs="Arial"/>
          <w:lang w:val="en-ID"/>
        </w:rPr>
        <w:t>vannamei</w:t>
      </w:r>
      <w:proofErr w:type="spellEnd"/>
      <w:r w:rsidRPr="001177DE">
        <w:rPr>
          <w:rFonts w:ascii="Arial" w:hAnsi="Arial" w:cs="Arial"/>
          <w:lang w:val="en-ID"/>
        </w:rPr>
        <w:t>). A</w:t>
      </w:r>
      <w:r w:rsidR="00E6011D">
        <w:rPr>
          <w:rFonts w:ascii="Arial" w:hAnsi="Arial" w:cs="Arial"/>
          <w:lang w:val="en-ID"/>
        </w:rPr>
        <w:t xml:space="preserve"> LSD</w:t>
      </w:r>
      <w:r w:rsidRPr="001177DE">
        <w:rPr>
          <w:rFonts w:ascii="Arial" w:hAnsi="Arial" w:cs="Arial"/>
          <w:lang w:val="en-ID"/>
        </w:rPr>
        <w:t xml:space="preserve"> test was conducted, showing that treatment B differed significantly (P&lt;0.05) from treatments A and C, and treatment A differed significantly (P&lt;0.05) from treatment C. The lower the FCR, the less feed is required, resulting in more efficient feed utilization and reduced feed costs.</w:t>
      </w:r>
    </w:p>
    <w:p w14:paraId="5D823319" w14:textId="77777777" w:rsidR="00FA6D54" w:rsidRPr="00FA6D54" w:rsidRDefault="00FA6D54" w:rsidP="00FA6D54">
      <w:pPr>
        <w:pStyle w:val="Body"/>
        <w:spacing w:after="0"/>
        <w:rPr>
          <w:rFonts w:ascii="Arial" w:hAnsi="Arial" w:cs="Arial"/>
        </w:rPr>
      </w:pPr>
    </w:p>
    <w:p w14:paraId="3CB6DEE2" w14:textId="44BCFB09" w:rsidR="000D7184"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FA6D54" w:rsidRPr="00FA6D54">
        <w:rPr>
          <w:rFonts w:ascii="Arial" w:hAnsi="Arial" w:cs="Arial"/>
          <w:b/>
          <w:bCs/>
          <w:sz w:val="22"/>
          <w:lang w:val="en-ID"/>
        </w:rPr>
        <w:t>Feed Efficiency</w:t>
      </w:r>
    </w:p>
    <w:p w14:paraId="7692316A" w14:textId="77777777" w:rsidR="00FA6D54" w:rsidRDefault="00FA6D54" w:rsidP="000D7184">
      <w:pPr>
        <w:pStyle w:val="Body"/>
        <w:spacing w:after="0"/>
        <w:rPr>
          <w:rFonts w:ascii="Arial" w:hAnsi="Arial" w:cs="Arial"/>
          <w:b/>
          <w:bCs/>
          <w:sz w:val="22"/>
          <w:lang w:val="en-ID"/>
        </w:rPr>
      </w:pPr>
    </w:p>
    <w:p w14:paraId="2D7DA5F4" w14:textId="57746F36" w:rsidR="00FA6D54" w:rsidRDefault="00FA6D54" w:rsidP="000D7184">
      <w:pPr>
        <w:pStyle w:val="Body"/>
        <w:spacing w:after="0"/>
        <w:rPr>
          <w:rFonts w:ascii="Arial" w:hAnsi="Arial" w:cs="Arial"/>
          <w:lang w:val="en-ID"/>
        </w:rPr>
      </w:pPr>
      <w:r w:rsidRPr="00FA6D54">
        <w:rPr>
          <w:rFonts w:ascii="Arial" w:hAnsi="Arial" w:cs="Arial"/>
          <w:lang w:val="en-ID"/>
        </w:rPr>
        <w:t xml:space="preserve">Feed efficiency is the amount of feed consumed by </w:t>
      </w:r>
      <w:proofErr w:type="spellStart"/>
      <w:r w:rsidRPr="00FA6D54">
        <w:rPr>
          <w:rFonts w:ascii="Arial" w:hAnsi="Arial" w:cs="Arial"/>
          <w:lang w:val="en-ID"/>
        </w:rPr>
        <w:t>vanname</w:t>
      </w:r>
      <w:proofErr w:type="spellEnd"/>
      <w:r w:rsidRPr="00FA6D5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FA6D54">
        <w:rPr>
          <w:rFonts w:ascii="Arial" w:hAnsi="Arial" w:cs="Arial"/>
          <w:lang w:val="en-ID"/>
        </w:rPr>
        <w:t>) during maintenance. Growth rate is related to feed efficiency because the higher the growth rate, the greater the shrimp body weight so that the better the feed efficiency value. The results obtained that the value of feed efficiency can be seen in Figure 4. The highest feed efficiency value was obtained by treatme</w:t>
      </w:r>
      <w:bookmarkStart w:id="1" w:name="_GoBack"/>
      <w:bookmarkEnd w:id="1"/>
      <w:r w:rsidRPr="00FA6D54">
        <w:rPr>
          <w:rFonts w:ascii="Arial" w:hAnsi="Arial" w:cs="Arial"/>
          <w:lang w:val="en-ID"/>
        </w:rPr>
        <w:t xml:space="preserve">nt with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w:t>
      </w:r>
      <w:r w:rsidRPr="00FA6D54">
        <w:rPr>
          <w:rFonts w:ascii="Arial" w:hAnsi="Arial" w:cs="Arial"/>
          <w:lang w:val="en-ID"/>
        </w:rPr>
        <w:lastRenderedPageBreak/>
        <w:t xml:space="preserve">duration of 7 days (B). While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duration of 3 days (A) get lower feed efficiency value and control treatment without the presence of </w:t>
      </w:r>
      <w:proofErr w:type="spellStart"/>
      <w:r w:rsidRPr="00FA6D54">
        <w:rPr>
          <w:rFonts w:ascii="Arial" w:hAnsi="Arial" w:cs="Arial"/>
          <w:lang w:val="en-ID"/>
        </w:rPr>
        <w:t>biofloc</w:t>
      </w:r>
      <w:proofErr w:type="spellEnd"/>
      <w:r w:rsidRPr="00FA6D54">
        <w:rPr>
          <w:rFonts w:ascii="Arial" w:hAnsi="Arial" w:cs="Arial"/>
          <w:lang w:val="en-ID"/>
        </w:rPr>
        <w:t xml:space="preserve"> has the lowest value.</w:t>
      </w:r>
    </w:p>
    <w:p w14:paraId="34BE88B9" w14:textId="77777777" w:rsidR="00FA6D54" w:rsidRDefault="00FA6D54" w:rsidP="000D7184">
      <w:pPr>
        <w:pStyle w:val="Body"/>
        <w:spacing w:after="0"/>
        <w:rPr>
          <w:rFonts w:ascii="Arial" w:hAnsi="Arial" w:cs="Arial"/>
          <w:lang w:val="en-ID"/>
        </w:rPr>
      </w:pPr>
    </w:p>
    <w:p w14:paraId="5946DB3C" w14:textId="4BA1F2D0" w:rsidR="00FA6D54" w:rsidRDefault="00E65470" w:rsidP="00E65470">
      <w:pPr>
        <w:pStyle w:val="Body"/>
        <w:spacing w:after="0"/>
        <w:jc w:val="center"/>
        <w:rPr>
          <w:rFonts w:ascii="Arial" w:hAnsi="Arial" w:cs="Arial"/>
        </w:rPr>
      </w:pPr>
      <w:r>
        <w:rPr>
          <w:noProof/>
        </w:rPr>
        <w:drawing>
          <wp:inline distT="0" distB="0" distL="0" distR="0" wp14:anchorId="1EECF09A" wp14:editId="21DE8C6B">
            <wp:extent cx="3189600" cy="2318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3644D7" w14:textId="0050E1B2" w:rsidR="00E65470" w:rsidRDefault="00E65470" w:rsidP="00E65470">
      <w:pPr>
        <w:pStyle w:val="Body"/>
        <w:spacing w:after="0"/>
        <w:jc w:val="center"/>
        <w:rPr>
          <w:rFonts w:ascii="Arial" w:hAnsi="Arial" w:cs="Arial"/>
        </w:rPr>
      </w:pPr>
      <w:r>
        <w:rPr>
          <w:rFonts w:ascii="Arial" w:hAnsi="Arial" w:cs="Arial"/>
        </w:rPr>
        <w:t>Figure 4. Feed Efficiency</w:t>
      </w:r>
    </w:p>
    <w:p w14:paraId="4C146812" w14:textId="77777777" w:rsidR="00E65470" w:rsidRDefault="00E65470" w:rsidP="00E65470">
      <w:pPr>
        <w:pStyle w:val="Body"/>
        <w:spacing w:after="0"/>
        <w:rPr>
          <w:rFonts w:ascii="Arial" w:hAnsi="Arial" w:cs="Arial"/>
        </w:rPr>
      </w:pPr>
    </w:p>
    <w:p w14:paraId="04840834"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The level of feed efficiency increases with the formation of flocs produced from different types of probiotic ingredients. Treatments A and B have a high feed efficiency value, it is thought that the utilization of feed and the role of probiotic ingredients </w:t>
      </w:r>
      <w:proofErr w:type="spellStart"/>
      <w:r w:rsidRPr="00E65470">
        <w:rPr>
          <w:rFonts w:ascii="Arial" w:hAnsi="Arial" w:cs="Arial"/>
          <w:lang w:val="en-ID"/>
        </w:rPr>
        <w:t>yakult</w:t>
      </w:r>
      <w:proofErr w:type="spellEnd"/>
      <w:r w:rsidRPr="00E65470">
        <w:rPr>
          <w:rFonts w:ascii="Arial" w:hAnsi="Arial" w:cs="Arial"/>
          <w:lang w:val="en-ID"/>
        </w:rPr>
        <w:t xml:space="preserve"> more efficient because it has a high floc density of 26-35 mg / l so that the natural feed obtained effect for the improvement of shrimp metabolism.</w:t>
      </w:r>
    </w:p>
    <w:p w14:paraId="46085744" w14:textId="77777777" w:rsidR="00E65470" w:rsidRPr="00E65470" w:rsidRDefault="00E65470" w:rsidP="00E65470">
      <w:pPr>
        <w:pStyle w:val="Body"/>
        <w:spacing w:after="0"/>
        <w:rPr>
          <w:rFonts w:ascii="Arial" w:hAnsi="Arial" w:cs="Arial"/>
          <w:lang w:val="en-ID"/>
        </w:rPr>
      </w:pPr>
    </w:p>
    <w:p w14:paraId="583B744D" w14:textId="77777777" w:rsidR="00E65470" w:rsidRDefault="00E65470" w:rsidP="00E65470">
      <w:pPr>
        <w:pStyle w:val="Body"/>
        <w:spacing w:after="0"/>
        <w:rPr>
          <w:rFonts w:ascii="Arial" w:hAnsi="Arial" w:cs="Arial"/>
          <w:lang w:val="en-ID"/>
        </w:rPr>
      </w:pPr>
      <w:r w:rsidRPr="00E65470">
        <w:rPr>
          <w:rFonts w:ascii="Arial" w:hAnsi="Arial" w:cs="Arial"/>
          <w:lang w:val="en-ID"/>
        </w:rPr>
        <w:t>Shrimp can utilize the abundance of floc as a nutritious natural feed so as to increase feed efficiency and reduce cultivation waste (</w:t>
      </w:r>
      <w:proofErr w:type="spellStart"/>
      <w:r w:rsidRPr="00E65470">
        <w:rPr>
          <w:rFonts w:ascii="Arial" w:hAnsi="Arial" w:cs="Arial"/>
          <w:lang w:val="en-ID"/>
        </w:rPr>
        <w:t>feces</w:t>
      </w:r>
      <w:proofErr w:type="spellEnd"/>
      <w:r w:rsidRPr="00E65470">
        <w:rPr>
          <w:rFonts w:ascii="Arial" w:hAnsi="Arial" w:cs="Arial"/>
          <w:lang w:val="en-ID"/>
        </w:rPr>
        <w:t xml:space="preserve"> or feed residue). LAB's ability to increase the nutritional value and physical properties of food by mixing several microorganisms can produce a unique taste (</w:t>
      </w:r>
      <w:proofErr w:type="spellStart"/>
      <w:r w:rsidRPr="00E65470">
        <w:rPr>
          <w:rFonts w:ascii="Arial" w:hAnsi="Arial" w:cs="Arial"/>
          <w:lang w:val="en-ID"/>
        </w:rPr>
        <w:t>Aditiashalihah</w:t>
      </w:r>
      <w:proofErr w:type="spellEnd"/>
      <w:r w:rsidRPr="00E65470">
        <w:rPr>
          <w:rFonts w:ascii="Arial" w:hAnsi="Arial" w:cs="Arial"/>
          <w:lang w:val="en-ID"/>
        </w:rPr>
        <w:t>, 2019).</w:t>
      </w:r>
    </w:p>
    <w:p w14:paraId="123F2175" w14:textId="77777777" w:rsidR="00E65470" w:rsidRPr="00E65470" w:rsidRDefault="00E65470" w:rsidP="00E65470">
      <w:pPr>
        <w:pStyle w:val="Body"/>
        <w:spacing w:after="0"/>
        <w:rPr>
          <w:rFonts w:ascii="Arial" w:hAnsi="Arial" w:cs="Arial"/>
          <w:lang w:val="en-ID"/>
        </w:rPr>
      </w:pPr>
    </w:p>
    <w:p w14:paraId="7BE99DC3" w14:textId="57C4C23C" w:rsidR="00E65470" w:rsidRDefault="00E65470" w:rsidP="00E65470">
      <w:pPr>
        <w:pStyle w:val="Body"/>
        <w:spacing w:after="0"/>
        <w:rPr>
          <w:rFonts w:ascii="Arial" w:hAnsi="Arial" w:cs="Arial"/>
          <w:lang w:val="en-ID"/>
        </w:rPr>
      </w:pPr>
      <w:r w:rsidRPr="00E65470">
        <w:rPr>
          <w:rFonts w:ascii="Arial" w:hAnsi="Arial" w:cs="Arial"/>
          <w:lang w:val="en-ID"/>
        </w:rPr>
        <w:t xml:space="preserve">Treatment K gets the lowest feed efficiency value of 30%, proving that the treatment with the use of </w:t>
      </w:r>
      <w:proofErr w:type="spellStart"/>
      <w:r w:rsidRPr="00E65470">
        <w:rPr>
          <w:rFonts w:ascii="Arial" w:hAnsi="Arial" w:cs="Arial"/>
          <w:lang w:val="en-ID"/>
        </w:rPr>
        <w:t>biofloc</w:t>
      </w:r>
      <w:proofErr w:type="spellEnd"/>
      <w:r w:rsidRPr="00E65470">
        <w:rPr>
          <w:rFonts w:ascii="Arial" w:hAnsi="Arial" w:cs="Arial"/>
          <w:lang w:val="en-ID"/>
        </w:rPr>
        <w:t xml:space="preserve"> systems can make feed efficiency. The application of the </w:t>
      </w:r>
      <w:proofErr w:type="spellStart"/>
      <w:r w:rsidRPr="00E65470">
        <w:rPr>
          <w:rFonts w:ascii="Arial" w:hAnsi="Arial" w:cs="Arial"/>
          <w:lang w:val="en-ID"/>
        </w:rPr>
        <w:t>biofloc</w:t>
      </w:r>
      <w:proofErr w:type="spellEnd"/>
      <w:r w:rsidRPr="00E65470">
        <w:rPr>
          <w:rFonts w:ascii="Arial" w:hAnsi="Arial" w:cs="Arial"/>
          <w:lang w:val="en-ID"/>
        </w:rPr>
        <w:t xml:space="preserve"> system can have a slightly higher feed efficiency value due to an increase in </w:t>
      </w:r>
      <w:proofErr w:type="spellStart"/>
      <w:r w:rsidRPr="00E65470">
        <w:rPr>
          <w:rFonts w:ascii="Arial" w:hAnsi="Arial" w:cs="Arial"/>
          <w:lang w:val="en-ID"/>
        </w:rPr>
        <w:t>biofloc</w:t>
      </w:r>
      <w:proofErr w:type="spellEnd"/>
      <w:r w:rsidRPr="00E65470">
        <w:rPr>
          <w:rFonts w:ascii="Arial" w:hAnsi="Arial" w:cs="Arial"/>
          <w:lang w:val="en-ID"/>
        </w:rPr>
        <w:t xml:space="preserve"> biomass as a source of nutrition or additional food for shrimp (</w:t>
      </w:r>
      <w:proofErr w:type="spellStart"/>
      <w:r w:rsidRPr="00E65470">
        <w:rPr>
          <w:rFonts w:ascii="Arial" w:hAnsi="Arial" w:cs="Arial"/>
          <w:lang w:val="en-ID"/>
        </w:rPr>
        <w:t>Supono</w:t>
      </w:r>
      <w:proofErr w:type="spellEnd"/>
      <w:r w:rsidRPr="00E65470">
        <w:rPr>
          <w:rFonts w:ascii="Arial" w:hAnsi="Arial" w:cs="Arial"/>
          <w:lang w:val="en-ID"/>
        </w:rPr>
        <w:t xml:space="preserve"> et al., 2021).</w:t>
      </w:r>
    </w:p>
    <w:p w14:paraId="325C4C8B" w14:textId="19F14026" w:rsidR="00E6011D" w:rsidRDefault="00E6011D" w:rsidP="00E65470">
      <w:pPr>
        <w:pStyle w:val="Body"/>
        <w:spacing w:after="0"/>
        <w:rPr>
          <w:rFonts w:ascii="Arial" w:hAnsi="Arial" w:cs="Arial"/>
          <w:lang w:val="en-ID"/>
        </w:rPr>
      </w:pPr>
    </w:p>
    <w:p w14:paraId="5736A880" w14:textId="6C893450" w:rsidR="00E6011D" w:rsidRDefault="00E6011D" w:rsidP="00E65470">
      <w:pPr>
        <w:pStyle w:val="Body"/>
        <w:spacing w:after="0"/>
        <w:rPr>
          <w:rFonts w:ascii="Arial" w:hAnsi="Arial" w:cs="Arial"/>
          <w:lang w:val="en-ID"/>
        </w:rPr>
      </w:pPr>
      <w:r w:rsidRPr="00E6011D">
        <w:rPr>
          <w:rFonts w:ascii="Arial" w:hAnsi="Arial" w:cs="Arial"/>
          <w:lang w:val="en-ID"/>
        </w:rPr>
        <w:t xml:space="preserve">Based on the results of the 95% analysis variance test, each treatment had a significant effect (P&lt;0.05) on the feed efficiency of </w:t>
      </w:r>
      <w:proofErr w:type="spellStart"/>
      <w:r w:rsidRPr="00E6011D">
        <w:rPr>
          <w:rFonts w:ascii="Arial" w:hAnsi="Arial" w:cs="Arial"/>
          <w:lang w:val="en-ID"/>
        </w:rPr>
        <w:t>vaname</w:t>
      </w:r>
      <w:proofErr w:type="spellEnd"/>
      <w:r w:rsidRPr="00E6011D">
        <w:rPr>
          <w:rFonts w:ascii="Arial" w:hAnsi="Arial" w:cs="Arial"/>
          <w:lang w:val="en-ID"/>
        </w:rPr>
        <w:t xml:space="preserve"> shrimp (</w:t>
      </w:r>
      <w:proofErr w:type="spellStart"/>
      <w:r w:rsidRPr="00E6011D">
        <w:rPr>
          <w:rFonts w:ascii="Arial" w:hAnsi="Arial" w:cs="Arial"/>
          <w:lang w:val="en-ID"/>
        </w:rPr>
        <w:t>Litopenaeus</w:t>
      </w:r>
      <w:proofErr w:type="spellEnd"/>
      <w:r w:rsidRPr="00E6011D">
        <w:rPr>
          <w:rFonts w:ascii="Arial" w:hAnsi="Arial" w:cs="Arial"/>
          <w:lang w:val="en-ID"/>
        </w:rPr>
        <w:t xml:space="preserve"> </w:t>
      </w:r>
      <w:proofErr w:type="spellStart"/>
      <w:r w:rsidRPr="00E6011D">
        <w:rPr>
          <w:rFonts w:ascii="Arial" w:hAnsi="Arial" w:cs="Arial"/>
          <w:lang w:val="en-ID"/>
        </w:rPr>
        <w:t>vannamei</w:t>
      </w:r>
      <w:proofErr w:type="spellEnd"/>
      <w:r w:rsidRPr="00E6011D">
        <w:rPr>
          <w:rFonts w:ascii="Arial" w:hAnsi="Arial" w:cs="Arial"/>
          <w:lang w:val="en-ID"/>
        </w:rPr>
        <w:t xml:space="preserve">). Further analysis using the </w:t>
      </w:r>
      <w:r>
        <w:rPr>
          <w:rFonts w:ascii="Arial" w:hAnsi="Arial" w:cs="Arial"/>
          <w:lang w:val="en-ID"/>
        </w:rPr>
        <w:t>LSD</w:t>
      </w:r>
      <w:r w:rsidRPr="00E6011D">
        <w:rPr>
          <w:rFonts w:ascii="Arial" w:hAnsi="Arial" w:cs="Arial"/>
          <w:lang w:val="en-ID"/>
        </w:rPr>
        <w:t xml:space="preserve"> test revealed that treatment B differed significantly (P&lt;0.05) from treatments A and C, and treatment A differed significantly (P&lt;0.05) from treatment C. Higher feed efficiency results in more efficient absorption of the provided feed by the shrimp, thereby enhancing growth and survival rates.</w:t>
      </w:r>
    </w:p>
    <w:p w14:paraId="1BD49028" w14:textId="77777777" w:rsidR="00E65470" w:rsidRDefault="00E65470" w:rsidP="00E65470">
      <w:pPr>
        <w:pStyle w:val="Body"/>
        <w:spacing w:after="0"/>
        <w:rPr>
          <w:rFonts w:ascii="Arial" w:hAnsi="Arial" w:cs="Arial"/>
        </w:rPr>
      </w:pPr>
    </w:p>
    <w:p w14:paraId="47F76CD0" w14:textId="77777777" w:rsidR="00E65470"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00E65470">
        <w:rPr>
          <w:rFonts w:ascii="Arial" w:hAnsi="Arial" w:cs="Arial"/>
          <w:b/>
          <w:bCs/>
          <w:sz w:val="22"/>
          <w:lang w:val="en-ID"/>
        </w:rPr>
        <w:t>Floc Volume</w:t>
      </w:r>
    </w:p>
    <w:p w14:paraId="06B58041" w14:textId="77777777" w:rsidR="00E65470" w:rsidRDefault="00E65470" w:rsidP="000D7184">
      <w:pPr>
        <w:pStyle w:val="Body"/>
        <w:spacing w:after="0"/>
        <w:rPr>
          <w:rFonts w:ascii="Arial" w:hAnsi="Arial" w:cs="Arial"/>
          <w:b/>
          <w:bCs/>
          <w:sz w:val="22"/>
          <w:lang w:val="en-ID"/>
        </w:rPr>
      </w:pPr>
    </w:p>
    <w:p w14:paraId="54EFB5C8" w14:textId="3B51600B" w:rsidR="00E65470" w:rsidRDefault="00E65470" w:rsidP="00E65470">
      <w:pPr>
        <w:pStyle w:val="Body"/>
        <w:rPr>
          <w:rFonts w:ascii="Arial" w:hAnsi="Arial" w:cs="Arial"/>
          <w:lang w:val="en-ID"/>
        </w:rPr>
      </w:pPr>
      <w:r w:rsidRPr="00E65470">
        <w:rPr>
          <w:rFonts w:ascii="Arial" w:hAnsi="Arial" w:cs="Arial"/>
          <w:lang w:val="en-ID"/>
        </w:rPr>
        <w:t xml:space="preserve">The density of </w:t>
      </w:r>
      <w:proofErr w:type="spellStart"/>
      <w:r w:rsidRPr="00E65470">
        <w:rPr>
          <w:rFonts w:ascii="Arial" w:hAnsi="Arial" w:cs="Arial"/>
          <w:lang w:val="en-ID"/>
        </w:rPr>
        <w:t>biofloc</w:t>
      </w:r>
      <w:proofErr w:type="spellEnd"/>
      <w:r w:rsidRPr="00E65470">
        <w:rPr>
          <w:rFonts w:ascii="Arial" w:hAnsi="Arial" w:cs="Arial"/>
          <w:lang w:val="en-ID"/>
        </w:rPr>
        <w:t xml:space="preserve"> is an important factor in the biological performance of </w:t>
      </w:r>
      <w:proofErr w:type="spellStart"/>
      <w:r w:rsidRPr="00E65470">
        <w:rPr>
          <w:rFonts w:ascii="Arial" w:hAnsi="Arial" w:cs="Arial"/>
          <w:lang w:val="en-ID"/>
        </w:rPr>
        <w:t>vanname</w:t>
      </w:r>
      <w:proofErr w:type="spellEnd"/>
      <w:r w:rsidRPr="00E65470">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E65470">
        <w:rPr>
          <w:rFonts w:ascii="Arial" w:hAnsi="Arial" w:cs="Arial"/>
          <w:lang w:val="en-ID"/>
        </w:rPr>
        <w:t>) because the floc produced from fermentation and the use of probiotic ingredients not only produces additional food, but the natural food in the floc can be nutrients, energy and protein for shrimp for growth, low feed conversion ratio, high feed efficiency and good survival. The volume of floc during the study is listed in Table 1.</w:t>
      </w:r>
    </w:p>
    <w:p w14:paraId="2E97CD7A" w14:textId="4855D6F6" w:rsidR="00E65470" w:rsidRDefault="00E65470" w:rsidP="00E65470">
      <w:pPr>
        <w:pStyle w:val="Body"/>
        <w:rPr>
          <w:rFonts w:ascii="Arial" w:hAnsi="Arial" w:cs="Arial"/>
          <w:lang w:val="en-ID"/>
        </w:rPr>
      </w:pPr>
    </w:p>
    <w:p w14:paraId="2024895D" w14:textId="77777777" w:rsidR="00854A8A" w:rsidRDefault="00854A8A" w:rsidP="00E65470">
      <w:pPr>
        <w:pStyle w:val="Body"/>
        <w:rPr>
          <w:rFonts w:ascii="Arial" w:hAnsi="Arial" w:cs="Arial"/>
          <w:lang w:val="en-ID"/>
        </w:rPr>
      </w:pPr>
    </w:p>
    <w:p w14:paraId="596CF290" w14:textId="647A2877" w:rsidR="00E65470" w:rsidRPr="00E65470" w:rsidRDefault="00E65470" w:rsidP="00E65470">
      <w:pPr>
        <w:pStyle w:val="Body"/>
        <w:rPr>
          <w:rFonts w:ascii="Arial" w:hAnsi="Arial" w:cs="Arial"/>
          <w:lang w:val="en-ID"/>
        </w:rPr>
      </w:pPr>
      <w:r>
        <w:rPr>
          <w:rFonts w:ascii="Arial" w:hAnsi="Arial" w:cs="Arial"/>
          <w:lang w:val="en-ID"/>
        </w:rPr>
        <w:t>Table 1. Floc Volume</w:t>
      </w:r>
    </w:p>
    <w:tbl>
      <w:tblPr>
        <w:tblStyle w:val="ListTable6Colorful"/>
        <w:tblW w:w="6471" w:type="dxa"/>
        <w:jc w:val="center"/>
        <w:tblLook w:val="04A0" w:firstRow="1" w:lastRow="0" w:firstColumn="1" w:lastColumn="0" w:noHBand="0" w:noVBand="1"/>
      </w:tblPr>
      <w:tblGrid>
        <w:gridCol w:w="1492"/>
        <w:gridCol w:w="2280"/>
        <w:gridCol w:w="2699"/>
      </w:tblGrid>
      <w:tr w:rsidR="00E65470" w:rsidRPr="00F7200C" w14:paraId="3C8BDED2" w14:textId="77777777" w:rsidTr="00E170D5">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55EA1331" w14:textId="20111684" w:rsidR="00E65470" w:rsidRPr="00F7200C" w:rsidRDefault="00E170D5" w:rsidP="00C6170F">
            <w:pPr>
              <w:jc w:val="center"/>
              <w:rPr>
                <w:rFonts w:ascii="Arial" w:hAnsi="Arial" w:cs="Arial"/>
                <w:color w:val="000000"/>
              </w:rPr>
            </w:pPr>
            <w:r>
              <w:rPr>
                <w:rFonts w:ascii="Arial" w:hAnsi="Arial" w:cs="Arial"/>
                <w:color w:val="000000"/>
              </w:rPr>
              <w:t xml:space="preserve">Treatment </w:t>
            </w:r>
          </w:p>
        </w:tc>
        <w:tc>
          <w:tcPr>
            <w:tcW w:w="2280" w:type="dxa"/>
            <w:shd w:val="clear" w:color="auto" w:fill="auto"/>
            <w:noWrap/>
          </w:tcPr>
          <w:p w14:paraId="0FEF29A7" w14:textId="7607C85B"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Floc Volume Range (ml/l)</w:t>
            </w:r>
          </w:p>
        </w:tc>
        <w:tc>
          <w:tcPr>
            <w:tcW w:w="2699" w:type="dxa"/>
            <w:shd w:val="clear" w:color="auto" w:fill="auto"/>
            <w:noWrap/>
          </w:tcPr>
          <w:p w14:paraId="651D9FE4" w14:textId="4706DE0C"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Average (ml/l)</w:t>
            </w:r>
          </w:p>
        </w:tc>
      </w:tr>
      <w:tr w:rsidR="00E170D5" w:rsidRPr="00F7200C" w14:paraId="67ADF400" w14:textId="77777777" w:rsidTr="00E170D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3C1117CF" w14:textId="5ACF6E8D"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A</w:t>
            </w:r>
          </w:p>
        </w:tc>
        <w:tc>
          <w:tcPr>
            <w:tcW w:w="2280" w:type="dxa"/>
            <w:shd w:val="clear" w:color="auto" w:fill="auto"/>
            <w:noWrap/>
          </w:tcPr>
          <w:p w14:paraId="76CB3936" w14:textId="62D105D1"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18 - 26</w:t>
            </w:r>
          </w:p>
        </w:tc>
        <w:tc>
          <w:tcPr>
            <w:tcW w:w="2699" w:type="dxa"/>
            <w:shd w:val="clear" w:color="auto" w:fill="auto"/>
            <w:noWrap/>
          </w:tcPr>
          <w:p w14:paraId="6D5EC4BA" w14:textId="07D900AA"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26</w:t>
            </w:r>
          </w:p>
        </w:tc>
      </w:tr>
      <w:tr w:rsidR="00E170D5" w:rsidRPr="00F7200C" w14:paraId="1ECC1366" w14:textId="77777777" w:rsidTr="00E170D5">
        <w:trPr>
          <w:trHeight w:val="37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hideMark/>
          </w:tcPr>
          <w:p w14:paraId="5CEFF4D4" w14:textId="77777777"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B</w:t>
            </w:r>
          </w:p>
        </w:tc>
        <w:tc>
          <w:tcPr>
            <w:tcW w:w="2280" w:type="dxa"/>
            <w:shd w:val="clear" w:color="auto" w:fill="auto"/>
            <w:noWrap/>
            <w:hideMark/>
          </w:tcPr>
          <w:p w14:paraId="7C906159"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20 - 35</w:t>
            </w:r>
          </w:p>
        </w:tc>
        <w:tc>
          <w:tcPr>
            <w:tcW w:w="2699" w:type="dxa"/>
            <w:shd w:val="clear" w:color="auto" w:fill="auto"/>
            <w:noWrap/>
            <w:hideMark/>
          </w:tcPr>
          <w:p w14:paraId="49F38898"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35</w:t>
            </w:r>
          </w:p>
        </w:tc>
      </w:tr>
    </w:tbl>
    <w:p w14:paraId="0E3035AC" w14:textId="0B1D9513" w:rsidR="000D7184" w:rsidRDefault="000D7184" w:rsidP="000D7184">
      <w:pPr>
        <w:pStyle w:val="Body"/>
        <w:spacing w:after="0"/>
        <w:rPr>
          <w:rFonts w:ascii="Arial" w:hAnsi="Arial" w:cs="Arial"/>
        </w:rPr>
      </w:pPr>
    </w:p>
    <w:p w14:paraId="0B3935C0" w14:textId="157FE2F6" w:rsidR="00E053D0" w:rsidRDefault="00E65470" w:rsidP="00441B6F">
      <w:pPr>
        <w:pStyle w:val="Body"/>
        <w:spacing w:after="0"/>
        <w:rPr>
          <w:rFonts w:ascii="Arial" w:hAnsi="Arial" w:cs="Arial"/>
          <w:lang w:val="en-ID"/>
        </w:rPr>
      </w:pPr>
      <w:r w:rsidRPr="00E65470">
        <w:rPr>
          <w:rFonts w:ascii="Arial" w:hAnsi="Arial" w:cs="Arial"/>
          <w:lang w:val="en-ID"/>
        </w:rPr>
        <w:t>Based on Table 1, the floc volume of each treatment produced from the study starts with the highest value to the lowest, namely treatment B (35 mg/l), A (26 mg/l). This is supported by the appearance of flocs in Figure 5.</w:t>
      </w:r>
    </w:p>
    <w:p w14:paraId="4AC94A68" w14:textId="77777777" w:rsidR="00E65470" w:rsidRDefault="00E65470" w:rsidP="00441B6F">
      <w:pPr>
        <w:pStyle w:val="Body"/>
        <w:spacing w:after="0"/>
        <w:rPr>
          <w:rFonts w:ascii="Arial" w:hAnsi="Arial" w:cs="Arial"/>
          <w:lang w:val="en-ID"/>
        </w:rPr>
      </w:pPr>
    </w:p>
    <w:p w14:paraId="2CC76DF9" w14:textId="6D90A49C" w:rsidR="00F7200C" w:rsidRDefault="00255CB5" w:rsidP="00E65470">
      <w:pPr>
        <w:pStyle w:val="Body"/>
        <w:spacing w:after="0"/>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3A7F626A" wp14:editId="6369D155">
                <wp:simplePos x="0" y="0"/>
                <wp:positionH relativeFrom="margin">
                  <wp:posOffset>1297940</wp:posOffset>
                </wp:positionH>
                <wp:positionV relativeFrom="paragraph">
                  <wp:posOffset>6350</wp:posOffset>
                </wp:positionV>
                <wp:extent cx="428625" cy="247650"/>
                <wp:effectExtent l="6350" t="12700" r="1270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rect">
                          <a:avLst/>
                        </a:prstGeom>
                        <a:solidFill>
                          <a:srgbClr val="FFFFFF"/>
                        </a:solidFill>
                        <a:ln w="9525">
                          <a:solidFill>
                            <a:schemeClr val="tx1">
                              <a:lumMod val="100000"/>
                              <a:lumOff val="0"/>
                            </a:schemeClr>
                          </a:solidFill>
                          <a:miter lim="800000"/>
                          <a:headEnd/>
                          <a:tailEnd/>
                        </a:ln>
                      </wps:spPr>
                      <wps:txbx>
                        <w:txbxContent>
                          <w:p w14:paraId="02FC512E"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7F626A" id="Rectangle 3" o:spid="_x0000_s1026" style="position:absolute;left:0;text-align:left;margin-left:102.2pt;margin-top:.5pt;width:33.75pt;height: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" strokecolor="black [3213]">
                <v:textbox>
                  <w:txbxContent>
                    <w:p w14:paraId="02FC512E"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(A)</w:t>
                      </w:r>
                    </w:p>
                  </w:txbxContent>
                </v:textbox>
                <w10:wrap anchorx="margin"/>
              </v:rect>
            </w:pict>
          </mc:Fallback>
        </mc:AlternateContent>
      </w:r>
      <w:r w:rsidR="00F7200C">
        <w:rPr>
          <w:noProof/>
        </w:rPr>
        <w:drawing>
          <wp:inline distT="0" distB="0" distL="0" distR="0" wp14:anchorId="17C1A8D2" wp14:editId="361DE40C">
            <wp:extent cx="2609850" cy="1171575"/>
            <wp:effectExtent l="0" t="0" r="0" b="0"/>
            <wp:docPr id="3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57291" t="15135" r="3190" b="18274"/>
                    <a:stretch/>
                  </pic:blipFill>
                  <pic:spPr bwMode="auto">
                    <a:xfrm>
                      <a:off x="0" y="0"/>
                      <a:ext cx="2609850" cy="1171575"/>
                    </a:xfrm>
                    <a:prstGeom prst="rect">
                      <a:avLst/>
                    </a:prstGeom>
                    <a:ln>
                      <a:noFill/>
                    </a:ln>
                    <a:extLst>
                      <a:ext uri="{53640926-AAD7-44D8-BBD7-CCE9431645EC}">
                        <a14:shadowObscured xmlns:a14="http://schemas.microsoft.com/office/drawing/2010/main"/>
                      </a:ext>
                    </a:extLst>
                  </pic:spPr>
                </pic:pic>
              </a:graphicData>
            </a:graphic>
          </wp:inline>
        </w:drawing>
      </w:r>
    </w:p>
    <w:p w14:paraId="3930D314" w14:textId="4FB15A89" w:rsidR="00F7200C" w:rsidRDefault="00F7200C" w:rsidP="00E65470">
      <w:pPr>
        <w:pStyle w:val="Body"/>
        <w:spacing w:after="0"/>
        <w:jc w:val="center"/>
        <w:rPr>
          <w:rFonts w:ascii="Arial" w:hAnsi="Arial" w:cs="Arial"/>
        </w:rPr>
      </w:pPr>
    </w:p>
    <w:p w14:paraId="1F7DEF0A" w14:textId="48954DF5" w:rsidR="00F7200C" w:rsidRDefault="00255CB5" w:rsidP="00E65470">
      <w:pPr>
        <w:pStyle w:val="Body"/>
        <w:spacing w:after="0"/>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3EF52D3" wp14:editId="347D5E3E">
                <wp:simplePos x="0" y="0"/>
                <wp:positionH relativeFrom="margin">
                  <wp:posOffset>1323340</wp:posOffset>
                </wp:positionH>
                <wp:positionV relativeFrom="paragraph">
                  <wp:posOffset>19050</wp:posOffset>
                </wp:positionV>
                <wp:extent cx="428625" cy="247650"/>
                <wp:effectExtent l="12700" t="9525" r="6350" b="9525"/>
                <wp:wrapNone/>
                <wp:docPr id="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rect">
                          <a:avLst/>
                        </a:prstGeom>
                        <a:solidFill>
                          <a:srgbClr val="FFFFFF"/>
                        </a:solidFill>
                        <a:ln w="9525">
                          <a:solidFill>
                            <a:schemeClr val="tx1">
                              <a:lumMod val="100000"/>
                              <a:lumOff val="0"/>
                            </a:schemeClr>
                          </a:solidFill>
                          <a:miter lim="800000"/>
                          <a:headEnd/>
                          <a:tailEnd/>
                        </a:ln>
                      </wps:spPr>
                      <wps:txbx>
                        <w:txbxContent>
                          <w:p w14:paraId="5B08E876"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EF52D3" id="Rectangle 91" o:spid="_x0000_s1027" style="position:absolute;left:0;text-align:left;margin-left:104.2pt;margin-top:1.5pt;width:33.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" strokecolor="black [3213]">
                <v:textbox>
                  <w:txbxContent>
                    <w:p w14:paraId="5B08E876"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(B)</w:t>
                      </w:r>
                    </w:p>
                  </w:txbxContent>
                </v:textbox>
                <w10:wrap anchorx="margin"/>
              </v:rect>
            </w:pict>
          </mc:Fallback>
        </mc:AlternateContent>
      </w:r>
      <w:r w:rsidR="00F7200C">
        <w:rPr>
          <w:noProof/>
        </w:rPr>
        <w:drawing>
          <wp:inline distT="0" distB="0" distL="0" distR="0" wp14:anchorId="04C0AF91" wp14:editId="6CD00731">
            <wp:extent cx="2619375" cy="1228725"/>
            <wp:effectExtent l="0" t="0" r="0" b="0"/>
            <wp:docPr id="89" name="Picture 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l="57104" t="15135" r="4134" b="17601"/>
                    <a:stretch/>
                  </pic:blipFill>
                  <pic:spPr bwMode="auto">
                    <a:xfrm>
                      <a:off x="0" y="0"/>
                      <a:ext cx="2619375" cy="1228725"/>
                    </a:xfrm>
                    <a:prstGeom prst="rect">
                      <a:avLst/>
                    </a:prstGeom>
                    <a:ln>
                      <a:noFill/>
                    </a:ln>
                    <a:extLst>
                      <a:ext uri="{53640926-AAD7-44D8-BBD7-CCE9431645EC}">
                        <a14:shadowObscured xmlns:a14="http://schemas.microsoft.com/office/drawing/2010/main"/>
                      </a:ext>
                    </a:extLst>
                  </pic:spPr>
                </pic:pic>
              </a:graphicData>
            </a:graphic>
          </wp:inline>
        </w:drawing>
      </w:r>
    </w:p>
    <w:p w14:paraId="27EAFF40" w14:textId="4B400361" w:rsidR="00E65470" w:rsidRDefault="00F7200C" w:rsidP="00E65470">
      <w:pPr>
        <w:pStyle w:val="Body"/>
        <w:spacing w:after="0"/>
        <w:jc w:val="center"/>
        <w:rPr>
          <w:rFonts w:ascii="Arial" w:hAnsi="Arial" w:cs="Arial"/>
        </w:rPr>
      </w:pPr>
      <w:r>
        <w:rPr>
          <w:rFonts w:ascii="Arial" w:hAnsi="Arial" w:cs="Arial"/>
        </w:rPr>
        <w:t>Figure</w:t>
      </w:r>
      <w:r w:rsidR="00E65470">
        <w:rPr>
          <w:rFonts w:ascii="Arial" w:hAnsi="Arial" w:cs="Arial"/>
        </w:rPr>
        <w:t xml:space="preserve"> 5</w:t>
      </w:r>
      <w:r>
        <w:rPr>
          <w:rFonts w:ascii="Arial" w:hAnsi="Arial" w:cs="Arial"/>
        </w:rPr>
        <w:t xml:space="preserve">. </w:t>
      </w:r>
      <w:r w:rsidRPr="00F7200C">
        <w:rPr>
          <w:rFonts w:ascii="Arial" w:hAnsi="Arial" w:cs="Arial"/>
        </w:rPr>
        <w:t>Floc Appearance of Treatment A and B</w:t>
      </w:r>
    </w:p>
    <w:p w14:paraId="1A8D662C" w14:textId="77777777" w:rsidR="00E65470" w:rsidRDefault="00E65470" w:rsidP="00E65470">
      <w:pPr>
        <w:pStyle w:val="Body"/>
        <w:spacing w:after="0"/>
        <w:jc w:val="center"/>
        <w:rPr>
          <w:rFonts w:ascii="Arial" w:hAnsi="Arial" w:cs="Arial"/>
        </w:rPr>
      </w:pPr>
    </w:p>
    <w:p w14:paraId="0939D149"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Based on Figure 5 shows that flocs are like small clumps formed from bacteria and at the time of the formation of flocs seen from the cultured fermentation began to be characterized by foamy water media conditions. The high value of floc volume means the success of </w:t>
      </w:r>
      <w:proofErr w:type="spellStart"/>
      <w:r w:rsidRPr="00E65470">
        <w:rPr>
          <w:rFonts w:ascii="Arial" w:hAnsi="Arial" w:cs="Arial"/>
          <w:lang w:val="en-ID"/>
        </w:rPr>
        <w:t>biofloc</w:t>
      </w:r>
      <w:proofErr w:type="spellEnd"/>
      <w:r w:rsidRPr="00E65470">
        <w:rPr>
          <w:rFonts w:ascii="Arial" w:hAnsi="Arial" w:cs="Arial"/>
          <w:lang w:val="en-ID"/>
        </w:rPr>
        <w:t xml:space="preserve"> fermentation from the role of probiotic bacteria can form flocs which can then be utilized by shrimp as feed.</w:t>
      </w:r>
    </w:p>
    <w:p w14:paraId="365069A4" w14:textId="77777777" w:rsidR="00E65470" w:rsidRPr="00E65470" w:rsidRDefault="00E65470" w:rsidP="00E65470">
      <w:pPr>
        <w:pStyle w:val="Body"/>
        <w:spacing w:after="0"/>
        <w:rPr>
          <w:rFonts w:ascii="Arial" w:hAnsi="Arial" w:cs="Arial"/>
          <w:lang w:val="en-ID"/>
        </w:rPr>
      </w:pPr>
    </w:p>
    <w:p w14:paraId="0A1E9A37" w14:textId="77777777" w:rsidR="00E65470" w:rsidRPr="00E65470" w:rsidRDefault="00E65470" w:rsidP="00E65470">
      <w:pPr>
        <w:pStyle w:val="Body"/>
        <w:spacing w:after="0"/>
        <w:rPr>
          <w:rFonts w:ascii="Arial" w:hAnsi="Arial" w:cs="Arial"/>
          <w:lang w:val="en-ID"/>
        </w:rPr>
      </w:pPr>
      <w:r w:rsidRPr="00E65470">
        <w:rPr>
          <w:rFonts w:ascii="Arial" w:hAnsi="Arial" w:cs="Arial"/>
          <w:lang w:val="en-ID"/>
        </w:rPr>
        <w:t>The volume of flocs formed indicates that the bacteria present during maintenance can utilize the provision of different types of probiotic ingredients with different fermentation lengths for growth and survival so as to obtain a low ratio value and high feed efficiency.</w:t>
      </w:r>
    </w:p>
    <w:p w14:paraId="0AE4D3B8" w14:textId="52D9AFC6" w:rsidR="00E65470" w:rsidRDefault="00E65470" w:rsidP="00E65470">
      <w:pPr>
        <w:pStyle w:val="Body"/>
        <w:spacing w:after="0"/>
        <w:rPr>
          <w:rFonts w:ascii="Arial" w:hAnsi="Arial" w:cs="Arial"/>
        </w:rPr>
      </w:pPr>
    </w:p>
    <w:p w14:paraId="08C6AA07" w14:textId="7B9D97AF" w:rsidR="00E65470" w:rsidRDefault="00E65470" w:rsidP="00E65470">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bCs/>
          <w:sz w:val="22"/>
          <w:lang w:val="en-ID"/>
        </w:rPr>
        <w:t>Water Quality Parameters</w:t>
      </w:r>
    </w:p>
    <w:p w14:paraId="72D52F94" w14:textId="77777777" w:rsidR="00C603D7" w:rsidRDefault="00C603D7" w:rsidP="00E65470">
      <w:pPr>
        <w:pStyle w:val="Body"/>
        <w:spacing w:after="0"/>
        <w:rPr>
          <w:rFonts w:ascii="Arial" w:hAnsi="Arial" w:cs="Arial"/>
          <w:b/>
          <w:bCs/>
          <w:sz w:val="22"/>
          <w:lang w:val="en-ID"/>
        </w:rPr>
      </w:pPr>
    </w:p>
    <w:p w14:paraId="4304F043"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t xml:space="preserve">Water quality is one of the factors supporting the success of shrimp farming activities in the formation of </w:t>
      </w:r>
      <w:proofErr w:type="spellStart"/>
      <w:r w:rsidRPr="00FA30F1">
        <w:rPr>
          <w:rFonts w:ascii="Arial" w:hAnsi="Arial" w:cs="Arial"/>
          <w:color w:val="0E101A"/>
          <w:sz w:val="20"/>
          <w:szCs w:val="20"/>
        </w:rPr>
        <w:t>bioflocs</w:t>
      </w:r>
      <w:proofErr w:type="spellEnd"/>
      <w:r w:rsidRPr="00FA30F1">
        <w:rPr>
          <w:rFonts w:ascii="Arial" w:hAnsi="Arial" w:cs="Arial"/>
          <w:color w:val="0E101A"/>
          <w:sz w:val="20"/>
          <w:szCs w:val="20"/>
        </w:rPr>
        <w:t>, and even the bacteria that will develop must optimize water quality. The results of the water quality measurements during maintenance are presented in Table 2.</w:t>
      </w:r>
    </w:p>
    <w:p w14:paraId="2F82063E"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lastRenderedPageBreak/>
        <w:t xml:space="preserve">Table 2 shows that 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in </w:t>
      </w:r>
      <w:proofErr w:type="spellStart"/>
      <w:r w:rsidRPr="00FA30F1">
        <w:rPr>
          <w:rFonts w:ascii="Arial" w:hAnsi="Arial" w:cs="Arial"/>
          <w:color w:val="0E101A"/>
          <w:sz w:val="20"/>
          <w:szCs w:val="20"/>
        </w:rPr>
        <w:t>vanname</w:t>
      </w:r>
      <w:proofErr w:type="spellEnd"/>
      <w:r w:rsidRPr="00FA30F1">
        <w:rPr>
          <w:rFonts w:ascii="Arial" w:hAnsi="Arial" w:cs="Arial"/>
          <w:color w:val="0E101A"/>
          <w:sz w:val="20"/>
          <w:szCs w:val="20"/>
        </w:rPr>
        <w:t xml:space="preserve"> shrimp (</w:t>
      </w:r>
      <w:proofErr w:type="spellStart"/>
      <w:r w:rsidRPr="00FA30F1">
        <w:rPr>
          <w:rStyle w:val="Emphasis"/>
          <w:rFonts w:ascii="Arial" w:hAnsi="Arial" w:cs="Arial"/>
          <w:color w:val="0E101A"/>
          <w:sz w:val="20"/>
          <w:szCs w:val="20"/>
        </w:rPr>
        <w:t>Litopenaeus</w:t>
      </w:r>
      <w:proofErr w:type="spellEnd"/>
      <w:r w:rsidRPr="00FA30F1">
        <w:rPr>
          <w:rStyle w:val="Emphasis"/>
          <w:rFonts w:ascii="Arial" w:hAnsi="Arial" w:cs="Arial"/>
          <w:color w:val="0E101A"/>
          <w:sz w:val="20"/>
          <w:szCs w:val="20"/>
        </w:rPr>
        <w:t xml:space="preserve"> </w:t>
      </w:r>
      <w:proofErr w:type="spellStart"/>
      <w:r w:rsidRPr="00FA30F1">
        <w:rPr>
          <w:rStyle w:val="Emphasis"/>
          <w:rFonts w:ascii="Arial" w:hAnsi="Arial" w:cs="Arial"/>
          <w:color w:val="0E101A"/>
          <w:sz w:val="20"/>
          <w:szCs w:val="20"/>
        </w:rPr>
        <w:t>vannamei</w:t>
      </w:r>
      <w:proofErr w:type="spellEnd"/>
      <w:r w:rsidRPr="00FA30F1">
        <w:rPr>
          <w:rFonts w:ascii="Arial" w:hAnsi="Arial" w:cs="Arial"/>
          <w:color w:val="0E101A"/>
          <w:sz w:val="20"/>
          <w:szCs w:val="20"/>
        </w:rPr>
        <w:t xml:space="preserve">) with the provision of Yakult probiotic material and different fermentation durations helped improve water quality, except in the control treatment. This is in accordance with the opinion of </w:t>
      </w:r>
      <w:proofErr w:type="spellStart"/>
      <w:r w:rsidRPr="00FA30F1">
        <w:rPr>
          <w:rFonts w:ascii="Arial" w:hAnsi="Arial" w:cs="Arial"/>
          <w:color w:val="0E101A"/>
          <w:sz w:val="20"/>
          <w:szCs w:val="20"/>
        </w:rPr>
        <w:t>Adipu</w:t>
      </w:r>
      <w:proofErr w:type="spellEnd"/>
      <w:r w:rsidRPr="00FA30F1">
        <w:rPr>
          <w:rFonts w:ascii="Arial" w:hAnsi="Arial" w:cs="Arial"/>
          <w:color w:val="0E101A"/>
          <w:sz w:val="20"/>
          <w:szCs w:val="20"/>
        </w:rPr>
        <w:t xml:space="preserve"> (2019), who stated that the shrimp's ability to utilize </w:t>
      </w:r>
      <w:proofErr w:type="spellStart"/>
      <w:r w:rsidRPr="00FA30F1">
        <w:rPr>
          <w:rFonts w:ascii="Arial" w:hAnsi="Arial" w:cs="Arial"/>
          <w:color w:val="0E101A"/>
          <w:sz w:val="20"/>
          <w:szCs w:val="20"/>
        </w:rPr>
        <w:t>bioflocs</w:t>
      </w:r>
      <w:proofErr w:type="spellEnd"/>
      <w:r w:rsidRPr="00FA30F1">
        <w:rPr>
          <w:rFonts w:ascii="Arial" w:hAnsi="Arial" w:cs="Arial"/>
          <w:color w:val="0E101A"/>
          <w:sz w:val="20"/>
          <w:szCs w:val="20"/>
        </w:rPr>
        <w:t>, which in turn utilize bacteria for floc formation, plays a role in improving water quality, increasing productivity, and enhancing biosecurity.</w:t>
      </w:r>
    </w:p>
    <w:p w14:paraId="2A365270"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t xml:space="preserve">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applied was optimal in maintaining water quality without requiring water changes, as the values of each water quality parameter observed were not significantly different. Maintenance of 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can provide more value, such as controlled water quality; therefore, there is no need to make changes compared to maintenance without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technology. (</w:t>
      </w:r>
      <w:proofErr w:type="spellStart"/>
      <w:r w:rsidRPr="00FA30F1">
        <w:rPr>
          <w:rFonts w:ascii="Arial" w:hAnsi="Arial" w:cs="Arial"/>
          <w:color w:val="0E101A"/>
          <w:sz w:val="20"/>
          <w:szCs w:val="20"/>
        </w:rPr>
        <w:t>Sitorus</w:t>
      </w:r>
      <w:proofErr w:type="spellEnd"/>
      <w:r w:rsidRPr="00FA30F1">
        <w:rPr>
          <w:rFonts w:ascii="Arial" w:hAnsi="Arial" w:cs="Arial"/>
          <w:color w:val="0E101A"/>
          <w:sz w:val="20"/>
          <w:szCs w:val="20"/>
        </w:rPr>
        <w:t xml:space="preserve"> et al., 2019).</w:t>
      </w:r>
    </w:p>
    <w:p w14:paraId="01056B55" w14:textId="77777777" w:rsidR="00A345F2" w:rsidRPr="00FA30F1" w:rsidRDefault="00A345F2" w:rsidP="00A345F2">
      <w:pPr>
        <w:spacing w:before="120"/>
        <w:jc w:val="both"/>
        <w:rPr>
          <w:rFonts w:ascii="Arial" w:hAnsi="Arial" w:cs="Arial"/>
        </w:rPr>
      </w:pPr>
    </w:p>
    <w:p w14:paraId="0DDACAAA" w14:textId="77777777" w:rsidR="00A345F2" w:rsidRDefault="00A345F2" w:rsidP="00C603D7">
      <w:pPr>
        <w:pStyle w:val="Body"/>
        <w:spacing w:after="0"/>
        <w:rPr>
          <w:rFonts w:ascii="Arial" w:hAnsi="Arial" w:cs="Arial"/>
          <w:szCs w:val="18"/>
          <w:lang w:val="en-ID"/>
        </w:rPr>
      </w:pPr>
    </w:p>
    <w:p w14:paraId="63D5D289" w14:textId="77777777" w:rsidR="00F7200C" w:rsidRDefault="00F7200C" w:rsidP="00C603D7">
      <w:pPr>
        <w:pStyle w:val="Body"/>
        <w:spacing w:after="0"/>
        <w:rPr>
          <w:rFonts w:ascii="Arial" w:hAnsi="Arial" w:cs="Arial"/>
          <w:szCs w:val="18"/>
          <w:lang w:val="en-ID"/>
        </w:rPr>
      </w:pPr>
    </w:p>
    <w:p w14:paraId="451BEC0E" w14:textId="32A208E8" w:rsidR="00E170D5" w:rsidRDefault="00E170D5" w:rsidP="00C603D7">
      <w:pPr>
        <w:pStyle w:val="Body"/>
        <w:spacing w:after="0"/>
        <w:rPr>
          <w:rFonts w:ascii="Arial" w:hAnsi="Arial" w:cs="Arial"/>
          <w:szCs w:val="18"/>
          <w:lang w:val="en-ID"/>
        </w:rPr>
      </w:pPr>
      <w:r>
        <w:rPr>
          <w:rFonts w:ascii="Arial" w:hAnsi="Arial" w:cs="Arial"/>
          <w:szCs w:val="18"/>
          <w:lang w:val="en-ID"/>
        </w:rPr>
        <w:t xml:space="preserve">Table 2. </w:t>
      </w:r>
      <w:r w:rsidRPr="00E170D5">
        <w:rPr>
          <w:rFonts w:ascii="Arial" w:hAnsi="Arial" w:cs="Arial"/>
          <w:szCs w:val="18"/>
          <w:lang w:val="en-ID"/>
        </w:rPr>
        <w:t>Water Quality Parameters</w:t>
      </w:r>
    </w:p>
    <w:tbl>
      <w:tblPr>
        <w:tblStyle w:val="ListTable6Colorful"/>
        <w:tblW w:w="0" w:type="auto"/>
        <w:tblLook w:val="04A0" w:firstRow="1" w:lastRow="0" w:firstColumn="1" w:lastColumn="0" w:noHBand="0" w:noVBand="1"/>
      </w:tblPr>
      <w:tblGrid>
        <w:gridCol w:w="1516"/>
        <w:gridCol w:w="1779"/>
        <w:gridCol w:w="1631"/>
        <w:gridCol w:w="1627"/>
        <w:gridCol w:w="1655"/>
      </w:tblGrid>
      <w:tr w:rsidR="00E170D5" w:rsidRPr="00E170D5" w14:paraId="1F5E2D2C" w14:textId="77777777" w:rsidTr="00E17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8" w:space="0" w:color="auto"/>
            </w:tcBorders>
            <w:shd w:val="clear" w:color="auto" w:fill="auto"/>
          </w:tcPr>
          <w:p w14:paraId="037EDCA6" w14:textId="6BA19342" w:rsidR="00E170D5" w:rsidRPr="00E170D5" w:rsidRDefault="00E170D5" w:rsidP="00F7200C">
            <w:pPr>
              <w:pStyle w:val="Body"/>
              <w:spacing w:after="0"/>
              <w:jc w:val="center"/>
              <w:rPr>
                <w:rFonts w:ascii="Arial" w:hAnsi="Arial" w:cs="Arial"/>
                <w:lang w:val="en-ID"/>
              </w:rPr>
            </w:pPr>
            <w:r w:rsidRPr="00E170D5">
              <w:rPr>
                <w:rFonts w:ascii="Arial" w:hAnsi="Arial" w:cs="Arial"/>
                <w:lang w:val="en-ID"/>
              </w:rPr>
              <w:t>Parameter</w:t>
            </w:r>
          </w:p>
        </w:tc>
        <w:tc>
          <w:tcPr>
            <w:tcW w:w="5213" w:type="dxa"/>
            <w:gridSpan w:val="3"/>
            <w:tcBorders>
              <w:top w:val="single" w:sz="8" w:space="0" w:color="auto"/>
              <w:bottom w:val="single" w:sz="8" w:space="0" w:color="auto"/>
            </w:tcBorders>
            <w:shd w:val="clear" w:color="auto" w:fill="auto"/>
          </w:tcPr>
          <w:p w14:paraId="47354C67" w14:textId="7953D71E" w:rsidR="00E170D5" w:rsidRPr="00E170D5" w:rsidRDefault="00E170D5"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Treatment</w:t>
            </w:r>
          </w:p>
        </w:tc>
        <w:tc>
          <w:tcPr>
            <w:tcW w:w="1685" w:type="dxa"/>
            <w:vMerge w:val="restart"/>
            <w:tcBorders>
              <w:top w:val="single" w:sz="8" w:space="0" w:color="auto"/>
            </w:tcBorders>
            <w:shd w:val="clear" w:color="auto" w:fill="auto"/>
          </w:tcPr>
          <w:p w14:paraId="62C0F404" w14:textId="05573325" w:rsidR="00E170D5" w:rsidRPr="00E170D5" w:rsidRDefault="00755D76"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755D76">
              <w:rPr>
                <w:rFonts w:ascii="Arial" w:hAnsi="Arial" w:cs="Arial"/>
                <w:lang w:val="en-ID"/>
              </w:rPr>
              <w:t>Reference Source</w:t>
            </w:r>
          </w:p>
        </w:tc>
      </w:tr>
      <w:tr w:rsidR="00E170D5" w:rsidRPr="00E170D5" w14:paraId="659A2A20"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8" w:space="0" w:color="auto"/>
            </w:tcBorders>
            <w:shd w:val="clear" w:color="auto" w:fill="auto"/>
          </w:tcPr>
          <w:p w14:paraId="0C7078AF" w14:textId="77777777" w:rsidR="00E170D5" w:rsidRPr="00E170D5" w:rsidRDefault="00E170D5" w:rsidP="00F7200C">
            <w:pPr>
              <w:pStyle w:val="Body"/>
              <w:spacing w:after="0"/>
              <w:jc w:val="center"/>
              <w:rPr>
                <w:rFonts w:ascii="Arial" w:hAnsi="Arial" w:cs="Arial"/>
                <w:lang w:val="en-ID"/>
              </w:rPr>
            </w:pPr>
          </w:p>
        </w:tc>
        <w:tc>
          <w:tcPr>
            <w:tcW w:w="1843" w:type="dxa"/>
            <w:tcBorders>
              <w:top w:val="single" w:sz="8" w:space="0" w:color="auto"/>
              <w:bottom w:val="single" w:sz="8" w:space="0" w:color="auto"/>
            </w:tcBorders>
            <w:shd w:val="clear" w:color="auto" w:fill="auto"/>
          </w:tcPr>
          <w:p w14:paraId="51D29336" w14:textId="5900DF32"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A</w:t>
            </w:r>
          </w:p>
        </w:tc>
        <w:tc>
          <w:tcPr>
            <w:tcW w:w="1685" w:type="dxa"/>
            <w:tcBorders>
              <w:top w:val="single" w:sz="8" w:space="0" w:color="auto"/>
              <w:bottom w:val="single" w:sz="8" w:space="0" w:color="auto"/>
            </w:tcBorders>
            <w:shd w:val="clear" w:color="auto" w:fill="auto"/>
          </w:tcPr>
          <w:p w14:paraId="16665CF4" w14:textId="60346B9E"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B</w:t>
            </w:r>
          </w:p>
        </w:tc>
        <w:tc>
          <w:tcPr>
            <w:tcW w:w="1685" w:type="dxa"/>
            <w:tcBorders>
              <w:top w:val="single" w:sz="8" w:space="0" w:color="auto"/>
              <w:bottom w:val="single" w:sz="8" w:space="0" w:color="auto"/>
            </w:tcBorders>
            <w:shd w:val="clear" w:color="auto" w:fill="auto"/>
          </w:tcPr>
          <w:p w14:paraId="7008CA6A" w14:textId="75C8359A"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C</w:t>
            </w:r>
          </w:p>
        </w:tc>
        <w:tc>
          <w:tcPr>
            <w:tcW w:w="1685" w:type="dxa"/>
            <w:vMerge/>
            <w:tcBorders>
              <w:bottom w:val="single" w:sz="8" w:space="0" w:color="auto"/>
            </w:tcBorders>
            <w:shd w:val="clear" w:color="auto" w:fill="auto"/>
          </w:tcPr>
          <w:p w14:paraId="1C4A332E" w14:textId="77777777"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p>
        </w:tc>
      </w:tr>
      <w:tr w:rsidR="00E170D5" w:rsidRPr="00E170D5" w14:paraId="506038D1" w14:textId="77777777" w:rsidTr="00E170D5">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auto"/>
            </w:tcBorders>
            <w:shd w:val="clear" w:color="auto" w:fill="auto"/>
          </w:tcPr>
          <w:p w14:paraId="4A052A8C" w14:textId="3ACDA824" w:rsidR="00E170D5" w:rsidRPr="00E170D5" w:rsidRDefault="00E170D5" w:rsidP="00F7200C">
            <w:pPr>
              <w:pStyle w:val="Body"/>
              <w:spacing w:after="0"/>
              <w:jc w:val="center"/>
              <w:rPr>
                <w:rFonts w:ascii="Arial" w:hAnsi="Arial" w:cs="Arial"/>
                <w:b w:val="0"/>
                <w:bCs w:val="0"/>
                <w:lang w:val="en-ID"/>
              </w:rPr>
            </w:pPr>
            <w:r w:rsidRPr="00E170D5">
              <w:rPr>
                <w:rFonts w:ascii="Arial" w:hAnsi="Arial" w:cs="Arial"/>
                <w:b w:val="0"/>
                <w:bCs w:val="0"/>
                <w:lang w:val="en-ID"/>
              </w:rPr>
              <w:t>pH</w:t>
            </w:r>
          </w:p>
        </w:tc>
        <w:tc>
          <w:tcPr>
            <w:tcW w:w="1843" w:type="dxa"/>
            <w:tcBorders>
              <w:top w:val="single" w:sz="8" w:space="0" w:color="auto"/>
            </w:tcBorders>
            <w:shd w:val="clear" w:color="auto" w:fill="auto"/>
          </w:tcPr>
          <w:p w14:paraId="433E0D8F" w14:textId="0BC90296"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7.00-7.22</w:t>
            </w:r>
          </w:p>
        </w:tc>
        <w:tc>
          <w:tcPr>
            <w:tcW w:w="1685" w:type="dxa"/>
            <w:tcBorders>
              <w:top w:val="single" w:sz="8" w:space="0" w:color="auto"/>
            </w:tcBorders>
            <w:shd w:val="clear" w:color="auto" w:fill="auto"/>
          </w:tcPr>
          <w:p w14:paraId="3E9AF27A" w14:textId="65CAF50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7.06-7.05</w:t>
            </w:r>
          </w:p>
        </w:tc>
        <w:tc>
          <w:tcPr>
            <w:tcW w:w="1685" w:type="dxa"/>
            <w:tcBorders>
              <w:top w:val="single" w:sz="8" w:space="0" w:color="auto"/>
            </w:tcBorders>
            <w:shd w:val="clear" w:color="auto" w:fill="auto"/>
          </w:tcPr>
          <w:p w14:paraId="59550FC1" w14:textId="03AD699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6.04-7.49</w:t>
            </w:r>
          </w:p>
        </w:tc>
        <w:tc>
          <w:tcPr>
            <w:tcW w:w="1685" w:type="dxa"/>
            <w:tcBorders>
              <w:top w:val="single" w:sz="8" w:space="0" w:color="auto"/>
            </w:tcBorders>
            <w:shd w:val="clear" w:color="auto" w:fill="auto"/>
          </w:tcPr>
          <w:p w14:paraId="2F4A4C5C" w14:textId="315DF7D6" w:rsidR="00E170D5" w:rsidRPr="00E170D5" w:rsidRDefault="00E170D5" w:rsidP="00E170D5">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eastAsia="Calibri" w:hAnsi="Arial" w:cs="Arial"/>
                <w:lang w:val="id-ID"/>
              </w:rPr>
              <w:t>6.9-9</w:t>
            </w:r>
            <w:r w:rsidRPr="00E170D5">
              <w:rPr>
                <w:rFonts w:ascii="Arial" w:hAnsi="Arial" w:cs="Arial"/>
                <w:lang w:val="id-ID"/>
              </w:rPr>
              <w:t xml:space="preserve"> </w:t>
            </w:r>
            <w:r w:rsidRPr="00E170D5">
              <w:rPr>
                <w:rFonts w:ascii="Arial" w:hAnsi="Arial" w:cs="Arial"/>
                <w:lang w:val="id-ID"/>
              </w:rPr>
              <w:fldChar w:fldCharType="begin" w:fldLock="1"/>
            </w:r>
            <w:r w:rsidRPr="00E170D5">
              <w:rPr>
                <w:rFonts w:ascii="Arial" w:hAnsi="Arial" w:cs="Arial"/>
                <w:lang w:val="id-ID"/>
              </w:rPr>
              <w:instrText>ADDIN CSL_CITATION {"citationItems":[{"id":"ITEM-1","itemData":{"author":[{"dropping-particle":"","family":"Dahlan","given":"Jon","non-dropping-particle":"","parse-names":false,"suffix":""},{"dropping-particle":"","family":"Hamzah","given":"Muhaimin","non-dropping-particle":"","parse-names":false,"suffix":""},{"dropping-particle":"","family":"Kurnia","given":"Agus","non-dropping-particle":"","parse-names":false,"suffix":""}],"id":"ITEM-1","issue":"2","issued":{"date-parts":[["2017"]]},"page":"1-9","title":"Pertumbuhan Udang Vaname ( Litopenaeus vannamei ) yang Dikultur pada Sistem Bioflok dengan Penambahan Probiotik The Growth of Vannamei White Shrimp ( Litopenaeus vannamei ) Cultured In Bioflock System with Probiotic Supplementation In the Diet","type":"article-journal","volume":"1"},"uris":["http://www.mendeley.com/documents/?uuid=fc8b9940-d889-4b7b-b7b6-a3558b73496a"]}],"mendeley":{"formattedCitation":"(Dahlan et al., 2017)","plainTextFormattedCitation":"(Dahlan et al., 2017)","previouslyFormattedCitation":"(Dahlan et al., 2017)"},"properties":{"noteIndex":0},"schema":"https://github.com/citation-style-language/schema/raw/master/csl-citation.json"}</w:instrText>
            </w:r>
            <w:r w:rsidRPr="00E170D5">
              <w:rPr>
                <w:rFonts w:ascii="Arial" w:hAnsi="Arial" w:cs="Arial"/>
                <w:lang w:val="id-ID"/>
              </w:rPr>
              <w:fldChar w:fldCharType="separate"/>
            </w:r>
            <w:r w:rsidRPr="00E170D5">
              <w:rPr>
                <w:rFonts w:ascii="Arial" w:hAnsi="Arial" w:cs="Arial"/>
                <w:lang w:val="id-ID"/>
              </w:rPr>
              <w:t xml:space="preserve">(Dahlan </w:t>
            </w:r>
            <w:r w:rsidRPr="00E170D5">
              <w:rPr>
                <w:rFonts w:ascii="Arial" w:hAnsi="Arial" w:cs="Arial"/>
                <w:i/>
                <w:lang w:val="id-ID"/>
              </w:rPr>
              <w:t>et al.</w:t>
            </w:r>
            <w:r w:rsidRPr="00E170D5">
              <w:rPr>
                <w:rFonts w:ascii="Arial" w:hAnsi="Arial" w:cs="Arial"/>
                <w:lang w:val="id-ID"/>
              </w:rPr>
              <w:t>, 2017)</w:t>
            </w:r>
            <w:r w:rsidRPr="00E170D5">
              <w:rPr>
                <w:rFonts w:ascii="Arial" w:hAnsi="Arial" w:cs="Arial"/>
                <w:lang w:val="en-ID"/>
              </w:rPr>
              <w:fldChar w:fldCharType="end"/>
            </w:r>
          </w:p>
        </w:tc>
      </w:tr>
      <w:tr w:rsidR="00E170D5" w:rsidRPr="00E170D5" w14:paraId="33AF7E4C" w14:textId="77777777" w:rsidTr="00E170D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48FB864" w14:textId="262CFFA2"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Temperature</w:t>
            </w:r>
          </w:p>
        </w:tc>
        <w:tc>
          <w:tcPr>
            <w:tcW w:w="1843" w:type="dxa"/>
            <w:shd w:val="clear" w:color="auto" w:fill="auto"/>
          </w:tcPr>
          <w:p w14:paraId="38A1954B" w14:textId="099C0FB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29E9243B" w14:textId="4312BA6A"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701FB7EF" w14:textId="4086486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27-30</w:t>
            </w:r>
          </w:p>
        </w:tc>
        <w:tc>
          <w:tcPr>
            <w:tcW w:w="1685" w:type="dxa"/>
            <w:shd w:val="clear" w:color="auto" w:fill="auto"/>
          </w:tcPr>
          <w:p w14:paraId="7A956838"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 xml:space="preserve">26-32 </w:t>
            </w:r>
            <w:proofErr w:type="spellStart"/>
            <w:r w:rsidRPr="00E170D5">
              <w:rPr>
                <w:rFonts w:ascii="Arial" w:hAnsi="Arial" w:cs="Arial"/>
                <w:color w:val="000000"/>
                <w:vertAlign w:val="superscript"/>
              </w:rPr>
              <w:t>o</w:t>
            </w:r>
            <w:r w:rsidRPr="00E170D5">
              <w:rPr>
                <w:rFonts w:ascii="Arial" w:hAnsi="Arial" w:cs="Arial"/>
                <w:color w:val="000000"/>
              </w:rPr>
              <w:t>C</w:t>
            </w:r>
            <w:proofErr w:type="spellEnd"/>
          </w:p>
          <w:p w14:paraId="0BE03720" w14:textId="50CC1864"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khfid","given":"Abdul","non-dropping-particle":"","parse-names":false,"suffix":""},{"dropping-particle":"","family":"Baya","given":"Nur","non-dropping-particle":"","parse-names":false,"suffix":""},{"dropping-particle":"","family":"Bakri","given":"Muh","non-dropping-particle":"","parse-names":false,"suffix":""},{"dropping-particle":"","family":"Fendi","given":"Fendi","non-dropping-particle":"","parse-names":false,"suffix":""}],"id":"ITEM-1","issued":{"date-parts":[["2017"]]},"title":"Pertumbuhan dan Kelangsungan Hidup Udang Vaname (Litopenaeus vannamei) Pada Padat Tebar Berbeda","type":"article-journal","volume":"1996"},"uris":["http://www.mendeley.com/documents/?uuid=0d866303-c052-4f79-a1fe-e4cdb32328cc"]}],"mendeley":{"formattedCitation":"(Rakhfid et al., 2017)","plainTextFormattedCitation":"(Rakhfid et al., 2017)","previouslyFormattedCitation":"(Rakhfid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(Rakhfid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2B7A4F01"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581298" w14:textId="40D08B78" w:rsidR="00E170D5" w:rsidRPr="00E170D5" w:rsidRDefault="00E170D5" w:rsidP="00E170D5">
            <w:pPr>
              <w:pStyle w:val="Body"/>
              <w:spacing w:after="0"/>
              <w:jc w:val="center"/>
              <w:rPr>
                <w:rFonts w:ascii="Arial" w:hAnsi="Arial" w:cs="Arial"/>
                <w:b w:val="0"/>
                <w:bCs w:val="0"/>
                <w:lang w:val="en-ID"/>
              </w:rPr>
            </w:pPr>
            <w:r w:rsidRPr="00E170D5">
              <w:rPr>
                <w:rFonts w:ascii="Arial" w:hAnsi="Arial" w:cs="Arial"/>
                <w:b w:val="0"/>
                <w:bCs w:val="0"/>
                <w:color w:val="000000"/>
              </w:rPr>
              <w:t>DO</w:t>
            </w:r>
          </w:p>
        </w:tc>
        <w:tc>
          <w:tcPr>
            <w:tcW w:w="1843" w:type="dxa"/>
            <w:shd w:val="clear" w:color="auto" w:fill="auto"/>
          </w:tcPr>
          <w:p w14:paraId="20CE4F2D" w14:textId="1B835DF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6.6-10.9</w:t>
            </w:r>
          </w:p>
        </w:tc>
        <w:tc>
          <w:tcPr>
            <w:tcW w:w="1685" w:type="dxa"/>
            <w:shd w:val="clear" w:color="auto" w:fill="auto"/>
          </w:tcPr>
          <w:p w14:paraId="25C031DD" w14:textId="19B80793"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6.7-12.4</w:t>
            </w:r>
          </w:p>
        </w:tc>
        <w:tc>
          <w:tcPr>
            <w:tcW w:w="1685" w:type="dxa"/>
            <w:shd w:val="clear" w:color="auto" w:fill="auto"/>
          </w:tcPr>
          <w:p w14:paraId="5945ADD2" w14:textId="4407532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3.3-7.1</w:t>
            </w:r>
          </w:p>
        </w:tc>
        <w:tc>
          <w:tcPr>
            <w:tcW w:w="1685" w:type="dxa"/>
            <w:shd w:val="clear" w:color="auto" w:fill="auto"/>
          </w:tcPr>
          <w:p w14:paraId="680D6384"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&gt;3.5 mg/l</w:t>
            </w:r>
          </w:p>
          <w:p w14:paraId="612A3684" w14:textId="64AFBE2E"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{"citationItems":[{"id":"ITEM-1","itemData":{"author":[{"dropping-particle":"","family":"Adharani","given":"Nadya","non-dropping-particle":"","parse-names":false,"suffix":""},{"dropping-particle":"","family":"Wardhana","given":"Megandhi G","non-dropping-particle":"","parse-names":false,"suffix":""},{"dropping-particle":"","family":"Harsanti","given":"Sih","non-dropping-particle":"","parse-names":false,"suffix":""}],"id":"ITEM-1","issued":{"date-parts":[["2019"]]},"page":"65-75","title":"KUALITAS AIR BUDIDAYA UDANG VANAMEI DENGAN Bacillus megaterium DAN Bacillus aquimaris WATER QUALITY FOR CULTIVATING VANAME SHRIMP WITH Bacillus megaterium AND Bacillus aquimaris","type":"article-journal"},"uris":["http://www.mendeley.com/documents/?uuid=1cc8894f-2bb9-4ecb-92dd-121f46663f65"]}],"mendeley":{"formattedCitation":"(Adharani et al., 2019)","plainTextFormattedCitation":"(Adharani et al., 2019)","previouslyFormattedCitation":"(Adharani et al.,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(Adharani </w:t>
            </w:r>
            <w:r w:rsidRPr="00E170D5">
              <w:rPr>
                <w:rFonts w:ascii="Arial" w:hAnsi="Arial" w:cs="Arial"/>
                <w:i/>
                <w:noProof/>
                <w:color w:val="000000"/>
              </w:rPr>
              <w:t>et al</w:t>
            </w:r>
            <w:r w:rsidRPr="00E170D5">
              <w:rPr>
                <w:rFonts w:ascii="Arial" w:hAnsi="Arial" w:cs="Arial"/>
                <w:noProof/>
                <w:color w:val="000000"/>
              </w:rPr>
              <w:t>., 2019)</w:t>
            </w:r>
            <w:r w:rsidRPr="00E170D5">
              <w:rPr>
                <w:rFonts w:ascii="Arial" w:hAnsi="Arial" w:cs="Arial"/>
                <w:color w:val="000000"/>
              </w:rPr>
              <w:fldChar w:fldCharType="end"/>
            </w:r>
          </w:p>
        </w:tc>
      </w:tr>
      <w:tr w:rsidR="00E170D5" w:rsidRPr="00E170D5" w14:paraId="50B9F46F"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A407782" w14:textId="67AA5450"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Salinity</w:t>
            </w:r>
          </w:p>
        </w:tc>
        <w:tc>
          <w:tcPr>
            <w:tcW w:w="1843" w:type="dxa"/>
            <w:shd w:val="clear" w:color="auto" w:fill="auto"/>
          </w:tcPr>
          <w:p w14:paraId="563591DD" w14:textId="7136CAB3"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6029AABE" w14:textId="5E0B24B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39882499" w14:textId="6C8D86A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26-31</w:t>
            </w:r>
          </w:p>
        </w:tc>
        <w:tc>
          <w:tcPr>
            <w:tcW w:w="1685" w:type="dxa"/>
            <w:shd w:val="clear" w:color="auto" w:fill="auto"/>
          </w:tcPr>
          <w:p w14:paraId="0C72C720"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10-30 ppt</w:t>
            </w:r>
          </w:p>
          <w:p w14:paraId="36F0D8CD" w14:textId="2A4DDB30"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{"citationItems":[{"id":"ITEM-1","itemData":{"DOI":"10.20473/jipk.v9i1.7624","ISSN":"2085-5842","abstract":"                                                               AbstrakPenelitian ini bertujuan untuk melakukan monitoring kualitas air di tambak budidaya udang vaname, membandingkan efektivitas penerapan budidaya dengan sistem pemeliharaan berbeda pada tambak dan variasi pemberian pakan. Pada kegiatan ini, empat tambak budidaya digunakan sebagai tempat pembesaran udang vaname (Litopenaeus vannamei). Parameter yang diukur meliputi parameter fisika dan kimia yaitu suhu, kecerahan, pH, oksigen terlarut, salinitas, amonia, dan alkalinitas; sedangkan performa pertumbuhan organisme budidaya dilihat dengan cara menghitung tingkat kelulushidupan (survival rate) udang pada akhir pemeliharaan, efisiensi konsumsi pakan melalui perhitungan FCR, dan laju pertumbuhan spesifik udang (SGR) dengan menghitung ABW (Average Body weight) dan ADG (Average Daily Growth) udang. Hasil penelitian menunjukan bahwa secara keseluruhan kisaran kualitas air yang diperoleh masih dalam keadaan layak untuk kegiatan budidaya dan bahkan Tambak 3 dan 4 menunjukkan kisaran optimum untuk kualitas air budidaya, sedangkan untuk parameter performa pertumbuhan, pada Tambak 3 dan 4 diperoleh nilai SR lebih dari 80 %, dan Tambak 1 dan 2 mempunyai SR di bawah 70 %. Selain itu, nilai FCR berada di bawah 1.7 pada tambak 3 dan 4, sedangkan pada Tambak 1 dan 2 nilainya lebih dari 1.7. Terakhir untuk nilai SGR, Tambak 3 dan 4 juga menunjukkan presentasi yang bagus jika dibandingkan Tambak 1 dan 2. Secara komprehensif, dapat disimpulkan bahwa penerapan sistem pemeliharaan dengan menggunakan sistem flok pada Tambak 3 dan 4 meningkatkan performa kualitas air dan hasil produksi dibandingkan pada Tambak 1 dan 2.                                                                 AbstractThe aim of this study was to monitor water quality in vaname culture pond and compare the application of different rearing culture system and feeding variations. Four ponds culture were used as vaname (Litopenaeus vannamei) growth place. Measured parameters include physical and chemical factors such as temperature,brightness, pH, DO, salinity, ammonia, and alkalinity, while growth shrimp performance showed by SGR, SR and FCR. The research result of the water quality parameters show an adequate range values for all of the ponds and good enough for shrimp growth, and especially an optimum range value presented in pond three and four. Survival rate (SR) both pond 3 and 4 exhibit a good presentation that is more than 80%, whereas pon…","author":[{"dropping-particle":"","family":"Arsad","given":"Sulastri","non-dropping-particle":"","parse-names":false,"suffix":""},{"dropping-particle":"","family":"Afandy","given":"Ahmad","non-dropping-particle":"","parse-names":false,"suffix":""},{"dropping-particle":"","family":"Purwadhi","given":"Atika P","non-dropping-particle":"","parse-names":false,"suffix":""},{"dropping-particle":"","family":"Maya V","given":"Betrina","non-dropping-particle":"","parse-names":false,"suffix":""},{"dropping-particle":"","family":"Saputra","given":"Dhira K","non-dropping-particle":"","parse-names":false,"suffix":""},{"dropping-particle":"","family":"Buwono","given":"Nanik Retno","non-dropping-particle":"","parse-names":false,"suffix":""}],"container-title":"Jurnal Ilmiah Perikanan dan Kelautan","id":"ITEM-1","issue":"1","issued":{"date-parts":[["2017"]]},"page":"1","title":"Studi Kegiatan Budidaya Pembesaran Udang Vaname (Litopenaeus vannamei) dengan Penerapan Sistem Pemeliharaan Berbeda &lt;Br&gt;&lt;I&gt;[Study of Vaname Shrimp Culture (Litopenaeus vannamei) in Different Rearing System]&lt;I&gt;","type":"article-journal","volume":"9"},"uris":["http://www.mendeley.com/documents/?uuid=31d8fdc6-d00b-414a-88fa-bd379bd9b170"]}],"mendeley":{"formattedCitation":"(Arsad et al., 2017)","plainTextFormattedCitation":"(Arsad et al., 2017)","previouslyFormattedCitation":"(Arsad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(Arsad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7488B13D"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418ECAF" w14:textId="50CC440D"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Ammonia</w:t>
            </w:r>
          </w:p>
        </w:tc>
        <w:tc>
          <w:tcPr>
            <w:tcW w:w="1843" w:type="dxa"/>
            <w:shd w:val="clear" w:color="auto" w:fill="auto"/>
          </w:tcPr>
          <w:p w14:paraId="1B3CA9F4" w14:textId="7D39BC5B"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0.07-0.09</w:t>
            </w:r>
          </w:p>
        </w:tc>
        <w:tc>
          <w:tcPr>
            <w:tcW w:w="1685" w:type="dxa"/>
            <w:shd w:val="clear" w:color="auto" w:fill="auto"/>
          </w:tcPr>
          <w:p w14:paraId="0150A7D9" w14:textId="2AFBEC57"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0.02-0.08</w:t>
            </w:r>
          </w:p>
        </w:tc>
        <w:tc>
          <w:tcPr>
            <w:tcW w:w="1685" w:type="dxa"/>
            <w:shd w:val="clear" w:color="auto" w:fill="auto"/>
          </w:tcPr>
          <w:p w14:paraId="0E43D7C6" w14:textId="1DA6940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0.13-0.20</w:t>
            </w:r>
          </w:p>
        </w:tc>
        <w:tc>
          <w:tcPr>
            <w:tcW w:w="1685" w:type="dxa"/>
            <w:shd w:val="clear" w:color="auto" w:fill="auto"/>
          </w:tcPr>
          <w:p w14:paraId="1A8ABDBF"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0.3-1 mg/l</w:t>
            </w:r>
          </w:p>
          <w:p w14:paraId="5BB97349" w14:textId="579E0800"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{"citationItems":[{"id":"ITEM-1","itemData":{"DOI":"10.23960/jrtbp.v4i1.1348p433-438","ISSN":"2597-5315","abstract":"Ikan nila merupakan ikan konsumsi air tawar dengan nilai ekonomis yang cukup tinggi, sehingga nila banyak dibudidayakan secara intensif untuk meningkatkan nilai produksi. Pakan buatan berupa pelet menjadi sumber nutrisi utama bagi ikan untuk mempercepat laju pertumbuhan. Pelet yang tidak dimanfaatkan oleh ikan menjadi limbah ammonia di perairan yang dapat menurunkan kualitas air. Teknologi bioflok diaplikasikan untuk mengubah limbah ammonia menjadi biomassa mikroba yang dapat dijadikan sebagai pakan alami di perairan dengan bantuan bakteri heterotrof. Setiap spesies bakteri memiliki kemampuan yang berbeda-beda dalam membentuk flok dan mensintesis senyawa PHB (polyhidroksibutirat). Kecepatan aktivitas bioflokulasi dalam teknologi bioflok ditentukan oleh penggunaan inokulasi bakteri. Penelitian ini bertujuan untuk menganalisis efektivitas penggunaan sumber bakteri berbeda dalam budidaya sistem bioflok terhadap keragaan ikan nila seperti laju pertumbuhan, survival rate (SR) dan feed conversion ratio (FCR). Penelitian menggunakan RAL dengan 4 perlakuan (Tanpa BFT, BFT limbah lele, BFT Lactobacillus casei, BFT Bacillus sp) dan 3 ulangan. Perlakuan diberikan pada ikan nila berukuran 3-5 cm yang dipelihara pada kolam terpal berukuran 0,5x0,5x0,5m selama 40 hari dengan FR 3%. Hasil penelitian menunjukkan bahwa penggunaan sumber bakteri yang berbeda dalam sistem bioflok memberikan pengaruh yang nyata terhadap pertumbuhan mutlak dan pertumbuhan harian ikan nila (P&gt;0,5) namun tidak memberikan pengaruh yang nyata terhadap FCR dan SR (P&lt;0,5). Penggunaan bakteri Lactobacillus casei dalam pembentukan bioflok memberikan hasil yang terbaik dengan pertumbuhan berat mutlak tertinggi (3,89 gr±0,19), FCR (1,05± 0,11) dan SR (88%± 0,05).","author":[{"dropping-particle":"","family":"Putri","given":"B.","non-dropping-particle":"","parse-names":false,"suffix":""},{"dropping-particle":"","family":"Wardiyanto","given":"W.","non-dropping-particle":"","parse-names":false,"suffix":""},{"dropping-particle":"","family":"Supono","given":"S.","non-dropping-particle":"","parse-names":false,"suffix":""}],"container-title":"e-Jurnal Rekayasa dan Teknologi Budidaya Perairan","id":"ITEM-1","issue":"1","issued":{"date-parts":[["2015"]]},"page":"433-438","title":"EFEKTIVITAS PENGGUNAAN BEBERAPA SUMBER BAKTERI DALAM SISTEM BIOFLOK TERHADAP KERAGAAN IKAN NILA (Oreochromis niloticus)","type":"article-journal","volume":"4"},"uris":["http://www.mendeley.com/documents/?uuid=0ac806ed-47ed-4abe-93d7-e7ebc804b485"]}],"mendeley":{"formattedCitation":"(Putri et al., 2015)","plainTextFormattedCitation":"(Putri et al., 2015)","previouslyFormattedCitation":"(Putri et al., 2015)"},"properties":{"noteIndex":0},"schema":"https://github.com/citation-style-language/schema/raw/master/csl-citation.json"}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(Putri </w:t>
            </w:r>
            <w:r w:rsidRPr="00E170D5">
              <w:rPr>
                <w:rFonts w:ascii="Arial" w:hAnsi="Arial" w:cs="Arial"/>
                <w:i/>
                <w:noProof/>
                <w:color w:val="000000"/>
              </w:rPr>
              <w:t>et al.</w:t>
            </w:r>
            <w:r w:rsidRPr="00E170D5">
              <w:rPr>
                <w:rFonts w:ascii="Arial" w:hAnsi="Arial" w:cs="Arial"/>
                <w:noProof/>
                <w:color w:val="000000"/>
              </w:rPr>
              <w:t>, 2015)</w:t>
            </w:r>
            <w:r w:rsidRPr="00E170D5">
              <w:rPr>
                <w:rFonts w:ascii="Arial" w:hAnsi="Arial" w:cs="Arial"/>
                <w:color w:val="000000"/>
              </w:rPr>
              <w:fldChar w:fldCharType="end"/>
            </w:r>
          </w:p>
        </w:tc>
      </w:tr>
      <w:tr w:rsidR="00E170D5" w:rsidRPr="00E170D5" w14:paraId="33281FC1"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8722E75" w14:textId="009920CF"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Nitrate</w:t>
            </w:r>
          </w:p>
        </w:tc>
        <w:tc>
          <w:tcPr>
            <w:tcW w:w="1843" w:type="dxa"/>
            <w:shd w:val="clear" w:color="auto" w:fill="auto"/>
          </w:tcPr>
          <w:p w14:paraId="4F6D2F0C" w14:textId="474378A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122.7-154.9</w:t>
            </w:r>
          </w:p>
        </w:tc>
        <w:tc>
          <w:tcPr>
            <w:tcW w:w="1685" w:type="dxa"/>
            <w:shd w:val="clear" w:color="auto" w:fill="auto"/>
          </w:tcPr>
          <w:p w14:paraId="2AB2B29B" w14:textId="02798FC5"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154.3-154.9</w:t>
            </w:r>
          </w:p>
        </w:tc>
        <w:tc>
          <w:tcPr>
            <w:tcW w:w="1685" w:type="dxa"/>
            <w:shd w:val="clear" w:color="auto" w:fill="auto"/>
          </w:tcPr>
          <w:p w14:paraId="247AB695" w14:textId="0C8D22E8"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29.8-40.6</w:t>
            </w:r>
          </w:p>
        </w:tc>
        <w:tc>
          <w:tcPr>
            <w:tcW w:w="1685" w:type="dxa"/>
            <w:shd w:val="clear" w:color="auto" w:fill="auto"/>
          </w:tcPr>
          <w:p w14:paraId="1D80C373"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&lt;0.01 mg/l</w:t>
            </w:r>
          </w:p>
          <w:p w14:paraId="12BB368B" w14:textId="6FD6E0D7"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{"citationItems":[{"id":"ITEM-1","itemData":{"author":[{"dropping-particle":"","family":"Rahmah","given":"Ilvi I.","non-dropping-particle":"","parse-names":false,"suffix":""},{"dropping-particle":"","family":"Laili","given":"Saimul","non-dropping-particle":"","parse-names":false,"suffix":""},{"dropping-particle":"","family":"Liminingsih","given":"Ratna D.","non-dropping-particle":"","parse-names":false,"suffix":""}],"id":"ITEM-1","issued":{"date-parts":[["2022"]]},"title":"Analisis Struktur Komunitas Fitoplankton pada Perairan Tambak Udang Vannamei (Litopenaeus vannamei) di Kecamatan Manyar, Kabupaten Gresik","type":"article-journal"},"uris":["http://www.mendeley.com/documents/?uuid=647fb54c-f6ed-437c-8312-710caff60b5a"]}],"mendeley":{"formattedCitation":"(Rahmah et al., 2022)","plainTextFormattedCitation":"(Rahmah et al., 2022)","previouslyFormattedCitation":"(Rahmah et al., 2022)"},"properties":{"noteIndex":0},"schema":"https://github.com/citation-style-language/schema/raw/master/csl-citation.json"}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(Rahmah </w:t>
            </w:r>
            <w:r w:rsidRPr="00E170D5">
              <w:rPr>
                <w:rFonts w:ascii="Arial" w:hAnsi="Arial" w:cs="Arial"/>
                <w:i/>
                <w:noProof/>
                <w:color w:val="000000"/>
              </w:rPr>
              <w:t>et al</w:t>
            </w:r>
            <w:r w:rsidRPr="00E170D5">
              <w:rPr>
                <w:rFonts w:ascii="Arial" w:hAnsi="Arial" w:cs="Arial"/>
                <w:noProof/>
                <w:color w:val="000000"/>
              </w:rPr>
              <w:t>., 2022)</w:t>
            </w:r>
            <w:r w:rsidRPr="00E170D5">
              <w:rPr>
                <w:rFonts w:ascii="Arial" w:hAnsi="Arial" w:cs="Arial"/>
                <w:color w:val="000000"/>
              </w:rPr>
              <w:fldChar w:fldCharType="end"/>
            </w:r>
          </w:p>
        </w:tc>
      </w:tr>
      <w:tr w:rsidR="00E170D5" w:rsidRPr="00E170D5" w14:paraId="161C00FC"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674774" w14:textId="47EE0300" w:rsidR="00E170D5" w:rsidRPr="00E170D5" w:rsidRDefault="00C91C8C" w:rsidP="00E170D5">
            <w:pPr>
              <w:pStyle w:val="Body"/>
              <w:spacing w:after="0"/>
              <w:jc w:val="center"/>
              <w:rPr>
                <w:rFonts w:ascii="Arial" w:hAnsi="Arial" w:cs="Arial"/>
                <w:b w:val="0"/>
                <w:bCs w:val="0"/>
                <w:color w:val="000000"/>
              </w:rPr>
            </w:pPr>
            <w:r w:rsidRPr="00C91C8C">
              <w:rPr>
                <w:rFonts w:ascii="Arial" w:hAnsi="Arial" w:cs="Arial"/>
                <w:b w:val="0"/>
                <w:bCs w:val="0"/>
                <w:color w:val="000000"/>
              </w:rPr>
              <w:t>Nitrite</w:t>
            </w:r>
          </w:p>
        </w:tc>
        <w:tc>
          <w:tcPr>
            <w:tcW w:w="1843" w:type="dxa"/>
            <w:shd w:val="clear" w:color="auto" w:fill="auto"/>
          </w:tcPr>
          <w:p w14:paraId="682D0F4B" w14:textId="01177DB8"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23B0AEA7" w14:textId="7D3EAFC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4C29008D" w14:textId="68E9EDA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71504523"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0.1-1 mg/l</w:t>
            </w:r>
          </w:p>
          <w:p w14:paraId="5C0710CA" w14:textId="2F794581"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{"citationItems":[{"id":"ITEM-1","itemData":{"author":[{"dropping-particle":"","family":"Adipu","given":"Yulianty","non-dropping-particle":"","parse-names":false,"suffix":""}],"id":"ITEM-1","issue":"3","issued":{"date-parts":[["2019"]]},"page":"122-125","title":"Profil Kualitas Air Pada Budidaya Udang Vaname ( Litopenaeus vannamei ) Sistem Bioflok Dengan Sumber Karbohidrat Gula Aren","type":"article-journal","volume":"8"},"uris":["http://www.mendeley.com/documents/?uuid=e2f76736-9d53-4970-b021-26cb9b2fa572"]}],"mendeley":{"formattedCitation":"(Adipu, 2019)","plainTextFormattedCitation":"(Adipu, 2019)","previouslyFormattedCitation":"(Adipu,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(Adipu, 2019)</w:t>
            </w:r>
            <w:r w:rsidRPr="00E170D5">
              <w:rPr>
                <w:rFonts w:ascii="Arial" w:hAnsi="Arial" w:cs="Arial"/>
                <w:color w:val="000000"/>
              </w:rPr>
              <w:fldChar w:fldCharType="end"/>
            </w:r>
          </w:p>
        </w:tc>
      </w:tr>
    </w:tbl>
    <w:p w14:paraId="77E71EDB" w14:textId="77777777" w:rsidR="00A345F2" w:rsidRDefault="00A345F2" w:rsidP="00A345F2">
      <w:pPr>
        <w:autoSpaceDE w:val="0"/>
        <w:autoSpaceDN w:val="0"/>
        <w:adjustRightInd w:val="0"/>
        <w:jc w:val="both"/>
        <w:rPr>
          <w:rFonts w:ascii="Arial" w:hAnsi="Arial" w:cs="Arial"/>
          <w14:ligatures w14:val="standardContextual"/>
        </w:rPr>
      </w:pPr>
    </w:p>
    <w:p w14:paraId="355F98BE" w14:textId="65C2A955"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Treatments A and B remained at a neutral pH due to the presence of good nitrification activity in shrimp farming. The pH value is more favorable when it is neutral, and it is more productive compared to acidic and alkaline water (Zega, 2018). Temperature in optimal conditions that support the sustainability and growth of </w:t>
      </w:r>
      <w:proofErr w:type="spellStart"/>
      <w:r w:rsidRPr="00C829B8">
        <w:rPr>
          <w:rFonts w:ascii="Arial" w:hAnsi="Arial" w:cs="Arial"/>
          <w14:ligatures w14:val="standardContextual"/>
        </w:rPr>
        <w:t>vanname</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The growth rate increases in line with the optimal temperature range of 28.19°C-31.24 °C (Yusuf, 2017).</w:t>
      </w:r>
    </w:p>
    <w:p w14:paraId="2F737210" w14:textId="77777777" w:rsidR="00A345F2" w:rsidRPr="00C829B8" w:rsidRDefault="00A345F2" w:rsidP="00A345F2">
      <w:pPr>
        <w:autoSpaceDE w:val="0"/>
        <w:autoSpaceDN w:val="0"/>
        <w:adjustRightInd w:val="0"/>
        <w:jc w:val="both"/>
        <w:rPr>
          <w:rFonts w:ascii="Arial" w:hAnsi="Arial" w:cs="Arial"/>
          <w14:ligatures w14:val="standardContextual"/>
        </w:rPr>
      </w:pPr>
    </w:p>
    <w:p w14:paraId="7AEB9CC3"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The presence of oxygen is necessary for the formation of </w:t>
      </w:r>
      <w:proofErr w:type="spellStart"/>
      <w:r w:rsidRPr="00C829B8">
        <w:rPr>
          <w:rFonts w:ascii="Arial" w:hAnsi="Arial" w:cs="Arial"/>
          <w14:ligatures w14:val="standardContextual"/>
        </w:rPr>
        <w:t>bioflocs</w:t>
      </w:r>
      <w:proofErr w:type="spellEnd"/>
      <w:r w:rsidRPr="00C829B8">
        <w:rPr>
          <w:rFonts w:ascii="Arial" w:hAnsi="Arial" w:cs="Arial"/>
          <w14:ligatures w14:val="standardContextual"/>
        </w:rPr>
        <w:t xml:space="preserve">, and a lack of oxygen can prevent bacteria from developing optimally. This condition can endanger shrimp during rearing because it can cause susceptibility to diseases and mass shrimp mortality. The results of dissolved oxygen measurements in this study were optimal at 3.3-12.4 mg/l, because this was influenced by the tightness of aeration in the </w:t>
      </w:r>
      <w:proofErr w:type="spellStart"/>
      <w:r w:rsidRPr="00C829B8">
        <w:rPr>
          <w:rFonts w:ascii="Arial" w:hAnsi="Arial" w:cs="Arial"/>
          <w14:ligatures w14:val="standardContextual"/>
        </w:rPr>
        <w:t>biofloc</w:t>
      </w:r>
      <w:proofErr w:type="spellEnd"/>
      <w:r w:rsidRPr="00C829B8">
        <w:rPr>
          <w:rFonts w:ascii="Arial" w:hAnsi="Arial" w:cs="Arial"/>
          <w14:ligatures w14:val="standardContextual"/>
        </w:rPr>
        <w:t xml:space="preserve"> process. The oxygen content during the rearing period of </w:t>
      </w:r>
      <w:proofErr w:type="spellStart"/>
      <w:r w:rsidRPr="00C829B8">
        <w:rPr>
          <w:rFonts w:ascii="Arial" w:hAnsi="Arial" w:cs="Arial"/>
          <w14:ligatures w14:val="standardContextual"/>
        </w:rPr>
        <w:t>vanname</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ranged from 2.80-15.90 mg/l (Tahe et al., 2015).</w:t>
      </w:r>
    </w:p>
    <w:p w14:paraId="3BE9D396" w14:textId="77777777" w:rsidR="00A345F2" w:rsidRPr="00C829B8" w:rsidRDefault="00A345F2" w:rsidP="00A345F2">
      <w:pPr>
        <w:autoSpaceDE w:val="0"/>
        <w:autoSpaceDN w:val="0"/>
        <w:adjustRightInd w:val="0"/>
        <w:jc w:val="both"/>
        <w:rPr>
          <w:rFonts w:ascii="Arial" w:hAnsi="Arial" w:cs="Arial"/>
          <w14:ligatures w14:val="standardContextual"/>
        </w:rPr>
      </w:pPr>
    </w:p>
    <w:p w14:paraId="1466E6CE"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lastRenderedPageBreak/>
        <w:t xml:space="preserve">Salinity is the average concentration of all salt solutions that can stabilize seawater. This is based on the research of </w:t>
      </w:r>
      <w:proofErr w:type="spellStart"/>
      <w:r w:rsidRPr="00C829B8">
        <w:rPr>
          <w:rFonts w:ascii="Arial" w:hAnsi="Arial" w:cs="Arial"/>
          <w14:ligatures w14:val="standardContextual"/>
        </w:rPr>
        <w:t>Adipu</w:t>
      </w:r>
      <w:proofErr w:type="spellEnd"/>
      <w:r w:rsidRPr="00C829B8">
        <w:rPr>
          <w:rFonts w:ascii="Arial" w:hAnsi="Arial" w:cs="Arial"/>
          <w14:ligatures w14:val="standardContextual"/>
        </w:rPr>
        <w:t xml:space="preserve"> (2019), which has an impact on the physiological ability of shrimp to </w:t>
      </w:r>
      <w:proofErr w:type="spellStart"/>
      <w:r w:rsidRPr="00C829B8">
        <w:rPr>
          <w:rFonts w:ascii="Arial" w:hAnsi="Arial" w:cs="Arial"/>
          <w14:ligatures w14:val="standardContextual"/>
        </w:rPr>
        <w:t>osmoregulate</w:t>
      </w:r>
      <w:proofErr w:type="spellEnd"/>
      <w:r w:rsidRPr="00C829B8">
        <w:rPr>
          <w:rFonts w:ascii="Arial" w:hAnsi="Arial" w:cs="Arial"/>
          <w14:ligatures w14:val="standardContextual"/>
        </w:rPr>
        <w:t>, thereby maintaining a balance of salt and water.</w:t>
      </w:r>
    </w:p>
    <w:p w14:paraId="4AB120FC" w14:textId="77777777" w:rsidR="00A345F2" w:rsidRPr="00C829B8" w:rsidRDefault="00A345F2" w:rsidP="00A345F2">
      <w:pPr>
        <w:autoSpaceDE w:val="0"/>
        <w:autoSpaceDN w:val="0"/>
        <w:adjustRightInd w:val="0"/>
        <w:jc w:val="both"/>
        <w:rPr>
          <w:rFonts w:ascii="Arial" w:hAnsi="Arial" w:cs="Arial"/>
          <w14:ligatures w14:val="standardContextual"/>
        </w:rPr>
      </w:pPr>
    </w:p>
    <w:p w14:paraId="084B4D93"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The ammonia levels during the observation period in Table 2 were still relatively low because the application of the </w:t>
      </w:r>
      <w:proofErr w:type="spellStart"/>
      <w:r w:rsidRPr="00C829B8">
        <w:rPr>
          <w:rFonts w:ascii="Arial" w:hAnsi="Arial" w:cs="Arial"/>
          <w14:ligatures w14:val="standardContextual"/>
        </w:rPr>
        <w:t>biofloc</w:t>
      </w:r>
      <w:proofErr w:type="spellEnd"/>
      <w:r w:rsidRPr="00C829B8">
        <w:rPr>
          <w:rFonts w:ascii="Arial" w:hAnsi="Arial" w:cs="Arial"/>
          <w14:ligatures w14:val="standardContextual"/>
        </w:rPr>
        <w:t xml:space="preserve"> system effectively controlled the remaining </w:t>
      </w:r>
      <w:proofErr w:type="spellStart"/>
      <w:r w:rsidRPr="00C829B8">
        <w:rPr>
          <w:rFonts w:ascii="Arial" w:hAnsi="Arial" w:cs="Arial"/>
          <w14:ligatures w14:val="standardContextual"/>
        </w:rPr>
        <w:t>pkan</w:t>
      </w:r>
      <w:proofErr w:type="spellEnd"/>
      <w:r w:rsidRPr="00C829B8">
        <w:rPr>
          <w:rFonts w:ascii="Arial" w:hAnsi="Arial" w:cs="Arial"/>
          <w14:ligatures w14:val="standardContextual"/>
        </w:rPr>
        <w:t xml:space="preserve"> and feces, which were decomposed with the help of probiotic bacteria, thereby suppressing ammonia in the living medium of </w:t>
      </w:r>
      <w:proofErr w:type="spellStart"/>
      <w:r w:rsidRPr="00C829B8">
        <w:rPr>
          <w:rFonts w:ascii="Arial" w:hAnsi="Arial" w:cs="Arial"/>
          <w14:ligatures w14:val="standardContextual"/>
        </w:rPr>
        <w:t>vannamei</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However, in contrast to the control treatment, ammonia production was higher, at approximately 0.13-0.20 mg/l. High ammonia levels can occur due to a lack of water changes, which further accumulate in the feed and feces at the bottom of the water (</w:t>
      </w:r>
      <w:proofErr w:type="spellStart"/>
      <w:r w:rsidRPr="00C829B8">
        <w:rPr>
          <w:rFonts w:ascii="Arial" w:hAnsi="Arial" w:cs="Arial"/>
          <w14:ligatures w14:val="standardContextual"/>
        </w:rPr>
        <w:t>Arsad</w:t>
      </w:r>
      <w:proofErr w:type="spellEnd"/>
      <w:r w:rsidRPr="00C829B8">
        <w:rPr>
          <w:rFonts w:ascii="Arial" w:hAnsi="Arial" w:cs="Arial"/>
          <w14:ligatures w14:val="standardContextual"/>
        </w:rPr>
        <w:t xml:space="preserve"> et al., 2017).</w:t>
      </w:r>
    </w:p>
    <w:p w14:paraId="4BEBB4B4" w14:textId="77777777" w:rsidR="00A345F2" w:rsidRPr="00C829B8" w:rsidRDefault="00A345F2" w:rsidP="00A345F2">
      <w:pPr>
        <w:autoSpaceDE w:val="0"/>
        <w:autoSpaceDN w:val="0"/>
        <w:adjustRightInd w:val="0"/>
        <w:jc w:val="both"/>
        <w:rPr>
          <w:rFonts w:ascii="Arial" w:hAnsi="Arial" w:cs="Arial"/>
          <w14:ligatures w14:val="standardContextual"/>
        </w:rPr>
      </w:pPr>
    </w:p>
    <w:p w14:paraId="2C802EFD"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Nitrate measurements in treatments given probiotics and fermentation materials yielded results ranging from 122.3 to 154.9 mg/L. According to Government Regulation No. 82 of 2001 on water quality management and water pollution control, the standard criteria for water quality regarding nitrate levels that are still within safe limits are 100 mg/l (</w:t>
      </w:r>
      <w:proofErr w:type="spellStart"/>
      <w:r w:rsidRPr="00C829B8">
        <w:rPr>
          <w:rFonts w:ascii="Arial" w:hAnsi="Arial" w:cs="Arial"/>
          <w14:ligatures w14:val="standardContextual"/>
        </w:rPr>
        <w:t>Rusdy</w:t>
      </w:r>
      <w:proofErr w:type="spellEnd"/>
      <w:r w:rsidRPr="00C829B8">
        <w:rPr>
          <w:rFonts w:ascii="Arial" w:hAnsi="Arial" w:cs="Arial"/>
          <w14:ligatures w14:val="standardContextual"/>
        </w:rPr>
        <w:t xml:space="preserve"> et al., 2021). However, as floc formation increases, it affects the increase in nitrate concentration, which is caused by the nitrification process (</w:t>
      </w:r>
      <w:proofErr w:type="spellStart"/>
      <w:r w:rsidRPr="00C829B8">
        <w:rPr>
          <w:rFonts w:ascii="Arial" w:hAnsi="Arial" w:cs="Arial"/>
          <w14:ligatures w14:val="standardContextual"/>
        </w:rPr>
        <w:t>Deswati</w:t>
      </w:r>
      <w:proofErr w:type="spellEnd"/>
      <w:r w:rsidRPr="00C829B8">
        <w:rPr>
          <w:rFonts w:ascii="Arial" w:hAnsi="Arial" w:cs="Arial"/>
          <w14:ligatures w14:val="standardContextual"/>
        </w:rPr>
        <w:t xml:space="preserve"> et al., 2023).</w:t>
      </w:r>
    </w:p>
    <w:p w14:paraId="4C977255" w14:textId="77777777" w:rsidR="00A345F2" w:rsidRPr="00C829B8" w:rsidRDefault="00A345F2" w:rsidP="00A345F2">
      <w:pPr>
        <w:autoSpaceDE w:val="0"/>
        <w:autoSpaceDN w:val="0"/>
        <w:adjustRightInd w:val="0"/>
        <w:jc w:val="both"/>
        <w:rPr>
          <w:rFonts w:ascii="Arial" w:hAnsi="Arial" w:cs="Arial"/>
          <w14:ligatures w14:val="standardContextual"/>
        </w:rPr>
      </w:pPr>
    </w:p>
    <w:p w14:paraId="6909F939"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The nitrite content is the result of nitrifying bacteria that utilize ammonia, and the nitrite results obtained exceed the SNI 06-6989.30-2005 standard, which is 0.350 mg/l, while the nitrite range results obtained are 0.375 mg/l. However, this is still tolerable and does not impact the growth conditions or survival of </w:t>
      </w:r>
      <w:proofErr w:type="spellStart"/>
      <w:r w:rsidRPr="00C829B8">
        <w:rPr>
          <w:rFonts w:ascii="Arial" w:hAnsi="Arial" w:cs="Arial"/>
          <w14:ligatures w14:val="standardContextual"/>
        </w:rPr>
        <w:t>Vanname</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w:t>
      </w:r>
    </w:p>
    <w:p w14:paraId="3EAAF173" w14:textId="77777777" w:rsidR="00A345F2" w:rsidRPr="00C829B8" w:rsidRDefault="00A345F2" w:rsidP="00A345F2">
      <w:pPr>
        <w:autoSpaceDE w:val="0"/>
        <w:autoSpaceDN w:val="0"/>
        <w:adjustRightInd w:val="0"/>
        <w:jc w:val="both"/>
        <w:rPr>
          <w:rFonts w:ascii="Arial" w:hAnsi="Arial" w:cs="Arial"/>
          <w14:ligatures w14:val="standardContextual"/>
        </w:rPr>
      </w:pPr>
    </w:p>
    <w:p w14:paraId="55198ADC" w14:textId="77777777" w:rsidR="00A345F2" w:rsidRPr="00C603D7" w:rsidRDefault="00A345F2" w:rsidP="00F7200C">
      <w:pPr>
        <w:pStyle w:val="Body"/>
        <w:spacing w:after="0"/>
        <w:rPr>
          <w:rFonts w:ascii="Arial" w:hAnsi="Arial" w:cs="Arial"/>
          <w:szCs w:val="18"/>
          <w:lang w:val="en-ID"/>
        </w:rPr>
      </w:pPr>
    </w:p>
    <w:p w14:paraId="2CCFAE9D" w14:textId="77777777" w:rsidR="00790ADA" w:rsidRPr="00FB3A86" w:rsidRDefault="00790ADA" w:rsidP="00441B6F">
      <w:pPr>
        <w:pStyle w:val="Body"/>
        <w:spacing w:after="0"/>
        <w:rPr>
          <w:rFonts w:ascii="Arial" w:hAnsi="Arial" w:cs="Arial"/>
        </w:rPr>
      </w:pPr>
    </w:p>
    <w:p w14:paraId="366A88C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00E795D" w14:textId="77777777" w:rsidR="00790ADA" w:rsidRPr="00FB3A86" w:rsidRDefault="00790ADA" w:rsidP="00441B6F">
      <w:pPr>
        <w:pStyle w:val="ConcHead"/>
        <w:spacing w:after="0"/>
        <w:jc w:val="both"/>
        <w:rPr>
          <w:rFonts w:ascii="Arial" w:hAnsi="Arial" w:cs="Arial"/>
        </w:rPr>
      </w:pPr>
    </w:p>
    <w:p w14:paraId="47971F33" w14:textId="77777777" w:rsidR="00A06DB7" w:rsidRPr="00A06DB7" w:rsidRDefault="00A06DB7" w:rsidP="00A06DB7">
      <w:pPr>
        <w:pStyle w:val="NormalWeb"/>
        <w:spacing w:before="120" w:beforeAutospacing="0" w:after="0" w:afterAutospacing="0"/>
        <w:jc w:val="both"/>
        <w:rPr>
          <w:rFonts w:ascii="Arial" w:hAnsi="Arial" w:cs="Arial"/>
          <w:color w:val="0E101A"/>
          <w:sz w:val="20"/>
          <w:szCs w:val="20"/>
        </w:rPr>
      </w:pPr>
      <w:r w:rsidRPr="00A06DB7">
        <w:rPr>
          <w:rFonts w:ascii="Arial" w:hAnsi="Arial" w:cs="Arial"/>
          <w:color w:val="0E101A"/>
          <w:sz w:val="20"/>
          <w:szCs w:val="20"/>
        </w:rPr>
        <w:t xml:space="preserve">The interaction between Yakult-based probiotics and varying fermentation durations in each treatment had a significant effect on the biological performance of </w:t>
      </w:r>
      <w:proofErr w:type="spellStart"/>
      <w:r w:rsidRPr="00A06DB7">
        <w:rPr>
          <w:rStyle w:val="Emphasis"/>
          <w:rFonts w:ascii="Arial" w:hAnsi="Arial" w:cs="Arial"/>
          <w:color w:val="0E101A"/>
          <w:sz w:val="20"/>
          <w:szCs w:val="20"/>
        </w:rPr>
        <w:t>Litopenaeus</w:t>
      </w:r>
      <w:proofErr w:type="spellEnd"/>
      <w:r w:rsidRPr="00A06DB7">
        <w:rPr>
          <w:rStyle w:val="Emphasis"/>
          <w:rFonts w:ascii="Arial" w:hAnsi="Arial" w:cs="Arial"/>
          <w:color w:val="0E101A"/>
          <w:sz w:val="20"/>
          <w:szCs w:val="20"/>
        </w:rPr>
        <w:t xml:space="preserve"> </w:t>
      </w:r>
      <w:proofErr w:type="spellStart"/>
      <w:r w:rsidRPr="00A06DB7">
        <w:rPr>
          <w:rStyle w:val="Emphasis"/>
          <w:rFonts w:ascii="Arial" w:hAnsi="Arial" w:cs="Arial"/>
          <w:color w:val="0E101A"/>
          <w:sz w:val="20"/>
          <w:szCs w:val="20"/>
        </w:rPr>
        <w:t>vannamei</w:t>
      </w:r>
      <w:proofErr w:type="spellEnd"/>
      <w:r w:rsidRPr="00A06DB7">
        <w:rPr>
          <w:rFonts w:ascii="Arial" w:hAnsi="Arial" w:cs="Arial"/>
          <w:color w:val="0E101A"/>
          <w:sz w:val="20"/>
          <w:szCs w:val="20"/>
        </w:rPr>
        <w:t xml:space="preserve">. This was evidenced by increased growth rates, higher survival percentages, lower feed conversion ratios (FCR), improved feed efficiency, greater floc volume density, and consistently stable water quality parameters throughout the culture period. These findings suggest that both probiotic type and fermentation duration play crucial roles in optimizing the functionality of </w:t>
      </w:r>
      <w:proofErr w:type="spellStart"/>
      <w:r w:rsidRPr="00A06DB7">
        <w:rPr>
          <w:rFonts w:ascii="Arial" w:hAnsi="Arial" w:cs="Arial"/>
          <w:color w:val="0E101A"/>
          <w:sz w:val="20"/>
          <w:szCs w:val="20"/>
        </w:rPr>
        <w:t>biofloc</w:t>
      </w:r>
      <w:proofErr w:type="spellEnd"/>
      <w:r w:rsidRPr="00A06DB7">
        <w:rPr>
          <w:rFonts w:ascii="Arial" w:hAnsi="Arial" w:cs="Arial"/>
          <w:color w:val="0E101A"/>
          <w:sz w:val="20"/>
          <w:szCs w:val="20"/>
        </w:rPr>
        <w:t xml:space="preserve"> systems.</w:t>
      </w:r>
    </w:p>
    <w:p w14:paraId="0B94C724" w14:textId="77777777" w:rsidR="00A06DB7" w:rsidRPr="00A06DB7" w:rsidRDefault="00A06DB7" w:rsidP="00A06DB7">
      <w:pPr>
        <w:pStyle w:val="NormalWeb"/>
        <w:spacing w:before="120" w:beforeAutospacing="0" w:after="0" w:afterAutospacing="0"/>
        <w:jc w:val="both"/>
        <w:rPr>
          <w:rFonts w:ascii="Arial" w:hAnsi="Arial" w:cs="Arial"/>
          <w:color w:val="0E101A"/>
          <w:sz w:val="20"/>
          <w:szCs w:val="20"/>
        </w:rPr>
      </w:pPr>
      <w:r w:rsidRPr="00A06DB7">
        <w:rPr>
          <w:rFonts w:ascii="Arial" w:hAnsi="Arial" w:cs="Arial"/>
          <w:color w:val="0E101A"/>
          <w:sz w:val="20"/>
          <w:szCs w:val="20"/>
        </w:rPr>
        <w:t>Based on these results, lime supplementation should be considered in culture media to suppress excessive nitrite levels. Furthermore, Yakult-based probiotics with optimized fermentation durations should be implemented on a commercial scale to support sustainable and efficient shrimp farming practices.</w:t>
      </w:r>
    </w:p>
    <w:p w14:paraId="65A85ADC" w14:textId="77777777" w:rsidR="00A06DB7" w:rsidRDefault="00A06DB7" w:rsidP="00A06DB7"/>
    <w:p w14:paraId="5489DAAE" w14:textId="77777777" w:rsidR="00A06DB7" w:rsidRDefault="00A06DB7" w:rsidP="00F7200C">
      <w:pPr>
        <w:pStyle w:val="Body"/>
        <w:rPr>
          <w:rFonts w:ascii="Arial" w:hAnsi="Arial" w:cs="Arial"/>
        </w:rPr>
      </w:pPr>
    </w:p>
    <w:p w14:paraId="42E3DFE7" w14:textId="3B11894B" w:rsidR="008F68F4" w:rsidRDefault="008F68F4" w:rsidP="00F7200C">
      <w:pPr>
        <w:pStyle w:val="Body"/>
        <w:spacing w:after="0"/>
        <w:rPr>
          <w:rFonts w:ascii="Arial" w:hAnsi="Arial" w:cs="Arial"/>
        </w:rPr>
      </w:pPr>
    </w:p>
    <w:p w14:paraId="4F5DE752" w14:textId="77777777" w:rsidR="008F68F4" w:rsidRPr="00740879" w:rsidRDefault="008F68F4" w:rsidP="00427F07">
      <w:pPr>
        <w:rPr>
          <w:highlight w:val="yellow"/>
        </w:rPr>
      </w:pPr>
      <w:r w:rsidRPr="00740879">
        <w:rPr>
          <w:highlight w:val="yellow"/>
        </w:rPr>
        <w:t>Disclaimer (Artificial intelligence)</w:t>
      </w:r>
    </w:p>
    <w:p w14:paraId="418C2907" w14:textId="77777777" w:rsidR="00427F07" w:rsidRDefault="00427F07" w:rsidP="006235E9">
      <w:pPr>
        <w:jc w:val="both"/>
        <w:rPr>
          <w:highlight w:val="yellow"/>
        </w:rPr>
      </w:pPr>
    </w:p>
    <w:p w14:paraId="2CDA9B5C" w14:textId="77EFB1FD" w:rsidR="008F68F4" w:rsidRPr="00740879" w:rsidRDefault="008F68F4" w:rsidP="006235E9">
      <w:pPr>
        <w:jc w:val="both"/>
        <w:rPr>
          <w:highlight w:val="yellow"/>
        </w:rPr>
      </w:pPr>
      <w:r w:rsidRPr="00740879">
        <w:rPr>
          <w:highlight w:val="yellow"/>
        </w:rPr>
        <w:t>Author(s) hereby declare that NO generative AI technologies such as Large Language Models (ChatGPT, COPILOT, etc.) and text-to-image generators have been used during the writing or editing of this manuscript.</w:t>
      </w:r>
    </w:p>
    <w:p w14:paraId="2ACCDD10" w14:textId="77777777" w:rsidR="008F68F4" w:rsidRDefault="008F68F4" w:rsidP="00F7200C">
      <w:pPr>
        <w:pStyle w:val="Body"/>
        <w:spacing w:after="0"/>
        <w:rPr>
          <w:rFonts w:ascii="Arial" w:hAnsi="Arial" w:cs="Arial"/>
        </w:rPr>
      </w:pPr>
    </w:p>
    <w:p w14:paraId="551966D6" w14:textId="77777777" w:rsidR="00860000" w:rsidRDefault="00860000" w:rsidP="00441B6F">
      <w:pPr>
        <w:pStyle w:val="ReferHead"/>
        <w:spacing w:after="0"/>
        <w:jc w:val="both"/>
        <w:rPr>
          <w:rFonts w:ascii="Arial" w:hAnsi="Arial" w:cs="Arial"/>
        </w:rPr>
      </w:pPr>
    </w:p>
    <w:p w14:paraId="01F04ACE" w14:textId="77777777" w:rsidR="00F65EFC" w:rsidRDefault="00F65EFC" w:rsidP="00441B6F">
      <w:pPr>
        <w:pStyle w:val="ReferHead"/>
        <w:spacing w:after="0"/>
        <w:jc w:val="both"/>
        <w:rPr>
          <w:rFonts w:ascii="Arial" w:hAnsi="Arial" w:cs="Arial"/>
        </w:rPr>
      </w:pPr>
    </w:p>
    <w:p w14:paraId="343F4C79" w14:textId="224DFE37" w:rsidR="00B038CC" w:rsidRPr="00B038CC" w:rsidRDefault="00B01FCD" w:rsidP="00B038CC">
      <w:pPr>
        <w:pStyle w:val="ReferHead"/>
        <w:spacing w:after="0"/>
        <w:jc w:val="both"/>
        <w:rPr>
          <w:rFonts w:ascii="Arial" w:hAnsi="Arial" w:cs="Arial"/>
        </w:rPr>
      </w:pPr>
      <w:r w:rsidRPr="00FB3A86">
        <w:rPr>
          <w:rFonts w:ascii="Arial" w:hAnsi="Arial" w:cs="Arial"/>
        </w:rPr>
        <w:t>References</w:t>
      </w:r>
    </w:p>
    <w:p w14:paraId="26F9091B" w14:textId="77777777" w:rsidR="00B038CC" w:rsidRDefault="00B038CC" w:rsidP="00441B6F">
      <w:pPr>
        <w:pStyle w:val="Body"/>
        <w:spacing w:after="0"/>
        <w:rPr>
          <w:rFonts w:ascii="Arial" w:hAnsi="Arial" w:cs="Arial"/>
        </w:rPr>
      </w:pPr>
    </w:p>
    <w:p w14:paraId="306EAE2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Adharani</w:t>
      </w:r>
      <w:proofErr w:type="spellEnd"/>
      <w:r w:rsidRPr="009F0BF6">
        <w:rPr>
          <w:rFonts w:ascii="Arial" w:hAnsi="Arial" w:cs="Arial"/>
          <w:lang w:val="en-ID"/>
        </w:rPr>
        <w:t xml:space="preserve">, N., </w:t>
      </w:r>
      <w:proofErr w:type="spellStart"/>
      <w:r w:rsidRPr="009F0BF6">
        <w:rPr>
          <w:rFonts w:ascii="Arial" w:hAnsi="Arial" w:cs="Arial"/>
          <w:lang w:val="en-ID"/>
        </w:rPr>
        <w:t>Wardhana</w:t>
      </w:r>
      <w:proofErr w:type="spellEnd"/>
      <w:r w:rsidRPr="009F0BF6">
        <w:rPr>
          <w:rFonts w:ascii="Arial" w:hAnsi="Arial" w:cs="Arial"/>
          <w:lang w:val="en-ID"/>
        </w:rPr>
        <w:t xml:space="preserve">, M. G., &amp; </w:t>
      </w:r>
      <w:proofErr w:type="spellStart"/>
      <w:r w:rsidRPr="009F0BF6">
        <w:rPr>
          <w:rFonts w:ascii="Arial" w:hAnsi="Arial" w:cs="Arial"/>
          <w:lang w:val="en-ID"/>
        </w:rPr>
        <w:t>Harsanti</w:t>
      </w:r>
      <w:proofErr w:type="spellEnd"/>
      <w:r w:rsidRPr="009F0BF6">
        <w:rPr>
          <w:rFonts w:ascii="Arial" w:hAnsi="Arial" w:cs="Arial"/>
          <w:lang w:val="en-ID"/>
        </w:rPr>
        <w:t xml:space="preserve">, S. (2019). Water Quality for Cultivating </w:t>
      </w:r>
      <w:proofErr w:type="spellStart"/>
      <w:r w:rsidRPr="009F0BF6">
        <w:rPr>
          <w:rFonts w:ascii="Arial" w:hAnsi="Arial" w:cs="Arial"/>
          <w:lang w:val="en-ID"/>
        </w:rPr>
        <w:t>Whiteleg</w:t>
      </w:r>
      <w:proofErr w:type="spellEnd"/>
      <w:r w:rsidRPr="009F0BF6">
        <w:rPr>
          <w:rFonts w:ascii="Arial" w:hAnsi="Arial" w:cs="Arial"/>
          <w:lang w:val="en-ID"/>
        </w:rPr>
        <w:t xml:space="preserve"> Shrimp with Bacillus </w:t>
      </w:r>
      <w:proofErr w:type="spellStart"/>
      <w:r w:rsidRPr="009F0BF6">
        <w:rPr>
          <w:rFonts w:ascii="Arial" w:hAnsi="Arial" w:cs="Arial"/>
          <w:lang w:val="en-ID"/>
        </w:rPr>
        <w:t>megaterium</w:t>
      </w:r>
      <w:proofErr w:type="spellEnd"/>
      <w:r w:rsidRPr="009F0BF6">
        <w:rPr>
          <w:rFonts w:ascii="Arial" w:hAnsi="Arial" w:cs="Arial"/>
          <w:lang w:val="en-ID"/>
        </w:rPr>
        <w:t xml:space="preserve"> and Bacillus </w:t>
      </w:r>
      <w:proofErr w:type="spellStart"/>
      <w:r w:rsidRPr="009F0BF6">
        <w:rPr>
          <w:rFonts w:ascii="Arial" w:hAnsi="Arial" w:cs="Arial"/>
          <w:lang w:val="en-ID"/>
        </w:rPr>
        <w:t>aquimaris</w:t>
      </w:r>
      <w:proofErr w:type="spellEnd"/>
      <w:r w:rsidRPr="009F0BF6">
        <w:rPr>
          <w:rFonts w:ascii="Arial" w:hAnsi="Arial" w:cs="Arial"/>
          <w:lang w:val="en-ID"/>
        </w:rPr>
        <w:t>. 65–75.</w:t>
      </w:r>
    </w:p>
    <w:p w14:paraId="211B2007"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Adipu</w:t>
      </w:r>
      <w:proofErr w:type="spellEnd"/>
      <w:r w:rsidRPr="009F0BF6">
        <w:rPr>
          <w:rFonts w:ascii="Arial" w:hAnsi="Arial" w:cs="Arial"/>
          <w:lang w:val="en-ID"/>
        </w:rPr>
        <w:t xml:space="preserve">, Y. (2019). Water Quality Profile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Cultivation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Palm Sugar as a Carbohydrate Source. 8(3), 122–125.</w:t>
      </w:r>
    </w:p>
    <w:p w14:paraId="28A85F9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Aditiashalihah</w:t>
      </w:r>
      <w:proofErr w:type="spellEnd"/>
      <w:r w:rsidRPr="009F0BF6">
        <w:rPr>
          <w:rFonts w:ascii="Arial" w:hAnsi="Arial" w:cs="Arial"/>
          <w:lang w:val="en-ID"/>
        </w:rPr>
        <w:t xml:space="preserve">, A. (2019). The Effect of Storage Length of Goat Milk Yogurt with Black Soybean Extract (Glycine </w:t>
      </w:r>
      <w:proofErr w:type="spellStart"/>
      <w:r w:rsidRPr="009F0BF6">
        <w:rPr>
          <w:rFonts w:ascii="Arial" w:hAnsi="Arial" w:cs="Arial"/>
          <w:lang w:val="en-ID"/>
        </w:rPr>
        <w:t>soja</w:t>
      </w:r>
      <w:proofErr w:type="spellEnd"/>
      <w:r w:rsidRPr="009F0BF6">
        <w:rPr>
          <w:rFonts w:ascii="Arial" w:hAnsi="Arial" w:cs="Arial"/>
          <w:lang w:val="en-ID"/>
        </w:rPr>
        <w:t xml:space="preserve"> </w:t>
      </w:r>
      <w:proofErr w:type="spellStart"/>
      <w:r w:rsidRPr="009F0BF6">
        <w:rPr>
          <w:rFonts w:ascii="Arial" w:hAnsi="Arial" w:cs="Arial"/>
          <w:lang w:val="en-ID"/>
        </w:rPr>
        <w:t>sieb</w:t>
      </w:r>
      <w:proofErr w:type="spellEnd"/>
      <w:r w:rsidRPr="009F0BF6">
        <w:rPr>
          <w:rFonts w:ascii="Arial" w:hAnsi="Arial" w:cs="Arial"/>
          <w:lang w:val="en-ID"/>
        </w:rPr>
        <w:t>) Substitution at Low Temperature (4oC) on Total Lactic Acid Bacteria, Lactic Acid Content, and Inhibitory Power of E. coli Bacteria.</w:t>
      </w:r>
    </w:p>
    <w:p w14:paraId="5E673243"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Afriyadi</w:t>
      </w:r>
      <w:proofErr w:type="spellEnd"/>
      <w:r w:rsidRPr="009F0BF6">
        <w:rPr>
          <w:rFonts w:ascii="Arial" w:hAnsi="Arial" w:cs="Arial"/>
          <w:lang w:val="en-ID"/>
        </w:rPr>
        <w:t xml:space="preserve">, M., Putra, I., &amp; </w:t>
      </w:r>
      <w:proofErr w:type="spellStart"/>
      <w:r w:rsidRPr="009F0BF6">
        <w:rPr>
          <w:rFonts w:ascii="Arial" w:hAnsi="Arial" w:cs="Arial"/>
          <w:lang w:val="en-ID"/>
        </w:rPr>
        <w:t>Rusliadi</w:t>
      </w:r>
      <w:proofErr w:type="spellEnd"/>
      <w:r w:rsidRPr="009F0BF6">
        <w:rPr>
          <w:rFonts w:ascii="Arial" w:hAnsi="Arial" w:cs="Arial"/>
          <w:lang w:val="en-ID"/>
        </w:rPr>
        <w:t xml:space="preserve">. (2020). The Effect of Probiotic Addition with Different Frequencies on the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 80–86.</w:t>
      </w:r>
    </w:p>
    <w:p w14:paraId="38002675"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Anggana</w:t>
      </w:r>
      <w:proofErr w:type="spellEnd"/>
      <w:r w:rsidRPr="009F0BF6">
        <w:rPr>
          <w:rFonts w:ascii="Arial" w:hAnsi="Arial" w:cs="Arial"/>
          <w:lang w:val="en-ID"/>
        </w:rPr>
        <w:t xml:space="preserve">, M., Heza, S., </w:t>
      </w:r>
      <w:proofErr w:type="spellStart"/>
      <w:r w:rsidRPr="009F0BF6">
        <w:rPr>
          <w:rFonts w:ascii="Arial" w:hAnsi="Arial" w:cs="Arial"/>
          <w:lang w:val="en-ID"/>
        </w:rPr>
        <w:t>Absharina</w:t>
      </w:r>
      <w:proofErr w:type="spellEnd"/>
      <w:r w:rsidRPr="009F0BF6">
        <w:rPr>
          <w:rFonts w:ascii="Arial" w:hAnsi="Arial" w:cs="Arial"/>
          <w:lang w:val="en-ID"/>
        </w:rPr>
        <w:t xml:space="preserve">, F. D., &amp; </w:t>
      </w:r>
      <w:proofErr w:type="spellStart"/>
      <w:r w:rsidRPr="009F0BF6">
        <w:rPr>
          <w:rFonts w:ascii="Arial" w:hAnsi="Arial" w:cs="Arial"/>
          <w:lang w:val="en-ID"/>
        </w:rPr>
        <w:t>Gevira</w:t>
      </w:r>
      <w:proofErr w:type="spellEnd"/>
      <w:r w:rsidRPr="009F0BF6">
        <w:rPr>
          <w:rFonts w:ascii="Arial" w:hAnsi="Arial" w:cs="Arial"/>
          <w:lang w:val="en-ID"/>
        </w:rPr>
        <w:t xml:space="preserve">, Z. (2021). Application of </w:t>
      </w:r>
      <w:proofErr w:type="spellStart"/>
      <w:r w:rsidRPr="009F0BF6">
        <w:rPr>
          <w:rFonts w:ascii="Arial" w:hAnsi="Arial" w:cs="Arial"/>
          <w:lang w:val="en-ID"/>
        </w:rPr>
        <w:t>Biofloc</w:t>
      </w:r>
      <w:proofErr w:type="spellEnd"/>
      <w:r w:rsidRPr="009F0BF6">
        <w:rPr>
          <w:rFonts w:ascii="Arial" w:hAnsi="Arial" w:cs="Arial"/>
          <w:lang w:val="en-ID"/>
        </w:rPr>
        <w:t xml:space="preserve"> and Probiotics in Feed for Pearl Catfish (</w:t>
      </w:r>
      <w:proofErr w:type="spellStart"/>
      <w:r w:rsidRPr="009F0BF6">
        <w:rPr>
          <w:rFonts w:ascii="Arial" w:hAnsi="Arial" w:cs="Arial"/>
          <w:lang w:val="en-ID"/>
        </w:rPr>
        <w:t>Clarias</w:t>
      </w:r>
      <w:proofErr w:type="spellEnd"/>
      <w:r w:rsidRPr="009F0BF6">
        <w:rPr>
          <w:rFonts w:ascii="Arial" w:hAnsi="Arial" w:cs="Arial"/>
          <w:lang w:val="en-ID"/>
        </w:rPr>
        <w:t xml:space="preserve"> </w:t>
      </w:r>
      <w:proofErr w:type="spellStart"/>
      <w:r w:rsidRPr="009F0BF6">
        <w:rPr>
          <w:rFonts w:ascii="Arial" w:hAnsi="Arial" w:cs="Arial"/>
          <w:lang w:val="en-ID"/>
        </w:rPr>
        <w:t>gariepinus</w:t>
      </w:r>
      <w:proofErr w:type="spellEnd"/>
      <w:r w:rsidRPr="009F0BF6">
        <w:rPr>
          <w:rFonts w:ascii="Arial" w:hAnsi="Arial" w:cs="Arial"/>
          <w:lang w:val="en-ID"/>
        </w:rPr>
        <w:t>) Farming.</w:t>
      </w:r>
    </w:p>
    <w:p w14:paraId="78D0227A"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Arsad</w:t>
      </w:r>
      <w:proofErr w:type="spellEnd"/>
      <w:r w:rsidRPr="009F0BF6">
        <w:rPr>
          <w:rFonts w:ascii="Arial" w:hAnsi="Arial" w:cs="Arial"/>
          <w:lang w:val="en-ID"/>
        </w:rPr>
        <w:t xml:space="preserve">, S., </w:t>
      </w:r>
      <w:proofErr w:type="spellStart"/>
      <w:r w:rsidRPr="009F0BF6">
        <w:rPr>
          <w:rFonts w:ascii="Arial" w:hAnsi="Arial" w:cs="Arial"/>
          <w:lang w:val="en-ID"/>
        </w:rPr>
        <w:t>Afandy</w:t>
      </w:r>
      <w:proofErr w:type="spellEnd"/>
      <w:r w:rsidRPr="009F0BF6">
        <w:rPr>
          <w:rFonts w:ascii="Arial" w:hAnsi="Arial" w:cs="Arial"/>
          <w:lang w:val="en-ID"/>
        </w:rPr>
        <w:t xml:space="preserve">, A., </w:t>
      </w:r>
      <w:proofErr w:type="spellStart"/>
      <w:r w:rsidRPr="009F0BF6">
        <w:rPr>
          <w:rFonts w:ascii="Arial" w:hAnsi="Arial" w:cs="Arial"/>
          <w:lang w:val="en-ID"/>
        </w:rPr>
        <w:t>Purwadhi</w:t>
      </w:r>
      <w:proofErr w:type="spellEnd"/>
      <w:r w:rsidRPr="009F0BF6">
        <w:rPr>
          <w:rFonts w:ascii="Arial" w:hAnsi="Arial" w:cs="Arial"/>
          <w:lang w:val="en-ID"/>
        </w:rPr>
        <w:t xml:space="preserve">, A. P., Maya V, B., Saputra, D. K., &amp; </w:t>
      </w:r>
      <w:proofErr w:type="spellStart"/>
      <w:r w:rsidRPr="009F0BF6">
        <w:rPr>
          <w:rFonts w:ascii="Arial" w:hAnsi="Arial" w:cs="Arial"/>
          <w:lang w:val="en-ID"/>
        </w:rPr>
        <w:t>Buwono</w:t>
      </w:r>
      <w:proofErr w:type="spellEnd"/>
      <w:r w:rsidRPr="009F0BF6">
        <w:rPr>
          <w:rFonts w:ascii="Arial" w:hAnsi="Arial" w:cs="Arial"/>
          <w:lang w:val="en-ID"/>
        </w:rPr>
        <w:t xml:space="preserve">, N. R. (2017). Study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Farming Activities with Different Maintenance Systems. Scientific Journal of Fisheries and Marine Sciences, 9(1), 1. https://doi.org/10.20473/jipk.9i1.7624</w:t>
      </w:r>
    </w:p>
    <w:p w14:paraId="5F9AD8EC" w14:textId="1BDB220F" w:rsidR="00A345F2" w:rsidRPr="00A345F2" w:rsidRDefault="00A345F2" w:rsidP="00A345F2">
      <w:pPr>
        <w:pStyle w:val="NormalWeb"/>
        <w:jc w:val="both"/>
        <w:rPr>
          <w:rFonts w:ascii="Arial" w:hAnsi="Arial" w:cs="Arial"/>
          <w:sz w:val="20"/>
          <w:szCs w:val="20"/>
        </w:rPr>
      </w:pPr>
      <w:r w:rsidRPr="00FA30F1">
        <w:rPr>
          <w:rFonts w:ascii="Arial" w:hAnsi="Arial" w:cs="Arial"/>
          <w:sz w:val="20"/>
          <w:szCs w:val="20"/>
        </w:rPr>
        <w:t xml:space="preserve">Crab, R., </w:t>
      </w:r>
      <w:proofErr w:type="spellStart"/>
      <w:r w:rsidRPr="00FA30F1">
        <w:rPr>
          <w:rFonts w:ascii="Arial" w:hAnsi="Arial" w:cs="Arial"/>
          <w:sz w:val="20"/>
          <w:szCs w:val="20"/>
        </w:rPr>
        <w:t>Defoirdt</w:t>
      </w:r>
      <w:proofErr w:type="spellEnd"/>
      <w:r w:rsidRPr="00FA30F1">
        <w:rPr>
          <w:rFonts w:ascii="Arial" w:hAnsi="Arial" w:cs="Arial"/>
          <w:sz w:val="20"/>
          <w:szCs w:val="20"/>
        </w:rPr>
        <w:t xml:space="preserve">, T., Bossier, P., &amp; Verstraete, W. (2012). </w:t>
      </w:r>
      <w:proofErr w:type="spellStart"/>
      <w:r w:rsidRPr="00FA30F1">
        <w:rPr>
          <w:rFonts w:ascii="Arial" w:hAnsi="Arial" w:cs="Arial"/>
          <w:sz w:val="20"/>
          <w:szCs w:val="20"/>
        </w:rPr>
        <w:t>Biofloc</w:t>
      </w:r>
      <w:proofErr w:type="spellEnd"/>
      <w:r w:rsidRPr="00FA30F1">
        <w:rPr>
          <w:rFonts w:ascii="Arial" w:hAnsi="Arial" w:cs="Arial"/>
          <w:sz w:val="20"/>
          <w:szCs w:val="20"/>
        </w:rPr>
        <w:t xml:space="preserve"> technology in aquaculture: Beneficial effects and future challenges. </w:t>
      </w:r>
      <w:r w:rsidRPr="00FA30F1">
        <w:rPr>
          <w:rStyle w:val="Emphasis"/>
          <w:rFonts w:ascii="Arial" w:hAnsi="Arial" w:cs="Arial"/>
          <w:sz w:val="20"/>
          <w:szCs w:val="20"/>
        </w:rPr>
        <w:t>Aquaculture</w:t>
      </w:r>
      <w:r w:rsidRPr="00FA30F1">
        <w:rPr>
          <w:rFonts w:ascii="Arial" w:hAnsi="Arial" w:cs="Arial"/>
          <w:sz w:val="20"/>
          <w:szCs w:val="20"/>
        </w:rPr>
        <w:t xml:space="preserve">, 356–357, 351–356. </w:t>
      </w:r>
      <w:hyperlink r:id="rId20" w:history="1">
        <w:r w:rsidRPr="00FA30F1">
          <w:rPr>
            <w:rStyle w:val="Hyperlink"/>
            <w:rFonts w:ascii="Arial" w:hAnsi="Arial" w:cs="Arial"/>
            <w:sz w:val="20"/>
            <w:szCs w:val="20"/>
          </w:rPr>
          <w:t>https://doi.org/10.1016/j.aquaculture.2012.04.046</w:t>
        </w:r>
      </w:hyperlink>
    </w:p>
    <w:p w14:paraId="63C7A990" w14:textId="0033D5B9" w:rsidR="009F0BF6" w:rsidRPr="009F0BF6" w:rsidRDefault="009F0BF6" w:rsidP="009F0BF6">
      <w:pPr>
        <w:pStyle w:val="Body"/>
        <w:rPr>
          <w:rFonts w:ascii="Arial" w:hAnsi="Arial" w:cs="Arial"/>
          <w:lang w:val="en-ID"/>
        </w:rPr>
      </w:pPr>
      <w:proofErr w:type="spellStart"/>
      <w:r w:rsidRPr="009F0BF6">
        <w:rPr>
          <w:rFonts w:ascii="Arial" w:hAnsi="Arial" w:cs="Arial"/>
          <w:lang w:val="en-ID"/>
        </w:rPr>
        <w:t>Citria</w:t>
      </w:r>
      <w:proofErr w:type="spellEnd"/>
      <w:r w:rsidRPr="009F0BF6">
        <w:rPr>
          <w:rFonts w:ascii="Arial" w:hAnsi="Arial" w:cs="Arial"/>
          <w:lang w:val="en-ID"/>
        </w:rPr>
        <w:t xml:space="preserve">, I., Abidin, Z., &amp; </w:t>
      </w:r>
      <w:proofErr w:type="spellStart"/>
      <w:r w:rsidRPr="009F0BF6">
        <w:rPr>
          <w:rFonts w:ascii="Arial" w:hAnsi="Arial" w:cs="Arial"/>
          <w:lang w:val="en-ID"/>
        </w:rPr>
        <w:t>Astriana</w:t>
      </w:r>
      <w:proofErr w:type="spellEnd"/>
      <w:r w:rsidRPr="009F0BF6">
        <w:rPr>
          <w:rFonts w:ascii="Arial" w:hAnsi="Arial" w:cs="Arial"/>
          <w:lang w:val="en-ID"/>
        </w:rPr>
        <w:t>, H. (2018). The Effect of Probiotics Fermented with Different Carbon Sources on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Fisheries Journal, 8(1), 14–22.</w:t>
      </w:r>
    </w:p>
    <w:p w14:paraId="7DC0F444" w14:textId="0DA565A7" w:rsidR="009F0BF6" w:rsidRDefault="009F0BF6" w:rsidP="009F0BF6">
      <w:pPr>
        <w:pStyle w:val="Body"/>
        <w:rPr>
          <w:rFonts w:ascii="Arial" w:hAnsi="Arial" w:cs="Arial"/>
          <w:lang w:val="en-ID"/>
        </w:rPr>
      </w:pPr>
      <w:r w:rsidRPr="009F0BF6">
        <w:rPr>
          <w:rFonts w:ascii="Arial" w:hAnsi="Arial" w:cs="Arial"/>
          <w:lang w:val="en-ID"/>
        </w:rPr>
        <w:t>Dahlan, J., Hamzah, M., &amp; Kurnia, A. (2017).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Cultured in a </w:t>
      </w:r>
      <w:proofErr w:type="spellStart"/>
      <w:r w:rsidRPr="009F0BF6">
        <w:rPr>
          <w:rFonts w:ascii="Arial" w:hAnsi="Arial" w:cs="Arial"/>
          <w:lang w:val="en-ID"/>
        </w:rPr>
        <w:t>Bioflock</w:t>
      </w:r>
      <w:proofErr w:type="spellEnd"/>
      <w:r w:rsidRPr="009F0BF6">
        <w:rPr>
          <w:rFonts w:ascii="Arial" w:hAnsi="Arial" w:cs="Arial"/>
          <w:lang w:val="en-ID"/>
        </w:rPr>
        <w:t xml:space="preserve"> System with Probiotic Supplementation in the Diet. 1(2), 1–9.</w:t>
      </w:r>
    </w:p>
    <w:p w14:paraId="7F05108C" w14:textId="14C7B4BA" w:rsidR="00844E88" w:rsidRDefault="00844E88" w:rsidP="009F0BF6">
      <w:pPr>
        <w:pStyle w:val="Body"/>
      </w:pPr>
      <w:proofErr w:type="spellStart"/>
      <w:r>
        <w:t>Deswati</w:t>
      </w:r>
      <w:proofErr w:type="spellEnd"/>
      <w:r>
        <w:t xml:space="preserve">, </w:t>
      </w:r>
      <w:proofErr w:type="spellStart"/>
      <w:r>
        <w:t>Zein</w:t>
      </w:r>
      <w:proofErr w:type="spellEnd"/>
      <w:r>
        <w:t xml:space="preserve">, R., </w:t>
      </w:r>
      <w:proofErr w:type="spellStart"/>
      <w:r>
        <w:t>Dwisani</w:t>
      </w:r>
      <w:proofErr w:type="spellEnd"/>
      <w:r>
        <w:t xml:space="preserve">, R., </w:t>
      </w:r>
      <w:proofErr w:type="spellStart"/>
      <w:r>
        <w:t>Fitri</w:t>
      </w:r>
      <w:proofErr w:type="spellEnd"/>
      <w:r>
        <w:t xml:space="preserve">, W. E., &amp; Putra, A. (2023). </w:t>
      </w:r>
      <w:proofErr w:type="spellStart"/>
      <w:r>
        <w:rPr>
          <w:rStyle w:val="Emphasis"/>
        </w:rPr>
        <w:t>Biofloc</w:t>
      </w:r>
      <w:proofErr w:type="spellEnd"/>
      <w:r>
        <w:rPr>
          <w:rStyle w:val="Emphasis"/>
        </w:rPr>
        <w:t>-based catfish cultivation and its effect on the dynamics of water quality</w:t>
      </w:r>
      <w:r>
        <w:t>. Journal of Environmental Science and Aquatic Technology, 16(6).</w:t>
      </w:r>
    </w:p>
    <w:p w14:paraId="4731D576" w14:textId="77777777" w:rsidR="00A345F2" w:rsidRPr="00FA30F1" w:rsidRDefault="00A345F2" w:rsidP="00A345F2">
      <w:pPr>
        <w:pStyle w:val="NormalWeb"/>
        <w:jc w:val="both"/>
        <w:rPr>
          <w:rFonts w:ascii="Arial" w:hAnsi="Arial" w:cs="Arial"/>
          <w:sz w:val="20"/>
          <w:szCs w:val="20"/>
        </w:rPr>
      </w:pPr>
      <w:proofErr w:type="spellStart"/>
      <w:r w:rsidRPr="00FA30F1">
        <w:rPr>
          <w:rFonts w:ascii="Arial" w:hAnsi="Arial" w:cs="Arial"/>
          <w:sz w:val="20"/>
          <w:szCs w:val="20"/>
        </w:rPr>
        <w:t>Emerenciano</w:t>
      </w:r>
      <w:proofErr w:type="spellEnd"/>
      <w:r w:rsidRPr="00FA30F1">
        <w:rPr>
          <w:rFonts w:ascii="Arial" w:hAnsi="Arial" w:cs="Arial"/>
          <w:sz w:val="20"/>
          <w:szCs w:val="20"/>
        </w:rPr>
        <w:t xml:space="preserve">, M., Gaxiola, G., &amp; </w:t>
      </w:r>
      <w:proofErr w:type="spellStart"/>
      <w:r w:rsidRPr="00FA30F1">
        <w:rPr>
          <w:rFonts w:ascii="Arial" w:hAnsi="Arial" w:cs="Arial"/>
          <w:sz w:val="20"/>
          <w:szCs w:val="20"/>
        </w:rPr>
        <w:t>Cuzon</w:t>
      </w:r>
      <w:proofErr w:type="spellEnd"/>
      <w:r w:rsidRPr="00FA30F1">
        <w:rPr>
          <w:rFonts w:ascii="Arial" w:hAnsi="Arial" w:cs="Arial"/>
          <w:sz w:val="20"/>
          <w:szCs w:val="20"/>
        </w:rPr>
        <w:t xml:space="preserve">, G. (2013). </w:t>
      </w:r>
      <w:proofErr w:type="spellStart"/>
      <w:r w:rsidRPr="00FA30F1">
        <w:rPr>
          <w:rFonts w:ascii="Arial" w:hAnsi="Arial" w:cs="Arial"/>
          <w:sz w:val="20"/>
          <w:szCs w:val="20"/>
        </w:rPr>
        <w:t>Biofloc</w:t>
      </w:r>
      <w:proofErr w:type="spellEnd"/>
      <w:r w:rsidRPr="00FA30F1">
        <w:rPr>
          <w:rFonts w:ascii="Arial" w:hAnsi="Arial" w:cs="Arial"/>
          <w:sz w:val="20"/>
          <w:szCs w:val="20"/>
        </w:rPr>
        <w:t xml:space="preserve"> Technology (BFT): A Review for Aquaculture Application and Animal Food Industry. </w:t>
      </w:r>
      <w:r w:rsidRPr="00FA30F1">
        <w:rPr>
          <w:rStyle w:val="Emphasis"/>
          <w:rFonts w:ascii="Arial" w:hAnsi="Arial" w:cs="Arial"/>
          <w:sz w:val="20"/>
          <w:szCs w:val="20"/>
        </w:rPr>
        <w:t>Biomass Now – Cultivation and Utilization</w:t>
      </w:r>
      <w:r w:rsidRPr="00FA30F1">
        <w:rPr>
          <w:rFonts w:ascii="Arial" w:hAnsi="Arial" w:cs="Arial"/>
          <w:sz w:val="20"/>
          <w:szCs w:val="20"/>
        </w:rPr>
        <w:t xml:space="preserve">, </w:t>
      </w:r>
      <w:proofErr w:type="spellStart"/>
      <w:r w:rsidRPr="00FA30F1">
        <w:rPr>
          <w:rFonts w:ascii="Arial" w:hAnsi="Arial" w:cs="Arial"/>
          <w:sz w:val="20"/>
          <w:szCs w:val="20"/>
        </w:rPr>
        <w:t>InTech</w:t>
      </w:r>
      <w:proofErr w:type="spellEnd"/>
      <w:r w:rsidRPr="00FA30F1">
        <w:rPr>
          <w:rFonts w:ascii="Arial" w:hAnsi="Arial" w:cs="Arial"/>
          <w:sz w:val="20"/>
          <w:szCs w:val="20"/>
        </w:rPr>
        <w:t>. https://doi.org/10.5772/53902</w:t>
      </w:r>
    </w:p>
    <w:p w14:paraId="6E67D7AD"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Faridah, F., Diana, S., &amp; </w:t>
      </w:r>
      <w:proofErr w:type="spellStart"/>
      <w:r w:rsidRPr="009F0BF6">
        <w:rPr>
          <w:rFonts w:ascii="Arial" w:hAnsi="Arial" w:cs="Arial"/>
          <w:lang w:val="en-ID"/>
        </w:rPr>
        <w:t>Yuniati</w:t>
      </w:r>
      <w:proofErr w:type="spellEnd"/>
      <w:r w:rsidRPr="009F0BF6">
        <w:rPr>
          <w:rFonts w:ascii="Arial" w:hAnsi="Arial" w:cs="Arial"/>
          <w:lang w:val="en-ID"/>
        </w:rPr>
        <w:t xml:space="preserve">, Y. (2019). Catfish Cultivation Using the </w:t>
      </w:r>
      <w:proofErr w:type="spellStart"/>
      <w:r w:rsidRPr="009F0BF6">
        <w:rPr>
          <w:rFonts w:ascii="Arial" w:hAnsi="Arial" w:cs="Arial"/>
          <w:lang w:val="en-ID"/>
        </w:rPr>
        <w:t>Biofloc</w:t>
      </w:r>
      <w:proofErr w:type="spellEnd"/>
      <w:r w:rsidRPr="009F0BF6">
        <w:rPr>
          <w:rFonts w:ascii="Arial" w:hAnsi="Arial" w:cs="Arial"/>
          <w:lang w:val="en-ID"/>
        </w:rPr>
        <w:t xml:space="preserve"> Method in Conventional Catfish Farmers. </w:t>
      </w:r>
      <w:proofErr w:type="spellStart"/>
      <w:r w:rsidRPr="009F0BF6">
        <w:rPr>
          <w:rFonts w:ascii="Arial" w:hAnsi="Arial" w:cs="Arial"/>
          <w:lang w:val="en-ID"/>
        </w:rPr>
        <w:t>Caradde</w:t>
      </w:r>
      <w:proofErr w:type="spellEnd"/>
      <w:r w:rsidRPr="009F0BF6">
        <w:rPr>
          <w:rFonts w:ascii="Arial" w:hAnsi="Arial" w:cs="Arial"/>
          <w:lang w:val="en-ID"/>
        </w:rPr>
        <w:t>: Journal of Community Service, 1(2), 224–227. https://doi.org/10.31960/caradde.v1i2.74</w:t>
      </w:r>
    </w:p>
    <w:p w14:paraId="20C9F52C" w14:textId="77777777" w:rsidR="009F0BF6" w:rsidRPr="009F0BF6" w:rsidRDefault="009F0BF6" w:rsidP="009F0BF6">
      <w:pPr>
        <w:pStyle w:val="Body"/>
        <w:rPr>
          <w:rFonts w:ascii="Arial" w:hAnsi="Arial" w:cs="Arial"/>
          <w:lang w:val="en-ID"/>
        </w:rPr>
      </w:pPr>
      <w:r w:rsidRPr="009F0BF6">
        <w:rPr>
          <w:rFonts w:ascii="Arial" w:hAnsi="Arial" w:cs="Arial"/>
          <w:lang w:val="en-ID"/>
        </w:rPr>
        <w:lastRenderedPageBreak/>
        <w:t xml:space="preserve">Fernando, E. (2016). The Effect of Variations in Dosage and Frequency of Probiotic Feed Administration on the Growth and Mortality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1–103.</w:t>
      </w:r>
    </w:p>
    <w:p w14:paraId="3E4802CC" w14:textId="07EF170B" w:rsidR="009F0BF6" w:rsidRPr="009F0BF6" w:rsidRDefault="009F0BF6" w:rsidP="009F0BF6">
      <w:pPr>
        <w:pStyle w:val="Body"/>
        <w:rPr>
          <w:rFonts w:ascii="Arial" w:hAnsi="Arial" w:cs="Arial"/>
          <w:lang w:val="en-ID"/>
        </w:rPr>
      </w:pPr>
      <w:r w:rsidRPr="009F0BF6">
        <w:rPr>
          <w:rFonts w:ascii="Arial" w:hAnsi="Arial" w:cs="Arial"/>
          <w:lang w:val="en-ID"/>
        </w:rPr>
        <w:t xml:space="preserve">Hasim, H., </w:t>
      </w:r>
      <w:proofErr w:type="spellStart"/>
      <w:r w:rsidRPr="009F0BF6">
        <w:rPr>
          <w:rFonts w:ascii="Arial" w:hAnsi="Arial" w:cs="Arial"/>
          <w:lang w:val="en-ID"/>
        </w:rPr>
        <w:t>Baidi</w:t>
      </w:r>
      <w:proofErr w:type="spellEnd"/>
      <w:r w:rsidRPr="009F0BF6">
        <w:rPr>
          <w:rFonts w:ascii="Arial" w:hAnsi="Arial" w:cs="Arial"/>
          <w:lang w:val="en-ID"/>
        </w:rPr>
        <w:t xml:space="preserve">, N., </w:t>
      </w:r>
      <w:proofErr w:type="spellStart"/>
      <w:r w:rsidRPr="009F0BF6">
        <w:rPr>
          <w:rFonts w:ascii="Arial" w:hAnsi="Arial" w:cs="Arial"/>
          <w:lang w:val="en-ID"/>
        </w:rPr>
        <w:t>Syamsuddin</w:t>
      </w:r>
      <w:proofErr w:type="spellEnd"/>
      <w:r w:rsidRPr="009F0BF6">
        <w:rPr>
          <w:rFonts w:ascii="Arial" w:hAnsi="Arial" w:cs="Arial"/>
          <w:lang w:val="en-ID"/>
        </w:rPr>
        <w:t xml:space="preserve">, S., &amp; </w:t>
      </w:r>
      <w:proofErr w:type="spellStart"/>
      <w:r w:rsidRPr="009F0BF6">
        <w:rPr>
          <w:rFonts w:ascii="Arial" w:hAnsi="Arial" w:cs="Arial"/>
          <w:lang w:val="en-ID"/>
        </w:rPr>
        <w:t>Tuiyo</w:t>
      </w:r>
      <w:proofErr w:type="spellEnd"/>
      <w:r w:rsidRPr="009F0BF6">
        <w:rPr>
          <w:rFonts w:ascii="Arial" w:hAnsi="Arial" w:cs="Arial"/>
          <w:lang w:val="en-ID"/>
        </w:rPr>
        <w:t xml:space="preserve">, R. (2021). Administration of the Probiotic </w:t>
      </w:r>
      <w:proofErr w:type="spellStart"/>
      <w:r w:rsidRPr="009F0BF6">
        <w:rPr>
          <w:rFonts w:ascii="Arial" w:hAnsi="Arial" w:cs="Arial"/>
          <w:lang w:val="en-ID"/>
        </w:rPr>
        <w:t>Sanolife</w:t>
      </w:r>
      <w:proofErr w:type="spellEnd"/>
      <w:r w:rsidRPr="009F0BF6">
        <w:rPr>
          <w:rFonts w:ascii="Arial" w:hAnsi="Arial" w:cs="Arial"/>
          <w:lang w:val="en-ID"/>
        </w:rPr>
        <w:t xml:space="preserve"> Mic-S on the Biological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PL 10. </w:t>
      </w:r>
      <w:proofErr w:type="spellStart"/>
      <w:r w:rsidRPr="009F0BF6">
        <w:rPr>
          <w:rFonts w:ascii="Arial" w:hAnsi="Arial" w:cs="Arial"/>
          <w:lang w:val="en-ID"/>
        </w:rPr>
        <w:t>Technium</w:t>
      </w:r>
      <w:proofErr w:type="spellEnd"/>
      <w:r w:rsidRPr="009F0BF6">
        <w:rPr>
          <w:rFonts w:ascii="Arial" w:hAnsi="Arial" w:cs="Arial"/>
          <w:lang w:val="en-ID"/>
        </w:rPr>
        <w:t xml:space="preserve"> Romanian Journal of Applied Sciences and Technology, 3(8), 42–57.</w:t>
      </w:r>
      <w:r w:rsidR="00B81B8F">
        <w:rPr>
          <w:rFonts w:ascii="Arial" w:hAnsi="Arial" w:cs="Arial"/>
          <w:lang w:val="en-ID"/>
        </w:rPr>
        <w:t xml:space="preserve"> </w:t>
      </w:r>
      <w:r w:rsidRPr="009F0BF6">
        <w:rPr>
          <w:rFonts w:ascii="Arial" w:hAnsi="Arial" w:cs="Arial"/>
          <w:lang w:val="en-ID"/>
        </w:rPr>
        <w:t>https://doi.org/10.47577/technium.v3i8.4581</w:t>
      </w:r>
    </w:p>
    <w:p w14:paraId="6BA02B57"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Martini, N. N. D. (2017). The Effect of Different Cultivation Systems on the Growth Rate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w:t>
      </w:r>
      <w:proofErr w:type="spellStart"/>
      <w:r w:rsidRPr="009F0BF6">
        <w:rPr>
          <w:rFonts w:ascii="Arial" w:hAnsi="Arial" w:cs="Arial"/>
          <w:lang w:val="en-ID"/>
        </w:rPr>
        <w:t>Jurnal</w:t>
      </w:r>
      <w:proofErr w:type="spellEnd"/>
      <w:r w:rsidRPr="009F0BF6">
        <w:rPr>
          <w:rFonts w:ascii="Arial" w:hAnsi="Arial" w:cs="Arial"/>
          <w:lang w:val="en-ID"/>
        </w:rPr>
        <w:t xml:space="preserve"> IKA, 15(1), 1–20.</w:t>
      </w:r>
    </w:p>
    <w:p w14:paraId="7AABA3A2"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Putri, B., Wardiyanto, W., &amp; </w:t>
      </w:r>
      <w:proofErr w:type="spellStart"/>
      <w:r w:rsidRPr="009F0BF6">
        <w:rPr>
          <w:rFonts w:ascii="Arial" w:hAnsi="Arial" w:cs="Arial"/>
          <w:lang w:val="en-ID"/>
        </w:rPr>
        <w:t>Supono</w:t>
      </w:r>
      <w:proofErr w:type="spellEnd"/>
      <w:r w:rsidRPr="009F0BF6">
        <w:rPr>
          <w:rFonts w:ascii="Arial" w:hAnsi="Arial" w:cs="Arial"/>
          <w:lang w:val="en-ID"/>
        </w:rPr>
        <w:t xml:space="preserve">, S. (2015). The Effectiveness of Using Several Bacterial Sources in a </w:t>
      </w:r>
      <w:proofErr w:type="spellStart"/>
      <w:r w:rsidRPr="009F0BF6">
        <w:rPr>
          <w:rFonts w:ascii="Arial" w:hAnsi="Arial" w:cs="Arial"/>
          <w:lang w:val="en-ID"/>
        </w:rPr>
        <w:t>Biofloc</w:t>
      </w:r>
      <w:proofErr w:type="spellEnd"/>
      <w:r w:rsidRPr="009F0BF6">
        <w:rPr>
          <w:rFonts w:ascii="Arial" w:hAnsi="Arial" w:cs="Arial"/>
          <w:lang w:val="en-ID"/>
        </w:rPr>
        <w:t xml:space="preserve"> System on the Performance of Tilapia (Oreochromis niloticus). E-Journal of Aquaculture Engineering and Technology, 4(1), 433–438. https://doi.org/10.23960/jrtbp.v4i1.1348p433-438</w:t>
      </w:r>
    </w:p>
    <w:p w14:paraId="25B187F2"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Rahmah, I. I., Laili, S., &amp; </w:t>
      </w:r>
      <w:proofErr w:type="spellStart"/>
      <w:r w:rsidRPr="009F0BF6">
        <w:rPr>
          <w:rFonts w:ascii="Arial" w:hAnsi="Arial" w:cs="Arial"/>
          <w:lang w:val="en-ID"/>
        </w:rPr>
        <w:t>Liminingsih</w:t>
      </w:r>
      <w:proofErr w:type="spellEnd"/>
      <w:r w:rsidRPr="009F0BF6">
        <w:rPr>
          <w:rFonts w:ascii="Arial" w:hAnsi="Arial" w:cs="Arial"/>
          <w:lang w:val="en-ID"/>
        </w:rPr>
        <w:t xml:space="preserve">, R. D. (2022). Analysis of Phytoplankton Community Structure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Ponds in Manyar District, Gresik Regency.</w:t>
      </w:r>
    </w:p>
    <w:p w14:paraId="26B91FC3" w14:textId="24E50A84" w:rsidR="009F0BF6" w:rsidRDefault="009F0BF6" w:rsidP="009F0BF6">
      <w:pPr>
        <w:pStyle w:val="Body"/>
        <w:rPr>
          <w:rFonts w:ascii="Arial" w:hAnsi="Arial" w:cs="Arial"/>
          <w:lang w:val="en-ID"/>
        </w:rPr>
      </w:pPr>
      <w:proofErr w:type="spellStart"/>
      <w:r w:rsidRPr="009F0BF6">
        <w:rPr>
          <w:rFonts w:ascii="Arial" w:hAnsi="Arial" w:cs="Arial"/>
          <w:lang w:val="en-ID"/>
        </w:rPr>
        <w:t>Rakhfid</w:t>
      </w:r>
      <w:proofErr w:type="spellEnd"/>
      <w:r w:rsidRPr="009F0BF6">
        <w:rPr>
          <w:rFonts w:ascii="Arial" w:hAnsi="Arial" w:cs="Arial"/>
          <w:lang w:val="en-ID"/>
        </w:rPr>
        <w:t xml:space="preserve">, A., Baya, N., Bakri, M., &amp; Fendi, F. (2017).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at Different Stocking Densities. 1996.</w:t>
      </w:r>
    </w:p>
    <w:p w14:paraId="01D13C01" w14:textId="0DAEC73B" w:rsidR="00A44C95" w:rsidRPr="009F0BF6" w:rsidRDefault="00A44C95" w:rsidP="009F0BF6">
      <w:pPr>
        <w:pStyle w:val="Body"/>
        <w:rPr>
          <w:rFonts w:ascii="Arial" w:hAnsi="Arial" w:cs="Arial"/>
          <w:lang w:val="en-ID"/>
        </w:rPr>
      </w:pPr>
      <w:r w:rsidRPr="00A44C95">
        <w:rPr>
          <w:rFonts w:ascii="Arial" w:hAnsi="Arial" w:cs="Arial"/>
        </w:rPr>
        <w:t xml:space="preserve">Rozi, R., Mukti, A. T., Samara, S. H., &amp; </w:t>
      </w:r>
      <w:proofErr w:type="spellStart"/>
      <w:r w:rsidRPr="00A44C95">
        <w:rPr>
          <w:rFonts w:ascii="Arial" w:hAnsi="Arial" w:cs="Arial"/>
        </w:rPr>
        <w:t>Santanumurti</w:t>
      </w:r>
      <w:proofErr w:type="spellEnd"/>
      <w:r w:rsidRPr="00A44C95">
        <w:rPr>
          <w:rFonts w:ascii="Arial" w:hAnsi="Arial" w:cs="Arial"/>
        </w:rPr>
        <w:t>, M. B. (2018). The effect of chitosan in feed on growth, survival rate, and feed utilization efficiency of Nile tilapia (</w:t>
      </w:r>
      <w:r w:rsidRPr="00A44C95">
        <w:rPr>
          <w:rFonts w:ascii="Arial" w:hAnsi="Arial" w:cs="Arial"/>
          <w:i/>
          <w:iCs/>
        </w:rPr>
        <w:t>Oreochromis niloticus</w:t>
      </w:r>
      <w:r w:rsidRPr="00A44C95">
        <w:rPr>
          <w:rFonts w:ascii="Arial" w:hAnsi="Arial" w:cs="Arial"/>
        </w:rPr>
        <w:t xml:space="preserve">). </w:t>
      </w:r>
      <w:r w:rsidRPr="00A44C95">
        <w:rPr>
          <w:rFonts w:ascii="Arial" w:hAnsi="Arial" w:cs="Arial"/>
          <w:i/>
          <w:iCs/>
        </w:rPr>
        <w:t>Journal of Fisheries Sciences</w:t>
      </w:r>
      <w:r w:rsidRPr="00A44C95">
        <w:rPr>
          <w:rFonts w:ascii="Arial" w:hAnsi="Arial" w:cs="Arial"/>
        </w:rPr>
        <w:t xml:space="preserve">, </w:t>
      </w:r>
      <w:r w:rsidRPr="00A44C95">
        <w:rPr>
          <w:rFonts w:ascii="Arial" w:hAnsi="Arial" w:cs="Arial"/>
          <w:i/>
          <w:iCs/>
        </w:rPr>
        <w:t>20</w:t>
      </w:r>
      <w:r w:rsidRPr="00A44C95">
        <w:rPr>
          <w:rFonts w:ascii="Arial" w:hAnsi="Arial" w:cs="Arial"/>
        </w:rPr>
        <w:t>(2), 103–111. https://doi.org/10.22146/jfs.38868</w:t>
      </w:r>
    </w:p>
    <w:p w14:paraId="2704554E" w14:textId="4C6D043C" w:rsidR="009F0BF6" w:rsidRDefault="009F0BF6" w:rsidP="009F0BF6">
      <w:pPr>
        <w:pStyle w:val="Body"/>
        <w:rPr>
          <w:rFonts w:ascii="Arial" w:hAnsi="Arial" w:cs="Arial"/>
          <w:lang w:val="en-ID"/>
        </w:rPr>
      </w:pPr>
      <w:r w:rsidRPr="009F0BF6">
        <w:rPr>
          <w:rFonts w:ascii="Arial" w:hAnsi="Arial" w:cs="Arial"/>
          <w:lang w:val="en-ID"/>
        </w:rPr>
        <w:t xml:space="preserve">Runa, N. M., </w:t>
      </w:r>
      <w:proofErr w:type="spellStart"/>
      <w:r w:rsidRPr="009F0BF6">
        <w:rPr>
          <w:rFonts w:ascii="Arial" w:hAnsi="Arial" w:cs="Arial"/>
          <w:lang w:val="en-ID"/>
        </w:rPr>
        <w:t>Fitrani</w:t>
      </w:r>
      <w:proofErr w:type="spellEnd"/>
      <w:r w:rsidRPr="009F0BF6">
        <w:rPr>
          <w:rFonts w:ascii="Arial" w:hAnsi="Arial" w:cs="Arial"/>
          <w:lang w:val="en-ID"/>
        </w:rPr>
        <w:t xml:space="preserve">, M., &amp; Taqwa, F. H. (2019). Utilization of Different Doses of Tapioca Flour as a Carbon Source in </w:t>
      </w:r>
      <w:proofErr w:type="spellStart"/>
      <w:r w:rsidRPr="009F0BF6">
        <w:rPr>
          <w:rFonts w:ascii="Arial" w:hAnsi="Arial" w:cs="Arial"/>
          <w:lang w:val="en-ID"/>
        </w:rPr>
        <w:t>Biofloc</w:t>
      </w:r>
      <w:proofErr w:type="spellEnd"/>
      <w:r w:rsidRPr="009F0BF6">
        <w:rPr>
          <w:rFonts w:ascii="Arial" w:hAnsi="Arial" w:cs="Arial"/>
          <w:lang w:val="en-ID"/>
        </w:rPr>
        <w:t xml:space="preserve"> Rearing Media of Catfish Fry (Pangasius sp.). Journal of Aquaculture and Fish Health, 8(1).</w:t>
      </w:r>
    </w:p>
    <w:p w14:paraId="0D484246" w14:textId="31D58E89" w:rsidR="00844E88" w:rsidRDefault="00844E88" w:rsidP="009F0BF6">
      <w:pPr>
        <w:pStyle w:val="Body"/>
        <w:rPr>
          <w:rFonts w:ascii="Arial" w:hAnsi="Arial" w:cs="Arial"/>
          <w:lang w:val="en-ID"/>
        </w:rPr>
      </w:pPr>
      <w:proofErr w:type="spellStart"/>
      <w:r w:rsidRPr="00844E88">
        <w:rPr>
          <w:rFonts w:ascii="Arial" w:hAnsi="Arial" w:cs="Arial"/>
        </w:rPr>
        <w:t>Rusdy</w:t>
      </w:r>
      <w:proofErr w:type="spellEnd"/>
      <w:r w:rsidRPr="00844E88">
        <w:rPr>
          <w:rFonts w:ascii="Arial" w:hAnsi="Arial" w:cs="Arial"/>
        </w:rPr>
        <w:t xml:space="preserve">, I., </w:t>
      </w:r>
      <w:proofErr w:type="spellStart"/>
      <w:r w:rsidRPr="00844E88">
        <w:rPr>
          <w:rFonts w:ascii="Arial" w:hAnsi="Arial" w:cs="Arial"/>
        </w:rPr>
        <w:t>Nurfadillah</w:t>
      </w:r>
      <w:proofErr w:type="spellEnd"/>
      <w:r w:rsidRPr="00844E88">
        <w:rPr>
          <w:rFonts w:ascii="Arial" w:hAnsi="Arial" w:cs="Arial"/>
        </w:rPr>
        <w:t xml:space="preserve">, &amp; </w:t>
      </w:r>
      <w:proofErr w:type="spellStart"/>
      <w:r w:rsidRPr="00844E88">
        <w:rPr>
          <w:rFonts w:ascii="Arial" w:hAnsi="Arial" w:cs="Arial"/>
        </w:rPr>
        <w:t>Harahap</w:t>
      </w:r>
      <w:proofErr w:type="spellEnd"/>
      <w:r w:rsidRPr="00844E88">
        <w:rPr>
          <w:rFonts w:ascii="Arial" w:hAnsi="Arial" w:cs="Arial"/>
        </w:rPr>
        <w:t xml:space="preserve">, D. H. (2021). Water quality in shrimp cultivation </w:t>
      </w:r>
      <w:proofErr w:type="spellStart"/>
      <w:r w:rsidRPr="00844E88">
        <w:rPr>
          <w:rFonts w:ascii="Arial" w:hAnsi="Arial" w:cs="Arial"/>
        </w:rPr>
        <w:t>vaname</w:t>
      </w:r>
      <w:proofErr w:type="spellEnd"/>
      <w:r w:rsidRPr="00844E88">
        <w:rPr>
          <w:rFonts w:ascii="Arial" w:hAnsi="Arial" w:cs="Arial"/>
        </w:rPr>
        <w:t xml:space="preserve"> (</w:t>
      </w:r>
      <w:proofErr w:type="spellStart"/>
      <w:r w:rsidRPr="00844E88">
        <w:rPr>
          <w:rFonts w:ascii="Arial" w:hAnsi="Arial" w:cs="Arial"/>
          <w:i/>
          <w:iCs/>
        </w:rPr>
        <w:t>Litopenaeus</w:t>
      </w:r>
      <w:proofErr w:type="spellEnd"/>
      <w:r w:rsidRPr="00844E88">
        <w:rPr>
          <w:rFonts w:ascii="Arial" w:hAnsi="Arial" w:cs="Arial"/>
          <w:i/>
          <w:iCs/>
        </w:rPr>
        <w:t xml:space="preserve"> </w:t>
      </w:r>
      <w:proofErr w:type="spellStart"/>
      <w:r w:rsidRPr="00844E88">
        <w:rPr>
          <w:rFonts w:ascii="Arial" w:hAnsi="Arial" w:cs="Arial"/>
          <w:i/>
          <w:iCs/>
        </w:rPr>
        <w:t>vannamei</w:t>
      </w:r>
      <w:proofErr w:type="spellEnd"/>
      <w:r w:rsidRPr="00844E88">
        <w:rPr>
          <w:rFonts w:ascii="Arial" w:hAnsi="Arial" w:cs="Arial"/>
        </w:rPr>
        <w:t xml:space="preserve">) </w:t>
      </w:r>
      <w:proofErr w:type="spellStart"/>
      <w:r w:rsidRPr="00844E88">
        <w:rPr>
          <w:rFonts w:ascii="Arial" w:hAnsi="Arial" w:cs="Arial"/>
        </w:rPr>
        <w:t>bioflok</w:t>
      </w:r>
      <w:proofErr w:type="spellEnd"/>
      <w:r w:rsidRPr="00844E88">
        <w:rPr>
          <w:rFonts w:ascii="Arial" w:hAnsi="Arial" w:cs="Arial"/>
        </w:rPr>
        <w:t xml:space="preserve"> system with dense high spreading in Alue Naga City Banda Aceh. </w:t>
      </w:r>
      <w:proofErr w:type="spellStart"/>
      <w:r w:rsidRPr="00844E88">
        <w:rPr>
          <w:rFonts w:ascii="Arial" w:hAnsi="Arial" w:cs="Arial"/>
          <w:i/>
          <w:iCs/>
        </w:rPr>
        <w:t>Jurnal</w:t>
      </w:r>
      <w:proofErr w:type="spellEnd"/>
      <w:r w:rsidRPr="00844E88">
        <w:rPr>
          <w:rFonts w:ascii="Arial" w:hAnsi="Arial" w:cs="Arial"/>
          <w:i/>
          <w:iCs/>
        </w:rPr>
        <w:t xml:space="preserve"> </w:t>
      </w:r>
      <w:proofErr w:type="spellStart"/>
      <w:r w:rsidRPr="00844E88">
        <w:rPr>
          <w:rFonts w:ascii="Arial" w:hAnsi="Arial" w:cs="Arial"/>
          <w:i/>
          <w:iCs/>
        </w:rPr>
        <w:t>Kelautan</w:t>
      </w:r>
      <w:proofErr w:type="spellEnd"/>
      <w:r w:rsidRPr="00844E88">
        <w:rPr>
          <w:rFonts w:ascii="Arial" w:hAnsi="Arial" w:cs="Arial"/>
          <w:i/>
          <w:iCs/>
        </w:rPr>
        <w:t xml:space="preserve"> </w:t>
      </w:r>
      <w:proofErr w:type="spellStart"/>
      <w:r w:rsidRPr="00844E88">
        <w:rPr>
          <w:rFonts w:ascii="Arial" w:hAnsi="Arial" w:cs="Arial"/>
          <w:i/>
          <w:iCs/>
        </w:rPr>
        <w:t>dan</w:t>
      </w:r>
      <w:proofErr w:type="spellEnd"/>
      <w:r w:rsidRPr="00844E88">
        <w:rPr>
          <w:rFonts w:ascii="Arial" w:hAnsi="Arial" w:cs="Arial"/>
          <w:i/>
          <w:iCs/>
        </w:rPr>
        <w:t xml:space="preserve"> </w:t>
      </w:r>
      <w:proofErr w:type="spellStart"/>
      <w:r w:rsidRPr="00844E88">
        <w:rPr>
          <w:rFonts w:ascii="Arial" w:hAnsi="Arial" w:cs="Arial"/>
          <w:i/>
          <w:iCs/>
        </w:rPr>
        <w:t>Perikanan</w:t>
      </w:r>
      <w:proofErr w:type="spellEnd"/>
      <w:r w:rsidRPr="00844E88">
        <w:rPr>
          <w:rFonts w:ascii="Arial" w:hAnsi="Arial" w:cs="Arial"/>
          <w:i/>
          <w:iCs/>
        </w:rPr>
        <w:t xml:space="preserve"> Indonesia</w:t>
      </w:r>
      <w:r w:rsidRPr="00844E88">
        <w:rPr>
          <w:rFonts w:ascii="Arial" w:hAnsi="Arial" w:cs="Arial"/>
        </w:rPr>
        <w:t xml:space="preserve">, 1(3), 104–114. </w:t>
      </w:r>
      <w:hyperlink r:id="rId21" w:tgtFrame="_new" w:history="1">
        <w:r w:rsidRPr="00844E88">
          <w:rPr>
            <w:rStyle w:val="Hyperlink"/>
            <w:rFonts w:ascii="Arial" w:hAnsi="Arial" w:cs="Arial"/>
          </w:rPr>
          <w:t>http://jurnal.unsyiah.ac.id/JKPI</w:t>
        </w:r>
      </w:hyperlink>
    </w:p>
    <w:p w14:paraId="650D06E3" w14:textId="7CB61418" w:rsidR="00A44C95" w:rsidRPr="009F0BF6" w:rsidRDefault="00A44C95" w:rsidP="009F0BF6">
      <w:pPr>
        <w:pStyle w:val="Body"/>
        <w:rPr>
          <w:rFonts w:ascii="Arial" w:hAnsi="Arial" w:cs="Arial"/>
          <w:lang w:val="en-ID"/>
        </w:rPr>
      </w:pPr>
      <w:r w:rsidRPr="00A44C95">
        <w:t xml:space="preserve">Sedu, A. L., </w:t>
      </w:r>
      <w:proofErr w:type="spellStart"/>
      <w:r w:rsidRPr="00A44C95">
        <w:t>Lumenta</w:t>
      </w:r>
      <w:proofErr w:type="spellEnd"/>
      <w:r w:rsidRPr="00A44C95">
        <w:t xml:space="preserve">, C., </w:t>
      </w:r>
      <w:proofErr w:type="spellStart"/>
      <w:r w:rsidRPr="00A44C95">
        <w:t>Kalesaran</w:t>
      </w:r>
      <w:proofErr w:type="spellEnd"/>
      <w:r w:rsidRPr="00A44C95">
        <w:t xml:space="preserve">, O. J., &amp; </w:t>
      </w:r>
      <w:proofErr w:type="spellStart"/>
      <w:r w:rsidRPr="00A44C95">
        <w:t>Sinjal</w:t>
      </w:r>
      <w:proofErr w:type="spellEnd"/>
      <w:r w:rsidRPr="00A44C95">
        <w:t>, J. H. (2020). The use of Taiwanese gravestone (</w:t>
      </w:r>
      <w:proofErr w:type="spellStart"/>
      <w:r w:rsidRPr="00A44C95">
        <w:rPr>
          <w:i/>
          <w:iCs/>
        </w:rPr>
        <w:t>Anodonta</w:t>
      </w:r>
      <w:proofErr w:type="spellEnd"/>
      <w:r w:rsidRPr="00A44C95">
        <w:rPr>
          <w:i/>
          <w:iCs/>
        </w:rPr>
        <w:t xml:space="preserve"> </w:t>
      </w:r>
      <w:proofErr w:type="spellStart"/>
      <w:r w:rsidRPr="00A44C95">
        <w:rPr>
          <w:i/>
          <w:iCs/>
        </w:rPr>
        <w:t>woodiana</w:t>
      </w:r>
      <w:proofErr w:type="spellEnd"/>
      <w:r w:rsidRPr="00A44C95">
        <w:t>) and pearl mussel (</w:t>
      </w:r>
      <w:proofErr w:type="spellStart"/>
      <w:r w:rsidRPr="00A44C95">
        <w:rPr>
          <w:i/>
          <w:iCs/>
        </w:rPr>
        <w:t>Pinctada</w:t>
      </w:r>
      <w:proofErr w:type="spellEnd"/>
      <w:r w:rsidRPr="00A44C95">
        <w:rPr>
          <w:i/>
          <w:iCs/>
        </w:rPr>
        <w:t xml:space="preserve"> </w:t>
      </w:r>
      <w:proofErr w:type="spellStart"/>
      <w:r w:rsidRPr="00A44C95">
        <w:rPr>
          <w:i/>
          <w:iCs/>
        </w:rPr>
        <w:t>margaritifera</w:t>
      </w:r>
      <w:proofErr w:type="spellEnd"/>
      <w:r w:rsidRPr="00A44C95">
        <w:t>) carcass flours in feed formulation for the growth of tilapia (</w:t>
      </w:r>
      <w:r w:rsidRPr="00A44C95">
        <w:rPr>
          <w:i/>
          <w:iCs/>
        </w:rPr>
        <w:t>Oreochromis niloticus</w:t>
      </w:r>
      <w:r w:rsidRPr="00A44C95">
        <w:t xml:space="preserve">) in pond. </w:t>
      </w:r>
      <w:r w:rsidRPr="00A44C95">
        <w:rPr>
          <w:i/>
          <w:iCs/>
        </w:rPr>
        <w:t>Aquaculture Science</w:t>
      </w:r>
      <w:r w:rsidRPr="00A44C95">
        <w:t xml:space="preserve">, </w:t>
      </w:r>
      <w:r w:rsidRPr="00A44C95">
        <w:rPr>
          <w:i/>
          <w:iCs/>
        </w:rPr>
        <w:t>8</w:t>
      </w:r>
      <w:r w:rsidRPr="00A44C95">
        <w:t>(2), 14–21</w:t>
      </w:r>
      <w:proofErr w:type="gramStart"/>
      <w:r w:rsidRPr="00A44C95">
        <w:t>.</w:t>
      </w:r>
      <w:r>
        <w:t>.</w:t>
      </w:r>
      <w:proofErr w:type="gramEnd"/>
    </w:p>
    <w:p w14:paraId="6C496687"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Setiawan, A., </w:t>
      </w:r>
      <w:proofErr w:type="spellStart"/>
      <w:r w:rsidRPr="009F0BF6">
        <w:rPr>
          <w:rFonts w:ascii="Arial" w:hAnsi="Arial" w:cs="Arial"/>
          <w:lang w:val="en-ID"/>
        </w:rPr>
        <w:t>Ariqoh</w:t>
      </w:r>
      <w:proofErr w:type="spellEnd"/>
      <w:r w:rsidRPr="009F0BF6">
        <w:rPr>
          <w:rFonts w:ascii="Arial" w:hAnsi="Arial" w:cs="Arial"/>
          <w:lang w:val="en-ID"/>
        </w:rPr>
        <w:t xml:space="preserve">, R., </w:t>
      </w:r>
      <w:proofErr w:type="spellStart"/>
      <w:r w:rsidRPr="009F0BF6">
        <w:rPr>
          <w:rFonts w:ascii="Arial" w:hAnsi="Arial" w:cs="Arial"/>
          <w:lang w:val="en-ID"/>
        </w:rPr>
        <w:t>Tivani</w:t>
      </w:r>
      <w:proofErr w:type="spellEnd"/>
      <w:r w:rsidRPr="009F0BF6">
        <w:rPr>
          <w:rFonts w:ascii="Arial" w:hAnsi="Arial" w:cs="Arial"/>
          <w:lang w:val="en-ID"/>
        </w:rPr>
        <w:t xml:space="preserve">, P., </w:t>
      </w:r>
      <w:proofErr w:type="spellStart"/>
      <w:r w:rsidRPr="009F0BF6">
        <w:rPr>
          <w:rFonts w:ascii="Arial" w:hAnsi="Arial" w:cs="Arial"/>
          <w:lang w:val="en-ID"/>
        </w:rPr>
        <w:t>Pipih</w:t>
      </w:r>
      <w:proofErr w:type="spellEnd"/>
      <w:r w:rsidRPr="009F0BF6">
        <w:rPr>
          <w:rFonts w:ascii="Arial" w:hAnsi="Arial" w:cs="Arial"/>
          <w:lang w:val="en-ID"/>
        </w:rPr>
        <w:t xml:space="preserve">, L., &amp; </w:t>
      </w:r>
      <w:proofErr w:type="spellStart"/>
      <w:r w:rsidRPr="009F0BF6">
        <w:rPr>
          <w:rFonts w:ascii="Arial" w:hAnsi="Arial" w:cs="Arial"/>
          <w:lang w:val="en-ID"/>
        </w:rPr>
        <w:t>Pudjiastuti</w:t>
      </w:r>
      <w:proofErr w:type="spellEnd"/>
      <w:r w:rsidRPr="009F0BF6">
        <w:rPr>
          <w:rFonts w:ascii="Arial" w:hAnsi="Arial" w:cs="Arial"/>
          <w:lang w:val="en-ID"/>
        </w:rPr>
        <w:t>, I. (2016). "</w:t>
      </w:r>
      <w:proofErr w:type="spellStart"/>
      <w:r w:rsidRPr="009F0BF6">
        <w:rPr>
          <w:rFonts w:ascii="Arial" w:hAnsi="Arial" w:cs="Arial"/>
          <w:lang w:val="en-ID"/>
        </w:rPr>
        <w:t>Bioflocculation</w:t>
      </w:r>
      <w:proofErr w:type="spellEnd"/>
      <w:r w:rsidRPr="009F0BF6">
        <w:rPr>
          <w:rFonts w:ascii="Arial" w:hAnsi="Arial" w:cs="Arial"/>
          <w:lang w:val="en-ID"/>
        </w:rPr>
        <w:t xml:space="preserve"> System": High-Density Catfish Cultivation Technology with a Capacity of 1 m3/750 Fish Using Flock-Forming Bacteria. Chemical Engineering Innovation, 1(1), 45–49. https://publikasiilmiah.unwahas.ac.id/index.php/inteka/article/view/1644/1721</w:t>
      </w:r>
    </w:p>
    <w:p w14:paraId="56EF3709"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Sitorus</w:t>
      </w:r>
      <w:proofErr w:type="spellEnd"/>
      <w:r w:rsidRPr="009F0BF6">
        <w:rPr>
          <w:rFonts w:ascii="Arial" w:hAnsi="Arial" w:cs="Arial"/>
          <w:lang w:val="en-ID"/>
        </w:rPr>
        <w:t xml:space="preserve">, N. K., </w:t>
      </w:r>
      <w:proofErr w:type="spellStart"/>
      <w:r w:rsidRPr="009F0BF6">
        <w:rPr>
          <w:rFonts w:ascii="Arial" w:hAnsi="Arial" w:cs="Arial"/>
          <w:lang w:val="en-ID"/>
        </w:rPr>
        <w:t>Lukistyowati</w:t>
      </w:r>
      <w:proofErr w:type="spellEnd"/>
      <w:r w:rsidRPr="009F0BF6">
        <w:rPr>
          <w:rFonts w:ascii="Arial" w:hAnsi="Arial" w:cs="Arial"/>
          <w:lang w:val="en-ID"/>
        </w:rPr>
        <w:t xml:space="preserve">, I., </w:t>
      </w:r>
      <w:proofErr w:type="spellStart"/>
      <w:r w:rsidRPr="009F0BF6">
        <w:rPr>
          <w:rFonts w:ascii="Arial" w:hAnsi="Arial" w:cs="Arial"/>
          <w:lang w:val="en-ID"/>
        </w:rPr>
        <w:t>Syawal</w:t>
      </w:r>
      <w:proofErr w:type="spellEnd"/>
      <w:r w:rsidRPr="009F0BF6">
        <w:rPr>
          <w:rFonts w:ascii="Arial" w:hAnsi="Arial" w:cs="Arial"/>
          <w:lang w:val="en-ID"/>
        </w:rPr>
        <w:t xml:space="preserve">, H., &amp; Putra, I. (2019). Identification of Lactic Acid Bacteria from </w:t>
      </w:r>
      <w:proofErr w:type="spellStart"/>
      <w:r w:rsidRPr="009F0BF6">
        <w:rPr>
          <w:rFonts w:ascii="Arial" w:hAnsi="Arial" w:cs="Arial"/>
          <w:lang w:val="en-ID"/>
        </w:rPr>
        <w:t>Biofloc</w:t>
      </w:r>
      <w:proofErr w:type="spellEnd"/>
      <w:r w:rsidRPr="009F0BF6">
        <w:rPr>
          <w:rFonts w:ascii="Arial" w:hAnsi="Arial" w:cs="Arial"/>
          <w:lang w:val="en-ID"/>
        </w:rPr>
        <w:t xml:space="preserve"> Technology That Have Been Giving </w:t>
      </w:r>
      <w:proofErr w:type="spellStart"/>
      <w:r w:rsidRPr="009F0BF6">
        <w:rPr>
          <w:rFonts w:ascii="Arial" w:hAnsi="Arial" w:cs="Arial"/>
          <w:lang w:val="en-ID"/>
        </w:rPr>
        <w:t>Mollusks</w:t>
      </w:r>
      <w:proofErr w:type="spellEnd"/>
      <w:r w:rsidRPr="009F0BF6">
        <w:rPr>
          <w:rFonts w:ascii="Arial" w:hAnsi="Arial" w:cs="Arial"/>
          <w:lang w:val="en-ID"/>
        </w:rPr>
        <w:t xml:space="preserve"> to Red Tilapia (Oreochromis sp.) Aquaculture. pp. 83–92.</w:t>
      </w:r>
    </w:p>
    <w:p w14:paraId="321F46FC"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lastRenderedPageBreak/>
        <w:t>Supono</w:t>
      </w:r>
      <w:proofErr w:type="spellEnd"/>
      <w:r w:rsidRPr="009F0BF6">
        <w:rPr>
          <w:rFonts w:ascii="Arial" w:hAnsi="Arial" w:cs="Arial"/>
          <w:lang w:val="en-ID"/>
        </w:rPr>
        <w:t xml:space="preserve">,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(2021a). 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Reared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Carbon Sources. pp. 30–42.</w:t>
      </w:r>
    </w:p>
    <w:p w14:paraId="74F30EE8"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Supono</w:t>
      </w:r>
      <w:proofErr w:type="spellEnd"/>
      <w:r w:rsidRPr="009F0BF6">
        <w:rPr>
          <w:rFonts w:ascii="Arial" w:hAnsi="Arial" w:cs="Arial"/>
          <w:lang w:val="en-ID"/>
        </w:rPr>
        <w:t xml:space="preserve">, S.,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(2021b).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Maintained in </w:t>
      </w:r>
      <w:proofErr w:type="spellStart"/>
      <w:r w:rsidRPr="009F0BF6">
        <w:rPr>
          <w:rFonts w:ascii="Arial" w:hAnsi="Arial" w:cs="Arial"/>
          <w:lang w:val="en-ID"/>
        </w:rPr>
        <w:t>Biofloc</w:t>
      </w:r>
      <w:proofErr w:type="spellEnd"/>
      <w:r w:rsidRPr="009F0BF6">
        <w:rPr>
          <w:rFonts w:ascii="Arial" w:hAnsi="Arial" w:cs="Arial"/>
          <w:lang w:val="en-ID"/>
        </w:rPr>
        <w:t xml:space="preserve"> Systems with Different Carbon Sources. </w:t>
      </w:r>
      <w:proofErr w:type="spellStart"/>
      <w:r w:rsidRPr="009F0BF6">
        <w:rPr>
          <w:rFonts w:ascii="Arial" w:hAnsi="Arial" w:cs="Arial"/>
          <w:lang w:val="en-ID"/>
        </w:rPr>
        <w:t>Jurnal</w:t>
      </w:r>
      <w:proofErr w:type="spellEnd"/>
      <w:r w:rsidRPr="009F0BF6">
        <w:rPr>
          <w:rFonts w:ascii="Arial" w:hAnsi="Arial" w:cs="Arial"/>
          <w:lang w:val="en-ID"/>
        </w:rPr>
        <w:t xml:space="preserve"> </w:t>
      </w:r>
      <w:proofErr w:type="spellStart"/>
      <w:r w:rsidRPr="009F0BF6">
        <w:rPr>
          <w:rFonts w:ascii="Arial" w:hAnsi="Arial" w:cs="Arial"/>
          <w:lang w:val="en-ID"/>
        </w:rPr>
        <w:t>Kelautan</w:t>
      </w:r>
      <w:proofErr w:type="spellEnd"/>
      <w:r w:rsidRPr="009F0BF6">
        <w:rPr>
          <w:rFonts w:ascii="Arial" w:hAnsi="Arial" w:cs="Arial"/>
          <w:lang w:val="en-ID"/>
        </w:rPr>
        <w:t>: Indonesian Journal of Marine Science and Technology, 14(2), 192–202. https://doi.org/10.21107/jk.v14i2.9191</w:t>
      </w:r>
    </w:p>
    <w:p w14:paraId="2B8FC08F"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Suryaningrum</w:t>
      </w:r>
      <w:proofErr w:type="spellEnd"/>
      <w:r w:rsidRPr="009F0BF6">
        <w:rPr>
          <w:rFonts w:ascii="Arial" w:hAnsi="Arial" w:cs="Arial"/>
          <w:lang w:val="en-ID"/>
        </w:rPr>
        <w:t xml:space="preserve">, F. M. (2012). Application of </w:t>
      </w:r>
      <w:proofErr w:type="spellStart"/>
      <w:r w:rsidRPr="009F0BF6">
        <w:rPr>
          <w:rFonts w:ascii="Arial" w:hAnsi="Arial" w:cs="Arial"/>
          <w:lang w:val="en-ID"/>
        </w:rPr>
        <w:t>biofloc</w:t>
      </w:r>
      <w:proofErr w:type="spellEnd"/>
      <w:r w:rsidRPr="009F0BF6">
        <w:rPr>
          <w:rFonts w:ascii="Arial" w:hAnsi="Arial" w:cs="Arial"/>
          <w:lang w:val="en-ID"/>
        </w:rPr>
        <w:t xml:space="preserve"> technology in tilapia fry cultivation. 123.</w:t>
      </w:r>
    </w:p>
    <w:p w14:paraId="44DB058A"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Tahe, S., </w:t>
      </w:r>
      <w:proofErr w:type="spellStart"/>
      <w:r w:rsidRPr="009F0BF6">
        <w:rPr>
          <w:rFonts w:ascii="Arial" w:hAnsi="Arial" w:cs="Arial"/>
          <w:lang w:val="en-ID"/>
        </w:rPr>
        <w:t>Suwoyo</w:t>
      </w:r>
      <w:proofErr w:type="spellEnd"/>
      <w:r w:rsidRPr="009F0BF6">
        <w:rPr>
          <w:rFonts w:ascii="Arial" w:hAnsi="Arial" w:cs="Arial"/>
          <w:lang w:val="en-ID"/>
        </w:rPr>
        <w:t xml:space="preserve">, H. S., &amp; </w:t>
      </w:r>
      <w:proofErr w:type="spellStart"/>
      <w:r w:rsidRPr="009F0BF6">
        <w:rPr>
          <w:rFonts w:ascii="Arial" w:hAnsi="Arial" w:cs="Arial"/>
          <w:lang w:val="en-ID"/>
        </w:rPr>
        <w:t>Fahrur</w:t>
      </w:r>
      <w:proofErr w:type="spellEnd"/>
      <w:r w:rsidRPr="009F0BF6">
        <w:rPr>
          <w:rFonts w:ascii="Arial" w:hAnsi="Arial" w:cs="Arial"/>
          <w:lang w:val="en-ID"/>
        </w:rPr>
        <w:t xml:space="preserve">, M. (2015). Application of Rica and Commercial Probiotics in </w:t>
      </w:r>
      <w:proofErr w:type="spellStart"/>
      <w:r w:rsidRPr="009F0BF6">
        <w:rPr>
          <w:rFonts w:ascii="Arial" w:hAnsi="Arial" w:cs="Arial"/>
          <w:lang w:val="en-ID"/>
        </w:rPr>
        <w:t>Whiteleg</w:t>
      </w:r>
      <w:proofErr w:type="spellEnd"/>
      <w:r w:rsidRPr="009F0BF6">
        <w:rPr>
          <w:rFonts w:ascii="Arial" w:hAnsi="Arial" w:cs="Arial"/>
          <w:lang w:val="en-ID"/>
        </w:rPr>
        <w:t xml:space="preserve"> Shrimp Cultivation. 2012, 435–445.</w:t>
      </w:r>
    </w:p>
    <w:p w14:paraId="217065F0"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Yahra</w:t>
      </w:r>
      <w:proofErr w:type="spellEnd"/>
      <w:r w:rsidRPr="009F0BF6">
        <w:rPr>
          <w:rFonts w:ascii="Arial" w:hAnsi="Arial" w:cs="Arial"/>
          <w:lang w:val="en-ID"/>
        </w:rPr>
        <w:t>, S. (2020). Analysis of nitrate and phosphate content and their relationship to mangrove density on Labu Beach, Deli Serdang Regency.</w:t>
      </w:r>
    </w:p>
    <w:p w14:paraId="4C6428D9" w14:textId="7E05A085" w:rsidR="009F0BF6" w:rsidRPr="009F0BF6" w:rsidRDefault="009F0BF6" w:rsidP="009F0BF6">
      <w:pPr>
        <w:pStyle w:val="Body"/>
        <w:rPr>
          <w:rFonts w:ascii="Arial" w:hAnsi="Arial" w:cs="Arial"/>
          <w:lang w:val="en-ID"/>
        </w:rPr>
      </w:pPr>
      <w:r w:rsidRPr="009F0BF6">
        <w:rPr>
          <w:rFonts w:ascii="Arial" w:hAnsi="Arial" w:cs="Arial"/>
          <w:lang w:val="en-ID"/>
        </w:rPr>
        <w:t>Yusuf, S. F. (2017). Ki</w:t>
      </w:r>
      <w:r w:rsidRPr="009F0BF6">
        <w:t xml:space="preserve"> </w:t>
      </w:r>
      <w:r w:rsidRPr="009F0BF6">
        <w:rPr>
          <w:rFonts w:ascii="Arial" w:hAnsi="Arial" w:cs="Arial"/>
          <w:lang w:val="en-ID"/>
        </w:rPr>
        <w:t>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Nursery in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Carbohydrates.</w:t>
      </w:r>
    </w:p>
    <w:p w14:paraId="2BBD9F21" w14:textId="397FFC7A" w:rsidR="008B459E" w:rsidRPr="002C57D2" w:rsidRDefault="009F0BF6" w:rsidP="009F0BF6">
      <w:pPr>
        <w:pStyle w:val="Body"/>
        <w:spacing w:after="0"/>
        <w:rPr>
          <w:rFonts w:ascii="Arial" w:hAnsi="Arial" w:cs="Arial"/>
        </w:rPr>
      </w:pPr>
      <w:r w:rsidRPr="009F0BF6">
        <w:rPr>
          <w:rFonts w:ascii="Arial" w:hAnsi="Arial" w:cs="Arial"/>
          <w:lang w:val="en-ID"/>
        </w:rPr>
        <w:t>Zega, Y. (2018). The Effect of Adding Multi-Cell Booster Probiotics to Water Media with Different Doses on Reducing Ammonia Concentration, Increasing Growth and Survival of Catfish (</w:t>
      </w:r>
      <w:proofErr w:type="spellStart"/>
      <w:r w:rsidRPr="009F0BF6">
        <w:rPr>
          <w:rFonts w:ascii="Arial" w:hAnsi="Arial" w:cs="Arial"/>
          <w:lang w:val="en-ID"/>
        </w:rPr>
        <w:t>Mystus</w:t>
      </w:r>
      <w:proofErr w:type="spellEnd"/>
      <w:r w:rsidRPr="009F0BF6">
        <w:rPr>
          <w:rFonts w:ascii="Arial" w:hAnsi="Arial" w:cs="Arial"/>
          <w:lang w:val="en-ID"/>
        </w:rPr>
        <w:t xml:space="preserve"> </w:t>
      </w:r>
      <w:proofErr w:type="spellStart"/>
      <w:r w:rsidRPr="009F0BF6">
        <w:rPr>
          <w:rFonts w:ascii="Arial" w:hAnsi="Arial" w:cs="Arial"/>
          <w:lang w:val="en-ID"/>
        </w:rPr>
        <w:t>nemurus</w:t>
      </w:r>
      <w:proofErr w:type="spellEnd"/>
      <w:r w:rsidRPr="009F0BF6">
        <w:rPr>
          <w:rFonts w:ascii="Arial" w:hAnsi="Arial" w:cs="Arial"/>
          <w:lang w:val="en-ID"/>
        </w:rPr>
        <w:t>). Energies, 6(1), 1–8.</w:t>
      </w:r>
    </w:p>
    <w:p w14:paraId="49C758D2" w14:textId="7A38509D" w:rsidR="004D4277" w:rsidRPr="00FB3A86" w:rsidRDefault="004D4277" w:rsidP="00441B6F">
      <w:pPr>
        <w:pStyle w:val="Appendix"/>
        <w:spacing w:after="0"/>
        <w:jc w:val="both"/>
        <w:rPr>
          <w:rFonts w:ascii="Arial" w:hAnsi="Arial" w:cs="Arial"/>
          <w:b w:val="0"/>
        </w:rPr>
        <w:sectPr w:rsidR="004D4277" w:rsidRPr="00FB3A86" w:rsidSect="002311AD">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7FA73E36" w14:textId="77777777" w:rsidR="00B01FCD" w:rsidRPr="00FB3A86" w:rsidRDefault="00B01FCD" w:rsidP="00441B6F">
      <w:pPr>
        <w:pStyle w:val="Appendix"/>
        <w:spacing w:after="0"/>
        <w:jc w:val="both"/>
        <w:rPr>
          <w:rFonts w:ascii="Arial" w:hAnsi="Arial" w:cs="Arial"/>
          <w:b w:val="0"/>
        </w:rPr>
      </w:pPr>
    </w:p>
    <w:sectPr w:rsidR="00B01FCD" w:rsidRPr="00FB3A86" w:rsidSect="00231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AC2E6" w14:textId="77777777" w:rsidR="00E12285" w:rsidRDefault="00E12285" w:rsidP="00C37E61">
      <w:r>
        <w:separator/>
      </w:r>
    </w:p>
  </w:endnote>
  <w:endnote w:type="continuationSeparator" w:id="0">
    <w:p w14:paraId="3FE6DAD9" w14:textId="77777777" w:rsidR="00E12285" w:rsidRDefault="00E122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DEFD7" w14:textId="77777777" w:rsidR="002311AD" w:rsidRDefault="00231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24F0A" w14:textId="77777777" w:rsidR="002311AD" w:rsidRDefault="00231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6039" w14:textId="23754E7D" w:rsidR="00754C9A" w:rsidRPr="002311AD" w:rsidRDefault="00754C9A" w:rsidP="002311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D8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46866" w14:textId="77777777" w:rsidR="00E12285" w:rsidRDefault="00E12285" w:rsidP="00C37E61">
      <w:r>
        <w:separator/>
      </w:r>
    </w:p>
  </w:footnote>
  <w:footnote w:type="continuationSeparator" w:id="0">
    <w:p w14:paraId="5C403241" w14:textId="77777777" w:rsidR="00E12285" w:rsidRDefault="00E122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40322" w14:textId="40E4B156" w:rsidR="002311AD" w:rsidRDefault="00E12285">
    <w:pPr>
      <w:pStyle w:val="Header"/>
    </w:pPr>
    <w:r>
      <w:rPr>
        <w:noProof/>
      </w:rPr>
      <w:pict w14:anchorId="0AFA5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1"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46451" w14:textId="4845E45D" w:rsidR="002311AD" w:rsidRDefault="00E12285">
    <w:pPr>
      <w:pStyle w:val="Header"/>
    </w:pPr>
    <w:r>
      <w:rPr>
        <w:noProof/>
      </w:rPr>
      <w:pict w14:anchorId="672D1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2"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FC34" w14:textId="05BFF09E" w:rsidR="00296529" w:rsidRPr="00296529" w:rsidRDefault="00E12285" w:rsidP="00296529">
    <w:pPr>
      <w:ind w:left="2160"/>
      <w:jc w:val="center"/>
      <w:rPr>
        <w:rFonts w:ascii="Times New Roman" w:eastAsia="Calibri" w:hAnsi="Times New Roman"/>
        <w:i/>
        <w:sz w:val="18"/>
        <w:szCs w:val="22"/>
      </w:rPr>
    </w:pPr>
    <w:r>
      <w:rPr>
        <w:noProof/>
      </w:rPr>
      <w:pict w14:anchorId="01827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0"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6739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4594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E0C8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7B0DC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BB65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E68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2944" w14:textId="25870521" w:rsidR="002311AD" w:rsidRDefault="00E12285">
    <w:pPr>
      <w:pStyle w:val="Header"/>
    </w:pPr>
    <w:r>
      <w:rPr>
        <w:noProof/>
      </w:rPr>
      <w:pict w14:anchorId="7EA89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4"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E76A" w14:textId="3BFB5E47" w:rsidR="002311AD" w:rsidRDefault="00E12285">
    <w:pPr>
      <w:pStyle w:val="Header"/>
    </w:pPr>
    <w:r>
      <w:rPr>
        <w:noProof/>
      </w:rPr>
      <w:pict w14:anchorId="3DCB5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5"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4767A" w14:textId="47856C24" w:rsidR="002311AD" w:rsidRDefault="00E12285">
    <w:pPr>
      <w:pStyle w:val="Header"/>
    </w:pPr>
    <w:r>
      <w:rPr>
        <w:noProof/>
      </w:rPr>
      <w:pict w14:anchorId="6C099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3"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6380"/>
    <w:rsid w:val="0002140F"/>
    <w:rsid w:val="00030174"/>
    <w:rsid w:val="0004579C"/>
    <w:rsid w:val="000742E8"/>
    <w:rsid w:val="000A47FA"/>
    <w:rsid w:val="000A65D3"/>
    <w:rsid w:val="000B1E33"/>
    <w:rsid w:val="000D689F"/>
    <w:rsid w:val="000D7184"/>
    <w:rsid w:val="000E7B7B"/>
    <w:rsid w:val="000E7D62"/>
    <w:rsid w:val="00102F90"/>
    <w:rsid w:val="00103357"/>
    <w:rsid w:val="001177DE"/>
    <w:rsid w:val="00123C9F"/>
    <w:rsid w:val="00126190"/>
    <w:rsid w:val="00130F17"/>
    <w:rsid w:val="001320BF"/>
    <w:rsid w:val="00163BC4"/>
    <w:rsid w:val="001651EA"/>
    <w:rsid w:val="0017341C"/>
    <w:rsid w:val="00191062"/>
    <w:rsid w:val="00192B72"/>
    <w:rsid w:val="001A29D8"/>
    <w:rsid w:val="001A5CAA"/>
    <w:rsid w:val="001B0427"/>
    <w:rsid w:val="001D3A51"/>
    <w:rsid w:val="001E10D2"/>
    <w:rsid w:val="001E25B4"/>
    <w:rsid w:val="001E44FE"/>
    <w:rsid w:val="00200595"/>
    <w:rsid w:val="00204835"/>
    <w:rsid w:val="002311AD"/>
    <w:rsid w:val="00231920"/>
    <w:rsid w:val="0023195C"/>
    <w:rsid w:val="0023681A"/>
    <w:rsid w:val="0024282C"/>
    <w:rsid w:val="002460DC"/>
    <w:rsid w:val="00250985"/>
    <w:rsid w:val="002556F6"/>
    <w:rsid w:val="00255CB5"/>
    <w:rsid w:val="00283105"/>
    <w:rsid w:val="00284C4C"/>
    <w:rsid w:val="00287E68"/>
    <w:rsid w:val="00292447"/>
    <w:rsid w:val="00296529"/>
    <w:rsid w:val="002B27FB"/>
    <w:rsid w:val="002B685A"/>
    <w:rsid w:val="002C57D2"/>
    <w:rsid w:val="002E0D56"/>
    <w:rsid w:val="002F4DCE"/>
    <w:rsid w:val="00314C3F"/>
    <w:rsid w:val="00315186"/>
    <w:rsid w:val="00327DB3"/>
    <w:rsid w:val="0033343E"/>
    <w:rsid w:val="00336B18"/>
    <w:rsid w:val="003512C2"/>
    <w:rsid w:val="00371FB6"/>
    <w:rsid w:val="003763C1"/>
    <w:rsid w:val="00376BBE"/>
    <w:rsid w:val="0039224F"/>
    <w:rsid w:val="00397F2E"/>
    <w:rsid w:val="003A43A4"/>
    <w:rsid w:val="003A5832"/>
    <w:rsid w:val="003A7E18"/>
    <w:rsid w:val="003C4C86"/>
    <w:rsid w:val="003C6258"/>
    <w:rsid w:val="003C697A"/>
    <w:rsid w:val="003E2904"/>
    <w:rsid w:val="00401669"/>
    <w:rsid w:val="00401927"/>
    <w:rsid w:val="0041027F"/>
    <w:rsid w:val="00412475"/>
    <w:rsid w:val="00423789"/>
    <w:rsid w:val="00427F07"/>
    <w:rsid w:val="00440F43"/>
    <w:rsid w:val="00441B6F"/>
    <w:rsid w:val="00446221"/>
    <w:rsid w:val="00450E62"/>
    <w:rsid w:val="004539DB"/>
    <w:rsid w:val="0047009C"/>
    <w:rsid w:val="00471A80"/>
    <w:rsid w:val="0049220D"/>
    <w:rsid w:val="004C159A"/>
    <w:rsid w:val="004D305E"/>
    <w:rsid w:val="004D4277"/>
    <w:rsid w:val="00502516"/>
    <w:rsid w:val="00505F06"/>
    <w:rsid w:val="00506828"/>
    <w:rsid w:val="00515ACC"/>
    <w:rsid w:val="0053056E"/>
    <w:rsid w:val="00535F3D"/>
    <w:rsid w:val="005516F0"/>
    <w:rsid w:val="00554FDA"/>
    <w:rsid w:val="005C784C"/>
    <w:rsid w:val="005D17F6"/>
    <w:rsid w:val="005E5539"/>
    <w:rsid w:val="00602BF5"/>
    <w:rsid w:val="00617FDD"/>
    <w:rsid w:val="006235E9"/>
    <w:rsid w:val="00633614"/>
    <w:rsid w:val="00633F68"/>
    <w:rsid w:val="00636EB2"/>
    <w:rsid w:val="006375B8"/>
    <w:rsid w:val="006471A5"/>
    <w:rsid w:val="00664764"/>
    <w:rsid w:val="0066510A"/>
    <w:rsid w:val="00673F9F"/>
    <w:rsid w:val="006809DB"/>
    <w:rsid w:val="00686953"/>
    <w:rsid w:val="00687DEA"/>
    <w:rsid w:val="00687E67"/>
    <w:rsid w:val="006967F7"/>
    <w:rsid w:val="006A250C"/>
    <w:rsid w:val="006B21D3"/>
    <w:rsid w:val="006B57D0"/>
    <w:rsid w:val="006D17DC"/>
    <w:rsid w:val="006D30FF"/>
    <w:rsid w:val="006D6940"/>
    <w:rsid w:val="006F11EC"/>
    <w:rsid w:val="0070082C"/>
    <w:rsid w:val="00712A65"/>
    <w:rsid w:val="00720C48"/>
    <w:rsid w:val="00722274"/>
    <w:rsid w:val="007369E6"/>
    <w:rsid w:val="00746E59"/>
    <w:rsid w:val="00754C9A"/>
    <w:rsid w:val="0075599A"/>
    <w:rsid w:val="00755D76"/>
    <w:rsid w:val="00761D52"/>
    <w:rsid w:val="0077749E"/>
    <w:rsid w:val="00790ADA"/>
    <w:rsid w:val="007D2288"/>
    <w:rsid w:val="007E088F"/>
    <w:rsid w:val="007F7B32"/>
    <w:rsid w:val="00804BC2"/>
    <w:rsid w:val="008059E5"/>
    <w:rsid w:val="00807306"/>
    <w:rsid w:val="0081431A"/>
    <w:rsid w:val="0083216F"/>
    <w:rsid w:val="00844E88"/>
    <w:rsid w:val="00852FB1"/>
    <w:rsid w:val="00854A8A"/>
    <w:rsid w:val="00856596"/>
    <w:rsid w:val="00860000"/>
    <w:rsid w:val="00863BD3"/>
    <w:rsid w:val="008641ED"/>
    <w:rsid w:val="00866D66"/>
    <w:rsid w:val="008671C6"/>
    <w:rsid w:val="00872252"/>
    <w:rsid w:val="0087387A"/>
    <w:rsid w:val="00875803"/>
    <w:rsid w:val="008916D8"/>
    <w:rsid w:val="008B459E"/>
    <w:rsid w:val="008E13AE"/>
    <w:rsid w:val="008E1506"/>
    <w:rsid w:val="008E710C"/>
    <w:rsid w:val="008F68F4"/>
    <w:rsid w:val="008F69D6"/>
    <w:rsid w:val="00902823"/>
    <w:rsid w:val="00915CA6"/>
    <w:rsid w:val="00927834"/>
    <w:rsid w:val="009500A6"/>
    <w:rsid w:val="00957C18"/>
    <w:rsid w:val="009659BA"/>
    <w:rsid w:val="00983040"/>
    <w:rsid w:val="009B3FB9"/>
    <w:rsid w:val="009C2465"/>
    <w:rsid w:val="009D137D"/>
    <w:rsid w:val="009D35A0"/>
    <w:rsid w:val="009D7EB7"/>
    <w:rsid w:val="009E048A"/>
    <w:rsid w:val="009E08E9"/>
    <w:rsid w:val="009E3DB9"/>
    <w:rsid w:val="009E6E35"/>
    <w:rsid w:val="009F0BF6"/>
    <w:rsid w:val="009F0EDA"/>
    <w:rsid w:val="00A03B96"/>
    <w:rsid w:val="00A05B19"/>
    <w:rsid w:val="00A06DB7"/>
    <w:rsid w:val="00A1134E"/>
    <w:rsid w:val="00A24E7E"/>
    <w:rsid w:val="00A258C3"/>
    <w:rsid w:val="00A345F2"/>
    <w:rsid w:val="00A347C0"/>
    <w:rsid w:val="00A34ECC"/>
    <w:rsid w:val="00A44C95"/>
    <w:rsid w:val="00A51431"/>
    <w:rsid w:val="00A539AD"/>
    <w:rsid w:val="00A94063"/>
    <w:rsid w:val="00AA6219"/>
    <w:rsid w:val="00AA74E0"/>
    <w:rsid w:val="00AB703F"/>
    <w:rsid w:val="00AC6BB8"/>
    <w:rsid w:val="00AE008F"/>
    <w:rsid w:val="00AF763C"/>
    <w:rsid w:val="00B01FCD"/>
    <w:rsid w:val="00B038CC"/>
    <w:rsid w:val="00B1776C"/>
    <w:rsid w:val="00B27FC2"/>
    <w:rsid w:val="00B52583"/>
    <w:rsid w:val="00B52896"/>
    <w:rsid w:val="00B81B8F"/>
    <w:rsid w:val="00B95236"/>
    <w:rsid w:val="00B96BD9"/>
    <w:rsid w:val="00BA1B01"/>
    <w:rsid w:val="00BA2641"/>
    <w:rsid w:val="00BB37AA"/>
    <w:rsid w:val="00BC53A0"/>
    <w:rsid w:val="00BC6037"/>
    <w:rsid w:val="00BE62AD"/>
    <w:rsid w:val="00BF121F"/>
    <w:rsid w:val="00BF1F80"/>
    <w:rsid w:val="00C166EF"/>
    <w:rsid w:val="00C17EB0"/>
    <w:rsid w:val="00C27F5F"/>
    <w:rsid w:val="00C30A0F"/>
    <w:rsid w:val="00C37E61"/>
    <w:rsid w:val="00C603D7"/>
    <w:rsid w:val="00C607C5"/>
    <w:rsid w:val="00C70F1B"/>
    <w:rsid w:val="00C71A47"/>
    <w:rsid w:val="00C7464C"/>
    <w:rsid w:val="00C7775B"/>
    <w:rsid w:val="00C85588"/>
    <w:rsid w:val="00C90BA2"/>
    <w:rsid w:val="00C91C8C"/>
    <w:rsid w:val="00CD6755"/>
    <w:rsid w:val="00CD6856"/>
    <w:rsid w:val="00CE0089"/>
    <w:rsid w:val="00CE793C"/>
    <w:rsid w:val="00CF193C"/>
    <w:rsid w:val="00D05D11"/>
    <w:rsid w:val="00D173F1"/>
    <w:rsid w:val="00D74CB0"/>
    <w:rsid w:val="00D77DD5"/>
    <w:rsid w:val="00D8295D"/>
    <w:rsid w:val="00DC2A65"/>
    <w:rsid w:val="00DE15F0"/>
    <w:rsid w:val="00DE5663"/>
    <w:rsid w:val="00DE78AA"/>
    <w:rsid w:val="00DF1137"/>
    <w:rsid w:val="00E053D0"/>
    <w:rsid w:val="00E12285"/>
    <w:rsid w:val="00E15994"/>
    <w:rsid w:val="00E170D5"/>
    <w:rsid w:val="00E3114E"/>
    <w:rsid w:val="00E31A70"/>
    <w:rsid w:val="00E35B02"/>
    <w:rsid w:val="00E6011D"/>
    <w:rsid w:val="00E62385"/>
    <w:rsid w:val="00E65470"/>
    <w:rsid w:val="00E66496"/>
    <w:rsid w:val="00E66B35"/>
    <w:rsid w:val="00E66E10"/>
    <w:rsid w:val="00E769F6"/>
    <w:rsid w:val="00E8407C"/>
    <w:rsid w:val="00E84F3C"/>
    <w:rsid w:val="00EA012C"/>
    <w:rsid w:val="00EB27E4"/>
    <w:rsid w:val="00EB7C22"/>
    <w:rsid w:val="00EC6A55"/>
    <w:rsid w:val="00ED0288"/>
    <w:rsid w:val="00EE52CB"/>
    <w:rsid w:val="00EF581D"/>
    <w:rsid w:val="00EF7FD8"/>
    <w:rsid w:val="00F06F59"/>
    <w:rsid w:val="00F17988"/>
    <w:rsid w:val="00F469F0"/>
    <w:rsid w:val="00F53273"/>
    <w:rsid w:val="00F647E7"/>
    <w:rsid w:val="00F65EFC"/>
    <w:rsid w:val="00F7200C"/>
    <w:rsid w:val="00F74AA7"/>
    <w:rsid w:val="00F74DD7"/>
    <w:rsid w:val="00F755E4"/>
    <w:rsid w:val="00F77D02"/>
    <w:rsid w:val="00FA6D5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B5B82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49220D"/>
    <w:rPr>
      <w:color w:val="666666"/>
    </w:rPr>
  </w:style>
  <w:style w:type="table" w:styleId="TableGridLight">
    <w:name w:val="Grid Table Light"/>
    <w:basedOn w:val="TableNormal"/>
    <w:uiPriority w:val="40"/>
    <w:rsid w:val="00F720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E170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D77DD5"/>
    <w:rPr>
      <w:b/>
      <w:bCs/>
    </w:rPr>
  </w:style>
  <w:style w:type="paragraph" w:styleId="NormalWeb">
    <w:name w:val="Normal (Web)"/>
    <w:basedOn w:val="Normal"/>
    <w:uiPriority w:val="99"/>
    <w:unhideWhenUsed/>
    <w:rsid w:val="00A06DB7"/>
    <w:pPr>
      <w:spacing w:before="100" w:beforeAutospacing="1" w:after="100" w:afterAutospacing="1"/>
    </w:pPr>
    <w:rPr>
      <w:rFonts w:ascii="Times New Roman" w:hAnsi="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jurnal.unsyiah.ac.id/JKPI"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doi.org/10.1016/j.aquaculture.2012.04.0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rafik.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27715782838973085"/>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464032262039965"/>
          <c:y val="0.16080350385649647"/>
          <c:w val="0.61097815375308684"/>
          <c:h val="0.57840063261323094"/>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9A70-4F67-8A59-90616843C32F}"/>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9A70-4F67-8A59-90616843C32F}"/>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9A70-4F67-8A59-90616843C32F}"/>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70-4F67-8A59-90616843C32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70-4F67-8A59-90616843C32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70-4F67-8A59-90616843C32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9A70-4F67-8A59-90616843C32F}"/>
            </c:ext>
          </c:extLst>
        </c:ser>
        <c:dLbls>
          <c:showLegendKey val="0"/>
          <c:showVal val="0"/>
          <c:showCatName val="0"/>
          <c:showSerName val="0"/>
          <c:showPercent val="0"/>
          <c:showBubbleSize val="0"/>
        </c:dLbls>
        <c:gapWidth val="150"/>
        <c:shape val="box"/>
        <c:axId val="305679168"/>
        <c:axId val="305685048"/>
        <c:axId val="0"/>
      </c:bar3DChart>
      <c:catAx>
        <c:axId val="30567916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048"/>
        <c:crosses val="autoZero"/>
        <c:auto val="1"/>
        <c:lblAlgn val="ctr"/>
        <c:lblOffset val="100"/>
        <c:noMultiLvlLbl val="0"/>
      </c:catAx>
      <c:valAx>
        <c:axId val="305685048"/>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168"/>
        <c:crosses val="autoZero"/>
        <c:crossBetween val="between"/>
      </c:valAx>
    </c:plotArea>
    <c:legend>
      <c:legendPos val="r"/>
      <c:layout>
        <c:manualLayout>
          <c:xMode val="edge"/>
          <c:yMode val="edge"/>
          <c:x val="0.8084735254469303"/>
          <c:y val="0.30448416340595469"/>
          <c:w val="0.15508341375459536"/>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2386018265896391"/>
          <c:y val="0.8267189605101644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657587437977672"/>
          <c:y val="0.13790445395846432"/>
          <c:w val="0.61097815375308684"/>
          <c:h val="0.57840063261323094"/>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D9-4B34-A6CC-47B478EC681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9-4B34-A6CC-47B478EC681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D9-4B34-A6CC-47B478EC681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A2D9-4B34-A6CC-47B478EC681F}"/>
            </c:ext>
          </c:extLst>
        </c:ser>
        <c:dLbls>
          <c:showLegendKey val="0"/>
          <c:showVal val="0"/>
          <c:showCatName val="0"/>
          <c:showSerName val="0"/>
          <c:showPercent val="0"/>
          <c:showBubbleSize val="0"/>
        </c:dLbls>
        <c:gapWidth val="150"/>
        <c:shape val="box"/>
        <c:axId val="305679560"/>
        <c:axId val="305679952"/>
        <c:axId val="0"/>
      </c:bar3DChart>
      <c:catAx>
        <c:axId val="305679560"/>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952"/>
        <c:crosses val="autoZero"/>
        <c:auto val="1"/>
        <c:lblAlgn val="ctr"/>
        <c:lblOffset val="100"/>
        <c:noMultiLvlLbl val="0"/>
      </c:catAx>
      <c:valAx>
        <c:axId val="305679952"/>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560"/>
        <c:crosses val="autoZero"/>
        <c:crossBetween val="between"/>
      </c:valAx>
    </c:plotArea>
    <c:legend>
      <c:legendPos val="r"/>
      <c:layout>
        <c:manualLayout>
          <c:xMode val="edge"/>
          <c:yMode val="edge"/>
          <c:x val="0.8614472793597644"/>
          <c:y val="0.25762413527305367"/>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0459717628233277"/>
          <c:y val="0.8554408102833299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94561184306573"/>
          <c:y val="8.7101582181745352E-2"/>
          <c:w val="0.61097815375308684"/>
          <c:h val="0.66407656874216026"/>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1-4582-9BBC-C4EE2F3948C0}"/>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1-4582-9BBC-C4EE2F3948C0}"/>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1-4582-9BBC-C4EE2F3948C0}"/>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52A1-4582-9BBC-C4EE2F3948C0}"/>
            </c:ext>
          </c:extLst>
        </c:ser>
        <c:dLbls>
          <c:showLegendKey val="0"/>
          <c:showVal val="0"/>
          <c:showCatName val="0"/>
          <c:showSerName val="0"/>
          <c:showPercent val="0"/>
          <c:showBubbleSize val="0"/>
        </c:dLbls>
        <c:gapWidth val="150"/>
        <c:shape val="box"/>
        <c:axId val="305680344"/>
        <c:axId val="305685440"/>
        <c:axId val="0"/>
      </c:bar3DChart>
      <c:catAx>
        <c:axId val="305680344"/>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440"/>
        <c:crosses val="autoZero"/>
        <c:auto val="1"/>
        <c:lblAlgn val="ctr"/>
        <c:lblOffset val="100"/>
        <c:noMultiLvlLbl val="0"/>
      </c:catAx>
      <c:valAx>
        <c:axId val="305685440"/>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0344"/>
        <c:crosses val="autoZero"/>
        <c:crossBetween val="between"/>
      </c:valAx>
    </c:plotArea>
    <c:legend>
      <c:legendPos val="r"/>
      <c:layout>
        <c:manualLayout>
          <c:xMode val="edge"/>
          <c:yMode val="edge"/>
          <c:x val="0.84699989192899161"/>
          <c:y val="0.25704666434767942"/>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56389617964421102"/>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798248491271845"/>
          <c:y val="8.3162781122947865E-2"/>
          <c:w val="0.61097815375308684"/>
          <c:h val="0.63993902685241266"/>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B438-45FC-BC9B-39237A3F99A7}"/>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B438-45FC-BC9B-39237A3F99A7}"/>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B438-45FC-BC9B-39237A3F99A7}"/>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38-45FC-BC9B-39237A3F99A7}"/>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38-45FC-BC9B-39237A3F99A7}"/>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38-45FC-BC9B-39237A3F99A7}"/>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B438-45FC-BC9B-39237A3F99A7}"/>
            </c:ext>
          </c:extLst>
        </c:ser>
        <c:dLbls>
          <c:showLegendKey val="0"/>
          <c:showVal val="0"/>
          <c:showCatName val="0"/>
          <c:showSerName val="0"/>
          <c:showPercent val="0"/>
          <c:showBubbleSize val="0"/>
        </c:dLbls>
        <c:gapWidth val="150"/>
        <c:shape val="box"/>
        <c:axId val="305681128"/>
        <c:axId val="310949144"/>
        <c:axId val="0"/>
      </c:bar3DChart>
      <c:catAx>
        <c:axId val="30568112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10949144"/>
        <c:crosses val="autoZero"/>
        <c:auto val="1"/>
        <c:lblAlgn val="ctr"/>
        <c:lblOffset val="100"/>
        <c:noMultiLvlLbl val="0"/>
      </c:catAx>
      <c:valAx>
        <c:axId val="310949144"/>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1128"/>
        <c:crosses val="autoZero"/>
        <c:crossBetween val="between"/>
      </c:valAx>
    </c:plotArea>
    <c:legend>
      <c:legendPos val="r"/>
      <c:layout>
        <c:manualLayout>
          <c:xMode val="edge"/>
          <c:yMode val="edge"/>
          <c:x val="0.87589466679053751"/>
          <c:y val="0.28019584090450234"/>
          <c:w val="8.5747329982500092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0.01624</cdr:x>
      <cdr:y>0.11994</cdr:y>
    </cdr:from>
    <cdr:to>
      <cdr:x>0.07781</cdr:x>
      <cdr:y>0.83492</cdr:y>
    </cdr:to>
    <cdr:sp macro="" textlink="">
      <cdr:nvSpPr>
        <cdr:cNvPr id="2" name="TextBox 1"/>
        <cdr:cNvSpPr txBox="1"/>
      </cdr:nvSpPr>
      <cdr:spPr>
        <a:xfrm xmlns:a="http://schemas.openxmlformats.org/drawingml/2006/main" rot="16200000">
          <a:off x="-831631" y="1274720"/>
          <a:ext cx="2145195" cy="3155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Absolute Growth Rate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0.10438</cdr:x>
      <cdr:y>0.05772</cdr:y>
    </cdr:from>
    <cdr:to>
      <cdr:x>0.16595</cdr:x>
      <cdr:y>0.7727</cdr:y>
    </cdr:to>
    <cdr:sp macro="" textlink="">
      <cdr:nvSpPr>
        <cdr:cNvPr id="2" name="TextBox 1"/>
        <cdr:cNvSpPr txBox="1"/>
      </cdr:nvSpPr>
      <cdr:spPr>
        <a:xfrm xmlns:a="http://schemas.openxmlformats.org/drawingml/2006/main" rot="16200000">
          <a:off x="-375405" y="859138"/>
          <a:ext cx="1657145" cy="2064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Survival Rate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0.05228</cdr:x>
      <cdr:y>0.04089</cdr:y>
    </cdr:from>
    <cdr:to>
      <cdr:x>0.11748</cdr:x>
      <cdr:y>0.85268</cdr:y>
    </cdr:to>
    <cdr:sp macro="" textlink="">
      <cdr:nvSpPr>
        <cdr:cNvPr id="2" name="TextBox 1"/>
        <cdr:cNvSpPr txBox="1"/>
      </cdr:nvSpPr>
      <cdr:spPr>
        <a:xfrm xmlns:a="http://schemas.openxmlformats.org/drawingml/2006/main" rot="16200000">
          <a:off x="-670330" y="931862"/>
          <a:ext cx="1882042" cy="2079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Conversion Ratio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0.05958</cdr:x>
      <cdr:y>0.07999</cdr:y>
    </cdr:from>
    <cdr:to>
      <cdr:x>0.12115</cdr:x>
      <cdr:y>0.79497</cdr:y>
    </cdr:to>
    <cdr:sp macro="" textlink="">
      <cdr:nvSpPr>
        <cdr:cNvPr id="2" name="TextBox 1"/>
        <cdr:cNvSpPr txBox="1"/>
      </cdr:nvSpPr>
      <cdr:spPr>
        <a:xfrm xmlns:a="http://schemas.openxmlformats.org/drawingml/2006/main" rot="16200000">
          <a:off x="-500593" y="823057"/>
          <a:ext cx="1477810" cy="1623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Efficiency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83802-13B6-4453-8A65-F53AE7ED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14</Pages>
  <Words>6914</Words>
  <Characters>39411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4</cp:revision>
  <cp:lastPrinted>1999-07-06T11:00:00Z</cp:lastPrinted>
  <dcterms:created xsi:type="dcterms:W3CDTF">2025-08-01T22:32:00Z</dcterms:created>
  <dcterms:modified xsi:type="dcterms:W3CDTF">2025-08-05T06:44:00Z</dcterms:modified>
</cp:coreProperties>
</file>