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BA2D3" w14:textId="77777777" w:rsidR="003602D0" w:rsidRDefault="003602D0" w:rsidP="00090E43">
      <w:pPr>
        <w:pStyle w:val="Author"/>
        <w:spacing w:line="240" w:lineRule="auto"/>
        <w:rPr>
          <w:rFonts w:ascii="Arial" w:hAnsi="Arial" w:cs="Arial"/>
          <w:bCs/>
          <w:iCs/>
          <w:kern w:val="28"/>
          <w:sz w:val="36"/>
        </w:rPr>
      </w:pPr>
    </w:p>
    <w:p w14:paraId="3B209436" w14:textId="59A6DBF1" w:rsidR="00E3142E" w:rsidRDefault="00E3142E" w:rsidP="00090E43">
      <w:pPr>
        <w:pStyle w:val="Author"/>
        <w:spacing w:line="240" w:lineRule="auto"/>
        <w:rPr>
          <w:rFonts w:ascii="Arial" w:hAnsi="Arial" w:cs="Arial"/>
          <w:bCs/>
          <w:iCs/>
          <w:kern w:val="28"/>
          <w:sz w:val="36"/>
        </w:rPr>
      </w:pPr>
      <w:r w:rsidRPr="00E3142E">
        <w:rPr>
          <w:rFonts w:ascii="Arial" w:hAnsi="Arial" w:cs="Arial"/>
          <w:bCs/>
          <w:iCs/>
          <w:kern w:val="28"/>
          <w:sz w:val="36"/>
        </w:rPr>
        <w:t xml:space="preserve">Comparative Study of Social Studies Teacher Competence and Class Size on Learning Outcomes of Class VII Students of Public Junior High Schools in Bone </w:t>
      </w:r>
      <w:proofErr w:type="spellStart"/>
      <w:r w:rsidRPr="00E3142E">
        <w:rPr>
          <w:rFonts w:ascii="Arial" w:hAnsi="Arial" w:cs="Arial"/>
          <w:bCs/>
          <w:iCs/>
          <w:kern w:val="28"/>
          <w:sz w:val="36"/>
        </w:rPr>
        <w:t>Bolango</w:t>
      </w:r>
      <w:proofErr w:type="spellEnd"/>
      <w:r w:rsidRPr="00E3142E">
        <w:rPr>
          <w:rFonts w:ascii="Arial" w:hAnsi="Arial" w:cs="Arial"/>
          <w:bCs/>
          <w:iCs/>
          <w:kern w:val="28"/>
          <w:sz w:val="36"/>
        </w:rPr>
        <w:t xml:space="preserve"> Regency</w:t>
      </w:r>
    </w:p>
    <w:p w14:paraId="6163EFF6" w14:textId="77777777" w:rsidR="00163BC4" w:rsidRPr="00163BC4" w:rsidRDefault="00163BC4" w:rsidP="00441B6F">
      <w:pPr>
        <w:pStyle w:val="Author"/>
        <w:spacing w:line="240" w:lineRule="auto"/>
        <w:rPr>
          <w:rFonts w:ascii="Arial" w:hAnsi="Arial" w:cs="Arial"/>
          <w:bCs/>
          <w:iCs/>
          <w:kern w:val="28"/>
          <w:sz w:val="36"/>
        </w:rPr>
      </w:pPr>
    </w:p>
    <w:p w14:paraId="374FBD8C" w14:textId="77777777" w:rsidR="00B01FCD" w:rsidRPr="00FB3A86" w:rsidRDefault="00D75E5C" w:rsidP="00441B6F">
      <w:pPr>
        <w:pStyle w:val="Copyright"/>
        <w:spacing w:after="0" w:line="240" w:lineRule="auto"/>
        <w:jc w:val="both"/>
        <w:rPr>
          <w:rFonts w:ascii="Arial" w:hAnsi="Arial" w:cs="Arial"/>
        </w:rPr>
        <w:sectPr w:rsidR="00B01FCD" w:rsidRPr="00FB3A86" w:rsidSect="00FA74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18EB3A6" wp14:editId="0A8ED1A2">
                <wp:extent cx="5303520" cy="635"/>
                <wp:effectExtent l="0" t="12700" r="5080" b="12065"/>
                <wp:docPr id="80531833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8E5D9A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09276CEB"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98419D" w14:paraId="79E95AAC" w14:textId="77777777" w:rsidTr="001E44FE">
        <w:tc>
          <w:tcPr>
            <w:tcW w:w="9576" w:type="dxa"/>
            <w:shd w:val="clear" w:color="auto" w:fill="F2F2F2"/>
          </w:tcPr>
          <w:p w14:paraId="7793BDE8" w14:textId="1F6445AA" w:rsidR="00505F06" w:rsidRPr="0098419D" w:rsidRDefault="0098419D" w:rsidP="00441B6F">
            <w:pPr>
              <w:pStyle w:val="Body"/>
              <w:spacing w:after="0"/>
              <w:rPr>
                <w:rFonts w:ascii="Times New Roman" w:eastAsia="Calibri" w:hAnsi="Times New Roman"/>
                <w:sz w:val="22"/>
                <w:szCs w:val="22"/>
              </w:rPr>
            </w:pPr>
            <w:r w:rsidRPr="0098419D">
              <w:rPr>
                <w:rFonts w:ascii="Times New Roman" w:hAnsi="Times New Roman"/>
                <w:sz w:val="22"/>
                <w:szCs w:val="22"/>
              </w:rPr>
              <w:t xml:space="preserve">This study aims to analyze the influence of teacher competence and its interaction on the learning outcomes of seventh-grade students in public junior high schools in Bone </w:t>
            </w:r>
            <w:proofErr w:type="spellStart"/>
            <w:r w:rsidRPr="0098419D">
              <w:rPr>
                <w:rFonts w:ascii="Times New Roman" w:hAnsi="Times New Roman"/>
                <w:sz w:val="22"/>
                <w:szCs w:val="22"/>
              </w:rPr>
              <w:t>Bolango</w:t>
            </w:r>
            <w:proofErr w:type="spellEnd"/>
            <w:r w:rsidRPr="0098419D">
              <w:rPr>
                <w:rFonts w:ascii="Times New Roman" w:hAnsi="Times New Roman"/>
                <w:sz w:val="22"/>
                <w:szCs w:val="22"/>
              </w:rPr>
              <w:t xml:space="preserve"> Regency. The research design employed a quantitative approach with a causal comparative method, utilizing a factorial design. The research sample consisted of several students selected through a combination of purposive sampling and stratified cluster sampling techniques, then grouped based on teacher competence level (high and low) and class size (small and large). Data were obtained through teacher competence questionnaires and learning achievement tests and analyzed using two-way analysis of variance to test the main effects and interactions between variables. The results showed that teacher competence significantly influenced learning outcomes, where students taught by teachers with high competence achieved better academic outcomes. Contrast, neither class size nor the interaction between teacher competence and class size had a significant effect. These findings confirm that the quality of learning, particularly teacher competence, is more important than the number of students in a class. The practical implications of this study demonstrate the importance of teacher competence improvement programs through continuous professional development, strengthening academic supervision, and the effective use of learning technology. Policies regarding class size should be tailored to the local context and the specific needs of individual students.</w:t>
            </w:r>
          </w:p>
        </w:tc>
      </w:tr>
    </w:tbl>
    <w:p w14:paraId="0848802F" w14:textId="77777777" w:rsidR="00636EB2" w:rsidRPr="0098419D" w:rsidRDefault="00636EB2" w:rsidP="00441B6F">
      <w:pPr>
        <w:pStyle w:val="Body"/>
        <w:spacing w:after="0"/>
        <w:rPr>
          <w:rFonts w:ascii="Times New Roman" w:hAnsi="Times New Roman"/>
          <w:i/>
          <w:sz w:val="22"/>
          <w:szCs w:val="22"/>
        </w:rPr>
      </w:pPr>
    </w:p>
    <w:p w14:paraId="606A3CC0" w14:textId="10281466" w:rsidR="00790ADA" w:rsidRPr="00D75E5C" w:rsidRDefault="00A24E7E" w:rsidP="00441B6F">
      <w:pPr>
        <w:pStyle w:val="Body"/>
        <w:spacing w:after="0"/>
        <w:rPr>
          <w:rFonts w:ascii="Arial" w:hAnsi="Arial" w:cs="Arial"/>
          <w:b/>
          <w:bCs/>
          <w:i/>
        </w:rPr>
      </w:pPr>
      <w:r w:rsidRPr="00D75E5C">
        <w:rPr>
          <w:rFonts w:ascii="Arial" w:hAnsi="Arial" w:cs="Arial"/>
          <w:b/>
          <w:bCs/>
          <w:i/>
        </w:rPr>
        <w:t xml:space="preserve">Keywords: </w:t>
      </w:r>
      <w:r w:rsidR="00090E43" w:rsidRPr="00D75E5C">
        <w:rPr>
          <w:rFonts w:ascii="Arial" w:hAnsi="Arial" w:cs="Arial"/>
          <w:b/>
          <w:bCs/>
          <w:i/>
          <w:iCs/>
        </w:rPr>
        <w:t>Teacher Competence, Class Size, Learning Outcomes, Social</w:t>
      </w:r>
    </w:p>
    <w:p w14:paraId="2CE723C9" w14:textId="77777777" w:rsidR="00505F06" w:rsidRPr="00A24E7E" w:rsidRDefault="00505F06" w:rsidP="00441B6F">
      <w:pPr>
        <w:pStyle w:val="Body"/>
        <w:spacing w:after="0"/>
        <w:rPr>
          <w:rFonts w:ascii="Arial" w:hAnsi="Arial" w:cs="Arial"/>
          <w:i/>
        </w:rPr>
      </w:pPr>
    </w:p>
    <w:p w14:paraId="3A54B04F" w14:textId="77777777" w:rsidR="007F7B32" w:rsidRPr="00C038A2" w:rsidRDefault="00902823" w:rsidP="00441B6F">
      <w:pPr>
        <w:pStyle w:val="AbstHead"/>
        <w:spacing w:after="0"/>
        <w:jc w:val="both"/>
        <w:rPr>
          <w:rFonts w:ascii="Times New Roman" w:hAnsi="Times New Roman"/>
          <w:sz w:val="24"/>
          <w:szCs w:val="24"/>
        </w:rPr>
      </w:pPr>
      <w:r w:rsidRPr="00C038A2">
        <w:rPr>
          <w:rFonts w:ascii="Times New Roman" w:hAnsi="Times New Roman"/>
          <w:sz w:val="24"/>
          <w:szCs w:val="24"/>
        </w:rPr>
        <w:t xml:space="preserve">1. </w:t>
      </w:r>
      <w:r w:rsidR="00B01FCD" w:rsidRPr="00C038A2">
        <w:rPr>
          <w:rFonts w:ascii="Times New Roman" w:hAnsi="Times New Roman"/>
          <w:sz w:val="24"/>
          <w:szCs w:val="24"/>
        </w:rPr>
        <w:t>INTRODUCTION</w:t>
      </w:r>
      <w:r w:rsidR="007F7B32" w:rsidRPr="00C038A2">
        <w:rPr>
          <w:rFonts w:ascii="Times New Roman" w:hAnsi="Times New Roman"/>
          <w:sz w:val="24"/>
          <w:szCs w:val="24"/>
        </w:rPr>
        <w:t xml:space="preserve"> </w:t>
      </w:r>
    </w:p>
    <w:p w14:paraId="6F913048" w14:textId="77777777" w:rsidR="008C43CD" w:rsidRDefault="008C43CD" w:rsidP="00441B6F">
      <w:pPr>
        <w:pStyle w:val="AbstHead"/>
        <w:spacing w:after="0"/>
        <w:jc w:val="both"/>
        <w:rPr>
          <w:rFonts w:ascii="Arial" w:hAnsi="Arial" w:cs="Arial"/>
        </w:rPr>
      </w:pPr>
    </w:p>
    <w:p w14:paraId="73460337" w14:textId="49B07FA9" w:rsidR="008C43CD" w:rsidRPr="00C038A2" w:rsidRDefault="008C43CD" w:rsidP="008C43CD">
      <w:pPr>
        <w:pStyle w:val="AbstHead"/>
        <w:jc w:val="both"/>
        <w:rPr>
          <w:rFonts w:ascii="Times New Roman" w:hAnsi="Times New Roman"/>
          <w:b w:val="0"/>
          <w:bCs/>
          <w:sz w:val="24"/>
          <w:szCs w:val="24"/>
        </w:rPr>
      </w:pPr>
      <w:r w:rsidRPr="00C038A2">
        <w:rPr>
          <w:rFonts w:ascii="Times New Roman" w:hAnsi="Times New Roman"/>
          <w:b w:val="0"/>
          <w:bCs/>
          <w:caps w:val="0"/>
          <w:sz w:val="24"/>
          <w:szCs w:val="24"/>
        </w:rPr>
        <w:t>Education plays a strategic role in developing quality human resources, which serve as the foundation for national development in the era of globalization and international competition (</w:t>
      </w:r>
      <w:proofErr w:type="spellStart"/>
      <w:r w:rsidR="0035206D">
        <w:rPr>
          <w:rFonts w:ascii="Times New Roman" w:hAnsi="Times New Roman"/>
          <w:b w:val="0"/>
          <w:bCs/>
          <w:caps w:val="0"/>
          <w:sz w:val="24"/>
          <w:szCs w:val="24"/>
        </w:rPr>
        <w:t>S</w:t>
      </w:r>
      <w:r w:rsidRPr="00C038A2">
        <w:rPr>
          <w:rFonts w:ascii="Times New Roman" w:hAnsi="Times New Roman"/>
          <w:b w:val="0"/>
          <w:bCs/>
          <w:caps w:val="0"/>
          <w:sz w:val="24"/>
          <w:szCs w:val="24"/>
        </w:rPr>
        <w:t>udjana</w:t>
      </w:r>
      <w:proofErr w:type="spellEnd"/>
      <w:r w:rsidRPr="00C038A2">
        <w:rPr>
          <w:rFonts w:ascii="Times New Roman" w:hAnsi="Times New Roman"/>
          <w:b w:val="0"/>
          <w:bCs/>
          <w:caps w:val="0"/>
          <w:sz w:val="24"/>
          <w:szCs w:val="24"/>
        </w:rPr>
        <w:t xml:space="preserve">, 2017). </w:t>
      </w:r>
      <w:r w:rsidR="0035206D" w:rsidRPr="0035206D">
        <w:rPr>
          <w:rFonts w:ascii="Times New Roman" w:hAnsi="Times New Roman"/>
          <w:b w:val="0"/>
          <w:bCs/>
          <w:caps w:val="0"/>
          <w:color w:val="000000"/>
          <w:sz w:val="24"/>
          <w:szCs w:val="24"/>
        </w:rPr>
        <w:t>The success of education in the modern era is not solely determined by academic achievement but also by the ability of students to develop skills and character that align with contemporary demands. Effective education should emphasize the cultivation of twenty-first century skills—such as collaboration, communication, creativity, and critical thinking—which are essential for navigating the increasing complexity of social, economic, and technological dynamics (</w:t>
      </w:r>
      <w:proofErr w:type="spellStart"/>
      <w:r w:rsidR="0035206D">
        <w:rPr>
          <w:rFonts w:ascii="Times New Roman" w:hAnsi="Times New Roman"/>
          <w:b w:val="0"/>
          <w:bCs/>
          <w:caps w:val="0"/>
          <w:color w:val="000000"/>
          <w:sz w:val="24"/>
          <w:szCs w:val="24"/>
        </w:rPr>
        <w:t>Z</w:t>
      </w:r>
      <w:r w:rsidR="0035206D" w:rsidRPr="0035206D">
        <w:rPr>
          <w:rFonts w:ascii="Times New Roman" w:hAnsi="Times New Roman"/>
          <w:b w:val="0"/>
          <w:bCs/>
          <w:caps w:val="0"/>
          <w:color w:val="000000"/>
          <w:sz w:val="24"/>
          <w:szCs w:val="24"/>
        </w:rPr>
        <w:t>aqiah</w:t>
      </w:r>
      <w:proofErr w:type="spellEnd"/>
      <w:r w:rsidR="0035206D" w:rsidRPr="0035206D">
        <w:rPr>
          <w:rFonts w:ascii="Times New Roman" w:hAnsi="Times New Roman"/>
          <w:b w:val="0"/>
          <w:bCs/>
          <w:caps w:val="0"/>
          <w:color w:val="000000"/>
          <w:sz w:val="24"/>
          <w:szCs w:val="24"/>
        </w:rPr>
        <w:t xml:space="preserve"> et al., 2024</w:t>
      </w:r>
      <w:r w:rsidRPr="00C038A2">
        <w:rPr>
          <w:rFonts w:ascii="Times New Roman" w:hAnsi="Times New Roman"/>
          <w:b w:val="0"/>
          <w:bCs/>
          <w:caps w:val="0"/>
          <w:sz w:val="24"/>
          <w:szCs w:val="24"/>
        </w:rPr>
        <w:t xml:space="preserve">; </w:t>
      </w:r>
      <w:proofErr w:type="spellStart"/>
      <w:r w:rsidR="0035206D">
        <w:rPr>
          <w:rFonts w:ascii="Times New Roman" w:hAnsi="Times New Roman"/>
          <w:b w:val="0"/>
          <w:bCs/>
          <w:caps w:val="0"/>
          <w:sz w:val="24"/>
          <w:szCs w:val="24"/>
        </w:rPr>
        <w:t>O</w:t>
      </w:r>
      <w:r w:rsidRPr="00C038A2">
        <w:rPr>
          <w:rFonts w:ascii="Times New Roman" w:hAnsi="Times New Roman"/>
          <w:b w:val="0"/>
          <w:bCs/>
          <w:caps w:val="0"/>
          <w:sz w:val="24"/>
          <w:szCs w:val="24"/>
        </w:rPr>
        <w:t>ecd</w:t>
      </w:r>
      <w:proofErr w:type="spellEnd"/>
      <w:r w:rsidRPr="00C038A2">
        <w:rPr>
          <w:rFonts w:ascii="Times New Roman" w:hAnsi="Times New Roman"/>
          <w:b w:val="0"/>
          <w:bCs/>
          <w:caps w:val="0"/>
          <w:sz w:val="24"/>
          <w:szCs w:val="24"/>
        </w:rPr>
        <w:t xml:space="preserve">, 2019). One of the leading indicators of successful learning is learning </w:t>
      </w:r>
      <w:r w:rsidRPr="00C038A2">
        <w:rPr>
          <w:rFonts w:ascii="Times New Roman" w:hAnsi="Times New Roman"/>
          <w:b w:val="0"/>
          <w:bCs/>
          <w:caps w:val="0"/>
          <w:sz w:val="24"/>
          <w:szCs w:val="24"/>
        </w:rPr>
        <w:lastRenderedPageBreak/>
        <w:t>outcomes, which reflect students' ability to absorb knowledge, develop skills, and develop positive attitudes.</w:t>
      </w:r>
    </w:p>
    <w:p w14:paraId="37840C03" w14:textId="523D53DE" w:rsidR="00D155C7" w:rsidRPr="00C038A2" w:rsidRDefault="00D155C7" w:rsidP="008C43CD">
      <w:pPr>
        <w:pStyle w:val="AbstHead"/>
        <w:jc w:val="both"/>
        <w:rPr>
          <w:rFonts w:ascii="Times New Roman" w:hAnsi="Times New Roman"/>
          <w:b w:val="0"/>
          <w:bCs/>
          <w:color w:val="EE0000"/>
          <w:sz w:val="24"/>
          <w:szCs w:val="24"/>
        </w:rPr>
      </w:pPr>
      <w:r w:rsidRPr="00C038A2">
        <w:rPr>
          <w:rFonts w:ascii="Times New Roman" w:hAnsi="Times New Roman"/>
          <w:b w:val="0"/>
          <w:bCs/>
          <w:caps w:val="0"/>
          <w:color w:val="000000"/>
          <w:sz w:val="24"/>
          <w:szCs w:val="24"/>
          <w:shd w:val="clear" w:color="auto" w:fill="FFFFFF"/>
        </w:rPr>
        <w:t>In the context of learning outcomes at the secondary school level, particularly in social studies, the integration of cognitive, affective, and psychomotor domains is crucial. These three domains work synergistically to support a holistic educational approach that is essential for students’ comprehensive development. The success of social studies learning is largely determined by teachers’ competence, both in mastering subject matter and in effectively contextualizing it (</w:t>
      </w:r>
      <w:r w:rsidR="0035206D">
        <w:rPr>
          <w:rFonts w:ascii="Times New Roman" w:hAnsi="Times New Roman"/>
          <w:b w:val="0"/>
          <w:bCs/>
          <w:caps w:val="0"/>
          <w:color w:val="000000"/>
          <w:sz w:val="24"/>
          <w:szCs w:val="24"/>
          <w:shd w:val="clear" w:color="auto" w:fill="FFFFFF"/>
        </w:rPr>
        <w:t>O</w:t>
      </w:r>
      <w:r w:rsidRPr="00C038A2">
        <w:rPr>
          <w:rFonts w:ascii="Times New Roman" w:hAnsi="Times New Roman"/>
          <w:b w:val="0"/>
          <w:bCs/>
          <w:caps w:val="0"/>
          <w:color w:val="000000"/>
          <w:sz w:val="24"/>
          <w:szCs w:val="24"/>
          <w:shd w:val="clear" w:color="auto" w:fill="FFFFFF"/>
        </w:rPr>
        <w:t xml:space="preserve">wan et al., 2022; </w:t>
      </w:r>
      <w:r w:rsidR="0035206D">
        <w:rPr>
          <w:rFonts w:ascii="Times New Roman" w:hAnsi="Times New Roman"/>
          <w:b w:val="0"/>
          <w:bCs/>
          <w:caps w:val="0"/>
          <w:color w:val="000000"/>
          <w:sz w:val="24"/>
          <w:szCs w:val="24"/>
          <w:shd w:val="clear" w:color="auto" w:fill="FFFFFF"/>
        </w:rPr>
        <w:t>R</w:t>
      </w:r>
      <w:r w:rsidRPr="00C038A2">
        <w:rPr>
          <w:rFonts w:ascii="Times New Roman" w:hAnsi="Times New Roman"/>
          <w:b w:val="0"/>
          <w:bCs/>
          <w:caps w:val="0"/>
          <w:color w:val="000000"/>
          <w:sz w:val="24"/>
          <w:szCs w:val="24"/>
          <w:shd w:val="clear" w:color="auto" w:fill="FFFFFF"/>
        </w:rPr>
        <w:t>awat et al., 2023)</w:t>
      </w:r>
      <w:r w:rsidRPr="00C038A2">
        <w:rPr>
          <w:rFonts w:ascii="Times New Roman" w:hAnsi="Times New Roman"/>
          <w:b w:val="0"/>
          <w:bCs/>
          <w:color w:val="000000"/>
          <w:sz w:val="24"/>
          <w:szCs w:val="24"/>
          <w:shd w:val="clear" w:color="auto" w:fill="FFFFFF"/>
        </w:rPr>
        <w:t>.</w:t>
      </w:r>
    </w:p>
    <w:p w14:paraId="08D8561F" w14:textId="1B9E9D1B" w:rsidR="008C43CD" w:rsidRPr="00C038A2" w:rsidRDefault="008C43CD" w:rsidP="008C43CD">
      <w:pPr>
        <w:pStyle w:val="AbstHead"/>
        <w:jc w:val="both"/>
        <w:rPr>
          <w:rFonts w:ascii="Times New Roman" w:hAnsi="Times New Roman"/>
          <w:b w:val="0"/>
          <w:bCs/>
          <w:sz w:val="24"/>
          <w:szCs w:val="24"/>
        </w:rPr>
      </w:pPr>
      <w:r w:rsidRPr="00C038A2">
        <w:rPr>
          <w:rFonts w:ascii="Times New Roman" w:hAnsi="Times New Roman"/>
          <w:b w:val="0"/>
          <w:bCs/>
          <w:caps w:val="0"/>
          <w:sz w:val="24"/>
          <w:szCs w:val="24"/>
        </w:rPr>
        <w:t xml:space="preserve">Empirical data in bone </w:t>
      </w:r>
      <w:proofErr w:type="spellStart"/>
      <w:r w:rsidRPr="00C038A2">
        <w:rPr>
          <w:rFonts w:ascii="Times New Roman" w:hAnsi="Times New Roman"/>
          <w:b w:val="0"/>
          <w:bCs/>
          <w:caps w:val="0"/>
          <w:sz w:val="24"/>
          <w:szCs w:val="24"/>
        </w:rPr>
        <w:t>bolango</w:t>
      </w:r>
      <w:proofErr w:type="spellEnd"/>
      <w:r w:rsidRPr="00C038A2">
        <w:rPr>
          <w:rFonts w:ascii="Times New Roman" w:hAnsi="Times New Roman"/>
          <w:b w:val="0"/>
          <w:bCs/>
          <w:caps w:val="0"/>
          <w:sz w:val="24"/>
          <w:szCs w:val="24"/>
        </w:rPr>
        <w:t xml:space="preserve"> regency show a gap in social studies learning outcomes for seventh-grade public junior high school students. The average mid-semester assessment and final semester assessment (pas) scores remain below the learning objective completion criteria of 75. This phenomenon indicates that factors influencing academic achievement are beyond student input, including teacher competence and class size.</w:t>
      </w:r>
    </w:p>
    <w:p w14:paraId="6E6C8953" w14:textId="29D7B30E" w:rsidR="008C43CD" w:rsidRPr="00C038A2" w:rsidRDefault="008C43CD" w:rsidP="008C43CD">
      <w:pPr>
        <w:pStyle w:val="AbstHead"/>
        <w:jc w:val="both"/>
        <w:rPr>
          <w:rFonts w:ascii="Times New Roman" w:hAnsi="Times New Roman"/>
          <w:b w:val="0"/>
          <w:bCs/>
          <w:sz w:val="24"/>
          <w:szCs w:val="24"/>
        </w:rPr>
      </w:pPr>
      <w:r w:rsidRPr="00C038A2">
        <w:rPr>
          <w:rFonts w:ascii="Times New Roman" w:hAnsi="Times New Roman"/>
          <w:b w:val="0"/>
          <w:bCs/>
          <w:caps w:val="0"/>
          <w:sz w:val="24"/>
          <w:szCs w:val="24"/>
        </w:rPr>
        <w:t xml:space="preserve">Competence encompasses pedagogical, professional, personality, and social skills (law number 14 of 2005; </w:t>
      </w:r>
      <w:r w:rsidR="0035206D">
        <w:rPr>
          <w:rFonts w:ascii="Times New Roman" w:hAnsi="Times New Roman"/>
          <w:b w:val="0"/>
          <w:bCs/>
          <w:caps w:val="0"/>
          <w:sz w:val="24"/>
          <w:szCs w:val="24"/>
        </w:rPr>
        <w:t>G</w:t>
      </w:r>
      <w:r w:rsidRPr="00C038A2">
        <w:rPr>
          <w:rFonts w:ascii="Times New Roman" w:hAnsi="Times New Roman"/>
          <w:b w:val="0"/>
          <w:bCs/>
          <w:caps w:val="0"/>
          <w:sz w:val="24"/>
          <w:szCs w:val="24"/>
        </w:rPr>
        <w:t>agne et al., 2005). Competent teachers can manage classes, select appropriate learning strategies, and motivate students to achieve optimal learning outcomes. Meanwhile, class size influences the intensity of teacher-student interactions and the effectiveness of learning (</w:t>
      </w:r>
      <w:proofErr w:type="spellStart"/>
      <w:r w:rsidR="0035206D">
        <w:rPr>
          <w:rFonts w:ascii="Times New Roman" w:hAnsi="Times New Roman"/>
          <w:b w:val="0"/>
          <w:bCs/>
          <w:caps w:val="0"/>
          <w:sz w:val="24"/>
          <w:szCs w:val="24"/>
        </w:rPr>
        <w:t>M</w:t>
      </w:r>
      <w:r w:rsidRPr="00C038A2">
        <w:rPr>
          <w:rFonts w:ascii="Times New Roman" w:hAnsi="Times New Roman"/>
          <w:b w:val="0"/>
          <w:bCs/>
          <w:caps w:val="0"/>
          <w:sz w:val="24"/>
          <w:szCs w:val="24"/>
        </w:rPr>
        <w:t>osteller</w:t>
      </w:r>
      <w:proofErr w:type="spellEnd"/>
      <w:r w:rsidRPr="00C038A2">
        <w:rPr>
          <w:rFonts w:ascii="Times New Roman" w:hAnsi="Times New Roman"/>
          <w:b w:val="0"/>
          <w:bCs/>
          <w:caps w:val="0"/>
          <w:sz w:val="24"/>
          <w:szCs w:val="24"/>
        </w:rPr>
        <w:t xml:space="preserve">, 1995; </w:t>
      </w:r>
      <w:proofErr w:type="spellStart"/>
      <w:r w:rsidR="0035206D">
        <w:rPr>
          <w:rFonts w:ascii="Times New Roman" w:hAnsi="Times New Roman"/>
          <w:b w:val="0"/>
          <w:bCs/>
          <w:caps w:val="0"/>
          <w:sz w:val="24"/>
          <w:szCs w:val="24"/>
        </w:rPr>
        <w:t>Z</w:t>
      </w:r>
      <w:r w:rsidRPr="00C038A2">
        <w:rPr>
          <w:rFonts w:ascii="Times New Roman" w:hAnsi="Times New Roman"/>
          <w:b w:val="0"/>
          <w:bCs/>
          <w:caps w:val="0"/>
          <w:sz w:val="24"/>
          <w:szCs w:val="24"/>
        </w:rPr>
        <w:t>yngier</w:t>
      </w:r>
      <w:proofErr w:type="spellEnd"/>
      <w:r w:rsidRPr="00C038A2">
        <w:rPr>
          <w:rFonts w:ascii="Times New Roman" w:hAnsi="Times New Roman"/>
          <w:b w:val="0"/>
          <w:bCs/>
          <w:caps w:val="0"/>
          <w:sz w:val="24"/>
          <w:szCs w:val="24"/>
        </w:rPr>
        <w:t>, 2014).</w:t>
      </w:r>
    </w:p>
    <w:p w14:paraId="54DD197B" w14:textId="3A7C6335" w:rsidR="008C43CD" w:rsidRPr="00C038A2" w:rsidRDefault="008C43CD" w:rsidP="008C43CD">
      <w:pPr>
        <w:pStyle w:val="AbstHead"/>
        <w:jc w:val="both"/>
        <w:rPr>
          <w:rFonts w:ascii="Times New Roman" w:hAnsi="Times New Roman"/>
          <w:b w:val="0"/>
          <w:bCs/>
          <w:sz w:val="24"/>
          <w:szCs w:val="24"/>
        </w:rPr>
      </w:pPr>
      <w:r w:rsidRPr="00C038A2">
        <w:rPr>
          <w:rFonts w:ascii="Times New Roman" w:hAnsi="Times New Roman"/>
          <w:b w:val="0"/>
          <w:bCs/>
          <w:caps w:val="0"/>
          <w:sz w:val="24"/>
          <w:szCs w:val="24"/>
        </w:rPr>
        <w:t xml:space="preserve">International and national studies indicate that teacher competence has a significant relationship with student learning outcomes. </w:t>
      </w:r>
      <w:r w:rsidR="001D1C6C" w:rsidRPr="00C038A2">
        <w:rPr>
          <w:rFonts w:ascii="Times New Roman" w:hAnsi="Times New Roman"/>
          <w:b w:val="0"/>
          <w:bCs/>
          <w:caps w:val="0"/>
          <w:sz w:val="24"/>
          <w:szCs w:val="24"/>
        </w:rPr>
        <w:t xml:space="preserve">Mariyani </w:t>
      </w:r>
      <w:r w:rsidRPr="00C038A2">
        <w:rPr>
          <w:rFonts w:ascii="Times New Roman" w:hAnsi="Times New Roman"/>
          <w:b w:val="0"/>
          <w:bCs/>
          <w:caps w:val="0"/>
          <w:sz w:val="24"/>
          <w:szCs w:val="24"/>
        </w:rPr>
        <w:t xml:space="preserve"> et al. (2021) found that teacher professional competence contributed 25% to the learning outcomes of vocational high school students. The findings of </w:t>
      </w:r>
      <w:r w:rsidR="009E14EC" w:rsidRPr="00C038A2">
        <w:rPr>
          <w:rFonts w:ascii="Times New Roman" w:hAnsi="Times New Roman"/>
          <w:b w:val="0"/>
          <w:bCs/>
          <w:caps w:val="0"/>
          <w:sz w:val="24"/>
          <w:szCs w:val="24"/>
        </w:rPr>
        <w:t>(Yang &amp; Kaiser, 2022)</w:t>
      </w:r>
      <w:r w:rsidRPr="00C038A2">
        <w:rPr>
          <w:rFonts w:ascii="Times New Roman" w:hAnsi="Times New Roman"/>
          <w:b w:val="0"/>
          <w:bCs/>
          <w:caps w:val="0"/>
          <w:sz w:val="24"/>
          <w:szCs w:val="24"/>
        </w:rPr>
        <w:t xml:space="preserve"> at the elementary school level showed a larger contribution, at 39%. These studies are consistent with the theory of teaching competency (</w:t>
      </w:r>
      <w:proofErr w:type="spellStart"/>
      <w:r w:rsidR="00A036BC">
        <w:rPr>
          <w:rFonts w:ascii="Times New Roman" w:hAnsi="Times New Roman"/>
          <w:b w:val="0"/>
          <w:bCs/>
          <w:caps w:val="0"/>
          <w:sz w:val="24"/>
          <w:szCs w:val="24"/>
        </w:rPr>
        <w:t>A</w:t>
      </w:r>
      <w:r w:rsidRPr="00C038A2">
        <w:rPr>
          <w:rFonts w:ascii="Times New Roman" w:hAnsi="Times New Roman"/>
          <w:b w:val="0"/>
          <w:bCs/>
          <w:caps w:val="0"/>
          <w:sz w:val="24"/>
          <w:szCs w:val="24"/>
        </w:rPr>
        <w:t>rikunto</w:t>
      </w:r>
      <w:proofErr w:type="spellEnd"/>
      <w:r w:rsidRPr="00C038A2">
        <w:rPr>
          <w:rFonts w:ascii="Times New Roman" w:hAnsi="Times New Roman"/>
          <w:b w:val="0"/>
          <w:bCs/>
          <w:caps w:val="0"/>
          <w:sz w:val="24"/>
          <w:szCs w:val="24"/>
        </w:rPr>
        <w:t>, 2013), which asserts that teacher competence influences student interest, motivation, and academic achievement.</w:t>
      </w:r>
    </w:p>
    <w:p w14:paraId="39081B1B" w14:textId="062C58A9" w:rsidR="00E84BE4" w:rsidRPr="00E84BE4" w:rsidRDefault="00E84BE4" w:rsidP="008C43CD">
      <w:pPr>
        <w:pStyle w:val="AbstHead"/>
        <w:jc w:val="both"/>
        <w:rPr>
          <w:rFonts w:ascii="Times New Roman" w:hAnsi="Times New Roman"/>
          <w:b w:val="0"/>
          <w:bCs/>
          <w:color w:val="000000"/>
          <w:sz w:val="24"/>
          <w:szCs w:val="24"/>
        </w:rPr>
      </w:pPr>
      <w:r w:rsidRPr="00E84BE4">
        <w:rPr>
          <w:rFonts w:ascii="Times New Roman" w:hAnsi="Times New Roman"/>
          <w:b w:val="0"/>
          <w:bCs/>
          <w:caps w:val="0"/>
          <w:color w:val="000000"/>
          <w:sz w:val="24"/>
          <w:szCs w:val="24"/>
        </w:rPr>
        <w:t xml:space="preserve">On the other hand, international research on class size, such as the project star study conducted in </w:t>
      </w:r>
      <w:r>
        <w:rPr>
          <w:rFonts w:ascii="Times New Roman" w:hAnsi="Times New Roman"/>
          <w:b w:val="0"/>
          <w:bCs/>
          <w:caps w:val="0"/>
          <w:color w:val="000000"/>
          <w:sz w:val="24"/>
          <w:szCs w:val="24"/>
        </w:rPr>
        <w:t>T</w:t>
      </w:r>
      <w:r w:rsidRPr="00E84BE4">
        <w:rPr>
          <w:rFonts w:ascii="Times New Roman" w:hAnsi="Times New Roman"/>
          <w:b w:val="0"/>
          <w:bCs/>
          <w:caps w:val="0"/>
          <w:color w:val="000000"/>
          <w:sz w:val="24"/>
          <w:szCs w:val="24"/>
        </w:rPr>
        <w:t xml:space="preserve">ennessee, </w:t>
      </w:r>
      <w:r>
        <w:rPr>
          <w:rFonts w:ascii="Times New Roman" w:hAnsi="Times New Roman"/>
          <w:b w:val="0"/>
          <w:bCs/>
          <w:caps w:val="0"/>
          <w:color w:val="000000"/>
          <w:sz w:val="24"/>
          <w:szCs w:val="24"/>
        </w:rPr>
        <w:t>U</w:t>
      </w:r>
      <w:r w:rsidRPr="00E84BE4">
        <w:rPr>
          <w:rFonts w:ascii="Times New Roman" w:hAnsi="Times New Roman"/>
          <w:b w:val="0"/>
          <w:bCs/>
          <w:caps w:val="0"/>
          <w:color w:val="000000"/>
          <w:sz w:val="24"/>
          <w:szCs w:val="24"/>
        </w:rPr>
        <w:t xml:space="preserve">nited </w:t>
      </w:r>
      <w:r>
        <w:rPr>
          <w:rFonts w:ascii="Times New Roman" w:hAnsi="Times New Roman"/>
          <w:b w:val="0"/>
          <w:bCs/>
          <w:caps w:val="0"/>
          <w:color w:val="000000"/>
          <w:sz w:val="24"/>
          <w:szCs w:val="24"/>
        </w:rPr>
        <w:t>S</w:t>
      </w:r>
      <w:r w:rsidRPr="00E84BE4">
        <w:rPr>
          <w:rFonts w:ascii="Times New Roman" w:hAnsi="Times New Roman"/>
          <w:b w:val="0"/>
          <w:bCs/>
          <w:caps w:val="0"/>
          <w:color w:val="000000"/>
          <w:sz w:val="24"/>
          <w:szCs w:val="24"/>
        </w:rPr>
        <w:t>tates, demonstrated that small classes with fewer than 20 students provide significant academic benefits, particularly for students from disadvantaged backgrounds (</w:t>
      </w:r>
      <w:r>
        <w:rPr>
          <w:rFonts w:ascii="Times New Roman" w:hAnsi="Times New Roman"/>
          <w:b w:val="0"/>
          <w:bCs/>
          <w:caps w:val="0"/>
          <w:color w:val="000000"/>
          <w:sz w:val="24"/>
          <w:szCs w:val="24"/>
        </w:rPr>
        <w:t>M</w:t>
      </w:r>
      <w:r w:rsidRPr="00E84BE4">
        <w:rPr>
          <w:rFonts w:ascii="Times New Roman" w:hAnsi="Times New Roman"/>
          <w:b w:val="0"/>
          <w:bCs/>
          <w:caps w:val="0"/>
          <w:color w:val="000000"/>
          <w:sz w:val="24"/>
          <w:szCs w:val="24"/>
        </w:rPr>
        <w:t xml:space="preserve">osteller, 1995). This finding was further confirmed by </w:t>
      </w:r>
      <w:proofErr w:type="spellStart"/>
      <w:r>
        <w:rPr>
          <w:rFonts w:ascii="Times New Roman" w:hAnsi="Times New Roman"/>
          <w:b w:val="0"/>
          <w:bCs/>
          <w:caps w:val="0"/>
          <w:color w:val="000000"/>
          <w:sz w:val="24"/>
          <w:szCs w:val="24"/>
        </w:rPr>
        <w:t>Z</w:t>
      </w:r>
      <w:r w:rsidRPr="00E84BE4">
        <w:rPr>
          <w:rFonts w:ascii="Times New Roman" w:hAnsi="Times New Roman"/>
          <w:b w:val="0"/>
          <w:bCs/>
          <w:caps w:val="0"/>
          <w:color w:val="000000"/>
          <w:sz w:val="24"/>
          <w:szCs w:val="24"/>
        </w:rPr>
        <w:t>yngier</w:t>
      </w:r>
      <w:proofErr w:type="spellEnd"/>
      <w:r w:rsidRPr="00E84BE4">
        <w:rPr>
          <w:rFonts w:ascii="Times New Roman" w:hAnsi="Times New Roman"/>
          <w:b w:val="0"/>
          <w:bCs/>
          <w:caps w:val="0"/>
          <w:color w:val="000000"/>
          <w:sz w:val="24"/>
          <w:szCs w:val="24"/>
        </w:rPr>
        <w:t xml:space="preserve"> (2014), who, through a review of 100 studies, concluded that reducing class size has a positive impact on learning outcomes. Both teacher competence and class size are individually relevant factors in shaping educational achievement (</w:t>
      </w:r>
      <w:r>
        <w:rPr>
          <w:rFonts w:ascii="Times New Roman" w:hAnsi="Times New Roman"/>
          <w:b w:val="0"/>
          <w:bCs/>
          <w:caps w:val="0"/>
          <w:color w:val="000000"/>
          <w:sz w:val="24"/>
          <w:szCs w:val="24"/>
        </w:rPr>
        <w:t>W</w:t>
      </w:r>
      <w:r w:rsidRPr="00E84BE4">
        <w:rPr>
          <w:rFonts w:ascii="Times New Roman" w:hAnsi="Times New Roman"/>
          <w:b w:val="0"/>
          <w:bCs/>
          <w:caps w:val="0"/>
          <w:color w:val="000000"/>
          <w:sz w:val="24"/>
          <w:szCs w:val="24"/>
        </w:rPr>
        <w:t xml:space="preserve">ang &amp; </w:t>
      </w:r>
      <w:r>
        <w:rPr>
          <w:rFonts w:ascii="Times New Roman" w:hAnsi="Times New Roman"/>
          <w:b w:val="0"/>
          <w:bCs/>
          <w:caps w:val="0"/>
          <w:color w:val="000000"/>
          <w:sz w:val="24"/>
          <w:szCs w:val="24"/>
        </w:rPr>
        <w:t>C</w:t>
      </w:r>
      <w:r w:rsidRPr="00E84BE4">
        <w:rPr>
          <w:rFonts w:ascii="Times New Roman" w:hAnsi="Times New Roman"/>
          <w:b w:val="0"/>
          <w:bCs/>
          <w:caps w:val="0"/>
          <w:color w:val="000000"/>
          <w:sz w:val="24"/>
          <w:szCs w:val="24"/>
        </w:rPr>
        <w:t xml:space="preserve">alvano, 2022; </w:t>
      </w:r>
      <w:proofErr w:type="spellStart"/>
      <w:r>
        <w:rPr>
          <w:rFonts w:ascii="Times New Roman" w:hAnsi="Times New Roman"/>
          <w:b w:val="0"/>
          <w:bCs/>
          <w:caps w:val="0"/>
          <w:color w:val="000000"/>
          <w:sz w:val="24"/>
          <w:szCs w:val="24"/>
        </w:rPr>
        <w:t>G</w:t>
      </w:r>
      <w:r w:rsidRPr="00E84BE4">
        <w:rPr>
          <w:rFonts w:ascii="Times New Roman" w:hAnsi="Times New Roman"/>
          <w:b w:val="0"/>
          <w:bCs/>
          <w:caps w:val="0"/>
          <w:color w:val="000000"/>
          <w:sz w:val="24"/>
          <w:szCs w:val="24"/>
        </w:rPr>
        <w:t>unersel</w:t>
      </w:r>
      <w:proofErr w:type="spellEnd"/>
      <w:r w:rsidRPr="00E84BE4">
        <w:rPr>
          <w:rFonts w:ascii="Times New Roman" w:hAnsi="Times New Roman"/>
          <w:b w:val="0"/>
          <w:bCs/>
          <w:caps w:val="0"/>
          <w:color w:val="000000"/>
          <w:sz w:val="24"/>
          <w:szCs w:val="24"/>
        </w:rPr>
        <w:t xml:space="preserve"> et al., 2023). However, studies that examine the simultaneous effects of these two variables, particularly in the context of social studies learning at the junior secondary school level, remain relatively scarce</w:t>
      </w:r>
      <w:r w:rsidRPr="00E84BE4">
        <w:rPr>
          <w:rFonts w:ascii="Times New Roman" w:hAnsi="Times New Roman"/>
          <w:b w:val="0"/>
          <w:bCs/>
          <w:color w:val="000000"/>
          <w:sz w:val="24"/>
          <w:szCs w:val="24"/>
        </w:rPr>
        <w:t>.</w:t>
      </w:r>
    </w:p>
    <w:p w14:paraId="1F7DA0DF" w14:textId="47E50BF2" w:rsidR="008C43CD" w:rsidRPr="00C038A2" w:rsidRDefault="008C43CD" w:rsidP="008C43CD">
      <w:pPr>
        <w:pStyle w:val="AbstHead"/>
        <w:jc w:val="both"/>
        <w:rPr>
          <w:rFonts w:ascii="Times New Roman" w:hAnsi="Times New Roman"/>
          <w:b w:val="0"/>
          <w:bCs/>
          <w:sz w:val="24"/>
          <w:szCs w:val="24"/>
        </w:rPr>
      </w:pPr>
      <w:r w:rsidRPr="00C038A2">
        <w:rPr>
          <w:rFonts w:ascii="Times New Roman" w:hAnsi="Times New Roman"/>
          <w:b w:val="0"/>
          <w:bCs/>
          <w:caps w:val="0"/>
          <w:sz w:val="24"/>
          <w:szCs w:val="24"/>
        </w:rPr>
        <w:t xml:space="preserve">Substantial empirical evidence exists regarding the separate effects of teacher competency and class size; however, research combining the two in a single analytical </w:t>
      </w:r>
      <w:r w:rsidRPr="00C038A2">
        <w:rPr>
          <w:rFonts w:ascii="Times New Roman" w:hAnsi="Times New Roman"/>
          <w:b w:val="0"/>
          <w:bCs/>
          <w:caps w:val="0"/>
          <w:sz w:val="24"/>
          <w:szCs w:val="24"/>
        </w:rPr>
        <w:lastRenderedPageBreak/>
        <w:t xml:space="preserve">model to identify interaction effects remains limited, particularly in the context of junior secondary education in </w:t>
      </w:r>
      <w:proofErr w:type="spellStart"/>
      <w:r w:rsidRPr="00C038A2">
        <w:rPr>
          <w:rFonts w:ascii="Times New Roman" w:hAnsi="Times New Roman"/>
          <w:b w:val="0"/>
          <w:bCs/>
          <w:caps w:val="0"/>
          <w:sz w:val="24"/>
          <w:szCs w:val="24"/>
        </w:rPr>
        <w:t>indonesia</w:t>
      </w:r>
      <w:proofErr w:type="spellEnd"/>
      <w:r w:rsidRPr="00C038A2">
        <w:rPr>
          <w:rFonts w:ascii="Times New Roman" w:hAnsi="Times New Roman"/>
          <w:b w:val="0"/>
          <w:bCs/>
          <w:caps w:val="0"/>
          <w:sz w:val="24"/>
          <w:szCs w:val="24"/>
        </w:rPr>
        <w:t xml:space="preserve">. Most studies focus on only one factor, thus failing to provide a complete picture of how the two variables interact to influence learning outcomes. Furthermore, the local context of </w:t>
      </w:r>
      <w:r w:rsidR="00A036BC">
        <w:rPr>
          <w:rFonts w:ascii="Times New Roman" w:hAnsi="Times New Roman"/>
          <w:b w:val="0"/>
          <w:bCs/>
          <w:caps w:val="0"/>
          <w:sz w:val="24"/>
          <w:szCs w:val="24"/>
        </w:rPr>
        <w:t>B</w:t>
      </w:r>
      <w:r w:rsidRPr="00C038A2">
        <w:rPr>
          <w:rFonts w:ascii="Times New Roman" w:hAnsi="Times New Roman"/>
          <w:b w:val="0"/>
          <w:bCs/>
          <w:caps w:val="0"/>
          <w:sz w:val="24"/>
          <w:szCs w:val="24"/>
        </w:rPr>
        <w:t xml:space="preserve">one </w:t>
      </w:r>
      <w:proofErr w:type="spellStart"/>
      <w:r w:rsidR="00A036BC">
        <w:rPr>
          <w:rFonts w:ascii="Times New Roman" w:hAnsi="Times New Roman"/>
          <w:b w:val="0"/>
          <w:bCs/>
          <w:caps w:val="0"/>
          <w:sz w:val="24"/>
          <w:szCs w:val="24"/>
        </w:rPr>
        <w:t>B</w:t>
      </w:r>
      <w:r w:rsidRPr="00C038A2">
        <w:rPr>
          <w:rFonts w:ascii="Times New Roman" w:hAnsi="Times New Roman"/>
          <w:b w:val="0"/>
          <w:bCs/>
          <w:caps w:val="0"/>
          <w:sz w:val="24"/>
          <w:szCs w:val="24"/>
        </w:rPr>
        <w:t>olango</w:t>
      </w:r>
      <w:proofErr w:type="spellEnd"/>
      <w:r w:rsidRPr="00C038A2">
        <w:rPr>
          <w:rFonts w:ascii="Times New Roman" w:hAnsi="Times New Roman"/>
          <w:b w:val="0"/>
          <w:bCs/>
          <w:caps w:val="0"/>
          <w:sz w:val="24"/>
          <w:szCs w:val="24"/>
        </w:rPr>
        <w:t xml:space="preserve"> regency has unique social and educational characteristics, including the distribution of teachers with varying qualifications and significant variations in class size across schools. This situation reinforces the urgency of research that considers both factors simultaneously.</w:t>
      </w:r>
    </w:p>
    <w:p w14:paraId="6E73D52D" w14:textId="1CEF82EA" w:rsidR="008C43CD" w:rsidRPr="00C038A2" w:rsidRDefault="008C43CD" w:rsidP="008C43CD">
      <w:pPr>
        <w:pStyle w:val="AbstHead"/>
        <w:spacing w:after="0"/>
        <w:jc w:val="both"/>
        <w:rPr>
          <w:rFonts w:ascii="Times New Roman" w:hAnsi="Times New Roman"/>
          <w:b w:val="0"/>
          <w:bCs/>
          <w:sz w:val="24"/>
          <w:szCs w:val="24"/>
        </w:rPr>
      </w:pPr>
      <w:r w:rsidRPr="00C038A2">
        <w:rPr>
          <w:rFonts w:ascii="Times New Roman" w:hAnsi="Times New Roman"/>
          <w:b w:val="0"/>
          <w:bCs/>
          <w:caps w:val="0"/>
          <w:sz w:val="24"/>
          <w:szCs w:val="24"/>
        </w:rPr>
        <w:t xml:space="preserve">The novelty of this research lies in its comparative study design, which examines the interaction effect of teacher competency (high vs. Low) and class size (small vs. Large) on the social studies learning outcomes of seventh-grade students at public junior high schools in </w:t>
      </w:r>
      <w:r w:rsidR="00A036BC">
        <w:rPr>
          <w:rFonts w:ascii="Times New Roman" w:hAnsi="Times New Roman"/>
          <w:b w:val="0"/>
          <w:bCs/>
          <w:caps w:val="0"/>
          <w:sz w:val="24"/>
          <w:szCs w:val="24"/>
        </w:rPr>
        <w:t>B</w:t>
      </w:r>
      <w:r w:rsidRPr="00C038A2">
        <w:rPr>
          <w:rFonts w:ascii="Times New Roman" w:hAnsi="Times New Roman"/>
          <w:b w:val="0"/>
          <w:bCs/>
          <w:caps w:val="0"/>
          <w:sz w:val="24"/>
          <w:szCs w:val="24"/>
        </w:rPr>
        <w:t xml:space="preserve">one </w:t>
      </w:r>
      <w:proofErr w:type="spellStart"/>
      <w:r w:rsidR="00A036BC">
        <w:rPr>
          <w:rFonts w:ascii="Times New Roman" w:hAnsi="Times New Roman"/>
          <w:b w:val="0"/>
          <w:bCs/>
          <w:caps w:val="0"/>
          <w:sz w:val="24"/>
          <w:szCs w:val="24"/>
        </w:rPr>
        <w:t>B</w:t>
      </w:r>
      <w:r w:rsidRPr="00C038A2">
        <w:rPr>
          <w:rFonts w:ascii="Times New Roman" w:hAnsi="Times New Roman"/>
          <w:b w:val="0"/>
          <w:bCs/>
          <w:caps w:val="0"/>
          <w:sz w:val="24"/>
          <w:szCs w:val="24"/>
        </w:rPr>
        <w:t>olango</w:t>
      </w:r>
      <w:proofErr w:type="spellEnd"/>
      <w:r w:rsidRPr="00C038A2">
        <w:rPr>
          <w:rFonts w:ascii="Times New Roman" w:hAnsi="Times New Roman"/>
          <w:b w:val="0"/>
          <w:bCs/>
          <w:caps w:val="0"/>
          <w:sz w:val="24"/>
          <w:szCs w:val="24"/>
        </w:rPr>
        <w:t xml:space="preserve"> regency. This research not only compares the influence of each factor separately but also analyzes how they interact to influence academic achievement. The focus on social studies provides a unique dimension due to its multidisciplinary nature and the high demand for pedagogical skills. Based on the background and review of previous research, the hypothesis of this research is as follows: (1) there is a difference in the results of social studies learning of students taught by teachers with high competence and teachers with low competence; (2) there is a difference in the results of social studies learning between students whom teachers with high competence and teachers with low competence teach.</w:t>
      </w:r>
    </w:p>
    <w:p w14:paraId="5DFC9BD1" w14:textId="77777777" w:rsidR="00790ADA" w:rsidRPr="00C038A2" w:rsidRDefault="00790ADA" w:rsidP="00441B6F">
      <w:pPr>
        <w:pStyle w:val="AbstHead"/>
        <w:spacing w:after="0"/>
        <w:jc w:val="both"/>
        <w:rPr>
          <w:rFonts w:ascii="Times New Roman" w:hAnsi="Times New Roman"/>
          <w:sz w:val="24"/>
          <w:szCs w:val="24"/>
        </w:rPr>
      </w:pPr>
    </w:p>
    <w:p w14:paraId="4D8A6005" w14:textId="77777777" w:rsidR="00790ADA" w:rsidRPr="00FB3A86" w:rsidRDefault="00790ADA" w:rsidP="00441B6F">
      <w:pPr>
        <w:pStyle w:val="Body"/>
        <w:spacing w:after="0"/>
        <w:rPr>
          <w:rFonts w:ascii="Arial" w:hAnsi="Arial" w:cs="Arial"/>
        </w:rPr>
      </w:pPr>
    </w:p>
    <w:p w14:paraId="50928CD6" w14:textId="77777777" w:rsidR="007F7B32" w:rsidRPr="00C038A2" w:rsidRDefault="00902823" w:rsidP="00441B6F">
      <w:pPr>
        <w:pStyle w:val="AbstHead"/>
        <w:spacing w:after="0"/>
        <w:jc w:val="both"/>
        <w:rPr>
          <w:rFonts w:ascii="Times New Roman" w:hAnsi="Times New Roman"/>
          <w:sz w:val="24"/>
          <w:szCs w:val="24"/>
        </w:rPr>
      </w:pPr>
      <w:r w:rsidRPr="00C038A2">
        <w:rPr>
          <w:rFonts w:ascii="Times New Roman" w:hAnsi="Times New Roman"/>
          <w:sz w:val="24"/>
          <w:szCs w:val="24"/>
        </w:rPr>
        <w:t xml:space="preserve">2. </w:t>
      </w:r>
      <w:r w:rsidR="006B57D0" w:rsidRPr="00C038A2">
        <w:rPr>
          <w:rFonts w:ascii="Times New Roman" w:hAnsi="Times New Roman"/>
          <w:sz w:val="24"/>
          <w:szCs w:val="24"/>
        </w:rPr>
        <w:t>methodology</w:t>
      </w:r>
      <w:r w:rsidR="007F7B32" w:rsidRPr="00C038A2">
        <w:rPr>
          <w:rFonts w:ascii="Times New Roman" w:hAnsi="Times New Roman"/>
          <w:sz w:val="24"/>
          <w:szCs w:val="24"/>
        </w:rPr>
        <w:t xml:space="preserve"> </w:t>
      </w:r>
    </w:p>
    <w:p w14:paraId="2131D299" w14:textId="77777777" w:rsidR="00790ADA" w:rsidRPr="00FB3A86" w:rsidRDefault="00790ADA" w:rsidP="00441B6F">
      <w:pPr>
        <w:pStyle w:val="AbstHead"/>
        <w:spacing w:after="0"/>
        <w:jc w:val="both"/>
        <w:rPr>
          <w:rFonts w:ascii="Arial" w:hAnsi="Arial" w:cs="Arial"/>
        </w:rPr>
      </w:pPr>
    </w:p>
    <w:p w14:paraId="0F68FDCB" w14:textId="6306363C" w:rsidR="00090E43" w:rsidRPr="00C038A2" w:rsidRDefault="00090E43" w:rsidP="00090E43">
      <w:pPr>
        <w:pStyle w:val="Body"/>
        <w:spacing w:after="0"/>
        <w:rPr>
          <w:rFonts w:ascii="Times New Roman" w:hAnsi="Times New Roman"/>
          <w:sz w:val="24"/>
          <w:szCs w:val="24"/>
        </w:rPr>
      </w:pPr>
      <w:r w:rsidRPr="00C038A2">
        <w:rPr>
          <w:rFonts w:ascii="Times New Roman" w:hAnsi="Times New Roman"/>
          <w:sz w:val="24"/>
          <w:szCs w:val="24"/>
        </w:rPr>
        <w:t xml:space="preserve">This study was conducted in four junior high schools in Bone </w:t>
      </w:r>
      <w:proofErr w:type="spellStart"/>
      <w:r w:rsidRPr="00C038A2">
        <w:rPr>
          <w:rFonts w:ascii="Times New Roman" w:hAnsi="Times New Roman"/>
          <w:sz w:val="24"/>
          <w:szCs w:val="24"/>
        </w:rPr>
        <w:t>Bolango</w:t>
      </w:r>
      <w:proofErr w:type="spellEnd"/>
      <w:r w:rsidRPr="00C038A2">
        <w:rPr>
          <w:rFonts w:ascii="Times New Roman" w:hAnsi="Times New Roman"/>
          <w:sz w:val="24"/>
          <w:szCs w:val="24"/>
        </w:rPr>
        <w:t xml:space="preserve"> Regency, namely SMP Negeri 1 Kabila, SMP Negeri 1 Tapa, SMP Negeri 3 </w:t>
      </w:r>
      <w:proofErr w:type="spellStart"/>
      <w:r w:rsidRPr="00C038A2">
        <w:rPr>
          <w:rFonts w:ascii="Times New Roman" w:hAnsi="Times New Roman"/>
          <w:sz w:val="24"/>
          <w:szCs w:val="24"/>
        </w:rPr>
        <w:t>Suwawa</w:t>
      </w:r>
      <w:proofErr w:type="spellEnd"/>
      <w:r w:rsidRPr="00C038A2">
        <w:rPr>
          <w:rFonts w:ascii="Times New Roman" w:hAnsi="Times New Roman"/>
          <w:sz w:val="24"/>
          <w:szCs w:val="24"/>
        </w:rPr>
        <w:t>, and SMP Negeri 3 Satap Kabila Bone. The selection of these locations was based on considerations of the representativeness of the schools' sizes, thereby providing a comprehensive picture of the influence of teacher competence and class size on student learning outcomes (Fraenkel, Wallen, &amp; Hyun, 2012).</w:t>
      </w:r>
    </w:p>
    <w:p w14:paraId="49DD0FCA" w14:textId="77777777" w:rsidR="00D02FC3" w:rsidRPr="00C038A2" w:rsidRDefault="00D02FC3" w:rsidP="00090E43">
      <w:pPr>
        <w:pStyle w:val="Body"/>
        <w:spacing w:after="0"/>
        <w:rPr>
          <w:rFonts w:ascii="Times New Roman" w:hAnsi="Times New Roman"/>
          <w:sz w:val="24"/>
          <w:szCs w:val="24"/>
        </w:rPr>
      </w:pPr>
    </w:p>
    <w:p w14:paraId="36019132" w14:textId="77777777" w:rsidR="00090E43" w:rsidRPr="00C038A2" w:rsidRDefault="00090E43" w:rsidP="00090E43">
      <w:pPr>
        <w:pStyle w:val="Body"/>
        <w:rPr>
          <w:rFonts w:ascii="Times New Roman" w:hAnsi="Times New Roman"/>
          <w:sz w:val="24"/>
          <w:szCs w:val="24"/>
        </w:rPr>
      </w:pPr>
      <w:r w:rsidRPr="00C038A2">
        <w:rPr>
          <w:rFonts w:ascii="Times New Roman" w:hAnsi="Times New Roman"/>
          <w:b/>
          <w:bCs/>
          <w:sz w:val="24"/>
          <w:szCs w:val="24"/>
        </w:rPr>
        <w:t>2.1 Research Design</w:t>
      </w:r>
    </w:p>
    <w:p w14:paraId="752BEC80" w14:textId="7731A073" w:rsidR="00090E43" w:rsidRPr="00C038A2" w:rsidRDefault="00090E43" w:rsidP="00090E43">
      <w:pPr>
        <w:pStyle w:val="Body"/>
        <w:rPr>
          <w:rFonts w:ascii="Times New Roman" w:hAnsi="Times New Roman"/>
          <w:sz w:val="24"/>
          <w:szCs w:val="24"/>
        </w:rPr>
      </w:pPr>
      <w:r w:rsidRPr="00C038A2">
        <w:rPr>
          <w:rFonts w:ascii="Times New Roman" w:hAnsi="Times New Roman"/>
          <w:sz w:val="24"/>
          <w:szCs w:val="24"/>
        </w:rPr>
        <w:t xml:space="preserve">This study employed a quantitative approach, </w:t>
      </w:r>
      <w:proofErr w:type="spellStart"/>
      <w:r w:rsidRPr="00C038A2">
        <w:rPr>
          <w:rFonts w:ascii="Times New Roman" w:hAnsi="Times New Roman"/>
          <w:sz w:val="24"/>
          <w:szCs w:val="24"/>
        </w:rPr>
        <w:t>utilising</w:t>
      </w:r>
      <w:proofErr w:type="spellEnd"/>
      <w:r w:rsidRPr="00C038A2">
        <w:rPr>
          <w:rFonts w:ascii="Times New Roman" w:hAnsi="Times New Roman"/>
          <w:sz w:val="24"/>
          <w:szCs w:val="24"/>
        </w:rPr>
        <w:t xml:space="preserve"> a comparative causal method and a 2×2 factorial design. The quantitative approach was chosen because it enables the objective measurement of relationships and differences between variables, </w:t>
      </w:r>
      <w:proofErr w:type="spellStart"/>
      <w:r w:rsidRPr="00C038A2">
        <w:rPr>
          <w:rFonts w:ascii="Times New Roman" w:hAnsi="Times New Roman"/>
          <w:sz w:val="24"/>
          <w:szCs w:val="24"/>
        </w:rPr>
        <w:t>utilising</w:t>
      </w:r>
      <w:proofErr w:type="spellEnd"/>
      <w:r w:rsidRPr="00C038A2">
        <w:rPr>
          <w:rFonts w:ascii="Times New Roman" w:hAnsi="Times New Roman"/>
          <w:sz w:val="24"/>
          <w:szCs w:val="24"/>
        </w:rPr>
        <w:t xml:space="preserve"> </w:t>
      </w:r>
      <w:proofErr w:type="spellStart"/>
      <w:r w:rsidRPr="00C038A2">
        <w:rPr>
          <w:rFonts w:ascii="Times New Roman" w:hAnsi="Times New Roman"/>
          <w:sz w:val="24"/>
          <w:szCs w:val="24"/>
        </w:rPr>
        <w:t>standardised</w:t>
      </w:r>
      <w:proofErr w:type="spellEnd"/>
      <w:r w:rsidRPr="00C038A2">
        <w:rPr>
          <w:rFonts w:ascii="Times New Roman" w:hAnsi="Times New Roman"/>
          <w:sz w:val="24"/>
          <w:szCs w:val="24"/>
        </w:rPr>
        <w:t xml:space="preserve"> instruments and statistical analysis (</w:t>
      </w:r>
      <w:proofErr w:type="spellStart"/>
      <w:r w:rsidRPr="00C038A2">
        <w:rPr>
          <w:rFonts w:ascii="Times New Roman" w:hAnsi="Times New Roman"/>
          <w:sz w:val="24"/>
          <w:szCs w:val="24"/>
        </w:rPr>
        <w:t>Sugiyono</w:t>
      </w:r>
      <w:proofErr w:type="spellEnd"/>
      <w:r w:rsidRPr="00C038A2">
        <w:rPr>
          <w:rFonts w:ascii="Times New Roman" w:hAnsi="Times New Roman"/>
          <w:sz w:val="24"/>
          <w:szCs w:val="24"/>
        </w:rPr>
        <w:t>, 20</w:t>
      </w:r>
      <w:r w:rsidR="0020193E" w:rsidRPr="00C038A2">
        <w:rPr>
          <w:rFonts w:ascii="Times New Roman" w:hAnsi="Times New Roman"/>
          <w:sz w:val="24"/>
          <w:szCs w:val="24"/>
        </w:rPr>
        <w:t>17</w:t>
      </w:r>
      <w:r w:rsidRPr="00C038A2">
        <w:rPr>
          <w:rFonts w:ascii="Times New Roman" w:hAnsi="Times New Roman"/>
          <w:sz w:val="24"/>
          <w:szCs w:val="24"/>
        </w:rPr>
        <w:t>). The comparative causal method was employed to investigate the impact of teacher competence (high and low) and class size (large and small) on student learning outcomes, without directly manipulating the variables (Cohen, Manion, &amp; Morrison, 2018).</w:t>
      </w:r>
    </w:p>
    <w:p w14:paraId="311CD353" w14:textId="77777777" w:rsidR="00090E43" w:rsidRPr="00C038A2" w:rsidRDefault="00090E43" w:rsidP="00090E43">
      <w:pPr>
        <w:pStyle w:val="Body"/>
        <w:spacing w:after="0"/>
        <w:rPr>
          <w:rFonts w:ascii="Times New Roman" w:hAnsi="Times New Roman"/>
          <w:sz w:val="24"/>
          <w:szCs w:val="24"/>
        </w:rPr>
      </w:pPr>
      <w:r w:rsidRPr="00C038A2">
        <w:rPr>
          <w:rFonts w:ascii="Times New Roman" w:hAnsi="Times New Roman"/>
          <w:sz w:val="24"/>
          <w:szCs w:val="24"/>
        </w:rPr>
        <w:t xml:space="preserve">A 2×2 factorial design allows researchers to examine the main effects of each independent variable, as well as the interaction effects between them. Four treatment combinations were </w:t>
      </w:r>
      <w:proofErr w:type="spellStart"/>
      <w:r w:rsidRPr="00C038A2">
        <w:rPr>
          <w:rFonts w:ascii="Times New Roman" w:hAnsi="Times New Roman"/>
          <w:sz w:val="24"/>
          <w:szCs w:val="24"/>
        </w:rPr>
        <w:t>analysed</w:t>
      </w:r>
      <w:proofErr w:type="spellEnd"/>
      <w:r w:rsidRPr="00C038A2">
        <w:rPr>
          <w:rFonts w:ascii="Times New Roman" w:hAnsi="Times New Roman"/>
          <w:sz w:val="24"/>
          <w:szCs w:val="24"/>
        </w:rPr>
        <w:t>: 1) High-competent teachers in small classes, 2) High-</w:t>
      </w:r>
      <w:r w:rsidRPr="00C038A2">
        <w:rPr>
          <w:rFonts w:ascii="Times New Roman" w:hAnsi="Times New Roman"/>
          <w:sz w:val="24"/>
          <w:szCs w:val="24"/>
        </w:rPr>
        <w:lastRenderedPageBreak/>
        <w:t>competent teachers in large classes, 3) Low-competent teachers in small classes, and 4) Low-competent teachers in large classes. This design was considered appropriate because it provides an overview of the interaction between variables in an educational context (Brydges &amp; Papadopoulos, 2020).</w:t>
      </w:r>
    </w:p>
    <w:p w14:paraId="39E3F57D" w14:textId="77777777" w:rsidR="00090E43" w:rsidRPr="00C038A2" w:rsidRDefault="00090E43" w:rsidP="00090E43">
      <w:pPr>
        <w:pStyle w:val="Body"/>
        <w:spacing w:after="0"/>
        <w:rPr>
          <w:rFonts w:ascii="Times New Roman" w:hAnsi="Times New Roman"/>
          <w:sz w:val="24"/>
          <w:szCs w:val="24"/>
        </w:rPr>
      </w:pPr>
    </w:p>
    <w:p w14:paraId="794D8A2F" w14:textId="77777777" w:rsidR="00090E43" w:rsidRPr="00C038A2" w:rsidRDefault="00090E43" w:rsidP="00090E43">
      <w:pPr>
        <w:pStyle w:val="Body"/>
        <w:rPr>
          <w:rFonts w:ascii="Times New Roman" w:hAnsi="Times New Roman"/>
          <w:sz w:val="24"/>
          <w:szCs w:val="24"/>
        </w:rPr>
      </w:pPr>
      <w:r w:rsidRPr="00C038A2">
        <w:rPr>
          <w:rFonts w:ascii="Times New Roman" w:hAnsi="Times New Roman"/>
          <w:b/>
          <w:bCs/>
          <w:sz w:val="24"/>
          <w:szCs w:val="24"/>
        </w:rPr>
        <w:t>2.2 Population and Sample</w:t>
      </w:r>
    </w:p>
    <w:p w14:paraId="2EBB1BBF" w14:textId="77777777" w:rsidR="00090E43" w:rsidRPr="00C038A2" w:rsidRDefault="00090E43" w:rsidP="00090E43">
      <w:pPr>
        <w:pStyle w:val="Body"/>
        <w:rPr>
          <w:rFonts w:ascii="Times New Roman" w:hAnsi="Times New Roman"/>
          <w:sz w:val="24"/>
          <w:szCs w:val="24"/>
        </w:rPr>
      </w:pPr>
      <w:r w:rsidRPr="00C038A2">
        <w:rPr>
          <w:rFonts w:ascii="Times New Roman" w:hAnsi="Times New Roman"/>
          <w:sz w:val="24"/>
          <w:szCs w:val="24"/>
        </w:rPr>
        <w:t xml:space="preserve">The research population included all seventh-grade students in public junior high schools in Bone </w:t>
      </w:r>
      <w:proofErr w:type="spellStart"/>
      <w:r w:rsidRPr="00C038A2">
        <w:rPr>
          <w:rFonts w:ascii="Times New Roman" w:hAnsi="Times New Roman"/>
          <w:sz w:val="24"/>
          <w:szCs w:val="24"/>
        </w:rPr>
        <w:t>Bolango</w:t>
      </w:r>
      <w:proofErr w:type="spellEnd"/>
      <w:r w:rsidRPr="00C038A2">
        <w:rPr>
          <w:rFonts w:ascii="Times New Roman" w:hAnsi="Times New Roman"/>
          <w:sz w:val="24"/>
          <w:szCs w:val="24"/>
        </w:rPr>
        <w:t xml:space="preserve"> Regency. The sample was selected using a combination of purposive sampling and stratified cluster sampling, with criteria for large schools (encompassing≥ 30 students per class) and small schools (encompassing ≤ 30 students per class) (Creswell, 2020). The total sample consisted of 100 students, divided into four groups based on the combination of teacher competence and class size.</w:t>
      </w:r>
    </w:p>
    <w:p w14:paraId="5B242CCD" w14:textId="77777777" w:rsidR="00090E43" w:rsidRPr="00C038A2" w:rsidRDefault="00090E43" w:rsidP="00090E43">
      <w:pPr>
        <w:pStyle w:val="Body"/>
        <w:spacing w:after="0"/>
        <w:rPr>
          <w:rFonts w:ascii="Times New Roman" w:hAnsi="Times New Roman"/>
          <w:sz w:val="24"/>
          <w:szCs w:val="24"/>
        </w:rPr>
      </w:pPr>
      <w:r w:rsidRPr="00C038A2">
        <w:rPr>
          <w:rFonts w:ascii="Times New Roman" w:hAnsi="Times New Roman"/>
          <w:sz w:val="24"/>
          <w:szCs w:val="24"/>
        </w:rPr>
        <w:t>The sample size was determined based on the recommended minimum size for variance analysis, specifically≥ 20 respondents per group for ANOVA and ≥ 30 respondents for parametric tests, to meet the assumptions of the Central Limit Theorem (Ferguson, 2004; Sekaran &amp; Bougie, 2016).</w:t>
      </w:r>
    </w:p>
    <w:p w14:paraId="15D79A14" w14:textId="77777777" w:rsidR="00090E43" w:rsidRPr="00090E43" w:rsidRDefault="00090E43" w:rsidP="00090E43">
      <w:pPr>
        <w:pStyle w:val="Body"/>
        <w:spacing w:after="0"/>
        <w:rPr>
          <w:rFonts w:ascii="Arial" w:hAnsi="Arial" w:cs="Arial"/>
        </w:rPr>
      </w:pPr>
    </w:p>
    <w:p w14:paraId="0B3EB06F" w14:textId="77777777" w:rsidR="00090E43" w:rsidRPr="00C038A2" w:rsidRDefault="00090E43" w:rsidP="00090E43">
      <w:pPr>
        <w:pStyle w:val="Body"/>
        <w:rPr>
          <w:rFonts w:ascii="Times New Roman" w:hAnsi="Times New Roman"/>
          <w:sz w:val="24"/>
          <w:szCs w:val="24"/>
        </w:rPr>
      </w:pPr>
      <w:r w:rsidRPr="00C038A2">
        <w:rPr>
          <w:rFonts w:ascii="Times New Roman" w:hAnsi="Times New Roman"/>
          <w:b/>
          <w:bCs/>
          <w:sz w:val="24"/>
          <w:szCs w:val="24"/>
        </w:rPr>
        <w:t>2.3 Research Variables</w:t>
      </w:r>
    </w:p>
    <w:p w14:paraId="7F034A84" w14:textId="77777777" w:rsidR="00090E43" w:rsidRPr="00C038A2" w:rsidRDefault="00090E43" w:rsidP="00090E43">
      <w:pPr>
        <w:pStyle w:val="Body"/>
        <w:spacing w:after="0"/>
        <w:rPr>
          <w:rFonts w:ascii="Times New Roman" w:hAnsi="Times New Roman"/>
          <w:sz w:val="24"/>
          <w:szCs w:val="24"/>
        </w:rPr>
      </w:pPr>
      <w:r w:rsidRPr="00C038A2">
        <w:rPr>
          <w:rFonts w:ascii="Times New Roman" w:hAnsi="Times New Roman"/>
          <w:sz w:val="24"/>
          <w:szCs w:val="24"/>
        </w:rPr>
        <w:t>This study involved two independent variables and one dependent variable, namely:</w:t>
      </w:r>
    </w:p>
    <w:p w14:paraId="3C4EB2FF" w14:textId="77777777" w:rsidR="00090E43" w:rsidRPr="00C038A2" w:rsidRDefault="00090E43" w:rsidP="00090E43">
      <w:pPr>
        <w:pStyle w:val="Body"/>
        <w:numPr>
          <w:ilvl w:val="0"/>
          <w:numId w:val="34"/>
        </w:numPr>
        <w:spacing w:after="0"/>
        <w:ind w:left="709"/>
        <w:rPr>
          <w:rFonts w:ascii="Times New Roman" w:hAnsi="Times New Roman"/>
          <w:sz w:val="24"/>
          <w:szCs w:val="24"/>
        </w:rPr>
      </w:pPr>
      <w:r w:rsidRPr="00C038A2">
        <w:rPr>
          <w:rFonts w:ascii="Times New Roman" w:hAnsi="Times New Roman"/>
          <w:sz w:val="24"/>
          <w:szCs w:val="24"/>
        </w:rPr>
        <w:t xml:space="preserve">Teacher Competence – measured based on indicators of pedagogical, professional, social, and personal competencies by Ministry of Education and Culture Regulation No. 16 of 2007 and the instrument developed by Aldridge et al. (2020). Teachers with a score of ≥ 75% are </w:t>
      </w:r>
      <w:proofErr w:type="spellStart"/>
      <w:r w:rsidRPr="00C038A2">
        <w:rPr>
          <w:rFonts w:ascii="Times New Roman" w:hAnsi="Times New Roman"/>
          <w:sz w:val="24"/>
          <w:szCs w:val="24"/>
        </w:rPr>
        <w:t>categorised</w:t>
      </w:r>
      <w:proofErr w:type="spellEnd"/>
      <w:r w:rsidRPr="00C038A2">
        <w:rPr>
          <w:rFonts w:ascii="Times New Roman" w:hAnsi="Times New Roman"/>
          <w:sz w:val="24"/>
          <w:szCs w:val="24"/>
        </w:rPr>
        <w:t xml:space="preserve"> as highly competent, while those with a score of &lt; 75% are </w:t>
      </w:r>
      <w:proofErr w:type="spellStart"/>
      <w:r w:rsidRPr="00C038A2">
        <w:rPr>
          <w:rFonts w:ascii="Times New Roman" w:hAnsi="Times New Roman"/>
          <w:sz w:val="24"/>
          <w:szCs w:val="24"/>
        </w:rPr>
        <w:t>categorised</w:t>
      </w:r>
      <w:proofErr w:type="spellEnd"/>
      <w:r w:rsidRPr="00C038A2">
        <w:rPr>
          <w:rFonts w:ascii="Times New Roman" w:hAnsi="Times New Roman"/>
          <w:sz w:val="24"/>
          <w:szCs w:val="24"/>
        </w:rPr>
        <w:t xml:space="preserve"> as low competence.</w:t>
      </w:r>
    </w:p>
    <w:p w14:paraId="3235C305" w14:textId="77777777" w:rsidR="00090E43" w:rsidRPr="00C038A2" w:rsidRDefault="00090E43" w:rsidP="00090E43">
      <w:pPr>
        <w:pStyle w:val="Body"/>
        <w:numPr>
          <w:ilvl w:val="0"/>
          <w:numId w:val="34"/>
        </w:numPr>
        <w:spacing w:after="0"/>
        <w:ind w:left="709"/>
        <w:rPr>
          <w:rFonts w:ascii="Times New Roman" w:hAnsi="Times New Roman"/>
          <w:sz w:val="24"/>
          <w:szCs w:val="24"/>
        </w:rPr>
      </w:pPr>
      <w:r w:rsidRPr="00C038A2">
        <w:rPr>
          <w:rFonts w:ascii="Times New Roman" w:hAnsi="Times New Roman"/>
          <w:sz w:val="24"/>
          <w:szCs w:val="24"/>
        </w:rPr>
        <w:t xml:space="preserve">Class Size – </w:t>
      </w:r>
      <w:proofErr w:type="spellStart"/>
      <w:r w:rsidRPr="00C038A2">
        <w:rPr>
          <w:rFonts w:ascii="Times New Roman" w:hAnsi="Times New Roman"/>
          <w:sz w:val="24"/>
          <w:szCs w:val="24"/>
        </w:rPr>
        <w:t>categorised</w:t>
      </w:r>
      <w:proofErr w:type="spellEnd"/>
      <w:r w:rsidRPr="00C038A2">
        <w:rPr>
          <w:rFonts w:ascii="Times New Roman" w:hAnsi="Times New Roman"/>
          <w:sz w:val="24"/>
          <w:szCs w:val="24"/>
        </w:rPr>
        <w:t xml:space="preserve"> into small classes (≤ 30 students) and large classes (&gt; 30 students) based on classroom management literature (Hattie, 2009; Johnson &amp; Johnson, 2009).</w:t>
      </w:r>
    </w:p>
    <w:p w14:paraId="53875D40" w14:textId="77777777" w:rsidR="00090E43" w:rsidRPr="00C038A2" w:rsidRDefault="00090E43" w:rsidP="00090E43">
      <w:pPr>
        <w:pStyle w:val="Body"/>
        <w:numPr>
          <w:ilvl w:val="0"/>
          <w:numId w:val="34"/>
        </w:numPr>
        <w:spacing w:after="0"/>
        <w:ind w:left="709"/>
        <w:rPr>
          <w:rFonts w:ascii="Times New Roman" w:hAnsi="Times New Roman"/>
          <w:sz w:val="24"/>
          <w:szCs w:val="24"/>
        </w:rPr>
      </w:pPr>
      <w:r w:rsidRPr="00C038A2">
        <w:rPr>
          <w:rFonts w:ascii="Times New Roman" w:hAnsi="Times New Roman"/>
          <w:sz w:val="24"/>
          <w:szCs w:val="24"/>
        </w:rPr>
        <w:t>Learning Outcomes – measured through social studies test scores that reflect students' cognitive achievement.</w:t>
      </w:r>
    </w:p>
    <w:p w14:paraId="0B113034" w14:textId="77777777" w:rsidR="00090E43" w:rsidRPr="00090E43" w:rsidRDefault="00090E43" w:rsidP="00090E43">
      <w:pPr>
        <w:pStyle w:val="Body"/>
        <w:rPr>
          <w:rFonts w:ascii="Arial" w:hAnsi="Arial" w:cs="Arial"/>
        </w:rPr>
      </w:pPr>
    </w:p>
    <w:p w14:paraId="2D72E71A" w14:textId="77777777" w:rsidR="00090E43" w:rsidRPr="00C038A2" w:rsidRDefault="00090E43" w:rsidP="00090E43">
      <w:pPr>
        <w:pStyle w:val="Body"/>
        <w:spacing w:after="0"/>
        <w:rPr>
          <w:rFonts w:ascii="Times New Roman" w:hAnsi="Times New Roman"/>
          <w:b/>
          <w:bCs/>
          <w:sz w:val="24"/>
          <w:szCs w:val="24"/>
        </w:rPr>
      </w:pPr>
      <w:r w:rsidRPr="00C038A2">
        <w:rPr>
          <w:rFonts w:ascii="Times New Roman" w:hAnsi="Times New Roman"/>
          <w:b/>
          <w:bCs/>
          <w:sz w:val="24"/>
          <w:szCs w:val="24"/>
        </w:rPr>
        <w:t>2.4 Data Collection Techniques</w:t>
      </w:r>
    </w:p>
    <w:p w14:paraId="2C188A5E" w14:textId="77777777" w:rsidR="00090E43" w:rsidRPr="00090E43" w:rsidRDefault="00090E43" w:rsidP="00090E43">
      <w:pPr>
        <w:pStyle w:val="Body"/>
        <w:spacing w:after="0"/>
        <w:rPr>
          <w:rFonts w:ascii="Arial" w:hAnsi="Arial" w:cs="Arial"/>
        </w:rPr>
      </w:pPr>
    </w:p>
    <w:p w14:paraId="4480FB49" w14:textId="77777777" w:rsidR="00090E43" w:rsidRPr="00C038A2" w:rsidRDefault="00090E43" w:rsidP="00090E43">
      <w:pPr>
        <w:pStyle w:val="Body"/>
        <w:spacing w:after="0"/>
        <w:rPr>
          <w:rFonts w:ascii="Times New Roman" w:hAnsi="Times New Roman"/>
          <w:sz w:val="24"/>
          <w:szCs w:val="24"/>
        </w:rPr>
      </w:pPr>
      <w:r w:rsidRPr="00C038A2">
        <w:rPr>
          <w:rFonts w:ascii="Times New Roman" w:hAnsi="Times New Roman"/>
          <w:sz w:val="24"/>
          <w:szCs w:val="24"/>
        </w:rPr>
        <w:t>Three techniques were used to collect data, namely:</w:t>
      </w:r>
    </w:p>
    <w:p w14:paraId="2334EFC5" w14:textId="77777777" w:rsidR="00090E43" w:rsidRPr="00C038A2" w:rsidRDefault="00090E43" w:rsidP="00090E43">
      <w:pPr>
        <w:pStyle w:val="Body"/>
        <w:numPr>
          <w:ilvl w:val="0"/>
          <w:numId w:val="32"/>
        </w:numPr>
        <w:spacing w:after="0"/>
        <w:rPr>
          <w:rFonts w:ascii="Times New Roman" w:hAnsi="Times New Roman"/>
          <w:sz w:val="24"/>
          <w:szCs w:val="24"/>
        </w:rPr>
      </w:pPr>
      <w:r w:rsidRPr="00C038A2">
        <w:rPr>
          <w:rFonts w:ascii="Times New Roman" w:hAnsi="Times New Roman"/>
          <w:sz w:val="24"/>
          <w:szCs w:val="24"/>
        </w:rPr>
        <w:t>Questionnaire – to measure teacher competence using a 1–5 Likert scale.</w:t>
      </w:r>
    </w:p>
    <w:p w14:paraId="40DF20A6" w14:textId="77777777" w:rsidR="00090E43" w:rsidRPr="00C038A2" w:rsidRDefault="00090E43" w:rsidP="00090E43">
      <w:pPr>
        <w:pStyle w:val="Body"/>
        <w:numPr>
          <w:ilvl w:val="0"/>
          <w:numId w:val="32"/>
        </w:numPr>
        <w:spacing w:after="0"/>
        <w:rPr>
          <w:rFonts w:ascii="Times New Roman" w:hAnsi="Times New Roman"/>
          <w:sz w:val="24"/>
          <w:szCs w:val="24"/>
        </w:rPr>
      </w:pPr>
      <w:r w:rsidRPr="00C038A2">
        <w:rPr>
          <w:rFonts w:ascii="Times New Roman" w:hAnsi="Times New Roman"/>
          <w:sz w:val="24"/>
          <w:szCs w:val="24"/>
        </w:rPr>
        <w:t>Achievement Tests – to measure students' academic achievement.</w:t>
      </w:r>
    </w:p>
    <w:p w14:paraId="4AF4501A" w14:textId="77777777" w:rsidR="00AA74E0" w:rsidRPr="00C038A2" w:rsidRDefault="00090E43" w:rsidP="00441B6F">
      <w:pPr>
        <w:pStyle w:val="Body"/>
        <w:numPr>
          <w:ilvl w:val="0"/>
          <w:numId w:val="32"/>
        </w:numPr>
        <w:spacing w:after="0"/>
        <w:rPr>
          <w:rFonts w:ascii="Times New Roman" w:hAnsi="Times New Roman"/>
          <w:sz w:val="24"/>
          <w:szCs w:val="24"/>
        </w:rPr>
      </w:pPr>
      <w:r w:rsidRPr="00C038A2">
        <w:rPr>
          <w:rFonts w:ascii="Times New Roman" w:hAnsi="Times New Roman"/>
          <w:sz w:val="24"/>
          <w:szCs w:val="24"/>
        </w:rPr>
        <w:t>Documentation – to obtain supporting data such as the number of students per class, report card grades, and school administrative data (Fraenkel et al., 2012).</w:t>
      </w:r>
      <w:r w:rsidR="00AA74E0" w:rsidRPr="00C038A2">
        <w:rPr>
          <w:rFonts w:ascii="Times New Roman" w:hAnsi="Times New Roman"/>
          <w:sz w:val="24"/>
          <w:szCs w:val="24"/>
        </w:rPr>
        <w:t xml:space="preserve">]  </w:t>
      </w:r>
    </w:p>
    <w:p w14:paraId="19B1E072" w14:textId="77777777" w:rsidR="00790ADA" w:rsidRPr="00FB3A86" w:rsidRDefault="00790ADA" w:rsidP="00441B6F">
      <w:pPr>
        <w:pStyle w:val="Body"/>
        <w:spacing w:after="0"/>
        <w:rPr>
          <w:rFonts w:ascii="Arial" w:hAnsi="Arial" w:cs="Arial"/>
        </w:rPr>
      </w:pPr>
    </w:p>
    <w:p w14:paraId="57FC3793" w14:textId="77777777" w:rsidR="00902823" w:rsidRPr="00C038A2" w:rsidRDefault="00000F8F" w:rsidP="00441B6F">
      <w:pPr>
        <w:pStyle w:val="Head1"/>
        <w:spacing w:after="0"/>
        <w:jc w:val="both"/>
        <w:rPr>
          <w:rFonts w:ascii="Times New Roman" w:hAnsi="Times New Roman"/>
          <w:sz w:val="24"/>
          <w:szCs w:val="24"/>
        </w:rPr>
      </w:pPr>
      <w:r w:rsidRPr="00C038A2">
        <w:rPr>
          <w:rFonts w:ascii="Times New Roman" w:hAnsi="Times New Roman"/>
          <w:sz w:val="24"/>
          <w:szCs w:val="24"/>
        </w:rPr>
        <w:lastRenderedPageBreak/>
        <w:t>3</w:t>
      </w:r>
      <w:r w:rsidR="00902823" w:rsidRPr="00C038A2">
        <w:rPr>
          <w:rFonts w:ascii="Times New Roman" w:hAnsi="Times New Roman"/>
          <w:sz w:val="24"/>
          <w:szCs w:val="24"/>
        </w:rPr>
        <w:t xml:space="preserve">. </w:t>
      </w:r>
      <w:r w:rsidRPr="00C038A2">
        <w:rPr>
          <w:rFonts w:ascii="Times New Roman" w:hAnsi="Times New Roman"/>
          <w:sz w:val="24"/>
          <w:szCs w:val="24"/>
        </w:rPr>
        <w:t>results and discussion</w:t>
      </w:r>
    </w:p>
    <w:p w14:paraId="01ECEB28" w14:textId="77777777" w:rsidR="00790ADA" w:rsidRPr="00FB3A86" w:rsidRDefault="00790ADA" w:rsidP="00441B6F">
      <w:pPr>
        <w:pStyle w:val="Head1"/>
        <w:spacing w:after="0"/>
        <w:jc w:val="both"/>
        <w:rPr>
          <w:rFonts w:ascii="Arial" w:hAnsi="Arial" w:cs="Arial"/>
        </w:rPr>
      </w:pPr>
    </w:p>
    <w:p w14:paraId="78658FCB" w14:textId="00150038"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 xml:space="preserve">The results of the study seventh-grade students in Bone </w:t>
      </w:r>
      <w:proofErr w:type="spellStart"/>
      <w:r w:rsidRPr="00C038A2">
        <w:rPr>
          <w:rFonts w:ascii="Times New Roman" w:hAnsi="Times New Roman"/>
          <w:sz w:val="24"/>
          <w:szCs w:val="24"/>
        </w:rPr>
        <w:t>Bolango</w:t>
      </w:r>
      <w:proofErr w:type="spellEnd"/>
      <w:r w:rsidRPr="00C038A2">
        <w:rPr>
          <w:rFonts w:ascii="Times New Roman" w:hAnsi="Times New Roman"/>
          <w:sz w:val="24"/>
          <w:szCs w:val="24"/>
        </w:rPr>
        <w:t xml:space="preserve"> Regency are presented in Table 1 below.</w:t>
      </w:r>
    </w:p>
    <w:p w14:paraId="6B4A6816"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Table 1. ANOVA results (Two-Way ANOVA)</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96"/>
        <w:gridCol w:w="1194"/>
        <w:gridCol w:w="1194"/>
        <w:gridCol w:w="1342"/>
        <w:gridCol w:w="1563"/>
        <w:gridCol w:w="1419"/>
      </w:tblGrid>
      <w:tr w:rsidR="00424EDC" w:rsidRPr="00C038A2" w14:paraId="07CA6006" w14:textId="77777777" w:rsidTr="001E7653">
        <w:tc>
          <w:tcPr>
            <w:tcW w:w="1438" w:type="dxa"/>
            <w:vAlign w:val="center"/>
          </w:tcPr>
          <w:p w14:paraId="20881240"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Variable</w:t>
            </w:r>
          </w:p>
        </w:tc>
        <w:tc>
          <w:tcPr>
            <w:tcW w:w="1365" w:type="dxa"/>
            <w:vAlign w:val="center"/>
          </w:tcPr>
          <w:p w14:paraId="1F30D747"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F</w:t>
            </w:r>
          </w:p>
        </w:tc>
        <w:tc>
          <w:tcPr>
            <w:tcW w:w="1365" w:type="dxa"/>
            <w:vAlign w:val="center"/>
          </w:tcPr>
          <w:p w14:paraId="2FBF70D9"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p</w:t>
            </w:r>
          </w:p>
        </w:tc>
        <w:tc>
          <w:tcPr>
            <w:tcW w:w="1406" w:type="dxa"/>
            <w:vAlign w:val="center"/>
          </w:tcPr>
          <w:p w14:paraId="5E58F532"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SS</w:t>
            </w:r>
          </w:p>
        </w:tc>
        <w:tc>
          <w:tcPr>
            <w:tcW w:w="1338" w:type="dxa"/>
            <w:vAlign w:val="center"/>
          </w:tcPr>
          <w:p w14:paraId="15C35A21"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Contribution (%)</w:t>
            </w:r>
          </w:p>
        </w:tc>
        <w:tc>
          <w:tcPr>
            <w:tcW w:w="1425" w:type="dxa"/>
            <w:vAlign w:val="center"/>
          </w:tcPr>
          <w:p w14:paraId="02656B19" w14:textId="77777777" w:rsidR="00424EDC" w:rsidRPr="00C038A2" w:rsidRDefault="00424EDC" w:rsidP="001E7653">
            <w:pPr>
              <w:pStyle w:val="Body"/>
              <w:spacing w:after="0"/>
              <w:jc w:val="center"/>
              <w:rPr>
                <w:rFonts w:ascii="Times New Roman" w:hAnsi="Times New Roman"/>
                <w:b/>
                <w:sz w:val="24"/>
                <w:szCs w:val="24"/>
              </w:rPr>
            </w:pPr>
            <w:r w:rsidRPr="00C038A2">
              <w:rPr>
                <w:rFonts w:ascii="Times New Roman" w:hAnsi="Times New Roman"/>
                <w:b/>
                <w:sz w:val="24"/>
                <w:szCs w:val="24"/>
              </w:rPr>
              <w:t>Description</w:t>
            </w:r>
          </w:p>
        </w:tc>
      </w:tr>
      <w:tr w:rsidR="00424EDC" w:rsidRPr="00C038A2" w14:paraId="3FC237B0" w14:textId="77777777" w:rsidTr="00424EDC">
        <w:tc>
          <w:tcPr>
            <w:tcW w:w="1438" w:type="dxa"/>
          </w:tcPr>
          <w:p w14:paraId="79D273A9"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Teacher Competence</w:t>
            </w:r>
          </w:p>
        </w:tc>
        <w:tc>
          <w:tcPr>
            <w:tcW w:w="1365" w:type="dxa"/>
          </w:tcPr>
          <w:p w14:paraId="19AC150C"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7.409</w:t>
            </w:r>
          </w:p>
        </w:tc>
        <w:tc>
          <w:tcPr>
            <w:tcW w:w="1365" w:type="dxa"/>
          </w:tcPr>
          <w:p w14:paraId="79B01EE2"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0.008</w:t>
            </w:r>
          </w:p>
        </w:tc>
        <w:tc>
          <w:tcPr>
            <w:tcW w:w="1406" w:type="dxa"/>
          </w:tcPr>
          <w:p w14:paraId="749DC6C6"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2,583.375</w:t>
            </w:r>
          </w:p>
        </w:tc>
        <w:tc>
          <w:tcPr>
            <w:tcW w:w="1338" w:type="dxa"/>
          </w:tcPr>
          <w:p w14:paraId="63DF91BD"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6.97</w:t>
            </w:r>
          </w:p>
        </w:tc>
        <w:tc>
          <w:tcPr>
            <w:tcW w:w="1425" w:type="dxa"/>
          </w:tcPr>
          <w:p w14:paraId="12E6EA96"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Significant – there is a significant difference in learning outcomes based on teacher competency</w:t>
            </w:r>
          </w:p>
        </w:tc>
      </w:tr>
      <w:tr w:rsidR="00424EDC" w:rsidRPr="00C038A2" w14:paraId="68FA37D4" w14:textId="77777777" w:rsidTr="00424EDC">
        <w:tc>
          <w:tcPr>
            <w:tcW w:w="1438" w:type="dxa"/>
          </w:tcPr>
          <w:p w14:paraId="18DF2173"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Class Size</w:t>
            </w:r>
          </w:p>
        </w:tc>
        <w:tc>
          <w:tcPr>
            <w:tcW w:w="1365" w:type="dxa"/>
          </w:tcPr>
          <w:p w14:paraId="4312E955"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1.317</w:t>
            </w:r>
          </w:p>
        </w:tc>
        <w:tc>
          <w:tcPr>
            <w:tcW w:w="1365" w:type="dxa"/>
          </w:tcPr>
          <w:p w14:paraId="478E3054"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0.254</w:t>
            </w:r>
          </w:p>
        </w:tc>
        <w:tc>
          <w:tcPr>
            <w:tcW w:w="1406" w:type="dxa"/>
          </w:tcPr>
          <w:p w14:paraId="34E0E72D"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459.375</w:t>
            </w:r>
          </w:p>
        </w:tc>
        <w:tc>
          <w:tcPr>
            <w:tcW w:w="1338" w:type="dxa"/>
          </w:tcPr>
          <w:p w14:paraId="331168F7"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1.2</w:t>
            </w:r>
          </w:p>
        </w:tc>
        <w:tc>
          <w:tcPr>
            <w:tcW w:w="1425" w:type="dxa"/>
          </w:tcPr>
          <w:p w14:paraId="3DF48760"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Not significant</w:t>
            </w:r>
          </w:p>
        </w:tc>
      </w:tr>
      <w:tr w:rsidR="00424EDC" w:rsidRPr="00C038A2" w14:paraId="341E54B8" w14:textId="77777777" w:rsidTr="00424EDC">
        <w:tc>
          <w:tcPr>
            <w:tcW w:w="1438" w:type="dxa"/>
          </w:tcPr>
          <w:p w14:paraId="623CA491"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Interaction (Competence × Class Size)</w:t>
            </w:r>
          </w:p>
        </w:tc>
        <w:tc>
          <w:tcPr>
            <w:tcW w:w="1365" w:type="dxa"/>
          </w:tcPr>
          <w:p w14:paraId="4B8245BD"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0.474</w:t>
            </w:r>
          </w:p>
        </w:tc>
        <w:tc>
          <w:tcPr>
            <w:tcW w:w="1365" w:type="dxa"/>
          </w:tcPr>
          <w:p w14:paraId="5FBA2F30"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0.493</w:t>
            </w:r>
          </w:p>
        </w:tc>
        <w:tc>
          <w:tcPr>
            <w:tcW w:w="1406" w:type="dxa"/>
          </w:tcPr>
          <w:p w14:paraId="04B121E1"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165.375</w:t>
            </w:r>
          </w:p>
        </w:tc>
        <w:tc>
          <w:tcPr>
            <w:tcW w:w="1338" w:type="dxa"/>
          </w:tcPr>
          <w:p w14:paraId="1A6D5543"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0.4</w:t>
            </w:r>
          </w:p>
        </w:tc>
        <w:tc>
          <w:tcPr>
            <w:tcW w:w="1425" w:type="dxa"/>
          </w:tcPr>
          <w:p w14:paraId="6F6C985F"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Not significant</w:t>
            </w:r>
          </w:p>
        </w:tc>
      </w:tr>
      <w:tr w:rsidR="00424EDC" w:rsidRPr="00C038A2" w14:paraId="6F646537" w14:textId="77777777" w:rsidTr="00424EDC">
        <w:tc>
          <w:tcPr>
            <w:tcW w:w="1438" w:type="dxa"/>
          </w:tcPr>
          <w:p w14:paraId="0AA4F961"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Overall Model</w:t>
            </w:r>
          </w:p>
        </w:tc>
        <w:tc>
          <w:tcPr>
            <w:tcW w:w="1365" w:type="dxa"/>
          </w:tcPr>
          <w:p w14:paraId="75FFAC3E" w14:textId="77777777" w:rsidR="00424EDC" w:rsidRPr="00C038A2" w:rsidRDefault="00424EDC" w:rsidP="00424EDC">
            <w:pPr>
              <w:pStyle w:val="Body"/>
              <w:spacing w:after="0"/>
              <w:rPr>
                <w:rFonts w:ascii="Times New Roman" w:hAnsi="Times New Roman"/>
                <w:sz w:val="24"/>
                <w:szCs w:val="24"/>
              </w:rPr>
            </w:pPr>
          </w:p>
        </w:tc>
        <w:tc>
          <w:tcPr>
            <w:tcW w:w="1365" w:type="dxa"/>
          </w:tcPr>
          <w:p w14:paraId="6C7FB497" w14:textId="77777777" w:rsidR="00424EDC" w:rsidRPr="00C038A2" w:rsidRDefault="00424EDC" w:rsidP="00424EDC">
            <w:pPr>
              <w:pStyle w:val="Body"/>
              <w:spacing w:after="0"/>
              <w:rPr>
                <w:rFonts w:ascii="Times New Roman" w:hAnsi="Times New Roman"/>
                <w:sz w:val="24"/>
                <w:szCs w:val="24"/>
              </w:rPr>
            </w:pPr>
          </w:p>
        </w:tc>
        <w:tc>
          <w:tcPr>
            <w:tcW w:w="1406" w:type="dxa"/>
          </w:tcPr>
          <w:p w14:paraId="7A3FFE9C" w14:textId="77777777" w:rsidR="00424EDC" w:rsidRPr="00C038A2" w:rsidRDefault="00424EDC" w:rsidP="00424EDC">
            <w:pPr>
              <w:pStyle w:val="Body"/>
              <w:spacing w:after="0"/>
              <w:rPr>
                <w:rFonts w:ascii="Times New Roman" w:hAnsi="Times New Roman"/>
                <w:sz w:val="24"/>
                <w:szCs w:val="24"/>
              </w:rPr>
            </w:pPr>
          </w:p>
        </w:tc>
        <w:tc>
          <w:tcPr>
            <w:tcW w:w="1338" w:type="dxa"/>
          </w:tcPr>
          <w:p w14:paraId="0417AD52"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9.7</w:t>
            </w:r>
          </w:p>
        </w:tc>
        <w:tc>
          <w:tcPr>
            <w:tcW w:w="1425" w:type="dxa"/>
          </w:tcPr>
          <w:p w14:paraId="1B60E601" w14:textId="77777777" w:rsidR="00424EDC" w:rsidRPr="00C038A2" w:rsidRDefault="00424EDC" w:rsidP="00424EDC">
            <w:pPr>
              <w:pStyle w:val="Body"/>
              <w:spacing w:after="0"/>
              <w:rPr>
                <w:rFonts w:ascii="Times New Roman" w:hAnsi="Times New Roman"/>
                <w:sz w:val="24"/>
                <w:szCs w:val="24"/>
              </w:rPr>
            </w:pPr>
            <w:r w:rsidRPr="00C038A2">
              <w:rPr>
                <w:rFonts w:ascii="Times New Roman" w:hAnsi="Times New Roman"/>
                <w:sz w:val="24"/>
                <w:szCs w:val="24"/>
              </w:rPr>
              <w:t>R² = 0.097; Adjusted R² = 0.069</w:t>
            </w:r>
          </w:p>
        </w:tc>
      </w:tr>
    </w:tbl>
    <w:p w14:paraId="798BD94D" w14:textId="77777777" w:rsidR="00424EDC" w:rsidRPr="00C038A2" w:rsidRDefault="00424EDC" w:rsidP="00424EDC">
      <w:pPr>
        <w:pStyle w:val="Body"/>
        <w:rPr>
          <w:rFonts w:ascii="Times New Roman" w:hAnsi="Times New Roman"/>
          <w:b/>
          <w:bCs/>
          <w:sz w:val="24"/>
          <w:szCs w:val="24"/>
          <w:lang w:val="en-ID"/>
        </w:rPr>
      </w:pPr>
    </w:p>
    <w:p w14:paraId="2B0C23A6" w14:textId="77777777" w:rsidR="00D13F67" w:rsidRPr="00C038A2" w:rsidRDefault="00D13F67" w:rsidP="00D13F67">
      <w:pPr>
        <w:pStyle w:val="Body"/>
        <w:rPr>
          <w:rFonts w:ascii="Times New Roman" w:hAnsi="Times New Roman"/>
          <w:sz w:val="24"/>
          <w:szCs w:val="24"/>
        </w:rPr>
      </w:pPr>
      <w:r w:rsidRPr="00C038A2">
        <w:rPr>
          <w:rFonts w:ascii="Times New Roman" w:hAnsi="Times New Roman"/>
          <w:b/>
          <w:bCs/>
          <w:sz w:val="24"/>
          <w:szCs w:val="24"/>
        </w:rPr>
        <w:t>3.2.1. The Influence of Teacher Competence on Learning Outcomes</w:t>
      </w:r>
    </w:p>
    <w:p w14:paraId="0BC06E13" w14:textId="1BFE88C9"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The results of the Two-Way ANOVA test show that teacher competence has a significant influence on student learning outcomes (F = 7.409, p = 0.008). Empirically, students taught by teachers with high competence achieved higher scores than those taught by teachers with low competence. This difference was consistently observed in both small and large classes, with the most significant difference noted in large classes (13 points). This finding aligns with the international literature, which emphasizes that teacher competence—which encompasses pedagogical, professional, social, and personal competencies—is a key determinant of learning quality (Darling-Hammond, 20</w:t>
      </w:r>
      <w:r w:rsidR="00822746" w:rsidRPr="00C038A2">
        <w:rPr>
          <w:rFonts w:ascii="Times New Roman" w:hAnsi="Times New Roman"/>
          <w:sz w:val="24"/>
          <w:szCs w:val="24"/>
        </w:rPr>
        <w:t>10</w:t>
      </w:r>
      <w:r w:rsidRPr="00C038A2">
        <w:rPr>
          <w:rFonts w:ascii="Times New Roman" w:hAnsi="Times New Roman"/>
          <w:sz w:val="24"/>
          <w:szCs w:val="24"/>
        </w:rPr>
        <w:t>; Shulman, 1987).</w:t>
      </w:r>
    </w:p>
    <w:p w14:paraId="704B8F6A"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Highly competent teachers tend to be able to apply pedagogical content knowledge (PCK) effectively, integrate varied learning strategies, and utilize technology and learning media to facilitate student understanding (Mishra &amp; Koehler, 2006).</w:t>
      </w:r>
    </w:p>
    <w:p w14:paraId="370FA7E9" w14:textId="77777777" w:rsidR="00425BEF" w:rsidRPr="00C038A2" w:rsidRDefault="00D13F67" w:rsidP="00425BEF">
      <w:pPr>
        <w:pStyle w:val="Heading1"/>
        <w:jc w:val="both"/>
        <w:rPr>
          <w:rFonts w:ascii="Times New Roman" w:hAnsi="Times New Roman"/>
          <w:b w:val="0"/>
          <w:bCs/>
          <w:color w:val="000000" w:themeColor="text1"/>
          <w:sz w:val="24"/>
          <w:szCs w:val="24"/>
          <w:shd w:val="clear" w:color="auto" w:fill="FFFFFF"/>
          <w:lang w:val="en-ID"/>
        </w:rPr>
      </w:pPr>
      <w:r w:rsidRPr="00C038A2">
        <w:rPr>
          <w:rFonts w:ascii="Times New Roman" w:hAnsi="Times New Roman"/>
          <w:b w:val="0"/>
          <w:bCs/>
          <w:color w:val="000000" w:themeColor="text1"/>
          <w:sz w:val="24"/>
          <w:szCs w:val="24"/>
        </w:rPr>
        <w:lastRenderedPageBreak/>
        <w:t xml:space="preserve">Additionally, a meta-analysis by Hattie (2009) identified that teacher expertise has a significant effect size (d &gt; 0.70) on students' academic achievement. This is reinforced by findings in the Indonesian context, such as studies by </w:t>
      </w:r>
      <w:r w:rsidR="00425BEF" w:rsidRPr="00C038A2">
        <w:rPr>
          <w:rFonts w:ascii="Times New Roman" w:hAnsi="Times New Roman"/>
          <w:b w:val="0"/>
          <w:bCs/>
          <w:color w:val="000000" w:themeColor="text1"/>
          <w:sz w:val="24"/>
          <w:szCs w:val="24"/>
          <w:shd w:val="clear" w:color="auto" w:fill="FFFFFF"/>
          <w:lang w:val="en-ID"/>
        </w:rPr>
        <w:t xml:space="preserve">Teachers' pedagogical competence plays a significant role in improving educational quality. The development of such competence through professional development programs is essential for enhancing teachers' teaching skills, motivation, and instructional quality. </w:t>
      </w:r>
    </w:p>
    <w:p w14:paraId="1DC9BE69" w14:textId="66B7DFC0" w:rsidR="00D13F67" w:rsidRPr="00C038A2" w:rsidRDefault="00425BEF" w:rsidP="00425BEF">
      <w:pPr>
        <w:pStyle w:val="Heading1"/>
        <w:jc w:val="both"/>
        <w:rPr>
          <w:rFonts w:ascii="Times New Roman" w:hAnsi="Times New Roman"/>
          <w:b w:val="0"/>
          <w:bCs/>
          <w:sz w:val="24"/>
          <w:szCs w:val="24"/>
        </w:rPr>
      </w:pPr>
      <w:r w:rsidRPr="00C038A2">
        <w:rPr>
          <w:rFonts w:ascii="Times New Roman" w:hAnsi="Times New Roman"/>
          <w:b w:val="0"/>
          <w:bCs/>
          <w:color w:val="000000" w:themeColor="text1"/>
          <w:sz w:val="24"/>
          <w:szCs w:val="24"/>
          <w:shd w:val="clear" w:color="auto" w:fill="FFFFFF"/>
          <w:lang w:val="en-ID"/>
        </w:rPr>
        <w:t>These programs are aimed at fostering teacher professionalism and supporting continuous improvement, thereby contributing to better learning outcomes (</w:t>
      </w:r>
      <w:proofErr w:type="spellStart"/>
      <w:r w:rsidRPr="00C038A2">
        <w:rPr>
          <w:rFonts w:ascii="Times New Roman" w:hAnsi="Times New Roman"/>
          <w:b w:val="0"/>
          <w:bCs/>
          <w:color w:val="000000" w:themeColor="text1"/>
          <w:sz w:val="24"/>
          <w:szCs w:val="24"/>
          <w:shd w:val="clear" w:color="auto" w:fill="FFFFFF"/>
          <w:lang w:val="en-ID"/>
        </w:rPr>
        <w:t>Rasmitadila</w:t>
      </w:r>
      <w:proofErr w:type="spellEnd"/>
      <w:r w:rsidRPr="00C038A2">
        <w:rPr>
          <w:rFonts w:ascii="Times New Roman" w:hAnsi="Times New Roman"/>
          <w:b w:val="0"/>
          <w:bCs/>
          <w:color w:val="000000" w:themeColor="text1"/>
          <w:sz w:val="24"/>
          <w:szCs w:val="24"/>
          <w:shd w:val="clear" w:color="auto" w:fill="FFFFFF"/>
          <w:lang w:val="en-ID"/>
        </w:rPr>
        <w:t xml:space="preserve"> et al., 2024) </w:t>
      </w:r>
      <w:r w:rsidR="00D13F67" w:rsidRPr="00C038A2">
        <w:rPr>
          <w:rFonts w:ascii="Times New Roman" w:hAnsi="Times New Roman"/>
          <w:b w:val="0"/>
          <w:bCs/>
          <w:sz w:val="24"/>
          <w:szCs w:val="24"/>
        </w:rPr>
        <w:t xml:space="preserve">which indicate that teachers with good pedagogical and professional competencies can create a </w:t>
      </w:r>
      <w:proofErr w:type="spellStart"/>
      <w:r w:rsidR="00D13F67" w:rsidRPr="00C038A2">
        <w:rPr>
          <w:rFonts w:ascii="Times New Roman" w:hAnsi="Times New Roman"/>
          <w:b w:val="0"/>
          <w:bCs/>
          <w:sz w:val="24"/>
          <w:szCs w:val="24"/>
        </w:rPr>
        <w:t>favourable</w:t>
      </w:r>
      <w:proofErr w:type="spellEnd"/>
      <w:r w:rsidR="00D13F67" w:rsidRPr="00C038A2">
        <w:rPr>
          <w:rFonts w:ascii="Times New Roman" w:hAnsi="Times New Roman"/>
          <w:b w:val="0"/>
          <w:bCs/>
          <w:sz w:val="24"/>
          <w:szCs w:val="24"/>
        </w:rPr>
        <w:t xml:space="preserve"> learning climate, increase student engagement, and optimize learning outcomes.</w:t>
      </w:r>
      <w:r w:rsidR="00C61AC1" w:rsidRPr="00C038A2">
        <w:rPr>
          <w:rFonts w:ascii="Times New Roman" w:hAnsi="Times New Roman"/>
          <w:b w:val="0"/>
          <w:bCs/>
          <w:sz w:val="24"/>
          <w:szCs w:val="24"/>
        </w:rPr>
        <w:t xml:space="preserve"> This is reinforced by the findings of Lynch et al. (2025), which showed that teachers who participated in professional development programs tended to have better performance. This increase in performance was directly proportional to students' academic achievement.</w:t>
      </w:r>
    </w:p>
    <w:p w14:paraId="5F9A8102"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The policy implications of these findings are the need for continuous teacher competency improvement programs, such as lesson study-based training, peer coaching, and strengthening continuous professional development (CPD). Given that teacher competency consistently contributes to learning outcomes across class sizes, intervention efforts should focus on teaching quality rather than simply on class size.</w:t>
      </w:r>
    </w:p>
    <w:p w14:paraId="455412C7" w14:textId="77777777" w:rsidR="00D13F67" w:rsidRPr="00C038A2" w:rsidRDefault="00D13F67" w:rsidP="00D13F67">
      <w:pPr>
        <w:pStyle w:val="Body"/>
        <w:rPr>
          <w:rFonts w:ascii="Times New Roman" w:hAnsi="Times New Roman"/>
          <w:sz w:val="24"/>
          <w:szCs w:val="24"/>
        </w:rPr>
      </w:pPr>
      <w:r w:rsidRPr="00C038A2">
        <w:rPr>
          <w:rFonts w:ascii="Times New Roman" w:hAnsi="Times New Roman"/>
          <w:b/>
          <w:bCs/>
          <w:sz w:val="24"/>
          <w:szCs w:val="24"/>
        </w:rPr>
        <w:t>3.2.2. Class Size and Its Implications for Learning.</w:t>
      </w:r>
    </w:p>
    <w:p w14:paraId="45612918"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Based on statistical tests, class size does not have a significant effect on student learning outcomes (F = 1.317, p = 0.254). Although descriptively, the average learning outcomes in small classes (68.88) were higher than in large classes (64.50), this difference was not statistically significant. This finding is in line with a meta-analysis study by Hattie (2005), which states that the effect of class size on learning outcomes is relatively small (average effect size d = 0.21) compared to other variables such as teacher quality, learning strategies, and student motivation.</w:t>
      </w:r>
    </w:p>
    <w:p w14:paraId="3B725E87" w14:textId="7F112771"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From a social education perspective, the effectiveness of learning is not solely determined by the number of students but also by the social interactions that develop within the classroom (Vygotsky, 1978). Large classes can remain effective if teachers possess good classroom management skills, build a learning community, and utilize collaborative strategies, such as cooperative learning (Johnson &amp; Johnson, 2009).</w:t>
      </w:r>
      <w:r w:rsidR="00D52E59" w:rsidRPr="00C038A2">
        <w:rPr>
          <w:rFonts w:ascii="Times New Roman" w:hAnsi="Times New Roman"/>
          <w:sz w:val="24"/>
          <w:szCs w:val="24"/>
        </w:rPr>
        <w:t xml:space="preserve"> In line with the findings presented by Wang and Calvano (2022), research on class size indicates that the relationship between class size and student academic achievement is not always linear, but is often influenced by other factors, such as student engagement levels and the quality of interactions with teachers.</w:t>
      </w:r>
    </w:p>
    <w:p w14:paraId="2DA12E98"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 xml:space="preserve">Conversely, small classes do provide opportunities for more intensive individual interaction; however, this benefit does not automatically improve academic achievement unless accompanied by appropriate pedagogical approaches. Research by Biddle &amp; Berliner (2002) shows that the positive effects of small classes are more </w:t>
      </w:r>
      <w:r w:rsidRPr="00C038A2">
        <w:rPr>
          <w:rFonts w:ascii="Times New Roman" w:hAnsi="Times New Roman"/>
          <w:sz w:val="24"/>
          <w:szCs w:val="24"/>
        </w:rPr>
        <w:lastRenderedPageBreak/>
        <w:t>pronounced at the elementary education level and in the context of students with special learning needs, but are not always significant at the junior high and senior high school levels.</w:t>
      </w:r>
    </w:p>
    <w:p w14:paraId="1B8556FC"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The policy implication of these results is that the allocation of resources to reduce student-teacher ratios should be accompanied by improvements in teaching quality, so that educational investments yield maximum impact.</w:t>
      </w:r>
    </w:p>
    <w:p w14:paraId="6566CC40" w14:textId="77777777" w:rsidR="00D13F67" w:rsidRPr="00C038A2" w:rsidRDefault="00D13F67" w:rsidP="00D13F67">
      <w:pPr>
        <w:pStyle w:val="Body"/>
        <w:rPr>
          <w:rFonts w:ascii="Times New Roman" w:hAnsi="Times New Roman"/>
          <w:sz w:val="24"/>
          <w:szCs w:val="24"/>
        </w:rPr>
      </w:pPr>
      <w:r w:rsidRPr="00C038A2">
        <w:rPr>
          <w:rFonts w:ascii="Times New Roman" w:hAnsi="Times New Roman"/>
          <w:b/>
          <w:bCs/>
          <w:sz w:val="24"/>
          <w:szCs w:val="24"/>
        </w:rPr>
        <w:t>3.2.3. No Effect of Teacher Competence × Class Size Interaction</w:t>
      </w:r>
    </w:p>
    <w:p w14:paraId="33B690C3"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Interaction analysis shows that the combination of teacher competence and class size does not produce a significant effect on learning outcomes (F = 0.474, p = 0.493). This means that the effect of teacher competence on learning outcomes is independent of class size, and conversely, the effect of class size is not influenced by the level of teacher competence.</w:t>
      </w:r>
    </w:p>
    <w:p w14:paraId="7DDC56B0"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 xml:space="preserve">These results are noteworthy because they differ from findings in some studies, which suggest that highly competent teachers tend to be more effective in small classes, while less competent teachers are better suited for classes with a limited number of students (Blatchford et al., 2011). This difference can be attributed to the local context of the study, specifically schools in Bone </w:t>
      </w:r>
      <w:proofErr w:type="spellStart"/>
      <w:r w:rsidRPr="00C038A2">
        <w:rPr>
          <w:rFonts w:ascii="Times New Roman" w:hAnsi="Times New Roman"/>
          <w:sz w:val="24"/>
          <w:szCs w:val="24"/>
        </w:rPr>
        <w:t>Bolango</w:t>
      </w:r>
      <w:proofErr w:type="spellEnd"/>
      <w:r w:rsidRPr="00C038A2">
        <w:rPr>
          <w:rFonts w:ascii="Times New Roman" w:hAnsi="Times New Roman"/>
          <w:sz w:val="24"/>
          <w:szCs w:val="24"/>
        </w:rPr>
        <w:t xml:space="preserve"> District, where class sizes vary relatively minimally (20–30 students) and therefore do not significantly impact learning interactions.</w:t>
      </w:r>
    </w:p>
    <w:p w14:paraId="08F69394"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Additionally, the low R² value (0.097) suggests that the model can only explain less than 10% of the variation in learning outcomes. This is common in educational and social science research, given the complexity of factors influencing learning outcomes, such as students' intrinsic motivation, family support, socio-economic conditions, and the quality of learning facilities (Hair et al., 2010; Tabachnick &amp; Fidell, 2007).</w:t>
      </w:r>
    </w:p>
    <w:p w14:paraId="76884EFB" w14:textId="77777777" w:rsidR="00D13F67" w:rsidRPr="00C038A2" w:rsidRDefault="00D13F67" w:rsidP="00D13F67">
      <w:pPr>
        <w:pStyle w:val="Body"/>
        <w:rPr>
          <w:rFonts w:ascii="Times New Roman" w:hAnsi="Times New Roman"/>
          <w:sz w:val="24"/>
          <w:szCs w:val="24"/>
        </w:rPr>
      </w:pPr>
      <w:r w:rsidRPr="00C038A2">
        <w:rPr>
          <w:rFonts w:ascii="Times New Roman" w:hAnsi="Times New Roman"/>
          <w:b/>
          <w:bCs/>
          <w:sz w:val="24"/>
          <w:szCs w:val="24"/>
        </w:rPr>
        <w:t>3.2.4. Theoretical Reflection: Social Education and Critical Perspectives</w:t>
      </w:r>
    </w:p>
    <w:p w14:paraId="664AF88E" w14:textId="1F00A01E"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 xml:space="preserve">From a social education perspective, these findings underscore the role of teachers as agents of change who not only transfer knowledge but also shape students' social, moral, and civic competencies </w:t>
      </w:r>
      <w:r w:rsidR="00D52E59" w:rsidRPr="00C038A2">
        <w:rPr>
          <w:rFonts w:ascii="Times New Roman" w:hAnsi="Times New Roman"/>
          <w:sz w:val="24"/>
          <w:szCs w:val="24"/>
        </w:rPr>
        <w:t>(Andrews et al., 2019</w:t>
      </w:r>
      <w:r w:rsidR="00092FD3">
        <w:rPr>
          <w:rFonts w:ascii="Times New Roman" w:hAnsi="Times New Roman"/>
          <w:sz w:val="24"/>
          <w:szCs w:val="24"/>
        </w:rPr>
        <w:t>)</w:t>
      </w:r>
      <w:r w:rsidRPr="00C038A2">
        <w:rPr>
          <w:rFonts w:ascii="Times New Roman" w:hAnsi="Times New Roman"/>
          <w:sz w:val="24"/>
          <w:szCs w:val="24"/>
        </w:rPr>
        <w:t>. High teacher competence enables the creation of effective social learning scaffolding, where students learn not only from subject matter but also from social interactions mediated by teachers.</w:t>
      </w:r>
    </w:p>
    <w:p w14:paraId="652E45B6" w14:textId="77777777" w:rsidR="00D13F67" w:rsidRPr="00C038A2" w:rsidRDefault="00D13F67" w:rsidP="00D13F67">
      <w:pPr>
        <w:pStyle w:val="Body"/>
        <w:rPr>
          <w:rFonts w:ascii="Times New Roman" w:hAnsi="Times New Roman"/>
          <w:sz w:val="24"/>
          <w:szCs w:val="24"/>
        </w:rPr>
      </w:pPr>
      <w:r w:rsidRPr="00C038A2">
        <w:rPr>
          <w:rFonts w:ascii="Times New Roman" w:hAnsi="Times New Roman"/>
          <w:sz w:val="24"/>
          <w:szCs w:val="24"/>
        </w:rPr>
        <w:t>The absence of a significant influence of class size can be interpreted through social constructivism theory, which emphasizes that effective learning occurs when students actively construct knowledge through interaction, whether in large or small classes, as long as teachers can facilitate meaningful dialogue (Vygotsky, 1978). This means that learning success is more influenced by the quality of educational interaction than by the number of students.</w:t>
      </w:r>
    </w:p>
    <w:p w14:paraId="05F3F287" w14:textId="77777777" w:rsidR="00D13F67" w:rsidRPr="00092FD3" w:rsidRDefault="00D13F67" w:rsidP="00D13F67">
      <w:pPr>
        <w:pStyle w:val="Body"/>
        <w:rPr>
          <w:rFonts w:ascii="Times New Roman" w:hAnsi="Times New Roman"/>
          <w:sz w:val="24"/>
          <w:szCs w:val="24"/>
        </w:rPr>
      </w:pPr>
      <w:r w:rsidRPr="00092FD3">
        <w:rPr>
          <w:rFonts w:ascii="Times New Roman" w:hAnsi="Times New Roman"/>
          <w:b/>
          <w:bCs/>
          <w:sz w:val="24"/>
          <w:szCs w:val="24"/>
        </w:rPr>
        <w:t>3.2.5. Practical Implications and Policy Recommendations</w:t>
      </w:r>
    </w:p>
    <w:p w14:paraId="7AABE3FB" w14:textId="68B84D47" w:rsidR="00D13F67" w:rsidRPr="00092FD3" w:rsidRDefault="00D13F67" w:rsidP="00D13F67">
      <w:pPr>
        <w:pStyle w:val="Body"/>
        <w:rPr>
          <w:rFonts w:ascii="Times New Roman" w:hAnsi="Times New Roman"/>
          <w:sz w:val="24"/>
          <w:szCs w:val="24"/>
        </w:rPr>
      </w:pPr>
      <w:r w:rsidRPr="00092FD3">
        <w:rPr>
          <w:rFonts w:ascii="Times New Roman" w:hAnsi="Times New Roman"/>
          <w:sz w:val="24"/>
          <w:szCs w:val="24"/>
        </w:rPr>
        <w:lastRenderedPageBreak/>
        <w:t>Based on the results of the study and literature review:</w:t>
      </w:r>
    </w:p>
    <w:p w14:paraId="2F560434" w14:textId="77777777" w:rsidR="00D13F67" w:rsidRPr="00092FD3" w:rsidRDefault="00D13F67" w:rsidP="00D13F67">
      <w:pPr>
        <w:pStyle w:val="Body"/>
        <w:numPr>
          <w:ilvl w:val="0"/>
          <w:numId w:val="35"/>
        </w:numPr>
        <w:spacing w:after="0"/>
        <w:ind w:left="851" w:hanging="425"/>
        <w:rPr>
          <w:rFonts w:ascii="Times New Roman" w:hAnsi="Times New Roman"/>
          <w:sz w:val="24"/>
          <w:szCs w:val="24"/>
        </w:rPr>
      </w:pPr>
      <w:r w:rsidRPr="00092FD3">
        <w:rPr>
          <w:rFonts w:ascii="Times New Roman" w:hAnsi="Times New Roman"/>
          <w:sz w:val="24"/>
          <w:szCs w:val="24"/>
        </w:rPr>
        <w:t>Prioritize improving teacher competence</w:t>
      </w:r>
    </w:p>
    <w:p w14:paraId="11EC07A6" w14:textId="77777777" w:rsidR="00D13F67" w:rsidRPr="00092FD3" w:rsidRDefault="00D13F67" w:rsidP="00D13F67">
      <w:pPr>
        <w:pStyle w:val="Body"/>
        <w:ind w:left="851"/>
        <w:rPr>
          <w:rFonts w:ascii="Times New Roman" w:hAnsi="Times New Roman"/>
          <w:sz w:val="24"/>
          <w:szCs w:val="24"/>
        </w:rPr>
      </w:pPr>
      <w:r w:rsidRPr="00092FD3">
        <w:rPr>
          <w:rFonts w:ascii="Times New Roman" w:hAnsi="Times New Roman"/>
          <w:sz w:val="24"/>
          <w:szCs w:val="24"/>
        </w:rPr>
        <w:t>Teacher training programs should focus on mastering subject matter, developing pedagogical skills, and employing classroom management strategies that are adaptable to various class sizes and student populations.</w:t>
      </w:r>
    </w:p>
    <w:p w14:paraId="26EE2D18" w14:textId="77777777" w:rsidR="00D13F67" w:rsidRPr="00092FD3" w:rsidRDefault="00D13F67" w:rsidP="00D13F67">
      <w:pPr>
        <w:pStyle w:val="Body"/>
        <w:numPr>
          <w:ilvl w:val="0"/>
          <w:numId w:val="35"/>
        </w:numPr>
        <w:spacing w:after="0"/>
        <w:ind w:left="851" w:hanging="425"/>
        <w:rPr>
          <w:rFonts w:ascii="Times New Roman" w:hAnsi="Times New Roman"/>
          <w:sz w:val="24"/>
          <w:szCs w:val="24"/>
        </w:rPr>
      </w:pPr>
      <w:r w:rsidRPr="00092FD3">
        <w:rPr>
          <w:rFonts w:ascii="Times New Roman" w:hAnsi="Times New Roman"/>
          <w:sz w:val="24"/>
          <w:szCs w:val="24"/>
        </w:rPr>
        <w:t>Strengthen academic supervision</w:t>
      </w:r>
    </w:p>
    <w:p w14:paraId="1A44B7A1" w14:textId="77777777" w:rsidR="00D13F67" w:rsidRPr="00092FD3" w:rsidRDefault="00D13F67" w:rsidP="00D13F67">
      <w:pPr>
        <w:pStyle w:val="Body"/>
        <w:ind w:left="851"/>
        <w:rPr>
          <w:rFonts w:ascii="Times New Roman" w:hAnsi="Times New Roman"/>
          <w:sz w:val="24"/>
          <w:szCs w:val="24"/>
        </w:rPr>
      </w:pPr>
      <w:r w:rsidRPr="00092FD3">
        <w:rPr>
          <w:rFonts w:ascii="Times New Roman" w:hAnsi="Times New Roman"/>
          <w:sz w:val="24"/>
          <w:szCs w:val="24"/>
        </w:rPr>
        <w:t>School principals and supervisors can provide mentoring to ensure that teachers implement participatory and contextual learning strategies.</w:t>
      </w:r>
    </w:p>
    <w:p w14:paraId="59456105" w14:textId="77777777" w:rsidR="00D13F67" w:rsidRPr="00092FD3" w:rsidRDefault="00D13F67" w:rsidP="00D13F67">
      <w:pPr>
        <w:pStyle w:val="Body"/>
        <w:numPr>
          <w:ilvl w:val="0"/>
          <w:numId w:val="35"/>
        </w:numPr>
        <w:spacing w:after="0"/>
        <w:ind w:left="851" w:hanging="425"/>
        <w:rPr>
          <w:rFonts w:ascii="Times New Roman" w:hAnsi="Times New Roman"/>
          <w:sz w:val="24"/>
          <w:szCs w:val="24"/>
        </w:rPr>
      </w:pPr>
      <w:proofErr w:type="spellStart"/>
      <w:r w:rsidRPr="00092FD3">
        <w:rPr>
          <w:rFonts w:ascii="Times New Roman" w:hAnsi="Times New Roman"/>
          <w:sz w:val="24"/>
          <w:szCs w:val="24"/>
        </w:rPr>
        <w:t>Utilise</w:t>
      </w:r>
      <w:proofErr w:type="spellEnd"/>
      <w:r w:rsidRPr="00092FD3">
        <w:rPr>
          <w:rFonts w:ascii="Times New Roman" w:hAnsi="Times New Roman"/>
          <w:sz w:val="24"/>
          <w:szCs w:val="24"/>
        </w:rPr>
        <w:t xml:space="preserve"> learning technology</w:t>
      </w:r>
    </w:p>
    <w:p w14:paraId="55A7EC3C" w14:textId="77777777" w:rsidR="00D13F67" w:rsidRPr="00092FD3" w:rsidRDefault="00D13F67" w:rsidP="00D13F67">
      <w:pPr>
        <w:pStyle w:val="Body"/>
        <w:ind w:left="851"/>
        <w:rPr>
          <w:rFonts w:ascii="Times New Roman" w:hAnsi="Times New Roman"/>
          <w:sz w:val="24"/>
          <w:szCs w:val="24"/>
        </w:rPr>
      </w:pPr>
      <w:r w:rsidRPr="00092FD3">
        <w:rPr>
          <w:rFonts w:ascii="Times New Roman" w:hAnsi="Times New Roman"/>
          <w:sz w:val="24"/>
          <w:szCs w:val="24"/>
        </w:rPr>
        <w:t>The use of Learning Management Systems (LMS) and interactive media can help teachers manage learning even in large classes.</w:t>
      </w:r>
    </w:p>
    <w:p w14:paraId="261E9776" w14:textId="77777777" w:rsidR="00D13F67" w:rsidRPr="00092FD3" w:rsidRDefault="00D13F67" w:rsidP="00D13F67">
      <w:pPr>
        <w:pStyle w:val="Body"/>
        <w:numPr>
          <w:ilvl w:val="0"/>
          <w:numId w:val="35"/>
        </w:numPr>
        <w:spacing w:after="0"/>
        <w:ind w:left="851" w:hanging="425"/>
        <w:rPr>
          <w:rFonts w:ascii="Times New Roman" w:hAnsi="Times New Roman"/>
          <w:sz w:val="24"/>
          <w:szCs w:val="24"/>
        </w:rPr>
      </w:pPr>
      <w:r w:rsidRPr="00092FD3">
        <w:rPr>
          <w:rFonts w:ascii="Times New Roman" w:hAnsi="Times New Roman"/>
          <w:sz w:val="24"/>
          <w:szCs w:val="24"/>
        </w:rPr>
        <w:t>Context-based class size management</w:t>
      </w:r>
    </w:p>
    <w:p w14:paraId="7EA53F4A" w14:textId="77777777" w:rsidR="00D13F67" w:rsidRPr="00092FD3" w:rsidRDefault="00D13F67" w:rsidP="00D13F67">
      <w:pPr>
        <w:pStyle w:val="Body"/>
        <w:ind w:left="851"/>
        <w:rPr>
          <w:rFonts w:ascii="Times New Roman" w:hAnsi="Times New Roman"/>
          <w:sz w:val="24"/>
          <w:szCs w:val="24"/>
        </w:rPr>
      </w:pPr>
      <w:r w:rsidRPr="00092FD3">
        <w:rPr>
          <w:rFonts w:ascii="Times New Roman" w:hAnsi="Times New Roman"/>
          <w:sz w:val="24"/>
          <w:szCs w:val="24"/>
        </w:rPr>
        <w:t>Given that class size did not have a significant effect in this study, policies to reduce class sizes should be implemented selectively, especially for classes with students with special needs or in areas with extreme teacher-student ratios.</w:t>
      </w:r>
    </w:p>
    <w:p w14:paraId="2479E748" w14:textId="77777777" w:rsidR="00D13F67" w:rsidRPr="00092FD3" w:rsidRDefault="00D13F67" w:rsidP="00D13F67">
      <w:pPr>
        <w:pStyle w:val="Body"/>
        <w:numPr>
          <w:ilvl w:val="0"/>
          <w:numId w:val="35"/>
        </w:numPr>
        <w:spacing w:after="0"/>
        <w:ind w:left="851" w:hanging="425"/>
        <w:rPr>
          <w:rFonts w:ascii="Times New Roman" w:hAnsi="Times New Roman"/>
          <w:sz w:val="24"/>
          <w:szCs w:val="24"/>
        </w:rPr>
      </w:pPr>
      <w:r w:rsidRPr="00092FD3">
        <w:rPr>
          <w:rFonts w:ascii="Times New Roman" w:hAnsi="Times New Roman"/>
          <w:sz w:val="24"/>
          <w:szCs w:val="24"/>
        </w:rPr>
        <w:t>Strengthening learning community collaboration</w:t>
      </w:r>
    </w:p>
    <w:p w14:paraId="73AA701F" w14:textId="18AB2539" w:rsidR="00C30A0F" w:rsidRPr="00092FD3" w:rsidRDefault="00D13F67" w:rsidP="00E53287">
      <w:pPr>
        <w:pStyle w:val="Body"/>
        <w:ind w:left="851"/>
        <w:rPr>
          <w:rFonts w:ascii="Times New Roman" w:hAnsi="Times New Roman"/>
          <w:sz w:val="24"/>
          <w:szCs w:val="24"/>
        </w:rPr>
      </w:pPr>
      <w:r w:rsidRPr="00092FD3">
        <w:rPr>
          <w:rFonts w:ascii="Times New Roman" w:hAnsi="Times New Roman"/>
          <w:sz w:val="24"/>
          <w:szCs w:val="24"/>
        </w:rPr>
        <w:t>Develop professional learning communities among teachers to share best practices in teaching in various classroom conditions</w:t>
      </w:r>
      <w:r w:rsidR="002A7A8C" w:rsidRPr="00092FD3">
        <w:rPr>
          <w:rFonts w:ascii="Times New Roman" w:hAnsi="Times New Roman"/>
          <w:sz w:val="24"/>
          <w:szCs w:val="24"/>
        </w:rPr>
        <w:t xml:space="preserve"> (</w:t>
      </w:r>
      <w:r w:rsidR="002A7A8C" w:rsidRPr="00092FD3">
        <w:rPr>
          <w:rFonts w:ascii="Times New Roman" w:hAnsi="Times New Roman"/>
          <w:color w:val="333333"/>
          <w:sz w:val="24"/>
          <w:szCs w:val="24"/>
          <w:lang w:val="en-ID"/>
        </w:rPr>
        <w:t xml:space="preserve">Awuah, 2022). </w:t>
      </w:r>
      <w:r w:rsidR="00C30A0F" w:rsidRPr="00092FD3">
        <w:rPr>
          <w:rFonts w:ascii="Times New Roman" w:hAnsi="Times New Roman"/>
          <w:sz w:val="24"/>
          <w:szCs w:val="24"/>
        </w:rPr>
        <w:t xml:space="preserve"> </w:t>
      </w:r>
    </w:p>
    <w:p w14:paraId="59952B1D" w14:textId="77777777" w:rsidR="00B01FCD" w:rsidRPr="00C038A2" w:rsidRDefault="00000F8F" w:rsidP="00441B6F">
      <w:pPr>
        <w:pStyle w:val="ConcHead"/>
        <w:spacing w:after="0"/>
        <w:jc w:val="both"/>
        <w:rPr>
          <w:rFonts w:ascii="Times New Roman" w:hAnsi="Times New Roman"/>
          <w:sz w:val="24"/>
          <w:szCs w:val="24"/>
        </w:rPr>
      </w:pPr>
      <w:r w:rsidRPr="00C038A2">
        <w:rPr>
          <w:rFonts w:ascii="Times New Roman" w:hAnsi="Times New Roman"/>
          <w:sz w:val="24"/>
          <w:szCs w:val="24"/>
        </w:rPr>
        <w:t xml:space="preserve">4. </w:t>
      </w:r>
      <w:r w:rsidR="00B01FCD" w:rsidRPr="00C038A2">
        <w:rPr>
          <w:rFonts w:ascii="Times New Roman" w:hAnsi="Times New Roman"/>
          <w:sz w:val="24"/>
          <w:szCs w:val="24"/>
        </w:rPr>
        <w:t>Conclusion</w:t>
      </w:r>
    </w:p>
    <w:p w14:paraId="4AA3E9BA" w14:textId="77777777" w:rsidR="00790ADA" w:rsidRPr="00FB3A86" w:rsidRDefault="00790ADA" w:rsidP="00441B6F">
      <w:pPr>
        <w:pStyle w:val="ConcHead"/>
        <w:spacing w:after="0"/>
        <w:jc w:val="both"/>
        <w:rPr>
          <w:rFonts w:ascii="Arial" w:hAnsi="Arial" w:cs="Arial"/>
        </w:rPr>
      </w:pPr>
    </w:p>
    <w:p w14:paraId="0D4A5785" w14:textId="0C9DD232" w:rsidR="00E53287" w:rsidRPr="00C038A2" w:rsidRDefault="00E53287" w:rsidP="00E53287">
      <w:pPr>
        <w:pStyle w:val="Body"/>
        <w:rPr>
          <w:rFonts w:ascii="Times New Roman" w:hAnsi="Times New Roman"/>
          <w:sz w:val="24"/>
          <w:szCs w:val="24"/>
        </w:rPr>
      </w:pPr>
      <w:r w:rsidRPr="00C038A2">
        <w:rPr>
          <w:rFonts w:ascii="Times New Roman" w:hAnsi="Times New Roman"/>
          <w:sz w:val="24"/>
          <w:szCs w:val="24"/>
        </w:rPr>
        <w:t xml:space="preserve">The results of this study demonstrate that teacher competence has a significant impact on the social studies learning outcomes of seventh-grade students at public junior high schools in Bone </w:t>
      </w:r>
      <w:proofErr w:type="spellStart"/>
      <w:r w:rsidRPr="00C038A2">
        <w:rPr>
          <w:rFonts w:ascii="Times New Roman" w:hAnsi="Times New Roman"/>
          <w:sz w:val="24"/>
          <w:szCs w:val="24"/>
        </w:rPr>
        <w:t>Bolango</w:t>
      </w:r>
      <w:proofErr w:type="spellEnd"/>
      <w:r w:rsidRPr="00C038A2">
        <w:rPr>
          <w:rFonts w:ascii="Times New Roman" w:hAnsi="Times New Roman"/>
          <w:sz w:val="24"/>
          <w:szCs w:val="24"/>
        </w:rPr>
        <w:t xml:space="preserve"> Regency, while class size and interaction between the two have no significant effect. Teachers with high competencies, encompassing pedagogical, professional, social, and personal aspects, have consistently demonstrated the ability to achieve better academic outcomes under various classroom conditions. These findings confirm previous theoretical and empirical evidence that the quality of instruction is far more determinative than the number of students in a class.</w:t>
      </w:r>
    </w:p>
    <w:p w14:paraId="780C3FB6" w14:textId="77777777" w:rsidR="00E53287" w:rsidRPr="00C038A2" w:rsidRDefault="00E53287" w:rsidP="00E53287">
      <w:pPr>
        <w:pStyle w:val="Body"/>
        <w:rPr>
          <w:rFonts w:ascii="Times New Roman" w:hAnsi="Times New Roman"/>
          <w:sz w:val="24"/>
          <w:szCs w:val="24"/>
        </w:rPr>
      </w:pPr>
      <w:r w:rsidRPr="00C038A2">
        <w:rPr>
          <w:rFonts w:ascii="Times New Roman" w:hAnsi="Times New Roman"/>
          <w:sz w:val="24"/>
          <w:szCs w:val="24"/>
        </w:rPr>
        <w:t xml:space="preserve">Based on these findings, the primary recommendation is to </w:t>
      </w:r>
      <w:proofErr w:type="spellStart"/>
      <w:r w:rsidRPr="00C038A2">
        <w:rPr>
          <w:rFonts w:ascii="Times New Roman" w:hAnsi="Times New Roman"/>
          <w:sz w:val="24"/>
          <w:szCs w:val="24"/>
        </w:rPr>
        <w:t>prioritise</w:t>
      </w:r>
      <w:proofErr w:type="spellEnd"/>
      <w:r w:rsidRPr="00C038A2">
        <w:rPr>
          <w:rFonts w:ascii="Times New Roman" w:hAnsi="Times New Roman"/>
          <w:sz w:val="24"/>
          <w:szCs w:val="24"/>
        </w:rPr>
        <w:t xml:space="preserve"> enhancing teacher competence through continuous professional development (CPD) programs, </w:t>
      </w:r>
      <w:r w:rsidRPr="00C038A2">
        <w:rPr>
          <w:rFonts w:ascii="Times New Roman" w:hAnsi="Times New Roman"/>
          <w:i/>
          <w:iCs/>
          <w:sz w:val="24"/>
          <w:szCs w:val="24"/>
        </w:rPr>
        <w:t>lesson study</w:t>
      </w:r>
      <w:r w:rsidRPr="00C038A2">
        <w:rPr>
          <w:rFonts w:ascii="Times New Roman" w:hAnsi="Times New Roman"/>
          <w:sz w:val="24"/>
          <w:szCs w:val="24"/>
        </w:rPr>
        <w:t xml:space="preserve">-based training, and </w:t>
      </w:r>
      <w:r w:rsidRPr="00C038A2">
        <w:rPr>
          <w:rFonts w:ascii="Times New Roman" w:hAnsi="Times New Roman"/>
          <w:i/>
          <w:iCs/>
          <w:sz w:val="24"/>
          <w:szCs w:val="24"/>
        </w:rPr>
        <w:t>peer coaching</w:t>
      </w:r>
      <w:r w:rsidRPr="00C038A2">
        <w:rPr>
          <w:rFonts w:ascii="Times New Roman" w:hAnsi="Times New Roman"/>
          <w:sz w:val="24"/>
          <w:szCs w:val="24"/>
        </w:rPr>
        <w:t>. Strengthening academic supervision by school principals and education supervisors requires consistent implementation, ensuring the adoption of participatory and contextual learning strategies. The use of learning technologies such as Learning Management Systems (LMS) is also recommended to support learning effectiveness, especially in large classes.</w:t>
      </w:r>
    </w:p>
    <w:p w14:paraId="08F52461" w14:textId="77777777" w:rsidR="00E53287" w:rsidRPr="00C038A2" w:rsidRDefault="00E53287" w:rsidP="00E53287">
      <w:pPr>
        <w:pStyle w:val="Body"/>
        <w:rPr>
          <w:rFonts w:ascii="Times New Roman" w:hAnsi="Times New Roman"/>
          <w:sz w:val="24"/>
          <w:szCs w:val="24"/>
        </w:rPr>
      </w:pPr>
      <w:r w:rsidRPr="00C038A2">
        <w:rPr>
          <w:rFonts w:ascii="Times New Roman" w:hAnsi="Times New Roman"/>
          <w:sz w:val="24"/>
          <w:szCs w:val="24"/>
        </w:rPr>
        <w:lastRenderedPageBreak/>
        <w:t>For future development, similar research can be expanded to consider other variables that influence learning outcomes, such as students' intrinsic motivation, parental support, socioeconomic conditions, and the quality of infrastructure. Additionally, analysis across different educational levels and subjects can provide a more comprehensive picture. A mixed methods approach combining quantitative and qualitative data would also enrich our understanding of the dynamics between teacher competencies, class size, and student learning outcomes.</w:t>
      </w:r>
    </w:p>
    <w:p w14:paraId="1C82A5A4" w14:textId="77777777" w:rsidR="00466742" w:rsidRPr="00E67519" w:rsidRDefault="00466742" w:rsidP="00E67519">
      <w:pPr>
        <w:rPr>
          <w:rFonts w:ascii="Times New Roman" w:eastAsia="Calibri" w:hAnsi="Times New Roman"/>
          <w:b/>
          <w:color w:val="000000" w:themeColor="text1"/>
          <w:kern w:val="2"/>
          <w:sz w:val="24"/>
          <w:szCs w:val="24"/>
          <w:highlight w:val="yellow"/>
        </w:rPr>
      </w:pPr>
      <w:bookmarkStart w:id="0" w:name="_Hlk197682619"/>
      <w:bookmarkStart w:id="1" w:name="_Hlk180402183"/>
      <w:bookmarkStart w:id="2" w:name="_Hlk183680988"/>
      <w:bookmarkStart w:id="3" w:name="_GoBack"/>
      <w:r w:rsidRPr="00E67519">
        <w:rPr>
          <w:rFonts w:ascii="Times New Roman" w:eastAsia="Calibri" w:hAnsi="Times New Roman"/>
          <w:b/>
          <w:color w:val="000000" w:themeColor="text1"/>
          <w:kern w:val="2"/>
          <w:sz w:val="24"/>
          <w:szCs w:val="24"/>
          <w:highlight w:val="yellow"/>
        </w:rPr>
        <w:t>Disclaimer (Artificial intelligence)</w:t>
      </w:r>
    </w:p>
    <w:bookmarkEnd w:id="3"/>
    <w:p w14:paraId="5B19537A" w14:textId="5B5994ED" w:rsidR="00466742" w:rsidRPr="00C038A2" w:rsidRDefault="00466742" w:rsidP="002A7A8C">
      <w:pPr>
        <w:jc w:val="center"/>
        <w:rPr>
          <w:rFonts w:ascii="Times New Roman" w:eastAsia="Calibri" w:hAnsi="Times New Roman"/>
          <w:color w:val="000000" w:themeColor="text1"/>
          <w:kern w:val="2"/>
          <w:sz w:val="24"/>
          <w:szCs w:val="24"/>
          <w:highlight w:val="yellow"/>
        </w:rPr>
      </w:pPr>
      <w:r w:rsidRPr="00C038A2">
        <w:rPr>
          <w:rFonts w:ascii="Times New Roman" w:eastAsia="Calibri" w:hAnsi="Times New Roman"/>
          <w:color w:val="000000" w:themeColor="text1"/>
          <w:kern w:val="2"/>
          <w:sz w:val="24"/>
          <w:szCs w:val="24"/>
          <w:highlight w:val="yellow"/>
        </w:rPr>
        <w:t>Option 1:</w:t>
      </w:r>
    </w:p>
    <w:p w14:paraId="75A4536C" w14:textId="16B31BF2" w:rsidR="00466742" w:rsidRPr="00C038A2" w:rsidRDefault="00466742" w:rsidP="002A7A8C">
      <w:pPr>
        <w:jc w:val="both"/>
        <w:rPr>
          <w:rFonts w:ascii="Times New Roman" w:eastAsia="Calibri" w:hAnsi="Times New Roman"/>
          <w:color w:val="000000" w:themeColor="text1"/>
          <w:kern w:val="2"/>
          <w:sz w:val="24"/>
          <w:szCs w:val="24"/>
          <w:highlight w:val="yellow"/>
        </w:rPr>
      </w:pPr>
      <w:r w:rsidRPr="00C038A2">
        <w:rPr>
          <w:rFonts w:ascii="Times New Roman" w:eastAsia="Calibri" w:hAnsi="Times New Roman"/>
          <w:color w:val="000000" w:themeColor="text1"/>
          <w:kern w:val="2"/>
          <w:sz w:val="24"/>
          <w:szCs w:val="24"/>
          <w:highlight w:val="yellow"/>
        </w:rPr>
        <w:t>Author(s) hereby declare that NO generative AI technologies such as Large Language Models (ChatGPT, COPILOT, etc.) and text-to-image generators have been used during the writing or editing of this manuscript.</w:t>
      </w:r>
    </w:p>
    <w:bookmarkEnd w:id="0"/>
    <w:bookmarkEnd w:id="1"/>
    <w:bookmarkEnd w:id="2"/>
    <w:p w14:paraId="5DDD1B58" w14:textId="77777777" w:rsidR="00790ADA" w:rsidRPr="00C038A2" w:rsidRDefault="00790ADA" w:rsidP="002A7A8C">
      <w:pPr>
        <w:pStyle w:val="Body"/>
        <w:spacing w:after="0"/>
        <w:rPr>
          <w:rFonts w:ascii="Times New Roman" w:hAnsi="Times New Roman"/>
          <w:color w:val="000000" w:themeColor="text1"/>
          <w:sz w:val="24"/>
          <w:szCs w:val="24"/>
        </w:rPr>
      </w:pPr>
    </w:p>
    <w:p w14:paraId="066ED6B7" w14:textId="77777777" w:rsidR="00315186" w:rsidRPr="00425BEF" w:rsidRDefault="00315186" w:rsidP="00441B6F">
      <w:pPr>
        <w:rPr>
          <w:rFonts w:ascii="Arial" w:hAnsi="Arial" w:cs="Arial"/>
          <w:color w:val="000000" w:themeColor="text1"/>
        </w:rPr>
      </w:pPr>
    </w:p>
    <w:p w14:paraId="652FD27E" w14:textId="77777777" w:rsidR="00315186" w:rsidRPr="00425BEF" w:rsidRDefault="00315186" w:rsidP="00441B6F">
      <w:pPr>
        <w:rPr>
          <w:rFonts w:ascii="Arial" w:hAnsi="Arial" w:cs="Arial"/>
          <w:color w:val="000000" w:themeColor="text1"/>
        </w:rPr>
      </w:pPr>
    </w:p>
    <w:p w14:paraId="76AB0576" w14:textId="77777777" w:rsidR="00860000" w:rsidRPr="00425BEF" w:rsidRDefault="00860000" w:rsidP="00441B6F">
      <w:pPr>
        <w:pStyle w:val="ReferHead"/>
        <w:spacing w:after="0"/>
        <w:jc w:val="both"/>
        <w:rPr>
          <w:rFonts w:ascii="Arial" w:hAnsi="Arial" w:cs="Arial"/>
          <w:color w:val="000000" w:themeColor="text1"/>
          <w:sz w:val="20"/>
        </w:rPr>
      </w:pPr>
    </w:p>
    <w:p w14:paraId="19FD69F8" w14:textId="77777777" w:rsidR="00B01FCD" w:rsidRPr="00C038A2" w:rsidRDefault="00B01FCD" w:rsidP="00C038A2">
      <w:pPr>
        <w:pStyle w:val="ReferHead"/>
        <w:spacing w:before="120" w:after="0"/>
        <w:jc w:val="both"/>
        <w:rPr>
          <w:rFonts w:ascii="Times New Roman" w:hAnsi="Times New Roman"/>
          <w:color w:val="000000" w:themeColor="text1"/>
          <w:sz w:val="24"/>
          <w:szCs w:val="24"/>
        </w:rPr>
      </w:pPr>
      <w:r w:rsidRPr="00C038A2">
        <w:rPr>
          <w:rFonts w:ascii="Times New Roman" w:hAnsi="Times New Roman"/>
          <w:color w:val="000000" w:themeColor="text1"/>
          <w:sz w:val="24"/>
          <w:szCs w:val="24"/>
        </w:rPr>
        <w:t>References</w:t>
      </w:r>
    </w:p>
    <w:p w14:paraId="29D70A5D" w14:textId="77777777" w:rsidR="00790ADA" w:rsidRPr="00C038A2" w:rsidRDefault="00790ADA" w:rsidP="00C038A2">
      <w:pPr>
        <w:pStyle w:val="ReferHead"/>
        <w:spacing w:before="120" w:after="0"/>
        <w:jc w:val="both"/>
        <w:rPr>
          <w:rFonts w:ascii="Times New Roman" w:hAnsi="Times New Roman"/>
          <w:color w:val="000000" w:themeColor="text1"/>
          <w:sz w:val="24"/>
          <w:szCs w:val="24"/>
        </w:rPr>
      </w:pPr>
    </w:p>
    <w:p w14:paraId="439ECB63" w14:textId="23FF0C94" w:rsidR="00F9225F" w:rsidRPr="00C038A2" w:rsidRDefault="00F9225F"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Aldridge, J. M., Fraser, B. J., </w:t>
      </w:r>
      <w:proofErr w:type="spellStart"/>
      <w:r w:rsidRPr="00C038A2">
        <w:rPr>
          <w:rFonts w:ascii="Times New Roman" w:hAnsi="Times New Roman"/>
          <w:color w:val="000000" w:themeColor="text1"/>
          <w:sz w:val="24"/>
          <w:szCs w:val="24"/>
        </w:rPr>
        <w:t>Fozdar</w:t>
      </w:r>
      <w:proofErr w:type="spellEnd"/>
      <w:r w:rsidRPr="00C038A2">
        <w:rPr>
          <w:rFonts w:ascii="Times New Roman" w:hAnsi="Times New Roman"/>
          <w:color w:val="000000" w:themeColor="text1"/>
          <w:sz w:val="24"/>
          <w:szCs w:val="24"/>
        </w:rPr>
        <w:t xml:space="preserve">, F., </w:t>
      </w:r>
      <w:proofErr w:type="spellStart"/>
      <w:r w:rsidRPr="00C038A2">
        <w:rPr>
          <w:rFonts w:ascii="Times New Roman" w:hAnsi="Times New Roman"/>
          <w:color w:val="000000" w:themeColor="text1"/>
          <w:sz w:val="24"/>
          <w:szCs w:val="24"/>
        </w:rPr>
        <w:t>Ala’i</w:t>
      </w:r>
      <w:proofErr w:type="spellEnd"/>
      <w:r w:rsidRPr="00C038A2">
        <w:rPr>
          <w:rFonts w:ascii="Times New Roman" w:hAnsi="Times New Roman"/>
          <w:color w:val="000000" w:themeColor="text1"/>
          <w:sz w:val="24"/>
          <w:szCs w:val="24"/>
        </w:rPr>
        <w:t xml:space="preserve">, K., Earnest, J., &amp; Afari, E. (2015). Students’ perceptions of school climate as determinants of wellbeing, resilience and identity. </w:t>
      </w:r>
      <w:r w:rsidRPr="00C038A2">
        <w:rPr>
          <w:rFonts w:ascii="Times New Roman" w:hAnsi="Times New Roman"/>
          <w:i/>
          <w:iCs/>
          <w:color w:val="000000" w:themeColor="text1"/>
          <w:sz w:val="24"/>
          <w:szCs w:val="24"/>
        </w:rPr>
        <w:t>Improving Schools</w:t>
      </w:r>
      <w:r w:rsidRPr="00C038A2">
        <w:rPr>
          <w:rFonts w:ascii="Times New Roman" w:hAnsi="Times New Roman"/>
          <w:color w:val="000000" w:themeColor="text1"/>
          <w:sz w:val="24"/>
          <w:szCs w:val="24"/>
        </w:rPr>
        <w:t xml:space="preserve">, </w:t>
      </w:r>
      <w:r w:rsidRPr="00C038A2">
        <w:rPr>
          <w:rFonts w:ascii="Times New Roman" w:hAnsi="Times New Roman"/>
          <w:i/>
          <w:iCs/>
          <w:color w:val="000000" w:themeColor="text1"/>
          <w:sz w:val="24"/>
          <w:szCs w:val="24"/>
        </w:rPr>
        <w:t>19</w:t>
      </w:r>
      <w:r w:rsidRPr="00C038A2">
        <w:rPr>
          <w:rFonts w:ascii="Times New Roman" w:hAnsi="Times New Roman"/>
          <w:color w:val="000000" w:themeColor="text1"/>
          <w:sz w:val="24"/>
          <w:szCs w:val="24"/>
        </w:rPr>
        <w:t xml:space="preserve">(1), 5-26. </w:t>
      </w:r>
      <w:hyperlink r:id="rId14" w:history="1">
        <w:r w:rsidRPr="00C038A2">
          <w:rPr>
            <w:rStyle w:val="Hyperlink"/>
            <w:rFonts w:ascii="Times New Roman" w:hAnsi="Times New Roman"/>
            <w:color w:val="000000" w:themeColor="text1"/>
            <w:sz w:val="24"/>
            <w:szCs w:val="24"/>
          </w:rPr>
          <w:t>https://doi.org/10.1177/1365480215612616</w:t>
        </w:r>
      </w:hyperlink>
      <w:r w:rsidRPr="00C038A2">
        <w:rPr>
          <w:rFonts w:ascii="Times New Roman" w:hAnsi="Times New Roman"/>
          <w:color w:val="000000" w:themeColor="text1"/>
          <w:sz w:val="24"/>
          <w:szCs w:val="24"/>
        </w:rPr>
        <w:t xml:space="preserve"> (Original work published 2016</w:t>
      </w:r>
      <w:r w:rsidR="00261F8D">
        <w:rPr>
          <w:rFonts w:ascii="Times New Roman" w:hAnsi="Times New Roman"/>
          <w:color w:val="000000" w:themeColor="text1"/>
          <w:sz w:val="24"/>
          <w:szCs w:val="24"/>
        </w:rPr>
        <w:t>.</w:t>
      </w:r>
      <w:r w:rsidRPr="00C038A2">
        <w:rPr>
          <w:rFonts w:ascii="Times New Roman" w:hAnsi="Times New Roman"/>
          <w:color w:val="000000" w:themeColor="text1"/>
          <w:sz w:val="24"/>
          <w:szCs w:val="24"/>
        </w:rPr>
        <w:t>)</w:t>
      </w:r>
    </w:p>
    <w:p w14:paraId="7C79E70A" w14:textId="468FCD0A" w:rsidR="00D52E59" w:rsidRDefault="00D52E59"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Andrews, D. J. C., Vellanki, V., Brown, T., Jackson, D., &amp; Castillo, B. M. (2019). Beyond Damage-Centered Teacher Education: Humanizing Pedagogy for Teacher Educators and Preservice Teachers.</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Teachers College Record: The Voice of Scholarship in Education</w:t>
      </w:r>
      <w:r w:rsidRPr="00C038A2">
        <w:rPr>
          <w:rFonts w:ascii="Times New Roman" w:hAnsi="Times New Roman"/>
          <w:color w:val="000000" w:themeColor="text1"/>
          <w:sz w:val="24"/>
          <w:szCs w:val="24"/>
        </w:rPr>
        <w:t>,</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121</w:t>
      </w:r>
      <w:r w:rsidRPr="00C038A2">
        <w:rPr>
          <w:rFonts w:ascii="Times New Roman" w:hAnsi="Times New Roman"/>
          <w:color w:val="000000" w:themeColor="text1"/>
          <w:sz w:val="24"/>
          <w:szCs w:val="24"/>
        </w:rPr>
        <w:t xml:space="preserve">(6), 1–28. </w:t>
      </w:r>
      <w:hyperlink r:id="rId15" w:history="1">
        <w:r w:rsidR="00261F8D" w:rsidRPr="00844AF0">
          <w:rPr>
            <w:rStyle w:val="Hyperlink"/>
            <w:rFonts w:ascii="Times New Roman" w:hAnsi="Times New Roman"/>
            <w:sz w:val="24"/>
            <w:szCs w:val="24"/>
          </w:rPr>
          <w:t>https://doi.org/10.1177/016146811912100605</w:t>
        </w:r>
      </w:hyperlink>
      <w:r w:rsidR="00261F8D">
        <w:rPr>
          <w:rFonts w:ascii="Times New Roman" w:hAnsi="Times New Roman"/>
          <w:color w:val="000000" w:themeColor="text1"/>
          <w:sz w:val="24"/>
          <w:szCs w:val="24"/>
        </w:rPr>
        <w:t>.</w:t>
      </w:r>
    </w:p>
    <w:p w14:paraId="7E146022" w14:textId="733968E4" w:rsidR="00B002F3" w:rsidRPr="00C038A2" w:rsidRDefault="00B002F3" w:rsidP="00C038A2">
      <w:pPr>
        <w:pStyle w:val="Body"/>
        <w:spacing w:before="120" w:after="0"/>
        <w:ind w:left="567" w:hanging="567"/>
        <w:rPr>
          <w:rFonts w:ascii="Times New Roman" w:hAnsi="Times New Roman"/>
          <w:color w:val="000000" w:themeColor="text1"/>
          <w:sz w:val="24"/>
          <w:szCs w:val="24"/>
        </w:rPr>
      </w:pPr>
      <w:proofErr w:type="spellStart"/>
      <w:r w:rsidRPr="00C038A2">
        <w:rPr>
          <w:rFonts w:ascii="Times New Roman" w:hAnsi="Times New Roman"/>
          <w:color w:val="000000" w:themeColor="text1"/>
          <w:sz w:val="24"/>
          <w:szCs w:val="24"/>
        </w:rPr>
        <w:t>Arikunto</w:t>
      </w:r>
      <w:proofErr w:type="spellEnd"/>
      <w:r w:rsidRPr="00C038A2">
        <w:rPr>
          <w:rFonts w:ascii="Times New Roman" w:hAnsi="Times New Roman"/>
          <w:color w:val="000000" w:themeColor="text1"/>
          <w:sz w:val="24"/>
          <w:szCs w:val="24"/>
        </w:rPr>
        <w:t xml:space="preserve">, S. (2013). </w:t>
      </w:r>
      <w:r w:rsidRPr="00C038A2">
        <w:rPr>
          <w:rFonts w:ascii="Times New Roman" w:hAnsi="Times New Roman"/>
          <w:i/>
          <w:iCs/>
          <w:color w:val="000000" w:themeColor="text1"/>
          <w:sz w:val="24"/>
          <w:szCs w:val="24"/>
        </w:rPr>
        <w:t>Research procedure: A practical approach</w:t>
      </w:r>
      <w:r w:rsidRPr="00C038A2">
        <w:rPr>
          <w:rFonts w:ascii="Times New Roman" w:hAnsi="Times New Roman"/>
          <w:color w:val="000000" w:themeColor="text1"/>
          <w:sz w:val="24"/>
          <w:szCs w:val="24"/>
        </w:rPr>
        <w:t xml:space="preserve">. Jakarta: </w:t>
      </w:r>
      <w:proofErr w:type="spellStart"/>
      <w:r w:rsidRPr="00C038A2">
        <w:rPr>
          <w:rFonts w:ascii="Times New Roman" w:hAnsi="Times New Roman"/>
          <w:color w:val="000000" w:themeColor="text1"/>
          <w:sz w:val="24"/>
          <w:szCs w:val="24"/>
        </w:rPr>
        <w:t>Rineka</w:t>
      </w:r>
      <w:proofErr w:type="spellEnd"/>
      <w:r w:rsidRPr="00C038A2">
        <w:rPr>
          <w:rFonts w:ascii="Times New Roman" w:hAnsi="Times New Roman"/>
          <w:color w:val="000000" w:themeColor="text1"/>
          <w:sz w:val="24"/>
          <w:szCs w:val="24"/>
        </w:rPr>
        <w:t xml:space="preserve"> </w:t>
      </w:r>
      <w:proofErr w:type="spellStart"/>
      <w:r w:rsidRPr="00C038A2">
        <w:rPr>
          <w:rFonts w:ascii="Times New Roman" w:hAnsi="Times New Roman"/>
          <w:color w:val="000000" w:themeColor="text1"/>
          <w:sz w:val="24"/>
          <w:szCs w:val="24"/>
        </w:rPr>
        <w:t>Cipta</w:t>
      </w:r>
      <w:proofErr w:type="spellEnd"/>
      <w:r w:rsidRPr="00C038A2">
        <w:rPr>
          <w:rFonts w:ascii="Times New Roman" w:hAnsi="Times New Roman"/>
          <w:color w:val="000000" w:themeColor="text1"/>
          <w:sz w:val="24"/>
          <w:szCs w:val="24"/>
        </w:rPr>
        <w:t>.</w:t>
      </w:r>
    </w:p>
    <w:p w14:paraId="6372ABDF" w14:textId="72C79CA4" w:rsidR="00D62CCF" w:rsidRDefault="00D62CCF" w:rsidP="00C038A2">
      <w:pPr>
        <w:shd w:val="clear" w:color="auto" w:fill="FFFFFF"/>
        <w:spacing w:before="120"/>
        <w:ind w:left="567" w:hanging="567"/>
        <w:jc w:val="both"/>
        <w:rPr>
          <w:rFonts w:ascii="Times New Roman" w:hAnsi="Times New Roman"/>
          <w:color w:val="000000" w:themeColor="text1"/>
          <w:sz w:val="24"/>
          <w:szCs w:val="24"/>
          <w:lang w:val="en-ID"/>
        </w:rPr>
      </w:pPr>
      <w:r w:rsidRPr="00C038A2">
        <w:rPr>
          <w:rFonts w:ascii="Times New Roman" w:hAnsi="Times New Roman"/>
          <w:color w:val="000000" w:themeColor="text1"/>
          <w:sz w:val="24"/>
          <w:szCs w:val="24"/>
          <w:lang w:val="en-ID"/>
        </w:rPr>
        <w:t>Awuah, F. (2022). Classroom Assessment of Learners: Assessment Practices of Junior High School Social Studies Teachers in two Districts of Ghana. </w:t>
      </w:r>
      <w:r w:rsidRPr="00C038A2">
        <w:rPr>
          <w:rFonts w:ascii="Times New Roman" w:hAnsi="Times New Roman"/>
          <w:i/>
          <w:iCs/>
          <w:color w:val="000000" w:themeColor="text1"/>
          <w:sz w:val="24"/>
          <w:szCs w:val="24"/>
          <w:lang w:val="en-ID"/>
        </w:rPr>
        <w:t>Asian Journal of Advanced Research and Reports</w:t>
      </w:r>
      <w:r w:rsidRPr="00C038A2">
        <w:rPr>
          <w:rFonts w:ascii="Times New Roman" w:hAnsi="Times New Roman"/>
          <w:color w:val="000000" w:themeColor="text1"/>
          <w:sz w:val="24"/>
          <w:szCs w:val="24"/>
          <w:lang w:val="en-ID"/>
        </w:rPr>
        <w:t>, </w:t>
      </w:r>
      <w:r w:rsidRPr="00C038A2">
        <w:rPr>
          <w:rFonts w:ascii="Times New Roman" w:hAnsi="Times New Roman"/>
          <w:i/>
          <w:iCs/>
          <w:color w:val="000000" w:themeColor="text1"/>
          <w:sz w:val="24"/>
          <w:szCs w:val="24"/>
          <w:lang w:val="en-ID"/>
        </w:rPr>
        <w:t>16</w:t>
      </w:r>
      <w:r w:rsidRPr="00C038A2">
        <w:rPr>
          <w:rFonts w:ascii="Times New Roman" w:hAnsi="Times New Roman"/>
          <w:color w:val="000000" w:themeColor="text1"/>
          <w:sz w:val="24"/>
          <w:szCs w:val="24"/>
          <w:lang w:val="en-ID"/>
        </w:rPr>
        <w:t xml:space="preserve">(10), 24–40. </w:t>
      </w:r>
      <w:hyperlink r:id="rId16" w:history="1">
        <w:r w:rsidR="00261F8D" w:rsidRPr="00844AF0">
          <w:rPr>
            <w:rStyle w:val="Hyperlink"/>
            <w:rFonts w:ascii="Times New Roman" w:hAnsi="Times New Roman"/>
            <w:sz w:val="24"/>
            <w:szCs w:val="24"/>
            <w:lang w:val="en-ID"/>
          </w:rPr>
          <w:t>https://doi.org/10.9734/ajarr/2022/v16i1030507</w:t>
        </w:r>
      </w:hyperlink>
      <w:r w:rsidR="00261F8D">
        <w:rPr>
          <w:rFonts w:ascii="Times New Roman" w:hAnsi="Times New Roman"/>
          <w:color w:val="000000" w:themeColor="text1"/>
          <w:sz w:val="24"/>
          <w:szCs w:val="24"/>
          <w:lang w:val="en-ID"/>
        </w:rPr>
        <w:t>.</w:t>
      </w:r>
    </w:p>
    <w:p w14:paraId="477DA445" w14:textId="4A4C4B4F"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Biddle, B. J., &amp; Berliner, D. C. (2002). Small class size and its effects. </w:t>
      </w:r>
      <w:r w:rsidRPr="00C038A2">
        <w:rPr>
          <w:rFonts w:ascii="Times New Roman" w:hAnsi="Times New Roman"/>
          <w:i/>
          <w:iCs/>
          <w:color w:val="000000" w:themeColor="text1"/>
          <w:sz w:val="24"/>
          <w:szCs w:val="24"/>
        </w:rPr>
        <w:t xml:space="preserve">Educational Leadership, </w:t>
      </w:r>
      <w:hyperlink r:id="rId17" w:history="1">
        <w:r w:rsidR="00CF404C" w:rsidRPr="00C038A2">
          <w:rPr>
            <w:rStyle w:val="Hyperlink"/>
            <w:rFonts w:ascii="Times New Roman" w:hAnsi="Times New Roman"/>
            <w:i/>
            <w:iCs/>
            <w:color w:val="000000" w:themeColor="text1"/>
            <w:sz w:val="24"/>
            <w:szCs w:val="24"/>
          </w:rPr>
          <w:t>https://files.eric.ed.gov/fulltext/ED473405.pdf</w:t>
        </w:r>
      </w:hyperlink>
      <w:r w:rsidRPr="00C038A2">
        <w:rPr>
          <w:rFonts w:ascii="Times New Roman" w:hAnsi="Times New Roman"/>
          <w:color w:val="000000" w:themeColor="text1"/>
          <w:sz w:val="24"/>
          <w:szCs w:val="24"/>
        </w:rPr>
        <w:t>.</w:t>
      </w:r>
    </w:p>
    <w:p w14:paraId="0E9AF52C" w14:textId="69BC547A" w:rsidR="00261F8D" w:rsidRPr="00261F8D" w:rsidRDefault="00B002F3" w:rsidP="00C038A2">
      <w:pPr>
        <w:pStyle w:val="Body"/>
        <w:spacing w:before="120" w:after="0"/>
        <w:ind w:left="567" w:hanging="567"/>
      </w:pPr>
      <w:r w:rsidRPr="00C038A2">
        <w:rPr>
          <w:rFonts w:ascii="Times New Roman" w:hAnsi="Times New Roman"/>
          <w:color w:val="000000" w:themeColor="text1"/>
          <w:sz w:val="24"/>
          <w:szCs w:val="24"/>
        </w:rPr>
        <w:t xml:space="preserve">Blatchford, P., Bassett, P., &amp; Brown, P. (2011). Examining the effect of class size on classroom engagement and teacher–pupil interaction: Differences in relation to pupil prior attainment and primary vs. secondary schools. </w:t>
      </w:r>
      <w:r w:rsidRPr="00C038A2">
        <w:rPr>
          <w:rFonts w:ascii="Times New Roman" w:hAnsi="Times New Roman"/>
          <w:i/>
          <w:iCs/>
          <w:color w:val="000000" w:themeColor="text1"/>
          <w:sz w:val="24"/>
          <w:szCs w:val="24"/>
        </w:rPr>
        <w:t>Learning and Instruction, 21</w:t>
      </w:r>
      <w:r w:rsidRPr="00C038A2">
        <w:rPr>
          <w:rFonts w:ascii="Times New Roman" w:hAnsi="Times New Roman"/>
          <w:color w:val="000000" w:themeColor="text1"/>
          <w:sz w:val="24"/>
          <w:szCs w:val="24"/>
        </w:rPr>
        <w:t xml:space="preserve">(6), 715–730. </w:t>
      </w:r>
      <w:hyperlink r:id="rId18" w:tgtFrame="_new" w:history="1">
        <w:r w:rsidRPr="00C038A2">
          <w:rPr>
            <w:rStyle w:val="Hyperlink"/>
            <w:rFonts w:ascii="Times New Roman" w:hAnsi="Times New Roman"/>
            <w:color w:val="000000" w:themeColor="text1"/>
            <w:sz w:val="24"/>
            <w:szCs w:val="24"/>
          </w:rPr>
          <w:t>https://doi.org/10.1016/j.learninstruc.2011.04.001</w:t>
        </w:r>
      </w:hyperlink>
      <w:r w:rsidR="00261F8D">
        <w:t>.</w:t>
      </w:r>
    </w:p>
    <w:p w14:paraId="2233D871" w14:textId="7901AEB3" w:rsidR="00B002F3" w:rsidRDefault="00B002F3" w:rsidP="00C038A2">
      <w:pPr>
        <w:pStyle w:val="Body"/>
        <w:spacing w:before="120" w:after="0"/>
        <w:ind w:left="567" w:hanging="567"/>
      </w:pPr>
      <w:r w:rsidRPr="00C038A2">
        <w:rPr>
          <w:rFonts w:ascii="Times New Roman" w:hAnsi="Times New Roman"/>
          <w:color w:val="000000" w:themeColor="text1"/>
          <w:sz w:val="24"/>
          <w:szCs w:val="24"/>
        </w:rPr>
        <w:lastRenderedPageBreak/>
        <w:t xml:space="preserve">Brydges, R., &amp; Papadopoulos, A. (2020). Factorial designs in educational research. </w:t>
      </w:r>
      <w:r w:rsidRPr="00C038A2">
        <w:rPr>
          <w:rFonts w:ascii="Times New Roman" w:hAnsi="Times New Roman"/>
          <w:i/>
          <w:iCs/>
          <w:color w:val="000000" w:themeColor="text1"/>
          <w:sz w:val="24"/>
          <w:szCs w:val="24"/>
        </w:rPr>
        <w:t>Medical Education, 54</w:t>
      </w:r>
      <w:r w:rsidRPr="00C038A2">
        <w:rPr>
          <w:rFonts w:ascii="Times New Roman" w:hAnsi="Times New Roman"/>
          <w:color w:val="000000" w:themeColor="text1"/>
          <w:sz w:val="24"/>
          <w:szCs w:val="24"/>
        </w:rPr>
        <w:t xml:space="preserve">(4), 340–342. </w:t>
      </w:r>
      <w:hyperlink r:id="rId19" w:tgtFrame="_new" w:history="1">
        <w:r w:rsidRPr="00C038A2">
          <w:rPr>
            <w:rStyle w:val="Hyperlink"/>
            <w:rFonts w:ascii="Times New Roman" w:hAnsi="Times New Roman"/>
            <w:color w:val="000000" w:themeColor="text1"/>
            <w:sz w:val="24"/>
            <w:szCs w:val="24"/>
          </w:rPr>
          <w:t>https://doi.org/10.1111/medu.14135</w:t>
        </w:r>
      </w:hyperlink>
      <w:r w:rsidR="00261F8D">
        <w:t>.</w:t>
      </w:r>
    </w:p>
    <w:p w14:paraId="3A031B47"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Cohen, L., Manion, L., &amp; Morrison, K. (2018). </w:t>
      </w:r>
      <w:r w:rsidRPr="00C038A2">
        <w:rPr>
          <w:rFonts w:ascii="Times New Roman" w:hAnsi="Times New Roman"/>
          <w:i/>
          <w:iCs/>
          <w:color w:val="000000" w:themeColor="text1"/>
          <w:sz w:val="24"/>
          <w:szCs w:val="24"/>
        </w:rPr>
        <w:t>Research methods in education</w:t>
      </w:r>
      <w:r w:rsidRPr="00C038A2">
        <w:rPr>
          <w:rFonts w:ascii="Times New Roman" w:hAnsi="Times New Roman"/>
          <w:color w:val="000000" w:themeColor="text1"/>
          <w:sz w:val="24"/>
          <w:szCs w:val="24"/>
        </w:rPr>
        <w:t xml:space="preserve"> (8th ed.). London: Routledge.</w:t>
      </w:r>
    </w:p>
    <w:p w14:paraId="243A3D6C"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Creswell, J. W. (2020). </w:t>
      </w:r>
      <w:r w:rsidRPr="00C038A2">
        <w:rPr>
          <w:rFonts w:ascii="Times New Roman" w:hAnsi="Times New Roman"/>
          <w:i/>
          <w:iCs/>
          <w:color w:val="000000" w:themeColor="text1"/>
          <w:sz w:val="24"/>
          <w:szCs w:val="24"/>
        </w:rPr>
        <w:t>Educational research: Planning, conducting, and evaluating quantitative and qualitative research</w:t>
      </w:r>
      <w:r w:rsidRPr="00C038A2">
        <w:rPr>
          <w:rFonts w:ascii="Times New Roman" w:hAnsi="Times New Roman"/>
          <w:color w:val="000000" w:themeColor="text1"/>
          <w:sz w:val="24"/>
          <w:szCs w:val="24"/>
        </w:rPr>
        <w:t xml:space="preserve"> (6th ed.). Pearson.</w:t>
      </w:r>
    </w:p>
    <w:p w14:paraId="5BD47700" w14:textId="00E6312B" w:rsidR="00261F8D" w:rsidRPr="00C038A2" w:rsidRDefault="0043235E"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Darling-Hammond, L. (2010). Teacher Education and the American Future. </w:t>
      </w:r>
      <w:r w:rsidRPr="00C038A2">
        <w:rPr>
          <w:rFonts w:ascii="Times New Roman" w:hAnsi="Times New Roman"/>
          <w:i/>
          <w:iCs/>
          <w:color w:val="000000" w:themeColor="text1"/>
          <w:sz w:val="24"/>
          <w:szCs w:val="24"/>
        </w:rPr>
        <w:t>Journal of Teacher Education</w:t>
      </w:r>
      <w:r w:rsidRPr="00C038A2">
        <w:rPr>
          <w:rFonts w:ascii="Times New Roman" w:hAnsi="Times New Roman"/>
          <w:color w:val="000000" w:themeColor="text1"/>
          <w:sz w:val="24"/>
          <w:szCs w:val="24"/>
        </w:rPr>
        <w:t xml:space="preserve">, </w:t>
      </w:r>
      <w:r w:rsidRPr="00C038A2">
        <w:rPr>
          <w:rFonts w:ascii="Times New Roman" w:hAnsi="Times New Roman"/>
          <w:i/>
          <w:iCs/>
          <w:color w:val="000000" w:themeColor="text1"/>
          <w:sz w:val="24"/>
          <w:szCs w:val="24"/>
        </w:rPr>
        <w:t>61</w:t>
      </w:r>
      <w:r w:rsidRPr="00C038A2">
        <w:rPr>
          <w:rFonts w:ascii="Times New Roman" w:hAnsi="Times New Roman"/>
          <w:color w:val="000000" w:themeColor="text1"/>
          <w:sz w:val="24"/>
          <w:szCs w:val="24"/>
        </w:rPr>
        <w:t xml:space="preserve">(1-2), 35-47. </w:t>
      </w:r>
      <w:hyperlink r:id="rId20" w:history="1">
        <w:r w:rsidRPr="00C038A2">
          <w:rPr>
            <w:rStyle w:val="Hyperlink"/>
            <w:rFonts w:ascii="Times New Roman" w:hAnsi="Times New Roman"/>
            <w:color w:val="000000" w:themeColor="text1"/>
            <w:sz w:val="24"/>
            <w:szCs w:val="24"/>
          </w:rPr>
          <w:t>https://doi.org/10.1177/0022487109348024</w:t>
        </w:r>
      </w:hyperlink>
      <w:r w:rsidR="00261F8D">
        <w:rPr>
          <w:rFonts w:ascii="Times New Roman" w:hAnsi="Times New Roman"/>
          <w:color w:val="000000" w:themeColor="text1"/>
          <w:sz w:val="24"/>
          <w:szCs w:val="24"/>
        </w:rPr>
        <w:t>.</w:t>
      </w:r>
    </w:p>
    <w:p w14:paraId="3B31B19A"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Ferguson, G. A. (2004). </w:t>
      </w:r>
      <w:r w:rsidRPr="00C038A2">
        <w:rPr>
          <w:rFonts w:ascii="Times New Roman" w:hAnsi="Times New Roman"/>
          <w:i/>
          <w:iCs/>
          <w:color w:val="000000" w:themeColor="text1"/>
          <w:sz w:val="24"/>
          <w:szCs w:val="24"/>
        </w:rPr>
        <w:t>Statistical analysis in psychology and education</w:t>
      </w:r>
      <w:r w:rsidRPr="00C038A2">
        <w:rPr>
          <w:rFonts w:ascii="Times New Roman" w:hAnsi="Times New Roman"/>
          <w:color w:val="000000" w:themeColor="text1"/>
          <w:sz w:val="24"/>
          <w:szCs w:val="24"/>
        </w:rPr>
        <w:t>. New York: McGraw-Hill.</w:t>
      </w:r>
    </w:p>
    <w:p w14:paraId="7C77450C"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Fraenkel, J. R., Wallen, N. E., &amp; Hyun, H. H. (2012). </w:t>
      </w:r>
      <w:r w:rsidRPr="00C038A2">
        <w:rPr>
          <w:rFonts w:ascii="Times New Roman" w:hAnsi="Times New Roman"/>
          <w:i/>
          <w:iCs/>
          <w:color w:val="000000" w:themeColor="text1"/>
          <w:sz w:val="24"/>
          <w:szCs w:val="24"/>
        </w:rPr>
        <w:t>How to design and evaluate research in education</w:t>
      </w:r>
      <w:r w:rsidRPr="00C038A2">
        <w:rPr>
          <w:rFonts w:ascii="Times New Roman" w:hAnsi="Times New Roman"/>
          <w:color w:val="000000" w:themeColor="text1"/>
          <w:sz w:val="24"/>
          <w:szCs w:val="24"/>
        </w:rPr>
        <w:t xml:space="preserve"> (8th ed.). New York: McGraw-Hill.</w:t>
      </w:r>
    </w:p>
    <w:p w14:paraId="06A0D0FA"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Gagne, R. M., Wager, W. W., </w:t>
      </w:r>
      <w:proofErr w:type="spellStart"/>
      <w:r w:rsidRPr="00C038A2">
        <w:rPr>
          <w:rFonts w:ascii="Times New Roman" w:hAnsi="Times New Roman"/>
          <w:color w:val="000000" w:themeColor="text1"/>
          <w:sz w:val="24"/>
          <w:szCs w:val="24"/>
        </w:rPr>
        <w:t>Golas</w:t>
      </w:r>
      <w:proofErr w:type="spellEnd"/>
      <w:r w:rsidRPr="00C038A2">
        <w:rPr>
          <w:rFonts w:ascii="Times New Roman" w:hAnsi="Times New Roman"/>
          <w:color w:val="000000" w:themeColor="text1"/>
          <w:sz w:val="24"/>
          <w:szCs w:val="24"/>
        </w:rPr>
        <w:t xml:space="preserve">, K. C., &amp; Keller, J. M. (2005). </w:t>
      </w:r>
      <w:r w:rsidRPr="00C038A2">
        <w:rPr>
          <w:rFonts w:ascii="Times New Roman" w:hAnsi="Times New Roman"/>
          <w:i/>
          <w:iCs/>
          <w:color w:val="000000" w:themeColor="text1"/>
          <w:sz w:val="24"/>
          <w:szCs w:val="24"/>
        </w:rPr>
        <w:t>Principles of instructional design</w:t>
      </w:r>
      <w:r w:rsidRPr="00C038A2">
        <w:rPr>
          <w:rFonts w:ascii="Times New Roman" w:hAnsi="Times New Roman"/>
          <w:color w:val="000000" w:themeColor="text1"/>
          <w:sz w:val="24"/>
          <w:szCs w:val="24"/>
        </w:rPr>
        <w:t xml:space="preserve"> (5th ed.). Belmont, CA: Wadsworth/Thomson Learning.</w:t>
      </w:r>
    </w:p>
    <w:p w14:paraId="66DB1534" w14:textId="5BB50F7E" w:rsidR="00323311" w:rsidRDefault="00323311" w:rsidP="00261F8D">
      <w:pPr>
        <w:spacing w:before="120"/>
        <w:ind w:left="567" w:hanging="567"/>
        <w:jc w:val="both"/>
        <w:rPr>
          <w:rFonts w:ascii="Times New Roman" w:hAnsi="Times New Roman"/>
          <w:color w:val="000000" w:themeColor="text1"/>
          <w:sz w:val="21"/>
          <w:szCs w:val="21"/>
          <w:shd w:val="clear" w:color="auto" w:fill="FFFFFF"/>
          <w:lang w:val="en-ID"/>
        </w:rPr>
      </w:pPr>
      <w:proofErr w:type="spellStart"/>
      <w:r w:rsidRPr="00323311">
        <w:rPr>
          <w:rFonts w:ascii="Times New Roman" w:hAnsi="Times New Roman"/>
          <w:color w:val="000000" w:themeColor="text1"/>
          <w:sz w:val="24"/>
          <w:szCs w:val="24"/>
          <w:shd w:val="clear" w:color="auto" w:fill="FFFFFF"/>
          <w:lang w:val="en-ID"/>
        </w:rPr>
        <w:t>Gunersel</w:t>
      </w:r>
      <w:proofErr w:type="spellEnd"/>
      <w:r w:rsidRPr="00323311">
        <w:rPr>
          <w:rFonts w:ascii="Times New Roman" w:hAnsi="Times New Roman"/>
          <w:color w:val="000000" w:themeColor="text1"/>
          <w:sz w:val="24"/>
          <w:szCs w:val="24"/>
          <w:shd w:val="clear" w:color="auto" w:fill="FFFFFF"/>
          <w:lang w:val="en-ID"/>
        </w:rPr>
        <w:t>, A. B., Mason, B. A., Wills, H. P., Caldarella, P., Williams, L., &amp; Henley, V. M. (2023). Effective Classroom Management in Middle Level Schools: A Qualitative Study of Teacher Perceptions. </w:t>
      </w:r>
      <w:r w:rsidRPr="00323311">
        <w:rPr>
          <w:rFonts w:ascii="Times New Roman" w:hAnsi="Times New Roman"/>
          <w:i/>
          <w:iCs/>
          <w:color w:val="000000" w:themeColor="text1"/>
          <w:sz w:val="24"/>
          <w:szCs w:val="24"/>
          <w:shd w:val="clear" w:color="auto" w:fill="FFFFFF"/>
          <w:lang w:val="en-ID"/>
        </w:rPr>
        <w:t>RMLE Online</w:t>
      </w:r>
      <w:r w:rsidRPr="00323311">
        <w:rPr>
          <w:rFonts w:ascii="Times New Roman" w:hAnsi="Times New Roman"/>
          <w:color w:val="000000" w:themeColor="text1"/>
          <w:sz w:val="24"/>
          <w:szCs w:val="24"/>
          <w:shd w:val="clear" w:color="auto" w:fill="FFFFFF"/>
          <w:lang w:val="en-ID"/>
        </w:rPr>
        <w:t>, </w:t>
      </w:r>
      <w:r w:rsidRPr="00323311">
        <w:rPr>
          <w:rFonts w:ascii="Times New Roman" w:hAnsi="Times New Roman"/>
          <w:i/>
          <w:iCs/>
          <w:color w:val="000000" w:themeColor="text1"/>
          <w:sz w:val="24"/>
          <w:szCs w:val="24"/>
          <w:shd w:val="clear" w:color="auto" w:fill="FFFFFF"/>
          <w:lang w:val="en-ID"/>
        </w:rPr>
        <w:t>46</w:t>
      </w:r>
      <w:r w:rsidRPr="00323311">
        <w:rPr>
          <w:rFonts w:ascii="Times New Roman" w:hAnsi="Times New Roman"/>
          <w:color w:val="000000" w:themeColor="text1"/>
          <w:sz w:val="24"/>
          <w:szCs w:val="24"/>
          <w:shd w:val="clear" w:color="auto" w:fill="FFFFFF"/>
          <w:lang w:val="en-ID"/>
        </w:rPr>
        <w:t xml:space="preserve">(8), 1–13. </w:t>
      </w:r>
      <w:hyperlink r:id="rId21" w:history="1">
        <w:r w:rsidRPr="00323311">
          <w:rPr>
            <w:rStyle w:val="Hyperlink"/>
            <w:rFonts w:ascii="Times New Roman" w:hAnsi="Times New Roman"/>
            <w:sz w:val="24"/>
            <w:szCs w:val="24"/>
            <w:shd w:val="clear" w:color="auto" w:fill="FFFFFF"/>
            <w:lang w:val="en-ID"/>
          </w:rPr>
          <w:t>https://doi.org/10.1080/19404476.2023.2252714</w:t>
        </w:r>
      </w:hyperlink>
      <w:r>
        <w:rPr>
          <w:rFonts w:ascii="Times New Roman" w:hAnsi="Times New Roman"/>
          <w:color w:val="000000" w:themeColor="text1"/>
          <w:sz w:val="21"/>
          <w:szCs w:val="21"/>
          <w:shd w:val="clear" w:color="auto" w:fill="FFFFFF"/>
          <w:lang w:val="en-ID"/>
        </w:rPr>
        <w:t>.</w:t>
      </w:r>
    </w:p>
    <w:p w14:paraId="0DF3352E"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Hair, J. F., Black, W. C., Babin, B. J., &amp; Anderson, R. E. (2010). </w:t>
      </w:r>
      <w:r w:rsidRPr="00C038A2">
        <w:rPr>
          <w:rFonts w:ascii="Times New Roman" w:hAnsi="Times New Roman"/>
          <w:i/>
          <w:iCs/>
          <w:color w:val="000000" w:themeColor="text1"/>
          <w:sz w:val="24"/>
          <w:szCs w:val="24"/>
        </w:rPr>
        <w:t>Multivariate data analysis</w:t>
      </w:r>
      <w:r w:rsidRPr="00C038A2">
        <w:rPr>
          <w:rFonts w:ascii="Times New Roman" w:hAnsi="Times New Roman"/>
          <w:color w:val="000000" w:themeColor="text1"/>
          <w:sz w:val="24"/>
          <w:szCs w:val="24"/>
        </w:rPr>
        <w:t xml:space="preserve"> (7th ed.). Pearson.</w:t>
      </w:r>
    </w:p>
    <w:p w14:paraId="00941546" w14:textId="7249D869" w:rsidR="00D2239E" w:rsidRPr="00261F8D" w:rsidRDefault="00B002F3" w:rsidP="00C038A2">
      <w:pPr>
        <w:pStyle w:val="Body"/>
        <w:spacing w:before="120" w:after="0"/>
        <w:ind w:left="567" w:hanging="567"/>
      </w:pPr>
      <w:r w:rsidRPr="00C038A2">
        <w:rPr>
          <w:rFonts w:ascii="Times New Roman" w:hAnsi="Times New Roman"/>
          <w:color w:val="000000" w:themeColor="text1"/>
          <w:sz w:val="24"/>
          <w:szCs w:val="24"/>
        </w:rPr>
        <w:t xml:space="preserve">Hattie, J. (2005). The </w:t>
      </w:r>
      <w:r w:rsidR="00D2239E" w:rsidRPr="00C038A2">
        <w:rPr>
          <w:rFonts w:ascii="Times New Roman" w:hAnsi="Times New Roman"/>
          <w:color w:val="000000" w:themeColor="text1"/>
          <w:sz w:val="24"/>
          <w:szCs w:val="24"/>
        </w:rPr>
        <w:t xml:space="preserve">Paradox </w:t>
      </w:r>
      <w:proofErr w:type="gramStart"/>
      <w:r w:rsidR="00D2239E" w:rsidRPr="00C038A2">
        <w:rPr>
          <w:rFonts w:ascii="Times New Roman" w:hAnsi="Times New Roman"/>
          <w:color w:val="000000" w:themeColor="text1"/>
          <w:sz w:val="24"/>
          <w:szCs w:val="24"/>
        </w:rPr>
        <w:t>Of</w:t>
      </w:r>
      <w:proofErr w:type="gramEnd"/>
      <w:r w:rsidR="00D2239E" w:rsidRPr="00C038A2">
        <w:rPr>
          <w:rFonts w:ascii="Times New Roman" w:hAnsi="Times New Roman"/>
          <w:color w:val="000000" w:themeColor="text1"/>
          <w:sz w:val="24"/>
          <w:szCs w:val="24"/>
        </w:rPr>
        <w:t xml:space="preserve"> Reducing Class Size And Improving Learning Outcomes. </w:t>
      </w:r>
      <w:r w:rsidRPr="00C038A2">
        <w:rPr>
          <w:rFonts w:ascii="Times New Roman" w:hAnsi="Times New Roman"/>
          <w:i/>
          <w:iCs/>
          <w:color w:val="000000" w:themeColor="text1"/>
          <w:sz w:val="24"/>
          <w:szCs w:val="24"/>
        </w:rPr>
        <w:t>International Journal of Educational Research, 43</w:t>
      </w:r>
      <w:r w:rsidRPr="00C038A2">
        <w:rPr>
          <w:rFonts w:ascii="Times New Roman" w:hAnsi="Times New Roman"/>
          <w:color w:val="000000" w:themeColor="text1"/>
          <w:sz w:val="24"/>
          <w:szCs w:val="24"/>
        </w:rPr>
        <w:t>(6), 387–425.</w:t>
      </w:r>
      <w:r w:rsidR="00D2239E">
        <w:rPr>
          <w:rFonts w:ascii="Times New Roman" w:hAnsi="Times New Roman"/>
          <w:color w:val="000000" w:themeColor="text1"/>
          <w:sz w:val="24"/>
          <w:szCs w:val="24"/>
        </w:rPr>
        <w:t xml:space="preserve"> </w:t>
      </w:r>
      <w:hyperlink r:id="rId22" w:tgtFrame="_blank" w:tooltip="Persistent link using digital object identifier" w:history="1">
        <w:r w:rsidR="00D2239E">
          <w:rPr>
            <w:rStyle w:val="anchor-text"/>
            <w:rFonts w:ascii="Arial" w:hAnsi="Arial" w:cs="Arial"/>
            <w:color w:val="0272B1"/>
            <w:sz w:val="21"/>
            <w:szCs w:val="21"/>
          </w:rPr>
          <w:t>https://doi.org/10.1016/j.ijer.2006.07.002</w:t>
        </w:r>
      </w:hyperlink>
      <w:r w:rsidR="00D2239E">
        <w:t>.</w:t>
      </w:r>
    </w:p>
    <w:p w14:paraId="4E63C267"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Hattie, J. (2009). </w:t>
      </w:r>
      <w:r w:rsidRPr="00C038A2">
        <w:rPr>
          <w:rFonts w:ascii="Times New Roman" w:hAnsi="Times New Roman"/>
          <w:i/>
          <w:iCs/>
          <w:color w:val="000000" w:themeColor="text1"/>
          <w:sz w:val="24"/>
          <w:szCs w:val="24"/>
        </w:rPr>
        <w:t>Visible learning: A synthesis of over 800 meta-analyses relating to achievement</w:t>
      </w:r>
      <w:r w:rsidRPr="00C038A2">
        <w:rPr>
          <w:rFonts w:ascii="Times New Roman" w:hAnsi="Times New Roman"/>
          <w:color w:val="000000" w:themeColor="text1"/>
          <w:sz w:val="24"/>
          <w:szCs w:val="24"/>
        </w:rPr>
        <w:t>. London: Routledge.</w:t>
      </w:r>
    </w:p>
    <w:p w14:paraId="39FF9051" w14:textId="2A9EFE52" w:rsidR="00D2239E" w:rsidRPr="00D2239E" w:rsidRDefault="00B002F3" w:rsidP="00C038A2">
      <w:pPr>
        <w:pStyle w:val="Body"/>
        <w:spacing w:before="120" w:after="0"/>
        <w:ind w:left="567" w:hanging="567"/>
      </w:pPr>
      <w:r w:rsidRPr="00C038A2">
        <w:rPr>
          <w:rFonts w:ascii="Times New Roman" w:hAnsi="Times New Roman"/>
          <w:color w:val="000000" w:themeColor="text1"/>
          <w:sz w:val="24"/>
          <w:szCs w:val="24"/>
        </w:rPr>
        <w:t xml:space="preserve">Johnson, D. W., &amp; Johnson, R. T. (2009). An educational psychology success story: Social interdependence theory and cooperative learning. </w:t>
      </w:r>
      <w:r w:rsidRPr="00C038A2">
        <w:rPr>
          <w:rFonts w:ascii="Times New Roman" w:hAnsi="Times New Roman"/>
          <w:i/>
          <w:iCs/>
          <w:color w:val="000000" w:themeColor="text1"/>
          <w:sz w:val="24"/>
          <w:szCs w:val="24"/>
        </w:rPr>
        <w:t>Educational Researcher, 38</w:t>
      </w:r>
      <w:r w:rsidRPr="00C038A2">
        <w:rPr>
          <w:rFonts w:ascii="Times New Roman" w:hAnsi="Times New Roman"/>
          <w:color w:val="000000" w:themeColor="text1"/>
          <w:sz w:val="24"/>
          <w:szCs w:val="24"/>
        </w:rPr>
        <w:t xml:space="preserve">(5), 365–379. </w:t>
      </w:r>
      <w:hyperlink r:id="rId23" w:tgtFrame="_new" w:history="1">
        <w:r w:rsidRPr="00C038A2">
          <w:rPr>
            <w:rStyle w:val="Hyperlink"/>
            <w:rFonts w:ascii="Times New Roman" w:hAnsi="Times New Roman"/>
            <w:color w:val="000000" w:themeColor="text1"/>
            <w:sz w:val="24"/>
            <w:szCs w:val="24"/>
          </w:rPr>
          <w:t>https://doi.org/10.3102/0013189X09339057</w:t>
        </w:r>
      </w:hyperlink>
      <w:r w:rsidR="00D2239E">
        <w:t>.</w:t>
      </w:r>
    </w:p>
    <w:p w14:paraId="10F52BFA" w14:textId="411F6265" w:rsidR="00EC3466" w:rsidRPr="00C038A2" w:rsidRDefault="00EC3466"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Lynch, K., Gonzalez, K., Hill, H., &amp; Merritt, R. (2025). A Meta-Analysis of the Experimental Evidence Linking Mathematics and Science Professional Development Interventions to Teacher Knowledge, Classroom Instruction, and Student Achievement.</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AERA Open</w:t>
      </w:r>
      <w:r w:rsidRPr="00C038A2">
        <w:rPr>
          <w:rFonts w:ascii="Times New Roman" w:hAnsi="Times New Roman"/>
          <w:color w:val="000000" w:themeColor="text1"/>
          <w:sz w:val="24"/>
          <w:szCs w:val="24"/>
        </w:rPr>
        <w:t>,</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11</w:t>
      </w:r>
      <w:r w:rsidRPr="00C038A2">
        <w:rPr>
          <w:rFonts w:ascii="Times New Roman" w:hAnsi="Times New Roman"/>
          <w:color w:val="000000" w:themeColor="text1"/>
          <w:sz w:val="24"/>
          <w:szCs w:val="24"/>
        </w:rPr>
        <w:t xml:space="preserve">. </w:t>
      </w:r>
      <w:hyperlink r:id="rId24" w:history="1">
        <w:r w:rsidR="001D1C6C" w:rsidRPr="00C038A2">
          <w:rPr>
            <w:rStyle w:val="Hyperlink"/>
            <w:rFonts w:ascii="Times New Roman" w:hAnsi="Times New Roman"/>
            <w:sz w:val="24"/>
            <w:szCs w:val="24"/>
          </w:rPr>
          <w:t>https://doi.org/10.1177/23328584251335302</w:t>
        </w:r>
      </w:hyperlink>
    </w:p>
    <w:p w14:paraId="60BF31C4" w14:textId="2A5BCB8F" w:rsidR="00D2239E" w:rsidRPr="00D2239E" w:rsidRDefault="001D1C6C" w:rsidP="00C038A2">
      <w:pPr>
        <w:pStyle w:val="Body"/>
        <w:spacing w:before="120" w:after="0"/>
        <w:ind w:left="567" w:hanging="567"/>
        <w:rPr>
          <w:rFonts w:ascii="Times New Roman" w:hAnsi="Times New Roman"/>
          <w:color w:val="000000" w:themeColor="text1"/>
          <w:sz w:val="24"/>
          <w:szCs w:val="24"/>
          <w:shd w:val="clear" w:color="auto" w:fill="FFFFFF"/>
        </w:rPr>
      </w:pPr>
      <w:r w:rsidRPr="00323311">
        <w:rPr>
          <w:rFonts w:ascii="Times New Roman" w:hAnsi="Times New Roman"/>
          <w:color w:val="000000" w:themeColor="text1"/>
          <w:sz w:val="24"/>
          <w:szCs w:val="24"/>
          <w:shd w:val="clear" w:color="auto" w:fill="FFFFFF"/>
        </w:rPr>
        <w:t>Maryani, S., Lian, B., &amp; Rohana, R. (2021). The Effect of Teacher’s Professional and Social Competency on Student’s Learning Outcomes. </w:t>
      </w:r>
      <w:r w:rsidRPr="00323311">
        <w:rPr>
          <w:rFonts w:ascii="Times New Roman" w:hAnsi="Times New Roman"/>
          <w:i/>
          <w:iCs/>
          <w:color w:val="000000" w:themeColor="text1"/>
          <w:sz w:val="24"/>
          <w:szCs w:val="24"/>
          <w:shd w:val="clear" w:color="auto" w:fill="FFFFFF"/>
        </w:rPr>
        <w:t>Journal of Social Work and Science Education</w:t>
      </w:r>
      <w:r w:rsidRPr="00323311">
        <w:rPr>
          <w:rFonts w:ascii="Times New Roman" w:hAnsi="Times New Roman"/>
          <w:color w:val="000000" w:themeColor="text1"/>
          <w:sz w:val="24"/>
          <w:szCs w:val="24"/>
          <w:shd w:val="clear" w:color="auto" w:fill="FFFFFF"/>
        </w:rPr>
        <w:t>, </w:t>
      </w:r>
      <w:r w:rsidRPr="00323311">
        <w:rPr>
          <w:rFonts w:ascii="Times New Roman" w:hAnsi="Times New Roman"/>
          <w:i/>
          <w:iCs/>
          <w:color w:val="000000" w:themeColor="text1"/>
          <w:sz w:val="24"/>
          <w:szCs w:val="24"/>
          <w:shd w:val="clear" w:color="auto" w:fill="FFFFFF"/>
        </w:rPr>
        <w:t>2</w:t>
      </w:r>
      <w:r w:rsidRPr="00323311">
        <w:rPr>
          <w:rFonts w:ascii="Times New Roman" w:hAnsi="Times New Roman"/>
          <w:color w:val="000000" w:themeColor="text1"/>
          <w:sz w:val="24"/>
          <w:szCs w:val="24"/>
          <w:shd w:val="clear" w:color="auto" w:fill="FFFFFF"/>
        </w:rPr>
        <w:t>(1), 69–82. https://doi.org/10.52690/jswse.v2i1.208</w:t>
      </w:r>
      <w:r w:rsidR="00D2239E">
        <w:rPr>
          <w:rFonts w:ascii="Times New Roman" w:hAnsi="Times New Roman"/>
          <w:color w:val="000000" w:themeColor="text1"/>
          <w:sz w:val="24"/>
          <w:szCs w:val="24"/>
          <w:shd w:val="clear" w:color="auto" w:fill="FFFFFF"/>
        </w:rPr>
        <w:t>.</w:t>
      </w:r>
    </w:p>
    <w:p w14:paraId="2F639D4D" w14:textId="17B99ED3" w:rsidR="00D2239E" w:rsidRPr="00D2239E" w:rsidRDefault="00D2239E" w:rsidP="00C038A2">
      <w:pPr>
        <w:pStyle w:val="Body"/>
        <w:spacing w:before="120" w:after="0"/>
        <w:ind w:left="567" w:hanging="567"/>
        <w:rPr>
          <w:rFonts w:ascii="Times New Roman" w:hAnsi="Times New Roman"/>
          <w:color w:val="000000" w:themeColor="text1"/>
          <w:sz w:val="24"/>
          <w:szCs w:val="24"/>
        </w:rPr>
      </w:pPr>
      <w:r w:rsidRPr="00D2239E">
        <w:rPr>
          <w:rFonts w:ascii="Times New Roman" w:hAnsi="Times New Roman"/>
          <w:sz w:val="24"/>
          <w:szCs w:val="24"/>
        </w:rPr>
        <w:lastRenderedPageBreak/>
        <w:t xml:space="preserve">Mishra, P., &amp; Koehler, M. J. (2006). Technological Pedagogical Content Knowledge: A Framework for Teacher Knowledge. </w:t>
      </w:r>
      <w:r w:rsidRPr="00D2239E">
        <w:rPr>
          <w:rFonts w:ascii="Times New Roman" w:hAnsi="Times New Roman"/>
          <w:i/>
          <w:iCs/>
          <w:sz w:val="24"/>
          <w:szCs w:val="24"/>
        </w:rPr>
        <w:t>Teachers College Record</w:t>
      </w:r>
      <w:r w:rsidRPr="00D2239E">
        <w:rPr>
          <w:rFonts w:ascii="Times New Roman" w:hAnsi="Times New Roman"/>
          <w:sz w:val="24"/>
          <w:szCs w:val="24"/>
        </w:rPr>
        <w:t xml:space="preserve">, </w:t>
      </w:r>
      <w:r w:rsidRPr="00D2239E">
        <w:rPr>
          <w:rFonts w:ascii="Times New Roman" w:hAnsi="Times New Roman"/>
          <w:i/>
          <w:iCs/>
          <w:sz w:val="24"/>
          <w:szCs w:val="24"/>
        </w:rPr>
        <w:t>108</w:t>
      </w:r>
      <w:r w:rsidRPr="00D2239E">
        <w:rPr>
          <w:rFonts w:ascii="Times New Roman" w:hAnsi="Times New Roman"/>
          <w:sz w:val="24"/>
          <w:szCs w:val="24"/>
        </w:rPr>
        <w:t xml:space="preserve">(6), 1017-1054. </w:t>
      </w:r>
      <w:hyperlink r:id="rId25" w:history="1">
        <w:r w:rsidRPr="00D2239E">
          <w:rPr>
            <w:rStyle w:val="Hyperlink"/>
            <w:rFonts w:ascii="Times New Roman" w:hAnsi="Times New Roman"/>
            <w:sz w:val="24"/>
            <w:szCs w:val="24"/>
          </w:rPr>
          <w:t>https://doi.org/10.1111/j.1467-9620.2006.00684.x</w:t>
        </w:r>
      </w:hyperlink>
      <w:r w:rsidRPr="00D2239E">
        <w:rPr>
          <w:rFonts w:ascii="Times New Roman" w:hAnsi="Times New Roman"/>
          <w:sz w:val="24"/>
          <w:szCs w:val="24"/>
        </w:rPr>
        <w:t xml:space="preserve"> (Original work published 2006)</w:t>
      </w:r>
    </w:p>
    <w:p w14:paraId="45A564D4" w14:textId="6A865665" w:rsidR="00A036BC" w:rsidRPr="00A036BC" w:rsidRDefault="00A036BC" w:rsidP="00C038A2">
      <w:pPr>
        <w:pStyle w:val="Body"/>
        <w:spacing w:before="120" w:after="0"/>
        <w:ind w:left="567" w:hanging="567"/>
        <w:rPr>
          <w:rFonts w:ascii="Times New Roman" w:hAnsi="Times New Roman"/>
          <w:color w:val="000000" w:themeColor="text1"/>
          <w:sz w:val="24"/>
          <w:szCs w:val="24"/>
        </w:rPr>
      </w:pPr>
      <w:r w:rsidRPr="00A036BC">
        <w:rPr>
          <w:rFonts w:ascii="Times New Roman" w:hAnsi="Times New Roman"/>
          <w:color w:val="333333"/>
          <w:sz w:val="24"/>
          <w:szCs w:val="24"/>
          <w:shd w:val="clear" w:color="auto" w:fill="FFFFFF"/>
        </w:rPr>
        <w:t>Mosteller, F. (1995). The Tennessee study of class size in the early school grades. </w:t>
      </w:r>
      <w:r w:rsidRPr="00A036BC">
        <w:rPr>
          <w:rStyle w:val="Emphasis"/>
          <w:rFonts w:ascii="Times New Roman" w:hAnsi="Times New Roman"/>
          <w:color w:val="333333"/>
          <w:sz w:val="24"/>
          <w:szCs w:val="24"/>
          <w:shd w:val="clear" w:color="auto" w:fill="FFFFFF"/>
        </w:rPr>
        <w:t>The Future of Children, 5</w:t>
      </w:r>
      <w:r w:rsidRPr="00A036BC">
        <w:rPr>
          <w:rFonts w:ascii="Times New Roman" w:hAnsi="Times New Roman"/>
          <w:color w:val="333333"/>
          <w:sz w:val="24"/>
          <w:szCs w:val="24"/>
          <w:shd w:val="clear" w:color="auto" w:fill="FFFFFF"/>
        </w:rPr>
        <w:t>(2), 113–127. </w:t>
      </w:r>
      <w:hyperlink r:id="rId26" w:tgtFrame="_blank" w:history="1">
        <w:r w:rsidRPr="00A036BC">
          <w:rPr>
            <w:rStyle w:val="Hyperlink"/>
            <w:rFonts w:ascii="Times New Roman" w:hAnsi="Times New Roman"/>
            <w:color w:val="2C72B7"/>
            <w:sz w:val="24"/>
            <w:szCs w:val="24"/>
            <w:shd w:val="clear" w:color="auto" w:fill="FFFFFF"/>
          </w:rPr>
          <w:t>https://doi.org/10.2307/1602360</w:t>
        </w:r>
      </w:hyperlink>
    </w:p>
    <w:p w14:paraId="2E973E58"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OECD. (2019). </w:t>
      </w:r>
      <w:r w:rsidRPr="00C038A2">
        <w:rPr>
          <w:rFonts w:ascii="Times New Roman" w:hAnsi="Times New Roman"/>
          <w:i/>
          <w:iCs/>
          <w:color w:val="000000" w:themeColor="text1"/>
          <w:sz w:val="24"/>
          <w:szCs w:val="24"/>
        </w:rPr>
        <w:t>PISA 2018 results (Volume I): What students know and can do</w:t>
      </w:r>
      <w:r w:rsidRPr="00C038A2">
        <w:rPr>
          <w:rFonts w:ascii="Times New Roman" w:hAnsi="Times New Roman"/>
          <w:color w:val="000000" w:themeColor="text1"/>
          <w:sz w:val="24"/>
          <w:szCs w:val="24"/>
        </w:rPr>
        <w:t>. OECD Publishing.</w:t>
      </w:r>
    </w:p>
    <w:p w14:paraId="1D4CEE6C" w14:textId="20CE7B94" w:rsidR="00D155C7" w:rsidRDefault="00D155C7" w:rsidP="00C038A2">
      <w:pPr>
        <w:spacing w:before="120"/>
        <w:ind w:left="567" w:hanging="567"/>
        <w:jc w:val="both"/>
        <w:rPr>
          <w:rFonts w:ascii="Times New Roman" w:hAnsi="Times New Roman"/>
          <w:color w:val="000000" w:themeColor="text1"/>
          <w:sz w:val="24"/>
          <w:szCs w:val="24"/>
          <w:shd w:val="clear" w:color="auto" w:fill="FFFFFF"/>
          <w:lang w:val="en-ID"/>
        </w:rPr>
      </w:pPr>
      <w:r w:rsidRPr="00B84BE8">
        <w:rPr>
          <w:rFonts w:ascii="Times New Roman" w:hAnsi="Times New Roman"/>
          <w:color w:val="000000" w:themeColor="text1"/>
          <w:sz w:val="24"/>
          <w:szCs w:val="24"/>
          <w:shd w:val="clear" w:color="auto" w:fill="FFFFFF"/>
          <w:lang w:val="en-ID"/>
        </w:rPr>
        <w:t xml:space="preserve">Owan, V. J., Ekpenyong, J. A., </w:t>
      </w:r>
      <w:proofErr w:type="spellStart"/>
      <w:r w:rsidRPr="00B84BE8">
        <w:rPr>
          <w:rFonts w:ascii="Times New Roman" w:hAnsi="Times New Roman"/>
          <w:color w:val="000000" w:themeColor="text1"/>
          <w:sz w:val="24"/>
          <w:szCs w:val="24"/>
          <w:shd w:val="clear" w:color="auto" w:fill="FFFFFF"/>
          <w:lang w:val="en-ID"/>
        </w:rPr>
        <w:t>Chuktu</w:t>
      </w:r>
      <w:proofErr w:type="spellEnd"/>
      <w:r w:rsidRPr="00B84BE8">
        <w:rPr>
          <w:rFonts w:ascii="Times New Roman" w:hAnsi="Times New Roman"/>
          <w:color w:val="000000" w:themeColor="text1"/>
          <w:sz w:val="24"/>
          <w:szCs w:val="24"/>
          <w:shd w:val="clear" w:color="auto" w:fill="FFFFFF"/>
          <w:lang w:val="en-ID"/>
        </w:rPr>
        <w:t>, O., Asuquo, M. E., Ogar, J. O., Owan, M. V., &amp; Okon, S. (2022). Innate ability, health, motivation, and social capital as predictors of students’ cognitive, affective and psychomotor learning outcomes in secondary schools. </w:t>
      </w:r>
      <w:r w:rsidRPr="00B84BE8">
        <w:rPr>
          <w:rFonts w:ascii="Times New Roman" w:hAnsi="Times New Roman"/>
          <w:i/>
          <w:iCs/>
          <w:color w:val="000000" w:themeColor="text1"/>
          <w:sz w:val="24"/>
          <w:szCs w:val="24"/>
          <w:shd w:val="clear" w:color="auto" w:fill="FFFFFF"/>
          <w:lang w:val="en-ID"/>
        </w:rPr>
        <w:t>Frontiers in Psychology</w:t>
      </w:r>
      <w:r w:rsidRPr="00B84BE8">
        <w:rPr>
          <w:rFonts w:ascii="Times New Roman" w:hAnsi="Times New Roman"/>
          <w:color w:val="000000" w:themeColor="text1"/>
          <w:sz w:val="24"/>
          <w:szCs w:val="24"/>
          <w:shd w:val="clear" w:color="auto" w:fill="FFFFFF"/>
          <w:lang w:val="en-ID"/>
        </w:rPr>
        <w:t>, </w:t>
      </w:r>
      <w:r w:rsidRPr="00B84BE8">
        <w:rPr>
          <w:rFonts w:ascii="Times New Roman" w:hAnsi="Times New Roman"/>
          <w:i/>
          <w:iCs/>
          <w:color w:val="000000" w:themeColor="text1"/>
          <w:sz w:val="24"/>
          <w:szCs w:val="24"/>
          <w:shd w:val="clear" w:color="auto" w:fill="FFFFFF"/>
          <w:lang w:val="en-ID"/>
        </w:rPr>
        <w:t>13</w:t>
      </w:r>
      <w:r w:rsidRPr="00B84BE8">
        <w:rPr>
          <w:rFonts w:ascii="Times New Roman" w:hAnsi="Times New Roman"/>
          <w:color w:val="000000" w:themeColor="text1"/>
          <w:sz w:val="24"/>
          <w:szCs w:val="24"/>
          <w:shd w:val="clear" w:color="auto" w:fill="FFFFFF"/>
          <w:lang w:val="en-ID"/>
        </w:rPr>
        <w:t xml:space="preserve">. </w:t>
      </w:r>
      <w:hyperlink r:id="rId27" w:history="1">
        <w:r w:rsidR="00B84BE8" w:rsidRPr="00B84BE8">
          <w:rPr>
            <w:rStyle w:val="Hyperlink"/>
            <w:rFonts w:ascii="Times New Roman" w:hAnsi="Times New Roman"/>
            <w:sz w:val="24"/>
            <w:szCs w:val="24"/>
            <w:shd w:val="clear" w:color="auto" w:fill="FFFFFF"/>
            <w:lang w:val="en-ID"/>
          </w:rPr>
          <w:t>https://doi.org/10.3389/fpsyg.2022.1024017</w:t>
        </w:r>
      </w:hyperlink>
      <w:r w:rsidR="00B84BE8" w:rsidRPr="00B84BE8">
        <w:rPr>
          <w:rFonts w:ascii="Times New Roman" w:hAnsi="Times New Roman"/>
          <w:color w:val="000000" w:themeColor="text1"/>
          <w:sz w:val="24"/>
          <w:szCs w:val="24"/>
          <w:shd w:val="clear" w:color="auto" w:fill="FFFFFF"/>
          <w:lang w:val="en-ID"/>
        </w:rPr>
        <w:t>.</w:t>
      </w:r>
    </w:p>
    <w:p w14:paraId="685CEE9D" w14:textId="4793E446" w:rsidR="00425BEF" w:rsidRDefault="00425BEF" w:rsidP="00C038A2">
      <w:pPr>
        <w:shd w:val="clear" w:color="auto" w:fill="FFFFFF"/>
        <w:spacing w:before="120"/>
        <w:ind w:left="567" w:hanging="567"/>
        <w:jc w:val="both"/>
        <w:rPr>
          <w:rFonts w:ascii="Times New Roman" w:hAnsi="Times New Roman"/>
          <w:color w:val="000000" w:themeColor="text1"/>
          <w:sz w:val="24"/>
          <w:szCs w:val="24"/>
        </w:rPr>
      </w:pPr>
      <w:proofErr w:type="spellStart"/>
      <w:r w:rsidRPr="00C038A2">
        <w:rPr>
          <w:rFonts w:ascii="Times New Roman" w:hAnsi="Times New Roman"/>
          <w:color w:val="000000" w:themeColor="text1"/>
          <w:sz w:val="24"/>
          <w:szCs w:val="24"/>
        </w:rPr>
        <w:t>Rasmitadila</w:t>
      </w:r>
      <w:proofErr w:type="spellEnd"/>
      <w:r w:rsidRPr="00C038A2">
        <w:rPr>
          <w:rFonts w:ascii="Times New Roman" w:hAnsi="Times New Roman"/>
          <w:color w:val="000000" w:themeColor="text1"/>
          <w:sz w:val="24"/>
          <w:szCs w:val="24"/>
        </w:rPr>
        <w:t xml:space="preserve">, R., </w:t>
      </w:r>
      <w:proofErr w:type="spellStart"/>
      <w:r w:rsidRPr="00C038A2">
        <w:rPr>
          <w:rFonts w:ascii="Times New Roman" w:hAnsi="Times New Roman"/>
          <w:color w:val="000000" w:themeColor="text1"/>
          <w:sz w:val="24"/>
          <w:szCs w:val="24"/>
        </w:rPr>
        <w:t>Fitriyani</w:t>
      </w:r>
      <w:proofErr w:type="spellEnd"/>
      <w:r w:rsidRPr="00C038A2">
        <w:rPr>
          <w:rFonts w:ascii="Times New Roman" w:hAnsi="Times New Roman"/>
          <w:color w:val="000000" w:themeColor="text1"/>
          <w:sz w:val="24"/>
          <w:szCs w:val="24"/>
        </w:rPr>
        <w:t xml:space="preserve">, F., </w:t>
      </w:r>
      <w:proofErr w:type="spellStart"/>
      <w:r w:rsidRPr="00C038A2">
        <w:rPr>
          <w:rFonts w:ascii="Times New Roman" w:hAnsi="Times New Roman"/>
          <w:color w:val="000000" w:themeColor="text1"/>
          <w:sz w:val="24"/>
          <w:szCs w:val="24"/>
        </w:rPr>
        <w:t>Rachmadtullah</w:t>
      </w:r>
      <w:proofErr w:type="spellEnd"/>
      <w:r w:rsidRPr="00C038A2">
        <w:rPr>
          <w:rFonts w:ascii="Times New Roman" w:hAnsi="Times New Roman"/>
          <w:color w:val="000000" w:themeColor="text1"/>
          <w:sz w:val="24"/>
          <w:szCs w:val="24"/>
        </w:rPr>
        <w:t xml:space="preserve">, R., </w:t>
      </w:r>
      <w:proofErr w:type="spellStart"/>
      <w:r w:rsidRPr="00C038A2">
        <w:rPr>
          <w:rFonts w:ascii="Times New Roman" w:hAnsi="Times New Roman"/>
          <w:color w:val="000000" w:themeColor="text1"/>
          <w:sz w:val="24"/>
          <w:szCs w:val="24"/>
        </w:rPr>
        <w:t>Nurtanto</w:t>
      </w:r>
      <w:proofErr w:type="spellEnd"/>
      <w:r w:rsidRPr="00C038A2">
        <w:rPr>
          <w:rFonts w:ascii="Times New Roman" w:hAnsi="Times New Roman"/>
          <w:color w:val="000000" w:themeColor="text1"/>
          <w:sz w:val="24"/>
          <w:szCs w:val="24"/>
        </w:rPr>
        <w:t xml:space="preserve">, M., Samsudin, A., Zamzam, R., </w:t>
      </w:r>
      <w:proofErr w:type="spellStart"/>
      <w:r w:rsidRPr="00C038A2">
        <w:rPr>
          <w:rFonts w:ascii="Times New Roman" w:hAnsi="Times New Roman"/>
          <w:color w:val="000000" w:themeColor="text1"/>
          <w:sz w:val="24"/>
          <w:szCs w:val="24"/>
        </w:rPr>
        <w:t>Prasetyo</w:t>
      </w:r>
      <w:proofErr w:type="spellEnd"/>
      <w:r w:rsidRPr="00C038A2">
        <w:rPr>
          <w:rFonts w:ascii="Times New Roman" w:hAnsi="Times New Roman"/>
          <w:color w:val="000000" w:themeColor="text1"/>
          <w:sz w:val="24"/>
          <w:szCs w:val="24"/>
        </w:rPr>
        <w:t>, T., Sari, D. A., &amp; Humaira, M. A. (2024). Professional development for Indonesian elementary school teachers: Increased competency and sustainable teacher development programs. </w:t>
      </w:r>
      <w:r w:rsidRPr="00C038A2">
        <w:rPr>
          <w:rFonts w:ascii="Times New Roman" w:hAnsi="Times New Roman"/>
          <w:i/>
          <w:iCs/>
          <w:color w:val="000000" w:themeColor="text1"/>
          <w:sz w:val="24"/>
          <w:szCs w:val="24"/>
        </w:rPr>
        <w:t>F1000Research</w:t>
      </w:r>
      <w:r w:rsidRPr="00C038A2">
        <w:rPr>
          <w:rFonts w:ascii="Times New Roman" w:hAnsi="Times New Roman"/>
          <w:color w:val="000000" w:themeColor="text1"/>
          <w:sz w:val="24"/>
          <w:szCs w:val="24"/>
        </w:rPr>
        <w:t>, </w:t>
      </w:r>
      <w:r w:rsidRPr="00C038A2">
        <w:rPr>
          <w:rFonts w:ascii="Times New Roman" w:hAnsi="Times New Roman"/>
          <w:i/>
          <w:iCs/>
          <w:color w:val="000000" w:themeColor="text1"/>
          <w:sz w:val="24"/>
          <w:szCs w:val="24"/>
        </w:rPr>
        <w:t>13</w:t>
      </w:r>
      <w:r w:rsidRPr="00C038A2">
        <w:rPr>
          <w:rFonts w:ascii="Times New Roman" w:hAnsi="Times New Roman"/>
          <w:color w:val="000000" w:themeColor="text1"/>
          <w:sz w:val="24"/>
          <w:szCs w:val="24"/>
        </w:rPr>
        <w:t xml:space="preserve">, 1375. </w:t>
      </w:r>
      <w:hyperlink r:id="rId28" w:history="1">
        <w:r w:rsidR="00323311" w:rsidRPr="00844AF0">
          <w:rPr>
            <w:rStyle w:val="Hyperlink"/>
            <w:rFonts w:ascii="Times New Roman" w:hAnsi="Times New Roman"/>
            <w:sz w:val="24"/>
            <w:szCs w:val="24"/>
          </w:rPr>
          <w:t>https://doi.org/10.12688/f1000research.156946.1</w:t>
        </w:r>
      </w:hyperlink>
      <w:r w:rsidR="00323311">
        <w:rPr>
          <w:rFonts w:ascii="Times New Roman" w:hAnsi="Times New Roman"/>
          <w:color w:val="000000" w:themeColor="text1"/>
          <w:sz w:val="24"/>
          <w:szCs w:val="24"/>
        </w:rPr>
        <w:t>.</w:t>
      </w:r>
    </w:p>
    <w:p w14:paraId="4FDAB218" w14:textId="14ACE590" w:rsidR="00425BEF" w:rsidRDefault="00512038" w:rsidP="00C038A2">
      <w:pPr>
        <w:shd w:val="clear" w:color="auto" w:fill="FFFFFF"/>
        <w:spacing w:before="120"/>
        <w:ind w:left="567" w:hanging="567"/>
        <w:jc w:val="both"/>
        <w:rPr>
          <w:rFonts w:ascii="Times New Roman" w:hAnsi="Times New Roman"/>
          <w:color w:val="000000" w:themeColor="text1"/>
          <w:sz w:val="24"/>
          <w:szCs w:val="24"/>
          <w:lang w:val="en-ID"/>
        </w:rPr>
      </w:pPr>
      <w:r w:rsidRPr="00C038A2">
        <w:rPr>
          <w:rFonts w:ascii="Times New Roman" w:hAnsi="Times New Roman"/>
          <w:color w:val="000000" w:themeColor="text1"/>
          <w:sz w:val="24"/>
          <w:szCs w:val="24"/>
          <w:lang w:val="en-ID"/>
        </w:rPr>
        <w:t>Rawat, S., Sharma, M., Chatterjee Singh, N., &amp; Tiwari, S. (2023). The Digital Pedagogy Competence Scale (</w:t>
      </w:r>
      <w:proofErr w:type="spellStart"/>
      <w:r w:rsidRPr="00C038A2">
        <w:rPr>
          <w:rFonts w:ascii="Times New Roman" w:hAnsi="Times New Roman"/>
          <w:color w:val="000000" w:themeColor="text1"/>
          <w:sz w:val="24"/>
          <w:szCs w:val="24"/>
          <w:lang w:val="en-ID"/>
        </w:rPr>
        <w:t>DiPeCoS</w:t>
      </w:r>
      <w:proofErr w:type="spellEnd"/>
      <w:r w:rsidRPr="00C038A2">
        <w:rPr>
          <w:rFonts w:ascii="Times New Roman" w:hAnsi="Times New Roman"/>
          <w:color w:val="000000" w:themeColor="text1"/>
          <w:sz w:val="24"/>
          <w:szCs w:val="24"/>
          <w:lang w:val="en-ID"/>
        </w:rPr>
        <w:t>): development and validation. </w:t>
      </w:r>
      <w:r w:rsidRPr="00C038A2">
        <w:rPr>
          <w:rFonts w:ascii="Times New Roman" w:hAnsi="Times New Roman"/>
          <w:i/>
          <w:iCs/>
          <w:color w:val="000000" w:themeColor="text1"/>
          <w:sz w:val="24"/>
          <w:szCs w:val="24"/>
          <w:lang w:val="en-ID"/>
        </w:rPr>
        <w:t>Research and Practice in Technology Enhanced Learning</w:t>
      </w:r>
      <w:r w:rsidRPr="00C038A2">
        <w:rPr>
          <w:rFonts w:ascii="Times New Roman" w:hAnsi="Times New Roman"/>
          <w:color w:val="000000" w:themeColor="text1"/>
          <w:sz w:val="24"/>
          <w:szCs w:val="24"/>
          <w:lang w:val="en-ID"/>
        </w:rPr>
        <w:t>, </w:t>
      </w:r>
      <w:r w:rsidRPr="00C038A2">
        <w:rPr>
          <w:rFonts w:ascii="Times New Roman" w:hAnsi="Times New Roman"/>
          <w:i/>
          <w:iCs/>
          <w:color w:val="000000" w:themeColor="text1"/>
          <w:sz w:val="24"/>
          <w:szCs w:val="24"/>
          <w:lang w:val="en-ID"/>
        </w:rPr>
        <w:t>19</w:t>
      </w:r>
      <w:r w:rsidRPr="00C038A2">
        <w:rPr>
          <w:rFonts w:ascii="Times New Roman" w:hAnsi="Times New Roman"/>
          <w:color w:val="000000" w:themeColor="text1"/>
          <w:sz w:val="24"/>
          <w:szCs w:val="24"/>
          <w:lang w:val="en-ID"/>
        </w:rPr>
        <w:t xml:space="preserve">, 018. </w:t>
      </w:r>
      <w:hyperlink r:id="rId29" w:history="1">
        <w:r w:rsidR="00B84BE8" w:rsidRPr="00844AF0">
          <w:rPr>
            <w:rStyle w:val="Hyperlink"/>
            <w:rFonts w:ascii="Times New Roman" w:hAnsi="Times New Roman"/>
            <w:sz w:val="24"/>
            <w:szCs w:val="24"/>
            <w:lang w:val="en-ID"/>
          </w:rPr>
          <w:t>https://doi.org/10.58459/rptel.2024.19018</w:t>
        </w:r>
      </w:hyperlink>
      <w:r w:rsidR="00B84BE8">
        <w:rPr>
          <w:rFonts w:ascii="Times New Roman" w:hAnsi="Times New Roman"/>
          <w:color w:val="000000" w:themeColor="text1"/>
          <w:sz w:val="24"/>
          <w:szCs w:val="24"/>
          <w:lang w:val="en-ID"/>
        </w:rPr>
        <w:t>.</w:t>
      </w:r>
    </w:p>
    <w:p w14:paraId="53BA2BD2" w14:textId="77777777" w:rsidR="00B002F3" w:rsidRPr="00C038A2" w:rsidRDefault="00B002F3" w:rsidP="00C038A2">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Sekaran, U., &amp; Bougie, R. (2016). </w:t>
      </w:r>
      <w:r w:rsidRPr="00C038A2">
        <w:rPr>
          <w:rFonts w:ascii="Times New Roman" w:hAnsi="Times New Roman"/>
          <w:i/>
          <w:iCs/>
          <w:color w:val="000000" w:themeColor="text1"/>
          <w:sz w:val="24"/>
          <w:szCs w:val="24"/>
        </w:rPr>
        <w:t>Research methods for business: A skill-building approach</w:t>
      </w:r>
      <w:r w:rsidRPr="00C038A2">
        <w:rPr>
          <w:rFonts w:ascii="Times New Roman" w:hAnsi="Times New Roman"/>
          <w:color w:val="000000" w:themeColor="text1"/>
          <w:sz w:val="24"/>
          <w:szCs w:val="24"/>
        </w:rPr>
        <w:t xml:space="preserve"> (7th ed.). Wiley.</w:t>
      </w:r>
    </w:p>
    <w:p w14:paraId="543C6CB0" w14:textId="0CCE24E3" w:rsidR="00323311" w:rsidRPr="00C038A2" w:rsidRDefault="00323311" w:rsidP="00D2239E">
      <w:pPr>
        <w:pStyle w:val="Body"/>
        <w:spacing w:before="120" w:after="0"/>
        <w:ind w:left="567" w:hanging="567"/>
        <w:rPr>
          <w:rFonts w:ascii="Times New Roman" w:hAnsi="Times New Roman"/>
          <w:color w:val="000000" w:themeColor="text1"/>
          <w:sz w:val="24"/>
          <w:szCs w:val="24"/>
        </w:rPr>
      </w:pPr>
      <w:r w:rsidRPr="00894D94">
        <w:rPr>
          <w:rFonts w:ascii="Times New Roman" w:hAnsi="Times New Roman"/>
          <w:sz w:val="24"/>
          <w:szCs w:val="24"/>
        </w:rPr>
        <w:t xml:space="preserve">Shulman, L. S. (1987). Knowledge and teaching: Foundations of the new reform. Harvard Educational Review, 57(1), 1–22. </w:t>
      </w:r>
      <w:hyperlink r:id="rId30" w:tgtFrame="_blank" w:history="1">
        <w:r w:rsidRPr="00894D94">
          <w:rPr>
            <w:rStyle w:val="Hyperlink"/>
            <w:rFonts w:ascii="Times New Roman" w:hAnsi="Times New Roman"/>
            <w:color w:val="0952AB"/>
            <w:sz w:val="24"/>
            <w:szCs w:val="24"/>
            <w:bdr w:val="none" w:sz="0" w:space="0" w:color="auto" w:frame="1"/>
            <w:shd w:val="clear" w:color="auto" w:fill="FFFFFF"/>
          </w:rPr>
          <w:t>https://doi.org/10.17763/haer.57.1.j463w79r56455411</w:t>
        </w:r>
      </w:hyperlink>
      <w:r>
        <w:rPr>
          <w:rFonts w:ascii="Times New Roman" w:hAnsi="Times New Roman"/>
          <w:sz w:val="24"/>
          <w:szCs w:val="24"/>
        </w:rPr>
        <w:t>.</w:t>
      </w:r>
    </w:p>
    <w:p w14:paraId="3D56CF20" w14:textId="77777777" w:rsidR="00B002F3" w:rsidRPr="00C038A2" w:rsidRDefault="00B002F3" w:rsidP="00D2239E">
      <w:pPr>
        <w:pStyle w:val="Body"/>
        <w:spacing w:before="120" w:after="0"/>
        <w:ind w:left="567" w:hanging="567"/>
        <w:rPr>
          <w:rFonts w:ascii="Times New Roman" w:hAnsi="Times New Roman"/>
          <w:color w:val="000000" w:themeColor="text1"/>
          <w:sz w:val="24"/>
          <w:szCs w:val="24"/>
        </w:rPr>
      </w:pPr>
      <w:proofErr w:type="spellStart"/>
      <w:r w:rsidRPr="00C038A2">
        <w:rPr>
          <w:rFonts w:ascii="Times New Roman" w:hAnsi="Times New Roman"/>
          <w:color w:val="000000" w:themeColor="text1"/>
          <w:sz w:val="24"/>
          <w:szCs w:val="24"/>
        </w:rPr>
        <w:t>Sugiyono</w:t>
      </w:r>
      <w:proofErr w:type="spellEnd"/>
      <w:r w:rsidRPr="00C038A2">
        <w:rPr>
          <w:rFonts w:ascii="Times New Roman" w:hAnsi="Times New Roman"/>
          <w:color w:val="000000" w:themeColor="text1"/>
          <w:sz w:val="24"/>
          <w:szCs w:val="24"/>
        </w:rPr>
        <w:t xml:space="preserve">. (2017). </w:t>
      </w:r>
      <w:r w:rsidRPr="00C038A2">
        <w:rPr>
          <w:rFonts w:ascii="Times New Roman" w:hAnsi="Times New Roman"/>
          <w:i/>
          <w:iCs/>
          <w:color w:val="000000" w:themeColor="text1"/>
          <w:sz w:val="24"/>
          <w:szCs w:val="24"/>
        </w:rPr>
        <w:t>Quantitative, qualitative, and R&amp;D research methods</w:t>
      </w:r>
      <w:r w:rsidRPr="00C038A2">
        <w:rPr>
          <w:rFonts w:ascii="Times New Roman" w:hAnsi="Times New Roman"/>
          <w:color w:val="000000" w:themeColor="text1"/>
          <w:sz w:val="24"/>
          <w:szCs w:val="24"/>
        </w:rPr>
        <w:t xml:space="preserve">. Bandung: </w:t>
      </w:r>
      <w:proofErr w:type="spellStart"/>
      <w:r w:rsidRPr="00C038A2">
        <w:rPr>
          <w:rFonts w:ascii="Times New Roman" w:hAnsi="Times New Roman"/>
          <w:color w:val="000000" w:themeColor="text1"/>
          <w:sz w:val="24"/>
          <w:szCs w:val="24"/>
        </w:rPr>
        <w:t>Alfabeta</w:t>
      </w:r>
      <w:proofErr w:type="spellEnd"/>
      <w:r w:rsidRPr="00C038A2">
        <w:rPr>
          <w:rFonts w:ascii="Times New Roman" w:hAnsi="Times New Roman"/>
          <w:color w:val="000000" w:themeColor="text1"/>
          <w:sz w:val="24"/>
          <w:szCs w:val="24"/>
        </w:rPr>
        <w:t>.</w:t>
      </w:r>
    </w:p>
    <w:p w14:paraId="0FEB28F3" w14:textId="77777777" w:rsidR="00B002F3" w:rsidRPr="00C038A2" w:rsidRDefault="00B002F3" w:rsidP="00D2239E">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Tabachnick, B. G., &amp; Fidell, L. S. (2007). </w:t>
      </w:r>
      <w:r w:rsidRPr="00C038A2">
        <w:rPr>
          <w:rFonts w:ascii="Times New Roman" w:hAnsi="Times New Roman"/>
          <w:i/>
          <w:iCs/>
          <w:color w:val="000000" w:themeColor="text1"/>
          <w:sz w:val="24"/>
          <w:szCs w:val="24"/>
        </w:rPr>
        <w:t>Using multivariate statistics</w:t>
      </w:r>
      <w:r w:rsidRPr="00C038A2">
        <w:rPr>
          <w:rFonts w:ascii="Times New Roman" w:hAnsi="Times New Roman"/>
          <w:color w:val="000000" w:themeColor="text1"/>
          <w:sz w:val="24"/>
          <w:szCs w:val="24"/>
        </w:rPr>
        <w:t xml:space="preserve"> (5th ed.). Pearson.</w:t>
      </w:r>
    </w:p>
    <w:p w14:paraId="4B8EBAE2" w14:textId="77777777" w:rsidR="00B002F3" w:rsidRPr="00C038A2" w:rsidRDefault="00B002F3" w:rsidP="00D2239E">
      <w:pPr>
        <w:pStyle w:val="Body"/>
        <w:spacing w:before="120" w:after="0"/>
        <w:ind w:left="567" w:hanging="567"/>
        <w:rPr>
          <w:rFonts w:ascii="Times New Roman" w:hAnsi="Times New Roman"/>
          <w:color w:val="000000" w:themeColor="text1"/>
          <w:sz w:val="24"/>
          <w:szCs w:val="24"/>
        </w:rPr>
      </w:pPr>
      <w:r w:rsidRPr="00C038A2">
        <w:rPr>
          <w:rFonts w:ascii="Times New Roman" w:hAnsi="Times New Roman"/>
          <w:color w:val="000000" w:themeColor="text1"/>
          <w:sz w:val="24"/>
          <w:szCs w:val="24"/>
        </w:rPr>
        <w:t xml:space="preserve">Vygotsky, L. S. (1978). </w:t>
      </w:r>
      <w:r w:rsidRPr="00C038A2">
        <w:rPr>
          <w:rFonts w:ascii="Times New Roman" w:hAnsi="Times New Roman"/>
          <w:i/>
          <w:iCs/>
          <w:color w:val="000000" w:themeColor="text1"/>
          <w:sz w:val="24"/>
          <w:szCs w:val="24"/>
        </w:rPr>
        <w:t>Mind in society: The development of higher psychological processes</w:t>
      </w:r>
      <w:r w:rsidRPr="00C038A2">
        <w:rPr>
          <w:rFonts w:ascii="Times New Roman" w:hAnsi="Times New Roman"/>
          <w:color w:val="000000" w:themeColor="text1"/>
          <w:sz w:val="24"/>
          <w:szCs w:val="24"/>
        </w:rPr>
        <w:t>. Harvard University Press.</w:t>
      </w:r>
    </w:p>
    <w:p w14:paraId="20AC84AE" w14:textId="156ABB97" w:rsidR="00323311" w:rsidRPr="00323311" w:rsidRDefault="00125DD2" w:rsidP="00D2239E">
      <w:pPr>
        <w:spacing w:before="120"/>
        <w:ind w:left="567" w:hanging="567"/>
        <w:jc w:val="both"/>
      </w:pPr>
      <w:r w:rsidRPr="00C038A2">
        <w:rPr>
          <w:rFonts w:ascii="Times New Roman" w:hAnsi="Times New Roman"/>
          <w:color w:val="000000" w:themeColor="text1"/>
          <w:sz w:val="24"/>
          <w:szCs w:val="24"/>
        </w:rPr>
        <w:t>Wang, L., &amp; Calvano, L. (2022). Class size, student behaviors and educational outcomes.</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Organization Management Journal</w:t>
      </w:r>
      <w:r w:rsidRPr="00C038A2">
        <w:rPr>
          <w:rFonts w:ascii="Times New Roman" w:hAnsi="Times New Roman"/>
          <w:color w:val="000000" w:themeColor="text1"/>
          <w:sz w:val="24"/>
          <w:szCs w:val="24"/>
        </w:rPr>
        <w:t>,</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19</w:t>
      </w:r>
      <w:r w:rsidRPr="00C038A2">
        <w:rPr>
          <w:rFonts w:ascii="Times New Roman" w:hAnsi="Times New Roman"/>
          <w:color w:val="000000" w:themeColor="text1"/>
          <w:sz w:val="24"/>
          <w:szCs w:val="24"/>
        </w:rPr>
        <w:t xml:space="preserve">(4), 126–142. </w:t>
      </w:r>
      <w:hyperlink r:id="rId31" w:history="1">
        <w:r w:rsidR="009E14EC" w:rsidRPr="00C038A2">
          <w:rPr>
            <w:rStyle w:val="Hyperlink"/>
            <w:rFonts w:ascii="Times New Roman" w:hAnsi="Times New Roman"/>
            <w:color w:val="000000" w:themeColor="text1"/>
            <w:sz w:val="24"/>
            <w:szCs w:val="24"/>
          </w:rPr>
          <w:t>https://doi.org/10.1108/omj-01-2021-1139</w:t>
        </w:r>
      </w:hyperlink>
      <w:r w:rsidR="00323311">
        <w:t>.</w:t>
      </w:r>
    </w:p>
    <w:p w14:paraId="7ADB74DE" w14:textId="3A81AF82" w:rsidR="00323311" w:rsidRPr="00323311" w:rsidRDefault="009E14EC" w:rsidP="00D2239E">
      <w:pPr>
        <w:spacing w:before="120"/>
        <w:ind w:left="567" w:hanging="567"/>
        <w:jc w:val="both"/>
      </w:pPr>
      <w:r w:rsidRPr="00C038A2">
        <w:rPr>
          <w:rFonts w:ascii="Times New Roman" w:hAnsi="Times New Roman"/>
          <w:color w:val="000000" w:themeColor="text1"/>
          <w:sz w:val="24"/>
          <w:szCs w:val="24"/>
        </w:rPr>
        <w:t xml:space="preserve">Yang, X., &amp; Kaiser, G. (2022). The impact of mathematics teachers’ professional competence on instructional quality and students’ mathematics learning </w:t>
      </w:r>
      <w:r w:rsidRPr="00C038A2">
        <w:rPr>
          <w:rFonts w:ascii="Times New Roman" w:hAnsi="Times New Roman"/>
          <w:color w:val="000000" w:themeColor="text1"/>
          <w:sz w:val="24"/>
          <w:szCs w:val="24"/>
        </w:rPr>
        <w:lastRenderedPageBreak/>
        <w:t>outcomes.</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Current Opinion in Behavioral Sciences</w:t>
      </w:r>
      <w:r w:rsidRPr="00C038A2">
        <w:rPr>
          <w:rFonts w:ascii="Times New Roman" w:hAnsi="Times New Roman"/>
          <w:color w:val="000000" w:themeColor="text1"/>
          <w:sz w:val="24"/>
          <w:szCs w:val="24"/>
        </w:rPr>
        <w:t>,</w:t>
      </w:r>
      <w:r w:rsidRPr="00C038A2">
        <w:rPr>
          <w:rStyle w:val="apple-converted-space"/>
          <w:rFonts w:ascii="Times New Roman" w:hAnsi="Times New Roman"/>
          <w:color w:val="000000" w:themeColor="text1"/>
          <w:sz w:val="24"/>
          <w:szCs w:val="24"/>
        </w:rPr>
        <w:t> </w:t>
      </w:r>
      <w:r w:rsidRPr="00C038A2">
        <w:rPr>
          <w:rFonts w:ascii="Times New Roman" w:hAnsi="Times New Roman"/>
          <w:i/>
          <w:iCs/>
          <w:color w:val="000000" w:themeColor="text1"/>
          <w:sz w:val="24"/>
          <w:szCs w:val="24"/>
        </w:rPr>
        <w:t>48</w:t>
      </w:r>
      <w:r w:rsidRPr="00C038A2">
        <w:rPr>
          <w:rFonts w:ascii="Times New Roman" w:hAnsi="Times New Roman"/>
          <w:color w:val="000000" w:themeColor="text1"/>
          <w:sz w:val="24"/>
          <w:szCs w:val="24"/>
        </w:rPr>
        <w:t xml:space="preserve">, 101225. </w:t>
      </w:r>
      <w:hyperlink r:id="rId32" w:history="1">
        <w:r w:rsidRPr="00C038A2">
          <w:rPr>
            <w:rStyle w:val="Hyperlink"/>
            <w:rFonts w:ascii="Times New Roman" w:hAnsi="Times New Roman"/>
            <w:color w:val="000000" w:themeColor="text1"/>
            <w:sz w:val="24"/>
            <w:szCs w:val="24"/>
          </w:rPr>
          <w:t>https://doi.org/10.1016/j.cobeha.2022.101225</w:t>
        </w:r>
      </w:hyperlink>
      <w:r w:rsidR="00323311">
        <w:t>.</w:t>
      </w:r>
    </w:p>
    <w:p w14:paraId="62C3D393" w14:textId="447DB59D" w:rsidR="00790ADA" w:rsidRDefault="00323311" w:rsidP="00D2239E">
      <w:pPr>
        <w:pStyle w:val="Body"/>
        <w:spacing w:before="120" w:after="0"/>
        <w:ind w:left="567" w:hanging="567"/>
        <w:rPr>
          <w:rFonts w:ascii="Times New Roman" w:hAnsi="Times New Roman"/>
          <w:color w:val="000000" w:themeColor="text1"/>
          <w:sz w:val="24"/>
          <w:szCs w:val="24"/>
        </w:rPr>
      </w:pPr>
      <w:proofErr w:type="spellStart"/>
      <w:r w:rsidRPr="00323311">
        <w:rPr>
          <w:rFonts w:ascii="Times New Roman" w:hAnsi="Times New Roman"/>
          <w:color w:val="000000" w:themeColor="text1"/>
          <w:sz w:val="24"/>
          <w:szCs w:val="24"/>
        </w:rPr>
        <w:t>Zyngier</w:t>
      </w:r>
      <w:proofErr w:type="spellEnd"/>
      <w:r w:rsidRPr="00323311">
        <w:rPr>
          <w:rFonts w:ascii="Times New Roman" w:hAnsi="Times New Roman"/>
          <w:color w:val="000000" w:themeColor="text1"/>
          <w:sz w:val="24"/>
          <w:szCs w:val="24"/>
        </w:rPr>
        <w:t xml:space="preserve">, D. (2014). Class size and academic results, with a focus on children from culturally, linguistically and economically disenfranchised communities. Evidence Base: A Journal of Evidence Reviews in Key Policy Areas, (1), 1–24. </w:t>
      </w:r>
      <w:hyperlink r:id="rId33" w:history="1">
        <w:r w:rsidRPr="00844AF0">
          <w:rPr>
            <w:rStyle w:val="Hyperlink"/>
            <w:rFonts w:ascii="Times New Roman" w:hAnsi="Times New Roman"/>
            <w:sz w:val="24"/>
            <w:szCs w:val="24"/>
          </w:rPr>
          <w:t>https://search.informit.org/doi/10.3316/informit.209080589114714</w:t>
        </w:r>
      </w:hyperlink>
      <w:r>
        <w:rPr>
          <w:rFonts w:ascii="Times New Roman" w:hAnsi="Times New Roman"/>
          <w:color w:val="000000" w:themeColor="text1"/>
          <w:sz w:val="24"/>
          <w:szCs w:val="24"/>
        </w:rPr>
        <w:t>.</w:t>
      </w:r>
    </w:p>
    <w:p w14:paraId="5B41CADF" w14:textId="77777777" w:rsidR="00323311" w:rsidRPr="00C038A2" w:rsidRDefault="00323311" w:rsidP="00D2239E">
      <w:pPr>
        <w:pStyle w:val="Body"/>
        <w:spacing w:before="120" w:after="0"/>
        <w:ind w:left="567" w:hanging="567"/>
        <w:rPr>
          <w:rFonts w:ascii="Times New Roman" w:hAnsi="Times New Roman"/>
          <w:color w:val="000000" w:themeColor="text1"/>
          <w:sz w:val="24"/>
          <w:szCs w:val="24"/>
        </w:rPr>
      </w:pPr>
    </w:p>
    <w:p w14:paraId="0D98998E" w14:textId="77777777" w:rsidR="00790ADA" w:rsidRPr="00C61AC1" w:rsidRDefault="00790ADA" w:rsidP="00D2239E">
      <w:pPr>
        <w:pStyle w:val="Body"/>
        <w:spacing w:before="120" w:after="0"/>
        <w:ind w:left="1276" w:hanging="567"/>
        <w:rPr>
          <w:rFonts w:ascii="Arial" w:hAnsi="Arial" w:cs="Arial"/>
        </w:rPr>
      </w:pPr>
    </w:p>
    <w:p w14:paraId="32478652" w14:textId="3B0A703D" w:rsidR="004D4277" w:rsidRPr="00C61AC1" w:rsidRDefault="004D4277" w:rsidP="00D2239E">
      <w:pPr>
        <w:pStyle w:val="Appendix"/>
        <w:spacing w:before="120" w:after="0"/>
        <w:ind w:left="1276" w:hanging="567"/>
        <w:jc w:val="both"/>
        <w:rPr>
          <w:rFonts w:ascii="Arial" w:hAnsi="Arial" w:cs="Arial"/>
          <w:b w:val="0"/>
          <w:sz w:val="20"/>
        </w:rPr>
        <w:sectPr w:rsidR="004D4277" w:rsidRPr="00C61AC1" w:rsidSect="00FA74BA">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7CF8D84B" w14:textId="77777777" w:rsidR="00B01FCD" w:rsidRPr="00C61AC1" w:rsidRDefault="00B01FCD" w:rsidP="00C61AC1">
      <w:pPr>
        <w:pStyle w:val="Appendix"/>
        <w:spacing w:before="120" w:after="0"/>
        <w:ind w:left="1276"/>
        <w:jc w:val="both"/>
        <w:rPr>
          <w:rFonts w:ascii="Arial" w:hAnsi="Arial" w:cs="Arial"/>
          <w:b w:val="0"/>
          <w:sz w:val="20"/>
        </w:rPr>
      </w:pPr>
    </w:p>
    <w:sectPr w:rsidR="00B01FCD" w:rsidRPr="00C61AC1" w:rsidSect="00FA74B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03A30" w14:textId="77777777" w:rsidR="00EC00E9" w:rsidRDefault="00EC00E9" w:rsidP="00C37E61">
      <w:r>
        <w:separator/>
      </w:r>
    </w:p>
  </w:endnote>
  <w:endnote w:type="continuationSeparator" w:id="0">
    <w:p w14:paraId="16CD680E" w14:textId="77777777" w:rsidR="00EC00E9" w:rsidRDefault="00EC00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03A95" w14:textId="77777777" w:rsidR="00FA74BA" w:rsidRDefault="00FA7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4C9A" w14:textId="77777777" w:rsidR="00FA74BA" w:rsidRDefault="00FA7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518A" w14:textId="77777777" w:rsidR="009E048A" w:rsidRDefault="009E048A">
    <w:pPr>
      <w:pStyle w:val="Footer"/>
      <w:rPr>
        <w:rFonts w:ascii="Arial" w:hAnsi="Arial" w:cs="Arial"/>
        <w:sz w:val="16"/>
      </w:rPr>
    </w:pPr>
  </w:p>
  <w:p w14:paraId="21E2FEA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C4F9573" w14:textId="77777777" w:rsidR="009E048A" w:rsidRDefault="009E048A">
    <w:pPr>
      <w:pStyle w:val="Footer"/>
      <w:rPr>
        <w:rFonts w:ascii="Arial" w:hAnsi="Arial" w:cs="Arial"/>
        <w:sz w:val="16"/>
      </w:rPr>
    </w:pPr>
  </w:p>
  <w:p w14:paraId="3425154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B03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2531B" w14:textId="77777777" w:rsidR="00EC00E9" w:rsidRDefault="00EC00E9" w:rsidP="00C37E61">
      <w:r>
        <w:separator/>
      </w:r>
    </w:p>
  </w:footnote>
  <w:footnote w:type="continuationSeparator" w:id="0">
    <w:p w14:paraId="7CEBFD5F" w14:textId="77777777" w:rsidR="00EC00E9" w:rsidRDefault="00EC00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829A1" w14:textId="4A7C9304" w:rsidR="00FA74BA" w:rsidRDefault="00EC00E9">
    <w:pPr>
      <w:pStyle w:val="Header"/>
    </w:pPr>
    <w:r>
      <w:rPr>
        <w:noProof/>
      </w:rPr>
      <w:pict w14:anchorId="4C433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4"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47CB8" w14:textId="6A271F39" w:rsidR="00FA74BA" w:rsidRDefault="00EC00E9">
    <w:pPr>
      <w:pStyle w:val="Header"/>
    </w:pPr>
    <w:r>
      <w:rPr>
        <w:noProof/>
      </w:rPr>
      <w:pict w14:anchorId="30D15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5"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C1F7" w14:textId="739FDA35" w:rsidR="00296529" w:rsidRPr="00296529" w:rsidRDefault="00EC00E9" w:rsidP="00296529">
    <w:pPr>
      <w:ind w:left="2160"/>
      <w:jc w:val="center"/>
      <w:rPr>
        <w:rFonts w:ascii="Times New Roman" w:eastAsia="Calibri" w:hAnsi="Times New Roman"/>
        <w:i/>
        <w:sz w:val="18"/>
        <w:szCs w:val="22"/>
      </w:rPr>
    </w:pPr>
    <w:r>
      <w:rPr>
        <w:noProof/>
      </w:rPr>
      <w:pict w14:anchorId="2260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3"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140F0D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63D58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034DB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C9819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7D7C1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0DAA9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8CBD" w14:textId="70973783" w:rsidR="00FA74BA" w:rsidRDefault="00EC00E9">
    <w:pPr>
      <w:pStyle w:val="Header"/>
    </w:pPr>
    <w:r>
      <w:rPr>
        <w:noProof/>
      </w:rPr>
      <w:pict w14:anchorId="60DBF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7"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D10F0" w14:textId="31CB3496" w:rsidR="00FA74BA" w:rsidRDefault="00EC00E9">
    <w:pPr>
      <w:pStyle w:val="Header"/>
    </w:pPr>
    <w:r>
      <w:rPr>
        <w:noProof/>
      </w:rPr>
      <w:pict w14:anchorId="61F5E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8"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48F70" w14:textId="7DFE9F90" w:rsidR="00FA74BA" w:rsidRDefault="00EC00E9">
    <w:pPr>
      <w:pStyle w:val="Header"/>
    </w:pPr>
    <w:r>
      <w:rPr>
        <w:noProof/>
      </w:rPr>
      <w:pict w14:anchorId="5967C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660846"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4229E"/>
    <w:multiLevelType w:val="hybridMultilevel"/>
    <w:tmpl w:val="59684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94175C"/>
    <w:multiLevelType w:val="hybridMultilevel"/>
    <w:tmpl w:val="B54CA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3D34A4A"/>
    <w:multiLevelType w:val="hybridMultilevel"/>
    <w:tmpl w:val="798675D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343DC6"/>
    <w:multiLevelType w:val="hybridMultilevel"/>
    <w:tmpl w:val="2C040386"/>
    <w:lvl w:ilvl="0" w:tplc="04090017">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43670717"/>
    <w:multiLevelType w:val="hybridMultilevel"/>
    <w:tmpl w:val="38D846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B73CC"/>
    <w:multiLevelType w:val="hybridMultilevel"/>
    <w:tmpl w:val="63CE51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9659B"/>
    <w:multiLevelType w:val="hybridMultilevel"/>
    <w:tmpl w:val="9AE25F9A"/>
    <w:lvl w:ilvl="0" w:tplc="7A3A6E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8"/>
  </w:num>
  <w:num w:numId="7">
    <w:abstractNumId w:val="2"/>
  </w:num>
  <w:num w:numId="8">
    <w:abstractNumId w:val="15"/>
  </w:num>
  <w:num w:numId="9">
    <w:abstractNumId w:val="31"/>
  </w:num>
  <w:num w:numId="10">
    <w:abstractNumId w:val="3"/>
  </w:num>
  <w:num w:numId="11">
    <w:abstractNumId w:val="24"/>
  </w:num>
  <w:num w:numId="12">
    <w:abstractNumId w:val="5"/>
  </w:num>
  <w:num w:numId="13">
    <w:abstractNumId w:val="23"/>
  </w:num>
  <w:num w:numId="14">
    <w:abstractNumId w:val="11"/>
  </w:num>
  <w:num w:numId="15">
    <w:abstractNumId w:val="27"/>
  </w:num>
  <w:num w:numId="16">
    <w:abstractNumId w:val="7"/>
  </w:num>
  <w:num w:numId="17">
    <w:abstractNumId w:val="28"/>
  </w:num>
  <w:num w:numId="18">
    <w:abstractNumId w:val="17"/>
  </w:num>
  <w:num w:numId="19">
    <w:abstractNumId w:val="35"/>
  </w:num>
  <w:num w:numId="20">
    <w:abstractNumId w:val="14"/>
  </w:num>
  <w:num w:numId="21">
    <w:abstractNumId w:val="12"/>
  </w:num>
  <w:num w:numId="22">
    <w:abstractNumId w:val="16"/>
  </w:num>
  <w:num w:numId="23">
    <w:abstractNumId w:val="25"/>
  </w:num>
  <w:num w:numId="24">
    <w:abstractNumId w:val="32"/>
  </w:num>
  <w:num w:numId="25">
    <w:abstractNumId w:val="6"/>
  </w:num>
  <w:num w:numId="26">
    <w:abstractNumId w:val="21"/>
  </w:num>
  <w:num w:numId="27">
    <w:abstractNumId w:val="26"/>
  </w:num>
  <w:num w:numId="28">
    <w:abstractNumId w:val="33"/>
  </w:num>
  <w:num w:numId="29">
    <w:abstractNumId w:val="30"/>
  </w:num>
  <w:num w:numId="30">
    <w:abstractNumId w:val="13"/>
  </w:num>
  <w:num w:numId="31">
    <w:abstractNumId w:val="4"/>
  </w:num>
  <w:num w:numId="32">
    <w:abstractNumId w:val="22"/>
  </w:num>
  <w:num w:numId="33">
    <w:abstractNumId w:val="34"/>
  </w:num>
  <w:num w:numId="34">
    <w:abstractNumId w:val="9"/>
  </w:num>
  <w:num w:numId="35">
    <w:abstractNumId w:val="18"/>
  </w:num>
  <w:num w:numId="36">
    <w:abstractNumId w:val="19"/>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52D"/>
    <w:rsid w:val="0004579C"/>
    <w:rsid w:val="00090E43"/>
    <w:rsid w:val="00091D43"/>
    <w:rsid w:val="00092FD3"/>
    <w:rsid w:val="000A47FA"/>
    <w:rsid w:val="000A65D3"/>
    <w:rsid w:val="000B1E33"/>
    <w:rsid w:val="000C11CD"/>
    <w:rsid w:val="000D689F"/>
    <w:rsid w:val="000E7B7B"/>
    <w:rsid w:val="000E7D62"/>
    <w:rsid w:val="00103357"/>
    <w:rsid w:val="001136C4"/>
    <w:rsid w:val="00123C9F"/>
    <w:rsid w:val="00125DD2"/>
    <w:rsid w:val="00126190"/>
    <w:rsid w:val="00130F17"/>
    <w:rsid w:val="001320BF"/>
    <w:rsid w:val="001626F4"/>
    <w:rsid w:val="00163BC4"/>
    <w:rsid w:val="00191062"/>
    <w:rsid w:val="00192B72"/>
    <w:rsid w:val="001963AA"/>
    <w:rsid w:val="001A29D8"/>
    <w:rsid w:val="001A5CAA"/>
    <w:rsid w:val="001B0427"/>
    <w:rsid w:val="001C3D51"/>
    <w:rsid w:val="001D1C6C"/>
    <w:rsid w:val="001D3A51"/>
    <w:rsid w:val="001E10D2"/>
    <w:rsid w:val="001E25B4"/>
    <w:rsid w:val="001E44FE"/>
    <w:rsid w:val="001E7653"/>
    <w:rsid w:val="00200595"/>
    <w:rsid w:val="0020193E"/>
    <w:rsid w:val="00204835"/>
    <w:rsid w:val="00231920"/>
    <w:rsid w:val="0023195C"/>
    <w:rsid w:val="0024282C"/>
    <w:rsid w:val="002460DC"/>
    <w:rsid w:val="00250985"/>
    <w:rsid w:val="002556F6"/>
    <w:rsid w:val="00261F8D"/>
    <w:rsid w:val="00283105"/>
    <w:rsid w:val="00284C4C"/>
    <w:rsid w:val="00287E68"/>
    <w:rsid w:val="00296529"/>
    <w:rsid w:val="002A7A8C"/>
    <w:rsid w:val="002B27FB"/>
    <w:rsid w:val="002B685A"/>
    <w:rsid w:val="002C5288"/>
    <w:rsid w:val="002C57D2"/>
    <w:rsid w:val="002E0D56"/>
    <w:rsid w:val="00315186"/>
    <w:rsid w:val="00323311"/>
    <w:rsid w:val="0033343E"/>
    <w:rsid w:val="003512C2"/>
    <w:rsid w:val="0035206D"/>
    <w:rsid w:val="003602D0"/>
    <w:rsid w:val="00371FB6"/>
    <w:rsid w:val="003763C1"/>
    <w:rsid w:val="00376BBE"/>
    <w:rsid w:val="0039224F"/>
    <w:rsid w:val="003A43A4"/>
    <w:rsid w:val="003A7E18"/>
    <w:rsid w:val="003C4C86"/>
    <w:rsid w:val="003C6258"/>
    <w:rsid w:val="003E2904"/>
    <w:rsid w:val="00401927"/>
    <w:rsid w:val="0041027F"/>
    <w:rsid w:val="00412475"/>
    <w:rsid w:val="00423789"/>
    <w:rsid w:val="00424EDC"/>
    <w:rsid w:val="00425BEF"/>
    <w:rsid w:val="0043235E"/>
    <w:rsid w:val="00440F43"/>
    <w:rsid w:val="00441B6F"/>
    <w:rsid w:val="00446221"/>
    <w:rsid w:val="00450E62"/>
    <w:rsid w:val="004539DB"/>
    <w:rsid w:val="00466742"/>
    <w:rsid w:val="00471A80"/>
    <w:rsid w:val="00485F47"/>
    <w:rsid w:val="004B693D"/>
    <w:rsid w:val="004D305E"/>
    <w:rsid w:val="004D4277"/>
    <w:rsid w:val="00502516"/>
    <w:rsid w:val="00505F06"/>
    <w:rsid w:val="00506828"/>
    <w:rsid w:val="00512038"/>
    <w:rsid w:val="0053056E"/>
    <w:rsid w:val="00554FDA"/>
    <w:rsid w:val="005C171A"/>
    <w:rsid w:val="005C784C"/>
    <w:rsid w:val="005D17F6"/>
    <w:rsid w:val="005E5539"/>
    <w:rsid w:val="00602BF5"/>
    <w:rsid w:val="00617FDD"/>
    <w:rsid w:val="00633614"/>
    <w:rsid w:val="00633F68"/>
    <w:rsid w:val="00634E5A"/>
    <w:rsid w:val="00636EB2"/>
    <w:rsid w:val="006375B8"/>
    <w:rsid w:val="0066510A"/>
    <w:rsid w:val="00673F9F"/>
    <w:rsid w:val="00686953"/>
    <w:rsid w:val="00687DEA"/>
    <w:rsid w:val="00687E67"/>
    <w:rsid w:val="006967F7"/>
    <w:rsid w:val="006A250C"/>
    <w:rsid w:val="006B21D3"/>
    <w:rsid w:val="006B57D0"/>
    <w:rsid w:val="006C6F8F"/>
    <w:rsid w:val="006D30FF"/>
    <w:rsid w:val="006D6940"/>
    <w:rsid w:val="006F11EC"/>
    <w:rsid w:val="0070082C"/>
    <w:rsid w:val="007369E6"/>
    <w:rsid w:val="007434C3"/>
    <w:rsid w:val="00746E59"/>
    <w:rsid w:val="00754C9A"/>
    <w:rsid w:val="0075599A"/>
    <w:rsid w:val="00761D52"/>
    <w:rsid w:val="0077749E"/>
    <w:rsid w:val="00790ADA"/>
    <w:rsid w:val="007929BA"/>
    <w:rsid w:val="007D2288"/>
    <w:rsid w:val="007E088F"/>
    <w:rsid w:val="007F015D"/>
    <w:rsid w:val="007F5725"/>
    <w:rsid w:val="007F7B32"/>
    <w:rsid w:val="00804BC2"/>
    <w:rsid w:val="0081431A"/>
    <w:rsid w:val="00822746"/>
    <w:rsid w:val="0083216F"/>
    <w:rsid w:val="00860000"/>
    <w:rsid w:val="00863BD3"/>
    <w:rsid w:val="008641ED"/>
    <w:rsid w:val="00866D66"/>
    <w:rsid w:val="008671C6"/>
    <w:rsid w:val="00873A19"/>
    <w:rsid w:val="00875803"/>
    <w:rsid w:val="00880EA7"/>
    <w:rsid w:val="008B459E"/>
    <w:rsid w:val="008C43CD"/>
    <w:rsid w:val="008E13AE"/>
    <w:rsid w:val="008E1506"/>
    <w:rsid w:val="008E710C"/>
    <w:rsid w:val="008F69D6"/>
    <w:rsid w:val="00902823"/>
    <w:rsid w:val="00912F5F"/>
    <w:rsid w:val="00915CA6"/>
    <w:rsid w:val="00927834"/>
    <w:rsid w:val="0093574C"/>
    <w:rsid w:val="009500A6"/>
    <w:rsid w:val="00957C18"/>
    <w:rsid w:val="009659BA"/>
    <w:rsid w:val="00983040"/>
    <w:rsid w:val="0098419D"/>
    <w:rsid w:val="009B3FB9"/>
    <w:rsid w:val="009C2465"/>
    <w:rsid w:val="009D35A0"/>
    <w:rsid w:val="009D7EB7"/>
    <w:rsid w:val="009E048A"/>
    <w:rsid w:val="009E08E9"/>
    <w:rsid w:val="009E14EC"/>
    <w:rsid w:val="009E3DB9"/>
    <w:rsid w:val="009E6E35"/>
    <w:rsid w:val="009F0EDA"/>
    <w:rsid w:val="00A036BC"/>
    <w:rsid w:val="00A03B96"/>
    <w:rsid w:val="00A05B19"/>
    <w:rsid w:val="00A1134E"/>
    <w:rsid w:val="00A24E7E"/>
    <w:rsid w:val="00A258C3"/>
    <w:rsid w:val="00A347C0"/>
    <w:rsid w:val="00A51431"/>
    <w:rsid w:val="00A539AD"/>
    <w:rsid w:val="00A94063"/>
    <w:rsid w:val="00AA6219"/>
    <w:rsid w:val="00AA74E0"/>
    <w:rsid w:val="00AB107E"/>
    <w:rsid w:val="00AB703F"/>
    <w:rsid w:val="00AC6BB8"/>
    <w:rsid w:val="00AE008F"/>
    <w:rsid w:val="00B002F3"/>
    <w:rsid w:val="00B01FCD"/>
    <w:rsid w:val="00B1776C"/>
    <w:rsid w:val="00B32F9F"/>
    <w:rsid w:val="00B52583"/>
    <w:rsid w:val="00B52896"/>
    <w:rsid w:val="00B84BE8"/>
    <w:rsid w:val="00B95236"/>
    <w:rsid w:val="00B96BD9"/>
    <w:rsid w:val="00BA1B01"/>
    <w:rsid w:val="00BA2641"/>
    <w:rsid w:val="00BB37AA"/>
    <w:rsid w:val="00BC53A0"/>
    <w:rsid w:val="00BE62AD"/>
    <w:rsid w:val="00BF121F"/>
    <w:rsid w:val="00BF1F80"/>
    <w:rsid w:val="00C038A2"/>
    <w:rsid w:val="00C166EF"/>
    <w:rsid w:val="00C17EB0"/>
    <w:rsid w:val="00C27F5F"/>
    <w:rsid w:val="00C30A0F"/>
    <w:rsid w:val="00C37E61"/>
    <w:rsid w:val="00C61AC1"/>
    <w:rsid w:val="00C70F1B"/>
    <w:rsid w:val="00C71A47"/>
    <w:rsid w:val="00C7464C"/>
    <w:rsid w:val="00C85588"/>
    <w:rsid w:val="00CD6755"/>
    <w:rsid w:val="00CD6856"/>
    <w:rsid w:val="00CE0089"/>
    <w:rsid w:val="00CE793C"/>
    <w:rsid w:val="00CF193C"/>
    <w:rsid w:val="00CF404C"/>
    <w:rsid w:val="00D02FC3"/>
    <w:rsid w:val="00D13F67"/>
    <w:rsid w:val="00D155C7"/>
    <w:rsid w:val="00D173F1"/>
    <w:rsid w:val="00D2239E"/>
    <w:rsid w:val="00D52E59"/>
    <w:rsid w:val="00D62CCF"/>
    <w:rsid w:val="00D74CB0"/>
    <w:rsid w:val="00D75E5C"/>
    <w:rsid w:val="00D8295D"/>
    <w:rsid w:val="00DA2CB0"/>
    <w:rsid w:val="00DA344D"/>
    <w:rsid w:val="00DC2A65"/>
    <w:rsid w:val="00DE15F0"/>
    <w:rsid w:val="00DE5663"/>
    <w:rsid w:val="00DE78AA"/>
    <w:rsid w:val="00E053D0"/>
    <w:rsid w:val="00E15994"/>
    <w:rsid w:val="00E3114E"/>
    <w:rsid w:val="00E3142E"/>
    <w:rsid w:val="00E31A70"/>
    <w:rsid w:val="00E35B02"/>
    <w:rsid w:val="00E53287"/>
    <w:rsid w:val="00E536C4"/>
    <w:rsid w:val="00E64BBE"/>
    <w:rsid w:val="00E66496"/>
    <w:rsid w:val="00E66B35"/>
    <w:rsid w:val="00E66E10"/>
    <w:rsid w:val="00E67519"/>
    <w:rsid w:val="00E769F6"/>
    <w:rsid w:val="00E8407C"/>
    <w:rsid w:val="00E84BE4"/>
    <w:rsid w:val="00E84F3C"/>
    <w:rsid w:val="00EA012C"/>
    <w:rsid w:val="00EC00E9"/>
    <w:rsid w:val="00EC3466"/>
    <w:rsid w:val="00EC6A55"/>
    <w:rsid w:val="00ED0288"/>
    <w:rsid w:val="00EE52CB"/>
    <w:rsid w:val="00EF581D"/>
    <w:rsid w:val="00EF7FD8"/>
    <w:rsid w:val="00F06F59"/>
    <w:rsid w:val="00F17988"/>
    <w:rsid w:val="00F469F0"/>
    <w:rsid w:val="00F53273"/>
    <w:rsid w:val="00F755E4"/>
    <w:rsid w:val="00F77D02"/>
    <w:rsid w:val="00F81BC0"/>
    <w:rsid w:val="00F9225F"/>
    <w:rsid w:val="00FA74B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4D9B8F1"/>
  <w15:docId w15:val="{9B9E713D-D327-454D-9265-DF89AE9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2F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90E43"/>
    <w:rPr>
      <w:rFonts w:ascii="Times New Roman" w:hAnsi="Times New Roman"/>
      <w:sz w:val="24"/>
      <w:szCs w:val="24"/>
    </w:rPr>
  </w:style>
  <w:style w:type="character" w:customStyle="1" w:styleId="Heading3Char">
    <w:name w:val="Heading 3 Char"/>
    <w:basedOn w:val="DefaultParagraphFont"/>
    <w:link w:val="Heading3"/>
    <w:semiHidden/>
    <w:rsid w:val="00912F5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12F5F"/>
    <w:rPr>
      <w:color w:val="605E5C"/>
      <w:shd w:val="clear" w:color="auto" w:fill="E1DFDD"/>
    </w:rPr>
  </w:style>
  <w:style w:type="character" w:customStyle="1" w:styleId="apple-converted-space">
    <w:name w:val="apple-converted-space"/>
    <w:basedOn w:val="DefaultParagraphFont"/>
    <w:rsid w:val="00125DD2"/>
  </w:style>
  <w:style w:type="paragraph" w:customStyle="1" w:styleId="c-bdnkfx">
    <w:name w:val="c-bdnkfx"/>
    <w:basedOn w:val="Normal"/>
    <w:rsid w:val="00512038"/>
    <w:pPr>
      <w:spacing w:before="100" w:beforeAutospacing="1" w:after="100" w:afterAutospacing="1"/>
    </w:pPr>
    <w:rPr>
      <w:rFonts w:ascii="Times New Roman" w:hAnsi="Times New Roman"/>
      <w:sz w:val="24"/>
      <w:szCs w:val="24"/>
      <w:lang w:val="en-ID"/>
    </w:rPr>
  </w:style>
  <w:style w:type="character" w:customStyle="1" w:styleId="anchor-text">
    <w:name w:val="anchor-text"/>
    <w:basedOn w:val="DefaultParagraphFont"/>
    <w:rsid w:val="00D22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learninstruc.2011.04.001" TargetMode="External"/><Relationship Id="rId26" Type="http://schemas.openxmlformats.org/officeDocument/2006/relationships/hyperlink" Target="https://psycnet.apa.org/doi/10.2307/1602360" TargetMode="External"/><Relationship Id="rId39" Type="http://schemas.openxmlformats.org/officeDocument/2006/relationships/theme" Target="theme/theme1.xml"/><Relationship Id="rId21" Type="http://schemas.openxmlformats.org/officeDocument/2006/relationships/hyperlink" Target="https://doi.org/10.1080/19404476.2023.2252714"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files.eric.ed.gov/fulltext/ED473405.pdf" TargetMode="External"/><Relationship Id="rId25" Type="http://schemas.openxmlformats.org/officeDocument/2006/relationships/hyperlink" Target="https://doi.org/10.1111/j.1467-9620.2006.00684.x" TargetMode="External"/><Relationship Id="rId33" Type="http://schemas.openxmlformats.org/officeDocument/2006/relationships/hyperlink" Target="https://search.informit.org/doi/10.3316/informit.209080589114714"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jarr/2022/v16i1030507" TargetMode="External"/><Relationship Id="rId20" Type="http://schemas.openxmlformats.org/officeDocument/2006/relationships/hyperlink" Target="https://doi.org/10.1177/0022487109348024" TargetMode="External"/><Relationship Id="rId29" Type="http://schemas.openxmlformats.org/officeDocument/2006/relationships/hyperlink" Target="https://doi.org/10.58459/rptel.2024.19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23328584251335302" TargetMode="External"/><Relationship Id="rId32" Type="http://schemas.openxmlformats.org/officeDocument/2006/relationships/hyperlink" Target="https://doi.org/10.1016/j.cobeha.2022.101225"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177/016146811912100605" TargetMode="External"/><Relationship Id="rId23" Type="http://schemas.openxmlformats.org/officeDocument/2006/relationships/hyperlink" Target="https://doi.org/10.3102/0013189X09339057" TargetMode="External"/><Relationship Id="rId28" Type="http://schemas.openxmlformats.org/officeDocument/2006/relationships/hyperlink" Target="https://doi.org/10.12688/f1000research.156946.1"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11/medu.14135" TargetMode="External"/><Relationship Id="rId31" Type="http://schemas.openxmlformats.org/officeDocument/2006/relationships/hyperlink" Target="https://doi.org/10.1108/omj-01-2021-11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1365480215612616" TargetMode="External"/><Relationship Id="rId22" Type="http://schemas.openxmlformats.org/officeDocument/2006/relationships/hyperlink" Target="https://doi.org/10.1016/j.ijer.2006.07.002" TargetMode="External"/><Relationship Id="rId27" Type="http://schemas.openxmlformats.org/officeDocument/2006/relationships/hyperlink" Target="https://doi.org/10.3389/fpsyg.2022.1024017" TargetMode="External"/><Relationship Id="rId30" Type="http://schemas.openxmlformats.org/officeDocument/2006/relationships/hyperlink" Target="https://doi.org/10.17763/haer.57.1.j463w79r56455411"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AD53-97E4-4854-ACCA-CAF942819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511</TotalTime>
  <Pages>12</Pages>
  <Words>4382</Words>
  <Characters>24982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29306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27</cp:revision>
  <cp:lastPrinted>1999-07-06T11:00:00Z</cp:lastPrinted>
  <dcterms:created xsi:type="dcterms:W3CDTF">2025-08-17T11:51:00Z</dcterms:created>
  <dcterms:modified xsi:type="dcterms:W3CDTF">2025-08-27T11:51:00Z</dcterms:modified>
</cp:coreProperties>
</file>