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C20F4" w14:textId="73AB82C0" w:rsidR="00821C84" w:rsidRPr="00017581" w:rsidRDefault="005D034E" w:rsidP="005D034E">
      <w:pPr>
        <w:spacing w:after="0" w:line="240" w:lineRule="auto"/>
        <w:jc w:val="right"/>
        <w:rPr>
          <w:rFonts w:ascii="Times New Roman" w:hAnsi="Times New Roman" w:cs="Times New Roman"/>
          <w:color w:val="000000" w:themeColor="text1"/>
          <w:sz w:val="36"/>
          <w:szCs w:val="36"/>
          <w:lang w:val="en-US"/>
        </w:rPr>
      </w:pPr>
      <w:r w:rsidRPr="00017581">
        <w:rPr>
          <w:rFonts w:ascii="Times New Roman" w:hAnsi="Times New Roman" w:cs="Times New Roman"/>
          <w:b/>
          <w:bCs/>
          <w:color w:val="000000" w:themeColor="text1"/>
          <w:sz w:val="36"/>
          <w:szCs w:val="36"/>
        </w:rPr>
        <w:t xml:space="preserve">Temporal Analysis Using GIS and Remote Sensing for Adaptive Forest Resource Management: A Human-Tiger Conflict Case Study from </w:t>
      </w:r>
      <w:proofErr w:type="spellStart"/>
      <w:r w:rsidRPr="00017581">
        <w:rPr>
          <w:rFonts w:ascii="Times New Roman" w:hAnsi="Times New Roman" w:cs="Times New Roman"/>
          <w:b/>
          <w:bCs/>
          <w:color w:val="000000" w:themeColor="text1"/>
          <w:sz w:val="36"/>
          <w:szCs w:val="36"/>
        </w:rPr>
        <w:t>Nagarahole</w:t>
      </w:r>
      <w:proofErr w:type="spellEnd"/>
      <w:r w:rsidRPr="00017581">
        <w:rPr>
          <w:rFonts w:ascii="Times New Roman" w:hAnsi="Times New Roman" w:cs="Times New Roman"/>
          <w:b/>
          <w:bCs/>
          <w:color w:val="000000" w:themeColor="text1"/>
          <w:sz w:val="36"/>
          <w:szCs w:val="36"/>
        </w:rPr>
        <w:t xml:space="preserve"> Tiger Reserve</w:t>
      </w:r>
    </w:p>
    <w:p w14:paraId="09C1CD81" w14:textId="77777777" w:rsidR="00017581" w:rsidRPr="00017581" w:rsidRDefault="00017581" w:rsidP="00B8007A">
      <w:pPr>
        <w:spacing w:after="0" w:line="240" w:lineRule="auto"/>
        <w:jc w:val="both"/>
        <w:rPr>
          <w:rFonts w:ascii="Arial" w:hAnsi="Arial" w:cs="Arial"/>
          <w:b/>
          <w:bCs/>
          <w:color w:val="000000" w:themeColor="text1"/>
        </w:rPr>
      </w:pPr>
    </w:p>
    <w:p w14:paraId="342C382F" w14:textId="77777777" w:rsidR="00821C84" w:rsidRPr="00017581" w:rsidRDefault="00821C84" w:rsidP="00B8007A">
      <w:pPr>
        <w:spacing w:after="0" w:line="240" w:lineRule="auto"/>
        <w:jc w:val="both"/>
        <w:rPr>
          <w:rFonts w:ascii="Arial" w:hAnsi="Arial" w:cs="Arial"/>
          <w:color w:val="000000" w:themeColor="text1"/>
        </w:rPr>
      </w:pPr>
    </w:p>
    <w:p w14:paraId="324D32FD" w14:textId="77777777" w:rsidR="00821C84" w:rsidRPr="00017581" w:rsidRDefault="00821C84" w:rsidP="00B8007A">
      <w:pPr>
        <w:spacing w:after="0" w:line="240" w:lineRule="auto"/>
        <w:jc w:val="both"/>
        <w:rPr>
          <w:rFonts w:ascii="Times New Roman" w:hAnsi="Times New Roman" w:cs="Times New Roman"/>
          <w:b/>
          <w:bCs/>
          <w:color w:val="000000" w:themeColor="text1"/>
          <w:sz w:val="28"/>
          <w:szCs w:val="28"/>
        </w:rPr>
      </w:pPr>
    </w:p>
    <w:p w14:paraId="2FD62C6F" w14:textId="6CE6DB9A" w:rsidR="00821C84" w:rsidRPr="00017581" w:rsidRDefault="00D7338C" w:rsidP="00B66557">
      <w:pPr>
        <w:spacing w:after="0" w:line="240" w:lineRule="auto"/>
        <w:rPr>
          <w:rFonts w:ascii="Arial" w:hAnsi="Arial" w:cs="Arial"/>
          <w:b/>
          <w:bCs/>
          <w:color w:val="000000" w:themeColor="text1"/>
        </w:rPr>
      </w:pPr>
      <w:r w:rsidRPr="00017581">
        <w:rPr>
          <w:rFonts w:ascii="Arial" w:hAnsi="Arial" w:cs="Arial"/>
          <w:b/>
          <w:bCs/>
          <w:color w:val="000000" w:themeColor="text1"/>
        </w:rPr>
        <w:t>ABSTRACT</w:t>
      </w:r>
    </w:p>
    <w:p w14:paraId="6995535B" w14:textId="77777777" w:rsidR="00797C15" w:rsidRPr="00797C15" w:rsidRDefault="00821C84" w:rsidP="00797C15">
      <w:pPr>
        <w:spacing w:after="0" w:line="240" w:lineRule="auto"/>
        <w:jc w:val="both"/>
        <w:rPr>
          <w:rFonts w:ascii="Arial" w:hAnsi="Arial" w:cs="Arial"/>
          <w:b/>
          <w:bCs/>
          <w:sz w:val="22"/>
          <w:szCs w:val="22"/>
        </w:rPr>
      </w:pPr>
      <w:r w:rsidRPr="00017581">
        <w:rPr>
          <w:rFonts w:ascii="Times New Roman" w:hAnsi="Times New Roman" w:cs="Times New Roman"/>
          <w:color w:val="000000" w:themeColor="text1"/>
          <w:sz w:val="28"/>
          <w:szCs w:val="28"/>
        </w:rPr>
        <w:br/>
      </w:r>
      <w:r w:rsidR="00797C15" w:rsidRPr="00797C15">
        <w:rPr>
          <w:rFonts w:ascii="Arial" w:hAnsi="Arial" w:cs="Arial"/>
          <w:b/>
          <w:bCs/>
          <w:sz w:val="22"/>
          <w:szCs w:val="22"/>
          <w:highlight w:val="yellow"/>
        </w:rPr>
        <w:t xml:space="preserve">Background: </w:t>
      </w:r>
      <w:r w:rsidR="00797C15" w:rsidRPr="00797C15">
        <w:rPr>
          <w:rFonts w:ascii="Arial" w:hAnsi="Arial" w:cs="Arial"/>
          <w:sz w:val="20"/>
          <w:szCs w:val="20"/>
          <w:highlight w:val="yellow"/>
        </w:rPr>
        <w:t>India supports ~70% of the world’s wild tigers, underscoring its conservation significance. Human-Tiger conflict, manifested through livestock depredation and retaliatory killings, is driven by habitat encroachment and inadequate livestock protection. Such conflicts impose severe economic costs on forest-adjacent communities and erode support for conservation</w:t>
      </w:r>
      <w:r w:rsidR="00797C15" w:rsidRPr="00797C15">
        <w:rPr>
          <w:rFonts w:ascii="Arial" w:hAnsi="Arial" w:cs="Arial"/>
          <w:sz w:val="20"/>
          <w:szCs w:val="20"/>
        </w:rPr>
        <w:t xml:space="preserve">. </w:t>
      </w:r>
    </w:p>
    <w:p w14:paraId="58052C10" w14:textId="77777777" w:rsidR="00797C15" w:rsidRDefault="00797C15" w:rsidP="00B8007A">
      <w:pPr>
        <w:spacing w:after="0" w:line="240" w:lineRule="auto"/>
        <w:jc w:val="both"/>
        <w:rPr>
          <w:rFonts w:ascii="Arial" w:hAnsi="Arial" w:cs="Arial"/>
          <w:b/>
          <w:bCs/>
          <w:color w:val="000000" w:themeColor="text1"/>
          <w:sz w:val="22"/>
          <w:szCs w:val="22"/>
        </w:rPr>
      </w:pPr>
    </w:p>
    <w:p w14:paraId="7A6EDDD1" w14:textId="77777777" w:rsidR="00797C15" w:rsidRDefault="00797C15" w:rsidP="00B8007A">
      <w:pPr>
        <w:spacing w:after="0" w:line="240" w:lineRule="auto"/>
        <w:jc w:val="both"/>
        <w:rPr>
          <w:rFonts w:ascii="Arial" w:hAnsi="Arial" w:cs="Arial"/>
          <w:b/>
          <w:bCs/>
          <w:color w:val="000000" w:themeColor="text1"/>
          <w:sz w:val="22"/>
          <w:szCs w:val="22"/>
        </w:rPr>
      </w:pPr>
    </w:p>
    <w:p w14:paraId="21DF1301" w14:textId="294941D2" w:rsidR="00842996" w:rsidRPr="00017581" w:rsidRDefault="00821C84" w:rsidP="00B8007A">
      <w:pPr>
        <w:spacing w:after="0" w:line="240" w:lineRule="auto"/>
        <w:jc w:val="both"/>
        <w:rPr>
          <w:rFonts w:ascii="Arial" w:hAnsi="Arial" w:cs="Arial"/>
          <w:color w:val="000000" w:themeColor="text1"/>
          <w:sz w:val="20"/>
          <w:szCs w:val="20"/>
        </w:rPr>
      </w:pPr>
      <w:r w:rsidRPr="00017581">
        <w:rPr>
          <w:rFonts w:ascii="Arial" w:hAnsi="Arial" w:cs="Arial"/>
          <w:b/>
          <w:bCs/>
          <w:color w:val="000000" w:themeColor="text1"/>
          <w:sz w:val="22"/>
          <w:szCs w:val="22"/>
        </w:rPr>
        <w:t>Aim:</w:t>
      </w:r>
      <w:r w:rsidRPr="00017581">
        <w:rPr>
          <w:rFonts w:ascii="Times New Roman" w:hAnsi="Times New Roman" w:cs="Times New Roman"/>
          <w:color w:val="000000" w:themeColor="text1"/>
        </w:rPr>
        <w:t> </w:t>
      </w:r>
      <w:r w:rsidRPr="00017581">
        <w:rPr>
          <w:rFonts w:ascii="Arial" w:hAnsi="Arial" w:cs="Arial"/>
          <w:color w:val="000000" w:themeColor="text1"/>
          <w:sz w:val="20"/>
          <w:szCs w:val="20"/>
        </w:rPr>
        <w:t xml:space="preserve">This study investigates the temporal patterns </w:t>
      </w:r>
      <w:r w:rsidR="002A0E1E" w:rsidRPr="00017581">
        <w:rPr>
          <w:rFonts w:ascii="Arial" w:hAnsi="Arial" w:cs="Arial"/>
          <w:color w:val="000000" w:themeColor="text1"/>
          <w:sz w:val="20"/>
          <w:szCs w:val="20"/>
        </w:rPr>
        <w:t xml:space="preserve">of </w:t>
      </w:r>
      <w:r w:rsidRPr="00017581">
        <w:rPr>
          <w:rFonts w:ascii="Arial" w:hAnsi="Arial" w:cs="Arial"/>
          <w:color w:val="000000" w:themeColor="text1"/>
          <w:sz w:val="20"/>
          <w:szCs w:val="20"/>
        </w:rPr>
        <w:t xml:space="preserve">human-tiger conflict </w:t>
      </w:r>
      <w:r w:rsidR="00EB5D49" w:rsidRPr="00017581">
        <w:rPr>
          <w:rFonts w:ascii="Arial" w:hAnsi="Arial" w:cs="Arial"/>
          <w:color w:val="000000" w:themeColor="text1"/>
          <w:sz w:val="20"/>
          <w:szCs w:val="20"/>
        </w:rPr>
        <w:t xml:space="preserve"> </w:t>
      </w:r>
      <w:r w:rsidRPr="00017581">
        <w:rPr>
          <w:rFonts w:ascii="Arial" w:hAnsi="Arial" w:cs="Arial"/>
          <w:color w:val="000000" w:themeColor="text1"/>
          <w:sz w:val="20"/>
          <w:szCs w:val="20"/>
        </w:rPr>
        <w:t xml:space="preserve"> in </w:t>
      </w:r>
      <w:proofErr w:type="spellStart"/>
      <w:r w:rsidRPr="00017581">
        <w:rPr>
          <w:rFonts w:ascii="Arial" w:hAnsi="Arial" w:cs="Arial"/>
          <w:color w:val="000000" w:themeColor="text1"/>
          <w:sz w:val="20"/>
          <w:szCs w:val="20"/>
        </w:rPr>
        <w:t>Nagarahole</w:t>
      </w:r>
      <w:proofErr w:type="spellEnd"/>
      <w:r w:rsidRPr="00017581">
        <w:rPr>
          <w:rFonts w:ascii="Arial" w:hAnsi="Arial" w:cs="Arial"/>
          <w:color w:val="000000" w:themeColor="text1"/>
          <w:sz w:val="20"/>
          <w:szCs w:val="20"/>
        </w:rPr>
        <w:t xml:space="preserve"> Tiger Reserve (NTR), India (2019–2023), focusing on </w:t>
      </w:r>
      <w:r w:rsidR="002A0E1E" w:rsidRPr="00017581">
        <w:rPr>
          <w:rFonts w:ascii="Arial" w:hAnsi="Arial" w:cs="Arial"/>
          <w:color w:val="000000" w:themeColor="text1"/>
          <w:sz w:val="20"/>
          <w:szCs w:val="20"/>
        </w:rPr>
        <w:t xml:space="preserve">allocation of forest department resources </w:t>
      </w:r>
      <w:r w:rsidRPr="00017581">
        <w:rPr>
          <w:rFonts w:ascii="Arial" w:hAnsi="Arial" w:cs="Arial"/>
          <w:color w:val="000000" w:themeColor="text1"/>
          <w:sz w:val="20"/>
          <w:szCs w:val="20"/>
        </w:rPr>
        <w:t xml:space="preserve">to </w:t>
      </w:r>
      <w:r w:rsidR="002A0E1E" w:rsidRPr="00017581">
        <w:rPr>
          <w:rFonts w:ascii="Arial" w:hAnsi="Arial" w:cs="Arial"/>
          <w:color w:val="000000" w:themeColor="text1"/>
          <w:sz w:val="20"/>
          <w:szCs w:val="20"/>
        </w:rPr>
        <w:t xml:space="preserve">reduce conflict with </w:t>
      </w:r>
      <w:r w:rsidRPr="00017581">
        <w:rPr>
          <w:rFonts w:ascii="Arial" w:hAnsi="Arial" w:cs="Arial"/>
          <w:color w:val="000000" w:themeColor="text1"/>
          <w:sz w:val="20"/>
          <w:szCs w:val="20"/>
        </w:rPr>
        <w:t>inform</w:t>
      </w:r>
      <w:r w:rsidR="002A0E1E" w:rsidRPr="00017581">
        <w:rPr>
          <w:rFonts w:ascii="Arial" w:hAnsi="Arial" w:cs="Arial"/>
          <w:color w:val="000000" w:themeColor="text1"/>
          <w:sz w:val="20"/>
          <w:szCs w:val="20"/>
        </w:rPr>
        <w:t>ed</w:t>
      </w:r>
      <w:r w:rsidRPr="00017581">
        <w:rPr>
          <w:rFonts w:ascii="Arial" w:hAnsi="Arial" w:cs="Arial"/>
          <w:color w:val="000000" w:themeColor="text1"/>
          <w:sz w:val="20"/>
          <w:szCs w:val="20"/>
        </w:rPr>
        <w:t xml:space="preserve"> targeted mitigation strategies.</w:t>
      </w:r>
    </w:p>
    <w:p w14:paraId="4DC4C392" w14:textId="77777777" w:rsidR="00842996" w:rsidRPr="00017581" w:rsidRDefault="00842996" w:rsidP="00B8007A">
      <w:pPr>
        <w:spacing w:after="0" w:line="240" w:lineRule="auto"/>
        <w:jc w:val="both"/>
        <w:rPr>
          <w:rFonts w:ascii="Times New Roman" w:hAnsi="Times New Roman" w:cs="Times New Roman"/>
          <w:color w:val="000000" w:themeColor="text1"/>
        </w:rPr>
      </w:pPr>
    </w:p>
    <w:p w14:paraId="491A03C7" w14:textId="77777777" w:rsidR="00842996" w:rsidRPr="00017581" w:rsidRDefault="00842996" w:rsidP="00842996">
      <w:pPr>
        <w:spacing w:after="0" w:line="240" w:lineRule="auto"/>
        <w:rPr>
          <w:rFonts w:ascii="Arial" w:hAnsi="Arial" w:cs="Arial"/>
          <w:color w:val="000000" w:themeColor="text1"/>
          <w:sz w:val="20"/>
          <w:szCs w:val="20"/>
        </w:rPr>
      </w:pPr>
      <w:r w:rsidRPr="00017581">
        <w:rPr>
          <w:rFonts w:ascii="Arial" w:hAnsi="Arial" w:cs="Arial"/>
          <w:b/>
          <w:bCs/>
          <w:color w:val="000000" w:themeColor="text1"/>
          <w:sz w:val="22"/>
          <w:szCs w:val="22"/>
        </w:rPr>
        <w:t>Study design:</w:t>
      </w:r>
      <w:r w:rsidRPr="00017581">
        <w:rPr>
          <w:rFonts w:ascii="Times New Roman" w:hAnsi="Times New Roman" w:cs="Times New Roman"/>
          <w:color w:val="000000" w:themeColor="text1"/>
        </w:rPr>
        <w:t xml:space="preserve">  </w:t>
      </w:r>
      <w:r w:rsidRPr="00017581">
        <w:rPr>
          <w:rFonts w:ascii="Arial" w:hAnsi="Arial" w:cs="Arial"/>
          <w:color w:val="000000" w:themeColor="text1"/>
          <w:sz w:val="20"/>
          <w:szCs w:val="20"/>
        </w:rPr>
        <w:t>Longitudinal Observational Study.</w:t>
      </w:r>
    </w:p>
    <w:p w14:paraId="2744AF70" w14:textId="77777777" w:rsidR="00842996" w:rsidRPr="00017581" w:rsidRDefault="00842996" w:rsidP="00842996">
      <w:pPr>
        <w:spacing w:after="0" w:line="240" w:lineRule="auto"/>
        <w:rPr>
          <w:rFonts w:ascii="Times New Roman" w:hAnsi="Times New Roman" w:cs="Times New Roman"/>
          <w:color w:val="000000" w:themeColor="text1"/>
        </w:rPr>
      </w:pPr>
    </w:p>
    <w:p w14:paraId="4C1CD36D" w14:textId="3A9DE776" w:rsidR="00821C84" w:rsidRPr="00017581" w:rsidRDefault="00842996" w:rsidP="00842996">
      <w:pPr>
        <w:spacing w:after="0" w:line="240" w:lineRule="auto"/>
        <w:rPr>
          <w:rFonts w:ascii="Times New Roman" w:hAnsi="Times New Roman" w:cs="Times New Roman"/>
          <w:b/>
          <w:bCs/>
          <w:color w:val="000000" w:themeColor="text1"/>
        </w:rPr>
      </w:pPr>
      <w:r w:rsidRPr="00017581">
        <w:rPr>
          <w:rFonts w:ascii="Arial" w:hAnsi="Arial" w:cs="Arial"/>
          <w:b/>
          <w:bCs/>
          <w:color w:val="000000" w:themeColor="text1"/>
          <w:sz w:val="22"/>
          <w:szCs w:val="22"/>
        </w:rPr>
        <w:t>Place and Duration of Study</w:t>
      </w:r>
      <w:r w:rsidRPr="00017581">
        <w:rPr>
          <w:rFonts w:ascii="Arial" w:hAnsi="Arial" w:cs="Arial"/>
          <w:color w:val="000000" w:themeColor="text1"/>
          <w:sz w:val="20"/>
          <w:szCs w:val="20"/>
        </w:rPr>
        <w:t>: NTR, Karnataka India</w:t>
      </w:r>
      <w:r w:rsidR="00D7338C" w:rsidRPr="00017581">
        <w:rPr>
          <w:rFonts w:ascii="Arial" w:hAnsi="Arial" w:cs="Arial"/>
          <w:color w:val="000000" w:themeColor="text1"/>
          <w:sz w:val="20"/>
          <w:szCs w:val="20"/>
        </w:rPr>
        <w:t>; 5 years (2019–2023)</w:t>
      </w:r>
      <w:r w:rsidRPr="00017581">
        <w:rPr>
          <w:rFonts w:ascii="Arial" w:hAnsi="Arial" w:cs="Arial"/>
          <w:color w:val="000000" w:themeColor="text1"/>
          <w:sz w:val="20"/>
          <w:szCs w:val="20"/>
        </w:rPr>
        <w:t>.</w:t>
      </w:r>
      <w:r w:rsidR="00821C84" w:rsidRPr="00017581">
        <w:rPr>
          <w:rFonts w:ascii="Times New Roman" w:hAnsi="Times New Roman" w:cs="Times New Roman"/>
          <w:color w:val="000000" w:themeColor="text1"/>
        </w:rPr>
        <w:br/>
      </w:r>
    </w:p>
    <w:p w14:paraId="40C41C3D" w14:textId="4E791535" w:rsidR="00821C84" w:rsidRPr="00017581" w:rsidRDefault="00821C84" w:rsidP="00B8007A">
      <w:pPr>
        <w:spacing w:after="0" w:line="240" w:lineRule="auto"/>
        <w:jc w:val="both"/>
        <w:rPr>
          <w:rFonts w:ascii="Times New Roman" w:hAnsi="Times New Roman" w:cs="Times New Roman"/>
          <w:b/>
          <w:bCs/>
          <w:color w:val="000000" w:themeColor="text1"/>
        </w:rPr>
      </w:pPr>
      <w:r w:rsidRPr="00017581">
        <w:rPr>
          <w:rFonts w:ascii="Times New Roman" w:hAnsi="Times New Roman" w:cs="Times New Roman"/>
          <w:b/>
          <w:bCs/>
          <w:color w:val="000000" w:themeColor="text1"/>
        </w:rPr>
        <w:t>Methodology:</w:t>
      </w:r>
      <w:r w:rsidRPr="00017581">
        <w:rPr>
          <w:rFonts w:ascii="Times New Roman" w:hAnsi="Times New Roman" w:cs="Times New Roman"/>
          <w:color w:val="000000" w:themeColor="text1"/>
        </w:rPr>
        <w:t> </w:t>
      </w:r>
      <w:r w:rsidRPr="00017581">
        <w:rPr>
          <w:rFonts w:ascii="Arial" w:hAnsi="Arial" w:cs="Arial"/>
          <w:color w:val="000000" w:themeColor="text1"/>
          <w:sz w:val="20"/>
          <w:szCs w:val="20"/>
        </w:rPr>
        <w:t xml:space="preserve">We </w:t>
      </w:r>
      <w:proofErr w:type="spellStart"/>
      <w:r w:rsidRPr="00017581">
        <w:rPr>
          <w:rFonts w:ascii="Arial" w:hAnsi="Arial" w:cs="Arial"/>
          <w:color w:val="000000" w:themeColor="text1"/>
          <w:sz w:val="20"/>
          <w:szCs w:val="20"/>
        </w:rPr>
        <w:t>analyzed</w:t>
      </w:r>
      <w:proofErr w:type="spellEnd"/>
      <w:r w:rsidRPr="00017581">
        <w:rPr>
          <w:rFonts w:ascii="Arial" w:hAnsi="Arial" w:cs="Arial"/>
          <w:color w:val="000000" w:themeColor="text1"/>
          <w:sz w:val="20"/>
          <w:szCs w:val="20"/>
        </w:rPr>
        <w:t xml:space="preserve"> 210 verified livestock predation incidents using </w:t>
      </w:r>
      <w:r w:rsidR="00FF393F" w:rsidRPr="00017581">
        <w:rPr>
          <w:rFonts w:ascii="Arial" w:hAnsi="Arial" w:cs="Arial"/>
          <w:color w:val="000000" w:themeColor="text1"/>
          <w:sz w:val="20"/>
          <w:szCs w:val="20"/>
        </w:rPr>
        <w:t>Geographic Information System (</w:t>
      </w:r>
      <w:r w:rsidRPr="00017581">
        <w:rPr>
          <w:rFonts w:ascii="Arial" w:hAnsi="Arial" w:cs="Arial"/>
          <w:color w:val="000000" w:themeColor="text1"/>
          <w:sz w:val="20"/>
          <w:szCs w:val="20"/>
        </w:rPr>
        <w:t>GIS</w:t>
      </w:r>
      <w:r w:rsidR="00FF393F" w:rsidRPr="00017581">
        <w:rPr>
          <w:rFonts w:ascii="Arial" w:hAnsi="Arial" w:cs="Arial"/>
          <w:color w:val="000000" w:themeColor="text1"/>
          <w:sz w:val="20"/>
          <w:szCs w:val="20"/>
        </w:rPr>
        <w:t>)</w:t>
      </w:r>
      <w:r w:rsidRPr="00017581">
        <w:rPr>
          <w:rFonts w:ascii="Arial" w:hAnsi="Arial" w:cs="Arial"/>
          <w:color w:val="000000" w:themeColor="text1"/>
          <w:sz w:val="20"/>
          <w:szCs w:val="20"/>
        </w:rPr>
        <w:t xml:space="preserve"> mapping and conducted household surveys across 57 buffer-zone villages. </w:t>
      </w:r>
      <w:r w:rsidRPr="00017581">
        <w:rPr>
          <w:rFonts w:ascii="Arial" w:hAnsi="Arial" w:cs="Arial"/>
          <w:color w:val="000000" w:themeColor="text1"/>
          <w:sz w:val="20"/>
          <w:szCs w:val="20"/>
        </w:rPr>
        <w:br/>
      </w:r>
    </w:p>
    <w:p w14:paraId="3D9A85B5" w14:textId="2EDCD143" w:rsidR="00821C84" w:rsidRPr="00017581" w:rsidRDefault="00821C84" w:rsidP="00B8007A">
      <w:pPr>
        <w:spacing w:after="0" w:line="240" w:lineRule="auto"/>
        <w:jc w:val="both"/>
        <w:rPr>
          <w:rFonts w:ascii="Arial" w:hAnsi="Arial" w:cs="Arial"/>
          <w:color w:val="000000" w:themeColor="text1"/>
          <w:sz w:val="20"/>
          <w:szCs w:val="20"/>
        </w:rPr>
      </w:pPr>
      <w:r w:rsidRPr="00017581">
        <w:rPr>
          <w:rFonts w:ascii="Arial" w:hAnsi="Arial" w:cs="Arial"/>
          <w:b/>
          <w:bCs/>
          <w:color w:val="000000" w:themeColor="text1"/>
          <w:sz w:val="22"/>
          <w:szCs w:val="22"/>
        </w:rPr>
        <w:t>Results:</w:t>
      </w:r>
      <w:r w:rsidRPr="00017581">
        <w:rPr>
          <w:rFonts w:ascii="Times New Roman" w:hAnsi="Times New Roman" w:cs="Times New Roman"/>
          <w:color w:val="000000" w:themeColor="text1"/>
        </w:rPr>
        <w:t> </w:t>
      </w:r>
      <w:r w:rsidR="00797C15" w:rsidRPr="00797C15">
        <w:rPr>
          <w:rFonts w:ascii="Arial" w:hAnsi="Arial" w:cs="Arial"/>
          <w:color w:val="000000" w:themeColor="text1"/>
          <w:sz w:val="20"/>
          <w:szCs w:val="20"/>
        </w:rPr>
        <w:t xml:space="preserve">Geospatial analysis identified </w:t>
      </w:r>
      <w:proofErr w:type="spellStart"/>
      <w:r w:rsidR="00797C15" w:rsidRPr="00797C15">
        <w:rPr>
          <w:rFonts w:ascii="Arial" w:hAnsi="Arial" w:cs="Arial"/>
          <w:color w:val="000000" w:themeColor="text1"/>
          <w:sz w:val="20"/>
          <w:szCs w:val="20"/>
        </w:rPr>
        <w:t>Anechowkur</w:t>
      </w:r>
      <w:proofErr w:type="spellEnd"/>
      <w:r w:rsidR="00797C15" w:rsidRPr="00797C15">
        <w:rPr>
          <w:rFonts w:ascii="Arial" w:hAnsi="Arial" w:cs="Arial"/>
          <w:color w:val="000000" w:themeColor="text1"/>
          <w:sz w:val="20"/>
          <w:szCs w:val="20"/>
        </w:rPr>
        <w:t xml:space="preserve"> (40.95% of incidents) and </w:t>
      </w:r>
      <w:proofErr w:type="spellStart"/>
      <w:r w:rsidR="00797C15" w:rsidRPr="00797C15">
        <w:rPr>
          <w:rFonts w:ascii="Arial" w:hAnsi="Arial" w:cs="Arial"/>
          <w:color w:val="000000" w:themeColor="text1"/>
          <w:sz w:val="20"/>
          <w:szCs w:val="20"/>
        </w:rPr>
        <w:t>Veeranahosalli</w:t>
      </w:r>
      <w:proofErr w:type="spellEnd"/>
      <w:r w:rsidR="00797C15" w:rsidRPr="00797C15">
        <w:rPr>
          <w:rFonts w:ascii="Arial" w:hAnsi="Arial" w:cs="Arial"/>
          <w:color w:val="000000" w:themeColor="text1"/>
          <w:sz w:val="20"/>
          <w:szCs w:val="20"/>
        </w:rPr>
        <w:t xml:space="preserve"> (16.67%) as primary conflict epicentres, with secondary clustering in </w:t>
      </w:r>
      <w:proofErr w:type="spellStart"/>
      <w:r w:rsidR="00797C15" w:rsidRPr="00797C15">
        <w:rPr>
          <w:rFonts w:ascii="Arial" w:hAnsi="Arial" w:cs="Arial"/>
          <w:color w:val="000000" w:themeColor="text1"/>
          <w:sz w:val="20"/>
          <w:szCs w:val="20"/>
        </w:rPr>
        <w:t>Hunsur</w:t>
      </w:r>
      <w:proofErr w:type="spellEnd"/>
      <w:r w:rsidR="00797C15" w:rsidRPr="00797C15">
        <w:rPr>
          <w:rFonts w:ascii="Arial" w:hAnsi="Arial" w:cs="Arial"/>
          <w:color w:val="000000" w:themeColor="text1"/>
          <w:sz w:val="20"/>
          <w:szCs w:val="20"/>
        </w:rPr>
        <w:t xml:space="preserve"> (11.43%) collectively representing 69.05% of all livestock predation events</w:t>
      </w:r>
      <w:r w:rsidRPr="00017581">
        <w:rPr>
          <w:rFonts w:ascii="Arial" w:hAnsi="Arial" w:cs="Arial"/>
          <w:color w:val="000000" w:themeColor="text1"/>
          <w:sz w:val="20"/>
          <w:szCs w:val="20"/>
        </w:rPr>
        <w:t xml:space="preserve">. Temporal analysis revealed peak conflict in January–March (76 incidents) and September (34 incidents), with lowest rates during monsoon (June: 9 incidents). </w:t>
      </w:r>
      <w:r w:rsidR="00797C15" w:rsidRPr="00797C15">
        <w:rPr>
          <w:rFonts w:ascii="Arial" w:hAnsi="Arial" w:cs="Arial"/>
          <w:color w:val="000000" w:themeColor="text1"/>
          <w:sz w:val="20"/>
          <w:szCs w:val="20"/>
        </w:rPr>
        <w:t xml:space="preserve">It was also observed that temporal data-guided forest staff/resource deployment in </w:t>
      </w:r>
      <w:proofErr w:type="spellStart"/>
      <w:r w:rsidR="00797C15" w:rsidRPr="00797C15">
        <w:rPr>
          <w:rFonts w:ascii="Arial" w:hAnsi="Arial" w:cs="Arial"/>
          <w:color w:val="000000" w:themeColor="text1"/>
          <w:sz w:val="20"/>
          <w:szCs w:val="20"/>
        </w:rPr>
        <w:t>Anechowkur</w:t>
      </w:r>
      <w:proofErr w:type="spellEnd"/>
      <w:r w:rsidR="00797C15" w:rsidRPr="00797C15">
        <w:rPr>
          <w:rFonts w:ascii="Arial" w:hAnsi="Arial" w:cs="Arial"/>
          <w:color w:val="000000" w:themeColor="text1"/>
          <w:sz w:val="20"/>
          <w:szCs w:val="20"/>
        </w:rPr>
        <w:t xml:space="preserve"> and </w:t>
      </w:r>
      <w:proofErr w:type="spellStart"/>
      <w:r w:rsidR="00797C15" w:rsidRPr="00797C15">
        <w:rPr>
          <w:rFonts w:ascii="Arial" w:hAnsi="Arial" w:cs="Arial"/>
          <w:color w:val="000000" w:themeColor="text1"/>
          <w:sz w:val="20"/>
          <w:szCs w:val="20"/>
        </w:rPr>
        <w:t>Veeranahosalli</w:t>
      </w:r>
      <w:proofErr w:type="spellEnd"/>
      <w:r w:rsidR="00797C15" w:rsidRPr="00797C15">
        <w:rPr>
          <w:rFonts w:ascii="Arial" w:hAnsi="Arial" w:cs="Arial"/>
          <w:color w:val="000000" w:themeColor="text1"/>
          <w:sz w:val="20"/>
          <w:szCs w:val="20"/>
        </w:rPr>
        <w:t xml:space="preserve"> yielded a reduction in livestock predation during high-risk months (January to March) in 2022 and 2023.</w:t>
      </w:r>
    </w:p>
    <w:p w14:paraId="4CA4BD1D" w14:textId="127D4507" w:rsidR="002A0E1E" w:rsidRPr="00017581" w:rsidRDefault="00821C84" w:rsidP="00B8007A">
      <w:pPr>
        <w:spacing w:after="0" w:line="240" w:lineRule="auto"/>
        <w:jc w:val="both"/>
        <w:rPr>
          <w:rFonts w:ascii="Arial" w:hAnsi="Arial" w:cs="Arial"/>
          <w:color w:val="000000" w:themeColor="text1"/>
          <w:sz w:val="20"/>
          <w:szCs w:val="20"/>
        </w:rPr>
      </w:pPr>
      <w:r w:rsidRPr="00017581">
        <w:rPr>
          <w:rFonts w:ascii="Times New Roman" w:hAnsi="Times New Roman" w:cs="Times New Roman"/>
          <w:color w:val="000000" w:themeColor="text1"/>
        </w:rPr>
        <w:br/>
      </w:r>
      <w:r w:rsidR="00B66557" w:rsidRPr="00017581">
        <w:rPr>
          <w:rFonts w:ascii="Arial" w:hAnsi="Arial" w:cs="Arial"/>
          <w:b/>
          <w:bCs/>
          <w:color w:val="000000" w:themeColor="text1"/>
          <w:sz w:val="22"/>
          <w:szCs w:val="22"/>
        </w:rPr>
        <w:t>Conclusion</w:t>
      </w:r>
      <w:r w:rsidRPr="00017581">
        <w:rPr>
          <w:rFonts w:ascii="Arial" w:hAnsi="Arial" w:cs="Arial"/>
          <w:b/>
          <w:bCs/>
          <w:color w:val="000000" w:themeColor="text1"/>
          <w:sz w:val="22"/>
          <w:szCs w:val="22"/>
        </w:rPr>
        <w:t>:</w:t>
      </w:r>
      <w:r w:rsidRPr="00017581">
        <w:rPr>
          <w:rFonts w:ascii="Times New Roman" w:hAnsi="Times New Roman" w:cs="Times New Roman"/>
          <w:color w:val="000000" w:themeColor="text1"/>
        </w:rPr>
        <w:t> </w:t>
      </w:r>
      <w:r w:rsidRPr="00017581">
        <w:rPr>
          <w:rFonts w:ascii="Arial" w:hAnsi="Arial" w:cs="Arial"/>
          <w:color w:val="000000" w:themeColor="text1"/>
          <w:sz w:val="20"/>
          <w:szCs w:val="20"/>
        </w:rPr>
        <w:t xml:space="preserve">Livestock predation is driven by proximity to reserve edges, seasonal prey scarcity, and inadequate protection. The </w:t>
      </w:r>
      <w:proofErr w:type="spellStart"/>
      <w:r w:rsidRPr="00017581">
        <w:rPr>
          <w:rFonts w:ascii="Arial" w:hAnsi="Arial" w:cs="Arial"/>
          <w:color w:val="000000" w:themeColor="text1"/>
          <w:sz w:val="20"/>
          <w:szCs w:val="20"/>
        </w:rPr>
        <w:t>northwestern</w:t>
      </w:r>
      <w:proofErr w:type="spellEnd"/>
      <w:r w:rsidRPr="00017581">
        <w:rPr>
          <w:rFonts w:ascii="Arial" w:hAnsi="Arial" w:cs="Arial"/>
          <w:color w:val="000000" w:themeColor="text1"/>
          <w:sz w:val="20"/>
          <w:szCs w:val="20"/>
        </w:rPr>
        <w:t xml:space="preserve"> sector requires urgent interventions due to perennial hotspot status. Mitigation must prioritize: (1) </w:t>
      </w:r>
      <w:r w:rsidR="002A0E1E" w:rsidRPr="00017581">
        <w:rPr>
          <w:rFonts w:ascii="Arial" w:hAnsi="Arial" w:cs="Arial"/>
          <w:color w:val="000000" w:themeColor="text1"/>
          <w:sz w:val="20"/>
          <w:szCs w:val="20"/>
        </w:rPr>
        <w:t xml:space="preserve">temporally-targeted patrols during high-risk months </w:t>
      </w:r>
      <w:r w:rsidRPr="00017581">
        <w:rPr>
          <w:rFonts w:ascii="Arial" w:hAnsi="Arial" w:cs="Arial"/>
          <w:color w:val="000000" w:themeColor="text1"/>
          <w:sz w:val="20"/>
          <w:szCs w:val="20"/>
        </w:rPr>
        <w:t>January–March/September</w:t>
      </w:r>
      <w:r w:rsidR="007D416C" w:rsidRPr="00017581">
        <w:rPr>
          <w:rFonts w:ascii="Arial" w:hAnsi="Arial" w:cs="Arial"/>
          <w:color w:val="000000" w:themeColor="text1"/>
          <w:sz w:val="20"/>
          <w:szCs w:val="20"/>
        </w:rPr>
        <w:t xml:space="preserve"> and</w:t>
      </w:r>
      <w:r w:rsidRPr="00017581">
        <w:rPr>
          <w:rFonts w:ascii="Arial" w:hAnsi="Arial" w:cs="Arial"/>
          <w:color w:val="000000" w:themeColor="text1"/>
          <w:sz w:val="20"/>
          <w:szCs w:val="20"/>
        </w:rPr>
        <w:t xml:space="preserve"> (2) subsidized predator-proof enclosures</w:t>
      </w:r>
      <w:r w:rsidR="002A0E1E" w:rsidRPr="00017581">
        <w:rPr>
          <w:rFonts w:ascii="Arial" w:hAnsi="Arial" w:cs="Arial"/>
          <w:color w:val="000000" w:themeColor="text1"/>
          <w:sz w:val="20"/>
          <w:szCs w:val="20"/>
        </w:rPr>
        <w:t>, which could reduce conflicts.</w:t>
      </w:r>
    </w:p>
    <w:p w14:paraId="3540C338" w14:textId="178B0DFF" w:rsidR="002A0E1E" w:rsidRPr="00017581" w:rsidRDefault="002A0E1E"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 </w:t>
      </w:r>
    </w:p>
    <w:p w14:paraId="19C16449" w14:textId="77777777" w:rsidR="00821C84" w:rsidRPr="00017581" w:rsidRDefault="00821C84" w:rsidP="00B8007A">
      <w:pPr>
        <w:spacing w:after="0" w:line="240" w:lineRule="auto"/>
        <w:jc w:val="both"/>
        <w:rPr>
          <w:rFonts w:ascii="Times New Roman" w:hAnsi="Times New Roman" w:cs="Times New Roman"/>
          <w:color w:val="000000" w:themeColor="text1"/>
        </w:rPr>
      </w:pPr>
      <w:r w:rsidRPr="00017581">
        <w:rPr>
          <w:rFonts w:ascii="Times New Roman" w:hAnsi="Times New Roman" w:cs="Times New Roman"/>
          <w:b/>
          <w:bCs/>
          <w:color w:val="000000" w:themeColor="text1"/>
        </w:rPr>
        <w:t>Keywords:</w:t>
      </w:r>
      <w:r w:rsidRPr="00017581">
        <w:rPr>
          <w:rFonts w:ascii="Times New Roman" w:hAnsi="Times New Roman" w:cs="Times New Roman"/>
          <w:color w:val="000000" w:themeColor="text1"/>
        </w:rPr>
        <w:t> </w:t>
      </w:r>
      <w:r w:rsidRPr="00017581">
        <w:rPr>
          <w:rFonts w:ascii="Arial" w:hAnsi="Arial" w:cs="Arial"/>
          <w:i/>
          <w:iCs/>
          <w:color w:val="000000" w:themeColor="text1"/>
          <w:sz w:val="20"/>
          <w:szCs w:val="20"/>
        </w:rPr>
        <w:t xml:space="preserve">Human-Tiger Conflict, Livestock Depredation, </w:t>
      </w:r>
      <w:proofErr w:type="spellStart"/>
      <w:r w:rsidRPr="00017581">
        <w:rPr>
          <w:rFonts w:ascii="Arial" w:hAnsi="Arial" w:cs="Arial"/>
          <w:i/>
          <w:iCs/>
          <w:color w:val="000000" w:themeColor="text1"/>
          <w:sz w:val="20"/>
          <w:szCs w:val="20"/>
        </w:rPr>
        <w:t>Nagarahole</w:t>
      </w:r>
      <w:proofErr w:type="spellEnd"/>
      <w:r w:rsidRPr="00017581">
        <w:rPr>
          <w:rFonts w:ascii="Arial" w:hAnsi="Arial" w:cs="Arial"/>
          <w:i/>
          <w:iCs/>
          <w:color w:val="000000" w:themeColor="text1"/>
          <w:sz w:val="20"/>
          <w:szCs w:val="20"/>
        </w:rPr>
        <w:t xml:space="preserve"> Tiger Reserve, </w:t>
      </w:r>
      <w:proofErr w:type="spellStart"/>
      <w:r w:rsidRPr="00017581">
        <w:rPr>
          <w:rFonts w:ascii="Arial" w:hAnsi="Arial" w:cs="Arial"/>
          <w:i/>
          <w:iCs/>
          <w:color w:val="000000" w:themeColor="text1"/>
          <w:sz w:val="20"/>
          <w:szCs w:val="20"/>
        </w:rPr>
        <w:t>Spatio</w:t>
      </w:r>
      <w:proofErr w:type="spellEnd"/>
      <w:r w:rsidRPr="00017581">
        <w:rPr>
          <w:rFonts w:ascii="Arial" w:hAnsi="Arial" w:cs="Arial"/>
          <w:i/>
          <w:iCs/>
          <w:color w:val="000000" w:themeColor="text1"/>
          <w:sz w:val="20"/>
          <w:szCs w:val="20"/>
        </w:rPr>
        <w:t>-temporal Analysis, Mitigation Strategies</w:t>
      </w:r>
      <w:r w:rsidRPr="00017581">
        <w:rPr>
          <w:rFonts w:ascii="Times New Roman" w:hAnsi="Times New Roman" w:cs="Times New Roman"/>
          <w:color w:val="000000" w:themeColor="text1"/>
        </w:rPr>
        <w:t>.</w:t>
      </w:r>
    </w:p>
    <w:p w14:paraId="2736466A" w14:textId="77777777" w:rsidR="00821C84" w:rsidRPr="00017581" w:rsidRDefault="00821C84" w:rsidP="00B8007A">
      <w:pPr>
        <w:spacing w:after="0" w:line="240" w:lineRule="auto"/>
        <w:jc w:val="both"/>
        <w:rPr>
          <w:rFonts w:ascii="Times New Roman" w:hAnsi="Times New Roman" w:cs="Times New Roman"/>
          <w:color w:val="000000" w:themeColor="text1"/>
          <w:lang w:val="en-US"/>
        </w:rPr>
      </w:pPr>
    </w:p>
    <w:p w14:paraId="5EC50075" w14:textId="77777777" w:rsidR="00821C84" w:rsidRPr="00017581" w:rsidRDefault="00821C84" w:rsidP="00B66557">
      <w:pPr>
        <w:spacing w:after="0" w:line="240" w:lineRule="auto"/>
        <w:ind w:firstLine="720"/>
        <w:jc w:val="both"/>
        <w:rPr>
          <w:rFonts w:ascii="Times New Roman" w:hAnsi="Times New Roman" w:cs="Times New Roman"/>
          <w:color w:val="000000" w:themeColor="text1"/>
          <w:lang w:val="en-US"/>
        </w:rPr>
      </w:pPr>
    </w:p>
    <w:p w14:paraId="4F8DDE48" w14:textId="77777777" w:rsidR="00B66557" w:rsidRPr="00017581" w:rsidRDefault="00B66557" w:rsidP="00B66557">
      <w:pPr>
        <w:spacing w:after="0" w:line="240" w:lineRule="auto"/>
        <w:ind w:firstLine="720"/>
        <w:jc w:val="both"/>
        <w:rPr>
          <w:rFonts w:ascii="Times New Roman" w:hAnsi="Times New Roman" w:cs="Times New Roman"/>
          <w:color w:val="000000" w:themeColor="text1"/>
          <w:lang w:val="en-US"/>
        </w:rPr>
      </w:pPr>
    </w:p>
    <w:p w14:paraId="566461B4" w14:textId="77777777" w:rsidR="00821C84" w:rsidRPr="00017581" w:rsidRDefault="00821C84" w:rsidP="00B8007A">
      <w:pPr>
        <w:spacing w:after="0" w:line="240" w:lineRule="auto"/>
        <w:jc w:val="both"/>
        <w:rPr>
          <w:rFonts w:ascii="Times New Roman" w:hAnsi="Times New Roman" w:cs="Times New Roman"/>
          <w:color w:val="000000" w:themeColor="text1"/>
          <w:lang w:val="en-US"/>
        </w:rPr>
      </w:pPr>
    </w:p>
    <w:p w14:paraId="2B38C08E" w14:textId="16F26A72" w:rsidR="00821C84" w:rsidRPr="00017581" w:rsidRDefault="00D7338C" w:rsidP="00D7338C">
      <w:pPr>
        <w:spacing w:after="0" w:line="240" w:lineRule="auto"/>
        <w:rPr>
          <w:rFonts w:ascii="Arial" w:hAnsi="Arial" w:cs="Arial"/>
          <w:b/>
          <w:bCs/>
          <w:color w:val="000000" w:themeColor="text1"/>
          <w:sz w:val="22"/>
          <w:szCs w:val="22"/>
        </w:rPr>
      </w:pPr>
      <w:r w:rsidRPr="00017581">
        <w:rPr>
          <w:rFonts w:ascii="Arial" w:hAnsi="Arial" w:cs="Arial"/>
          <w:b/>
          <w:bCs/>
          <w:color w:val="000000" w:themeColor="text1"/>
          <w:sz w:val="22"/>
          <w:szCs w:val="22"/>
        </w:rPr>
        <w:t>INTRODUCTION</w:t>
      </w:r>
    </w:p>
    <w:p w14:paraId="07A05C6F" w14:textId="77777777" w:rsidR="00B8007A" w:rsidRPr="00017581" w:rsidRDefault="00B8007A" w:rsidP="00B8007A">
      <w:pPr>
        <w:spacing w:after="0" w:line="240" w:lineRule="auto"/>
        <w:jc w:val="both"/>
        <w:rPr>
          <w:rFonts w:ascii="Times New Roman" w:hAnsi="Times New Roman" w:cs="Times New Roman"/>
          <w:b/>
          <w:bCs/>
          <w:color w:val="000000" w:themeColor="text1"/>
        </w:rPr>
      </w:pPr>
    </w:p>
    <w:p w14:paraId="41EBF6C1" w14:textId="6762BC27" w:rsidR="00821C84" w:rsidRPr="00017581" w:rsidRDefault="00821C84"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Human-wildlife conflict is a global conservation challenge, particularly acute in India where it threatens biodiversity and rural livelihoods (Fernando et al., 2005). </w:t>
      </w:r>
      <w:r w:rsidR="00797C15" w:rsidRPr="00797C15">
        <w:rPr>
          <w:rFonts w:ascii="Arial" w:hAnsi="Arial" w:cs="Arial"/>
          <w:color w:val="000000" w:themeColor="text1"/>
          <w:sz w:val="20"/>
          <w:szCs w:val="20"/>
        </w:rPr>
        <w:t xml:space="preserve">The reasons behind Human-wildlife conflict are multiple. In the case of the wild animals, it is their habitat loss and its degradation owing to urbanisation, intensification of agriculture, and growth in human population, which increases human dominance in natural landscapes, intensifying competition for space and resources (Sharma et al., 2021; Dhar &amp; Mondal, 2023). </w:t>
      </w:r>
      <w:r w:rsidRPr="00017581">
        <w:rPr>
          <w:rFonts w:ascii="Arial" w:hAnsi="Arial" w:cs="Arial"/>
          <w:color w:val="000000" w:themeColor="text1"/>
          <w:sz w:val="20"/>
          <w:szCs w:val="20"/>
        </w:rPr>
        <w:t>Conflicts involving endangered apex predators like the tiger (</w:t>
      </w:r>
      <w:r w:rsidRPr="00017581">
        <w:rPr>
          <w:rFonts w:ascii="Arial" w:hAnsi="Arial" w:cs="Arial"/>
          <w:i/>
          <w:iCs/>
          <w:color w:val="000000" w:themeColor="text1"/>
          <w:sz w:val="20"/>
          <w:szCs w:val="20"/>
        </w:rPr>
        <w:t xml:space="preserve">Panthera </w:t>
      </w:r>
      <w:proofErr w:type="spellStart"/>
      <w:r w:rsidRPr="00017581">
        <w:rPr>
          <w:rFonts w:ascii="Arial" w:hAnsi="Arial" w:cs="Arial"/>
          <w:i/>
          <w:iCs/>
          <w:color w:val="000000" w:themeColor="text1"/>
          <w:sz w:val="20"/>
          <w:szCs w:val="20"/>
        </w:rPr>
        <w:t>tigris</w:t>
      </w:r>
      <w:proofErr w:type="spellEnd"/>
      <w:r w:rsidRPr="00017581">
        <w:rPr>
          <w:rFonts w:ascii="Arial" w:hAnsi="Arial" w:cs="Arial"/>
          <w:color w:val="000000" w:themeColor="text1"/>
          <w:sz w:val="20"/>
          <w:szCs w:val="20"/>
        </w:rPr>
        <w:t xml:space="preserve">) exacerbate these challenges (Treves &amp; </w:t>
      </w:r>
      <w:proofErr w:type="spellStart"/>
      <w:r w:rsidRPr="00017581">
        <w:rPr>
          <w:rFonts w:ascii="Arial" w:hAnsi="Arial" w:cs="Arial"/>
          <w:color w:val="000000" w:themeColor="text1"/>
          <w:sz w:val="20"/>
          <w:szCs w:val="20"/>
        </w:rPr>
        <w:t>Karanth</w:t>
      </w:r>
      <w:proofErr w:type="spellEnd"/>
      <w:r w:rsidRPr="00017581">
        <w:rPr>
          <w:rFonts w:ascii="Arial" w:hAnsi="Arial" w:cs="Arial"/>
          <w:color w:val="000000" w:themeColor="text1"/>
          <w:sz w:val="20"/>
          <w:szCs w:val="20"/>
        </w:rPr>
        <w:t xml:space="preserve">, 2003). India supports ~70% of the world’s wild </w:t>
      </w:r>
      <w:r w:rsidRPr="00017581">
        <w:rPr>
          <w:rFonts w:ascii="Arial" w:hAnsi="Arial" w:cs="Arial"/>
          <w:color w:val="000000" w:themeColor="text1"/>
          <w:sz w:val="20"/>
          <w:szCs w:val="20"/>
        </w:rPr>
        <w:lastRenderedPageBreak/>
        <w:t xml:space="preserve">tigers, underscoring its conservation significance (Goodrich et al., 2022; </w:t>
      </w:r>
      <w:proofErr w:type="spellStart"/>
      <w:r w:rsidRPr="00017581">
        <w:rPr>
          <w:rFonts w:ascii="Arial" w:hAnsi="Arial" w:cs="Arial"/>
          <w:color w:val="000000" w:themeColor="text1"/>
          <w:sz w:val="20"/>
          <w:szCs w:val="20"/>
        </w:rPr>
        <w:t>Jhala</w:t>
      </w:r>
      <w:proofErr w:type="spellEnd"/>
      <w:r w:rsidRPr="00017581">
        <w:rPr>
          <w:rFonts w:ascii="Arial" w:hAnsi="Arial" w:cs="Arial"/>
          <w:color w:val="000000" w:themeColor="text1"/>
          <w:sz w:val="20"/>
          <w:szCs w:val="20"/>
        </w:rPr>
        <w:t xml:space="preserve"> et al., 2021). HTC, manifested through livestock depredation and retaliatory killings, is driven by habitat encroachment</w:t>
      </w:r>
      <w:r w:rsidR="002C41A8" w:rsidRPr="00017581">
        <w:rPr>
          <w:rFonts w:ascii="Arial" w:hAnsi="Arial" w:cs="Arial"/>
          <w:color w:val="000000" w:themeColor="text1"/>
          <w:sz w:val="20"/>
          <w:szCs w:val="20"/>
        </w:rPr>
        <w:t xml:space="preserve"> and</w:t>
      </w:r>
      <w:r w:rsidRPr="00017581">
        <w:rPr>
          <w:rFonts w:ascii="Arial" w:hAnsi="Arial" w:cs="Arial"/>
          <w:color w:val="000000" w:themeColor="text1"/>
          <w:sz w:val="20"/>
          <w:szCs w:val="20"/>
        </w:rPr>
        <w:t xml:space="preserve"> inadequate livestock protection (</w:t>
      </w:r>
      <w:r w:rsidR="00812BA6" w:rsidRPr="00812BA6">
        <w:rPr>
          <w:rFonts w:ascii="Arial" w:hAnsi="Arial" w:cs="Arial"/>
          <w:color w:val="000000" w:themeColor="text1"/>
          <w:sz w:val="20"/>
          <w:szCs w:val="20"/>
        </w:rPr>
        <w:t>Kandel</w:t>
      </w:r>
      <w:r w:rsidRPr="00017581">
        <w:rPr>
          <w:rFonts w:ascii="Arial" w:hAnsi="Arial" w:cs="Arial"/>
          <w:color w:val="000000" w:themeColor="text1"/>
          <w:sz w:val="20"/>
          <w:szCs w:val="20"/>
        </w:rPr>
        <w:t>, 20</w:t>
      </w:r>
      <w:r w:rsidR="00812BA6">
        <w:rPr>
          <w:rFonts w:ascii="Arial" w:hAnsi="Arial" w:cs="Arial"/>
          <w:color w:val="000000" w:themeColor="text1"/>
          <w:sz w:val="20"/>
          <w:szCs w:val="20"/>
        </w:rPr>
        <w:t>25</w:t>
      </w:r>
      <w:r w:rsidR="007D21D8">
        <w:rPr>
          <w:rFonts w:ascii="Arial" w:hAnsi="Arial" w:cs="Arial"/>
          <w:color w:val="000000" w:themeColor="text1"/>
          <w:sz w:val="20"/>
          <w:szCs w:val="20"/>
        </w:rPr>
        <w:t xml:space="preserve">; </w:t>
      </w:r>
      <w:proofErr w:type="spellStart"/>
      <w:r w:rsidR="007D21D8" w:rsidRPr="00017581">
        <w:rPr>
          <w:rFonts w:ascii="Arial" w:hAnsi="Arial" w:cs="Arial"/>
          <w:color w:val="000000" w:themeColor="text1"/>
          <w:sz w:val="20"/>
          <w:szCs w:val="20"/>
        </w:rPr>
        <w:t>Karanth</w:t>
      </w:r>
      <w:proofErr w:type="spellEnd"/>
      <w:r w:rsidR="007D21D8">
        <w:rPr>
          <w:rFonts w:ascii="Arial" w:hAnsi="Arial" w:cs="Arial"/>
          <w:color w:val="000000" w:themeColor="text1"/>
          <w:sz w:val="20"/>
          <w:szCs w:val="20"/>
        </w:rPr>
        <w:t xml:space="preserve"> et al., 2018</w:t>
      </w:r>
      <w:r w:rsidRPr="00017581">
        <w:rPr>
          <w:rFonts w:ascii="Arial" w:hAnsi="Arial" w:cs="Arial"/>
          <w:color w:val="000000" w:themeColor="text1"/>
          <w:sz w:val="20"/>
          <w:szCs w:val="20"/>
        </w:rPr>
        <w:t>). Such conflicts impose severe economic costs on forest-adjacent communities (McInturff et al., 2020) and erode support for conservation (Harihar et al., 20</w:t>
      </w:r>
      <w:r w:rsidR="00B31FC6">
        <w:rPr>
          <w:rFonts w:ascii="Arial" w:hAnsi="Arial" w:cs="Arial"/>
          <w:color w:val="000000" w:themeColor="text1"/>
          <w:sz w:val="20"/>
          <w:szCs w:val="20"/>
        </w:rPr>
        <w:t>14</w:t>
      </w:r>
      <w:r w:rsidRPr="00017581">
        <w:rPr>
          <w:rFonts w:ascii="Arial" w:hAnsi="Arial" w:cs="Arial"/>
          <w:color w:val="000000" w:themeColor="text1"/>
          <w:sz w:val="20"/>
          <w:szCs w:val="20"/>
        </w:rPr>
        <w:t>).</w:t>
      </w:r>
      <w:r w:rsidR="002A1231" w:rsidRPr="00017581">
        <w:rPr>
          <w:rFonts w:ascii="Arial" w:hAnsi="Arial" w:cs="Arial"/>
          <w:color w:val="000000" w:themeColor="text1"/>
          <w:sz w:val="20"/>
          <w:szCs w:val="20"/>
        </w:rPr>
        <w:t xml:space="preserve"> </w:t>
      </w:r>
      <w:r w:rsidR="00797C15" w:rsidRPr="00797C15">
        <w:rPr>
          <w:rFonts w:ascii="Arial" w:hAnsi="Arial" w:cs="Arial"/>
          <w:color w:val="000000" w:themeColor="text1"/>
          <w:sz w:val="20"/>
          <w:szCs w:val="20"/>
        </w:rPr>
        <w:t xml:space="preserve">The Sundarbans are well-known as the world's only coastal mangrove habitat of the man-eating Royal Bengal Tigers. This UNESCO World Heritage Site often features in media coverage and popular discourse due to a surging number of human-tiger conflicts. Whenever such incidents happen, the popular narratives project them as an outcome of community intrusion and illegality, violating the norms of reserved and protected areas. Remedial measures often call for a stricter imposition of conservation rules (Pathak et al., 2025). </w:t>
      </w:r>
      <w:r w:rsidRPr="00017581">
        <w:rPr>
          <w:rFonts w:ascii="Arial" w:hAnsi="Arial" w:cs="Arial"/>
          <w:color w:val="000000" w:themeColor="text1"/>
          <w:sz w:val="20"/>
          <w:szCs w:val="20"/>
        </w:rPr>
        <w:t xml:space="preserve">NTR in Karnataka, part of the </w:t>
      </w:r>
      <w:proofErr w:type="spellStart"/>
      <w:r w:rsidRPr="00017581">
        <w:rPr>
          <w:rFonts w:ascii="Arial" w:hAnsi="Arial" w:cs="Arial"/>
          <w:color w:val="000000" w:themeColor="text1"/>
          <w:sz w:val="20"/>
          <w:szCs w:val="20"/>
        </w:rPr>
        <w:t>Nilgiri</w:t>
      </w:r>
      <w:proofErr w:type="spellEnd"/>
      <w:r w:rsidRPr="00017581">
        <w:rPr>
          <w:rFonts w:ascii="Arial" w:hAnsi="Arial" w:cs="Arial"/>
          <w:color w:val="000000" w:themeColor="text1"/>
          <w:sz w:val="20"/>
          <w:szCs w:val="20"/>
        </w:rPr>
        <w:t xml:space="preserve"> Biosphere Reserve, borders critical tiger habitats (</w:t>
      </w:r>
      <w:proofErr w:type="spellStart"/>
      <w:r w:rsidRPr="00017581">
        <w:rPr>
          <w:rFonts w:ascii="Arial" w:hAnsi="Arial" w:cs="Arial"/>
          <w:color w:val="000000" w:themeColor="text1"/>
          <w:sz w:val="20"/>
          <w:szCs w:val="20"/>
        </w:rPr>
        <w:t>Bandipur</w:t>
      </w:r>
      <w:proofErr w:type="spellEnd"/>
      <w:r w:rsidRPr="00017581">
        <w:rPr>
          <w:rFonts w:ascii="Arial" w:hAnsi="Arial" w:cs="Arial"/>
          <w:color w:val="000000" w:themeColor="text1"/>
          <w:sz w:val="20"/>
          <w:szCs w:val="20"/>
        </w:rPr>
        <w:t xml:space="preserve">, </w:t>
      </w:r>
      <w:proofErr w:type="spellStart"/>
      <w:r w:rsidRPr="00017581">
        <w:rPr>
          <w:rFonts w:ascii="Arial" w:hAnsi="Arial" w:cs="Arial"/>
          <w:color w:val="000000" w:themeColor="text1"/>
          <w:sz w:val="20"/>
          <w:szCs w:val="20"/>
        </w:rPr>
        <w:t>Mudumalai</w:t>
      </w:r>
      <w:proofErr w:type="spellEnd"/>
      <w:r w:rsidRPr="00017581">
        <w:rPr>
          <w:rFonts w:ascii="Arial" w:hAnsi="Arial" w:cs="Arial"/>
          <w:color w:val="000000" w:themeColor="text1"/>
          <w:sz w:val="20"/>
          <w:szCs w:val="20"/>
        </w:rPr>
        <w:t>, BRT). Its complex socio-ecological matrix—high human density, fragmented forests, and agricultural edges—creates persistent HTC hotspots (</w:t>
      </w:r>
      <w:proofErr w:type="spellStart"/>
      <w:r w:rsidRPr="00017581">
        <w:rPr>
          <w:rFonts w:ascii="Arial" w:hAnsi="Arial" w:cs="Arial"/>
          <w:color w:val="000000" w:themeColor="text1"/>
          <w:sz w:val="20"/>
          <w:szCs w:val="20"/>
        </w:rPr>
        <w:t>Athreya</w:t>
      </w:r>
      <w:proofErr w:type="spellEnd"/>
      <w:r w:rsidRPr="00017581">
        <w:rPr>
          <w:rFonts w:ascii="Arial" w:hAnsi="Arial" w:cs="Arial"/>
          <w:color w:val="000000" w:themeColor="text1"/>
          <w:sz w:val="20"/>
          <w:szCs w:val="20"/>
        </w:rPr>
        <w:t xml:space="preserve"> et al., 2013; </w:t>
      </w:r>
      <w:proofErr w:type="spellStart"/>
      <w:r w:rsidRPr="00017581">
        <w:rPr>
          <w:rFonts w:ascii="Arial" w:hAnsi="Arial" w:cs="Arial"/>
          <w:color w:val="000000" w:themeColor="text1"/>
          <w:sz w:val="20"/>
          <w:szCs w:val="20"/>
        </w:rPr>
        <w:t>Karanth</w:t>
      </w:r>
      <w:proofErr w:type="spellEnd"/>
      <w:r w:rsidRPr="00017581">
        <w:rPr>
          <w:rFonts w:ascii="Arial" w:hAnsi="Arial" w:cs="Arial"/>
          <w:color w:val="000000" w:themeColor="text1"/>
          <w:sz w:val="20"/>
          <w:szCs w:val="20"/>
        </w:rPr>
        <w:t xml:space="preserve"> &amp; </w:t>
      </w:r>
      <w:proofErr w:type="spellStart"/>
      <w:r w:rsidRPr="00017581">
        <w:rPr>
          <w:rFonts w:ascii="Arial" w:hAnsi="Arial" w:cs="Arial"/>
          <w:color w:val="000000" w:themeColor="text1"/>
          <w:sz w:val="20"/>
          <w:szCs w:val="20"/>
        </w:rPr>
        <w:t>DeFries</w:t>
      </w:r>
      <w:proofErr w:type="spellEnd"/>
      <w:r w:rsidRPr="00017581">
        <w:rPr>
          <w:rFonts w:ascii="Arial" w:hAnsi="Arial" w:cs="Arial"/>
          <w:color w:val="000000" w:themeColor="text1"/>
          <w:sz w:val="20"/>
          <w:szCs w:val="20"/>
        </w:rPr>
        <w:t>, 2010). While studies highlight seasonal and spatial HTC patterns in other landscapes (Chatterjee et al., 2022; Miller et al., 2016</w:t>
      </w:r>
      <w:r w:rsidR="00C071AF">
        <w:rPr>
          <w:rFonts w:ascii="Arial" w:hAnsi="Arial" w:cs="Arial"/>
          <w:color w:val="000000" w:themeColor="text1"/>
          <w:sz w:val="20"/>
          <w:szCs w:val="20"/>
        </w:rPr>
        <w:t xml:space="preserve">; </w:t>
      </w:r>
      <w:r w:rsidR="00C071AF" w:rsidRPr="00F30A61">
        <w:rPr>
          <w:rFonts w:ascii="Arial" w:hAnsi="Arial" w:cs="Arial"/>
          <w:color w:val="000000" w:themeColor="text1"/>
          <w:sz w:val="20"/>
          <w:szCs w:val="20"/>
        </w:rPr>
        <w:t>Yuan</w:t>
      </w:r>
      <w:r w:rsidR="00EC068E">
        <w:rPr>
          <w:rFonts w:ascii="Arial" w:hAnsi="Arial" w:cs="Arial"/>
          <w:color w:val="000000" w:themeColor="text1"/>
          <w:sz w:val="20"/>
          <w:szCs w:val="20"/>
        </w:rPr>
        <w:t xml:space="preserve">. </w:t>
      </w:r>
      <w:r w:rsidR="00C071AF" w:rsidRPr="00F30A61">
        <w:rPr>
          <w:rFonts w:ascii="Arial" w:hAnsi="Arial" w:cs="Arial"/>
          <w:color w:val="000000" w:themeColor="text1"/>
          <w:sz w:val="20"/>
          <w:szCs w:val="20"/>
        </w:rPr>
        <w:t>2008</w:t>
      </w:r>
      <w:r w:rsidR="004C0229">
        <w:rPr>
          <w:rFonts w:ascii="Arial" w:hAnsi="Arial" w:cs="Arial"/>
          <w:color w:val="000000" w:themeColor="text1"/>
          <w:sz w:val="20"/>
          <w:szCs w:val="20"/>
        </w:rPr>
        <w:t xml:space="preserve">; </w:t>
      </w:r>
      <w:r w:rsidR="004C0229" w:rsidRPr="004C0229">
        <w:rPr>
          <w:rFonts w:ascii="Arial" w:hAnsi="Arial" w:cs="Arial"/>
          <w:color w:val="000000" w:themeColor="text1"/>
          <w:sz w:val="20"/>
          <w:szCs w:val="20"/>
        </w:rPr>
        <w:t>Naha</w:t>
      </w:r>
      <w:r w:rsidR="004C0229">
        <w:rPr>
          <w:rFonts w:ascii="Arial" w:hAnsi="Arial" w:cs="Arial"/>
          <w:color w:val="000000" w:themeColor="text1"/>
          <w:sz w:val="20"/>
          <w:szCs w:val="20"/>
        </w:rPr>
        <w:t xml:space="preserve"> et al., 2020</w:t>
      </w:r>
      <w:r w:rsidRPr="00017581">
        <w:rPr>
          <w:rFonts w:ascii="Arial" w:hAnsi="Arial" w:cs="Arial"/>
          <w:color w:val="000000" w:themeColor="text1"/>
          <w:sz w:val="20"/>
          <w:szCs w:val="20"/>
        </w:rPr>
        <w:t xml:space="preserve">), NTR lacks comprehensive </w:t>
      </w:r>
      <w:proofErr w:type="spellStart"/>
      <w:r w:rsidRPr="00017581">
        <w:rPr>
          <w:rFonts w:ascii="Arial" w:hAnsi="Arial" w:cs="Arial"/>
          <w:color w:val="000000" w:themeColor="text1"/>
          <w:sz w:val="20"/>
          <w:szCs w:val="20"/>
        </w:rPr>
        <w:t>spatio</w:t>
      </w:r>
      <w:proofErr w:type="spellEnd"/>
      <w:r w:rsidRPr="00017581">
        <w:rPr>
          <w:rFonts w:ascii="Arial" w:hAnsi="Arial" w:cs="Arial"/>
          <w:color w:val="000000" w:themeColor="text1"/>
          <w:sz w:val="20"/>
          <w:szCs w:val="20"/>
        </w:rPr>
        <w:t>-temporal analysis. This study integrates GIS mapping, household surveys, to</w:t>
      </w:r>
      <w:r w:rsidR="002A0E1E" w:rsidRPr="00017581">
        <w:rPr>
          <w:rFonts w:ascii="Arial" w:hAnsi="Arial" w:cs="Arial"/>
          <w:color w:val="000000" w:themeColor="text1"/>
          <w:sz w:val="20"/>
          <w:szCs w:val="20"/>
        </w:rPr>
        <w:t xml:space="preserve"> m</w:t>
      </w:r>
      <w:r w:rsidRPr="00017581">
        <w:rPr>
          <w:rFonts w:ascii="Arial" w:hAnsi="Arial" w:cs="Arial"/>
          <w:color w:val="000000" w:themeColor="text1"/>
          <w:sz w:val="20"/>
          <w:szCs w:val="20"/>
        </w:rPr>
        <w:t xml:space="preserve">ap </w:t>
      </w:r>
      <w:proofErr w:type="spellStart"/>
      <w:r w:rsidRPr="00017581">
        <w:rPr>
          <w:rFonts w:ascii="Arial" w:hAnsi="Arial" w:cs="Arial"/>
          <w:color w:val="000000" w:themeColor="text1"/>
          <w:sz w:val="20"/>
          <w:szCs w:val="20"/>
        </w:rPr>
        <w:t>spatio</w:t>
      </w:r>
      <w:proofErr w:type="spellEnd"/>
      <w:r w:rsidRPr="00017581">
        <w:rPr>
          <w:rFonts w:ascii="Arial" w:hAnsi="Arial" w:cs="Arial"/>
          <w:color w:val="000000" w:themeColor="text1"/>
          <w:sz w:val="20"/>
          <w:szCs w:val="20"/>
        </w:rPr>
        <w:t>-temporal HTC hotspots; Propose evidence-based mitigation strategies.</w:t>
      </w:r>
    </w:p>
    <w:p w14:paraId="16E2F364" w14:textId="77777777" w:rsidR="002A0E1E" w:rsidRPr="00017581" w:rsidRDefault="002A0E1E" w:rsidP="00B8007A">
      <w:pPr>
        <w:spacing w:after="0" w:line="240" w:lineRule="auto"/>
        <w:jc w:val="both"/>
        <w:rPr>
          <w:rFonts w:ascii="Arial" w:hAnsi="Arial" w:cs="Arial"/>
          <w:color w:val="000000" w:themeColor="text1"/>
          <w:sz w:val="20"/>
          <w:szCs w:val="20"/>
        </w:rPr>
      </w:pPr>
    </w:p>
    <w:p w14:paraId="6386E61A" w14:textId="662599D4" w:rsidR="002A0E1E" w:rsidRPr="00017581" w:rsidRDefault="002A0E1E"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Current forest beat management in NTR operates on static/routine uniform resource allocation, with staff deployment unchanged year-round despite seasonal conflict fluctuations. This study's temporal analysis provides a blueprint for dynamic forest staff/resource optimization, shifting personnel and surveillance to high-risk zones during peak conflict months, to maximize efficiency.</w:t>
      </w:r>
    </w:p>
    <w:p w14:paraId="519C65CB" w14:textId="77777777" w:rsidR="00B8007A" w:rsidRPr="00017581" w:rsidRDefault="00B8007A" w:rsidP="00B8007A">
      <w:pPr>
        <w:spacing w:after="0" w:line="240" w:lineRule="auto"/>
        <w:jc w:val="both"/>
        <w:rPr>
          <w:rFonts w:ascii="Times New Roman" w:hAnsi="Times New Roman" w:cs="Times New Roman"/>
          <w:color w:val="000000" w:themeColor="text1"/>
        </w:rPr>
      </w:pPr>
    </w:p>
    <w:p w14:paraId="39ABEB57" w14:textId="31258973" w:rsidR="00821C84" w:rsidRPr="00017581" w:rsidRDefault="00D7338C" w:rsidP="00D7338C">
      <w:pPr>
        <w:spacing w:after="0" w:line="240" w:lineRule="auto"/>
        <w:rPr>
          <w:rFonts w:ascii="Arial" w:hAnsi="Arial" w:cs="Arial"/>
          <w:b/>
          <w:bCs/>
          <w:color w:val="000000" w:themeColor="text1"/>
          <w:sz w:val="22"/>
          <w:szCs w:val="22"/>
        </w:rPr>
      </w:pPr>
      <w:r w:rsidRPr="00017581">
        <w:rPr>
          <w:rFonts w:ascii="Arial" w:hAnsi="Arial" w:cs="Arial"/>
          <w:b/>
          <w:bCs/>
          <w:color w:val="000000" w:themeColor="text1"/>
          <w:sz w:val="22"/>
          <w:szCs w:val="22"/>
        </w:rPr>
        <w:t>MATERIALS AND METHODS</w:t>
      </w:r>
    </w:p>
    <w:p w14:paraId="4E07EC8C" w14:textId="77777777" w:rsidR="00B8007A" w:rsidRPr="00017581" w:rsidRDefault="00B8007A" w:rsidP="00B8007A">
      <w:pPr>
        <w:spacing w:after="0" w:line="240" w:lineRule="auto"/>
        <w:jc w:val="both"/>
        <w:rPr>
          <w:rFonts w:ascii="Times New Roman" w:hAnsi="Times New Roman" w:cs="Times New Roman"/>
          <w:b/>
          <w:bCs/>
          <w:color w:val="000000" w:themeColor="text1"/>
        </w:rPr>
      </w:pPr>
    </w:p>
    <w:p w14:paraId="5389CE68" w14:textId="2F840A8D" w:rsidR="00821C84" w:rsidRPr="00017581" w:rsidRDefault="00821C84"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Study Area</w:t>
      </w:r>
      <w:r w:rsidR="00B8007A" w:rsidRPr="00017581">
        <w:rPr>
          <w:rFonts w:ascii="Arial" w:hAnsi="Arial" w:cs="Arial"/>
          <w:color w:val="000000" w:themeColor="text1"/>
          <w:sz w:val="20"/>
          <w:szCs w:val="20"/>
        </w:rPr>
        <w:t xml:space="preserve">: </w:t>
      </w:r>
      <w:r w:rsidRPr="00017581">
        <w:rPr>
          <w:rFonts w:ascii="Arial" w:hAnsi="Arial" w:cs="Arial"/>
          <w:color w:val="000000" w:themeColor="text1"/>
          <w:sz w:val="20"/>
          <w:szCs w:val="20"/>
        </w:rPr>
        <w:t xml:space="preserve">NTR (843.962 km²; core: 643.392 km², buffer: 200.570 km²) lies between 11°5'N–12°15'N and 76°0'E–76°15'E in Karnataka, India. Declared a tiger reserve in 2007, it receives ~1500 mm annual rainfall (June–September monsoon). It connects ecologically with </w:t>
      </w:r>
      <w:proofErr w:type="spellStart"/>
      <w:r w:rsidRPr="00017581">
        <w:rPr>
          <w:rFonts w:ascii="Arial" w:hAnsi="Arial" w:cs="Arial"/>
          <w:color w:val="000000" w:themeColor="text1"/>
          <w:sz w:val="20"/>
          <w:szCs w:val="20"/>
        </w:rPr>
        <w:t>Bandipur</w:t>
      </w:r>
      <w:proofErr w:type="spellEnd"/>
      <w:r w:rsidRPr="00017581">
        <w:rPr>
          <w:rFonts w:ascii="Arial" w:hAnsi="Arial" w:cs="Arial"/>
          <w:color w:val="000000" w:themeColor="text1"/>
          <w:sz w:val="20"/>
          <w:szCs w:val="20"/>
        </w:rPr>
        <w:t xml:space="preserve">, </w:t>
      </w:r>
      <w:proofErr w:type="spellStart"/>
      <w:r w:rsidRPr="00017581">
        <w:rPr>
          <w:rFonts w:ascii="Arial" w:hAnsi="Arial" w:cs="Arial"/>
          <w:color w:val="000000" w:themeColor="text1"/>
          <w:sz w:val="20"/>
          <w:szCs w:val="20"/>
        </w:rPr>
        <w:t>Mudumalai</w:t>
      </w:r>
      <w:proofErr w:type="spellEnd"/>
      <w:r w:rsidRPr="00017581">
        <w:rPr>
          <w:rFonts w:ascii="Arial" w:hAnsi="Arial" w:cs="Arial"/>
          <w:color w:val="000000" w:themeColor="text1"/>
          <w:sz w:val="20"/>
          <w:szCs w:val="20"/>
        </w:rPr>
        <w:t>, and BRT reserves, forming a high-tiger-density landscape (</w:t>
      </w:r>
      <w:proofErr w:type="spellStart"/>
      <w:r w:rsidRPr="00017581">
        <w:rPr>
          <w:rFonts w:ascii="Arial" w:hAnsi="Arial" w:cs="Arial"/>
          <w:color w:val="000000" w:themeColor="text1"/>
          <w:sz w:val="20"/>
          <w:szCs w:val="20"/>
        </w:rPr>
        <w:t>Jhala</w:t>
      </w:r>
      <w:proofErr w:type="spellEnd"/>
      <w:r w:rsidRPr="00017581">
        <w:rPr>
          <w:rFonts w:ascii="Arial" w:hAnsi="Arial" w:cs="Arial"/>
          <w:color w:val="000000" w:themeColor="text1"/>
          <w:sz w:val="20"/>
          <w:szCs w:val="20"/>
        </w:rPr>
        <w:t xml:space="preserve"> et al., 2021).</w:t>
      </w:r>
    </w:p>
    <w:p w14:paraId="1FA6D579" w14:textId="6197D822" w:rsidR="00821C84" w:rsidRPr="00017581" w:rsidRDefault="00821C84"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Data Collection</w:t>
      </w:r>
      <w:r w:rsidR="00B8007A" w:rsidRPr="00017581">
        <w:rPr>
          <w:rFonts w:ascii="Arial" w:hAnsi="Arial" w:cs="Arial"/>
          <w:color w:val="000000" w:themeColor="text1"/>
          <w:sz w:val="20"/>
          <w:szCs w:val="20"/>
        </w:rPr>
        <w:t xml:space="preserve"> - </w:t>
      </w:r>
      <w:r w:rsidRPr="00017581">
        <w:rPr>
          <w:rFonts w:ascii="Arial" w:hAnsi="Arial" w:cs="Arial"/>
          <w:color w:val="000000" w:themeColor="text1"/>
          <w:sz w:val="20"/>
          <w:szCs w:val="20"/>
        </w:rPr>
        <w:t>Livestock Predation Incidents:</w:t>
      </w:r>
      <w:r w:rsidR="00B8007A" w:rsidRPr="00017581">
        <w:rPr>
          <w:rFonts w:ascii="Arial" w:hAnsi="Arial" w:cs="Arial"/>
          <w:color w:val="000000" w:themeColor="text1"/>
          <w:sz w:val="20"/>
          <w:szCs w:val="20"/>
        </w:rPr>
        <w:t xml:space="preserve"> </w:t>
      </w:r>
      <w:r w:rsidRPr="00017581">
        <w:rPr>
          <w:rFonts w:ascii="Arial" w:hAnsi="Arial" w:cs="Arial"/>
          <w:color w:val="000000" w:themeColor="text1"/>
          <w:sz w:val="20"/>
          <w:szCs w:val="20"/>
        </w:rPr>
        <w:t xml:space="preserve">210 verified tiger-related incidents (2019–2023) from Karnataka Forest </w:t>
      </w:r>
      <w:r w:rsidR="002C41A8" w:rsidRPr="00017581">
        <w:rPr>
          <w:rFonts w:ascii="Arial" w:hAnsi="Arial" w:cs="Arial"/>
          <w:color w:val="000000" w:themeColor="text1"/>
          <w:sz w:val="20"/>
          <w:szCs w:val="20"/>
        </w:rPr>
        <w:t>Department records;</w:t>
      </w:r>
      <w:r w:rsidR="000B2D7E" w:rsidRPr="00017581">
        <w:rPr>
          <w:rFonts w:ascii="Arial" w:hAnsi="Arial" w:cs="Arial"/>
          <w:color w:val="000000" w:themeColor="text1"/>
          <w:sz w:val="20"/>
          <w:szCs w:val="20"/>
        </w:rPr>
        <w:t xml:space="preserve"> </w:t>
      </w:r>
      <w:r w:rsidRPr="00017581">
        <w:rPr>
          <w:rFonts w:ascii="Arial" w:hAnsi="Arial" w:cs="Arial"/>
          <w:color w:val="000000" w:themeColor="text1"/>
          <w:sz w:val="20"/>
          <w:szCs w:val="20"/>
        </w:rPr>
        <w:t>Data included: date, GPS location</w:t>
      </w:r>
      <w:r w:rsidR="00CB6326" w:rsidRPr="00017581">
        <w:rPr>
          <w:rFonts w:ascii="Arial" w:hAnsi="Arial" w:cs="Arial"/>
          <w:color w:val="000000" w:themeColor="text1"/>
          <w:sz w:val="20"/>
          <w:szCs w:val="20"/>
        </w:rPr>
        <w:t xml:space="preserve"> using Karnataka-GIS platform</w:t>
      </w:r>
      <w:r w:rsidRPr="00017581">
        <w:rPr>
          <w:rFonts w:ascii="Arial" w:hAnsi="Arial" w:cs="Arial"/>
          <w:color w:val="000000" w:themeColor="text1"/>
          <w:sz w:val="20"/>
          <w:szCs w:val="20"/>
        </w:rPr>
        <w:t>, livestock species/age</w:t>
      </w:r>
      <w:r w:rsidR="000B2D7E" w:rsidRPr="00017581">
        <w:rPr>
          <w:rFonts w:ascii="Arial" w:hAnsi="Arial" w:cs="Arial"/>
          <w:color w:val="000000" w:themeColor="text1"/>
          <w:sz w:val="20"/>
          <w:szCs w:val="20"/>
        </w:rPr>
        <w:t xml:space="preserve">; </w:t>
      </w:r>
      <w:r w:rsidRPr="00017581">
        <w:rPr>
          <w:rFonts w:ascii="Arial" w:hAnsi="Arial" w:cs="Arial"/>
          <w:color w:val="000000" w:themeColor="text1"/>
          <w:sz w:val="20"/>
          <w:szCs w:val="20"/>
        </w:rPr>
        <w:t>Incidents cross-verified via field signs (pugmarks, scat, carcass) and camera traps.</w:t>
      </w:r>
    </w:p>
    <w:p w14:paraId="65B172FA" w14:textId="5D728E4B" w:rsidR="00821C84" w:rsidRPr="00017581" w:rsidRDefault="00821C84"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Household Surveys:</w:t>
      </w:r>
      <w:r w:rsidR="00B8007A" w:rsidRPr="00017581">
        <w:rPr>
          <w:rFonts w:ascii="Arial" w:hAnsi="Arial" w:cs="Arial"/>
          <w:color w:val="000000" w:themeColor="text1"/>
          <w:sz w:val="20"/>
          <w:szCs w:val="20"/>
        </w:rPr>
        <w:t xml:space="preserve"> </w:t>
      </w:r>
      <w:r w:rsidRPr="00017581">
        <w:rPr>
          <w:rFonts w:ascii="Arial" w:hAnsi="Arial" w:cs="Arial"/>
          <w:color w:val="000000" w:themeColor="text1"/>
          <w:sz w:val="20"/>
          <w:szCs w:val="20"/>
        </w:rPr>
        <w:t xml:space="preserve">Structured questionnaires administered in 57 villages within 5 km of NTR (adapted from </w:t>
      </w:r>
      <w:proofErr w:type="spellStart"/>
      <w:r w:rsidRPr="00017581">
        <w:rPr>
          <w:rFonts w:ascii="Arial" w:hAnsi="Arial" w:cs="Arial"/>
          <w:color w:val="000000" w:themeColor="text1"/>
          <w:sz w:val="20"/>
          <w:szCs w:val="20"/>
        </w:rPr>
        <w:t>Lyngdoh</w:t>
      </w:r>
      <w:proofErr w:type="spellEnd"/>
      <w:r w:rsidRPr="00017581">
        <w:rPr>
          <w:rFonts w:ascii="Arial" w:hAnsi="Arial" w:cs="Arial"/>
          <w:color w:val="000000" w:themeColor="text1"/>
          <w:sz w:val="20"/>
          <w:szCs w:val="20"/>
        </w:rPr>
        <w:t xml:space="preserve"> et al., 2014).</w:t>
      </w:r>
      <w:r w:rsidR="000B2D7E" w:rsidRPr="00017581">
        <w:rPr>
          <w:rFonts w:ascii="Arial" w:hAnsi="Arial" w:cs="Arial"/>
          <w:color w:val="000000" w:themeColor="text1"/>
          <w:sz w:val="20"/>
          <w:szCs w:val="20"/>
        </w:rPr>
        <w:t xml:space="preserve"> </w:t>
      </w:r>
      <w:r w:rsidRPr="00017581">
        <w:rPr>
          <w:rFonts w:ascii="Arial" w:hAnsi="Arial" w:cs="Arial"/>
          <w:color w:val="000000" w:themeColor="text1"/>
          <w:sz w:val="20"/>
          <w:szCs w:val="20"/>
        </w:rPr>
        <w:t>Sampled 40 households (affected and non-affected) to assess:</w:t>
      </w:r>
      <w:r w:rsidR="000B2D7E" w:rsidRPr="00017581">
        <w:rPr>
          <w:rFonts w:ascii="Arial" w:hAnsi="Arial" w:cs="Arial"/>
          <w:color w:val="000000" w:themeColor="text1"/>
          <w:sz w:val="20"/>
          <w:szCs w:val="20"/>
        </w:rPr>
        <w:t xml:space="preserve"> </w:t>
      </w:r>
      <w:r w:rsidRPr="00017581">
        <w:rPr>
          <w:rFonts w:ascii="Arial" w:hAnsi="Arial" w:cs="Arial"/>
          <w:color w:val="000000" w:themeColor="text1"/>
          <w:sz w:val="20"/>
          <w:szCs w:val="20"/>
        </w:rPr>
        <w:t>Livestock management practices;</w:t>
      </w:r>
      <w:r w:rsidR="000B2D7E" w:rsidRPr="00017581">
        <w:rPr>
          <w:rFonts w:ascii="Arial" w:hAnsi="Arial" w:cs="Arial"/>
          <w:color w:val="000000" w:themeColor="text1"/>
          <w:sz w:val="20"/>
          <w:szCs w:val="20"/>
        </w:rPr>
        <w:t xml:space="preserve"> </w:t>
      </w:r>
      <w:r w:rsidRPr="00017581">
        <w:rPr>
          <w:rFonts w:ascii="Arial" w:hAnsi="Arial" w:cs="Arial"/>
          <w:color w:val="000000" w:themeColor="text1"/>
          <w:sz w:val="20"/>
          <w:szCs w:val="20"/>
        </w:rPr>
        <w:t>Proximity to forest boundary/water sources</w:t>
      </w:r>
      <w:r w:rsidR="00DB15C6">
        <w:rPr>
          <w:rFonts w:ascii="Arial" w:hAnsi="Arial" w:cs="Arial"/>
          <w:color w:val="000000" w:themeColor="text1"/>
          <w:sz w:val="20"/>
          <w:szCs w:val="20"/>
        </w:rPr>
        <w:t xml:space="preserve"> (</w:t>
      </w:r>
      <w:r w:rsidR="00DB15C6" w:rsidRPr="00017581">
        <w:rPr>
          <w:rFonts w:ascii="Arial" w:hAnsi="Arial" w:cs="Arial"/>
          <w:color w:val="000000" w:themeColor="text1"/>
          <w:sz w:val="20"/>
          <w:szCs w:val="20"/>
        </w:rPr>
        <w:t>Everard</w:t>
      </w:r>
      <w:r w:rsidR="00DB15C6">
        <w:rPr>
          <w:rFonts w:ascii="Arial" w:hAnsi="Arial" w:cs="Arial"/>
          <w:color w:val="000000" w:themeColor="text1"/>
          <w:sz w:val="20"/>
          <w:szCs w:val="20"/>
        </w:rPr>
        <w:t xml:space="preserve"> et al., 2018)</w:t>
      </w:r>
      <w:r w:rsidRPr="00017581">
        <w:rPr>
          <w:rFonts w:ascii="Arial" w:hAnsi="Arial" w:cs="Arial"/>
          <w:color w:val="000000" w:themeColor="text1"/>
          <w:sz w:val="20"/>
          <w:szCs w:val="20"/>
        </w:rPr>
        <w:t>;</w:t>
      </w:r>
      <w:r w:rsidR="000B2D7E" w:rsidRPr="00017581">
        <w:rPr>
          <w:rFonts w:ascii="Arial" w:hAnsi="Arial" w:cs="Arial"/>
          <w:color w:val="000000" w:themeColor="text1"/>
          <w:sz w:val="20"/>
          <w:szCs w:val="20"/>
        </w:rPr>
        <w:t xml:space="preserve"> </w:t>
      </w:r>
      <w:r w:rsidRPr="00017581">
        <w:rPr>
          <w:rFonts w:ascii="Arial" w:hAnsi="Arial" w:cs="Arial"/>
          <w:color w:val="000000" w:themeColor="text1"/>
          <w:sz w:val="20"/>
          <w:szCs w:val="20"/>
        </w:rPr>
        <w:t>Availability of predator-proof sheds</w:t>
      </w:r>
      <w:r w:rsidR="00B8007A" w:rsidRPr="00017581">
        <w:rPr>
          <w:rFonts w:ascii="Arial" w:hAnsi="Arial" w:cs="Arial"/>
          <w:color w:val="000000" w:themeColor="text1"/>
          <w:sz w:val="20"/>
          <w:szCs w:val="20"/>
        </w:rPr>
        <w:t>.</w:t>
      </w:r>
    </w:p>
    <w:p w14:paraId="0777985C" w14:textId="774938CF" w:rsidR="00821C84" w:rsidRPr="00017581" w:rsidRDefault="00821C84"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Spatial Analysis</w:t>
      </w:r>
      <w:r w:rsidR="002A0E1E" w:rsidRPr="00017581">
        <w:rPr>
          <w:rFonts w:ascii="Arial" w:hAnsi="Arial" w:cs="Arial"/>
          <w:color w:val="000000" w:themeColor="text1"/>
          <w:sz w:val="20"/>
          <w:szCs w:val="20"/>
        </w:rPr>
        <w:t xml:space="preserve"> and Temporal Forest Staff/Resource Deployment</w:t>
      </w:r>
      <w:r w:rsidR="00B8007A" w:rsidRPr="00017581">
        <w:rPr>
          <w:rFonts w:ascii="Arial" w:hAnsi="Arial" w:cs="Arial"/>
          <w:color w:val="000000" w:themeColor="text1"/>
          <w:sz w:val="20"/>
          <w:szCs w:val="20"/>
        </w:rPr>
        <w:t xml:space="preserve">: </w:t>
      </w:r>
      <w:r w:rsidRPr="00017581">
        <w:rPr>
          <w:rFonts w:ascii="Arial" w:hAnsi="Arial" w:cs="Arial"/>
          <w:color w:val="000000" w:themeColor="text1"/>
          <w:sz w:val="20"/>
          <w:szCs w:val="20"/>
        </w:rPr>
        <w:t xml:space="preserve">GIS </w:t>
      </w:r>
      <w:r w:rsidR="002A0E1E" w:rsidRPr="00017581">
        <w:rPr>
          <w:rFonts w:ascii="Arial" w:hAnsi="Arial" w:cs="Arial"/>
          <w:color w:val="000000" w:themeColor="text1"/>
          <w:sz w:val="20"/>
          <w:szCs w:val="20"/>
        </w:rPr>
        <w:t>m</w:t>
      </w:r>
      <w:r w:rsidRPr="00017581">
        <w:rPr>
          <w:rFonts w:ascii="Arial" w:hAnsi="Arial" w:cs="Arial"/>
          <w:color w:val="000000" w:themeColor="text1"/>
          <w:sz w:val="20"/>
          <w:szCs w:val="20"/>
        </w:rPr>
        <w:t>apping</w:t>
      </w:r>
      <w:r w:rsidR="002A0E1E" w:rsidRPr="00017581">
        <w:rPr>
          <w:rFonts w:ascii="Arial" w:hAnsi="Arial" w:cs="Arial"/>
          <w:color w:val="000000" w:themeColor="text1"/>
          <w:sz w:val="20"/>
          <w:szCs w:val="20"/>
        </w:rPr>
        <w:t xml:space="preserve"> provides m</w:t>
      </w:r>
      <w:r w:rsidRPr="00017581">
        <w:rPr>
          <w:rFonts w:ascii="Arial" w:hAnsi="Arial" w:cs="Arial"/>
          <w:color w:val="000000" w:themeColor="text1"/>
          <w:sz w:val="20"/>
          <w:szCs w:val="20"/>
        </w:rPr>
        <w:t>onthly spatial distributions of incidents (2019–2023) mapped using GIS (Figures 1–12). Hotspots identified via spatial clustering.</w:t>
      </w:r>
      <w:r w:rsidR="00C44AF2" w:rsidRPr="00017581">
        <w:rPr>
          <w:rFonts w:ascii="Arial" w:hAnsi="Arial" w:cs="Arial"/>
          <w:color w:val="000000" w:themeColor="text1"/>
          <w:sz w:val="20"/>
          <w:szCs w:val="20"/>
        </w:rPr>
        <w:t xml:space="preserve"> Conflict incidents per month was used for forest staff deployment, where in forest staff/resource allocation was directly proportional to monthly conflict incidents in relation to annual maximum incidents. </w:t>
      </w:r>
    </w:p>
    <w:p w14:paraId="01CD4578" w14:textId="77777777" w:rsidR="00821C84" w:rsidRPr="00017581" w:rsidRDefault="00821C84" w:rsidP="00B8007A">
      <w:pPr>
        <w:spacing w:after="0" w:line="240" w:lineRule="auto"/>
        <w:jc w:val="both"/>
        <w:rPr>
          <w:rFonts w:ascii="Times New Roman" w:hAnsi="Times New Roman" w:cs="Times New Roman"/>
          <w:color w:val="000000" w:themeColor="text1"/>
          <w:lang w:val="en-US"/>
        </w:rPr>
      </w:pPr>
    </w:p>
    <w:p w14:paraId="30258333" w14:textId="232DB7EA" w:rsidR="005033EE" w:rsidRPr="00017581" w:rsidRDefault="005033EE" w:rsidP="00B8007A">
      <w:pPr>
        <w:spacing w:after="0" w:line="240" w:lineRule="auto"/>
        <w:jc w:val="center"/>
        <w:rPr>
          <w:rFonts w:ascii="Times New Roman" w:hAnsi="Times New Roman" w:cs="Times New Roman"/>
          <w:color w:val="000000" w:themeColor="text1"/>
          <w:lang w:val="en-US"/>
        </w:rPr>
      </w:pPr>
      <w:r w:rsidRPr="00017581">
        <w:rPr>
          <w:rFonts w:ascii="Times New Roman" w:hAnsi="Times New Roman" w:cs="Times New Roman"/>
          <w:noProof/>
          <w:color w:val="000000" w:themeColor="text1"/>
          <w:lang w:val="en-US"/>
        </w:rPr>
        <w:lastRenderedPageBreak/>
        <w:drawing>
          <wp:inline distT="0" distB="0" distL="0" distR="0" wp14:anchorId="13F0DF10" wp14:editId="3A49CA8C">
            <wp:extent cx="3879850" cy="2693021"/>
            <wp:effectExtent l="0" t="0" r="6350" b="0"/>
            <wp:docPr id="1194922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1790" cy="2701309"/>
                    </a:xfrm>
                    <a:prstGeom prst="rect">
                      <a:avLst/>
                    </a:prstGeom>
                    <a:noFill/>
                    <a:ln>
                      <a:noFill/>
                    </a:ln>
                  </pic:spPr>
                </pic:pic>
              </a:graphicData>
            </a:graphic>
          </wp:inline>
        </w:drawing>
      </w:r>
    </w:p>
    <w:p w14:paraId="2A271298" w14:textId="24CCDD64" w:rsidR="005033EE" w:rsidRDefault="005033EE" w:rsidP="00B8007A">
      <w:pPr>
        <w:spacing w:after="0" w:line="240" w:lineRule="auto"/>
        <w:jc w:val="both"/>
        <w:rPr>
          <w:rFonts w:ascii="Arial" w:hAnsi="Arial" w:cs="Arial"/>
          <w:color w:val="000000" w:themeColor="text1"/>
          <w:sz w:val="20"/>
          <w:szCs w:val="20"/>
        </w:rPr>
      </w:pPr>
      <w:r w:rsidRPr="00017581">
        <w:rPr>
          <w:rFonts w:ascii="Arial" w:hAnsi="Arial" w:cs="Arial"/>
          <w:b/>
          <w:bCs/>
          <w:color w:val="000000" w:themeColor="text1"/>
          <w:sz w:val="20"/>
          <w:szCs w:val="20"/>
        </w:rPr>
        <w:t>Figure 1:</w:t>
      </w:r>
      <w:r w:rsidRPr="00017581">
        <w:rPr>
          <w:rFonts w:ascii="Arial" w:hAnsi="Arial" w:cs="Arial"/>
          <w:color w:val="000000" w:themeColor="text1"/>
          <w:sz w:val="20"/>
          <w:szCs w:val="20"/>
        </w:rPr>
        <w:t xml:space="preserve"> Spatial Distribution of </w:t>
      </w:r>
      <w:r w:rsidR="00297F2E" w:rsidRPr="00017581">
        <w:rPr>
          <w:rFonts w:ascii="Arial" w:hAnsi="Arial" w:cs="Arial"/>
          <w:color w:val="000000" w:themeColor="text1"/>
          <w:sz w:val="20"/>
          <w:szCs w:val="20"/>
        </w:rPr>
        <w:t>HTC</w:t>
      </w:r>
      <w:r w:rsidRPr="00017581">
        <w:rPr>
          <w:rFonts w:ascii="Arial" w:hAnsi="Arial" w:cs="Arial"/>
          <w:color w:val="000000" w:themeColor="text1"/>
          <w:sz w:val="20"/>
          <w:szCs w:val="20"/>
        </w:rPr>
        <w:t xml:space="preserve"> Incidents during January (2019–2023) in and around </w:t>
      </w:r>
      <w:r w:rsidR="007F1938" w:rsidRPr="00017581">
        <w:rPr>
          <w:rFonts w:ascii="Arial" w:hAnsi="Arial" w:cs="Arial"/>
          <w:color w:val="000000" w:themeColor="text1"/>
          <w:sz w:val="20"/>
          <w:szCs w:val="20"/>
        </w:rPr>
        <w:t>NTR</w:t>
      </w:r>
      <w:r w:rsidRPr="00017581">
        <w:rPr>
          <w:rFonts w:ascii="Arial" w:hAnsi="Arial" w:cs="Arial"/>
          <w:color w:val="000000" w:themeColor="text1"/>
          <w:sz w:val="20"/>
          <w:szCs w:val="20"/>
        </w:rPr>
        <w:t>.</w:t>
      </w:r>
    </w:p>
    <w:p w14:paraId="6256053D" w14:textId="77777777" w:rsidR="0012636E" w:rsidRPr="00017581" w:rsidRDefault="0012636E" w:rsidP="00B8007A">
      <w:pPr>
        <w:spacing w:after="0" w:line="240" w:lineRule="auto"/>
        <w:jc w:val="both"/>
        <w:rPr>
          <w:rFonts w:ascii="Arial" w:hAnsi="Arial" w:cs="Arial"/>
          <w:color w:val="000000" w:themeColor="text1"/>
          <w:sz w:val="20"/>
          <w:szCs w:val="20"/>
        </w:rPr>
      </w:pPr>
    </w:p>
    <w:p w14:paraId="731C6794" w14:textId="36E2B7C5" w:rsidR="008D04D3" w:rsidRPr="00017581" w:rsidRDefault="005033EE"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The GIS map (Figure 1) visualizes the spatial distribution of 28 cumulative livestock predation incidents recorded during the month of January from 2019 to 2023 within and adjacent to </w:t>
      </w:r>
      <w:r w:rsidR="007F1938" w:rsidRPr="00017581">
        <w:rPr>
          <w:rFonts w:ascii="Arial" w:hAnsi="Arial" w:cs="Arial"/>
          <w:color w:val="000000" w:themeColor="text1"/>
          <w:sz w:val="20"/>
          <w:szCs w:val="20"/>
        </w:rPr>
        <w:t>NTR</w:t>
      </w:r>
      <w:r w:rsidRPr="00017581">
        <w:rPr>
          <w:rFonts w:ascii="Arial" w:hAnsi="Arial" w:cs="Arial"/>
          <w:color w:val="000000" w:themeColor="text1"/>
          <w:sz w:val="20"/>
          <w:szCs w:val="20"/>
        </w:rPr>
        <w:t xml:space="preserve">. The incidents exhibit significant clustering, predominantly along the forest-agriculture interface, confirming the "edge effect" as a primary driver of conflict. A high concentration of events is particularly evident in the </w:t>
      </w:r>
      <w:proofErr w:type="spellStart"/>
      <w:r w:rsidRPr="00017581">
        <w:rPr>
          <w:rFonts w:ascii="Arial" w:hAnsi="Arial" w:cs="Arial"/>
          <w:color w:val="000000" w:themeColor="text1"/>
          <w:sz w:val="20"/>
          <w:szCs w:val="20"/>
        </w:rPr>
        <w:t>northwestern</w:t>
      </w:r>
      <w:proofErr w:type="spellEnd"/>
      <w:r w:rsidRPr="00017581">
        <w:rPr>
          <w:rFonts w:ascii="Arial" w:hAnsi="Arial" w:cs="Arial"/>
          <w:color w:val="000000" w:themeColor="text1"/>
          <w:sz w:val="20"/>
          <w:szCs w:val="20"/>
        </w:rPr>
        <w:t xml:space="preserve"> sector, corresponding to ranges identified as conflict hotspots like </w:t>
      </w:r>
      <w:proofErr w:type="spellStart"/>
      <w:r w:rsidRPr="00017581">
        <w:rPr>
          <w:rFonts w:ascii="Arial" w:hAnsi="Arial" w:cs="Arial"/>
          <w:color w:val="000000" w:themeColor="text1"/>
          <w:sz w:val="20"/>
          <w:szCs w:val="20"/>
        </w:rPr>
        <w:t>Anechowkur</w:t>
      </w:r>
      <w:proofErr w:type="spellEnd"/>
      <w:r w:rsidRPr="00017581">
        <w:rPr>
          <w:rFonts w:ascii="Arial" w:hAnsi="Arial" w:cs="Arial"/>
          <w:color w:val="000000" w:themeColor="text1"/>
          <w:sz w:val="20"/>
          <w:szCs w:val="20"/>
        </w:rPr>
        <w:t xml:space="preserve"> and </w:t>
      </w:r>
      <w:proofErr w:type="spellStart"/>
      <w:r w:rsidRPr="00017581">
        <w:rPr>
          <w:rFonts w:ascii="Arial" w:hAnsi="Arial" w:cs="Arial"/>
          <w:color w:val="000000" w:themeColor="text1"/>
          <w:sz w:val="20"/>
          <w:szCs w:val="20"/>
        </w:rPr>
        <w:t>Veeranahosalli</w:t>
      </w:r>
      <w:proofErr w:type="spellEnd"/>
      <w:r w:rsidRPr="00017581">
        <w:rPr>
          <w:rFonts w:ascii="Arial" w:hAnsi="Arial" w:cs="Arial"/>
          <w:color w:val="000000" w:themeColor="text1"/>
          <w:sz w:val="20"/>
          <w:szCs w:val="20"/>
        </w:rPr>
        <w:t>. This geospatial representation substantiates the temporal analysis that identifies January as a peak conflict month, thereby providing a critical evidence base for deploying targeted mitigation strategies, such as enhanced patrolling and focused community engagement, in the most vulnerable areas.</w:t>
      </w:r>
    </w:p>
    <w:p w14:paraId="571E734C" w14:textId="01009F11" w:rsidR="008D04D3" w:rsidRPr="00017581" w:rsidRDefault="008D04D3" w:rsidP="00B8007A">
      <w:pPr>
        <w:spacing w:after="0" w:line="240" w:lineRule="auto"/>
        <w:jc w:val="center"/>
        <w:rPr>
          <w:rFonts w:ascii="Times New Roman" w:hAnsi="Times New Roman" w:cs="Times New Roman"/>
          <w:color w:val="000000" w:themeColor="text1"/>
        </w:rPr>
      </w:pPr>
      <w:r w:rsidRPr="00017581">
        <w:rPr>
          <w:rFonts w:ascii="Times New Roman" w:hAnsi="Times New Roman" w:cs="Times New Roman"/>
          <w:noProof/>
          <w:color w:val="000000" w:themeColor="text1"/>
        </w:rPr>
        <w:drawing>
          <wp:inline distT="0" distB="0" distL="0" distR="0" wp14:anchorId="35A2726C" wp14:editId="52B9BB0D">
            <wp:extent cx="4044950" cy="2820702"/>
            <wp:effectExtent l="0" t="0" r="0" b="0"/>
            <wp:docPr id="192547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8760" cy="2823359"/>
                    </a:xfrm>
                    <a:prstGeom prst="rect">
                      <a:avLst/>
                    </a:prstGeom>
                    <a:noFill/>
                    <a:ln>
                      <a:noFill/>
                    </a:ln>
                  </pic:spPr>
                </pic:pic>
              </a:graphicData>
            </a:graphic>
          </wp:inline>
        </w:drawing>
      </w:r>
    </w:p>
    <w:p w14:paraId="44C8E829" w14:textId="0CC2EEEF" w:rsidR="008D04D3" w:rsidRPr="00017581" w:rsidRDefault="008D04D3" w:rsidP="00B8007A">
      <w:pPr>
        <w:spacing w:after="0" w:line="240" w:lineRule="auto"/>
        <w:jc w:val="both"/>
        <w:rPr>
          <w:rFonts w:ascii="Arial" w:hAnsi="Arial" w:cs="Arial"/>
          <w:b/>
          <w:bCs/>
          <w:color w:val="000000" w:themeColor="text1"/>
          <w:sz w:val="20"/>
          <w:szCs w:val="20"/>
        </w:rPr>
      </w:pPr>
      <w:r w:rsidRPr="00017581">
        <w:rPr>
          <w:rFonts w:ascii="Arial" w:hAnsi="Arial" w:cs="Arial"/>
          <w:b/>
          <w:bCs/>
          <w:color w:val="000000" w:themeColor="text1"/>
          <w:sz w:val="20"/>
          <w:szCs w:val="20"/>
        </w:rPr>
        <w:t xml:space="preserve">Figure 2: </w:t>
      </w:r>
      <w:r w:rsidRPr="00017581">
        <w:rPr>
          <w:rFonts w:ascii="Arial" w:hAnsi="Arial" w:cs="Arial"/>
          <w:color w:val="000000" w:themeColor="text1"/>
          <w:sz w:val="20"/>
          <w:szCs w:val="20"/>
        </w:rPr>
        <w:t xml:space="preserve">Spatial Distribution of </w:t>
      </w:r>
      <w:r w:rsidR="00297F2E" w:rsidRPr="00017581">
        <w:rPr>
          <w:rFonts w:ascii="Arial" w:hAnsi="Arial" w:cs="Arial"/>
          <w:color w:val="000000" w:themeColor="text1"/>
          <w:sz w:val="20"/>
          <w:szCs w:val="20"/>
        </w:rPr>
        <w:t>HTC</w:t>
      </w:r>
      <w:r w:rsidRPr="00017581">
        <w:rPr>
          <w:rFonts w:ascii="Arial" w:hAnsi="Arial" w:cs="Arial"/>
          <w:color w:val="000000" w:themeColor="text1"/>
          <w:sz w:val="20"/>
          <w:szCs w:val="20"/>
        </w:rPr>
        <w:t xml:space="preserve"> Incidents during February (2019–2023) in and around </w:t>
      </w:r>
      <w:r w:rsidR="007F1938" w:rsidRPr="00017581">
        <w:rPr>
          <w:rFonts w:ascii="Arial" w:hAnsi="Arial" w:cs="Arial"/>
          <w:color w:val="000000" w:themeColor="text1"/>
          <w:sz w:val="20"/>
          <w:szCs w:val="20"/>
        </w:rPr>
        <w:t>NTR</w:t>
      </w:r>
      <w:r w:rsidRPr="00017581">
        <w:rPr>
          <w:rFonts w:ascii="Arial" w:hAnsi="Arial" w:cs="Arial"/>
          <w:color w:val="000000" w:themeColor="text1"/>
          <w:sz w:val="20"/>
          <w:szCs w:val="20"/>
        </w:rPr>
        <w:t>.</w:t>
      </w:r>
    </w:p>
    <w:p w14:paraId="32275DB1" w14:textId="77777777" w:rsidR="008175E8" w:rsidRPr="00017581" w:rsidRDefault="008175E8" w:rsidP="00B8007A">
      <w:pPr>
        <w:spacing w:after="0" w:line="240" w:lineRule="auto"/>
        <w:jc w:val="both"/>
        <w:rPr>
          <w:rFonts w:ascii="Arial" w:hAnsi="Arial" w:cs="Arial"/>
          <w:b/>
          <w:bCs/>
          <w:color w:val="000000" w:themeColor="text1"/>
          <w:sz w:val="20"/>
          <w:szCs w:val="20"/>
        </w:rPr>
      </w:pPr>
    </w:p>
    <w:p w14:paraId="4D74820D" w14:textId="47A0AD57" w:rsidR="005033EE" w:rsidRPr="00017581" w:rsidRDefault="008D04D3"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Continuing the temporal analysis, the map (Figure 2) presents the spatial pattern of 27 cumulative livestock predation incidents recorded during the month of February from 2019 to 2023. The distribution of these events closely mirrors the pattern observed in January, with conflict locations predominantly concentrated along the forest-agriculture periphery. Significant clustering of incidents persists in the </w:t>
      </w:r>
      <w:proofErr w:type="spellStart"/>
      <w:r w:rsidRPr="00017581">
        <w:rPr>
          <w:rFonts w:ascii="Arial" w:hAnsi="Arial" w:cs="Arial"/>
          <w:color w:val="000000" w:themeColor="text1"/>
          <w:sz w:val="20"/>
          <w:szCs w:val="20"/>
        </w:rPr>
        <w:t>northwestern</w:t>
      </w:r>
      <w:proofErr w:type="spellEnd"/>
      <w:r w:rsidRPr="00017581">
        <w:rPr>
          <w:rFonts w:ascii="Arial" w:hAnsi="Arial" w:cs="Arial"/>
          <w:color w:val="000000" w:themeColor="text1"/>
          <w:sz w:val="20"/>
          <w:szCs w:val="20"/>
        </w:rPr>
        <w:t xml:space="preserve"> ranges, such as </w:t>
      </w:r>
      <w:proofErr w:type="spellStart"/>
      <w:r w:rsidRPr="00017581">
        <w:rPr>
          <w:rFonts w:ascii="Arial" w:hAnsi="Arial" w:cs="Arial"/>
          <w:color w:val="000000" w:themeColor="text1"/>
          <w:sz w:val="20"/>
          <w:szCs w:val="20"/>
        </w:rPr>
        <w:t>Anechowkur</w:t>
      </w:r>
      <w:proofErr w:type="spellEnd"/>
      <w:r w:rsidRPr="00017581">
        <w:rPr>
          <w:rFonts w:ascii="Arial" w:hAnsi="Arial" w:cs="Arial"/>
          <w:color w:val="000000" w:themeColor="text1"/>
          <w:sz w:val="20"/>
          <w:szCs w:val="20"/>
        </w:rPr>
        <w:t xml:space="preserve"> and </w:t>
      </w:r>
      <w:proofErr w:type="spellStart"/>
      <w:r w:rsidRPr="00017581">
        <w:rPr>
          <w:rFonts w:ascii="Arial" w:hAnsi="Arial" w:cs="Arial"/>
          <w:color w:val="000000" w:themeColor="text1"/>
          <w:sz w:val="20"/>
          <w:szCs w:val="20"/>
        </w:rPr>
        <w:t>Veeranahosalli</w:t>
      </w:r>
      <w:proofErr w:type="spellEnd"/>
      <w:r w:rsidRPr="00017581">
        <w:rPr>
          <w:rFonts w:ascii="Arial" w:hAnsi="Arial" w:cs="Arial"/>
          <w:color w:val="000000" w:themeColor="text1"/>
          <w:sz w:val="20"/>
          <w:szCs w:val="20"/>
        </w:rPr>
        <w:t xml:space="preserve">, reinforcing their status as primary conflict hotspots. The high number of incidents in February, comparable to that of January, provides compelling evidence of a sustained period of heightened </w:t>
      </w:r>
      <w:r w:rsidR="00297F2E" w:rsidRPr="00017581">
        <w:rPr>
          <w:rFonts w:ascii="Arial" w:hAnsi="Arial" w:cs="Arial"/>
          <w:color w:val="000000" w:themeColor="text1"/>
          <w:sz w:val="20"/>
          <w:szCs w:val="20"/>
        </w:rPr>
        <w:t>HTC</w:t>
      </w:r>
      <w:r w:rsidRPr="00017581">
        <w:rPr>
          <w:rFonts w:ascii="Arial" w:hAnsi="Arial" w:cs="Arial"/>
          <w:color w:val="000000" w:themeColor="text1"/>
          <w:sz w:val="20"/>
          <w:szCs w:val="20"/>
        </w:rPr>
        <w:t xml:space="preserve"> during the dry winter months. This consistency underscores the necessity for continuous and proactive mitigation measures throughout this identified high-risk season, rather than responding to monthly fluctuations.</w:t>
      </w:r>
    </w:p>
    <w:p w14:paraId="1B550485" w14:textId="34CAA480" w:rsidR="00BD09F2" w:rsidRPr="00017581" w:rsidRDefault="009C6A0A" w:rsidP="00B8007A">
      <w:pPr>
        <w:spacing w:after="0" w:line="240" w:lineRule="auto"/>
        <w:jc w:val="center"/>
        <w:rPr>
          <w:rFonts w:ascii="Times New Roman" w:hAnsi="Times New Roman" w:cs="Times New Roman"/>
          <w:color w:val="000000" w:themeColor="text1"/>
          <w:lang w:val="en-US"/>
        </w:rPr>
      </w:pPr>
      <w:r w:rsidRPr="00017581">
        <w:rPr>
          <w:rFonts w:ascii="Times New Roman" w:hAnsi="Times New Roman" w:cs="Times New Roman"/>
          <w:noProof/>
          <w:color w:val="000000" w:themeColor="text1"/>
          <w:lang w:val="en-US"/>
        </w:rPr>
        <w:lastRenderedPageBreak/>
        <w:drawing>
          <wp:inline distT="0" distB="0" distL="0" distR="0" wp14:anchorId="01B28BD2" wp14:editId="6AF4F722">
            <wp:extent cx="3781926" cy="2628900"/>
            <wp:effectExtent l="0" t="0" r="9525" b="0"/>
            <wp:docPr id="306890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4457" cy="2630660"/>
                    </a:xfrm>
                    <a:prstGeom prst="rect">
                      <a:avLst/>
                    </a:prstGeom>
                    <a:noFill/>
                    <a:ln>
                      <a:noFill/>
                    </a:ln>
                  </pic:spPr>
                </pic:pic>
              </a:graphicData>
            </a:graphic>
          </wp:inline>
        </w:drawing>
      </w:r>
    </w:p>
    <w:p w14:paraId="16D37A3F" w14:textId="20C81F48" w:rsidR="009C6A0A" w:rsidRDefault="009C6A0A" w:rsidP="00B8007A">
      <w:pPr>
        <w:spacing w:after="0" w:line="240" w:lineRule="auto"/>
        <w:jc w:val="both"/>
        <w:rPr>
          <w:rFonts w:ascii="Arial" w:hAnsi="Arial" w:cs="Arial"/>
          <w:color w:val="000000" w:themeColor="text1"/>
          <w:sz w:val="20"/>
          <w:szCs w:val="20"/>
        </w:rPr>
      </w:pPr>
      <w:r w:rsidRPr="00017581">
        <w:rPr>
          <w:rFonts w:ascii="Arial" w:hAnsi="Arial" w:cs="Arial"/>
          <w:b/>
          <w:bCs/>
          <w:color w:val="000000" w:themeColor="text1"/>
          <w:sz w:val="20"/>
          <w:szCs w:val="20"/>
        </w:rPr>
        <w:t>Figure 3:</w:t>
      </w:r>
      <w:r w:rsidRPr="00017581">
        <w:rPr>
          <w:rFonts w:ascii="Arial" w:hAnsi="Arial" w:cs="Arial"/>
          <w:color w:val="000000" w:themeColor="text1"/>
          <w:sz w:val="20"/>
          <w:szCs w:val="20"/>
        </w:rPr>
        <w:t xml:space="preserve"> Spatial Distribution of </w:t>
      </w:r>
      <w:r w:rsidR="00297F2E" w:rsidRPr="00017581">
        <w:rPr>
          <w:rFonts w:ascii="Arial" w:hAnsi="Arial" w:cs="Arial"/>
          <w:color w:val="000000" w:themeColor="text1"/>
          <w:sz w:val="20"/>
          <w:szCs w:val="20"/>
        </w:rPr>
        <w:t>HTC</w:t>
      </w:r>
      <w:r w:rsidRPr="00017581">
        <w:rPr>
          <w:rFonts w:ascii="Arial" w:hAnsi="Arial" w:cs="Arial"/>
          <w:color w:val="000000" w:themeColor="text1"/>
          <w:sz w:val="20"/>
          <w:szCs w:val="20"/>
        </w:rPr>
        <w:t xml:space="preserve"> Incidents during March (2019–2023) in and around </w:t>
      </w:r>
      <w:r w:rsidR="007F1938" w:rsidRPr="00017581">
        <w:rPr>
          <w:rFonts w:ascii="Arial" w:hAnsi="Arial" w:cs="Arial"/>
          <w:color w:val="000000" w:themeColor="text1"/>
          <w:sz w:val="20"/>
          <w:szCs w:val="20"/>
        </w:rPr>
        <w:t>NTR</w:t>
      </w:r>
      <w:r w:rsidRPr="00017581">
        <w:rPr>
          <w:rFonts w:ascii="Arial" w:hAnsi="Arial" w:cs="Arial"/>
          <w:color w:val="000000" w:themeColor="text1"/>
          <w:sz w:val="20"/>
          <w:szCs w:val="20"/>
        </w:rPr>
        <w:t>.</w:t>
      </w:r>
    </w:p>
    <w:p w14:paraId="3864E100" w14:textId="77777777" w:rsidR="0012636E" w:rsidRPr="00017581" w:rsidRDefault="0012636E" w:rsidP="00B8007A">
      <w:pPr>
        <w:spacing w:after="0" w:line="240" w:lineRule="auto"/>
        <w:jc w:val="both"/>
        <w:rPr>
          <w:rFonts w:ascii="Arial" w:hAnsi="Arial" w:cs="Arial"/>
          <w:color w:val="000000" w:themeColor="text1"/>
          <w:sz w:val="20"/>
          <w:szCs w:val="20"/>
        </w:rPr>
      </w:pPr>
    </w:p>
    <w:p w14:paraId="0D73559F" w14:textId="55F9FC0E" w:rsidR="00BD09F2" w:rsidRPr="00017581" w:rsidRDefault="00BD09F2"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The spatial analysis for March (Figure 3) reveals 21 cumulative livestock predation incidents, continuing the trend of heightened conflict during the dry season. The geographical distribution of these events is largely consistent with the patterns observed in January and February, with a persistent concentration of conflicts in the </w:t>
      </w:r>
      <w:proofErr w:type="spellStart"/>
      <w:r w:rsidRPr="00017581">
        <w:rPr>
          <w:rFonts w:ascii="Arial" w:hAnsi="Arial" w:cs="Arial"/>
          <w:color w:val="000000" w:themeColor="text1"/>
          <w:sz w:val="20"/>
          <w:szCs w:val="20"/>
        </w:rPr>
        <w:t>northwestern</w:t>
      </w:r>
      <w:proofErr w:type="spellEnd"/>
      <w:r w:rsidRPr="00017581">
        <w:rPr>
          <w:rFonts w:ascii="Arial" w:hAnsi="Arial" w:cs="Arial"/>
          <w:color w:val="000000" w:themeColor="text1"/>
          <w:sz w:val="20"/>
          <w:szCs w:val="20"/>
        </w:rPr>
        <w:t xml:space="preserve"> hotspots and along the forest-agriculture interface. While the total number of incidents shows a slight decrease, it remains significantly high, confirming that March is an integral part of the high-risk period. The combined data from the first quarter of the year clearly delineates an extended season of elevated conflict, underscoring the need for forest managers to maintain intensive and sustained mitigation protocols from January through March.</w:t>
      </w:r>
    </w:p>
    <w:p w14:paraId="46467DC2" w14:textId="77777777" w:rsidR="00455788" w:rsidRPr="00017581" w:rsidRDefault="00455788" w:rsidP="00B8007A">
      <w:pPr>
        <w:spacing w:after="0" w:line="240" w:lineRule="auto"/>
        <w:jc w:val="both"/>
        <w:rPr>
          <w:rFonts w:ascii="Times New Roman" w:hAnsi="Times New Roman" w:cs="Times New Roman"/>
          <w:color w:val="000000" w:themeColor="text1"/>
        </w:rPr>
      </w:pPr>
    </w:p>
    <w:p w14:paraId="2F051EB1" w14:textId="0C0B5A6C" w:rsidR="00455788" w:rsidRPr="00017581" w:rsidRDefault="00C964AD" w:rsidP="00B8007A">
      <w:pPr>
        <w:spacing w:after="0" w:line="240" w:lineRule="auto"/>
        <w:jc w:val="center"/>
        <w:rPr>
          <w:rFonts w:ascii="Times New Roman" w:hAnsi="Times New Roman" w:cs="Times New Roman"/>
          <w:color w:val="000000" w:themeColor="text1"/>
          <w:lang w:val="en-US"/>
        </w:rPr>
      </w:pPr>
      <w:r w:rsidRPr="00017581">
        <w:rPr>
          <w:rFonts w:ascii="Times New Roman" w:hAnsi="Times New Roman" w:cs="Times New Roman"/>
          <w:noProof/>
          <w:color w:val="000000" w:themeColor="text1"/>
          <w:lang w:val="en-US"/>
        </w:rPr>
        <w:drawing>
          <wp:inline distT="0" distB="0" distL="0" distR="0" wp14:anchorId="7509CA6F" wp14:editId="4C837A3B">
            <wp:extent cx="3784600" cy="2633678"/>
            <wp:effectExtent l="0" t="0" r="6350" b="0"/>
            <wp:docPr id="13197927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7845" cy="2635936"/>
                    </a:xfrm>
                    <a:prstGeom prst="rect">
                      <a:avLst/>
                    </a:prstGeom>
                    <a:noFill/>
                    <a:ln>
                      <a:noFill/>
                    </a:ln>
                  </pic:spPr>
                </pic:pic>
              </a:graphicData>
            </a:graphic>
          </wp:inline>
        </w:drawing>
      </w:r>
    </w:p>
    <w:p w14:paraId="3CA2A3BF" w14:textId="77777777" w:rsidR="00E7597F" w:rsidRPr="00017581" w:rsidRDefault="00E7597F" w:rsidP="00B8007A">
      <w:pPr>
        <w:spacing w:after="0" w:line="240" w:lineRule="auto"/>
        <w:jc w:val="both"/>
        <w:rPr>
          <w:rFonts w:ascii="Times New Roman" w:hAnsi="Times New Roman" w:cs="Times New Roman"/>
          <w:color w:val="000000" w:themeColor="text1"/>
          <w:lang w:val="en-US"/>
        </w:rPr>
      </w:pPr>
    </w:p>
    <w:p w14:paraId="517C9011" w14:textId="3CD076B8" w:rsidR="00C964AD" w:rsidRPr="00017581" w:rsidRDefault="00C964AD" w:rsidP="00B8007A">
      <w:pPr>
        <w:spacing w:after="0" w:line="240" w:lineRule="auto"/>
        <w:jc w:val="both"/>
        <w:rPr>
          <w:rFonts w:ascii="Arial" w:hAnsi="Arial" w:cs="Arial"/>
          <w:color w:val="000000" w:themeColor="text1"/>
          <w:sz w:val="20"/>
          <w:szCs w:val="20"/>
        </w:rPr>
      </w:pPr>
      <w:r w:rsidRPr="00017581">
        <w:rPr>
          <w:rFonts w:ascii="Arial" w:hAnsi="Arial" w:cs="Arial"/>
          <w:b/>
          <w:bCs/>
          <w:color w:val="000000" w:themeColor="text1"/>
          <w:sz w:val="20"/>
          <w:szCs w:val="20"/>
        </w:rPr>
        <w:t>Figure 4:</w:t>
      </w:r>
      <w:r w:rsidRPr="00017581">
        <w:rPr>
          <w:rFonts w:ascii="Arial" w:hAnsi="Arial" w:cs="Arial"/>
          <w:color w:val="000000" w:themeColor="text1"/>
          <w:sz w:val="20"/>
          <w:szCs w:val="20"/>
        </w:rPr>
        <w:t xml:space="preserve"> Spatial Distribution of </w:t>
      </w:r>
      <w:r w:rsidR="00297F2E" w:rsidRPr="00017581">
        <w:rPr>
          <w:rFonts w:ascii="Arial" w:hAnsi="Arial" w:cs="Arial"/>
          <w:color w:val="000000" w:themeColor="text1"/>
          <w:sz w:val="20"/>
          <w:szCs w:val="20"/>
        </w:rPr>
        <w:t>HTC</w:t>
      </w:r>
      <w:r w:rsidRPr="00017581">
        <w:rPr>
          <w:rFonts w:ascii="Arial" w:hAnsi="Arial" w:cs="Arial"/>
          <w:color w:val="000000" w:themeColor="text1"/>
          <w:sz w:val="20"/>
          <w:szCs w:val="20"/>
        </w:rPr>
        <w:t xml:space="preserve"> Incidents during April (2019–2023) in and around </w:t>
      </w:r>
      <w:r w:rsidR="007F1938" w:rsidRPr="00017581">
        <w:rPr>
          <w:rFonts w:ascii="Arial" w:hAnsi="Arial" w:cs="Arial"/>
          <w:color w:val="000000" w:themeColor="text1"/>
          <w:sz w:val="20"/>
          <w:szCs w:val="20"/>
        </w:rPr>
        <w:t>NTR</w:t>
      </w:r>
      <w:r w:rsidRPr="00017581">
        <w:rPr>
          <w:rFonts w:ascii="Arial" w:hAnsi="Arial" w:cs="Arial"/>
          <w:color w:val="000000" w:themeColor="text1"/>
          <w:sz w:val="20"/>
          <w:szCs w:val="20"/>
        </w:rPr>
        <w:t>.</w:t>
      </w:r>
    </w:p>
    <w:p w14:paraId="7A98C2F8" w14:textId="77777777" w:rsidR="00C964AD" w:rsidRPr="00017581" w:rsidRDefault="00C964AD" w:rsidP="00B8007A">
      <w:pPr>
        <w:spacing w:after="0" w:line="240" w:lineRule="auto"/>
        <w:jc w:val="both"/>
        <w:rPr>
          <w:rFonts w:ascii="Times New Roman" w:hAnsi="Times New Roman" w:cs="Times New Roman"/>
          <w:color w:val="000000" w:themeColor="text1"/>
          <w:lang w:val="en-US"/>
        </w:rPr>
      </w:pPr>
    </w:p>
    <w:p w14:paraId="26F82A4B" w14:textId="77A408ED" w:rsidR="00C964AD" w:rsidRPr="00017581" w:rsidRDefault="00E7597F"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The GIS map for April </w:t>
      </w:r>
      <w:r w:rsidR="00C964AD" w:rsidRPr="00017581">
        <w:rPr>
          <w:rFonts w:ascii="Arial" w:hAnsi="Arial" w:cs="Arial"/>
          <w:color w:val="000000" w:themeColor="text1"/>
          <w:sz w:val="20"/>
          <w:szCs w:val="20"/>
        </w:rPr>
        <w:t xml:space="preserve">(2019–2023) </w:t>
      </w:r>
      <w:r w:rsidRPr="00017581">
        <w:rPr>
          <w:rFonts w:ascii="Arial" w:hAnsi="Arial" w:cs="Arial"/>
          <w:color w:val="000000" w:themeColor="text1"/>
          <w:sz w:val="20"/>
          <w:szCs w:val="20"/>
        </w:rPr>
        <w:t xml:space="preserve">reveals 15 cumulative livestock predation incidents between 2019 and 2023, indicating a significant decrease from the peak conflict observed in January, February, and March. Despite this reduction in frequency, the spatial distribution of incidents remains consistent, with events predominantly clustered along the forest-agriculture interface and within the </w:t>
      </w:r>
      <w:proofErr w:type="spellStart"/>
      <w:r w:rsidRPr="00017581">
        <w:rPr>
          <w:rFonts w:ascii="Arial" w:hAnsi="Arial" w:cs="Arial"/>
          <w:color w:val="000000" w:themeColor="text1"/>
          <w:sz w:val="20"/>
          <w:szCs w:val="20"/>
        </w:rPr>
        <w:t>northwestern</w:t>
      </w:r>
      <w:proofErr w:type="spellEnd"/>
      <w:r w:rsidRPr="00017581">
        <w:rPr>
          <w:rFonts w:ascii="Arial" w:hAnsi="Arial" w:cs="Arial"/>
          <w:color w:val="000000" w:themeColor="text1"/>
          <w:sz w:val="20"/>
          <w:szCs w:val="20"/>
        </w:rPr>
        <w:t xml:space="preserve"> hotspots like </w:t>
      </w:r>
      <w:proofErr w:type="spellStart"/>
      <w:r w:rsidRPr="00017581">
        <w:rPr>
          <w:rFonts w:ascii="Arial" w:hAnsi="Arial" w:cs="Arial"/>
          <w:color w:val="000000" w:themeColor="text1"/>
          <w:sz w:val="20"/>
          <w:szCs w:val="20"/>
        </w:rPr>
        <w:t>Anechowkur</w:t>
      </w:r>
      <w:proofErr w:type="spellEnd"/>
      <w:r w:rsidRPr="00017581">
        <w:rPr>
          <w:rFonts w:ascii="Arial" w:hAnsi="Arial" w:cs="Arial"/>
          <w:color w:val="000000" w:themeColor="text1"/>
          <w:sz w:val="20"/>
          <w:szCs w:val="20"/>
        </w:rPr>
        <w:t xml:space="preserve"> and </w:t>
      </w:r>
      <w:proofErr w:type="spellStart"/>
      <w:r w:rsidRPr="00017581">
        <w:rPr>
          <w:rFonts w:ascii="Arial" w:hAnsi="Arial" w:cs="Arial"/>
          <w:color w:val="000000" w:themeColor="text1"/>
          <w:sz w:val="20"/>
          <w:szCs w:val="20"/>
        </w:rPr>
        <w:t>Veeranahosalli</w:t>
      </w:r>
      <w:proofErr w:type="spellEnd"/>
      <w:r w:rsidRPr="00017581">
        <w:rPr>
          <w:rFonts w:ascii="Arial" w:hAnsi="Arial" w:cs="Arial"/>
          <w:color w:val="000000" w:themeColor="text1"/>
          <w:sz w:val="20"/>
          <w:szCs w:val="20"/>
        </w:rPr>
        <w:t xml:space="preserve">. This pattern confirms the continued influence of the "edge effect" on conflict occurrence, even as the overall intensity wanes. The April data is crucial for defining the temporal boundaries of the high-risk season, suggesting that the peak </w:t>
      </w:r>
      <w:r w:rsidR="00297F2E" w:rsidRPr="00017581">
        <w:rPr>
          <w:rFonts w:ascii="Arial" w:hAnsi="Arial" w:cs="Arial"/>
          <w:color w:val="000000" w:themeColor="text1"/>
          <w:sz w:val="20"/>
          <w:szCs w:val="20"/>
        </w:rPr>
        <w:t>HTC</w:t>
      </w:r>
      <w:r w:rsidRPr="00017581">
        <w:rPr>
          <w:rFonts w:ascii="Arial" w:hAnsi="Arial" w:cs="Arial"/>
          <w:color w:val="000000" w:themeColor="text1"/>
          <w:sz w:val="20"/>
          <w:szCs w:val="20"/>
        </w:rPr>
        <w:t xml:space="preserve"> period in </w:t>
      </w:r>
      <w:r w:rsidR="007F1938" w:rsidRPr="00017581">
        <w:rPr>
          <w:rFonts w:ascii="Arial" w:hAnsi="Arial" w:cs="Arial"/>
          <w:color w:val="000000" w:themeColor="text1"/>
          <w:sz w:val="20"/>
          <w:szCs w:val="20"/>
        </w:rPr>
        <w:t>NTR</w:t>
      </w:r>
      <w:r w:rsidRPr="00017581">
        <w:rPr>
          <w:rFonts w:ascii="Arial" w:hAnsi="Arial" w:cs="Arial"/>
          <w:color w:val="000000" w:themeColor="text1"/>
          <w:sz w:val="20"/>
          <w:szCs w:val="20"/>
        </w:rPr>
        <w:t xml:space="preserve"> likely concludes by the end of March, thereby informing the strategic scaling of mitigation efforts.</w:t>
      </w:r>
      <w:r w:rsidR="00C964AD" w:rsidRPr="00017581">
        <w:rPr>
          <w:rFonts w:ascii="Arial" w:hAnsi="Arial" w:cs="Arial"/>
          <w:color w:val="000000" w:themeColor="text1"/>
          <w:sz w:val="20"/>
          <w:szCs w:val="20"/>
        </w:rPr>
        <w:t xml:space="preserve"> </w:t>
      </w:r>
    </w:p>
    <w:p w14:paraId="27136C58" w14:textId="25C7AFD9" w:rsidR="00C964AD" w:rsidRPr="00017581" w:rsidRDefault="00C964AD" w:rsidP="00B8007A">
      <w:pPr>
        <w:spacing w:after="0" w:line="240" w:lineRule="auto"/>
        <w:jc w:val="center"/>
        <w:rPr>
          <w:rFonts w:ascii="Times New Roman" w:hAnsi="Times New Roman" w:cs="Times New Roman"/>
          <w:color w:val="000000" w:themeColor="text1"/>
        </w:rPr>
      </w:pPr>
      <w:r w:rsidRPr="00017581">
        <w:rPr>
          <w:rFonts w:ascii="Times New Roman" w:hAnsi="Times New Roman" w:cs="Times New Roman"/>
          <w:noProof/>
          <w:color w:val="000000" w:themeColor="text1"/>
        </w:rPr>
        <w:lastRenderedPageBreak/>
        <w:drawing>
          <wp:inline distT="0" distB="0" distL="0" distR="0" wp14:anchorId="5AAA4B78" wp14:editId="5B32F23A">
            <wp:extent cx="3975100" cy="2766247"/>
            <wp:effectExtent l="0" t="0" r="6350" b="0"/>
            <wp:docPr id="2099646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2781" cy="2771592"/>
                    </a:xfrm>
                    <a:prstGeom prst="rect">
                      <a:avLst/>
                    </a:prstGeom>
                    <a:noFill/>
                    <a:ln>
                      <a:noFill/>
                    </a:ln>
                  </pic:spPr>
                </pic:pic>
              </a:graphicData>
            </a:graphic>
          </wp:inline>
        </w:drawing>
      </w:r>
    </w:p>
    <w:p w14:paraId="2A59D42B" w14:textId="766D792A" w:rsidR="00C964AD" w:rsidRPr="00017581" w:rsidRDefault="00C964AD" w:rsidP="00B8007A">
      <w:pPr>
        <w:spacing w:after="0" w:line="240" w:lineRule="auto"/>
        <w:jc w:val="both"/>
        <w:rPr>
          <w:rFonts w:ascii="Arial" w:hAnsi="Arial" w:cs="Arial"/>
          <w:color w:val="000000" w:themeColor="text1"/>
          <w:sz w:val="20"/>
          <w:szCs w:val="20"/>
        </w:rPr>
      </w:pPr>
      <w:r w:rsidRPr="00017581">
        <w:rPr>
          <w:rFonts w:ascii="Arial" w:hAnsi="Arial" w:cs="Arial"/>
          <w:b/>
          <w:bCs/>
          <w:color w:val="000000" w:themeColor="text1"/>
          <w:sz w:val="20"/>
          <w:szCs w:val="20"/>
        </w:rPr>
        <w:t>Figure 5:</w:t>
      </w:r>
      <w:r w:rsidRPr="00017581">
        <w:rPr>
          <w:rFonts w:ascii="Arial" w:hAnsi="Arial" w:cs="Arial"/>
          <w:color w:val="000000" w:themeColor="text1"/>
          <w:sz w:val="20"/>
          <w:szCs w:val="20"/>
        </w:rPr>
        <w:t xml:space="preserve"> Spatial Distribution of </w:t>
      </w:r>
      <w:r w:rsidR="00297F2E" w:rsidRPr="00017581">
        <w:rPr>
          <w:rFonts w:ascii="Arial" w:hAnsi="Arial" w:cs="Arial"/>
          <w:color w:val="000000" w:themeColor="text1"/>
          <w:sz w:val="20"/>
          <w:szCs w:val="20"/>
        </w:rPr>
        <w:t>HTC</w:t>
      </w:r>
      <w:r w:rsidRPr="00017581">
        <w:rPr>
          <w:rFonts w:ascii="Arial" w:hAnsi="Arial" w:cs="Arial"/>
          <w:color w:val="000000" w:themeColor="text1"/>
          <w:sz w:val="20"/>
          <w:szCs w:val="20"/>
        </w:rPr>
        <w:t xml:space="preserve"> Incidents during May (2019–2023) in and around </w:t>
      </w:r>
      <w:r w:rsidR="007F1938" w:rsidRPr="00017581">
        <w:rPr>
          <w:rFonts w:ascii="Arial" w:hAnsi="Arial" w:cs="Arial"/>
          <w:color w:val="000000" w:themeColor="text1"/>
          <w:sz w:val="20"/>
          <w:szCs w:val="20"/>
        </w:rPr>
        <w:t>NTR</w:t>
      </w:r>
      <w:r w:rsidRPr="00017581">
        <w:rPr>
          <w:rFonts w:ascii="Arial" w:hAnsi="Arial" w:cs="Arial"/>
          <w:color w:val="000000" w:themeColor="text1"/>
          <w:sz w:val="20"/>
          <w:szCs w:val="20"/>
        </w:rPr>
        <w:t>.</w:t>
      </w:r>
    </w:p>
    <w:p w14:paraId="1389D916" w14:textId="77777777" w:rsidR="00C964AD" w:rsidRPr="00017581" w:rsidRDefault="00C964AD" w:rsidP="00B8007A">
      <w:pPr>
        <w:spacing w:after="0" w:line="240" w:lineRule="auto"/>
        <w:jc w:val="both"/>
        <w:rPr>
          <w:rFonts w:ascii="Times New Roman" w:hAnsi="Times New Roman" w:cs="Times New Roman"/>
          <w:color w:val="000000" w:themeColor="text1"/>
        </w:rPr>
      </w:pPr>
    </w:p>
    <w:p w14:paraId="695D6E98" w14:textId="4989A94D" w:rsidR="00C964AD" w:rsidRPr="00017581" w:rsidRDefault="00C964AD"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The GIS map for May (2019–2023) shows 17 cumulative livestock predation incidents, a slight increase from April but significantly lower than the peak conflict months of January-March. The spatial distribution of these events remains concentrated along the forest-agriculture interface, confirming the persistent "edge effect." However, the May data also reveals a more dispersed pattern, with a new cluster of incidents emerging in the </w:t>
      </w:r>
      <w:proofErr w:type="spellStart"/>
      <w:r w:rsidRPr="00017581">
        <w:rPr>
          <w:rFonts w:ascii="Arial" w:hAnsi="Arial" w:cs="Arial"/>
          <w:color w:val="000000" w:themeColor="text1"/>
          <w:sz w:val="20"/>
          <w:szCs w:val="20"/>
        </w:rPr>
        <w:t>northeastern</w:t>
      </w:r>
      <w:proofErr w:type="spellEnd"/>
      <w:r w:rsidRPr="00017581">
        <w:rPr>
          <w:rFonts w:ascii="Arial" w:hAnsi="Arial" w:cs="Arial"/>
          <w:color w:val="000000" w:themeColor="text1"/>
          <w:sz w:val="20"/>
          <w:szCs w:val="20"/>
        </w:rPr>
        <w:t xml:space="preserve"> sector in addition to the consistent </w:t>
      </w:r>
      <w:proofErr w:type="spellStart"/>
      <w:r w:rsidRPr="00017581">
        <w:rPr>
          <w:rFonts w:ascii="Arial" w:hAnsi="Arial" w:cs="Arial"/>
          <w:color w:val="000000" w:themeColor="text1"/>
          <w:sz w:val="20"/>
          <w:szCs w:val="20"/>
        </w:rPr>
        <w:t>northwestern</w:t>
      </w:r>
      <w:proofErr w:type="spellEnd"/>
      <w:r w:rsidRPr="00017581">
        <w:rPr>
          <w:rFonts w:ascii="Arial" w:hAnsi="Arial" w:cs="Arial"/>
          <w:color w:val="000000" w:themeColor="text1"/>
          <w:sz w:val="20"/>
          <w:szCs w:val="20"/>
        </w:rPr>
        <w:t xml:space="preserve"> hotspots. This suggests a potential dynamic shift in conflict zones, highlighting the need for adaptive and proactive mitigation strategies beyond the identified peak season.</w:t>
      </w:r>
    </w:p>
    <w:p w14:paraId="7A351356" w14:textId="77777777" w:rsidR="00A315B8" w:rsidRPr="00017581" w:rsidRDefault="00A315B8" w:rsidP="00B8007A">
      <w:pPr>
        <w:spacing w:after="0" w:line="240" w:lineRule="auto"/>
        <w:jc w:val="both"/>
        <w:rPr>
          <w:rFonts w:ascii="Times New Roman" w:hAnsi="Times New Roman" w:cs="Times New Roman"/>
          <w:color w:val="000000" w:themeColor="text1"/>
        </w:rPr>
      </w:pPr>
    </w:p>
    <w:p w14:paraId="35F22BA3" w14:textId="703E5360" w:rsidR="00C44AF2" w:rsidRPr="00017581" w:rsidRDefault="00C44AF2"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The GIS map</w:t>
      </w:r>
      <w:r w:rsidR="0004318E" w:rsidRPr="00017581">
        <w:rPr>
          <w:rFonts w:ascii="Arial" w:hAnsi="Arial" w:cs="Arial"/>
          <w:color w:val="000000" w:themeColor="text1"/>
          <w:sz w:val="20"/>
          <w:szCs w:val="20"/>
        </w:rPr>
        <w:t xml:space="preserve"> (Figure 6) </w:t>
      </w:r>
      <w:r w:rsidRPr="00017581">
        <w:rPr>
          <w:rFonts w:ascii="Arial" w:hAnsi="Arial" w:cs="Arial"/>
          <w:color w:val="000000" w:themeColor="text1"/>
          <w:sz w:val="20"/>
          <w:szCs w:val="20"/>
        </w:rPr>
        <w:t xml:space="preserve">for June shows 9 cumulative livestock predation incidents recorded between 2019 and 2023. This is the lowest number of incidents observed since the start of the temporal analysis, reinforcing the trend of declining HTC after the dry season. The spatial pattern remains consistent, with a majority of incidents occurring along the forest-agriculture interface, particularly in the </w:t>
      </w:r>
      <w:proofErr w:type="spellStart"/>
      <w:r w:rsidRPr="00017581">
        <w:rPr>
          <w:rFonts w:ascii="Arial" w:hAnsi="Arial" w:cs="Arial"/>
          <w:color w:val="000000" w:themeColor="text1"/>
          <w:sz w:val="20"/>
          <w:szCs w:val="20"/>
        </w:rPr>
        <w:t>northwestern</w:t>
      </w:r>
      <w:proofErr w:type="spellEnd"/>
      <w:r w:rsidRPr="00017581">
        <w:rPr>
          <w:rFonts w:ascii="Arial" w:hAnsi="Arial" w:cs="Arial"/>
          <w:color w:val="000000" w:themeColor="text1"/>
          <w:sz w:val="20"/>
          <w:szCs w:val="20"/>
        </w:rPr>
        <w:t xml:space="preserve"> sector which continues to act as a primary hotspot. This significant reduction in conflict frequency, in conjunction with the onset of the monsoon season, suggests that the change in weather and increased prey availability likely mitigates HTC.</w:t>
      </w:r>
    </w:p>
    <w:p w14:paraId="1C267AF0" w14:textId="7762D0F0" w:rsidR="00A315B8" w:rsidRPr="00017581" w:rsidRDefault="00A315B8" w:rsidP="00B8007A">
      <w:pPr>
        <w:spacing w:after="0" w:line="240" w:lineRule="auto"/>
        <w:jc w:val="center"/>
        <w:rPr>
          <w:rFonts w:ascii="Times New Roman" w:hAnsi="Times New Roman" w:cs="Times New Roman"/>
          <w:color w:val="000000" w:themeColor="text1"/>
        </w:rPr>
      </w:pPr>
      <w:r w:rsidRPr="00017581">
        <w:rPr>
          <w:rFonts w:ascii="Times New Roman" w:hAnsi="Times New Roman" w:cs="Times New Roman"/>
          <w:noProof/>
          <w:color w:val="000000" w:themeColor="text1"/>
        </w:rPr>
        <w:drawing>
          <wp:inline distT="0" distB="0" distL="0" distR="0" wp14:anchorId="3E671554" wp14:editId="090335C8">
            <wp:extent cx="3784600" cy="2626563"/>
            <wp:effectExtent l="0" t="0" r="6350" b="2540"/>
            <wp:docPr id="2097525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9177" cy="2629739"/>
                    </a:xfrm>
                    <a:prstGeom prst="rect">
                      <a:avLst/>
                    </a:prstGeom>
                    <a:noFill/>
                    <a:ln>
                      <a:noFill/>
                    </a:ln>
                  </pic:spPr>
                </pic:pic>
              </a:graphicData>
            </a:graphic>
          </wp:inline>
        </w:drawing>
      </w:r>
    </w:p>
    <w:p w14:paraId="4E00D35F" w14:textId="5F80EF2B" w:rsidR="00A315B8" w:rsidRPr="00017581" w:rsidRDefault="00A315B8" w:rsidP="00B8007A">
      <w:pPr>
        <w:spacing w:after="0" w:line="240" w:lineRule="auto"/>
        <w:jc w:val="both"/>
        <w:rPr>
          <w:rFonts w:ascii="Arial" w:hAnsi="Arial" w:cs="Arial"/>
          <w:color w:val="000000" w:themeColor="text1"/>
          <w:sz w:val="20"/>
          <w:szCs w:val="20"/>
        </w:rPr>
      </w:pPr>
      <w:r w:rsidRPr="00017581">
        <w:rPr>
          <w:rFonts w:ascii="Arial" w:hAnsi="Arial" w:cs="Arial"/>
          <w:b/>
          <w:bCs/>
          <w:color w:val="000000" w:themeColor="text1"/>
          <w:sz w:val="20"/>
          <w:szCs w:val="20"/>
        </w:rPr>
        <w:t xml:space="preserve">Figure </w:t>
      </w:r>
      <w:r w:rsidR="00C0546C" w:rsidRPr="00017581">
        <w:rPr>
          <w:rFonts w:ascii="Arial" w:hAnsi="Arial" w:cs="Arial"/>
          <w:b/>
          <w:bCs/>
          <w:color w:val="000000" w:themeColor="text1"/>
          <w:sz w:val="20"/>
          <w:szCs w:val="20"/>
        </w:rPr>
        <w:t>6</w:t>
      </w:r>
      <w:r w:rsidRPr="00017581">
        <w:rPr>
          <w:rFonts w:ascii="Arial" w:hAnsi="Arial" w:cs="Arial"/>
          <w:b/>
          <w:bCs/>
          <w:color w:val="000000" w:themeColor="text1"/>
          <w:sz w:val="20"/>
          <w:szCs w:val="20"/>
        </w:rPr>
        <w:t>:</w:t>
      </w:r>
      <w:r w:rsidRPr="00017581">
        <w:rPr>
          <w:rFonts w:ascii="Arial" w:hAnsi="Arial" w:cs="Arial"/>
          <w:color w:val="000000" w:themeColor="text1"/>
          <w:sz w:val="20"/>
          <w:szCs w:val="20"/>
        </w:rPr>
        <w:t xml:space="preserve"> Spatial Distribution of </w:t>
      </w:r>
      <w:r w:rsidR="00297F2E" w:rsidRPr="00017581">
        <w:rPr>
          <w:rFonts w:ascii="Arial" w:hAnsi="Arial" w:cs="Arial"/>
          <w:color w:val="000000" w:themeColor="text1"/>
          <w:sz w:val="20"/>
          <w:szCs w:val="20"/>
        </w:rPr>
        <w:t>HTC</w:t>
      </w:r>
      <w:r w:rsidRPr="00017581">
        <w:rPr>
          <w:rFonts w:ascii="Arial" w:hAnsi="Arial" w:cs="Arial"/>
          <w:color w:val="000000" w:themeColor="text1"/>
          <w:sz w:val="20"/>
          <w:szCs w:val="20"/>
        </w:rPr>
        <w:t xml:space="preserve"> Incidents during June (2019–2023) in and around </w:t>
      </w:r>
      <w:r w:rsidR="007F1938" w:rsidRPr="00017581">
        <w:rPr>
          <w:rFonts w:ascii="Arial" w:hAnsi="Arial" w:cs="Arial"/>
          <w:color w:val="000000" w:themeColor="text1"/>
          <w:sz w:val="20"/>
          <w:szCs w:val="20"/>
        </w:rPr>
        <w:t>NTR</w:t>
      </w:r>
      <w:r w:rsidRPr="00017581">
        <w:rPr>
          <w:rFonts w:ascii="Arial" w:hAnsi="Arial" w:cs="Arial"/>
          <w:color w:val="000000" w:themeColor="text1"/>
          <w:sz w:val="20"/>
          <w:szCs w:val="20"/>
        </w:rPr>
        <w:t>.</w:t>
      </w:r>
    </w:p>
    <w:p w14:paraId="3F602006" w14:textId="77777777" w:rsidR="00A315B8" w:rsidRPr="00017581" w:rsidRDefault="00A315B8" w:rsidP="00B8007A">
      <w:pPr>
        <w:spacing w:after="0" w:line="240" w:lineRule="auto"/>
        <w:jc w:val="both"/>
        <w:rPr>
          <w:rFonts w:ascii="Times New Roman" w:hAnsi="Times New Roman" w:cs="Times New Roman"/>
          <w:color w:val="000000" w:themeColor="text1"/>
        </w:rPr>
      </w:pPr>
    </w:p>
    <w:p w14:paraId="6F52C946" w14:textId="230667A7" w:rsidR="008B28DB" w:rsidRPr="00017581" w:rsidRDefault="00A315B8"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This finding is crucial for developing a </w:t>
      </w:r>
      <w:r w:rsidR="00C44AF2" w:rsidRPr="00017581">
        <w:rPr>
          <w:rFonts w:ascii="Arial" w:hAnsi="Arial" w:cs="Arial"/>
          <w:color w:val="000000" w:themeColor="text1"/>
          <w:sz w:val="20"/>
          <w:szCs w:val="20"/>
        </w:rPr>
        <w:t>seasonally stratified</w:t>
      </w:r>
      <w:r w:rsidRPr="00017581">
        <w:rPr>
          <w:rFonts w:ascii="Arial" w:hAnsi="Arial" w:cs="Arial"/>
          <w:color w:val="000000" w:themeColor="text1"/>
          <w:sz w:val="20"/>
          <w:szCs w:val="20"/>
        </w:rPr>
        <w:t xml:space="preserve"> mitigation strategy, as it indicates that June marks a period of low conflict intensity, allowing for the reallocation of resources from intensive patrolling to other conservation activities.</w:t>
      </w:r>
    </w:p>
    <w:p w14:paraId="6D300C21" w14:textId="1DFC0266" w:rsidR="008B28DB" w:rsidRPr="00017581" w:rsidRDefault="008B28DB" w:rsidP="00B8007A">
      <w:pPr>
        <w:spacing w:after="0" w:line="240" w:lineRule="auto"/>
        <w:jc w:val="center"/>
        <w:rPr>
          <w:rFonts w:ascii="Times New Roman" w:hAnsi="Times New Roman" w:cs="Times New Roman"/>
          <w:color w:val="000000" w:themeColor="text1"/>
          <w:lang w:val="en-US"/>
        </w:rPr>
      </w:pPr>
      <w:r w:rsidRPr="00017581">
        <w:rPr>
          <w:rFonts w:ascii="Times New Roman" w:hAnsi="Times New Roman" w:cs="Times New Roman"/>
          <w:noProof/>
          <w:color w:val="000000" w:themeColor="text1"/>
          <w:lang w:val="en-US"/>
        </w:rPr>
        <w:lastRenderedPageBreak/>
        <w:drawing>
          <wp:inline distT="0" distB="0" distL="0" distR="0" wp14:anchorId="7A9E3D4E" wp14:editId="5813C1EB">
            <wp:extent cx="3898900" cy="2718856"/>
            <wp:effectExtent l="0" t="0" r="6350" b="5715"/>
            <wp:docPr id="749038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2610" cy="2721443"/>
                    </a:xfrm>
                    <a:prstGeom prst="rect">
                      <a:avLst/>
                    </a:prstGeom>
                    <a:noFill/>
                    <a:ln>
                      <a:noFill/>
                    </a:ln>
                  </pic:spPr>
                </pic:pic>
              </a:graphicData>
            </a:graphic>
          </wp:inline>
        </w:drawing>
      </w:r>
    </w:p>
    <w:p w14:paraId="40F26CCB" w14:textId="77777777" w:rsidR="008B28DB" w:rsidRPr="00017581" w:rsidRDefault="008B28DB" w:rsidP="00B8007A">
      <w:pPr>
        <w:spacing w:after="0" w:line="240" w:lineRule="auto"/>
        <w:jc w:val="both"/>
        <w:rPr>
          <w:rFonts w:ascii="Times New Roman" w:hAnsi="Times New Roman" w:cs="Times New Roman"/>
          <w:color w:val="000000" w:themeColor="text1"/>
          <w:lang w:val="en-US"/>
        </w:rPr>
      </w:pPr>
    </w:p>
    <w:p w14:paraId="4FE20CB7" w14:textId="70ADEB2A" w:rsidR="008B28DB" w:rsidRPr="00017581" w:rsidRDefault="008B28DB" w:rsidP="00B8007A">
      <w:pPr>
        <w:spacing w:after="0" w:line="240" w:lineRule="auto"/>
        <w:jc w:val="both"/>
        <w:rPr>
          <w:rFonts w:ascii="Arial" w:hAnsi="Arial" w:cs="Arial"/>
          <w:color w:val="000000" w:themeColor="text1"/>
          <w:sz w:val="20"/>
          <w:szCs w:val="20"/>
        </w:rPr>
      </w:pPr>
      <w:r w:rsidRPr="00017581">
        <w:rPr>
          <w:rFonts w:ascii="Arial" w:hAnsi="Arial" w:cs="Arial"/>
          <w:b/>
          <w:bCs/>
          <w:color w:val="000000" w:themeColor="text1"/>
          <w:sz w:val="20"/>
          <w:szCs w:val="20"/>
        </w:rPr>
        <w:t xml:space="preserve">Figure </w:t>
      </w:r>
      <w:r w:rsidR="00C0546C" w:rsidRPr="00017581">
        <w:rPr>
          <w:rFonts w:ascii="Arial" w:hAnsi="Arial" w:cs="Arial"/>
          <w:b/>
          <w:bCs/>
          <w:color w:val="000000" w:themeColor="text1"/>
          <w:sz w:val="20"/>
          <w:szCs w:val="20"/>
        </w:rPr>
        <w:t>7</w:t>
      </w:r>
      <w:r w:rsidRPr="00017581">
        <w:rPr>
          <w:rFonts w:ascii="Arial" w:hAnsi="Arial" w:cs="Arial"/>
          <w:b/>
          <w:bCs/>
          <w:color w:val="000000" w:themeColor="text1"/>
          <w:sz w:val="20"/>
          <w:szCs w:val="20"/>
        </w:rPr>
        <w:t>:</w:t>
      </w:r>
      <w:r w:rsidRPr="00017581">
        <w:rPr>
          <w:rFonts w:ascii="Arial" w:hAnsi="Arial" w:cs="Arial"/>
          <w:color w:val="000000" w:themeColor="text1"/>
          <w:sz w:val="20"/>
          <w:szCs w:val="20"/>
        </w:rPr>
        <w:t xml:space="preserve"> Spatial Distribution of </w:t>
      </w:r>
      <w:r w:rsidR="00297F2E" w:rsidRPr="00017581">
        <w:rPr>
          <w:rFonts w:ascii="Arial" w:hAnsi="Arial" w:cs="Arial"/>
          <w:color w:val="000000" w:themeColor="text1"/>
          <w:sz w:val="20"/>
          <w:szCs w:val="20"/>
        </w:rPr>
        <w:t>HTC</w:t>
      </w:r>
      <w:r w:rsidRPr="00017581">
        <w:rPr>
          <w:rFonts w:ascii="Arial" w:hAnsi="Arial" w:cs="Arial"/>
          <w:color w:val="000000" w:themeColor="text1"/>
          <w:sz w:val="20"/>
          <w:szCs w:val="20"/>
        </w:rPr>
        <w:t xml:space="preserve"> Incidents during Ju</w:t>
      </w:r>
      <w:r w:rsidR="00DE1985" w:rsidRPr="00017581">
        <w:rPr>
          <w:rFonts w:ascii="Arial" w:hAnsi="Arial" w:cs="Arial"/>
          <w:color w:val="000000" w:themeColor="text1"/>
          <w:sz w:val="20"/>
          <w:szCs w:val="20"/>
        </w:rPr>
        <w:t>ly</w:t>
      </w:r>
      <w:r w:rsidRPr="00017581">
        <w:rPr>
          <w:rFonts w:ascii="Arial" w:hAnsi="Arial" w:cs="Arial"/>
          <w:color w:val="000000" w:themeColor="text1"/>
          <w:sz w:val="20"/>
          <w:szCs w:val="20"/>
        </w:rPr>
        <w:t xml:space="preserve"> (2019–2023) in and around </w:t>
      </w:r>
      <w:r w:rsidR="007F1938" w:rsidRPr="00017581">
        <w:rPr>
          <w:rFonts w:ascii="Arial" w:hAnsi="Arial" w:cs="Arial"/>
          <w:color w:val="000000" w:themeColor="text1"/>
          <w:sz w:val="20"/>
          <w:szCs w:val="20"/>
        </w:rPr>
        <w:t>NTR</w:t>
      </w:r>
      <w:r w:rsidRPr="00017581">
        <w:rPr>
          <w:rFonts w:ascii="Arial" w:hAnsi="Arial" w:cs="Arial"/>
          <w:color w:val="000000" w:themeColor="text1"/>
          <w:sz w:val="20"/>
          <w:szCs w:val="20"/>
        </w:rPr>
        <w:t>.</w:t>
      </w:r>
    </w:p>
    <w:p w14:paraId="1DC5FF5B" w14:textId="77777777" w:rsidR="008B28DB" w:rsidRPr="00017581" w:rsidRDefault="008B28DB" w:rsidP="00B8007A">
      <w:pPr>
        <w:spacing w:after="0" w:line="240" w:lineRule="auto"/>
        <w:jc w:val="both"/>
        <w:rPr>
          <w:rFonts w:ascii="Times New Roman" w:hAnsi="Times New Roman" w:cs="Times New Roman"/>
          <w:color w:val="000000" w:themeColor="text1"/>
          <w:lang w:val="en-US"/>
        </w:rPr>
      </w:pPr>
    </w:p>
    <w:p w14:paraId="7279C5AB" w14:textId="31BFAEF7" w:rsidR="008B28DB" w:rsidRPr="00017581" w:rsidRDefault="008B28DB" w:rsidP="00B8007A">
      <w:pPr>
        <w:spacing w:after="0" w:line="240" w:lineRule="auto"/>
        <w:jc w:val="both"/>
        <w:rPr>
          <w:rFonts w:ascii="Arial" w:hAnsi="Arial" w:cs="Arial"/>
          <w:color w:val="000000" w:themeColor="text1"/>
          <w:sz w:val="20"/>
          <w:szCs w:val="20"/>
          <w:lang w:val="en-US"/>
        </w:rPr>
      </w:pPr>
      <w:r w:rsidRPr="00017581">
        <w:rPr>
          <w:rFonts w:ascii="Arial" w:hAnsi="Arial" w:cs="Arial"/>
          <w:color w:val="000000" w:themeColor="text1"/>
          <w:sz w:val="20"/>
          <w:szCs w:val="20"/>
          <w:lang w:val="en-US"/>
        </w:rPr>
        <w:t xml:space="preserve">The GIS map for July (Figure </w:t>
      </w:r>
      <w:r w:rsidR="00C0546C" w:rsidRPr="00017581">
        <w:rPr>
          <w:rFonts w:ascii="Arial" w:hAnsi="Arial" w:cs="Arial"/>
          <w:color w:val="000000" w:themeColor="text1"/>
          <w:sz w:val="20"/>
          <w:szCs w:val="20"/>
          <w:lang w:val="en-US"/>
        </w:rPr>
        <w:t>7</w:t>
      </w:r>
      <w:r w:rsidRPr="00017581">
        <w:rPr>
          <w:rFonts w:ascii="Arial" w:hAnsi="Arial" w:cs="Arial"/>
          <w:color w:val="000000" w:themeColor="text1"/>
          <w:sz w:val="20"/>
          <w:szCs w:val="20"/>
          <w:lang w:val="en-US"/>
        </w:rPr>
        <w:t xml:space="preserve">) documents 10 cumulative livestock predation incidents between 2019 and 2023, indicating a continued decline in </w:t>
      </w:r>
      <w:r w:rsidR="00297F2E" w:rsidRPr="00017581">
        <w:rPr>
          <w:rFonts w:ascii="Arial" w:hAnsi="Arial" w:cs="Arial"/>
          <w:color w:val="000000" w:themeColor="text1"/>
          <w:sz w:val="20"/>
          <w:szCs w:val="20"/>
          <w:lang w:val="en-US"/>
        </w:rPr>
        <w:t>HTC</w:t>
      </w:r>
      <w:r w:rsidRPr="00017581">
        <w:rPr>
          <w:rFonts w:ascii="Arial" w:hAnsi="Arial" w:cs="Arial"/>
          <w:color w:val="000000" w:themeColor="text1"/>
          <w:sz w:val="20"/>
          <w:szCs w:val="20"/>
          <w:lang w:val="en-US"/>
        </w:rPr>
        <w:t xml:space="preserve"> </w:t>
      </w:r>
      <w:r w:rsidR="00EB5D49" w:rsidRPr="00017581">
        <w:rPr>
          <w:rFonts w:ascii="Arial" w:hAnsi="Arial" w:cs="Arial"/>
          <w:color w:val="000000" w:themeColor="text1"/>
          <w:sz w:val="20"/>
          <w:szCs w:val="20"/>
          <w:lang w:val="en-US"/>
        </w:rPr>
        <w:t xml:space="preserve"> </w:t>
      </w:r>
      <w:r w:rsidRPr="00017581">
        <w:rPr>
          <w:rFonts w:ascii="Arial" w:hAnsi="Arial" w:cs="Arial"/>
          <w:color w:val="000000" w:themeColor="text1"/>
          <w:sz w:val="20"/>
          <w:szCs w:val="20"/>
          <w:lang w:val="en-US"/>
        </w:rPr>
        <w:t xml:space="preserve"> frequency following the peak dry-season months. Despite the reduced number of events, the spatial distribution remains consistent with earlier months, exhibiting pronounced clustering along the forest-agriculture interface and reaffirming the "edge effect" as a persistent driver of conflict. The northwestern ranges, particularly </w:t>
      </w:r>
      <w:proofErr w:type="spellStart"/>
      <w:r w:rsidRPr="00017581">
        <w:rPr>
          <w:rFonts w:ascii="Arial" w:hAnsi="Arial" w:cs="Arial"/>
          <w:color w:val="000000" w:themeColor="text1"/>
          <w:sz w:val="20"/>
          <w:szCs w:val="20"/>
          <w:lang w:val="en-US"/>
        </w:rPr>
        <w:t>Anechowkur</w:t>
      </w:r>
      <w:proofErr w:type="spellEnd"/>
      <w:r w:rsidRPr="00017581">
        <w:rPr>
          <w:rFonts w:ascii="Arial" w:hAnsi="Arial" w:cs="Arial"/>
          <w:color w:val="000000" w:themeColor="text1"/>
          <w:sz w:val="20"/>
          <w:szCs w:val="20"/>
          <w:lang w:val="en-US"/>
        </w:rPr>
        <w:t xml:space="preserve"> and </w:t>
      </w:r>
      <w:proofErr w:type="spellStart"/>
      <w:r w:rsidRPr="00017581">
        <w:rPr>
          <w:rFonts w:ascii="Arial" w:hAnsi="Arial" w:cs="Arial"/>
          <w:color w:val="000000" w:themeColor="text1"/>
          <w:sz w:val="20"/>
          <w:szCs w:val="20"/>
          <w:lang w:val="en-US"/>
        </w:rPr>
        <w:t>Veeranahosalli</w:t>
      </w:r>
      <w:proofErr w:type="spellEnd"/>
      <w:r w:rsidRPr="00017581">
        <w:rPr>
          <w:rFonts w:ascii="Arial" w:hAnsi="Arial" w:cs="Arial"/>
          <w:color w:val="000000" w:themeColor="text1"/>
          <w:sz w:val="20"/>
          <w:szCs w:val="20"/>
          <w:lang w:val="en-US"/>
        </w:rPr>
        <w:t>, continue to function as primary hotspots, underscoring their sustained vulnerability. This spatial continuity, despite seasonal variation in incident frequency, highlights the need for a stratified mitigation strategy that maintains targeted patrolling and community engagement in high-risk zones even during periods of lower conflict intensity. July thus represents a transitional phase in the HTC calendar, where proactive but scaled interventions remain essential to prevent resurgence and to monitor potential shifts in conflict geography.</w:t>
      </w:r>
    </w:p>
    <w:p w14:paraId="10965FB1" w14:textId="77777777" w:rsidR="00DE1985" w:rsidRPr="00017581" w:rsidRDefault="00DE1985" w:rsidP="00B8007A">
      <w:pPr>
        <w:spacing w:after="0" w:line="240" w:lineRule="auto"/>
        <w:jc w:val="both"/>
        <w:rPr>
          <w:rFonts w:ascii="Times New Roman" w:hAnsi="Times New Roman" w:cs="Times New Roman"/>
          <w:color w:val="000000" w:themeColor="text1"/>
        </w:rPr>
      </w:pPr>
    </w:p>
    <w:p w14:paraId="4B6EBA6B" w14:textId="73BD7F48" w:rsidR="00DE1985" w:rsidRPr="00017581" w:rsidRDefault="00DE1985" w:rsidP="00B8007A">
      <w:pPr>
        <w:spacing w:after="0" w:line="240" w:lineRule="auto"/>
        <w:jc w:val="center"/>
        <w:rPr>
          <w:rFonts w:ascii="Times New Roman" w:hAnsi="Times New Roman" w:cs="Times New Roman"/>
          <w:color w:val="000000" w:themeColor="text1"/>
        </w:rPr>
      </w:pPr>
      <w:r w:rsidRPr="00017581">
        <w:rPr>
          <w:rFonts w:ascii="Times New Roman" w:hAnsi="Times New Roman" w:cs="Times New Roman"/>
          <w:noProof/>
          <w:color w:val="000000" w:themeColor="text1"/>
        </w:rPr>
        <w:drawing>
          <wp:inline distT="0" distB="0" distL="0" distR="0" wp14:anchorId="3BD4609C" wp14:editId="2BF1032E">
            <wp:extent cx="3924300" cy="2714815"/>
            <wp:effectExtent l="0" t="0" r="0" b="9525"/>
            <wp:docPr id="10006076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6523" cy="2716353"/>
                    </a:xfrm>
                    <a:prstGeom prst="rect">
                      <a:avLst/>
                    </a:prstGeom>
                    <a:noFill/>
                    <a:ln>
                      <a:noFill/>
                    </a:ln>
                  </pic:spPr>
                </pic:pic>
              </a:graphicData>
            </a:graphic>
          </wp:inline>
        </w:drawing>
      </w:r>
    </w:p>
    <w:p w14:paraId="591CF120" w14:textId="2E9DE5BE" w:rsidR="00DE1985" w:rsidRPr="00017581" w:rsidRDefault="00DE1985" w:rsidP="00B8007A">
      <w:pPr>
        <w:spacing w:after="0" w:line="240" w:lineRule="auto"/>
        <w:jc w:val="both"/>
        <w:rPr>
          <w:rFonts w:ascii="Arial" w:hAnsi="Arial" w:cs="Arial"/>
          <w:color w:val="000000" w:themeColor="text1"/>
          <w:sz w:val="20"/>
          <w:szCs w:val="20"/>
        </w:rPr>
      </w:pPr>
      <w:r w:rsidRPr="00017581">
        <w:rPr>
          <w:rFonts w:ascii="Arial" w:hAnsi="Arial" w:cs="Arial"/>
          <w:b/>
          <w:bCs/>
          <w:color w:val="000000" w:themeColor="text1"/>
          <w:sz w:val="20"/>
          <w:szCs w:val="20"/>
        </w:rPr>
        <w:t xml:space="preserve">Figure </w:t>
      </w:r>
      <w:r w:rsidR="00C0546C" w:rsidRPr="00017581">
        <w:rPr>
          <w:rFonts w:ascii="Arial" w:hAnsi="Arial" w:cs="Arial"/>
          <w:b/>
          <w:bCs/>
          <w:color w:val="000000" w:themeColor="text1"/>
          <w:sz w:val="20"/>
          <w:szCs w:val="20"/>
        </w:rPr>
        <w:t>8</w:t>
      </w:r>
      <w:r w:rsidRPr="00017581">
        <w:rPr>
          <w:rFonts w:ascii="Arial" w:hAnsi="Arial" w:cs="Arial"/>
          <w:b/>
          <w:bCs/>
          <w:color w:val="000000" w:themeColor="text1"/>
          <w:sz w:val="20"/>
          <w:szCs w:val="20"/>
        </w:rPr>
        <w:t>:</w:t>
      </w:r>
      <w:r w:rsidRPr="00017581">
        <w:rPr>
          <w:rFonts w:ascii="Arial" w:hAnsi="Arial" w:cs="Arial"/>
          <w:color w:val="000000" w:themeColor="text1"/>
          <w:sz w:val="20"/>
          <w:szCs w:val="20"/>
        </w:rPr>
        <w:t xml:space="preserve"> Spatial Distribution of </w:t>
      </w:r>
      <w:r w:rsidR="00297F2E" w:rsidRPr="00017581">
        <w:rPr>
          <w:rFonts w:ascii="Arial" w:hAnsi="Arial" w:cs="Arial"/>
          <w:color w:val="000000" w:themeColor="text1"/>
          <w:sz w:val="20"/>
          <w:szCs w:val="20"/>
        </w:rPr>
        <w:t>HTC</w:t>
      </w:r>
      <w:r w:rsidRPr="00017581">
        <w:rPr>
          <w:rFonts w:ascii="Arial" w:hAnsi="Arial" w:cs="Arial"/>
          <w:color w:val="000000" w:themeColor="text1"/>
          <w:sz w:val="20"/>
          <w:szCs w:val="20"/>
        </w:rPr>
        <w:t xml:space="preserve"> Incidents during August (2019–2023) in and around </w:t>
      </w:r>
      <w:r w:rsidR="007F1938" w:rsidRPr="00017581">
        <w:rPr>
          <w:rFonts w:ascii="Arial" w:hAnsi="Arial" w:cs="Arial"/>
          <w:color w:val="000000" w:themeColor="text1"/>
          <w:sz w:val="20"/>
          <w:szCs w:val="20"/>
        </w:rPr>
        <w:t>NTR</w:t>
      </w:r>
      <w:r w:rsidRPr="00017581">
        <w:rPr>
          <w:rFonts w:ascii="Arial" w:hAnsi="Arial" w:cs="Arial"/>
          <w:color w:val="000000" w:themeColor="text1"/>
          <w:sz w:val="20"/>
          <w:szCs w:val="20"/>
        </w:rPr>
        <w:t>.</w:t>
      </w:r>
    </w:p>
    <w:p w14:paraId="7C6607F1" w14:textId="77777777" w:rsidR="00DE1985" w:rsidRPr="00017581" w:rsidRDefault="00DE1985" w:rsidP="00B8007A">
      <w:pPr>
        <w:spacing w:after="0" w:line="240" w:lineRule="auto"/>
        <w:jc w:val="both"/>
        <w:rPr>
          <w:rFonts w:ascii="Times New Roman" w:hAnsi="Times New Roman" w:cs="Times New Roman"/>
          <w:color w:val="000000" w:themeColor="text1"/>
        </w:rPr>
      </w:pPr>
    </w:p>
    <w:p w14:paraId="7F14402B" w14:textId="4385CD71" w:rsidR="00DE1985" w:rsidRPr="00017581" w:rsidRDefault="00DE1985" w:rsidP="00E358B9">
      <w:pPr>
        <w:spacing w:after="0" w:line="240" w:lineRule="auto"/>
        <w:jc w:val="both"/>
        <w:rPr>
          <w:rFonts w:ascii="Arial" w:hAnsi="Arial" w:cs="Arial"/>
          <w:noProof/>
          <w:color w:val="000000" w:themeColor="text1"/>
          <w:sz w:val="20"/>
          <w:szCs w:val="20"/>
        </w:rPr>
      </w:pPr>
      <w:r w:rsidRPr="00017581">
        <w:rPr>
          <w:rFonts w:ascii="Arial" w:hAnsi="Arial" w:cs="Arial"/>
          <w:noProof/>
          <w:color w:val="000000" w:themeColor="text1"/>
          <w:sz w:val="20"/>
          <w:szCs w:val="20"/>
        </w:rPr>
        <w:t xml:space="preserve">The GIS map for August (Figure </w:t>
      </w:r>
      <w:r w:rsidR="00C0546C" w:rsidRPr="00017581">
        <w:rPr>
          <w:rFonts w:ascii="Arial" w:hAnsi="Arial" w:cs="Arial"/>
          <w:noProof/>
          <w:color w:val="000000" w:themeColor="text1"/>
          <w:sz w:val="20"/>
          <w:szCs w:val="20"/>
        </w:rPr>
        <w:t>8</w:t>
      </w:r>
      <w:r w:rsidRPr="00017581">
        <w:rPr>
          <w:rFonts w:ascii="Arial" w:hAnsi="Arial" w:cs="Arial"/>
          <w:noProof/>
          <w:color w:val="000000" w:themeColor="text1"/>
          <w:sz w:val="20"/>
          <w:szCs w:val="20"/>
        </w:rPr>
        <w:t xml:space="preserve">) visualizes 11 cumulative livestock predation incidents recorded between 2019 and 2023, continuing the post-monsoon trend of reduced </w:t>
      </w:r>
      <w:r w:rsidR="00297F2E" w:rsidRPr="00017581">
        <w:rPr>
          <w:rFonts w:ascii="Arial" w:hAnsi="Arial" w:cs="Arial"/>
          <w:noProof/>
          <w:color w:val="000000" w:themeColor="text1"/>
          <w:sz w:val="20"/>
          <w:szCs w:val="20"/>
        </w:rPr>
        <w:t>HTC</w:t>
      </w:r>
      <w:r w:rsidRPr="00017581">
        <w:rPr>
          <w:rFonts w:ascii="Arial" w:hAnsi="Arial" w:cs="Arial"/>
          <w:noProof/>
          <w:color w:val="000000" w:themeColor="text1"/>
          <w:sz w:val="20"/>
          <w:szCs w:val="20"/>
        </w:rPr>
        <w:t xml:space="preserve"> </w:t>
      </w:r>
      <w:r w:rsidR="00EB5D49" w:rsidRPr="00017581">
        <w:rPr>
          <w:rFonts w:ascii="Arial" w:hAnsi="Arial" w:cs="Arial"/>
          <w:noProof/>
          <w:color w:val="000000" w:themeColor="text1"/>
          <w:sz w:val="20"/>
          <w:szCs w:val="20"/>
        </w:rPr>
        <w:t xml:space="preserve"> </w:t>
      </w:r>
      <w:r w:rsidRPr="00017581">
        <w:rPr>
          <w:rFonts w:ascii="Arial" w:hAnsi="Arial" w:cs="Arial"/>
          <w:noProof/>
          <w:color w:val="000000" w:themeColor="text1"/>
          <w:sz w:val="20"/>
          <w:szCs w:val="20"/>
        </w:rPr>
        <w:t xml:space="preserve"> frequency. The spatial distribution of incidents remains concentrated along the transitional zones between forest and agricultural land, reaffirming habitat-edge dynamics as a key driver of conflict. Notably, the northwestern ranges—particularly Anechowkur and Veeranahosalli—continue to exhibit clustering, underscoring their </w:t>
      </w:r>
      <w:r w:rsidRPr="00017581">
        <w:rPr>
          <w:rFonts w:ascii="Arial" w:hAnsi="Arial" w:cs="Arial"/>
          <w:noProof/>
          <w:color w:val="000000" w:themeColor="text1"/>
          <w:sz w:val="20"/>
          <w:szCs w:val="20"/>
        </w:rPr>
        <w:lastRenderedPageBreak/>
        <w:t>status as enduring conflict hotspots. The relatively low number of incidents, consistent with the declining trend observed from April through July, suggests that increased prey availability and vegetation cover during the monsoon months may contribute to reduced HTC. However, the spatial consistency of conflict zones across seasons highlights the need for year-round monitoring and adaptive mitigation strategies. August thus represents a period of low but spatially predictable conflict, reinforcing the importance of maintaining surveillance and community engagement in historically vulnerable areas.</w:t>
      </w:r>
    </w:p>
    <w:p w14:paraId="6709D175" w14:textId="77777777" w:rsidR="004C42DB" w:rsidRPr="00017581" w:rsidRDefault="004C42DB" w:rsidP="00B8007A">
      <w:pPr>
        <w:spacing w:after="0" w:line="240" w:lineRule="auto"/>
        <w:jc w:val="both"/>
        <w:rPr>
          <w:rFonts w:ascii="Times New Roman" w:hAnsi="Times New Roman" w:cs="Times New Roman"/>
          <w:color w:val="000000" w:themeColor="text1"/>
        </w:rPr>
      </w:pPr>
    </w:p>
    <w:p w14:paraId="3D5CDCB7" w14:textId="1FD85C59" w:rsidR="0004318E" w:rsidRPr="00017581" w:rsidRDefault="0004318E" w:rsidP="00B8007A">
      <w:pPr>
        <w:spacing w:after="0" w:line="240" w:lineRule="auto"/>
        <w:jc w:val="both"/>
        <w:rPr>
          <w:rFonts w:ascii="Arial" w:hAnsi="Arial" w:cs="Arial"/>
          <w:noProof/>
          <w:color w:val="000000" w:themeColor="text1"/>
          <w:sz w:val="20"/>
          <w:szCs w:val="20"/>
        </w:rPr>
      </w:pPr>
      <w:r w:rsidRPr="00017581">
        <w:rPr>
          <w:rFonts w:ascii="Arial" w:hAnsi="Arial" w:cs="Arial"/>
          <w:noProof/>
          <w:color w:val="000000" w:themeColor="text1"/>
          <w:sz w:val="20"/>
          <w:szCs w:val="20"/>
        </w:rPr>
        <w:t xml:space="preserve">The GIS map for September (Figure 9) displays 34 cumulative livestock predation incidents recorded between 2019 and 2023, marking a notable resurgence in HTC </w:t>
      </w:r>
      <w:r w:rsidR="00EB5D49" w:rsidRPr="00017581">
        <w:rPr>
          <w:rFonts w:ascii="Arial" w:hAnsi="Arial" w:cs="Arial"/>
          <w:noProof/>
          <w:color w:val="000000" w:themeColor="text1"/>
          <w:sz w:val="20"/>
          <w:szCs w:val="20"/>
        </w:rPr>
        <w:t xml:space="preserve"> </w:t>
      </w:r>
      <w:r w:rsidRPr="00017581">
        <w:rPr>
          <w:rFonts w:ascii="Arial" w:hAnsi="Arial" w:cs="Arial"/>
          <w:noProof/>
          <w:color w:val="000000" w:themeColor="text1"/>
          <w:sz w:val="20"/>
          <w:szCs w:val="20"/>
        </w:rPr>
        <w:t xml:space="preserve"> following the relatively low-intensity monsoon months. The spatial distribution of incidents is characterized by dense clustering along the forest-agriculture boundary, reaffirming habitat-edge dynamics as a persistent driver of conflict. The northwestern ranges, particularly Anechowkur and Veeranahosalli, continue to dominate as primary hotspots, while a few scattered incidents appear near the northeastern periphery, suggesting potential spatial expansion of conflict zones.</w:t>
      </w:r>
      <w:r w:rsidR="00E358B9" w:rsidRPr="00017581">
        <w:rPr>
          <w:rFonts w:ascii="Arial" w:hAnsi="Arial" w:cs="Arial"/>
          <w:noProof/>
          <w:color w:val="000000" w:themeColor="text1"/>
          <w:sz w:val="20"/>
          <w:szCs w:val="20"/>
        </w:rPr>
        <w:t xml:space="preserve"> </w:t>
      </w:r>
      <w:r w:rsidRPr="00017581">
        <w:rPr>
          <w:rFonts w:ascii="Arial" w:hAnsi="Arial" w:cs="Arial"/>
          <w:noProof/>
          <w:color w:val="000000" w:themeColor="text1"/>
          <w:sz w:val="20"/>
          <w:szCs w:val="20"/>
        </w:rPr>
        <w:t>The sharp increase in incident frequency compared to August indicates a seasonal shift, likely influenced by changes in prey movement, vegetation cover, and human activity post-monsoon.</w:t>
      </w:r>
    </w:p>
    <w:p w14:paraId="48B29372" w14:textId="77777777" w:rsidR="00E358B9" w:rsidRPr="00017581" w:rsidRDefault="00E358B9" w:rsidP="00B8007A">
      <w:pPr>
        <w:spacing w:after="0" w:line="240" w:lineRule="auto"/>
        <w:jc w:val="both"/>
        <w:rPr>
          <w:rFonts w:ascii="Arial" w:hAnsi="Arial" w:cs="Arial"/>
          <w:noProof/>
          <w:color w:val="000000" w:themeColor="text1"/>
          <w:sz w:val="20"/>
          <w:szCs w:val="20"/>
        </w:rPr>
      </w:pPr>
    </w:p>
    <w:p w14:paraId="402B8B1F" w14:textId="6B573658" w:rsidR="004C42DB" w:rsidRPr="00017581" w:rsidRDefault="004C42DB" w:rsidP="00B8007A">
      <w:pPr>
        <w:spacing w:after="0" w:line="240" w:lineRule="auto"/>
        <w:jc w:val="center"/>
        <w:rPr>
          <w:rFonts w:ascii="Times New Roman" w:hAnsi="Times New Roman" w:cs="Times New Roman"/>
          <w:color w:val="000000" w:themeColor="text1"/>
        </w:rPr>
      </w:pPr>
      <w:r w:rsidRPr="00017581">
        <w:rPr>
          <w:rFonts w:ascii="Times New Roman" w:hAnsi="Times New Roman" w:cs="Times New Roman"/>
          <w:noProof/>
          <w:color w:val="000000" w:themeColor="text1"/>
        </w:rPr>
        <w:drawing>
          <wp:inline distT="0" distB="0" distL="0" distR="0" wp14:anchorId="4FF4D4A0" wp14:editId="2871AC70">
            <wp:extent cx="3742219" cy="2597150"/>
            <wp:effectExtent l="0" t="0" r="0" b="0"/>
            <wp:docPr id="316737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3762" cy="2598221"/>
                    </a:xfrm>
                    <a:prstGeom prst="rect">
                      <a:avLst/>
                    </a:prstGeom>
                    <a:noFill/>
                    <a:ln>
                      <a:noFill/>
                    </a:ln>
                  </pic:spPr>
                </pic:pic>
              </a:graphicData>
            </a:graphic>
          </wp:inline>
        </w:drawing>
      </w:r>
    </w:p>
    <w:p w14:paraId="643AAE61" w14:textId="440A5883" w:rsidR="004C42DB" w:rsidRDefault="004C42DB" w:rsidP="00B8007A">
      <w:pPr>
        <w:spacing w:after="0" w:line="240" w:lineRule="auto"/>
        <w:jc w:val="both"/>
        <w:rPr>
          <w:rFonts w:ascii="Arial" w:hAnsi="Arial" w:cs="Arial"/>
          <w:color w:val="000000" w:themeColor="text1"/>
          <w:sz w:val="20"/>
          <w:szCs w:val="20"/>
        </w:rPr>
      </w:pPr>
      <w:r w:rsidRPr="00017581">
        <w:rPr>
          <w:rFonts w:ascii="Arial" w:hAnsi="Arial" w:cs="Arial"/>
          <w:b/>
          <w:bCs/>
          <w:color w:val="000000" w:themeColor="text1"/>
          <w:sz w:val="20"/>
          <w:szCs w:val="20"/>
        </w:rPr>
        <w:t xml:space="preserve">Figure </w:t>
      </w:r>
      <w:r w:rsidR="00C0546C" w:rsidRPr="00017581">
        <w:rPr>
          <w:rFonts w:ascii="Arial" w:hAnsi="Arial" w:cs="Arial"/>
          <w:b/>
          <w:bCs/>
          <w:color w:val="000000" w:themeColor="text1"/>
          <w:sz w:val="20"/>
          <w:szCs w:val="20"/>
        </w:rPr>
        <w:t>9</w:t>
      </w:r>
      <w:r w:rsidRPr="00017581">
        <w:rPr>
          <w:rFonts w:ascii="Arial" w:hAnsi="Arial" w:cs="Arial"/>
          <w:b/>
          <w:bCs/>
          <w:color w:val="000000" w:themeColor="text1"/>
          <w:sz w:val="20"/>
          <w:szCs w:val="20"/>
        </w:rPr>
        <w:t>:</w:t>
      </w:r>
      <w:r w:rsidRPr="00017581">
        <w:rPr>
          <w:rFonts w:ascii="Arial" w:hAnsi="Arial" w:cs="Arial"/>
          <w:color w:val="000000" w:themeColor="text1"/>
          <w:sz w:val="20"/>
          <w:szCs w:val="20"/>
        </w:rPr>
        <w:t xml:space="preserve"> Spatial Distribution of </w:t>
      </w:r>
      <w:r w:rsidR="00297F2E" w:rsidRPr="00017581">
        <w:rPr>
          <w:rFonts w:ascii="Arial" w:hAnsi="Arial" w:cs="Arial"/>
          <w:color w:val="000000" w:themeColor="text1"/>
          <w:sz w:val="20"/>
          <w:szCs w:val="20"/>
        </w:rPr>
        <w:t>HTC</w:t>
      </w:r>
      <w:r w:rsidRPr="00017581">
        <w:rPr>
          <w:rFonts w:ascii="Arial" w:hAnsi="Arial" w:cs="Arial"/>
          <w:color w:val="000000" w:themeColor="text1"/>
          <w:sz w:val="20"/>
          <w:szCs w:val="20"/>
        </w:rPr>
        <w:t xml:space="preserve"> Incidents during September (2019–2023) in and around </w:t>
      </w:r>
      <w:r w:rsidR="007F1938" w:rsidRPr="00017581">
        <w:rPr>
          <w:rFonts w:ascii="Arial" w:hAnsi="Arial" w:cs="Arial"/>
          <w:color w:val="000000" w:themeColor="text1"/>
          <w:sz w:val="20"/>
          <w:szCs w:val="20"/>
        </w:rPr>
        <w:t>NTR</w:t>
      </w:r>
      <w:r w:rsidRPr="00017581">
        <w:rPr>
          <w:rFonts w:ascii="Arial" w:hAnsi="Arial" w:cs="Arial"/>
          <w:color w:val="000000" w:themeColor="text1"/>
          <w:sz w:val="20"/>
          <w:szCs w:val="20"/>
        </w:rPr>
        <w:t>.</w:t>
      </w:r>
    </w:p>
    <w:p w14:paraId="5BF260EC" w14:textId="77777777" w:rsidR="0012636E" w:rsidRPr="00017581" w:rsidRDefault="0012636E" w:rsidP="00B8007A">
      <w:pPr>
        <w:spacing w:after="0" w:line="240" w:lineRule="auto"/>
        <w:jc w:val="both"/>
        <w:rPr>
          <w:rFonts w:ascii="Arial" w:hAnsi="Arial" w:cs="Arial"/>
          <w:color w:val="000000" w:themeColor="text1"/>
          <w:sz w:val="20"/>
          <w:szCs w:val="20"/>
        </w:rPr>
      </w:pPr>
    </w:p>
    <w:p w14:paraId="38DBE9CD" w14:textId="0D1EB05C" w:rsidR="00C0546C" w:rsidRPr="00017581" w:rsidRDefault="004C42DB" w:rsidP="00B8007A">
      <w:pPr>
        <w:spacing w:after="0" w:line="240" w:lineRule="auto"/>
        <w:jc w:val="both"/>
        <w:rPr>
          <w:rFonts w:ascii="Arial" w:hAnsi="Arial" w:cs="Arial"/>
          <w:noProof/>
          <w:color w:val="000000" w:themeColor="text1"/>
          <w:sz w:val="20"/>
          <w:szCs w:val="20"/>
        </w:rPr>
      </w:pPr>
      <w:r w:rsidRPr="00017581">
        <w:rPr>
          <w:rFonts w:ascii="Arial" w:hAnsi="Arial" w:cs="Arial"/>
          <w:noProof/>
          <w:color w:val="000000" w:themeColor="text1"/>
          <w:sz w:val="20"/>
          <w:szCs w:val="20"/>
        </w:rPr>
        <w:t>This spike underscores the importance of reactivating intensive mitigation protocols—including patrolling, livestock protection measures, and community outreach—at the onset of the post-monsoon period. September thus represents a critical inflection point in the HTC calendar, demanding heightened vigilance and adaptive management to preempt further escalation.</w:t>
      </w:r>
    </w:p>
    <w:p w14:paraId="1FC57E4E" w14:textId="77777777" w:rsidR="00C0546C" w:rsidRPr="00017581" w:rsidRDefault="00C0546C" w:rsidP="00B8007A">
      <w:pPr>
        <w:spacing w:after="0" w:line="240" w:lineRule="auto"/>
        <w:jc w:val="both"/>
        <w:rPr>
          <w:rFonts w:ascii="Times New Roman" w:hAnsi="Times New Roman" w:cs="Times New Roman"/>
          <w:color w:val="000000" w:themeColor="text1"/>
        </w:rPr>
      </w:pPr>
    </w:p>
    <w:p w14:paraId="539944B1" w14:textId="1BC84273" w:rsidR="00C0546C" w:rsidRPr="00017581" w:rsidRDefault="00C0546C" w:rsidP="00B8007A">
      <w:pPr>
        <w:spacing w:after="0" w:line="240" w:lineRule="auto"/>
        <w:jc w:val="center"/>
        <w:rPr>
          <w:rFonts w:ascii="Times New Roman" w:hAnsi="Times New Roman" w:cs="Times New Roman"/>
          <w:color w:val="000000" w:themeColor="text1"/>
        </w:rPr>
      </w:pPr>
      <w:r w:rsidRPr="00017581">
        <w:rPr>
          <w:rFonts w:ascii="Times New Roman" w:hAnsi="Times New Roman" w:cs="Times New Roman"/>
          <w:noProof/>
          <w:color w:val="000000" w:themeColor="text1"/>
        </w:rPr>
        <w:drawing>
          <wp:inline distT="0" distB="0" distL="0" distR="0" wp14:anchorId="3EEA6E36" wp14:editId="64D3B272">
            <wp:extent cx="3854450" cy="2673731"/>
            <wp:effectExtent l="0" t="0" r="0" b="0"/>
            <wp:docPr id="17047760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6131" cy="2674897"/>
                    </a:xfrm>
                    <a:prstGeom prst="rect">
                      <a:avLst/>
                    </a:prstGeom>
                    <a:noFill/>
                    <a:ln>
                      <a:noFill/>
                    </a:ln>
                  </pic:spPr>
                </pic:pic>
              </a:graphicData>
            </a:graphic>
          </wp:inline>
        </w:drawing>
      </w:r>
    </w:p>
    <w:p w14:paraId="575878AE" w14:textId="77777777" w:rsidR="00C0546C" w:rsidRPr="00017581" w:rsidRDefault="00C0546C" w:rsidP="00B8007A">
      <w:pPr>
        <w:spacing w:after="0" w:line="240" w:lineRule="auto"/>
        <w:jc w:val="both"/>
        <w:rPr>
          <w:rFonts w:ascii="Times New Roman" w:hAnsi="Times New Roman" w:cs="Times New Roman"/>
          <w:color w:val="000000" w:themeColor="text1"/>
        </w:rPr>
      </w:pPr>
    </w:p>
    <w:p w14:paraId="7EC431AF" w14:textId="1B2ABC59" w:rsidR="00C0546C" w:rsidRPr="00017581" w:rsidRDefault="00C0546C" w:rsidP="00B8007A">
      <w:pPr>
        <w:spacing w:after="0" w:line="240" w:lineRule="auto"/>
        <w:jc w:val="both"/>
        <w:rPr>
          <w:rFonts w:ascii="Arial" w:hAnsi="Arial" w:cs="Arial"/>
          <w:color w:val="000000" w:themeColor="text1"/>
          <w:sz w:val="20"/>
          <w:szCs w:val="20"/>
        </w:rPr>
      </w:pPr>
      <w:r w:rsidRPr="00017581">
        <w:rPr>
          <w:rFonts w:ascii="Arial" w:hAnsi="Arial" w:cs="Arial"/>
          <w:b/>
          <w:bCs/>
          <w:color w:val="000000" w:themeColor="text1"/>
          <w:sz w:val="20"/>
          <w:szCs w:val="20"/>
        </w:rPr>
        <w:t>Figure 10:</w:t>
      </w:r>
      <w:r w:rsidRPr="00017581">
        <w:rPr>
          <w:rFonts w:ascii="Arial" w:hAnsi="Arial" w:cs="Arial"/>
          <w:color w:val="000000" w:themeColor="text1"/>
          <w:sz w:val="20"/>
          <w:szCs w:val="20"/>
        </w:rPr>
        <w:t xml:space="preserve"> Spatial Distribution of </w:t>
      </w:r>
      <w:r w:rsidR="00297F2E" w:rsidRPr="00017581">
        <w:rPr>
          <w:rFonts w:ascii="Arial" w:hAnsi="Arial" w:cs="Arial"/>
          <w:color w:val="000000" w:themeColor="text1"/>
          <w:sz w:val="20"/>
          <w:szCs w:val="20"/>
        </w:rPr>
        <w:t>HTC</w:t>
      </w:r>
      <w:r w:rsidRPr="00017581">
        <w:rPr>
          <w:rFonts w:ascii="Arial" w:hAnsi="Arial" w:cs="Arial"/>
          <w:color w:val="000000" w:themeColor="text1"/>
          <w:sz w:val="20"/>
          <w:szCs w:val="20"/>
        </w:rPr>
        <w:t xml:space="preserve"> Incidents during October (2019–2023) in and around </w:t>
      </w:r>
      <w:r w:rsidR="007F1938" w:rsidRPr="00017581">
        <w:rPr>
          <w:rFonts w:ascii="Arial" w:hAnsi="Arial" w:cs="Arial"/>
          <w:color w:val="000000" w:themeColor="text1"/>
          <w:sz w:val="20"/>
          <w:szCs w:val="20"/>
        </w:rPr>
        <w:t>NTR</w:t>
      </w:r>
      <w:r w:rsidRPr="00017581">
        <w:rPr>
          <w:rFonts w:ascii="Arial" w:hAnsi="Arial" w:cs="Arial"/>
          <w:color w:val="000000" w:themeColor="text1"/>
          <w:sz w:val="20"/>
          <w:szCs w:val="20"/>
        </w:rPr>
        <w:t>.</w:t>
      </w:r>
    </w:p>
    <w:p w14:paraId="7C195720" w14:textId="77777777" w:rsidR="00832ACA" w:rsidRPr="00017581" w:rsidRDefault="00832ACA" w:rsidP="00B8007A">
      <w:pPr>
        <w:spacing w:after="0" w:line="240" w:lineRule="auto"/>
        <w:jc w:val="both"/>
        <w:rPr>
          <w:rFonts w:ascii="Arial" w:hAnsi="Arial" w:cs="Arial"/>
          <w:color w:val="000000" w:themeColor="text1"/>
          <w:sz w:val="20"/>
          <w:szCs w:val="20"/>
        </w:rPr>
      </w:pPr>
    </w:p>
    <w:p w14:paraId="0159BF96" w14:textId="33C8C098" w:rsidR="00C0546C" w:rsidRPr="00017581" w:rsidRDefault="00C0546C"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The GIS map for October documents 9 cumulative livestock predation incidents recorded between 2019 and 2023, representing a significant decrease from September's spike of 34 incidents and indicating stabilization of </w:t>
      </w:r>
      <w:r w:rsidR="00297F2E" w:rsidRPr="00017581">
        <w:rPr>
          <w:rFonts w:ascii="Arial" w:hAnsi="Arial" w:cs="Arial"/>
          <w:color w:val="000000" w:themeColor="text1"/>
          <w:sz w:val="20"/>
          <w:szCs w:val="20"/>
        </w:rPr>
        <w:t>HTC</w:t>
      </w:r>
      <w:r w:rsidRPr="00017581">
        <w:rPr>
          <w:rFonts w:ascii="Arial" w:hAnsi="Arial" w:cs="Arial"/>
          <w:color w:val="000000" w:themeColor="text1"/>
          <w:sz w:val="20"/>
          <w:szCs w:val="20"/>
        </w:rPr>
        <w:t xml:space="preserve"> </w:t>
      </w:r>
      <w:r w:rsidR="00EB5D49" w:rsidRPr="00017581">
        <w:rPr>
          <w:rFonts w:ascii="Arial" w:hAnsi="Arial" w:cs="Arial"/>
          <w:color w:val="000000" w:themeColor="text1"/>
          <w:sz w:val="20"/>
          <w:szCs w:val="20"/>
        </w:rPr>
        <w:t xml:space="preserve"> </w:t>
      </w:r>
      <w:r w:rsidRPr="00017581">
        <w:rPr>
          <w:rFonts w:ascii="Arial" w:hAnsi="Arial" w:cs="Arial"/>
          <w:color w:val="000000" w:themeColor="text1"/>
          <w:sz w:val="20"/>
          <w:szCs w:val="20"/>
        </w:rPr>
        <w:t xml:space="preserve"> following the post-monsoon surge. Despite reduced incident frequency, the spatial distribution maintains remarkable consistency with year-round patterns, exhibiting clear clustering along the forest-agriculture interface, particularly in the </w:t>
      </w:r>
      <w:proofErr w:type="spellStart"/>
      <w:r w:rsidRPr="00017581">
        <w:rPr>
          <w:rFonts w:ascii="Arial" w:hAnsi="Arial" w:cs="Arial"/>
          <w:color w:val="000000" w:themeColor="text1"/>
          <w:sz w:val="20"/>
          <w:szCs w:val="20"/>
        </w:rPr>
        <w:t>northwestern</w:t>
      </w:r>
      <w:proofErr w:type="spellEnd"/>
      <w:r w:rsidRPr="00017581">
        <w:rPr>
          <w:rFonts w:ascii="Arial" w:hAnsi="Arial" w:cs="Arial"/>
          <w:color w:val="000000" w:themeColor="text1"/>
          <w:sz w:val="20"/>
          <w:szCs w:val="20"/>
        </w:rPr>
        <w:t xml:space="preserve"> hotspots of </w:t>
      </w:r>
      <w:proofErr w:type="spellStart"/>
      <w:r w:rsidRPr="00017581">
        <w:rPr>
          <w:rFonts w:ascii="Arial" w:hAnsi="Arial" w:cs="Arial"/>
          <w:color w:val="000000" w:themeColor="text1"/>
          <w:sz w:val="20"/>
          <w:szCs w:val="20"/>
        </w:rPr>
        <w:t>Anechowkur</w:t>
      </w:r>
      <w:proofErr w:type="spellEnd"/>
      <w:r w:rsidRPr="00017581">
        <w:rPr>
          <w:rFonts w:ascii="Arial" w:hAnsi="Arial" w:cs="Arial"/>
          <w:color w:val="000000" w:themeColor="text1"/>
          <w:sz w:val="20"/>
          <w:szCs w:val="20"/>
        </w:rPr>
        <w:t xml:space="preserve"> and </w:t>
      </w:r>
      <w:proofErr w:type="spellStart"/>
      <w:r w:rsidRPr="00017581">
        <w:rPr>
          <w:rFonts w:ascii="Arial" w:hAnsi="Arial" w:cs="Arial"/>
          <w:color w:val="000000" w:themeColor="text1"/>
          <w:sz w:val="20"/>
          <w:szCs w:val="20"/>
        </w:rPr>
        <w:t>Veeranahosalli</w:t>
      </w:r>
      <w:proofErr w:type="spellEnd"/>
      <w:r w:rsidRPr="00017581">
        <w:rPr>
          <w:rFonts w:ascii="Arial" w:hAnsi="Arial" w:cs="Arial"/>
          <w:color w:val="000000" w:themeColor="text1"/>
          <w:sz w:val="20"/>
          <w:szCs w:val="20"/>
        </w:rPr>
        <w:t xml:space="preserve">, thereby reaffirming the "edge effect" as the persistent driver of conflict regardless of seasonal variations. October's incident count places it in the lower tier comparable to June (9) and July (10), but significantly below peak dry season months of January (28), February (27), and March (21), suggesting it represents part of the extended low-to-moderate conflict period characterizing post-monsoon months. The dramatic decrease from September indicates the post-monsoon surge may be a brief phenomenon related to prey dispersal patterns, vegetation cover changes, and resumption of agricultural activities. October thus represents a stabilization phase in the annual HTC cycle, where persistent spatial clustering in </w:t>
      </w:r>
      <w:proofErr w:type="spellStart"/>
      <w:r w:rsidRPr="00017581">
        <w:rPr>
          <w:rFonts w:ascii="Arial" w:hAnsi="Arial" w:cs="Arial"/>
          <w:color w:val="000000" w:themeColor="text1"/>
          <w:sz w:val="20"/>
          <w:szCs w:val="20"/>
        </w:rPr>
        <w:t>northwestern</w:t>
      </w:r>
      <w:proofErr w:type="spellEnd"/>
      <w:r w:rsidRPr="00017581">
        <w:rPr>
          <w:rFonts w:ascii="Arial" w:hAnsi="Arial" w:cs="Arial"/>
          <w:color w:val="000000" w:themeColor="text1"/>
          <w:sz w:val="20"/>
          <w:szCs w:val="20"/>
        </w:rPr>
        <w:t xml:space="preserve"> hotspots emphasizes the need for continued vigilance and targeted interventions in vulnerable zones, while serving as a critical bridge between post-monsoon surge and approaching dry season peak that requires adaptive management strategies capable of scaling effectively as conditions transition toward the high-risk January-March period.</w:t>
      </w:r>
    </w:p>
    <w:p w14:paraId="03ED3714" w14:textId="484B0A65" w:rsidR="00C0546C" w:rsidRPr="00017581" w:rsidRDefault="004C11CE" w:rsidP="00B8007A">
      <w:pPr>
        <w:spacing w:after="0" w:line="240" w:lineRule="auto"/>
        <w:jc w:val="center"/>
        <w:rPr>
          <w:rFonts w:ascii="Times New Roman" w:hAnsi="Times New Roman" w:cs="Times New Roman"/>
          <w:color w:val="000000" w:themeColor="text1"/>
        </w:rPr>
      </w:pPr>
      <w:r w:rsidRPr="00017581">
        <w:rPr>
          <w:rFonts w:ascii="Times New Roman" w:hAnsi="Times New Roman" w:cs="Times New Roman"/>
          <w:noProof/>
          <w:color w:val="000000" w:themeColor="text1"/>
        </w:rPr>
        <w:drawing>
          <wp:inline distT="0" distB="0" distL="0" distR="0" wp14:anchorId="3EDD163E" wp14:editId="0852A013">
            <wp:extent cx="4292600" cy="2985742"/>
            <wp:effectExtent l="0" t="0" r="0" b="5715"/>
            <wp:docPr id="20257937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5555" cy="2987797"/>
                    </a:xfrm>
                    <a:prstGeom prst="rect">
                      <a:avLst/>
                    </a:prstGeom>
                    <a:noFill/>
                    <a:ln>
                      <a:noFill/>
                    </a:ln>
                  </pic:spPr>
                </pic:pic>
              </a:graphicData>
            </a:graphic>
          </wp:inline>
        </w:drawing>
      </w:r>
    </w:p>
    <w:p w14:paraId="217B5801" w14:textId="4DA99E4D" w:rsidR="00C0546C" w:rsidRPr="00017581" w:rsidRDefault="00C0546C" w:rsidP="00B8007A">
      <w:pPr>
        <w:spacing w:after="0" w:line="240" w:lineRule="auto"/>
        <w:jc w:val="both"/>
        <w:rPr>
          <w:rFonts w:ascii="Arial" w:hAnsi="Arial" w:cs="Arial"/>
          <w:color w:val="000000" w:themeColor="text1"/>
          <w:sz w:val="20"/>
          <w:szCs w:val="20"/>
        </w:rPr>
      </w:pPr>
      <w:r w:rsidRPr="00017581">
        <w:rPr>
          <w:rFonts w:ascii="Arial" w:hAnsi="Arial" w:cs="Arial"/>
          <w:b/>
          <w:bCs/>
          <w:color w:val="000000" w:themeColor="text1"/>
          <w:sz w:val="20"/>
          <w:szCs w:val="20"/>
        </w:rPr>
        <w:t>Figure 1</w:t>
      </w:r>
      <w:r w:rsidR="004C11CE" w:rsidRPr="00017581">
        <w:rPr>
          <w:rFonts w:ascii="Arial" w:hAnsi="Arial" w:cs="Arial"/>
          <w:b/>
          <w:bCs/>
          <w:color w:val="000000" w:themeColor="text1"/>
          <w:sz w:val="20"/>
          <w:szCs w:val="20"/>
        </w:rPr>
        <w:t>1</w:t>
      </w:r>
      <w:r w:rsidRPr="00017581">
        <w:rPr>
          <w:rFonts w:ascii="Arial" w:hAnsi="Arial" w:cs="Arial"/>
          <w:b/>
          <w:bCs/>
          <w:color w:val="000000" w:themeColor="text1"/>
          <w:sz w:val="20"/>
          <w:szCs w:val="20"/>
        </w:rPr>
        <w:t>:</w:t>
      </w:r>
      <w:r w:rsidRPr="00017581">
        <w:rPr>
          <w:rFonts w:ascii="Arial" w:hAnsi="Arial" w:cs="Arial"/>
          <w:color w:val="000000" w:themeColor="text1"/>
          <w:sz w:val="20"/>
          <w:szCs w:val="20"/>
        </w:rPr>
        <w:t xml:space="preserve"> Spatial Distribution of </w:t>
      </w:r>
      <w:r w:rsidR="00297F2E" w:rsidRPr="00017581">
        <w:rPr>
          <w:rFonts w:ascii="Arial" w:hAnsi="Arial" w:cs="Arial"/>
          <w:color w:val="000000" w:themeColor="text1"/>
          <w:sz w:val="20"/>
          <w:szCs w:val="20"/>
        </w:rPr>
        <w:t>HTC</w:t>
      </w:r>
      <w:r w:rsidRPr="00017581">
        <w:rPr>
          <w:rFonts w:ascii="Arial" w:hAnsi="Arial" w:cs="Arial"/>
          <w:color w:val="000000" w:themeColor="text1"/>
          <w:sz w:val="20"/>
          <w:szCs w:val="20"/>
        </w:rPr>
        <w:t xml:space="preserve"> Incidents during November (2019–2023) in and around </w:t>
      </w:r>
      <w:r w:rsidR="007F1938" w:rsidRPr="00017581">
        <w:rPr>
          <w:rFonts w:ascii="Arial" w:hAnsi="Arial" w:cs="Arial"/>
          <w:color w:val="000000" w:themeColor="text1"/>
          <w:sz w:val="20"/>
          <w:szCs w:val="20"/>
        </w:rPr>
        <w:t>NTR</w:t>
      </w:r>
      <w:r w:rsidRPr="00017581">
        <w:rPr>
          <w:rFonts w:ascii="Arial" w:hAnsi="Arial" w:cs="Arial"/>
          <w:color w:val="000000" w:themeColor="text1"/>
          <w:sz w:val="20"/>
          <w:szCs w:val="20"/>
        </w:rPr>
        <w:t>.</w:t>
      </w:r>
    </w:p>
    <w:p w14:paraId="47D52675" w14:textId="77777777" w:rsidR="00832ACA" w:rsidRPr="00017581" w:rsidRDefault="00832ACA" w:rsidP="00B8007A">
      <w:pPr>
        <w:spacing w:after="0" w:line="240" w:lineRule="auto"/>
        <w:jc w:val="both"/>
        <w:rPr>
          <w:rFonts w:ascii="Arial" w:hAnsi="Arial" w:cs="Arial"/>
          <w:color w:val="000000" w:themeColor="text1"/>
          <w:sz w:val="20"/>
          <w:szCs w:val="20"/>
        </w:rPr>
      </w:pPr>
    </w:p>
    <w:p w14:paraId="2F73D893" w14:textId="5D45A524" w:rsidR="004A5790" w:rsidRPr="00017581" w:rsidRDefault="004C11CE"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The GIS map for November (Figure 11) documents 26 cumulative livestock predation incidents recorded between 2019 and 2023, representing a dramatic escalation in </w:t>
      </w:r>
      <w:r w:rsidR="00297F2E" w:rsidRPr="00017581">
        <w:rPr>
          <w:rFonts w:ascii="Arial" w:hAnsi="Arial" w:cs="Arial"/>
          <w:color w:val="000000" w:themeColor="text1"/>
          <w:sz w:val="20"/>
          <w:szCs w:val="20"/>
        </w:rPr>
        <w:t>HTC</w:t>
      </w:r>
      <w:r w:rsidRPr="00017581">
        <w:rPr>
          <w:rFonts w:ascii="Arial" w:hAnsi="Arial" w:cs="Arial"/>
          <w:color w:val="000000" w:themeColor="text1"/>
          <w:sz w:val="20"/>
          <w:szCs w:val="20"/>
        </w:rPr>
        <w:t xml:space="preserve"> </w:t>
      </w:r>
      <w:r w:rsidR="00EB5D49" w:rsidRPr="00017581">
        <w:rPr>
          <w:rFonts w:ascii="Arial" w:hAnsi="Arial" w:cs="Arial"/>
          <w:color w:val="000000" w:themeColor="text1"/>
          <w:sz w:val="20"/>
          <w:szCs w:val="20"/>
        </w:rPr>
        <w:t xml:space="preserve"> </w:t>
      </w:r>
      <w:r w:rsidRPr="00017581">
        <w:rPr>
          <w:rFonts w:ascii="Arial" w:hAnsi="Arial" w:cs="Arial"/>
          <w:color w:val="000000" w:themeColor="text1"/>
          <w:sz w:val="20"/>
          <w:szCs w:val="20"/>
        </w:rPr>
        <w:t xml:space="preserve"> from October's 9 incidents and approaching the intensity observed during peak dry season months of January (28), February (27), and March (21). The spatial distribution exhibits pronounced clustering along the forest-agriculture interface, with incidents concentrated in both the established </w:t>
      </w:r>
      <w:proofErr w:type="spellStart"/>
      <w:r w:rsidRPr="00017581">
        <w:rPr>
          <w:rFonts w:ascii="Arial" w:hAnsi="Arial" w:cs="Arial"/>
          <w:color w:val="000000" w:themeColor="text1"/>
          <w:sz w:val="20"/>
          <w:szCs w:val="20"/>
        </w:rPr>
        <w:t>northwestern</w:t>
      </w:r>
      <w:proofErr w:type="spellEnd"/>
      <w:r w:rsidRPr="00017581">
        <w:rPr>
          <w:rFonts w:ascii="Arial" w:hAnsi="Arial" w:cs="Arial"/>
          <w:color w:val="000000" w:themeColor="text1"/>
          <w:sz w:val="20"/>
          <w:szCs w:val="20"/>
        </w:rPr>
        <w:t xml:space="preserve"> hotspots of </w:t>
      </w:r>
      <w:proofErr w:type="spellStart"/>
      <w:r w:rsidRPr="00017581">
        <w:rPr>
          <w:rFonts w:ascii="Arial" w:hAnsi="Arial" w:cs="Arial"/>
          <w:color w:val="000000" w:themeColor="text1"/>
          <w:sz w:val="20"/>
          <w:szCs w:val="20"/>
        </w:rPr>
        <w:t>Anechowkur</w:t>
      </w:r>
      <w:proofErr w:type="spellEnd"/>
      <w:r w:rsidRPr="00017581">
        <w:rPr>
          <w:rFonts w:ascii="Arial" w:hAnsi="Arial" w:cs="Arial"/>
          <w:color w:val="000000" w:themeColor="text1"/>
          <w:sz w:val="20"/>
          <w:szCs w:val="20"/>
        </w:rPr>
        <w:t xml:space="preserve"> and </w:t>
      </w:r>
      <w:proofErr w:type="spellStart"/>
      <w:r w:rsidRPr="00017581">
        <w:rPr>
          <w:rFonts w:ascii="Arial" w:hAnsi="Arial" w:cs="Arial"/>
          <w:color w:val="000000" w:themeColor="text1"/>
          <w:sz w:val="20"/>
          <w:szCs w:val="20"/>
        </w:rPr>
        <w:t>Veeranahosalli</w:t>
      </w:r>
      <w:proofErr w:type="spellEnd"/>
      <w:r w:rsidRPr="00017581">
        <w:rPr>
          <w:rFonts w:ascii="Arial" w:hAnsi="Arial" w:cs="Arial"/>
          <w:color w:val="000000" w:themeColor="text1"/>
          <w:sz w:val="20"/>
          <w:szCs w:val="20"/>
        </w:rPr>
        <w:t xml:space="preserve"> and a notable expansion into the eastern and </w:t>
      </w:r>
      <w:proofErr w:type="spellStart"/>
      <w:r w:rsidRPr="00017581">
        <w:rPr>
          <w:rFonts w:ascii="Arial" w:hAnsi="Arial" w:cs="Arial"/>
          <w:color w:val="000000" w:themeColor="text1"/>
          <w:sz w:val="20"/>
          <w:szCs w:val="20"/>
        </w:rPr>
        <w:t>southeastern</w:t>
      </w:r>
      <w:proofErr w:type="spellEnd"/>
      <w:r w:rsidRPr="00017581">
        <w:rPr>
          <w:rFonts w:ascii="Arial" w:hAnsi="Arial" w:cs="Arial"/>
          <w:color w:val="000000" w:themeColor="text1"/>
          <w:sz w:val="20"/>
          <w:szCs w:val="20"/>
        </w:rPr>
        <w:t xml:space="preserve"> sectors of the reserve periphery, indicating a significant geographic broadening of conflict zones compared to previous months. This spatial expansion, combined with the substantial increase in incident frequency, suggests that November marks the onset of the pre-winter conflict surge, likely driven by declining prey availability, reduced vegetation cover facilitating tiger movement into agricultural areas, and increased livestock vulnerability as farmers prepare for the dry season. The November pattern deviates from the typical edge-effect concentration by showing more dispersed incidents across multiple sectors, indicating that tigers may be ranging more widely in search of prey as natural food sources become scarce, thereby necessitating enhanced surveillance and mitigation protocols across broader geographic areas rather than focusing solely on established </w:t>
      </w:r>
      <w:proofErr w:type="spellStart"/>
      <w:r w:rsidRPr="00017581">
        <w:rPr>
          <w:rFonts w:ascii="Arial" w:hAnsi="Arial" w:cs="Arial"/>
          <w:color w:val="000000" w:themeColor="text1"/>
          <w:sz w:val="20"/>
          <w:szCs w:val="20"/>
        </w:rPr>
        <w:t>northwestern</w:t>
      </w:r>
      <w:proofErr w:type="spellEnd"/>
      <w:r w:rsidRPr="00017581">
        <w:rPr>
          <w:rFonts w:ascii="Arial" w:hAnsi="Arial" w:cs="Arial"/>
          <w:color w:val="000000" w:themeColor="text1"/>
          <w:sz w:val="20"/>
          <w:szCs w:val="20"/>
        </w:rPr>
        <w:t xml:space="preserve"> hotspots. November thus represents a critical escalation point in the annual HTC cycle, serving as a precursor to the high-intensity dry season period and requiring immediate implementation of comprehensive mitigation strategies including expanded patrolling coverage, intensified livestock protection measures, and proactive </w:t>
      </w:r>
      <w:r w:rsidRPr="00017581">
        <w:rPr>
          <w:rFonts w:ascii="Arial" w:hAnsi="Arial" w:cs="Arial"/>
          <w:color w:val="000000" w:themeColor="text1"/>
          <w:sz w:val="20"/>
          <w:szCs w:val="20"/>
        </w:rPr>
        <w:lastRenderedPageBreak/>
        <w:t>community engagement across the enlarged conflict zone to prevent further escalation toward the January-March peak period.</w:t>
      </w:r>
    </w:p>
    <w:p w14:paraId="7C2074D8" w14:textId="77777777" w:rsidR="004A5790" w:rsidRPr="00017581" w:rsidRDefault="004A5790" w:rsidP="00B8007A">
      <w:pPr>
        <w:spacing w:after="0" w:line="240" w:lineRule="auto"/>
        <w:jc w:val="both"/>
        <w:rPr>
          <w:rFonts w:ascii="Arial" w:hAnsi="Arial" w:cs="Arial"/>
          <w:color w:val="000000" w:themeColor="text1"/>
          <w:sz w:val="20"/>
          <w:szCs w:val="20"/>
        </w:rPr>
      </w:pPr>
    </w:p>
    <w:p w14:paraId="2690259F" w14:textId="77777777" w:rsidR="00832ACA" w:rsidRPr="00017581" w:rsidRDefault="004A5790" w:rsidP="00832AC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The GIS map (Figure 12) for December documents 10 cumulative livestock predation incidents recorded between 2019 and 2023, representing a substantial decline from November's 26 incidents despite being within the traditionally high-risk dry season period. The spatial distribution shows geographic contraction back to core </w:t>
      </w:r>
      <w:proofErr w:type="spellStart"/>
      <w:r w:rsidRPr="00017581">
        <w:rPr>
          <w:rFonts w:ascii="Arial" w:hAnsi="Arial" w:cs="Arial"/>
          <w:color w:val="000000" w:themeColor="text1"/>
          <w:sz w:val="20"/>
          <w:szCs w:val="20"/>
        </w:rPr>
        <w:t>northwestern</w:t>
      </w:r>
      <w:proofErr w:type="spellEnd"/>
      <w:r w:rsidRPr="00017581">
        <w:rPr>
          <w:rFonts w:ascii="Arial" w:hAnsi="Arial" w:cs="Arial"/>
          <w:color w:val="000000" w:themeColor="text1"/>
          <w:sz w:val="20"/>
          <w:szCs w:val="20"/>
        </w:rPr>
        <w:t xml:space="preserve"> hotspots of </w:t>
      </w:r>
      <w:proofErr w:type="spellStart"/>
      <w:r w:rsidRPr="00017581">
        <w:rPr>
          <w:rFonts w:ascii="Arial" w:hAnsi="Arial" w:cs="Arial"/>
          <w:color w:val="000000" w:themeColor="text1"/>
          <w:sz w:val="20"/>
          <w:szCs w:val="20"/>
        </w:rPr>
        <w:t>Anechowkur</w:t>
      </w:r>
      <w:proofErr w:type="spellEnd"/>
      <w:r w:rsidRPr="00017581">
        <w:rPr>
          <w:rFonts w:ascii="Arial" w:hAnsi="Arial" w:cs="Arial"/>
          <w:color w:val="000000" w:themeColor="text1"/>
          <w:sz w:val="20"/>
          <w:szCs w:val="20"/>
        </w:rPr>
        <w:t xml:space="preserve"> and </w:t>
      </w:r>
      <w:proofErr w:type="spellStart"/>
      <w:r w:rsidRPr="00017581">
        <w:rPr>
          <w:rFonts w:ascii="Arial" w:hAnsi="Arial" w:cs="Arial"/>
          <w:color w:val="000000" w:themeColor="text1"/>
          <w:sz w:val="20"/>
          <w:szCs w:val="20"/>
        </w:rPr>
        <w:t>Veeranahosalli</w:t>
      </w:r>
      <w:proofErr w:type="spellEnd"/>
      <w:r w:rsidRPr="00017581">
        <w:rPr>
          <w:rFonts w:ascii="Arial" w:hAnsi="Arial" w:cs="Arial"/>
          <w:color w:val="000000" w:themeColor="text1"/>
          <w:sz w:val="20"/>
          <w:szCs w:val="20"/>
        </w:rPr>
        <w:t xml:space="preserve"> along the forest-agriculture interface, reversing November's expansion pattern.</w:t>
      </w:r>
      <w:r w:rsidR="00832ACA" w:rsidRPr="00017581">
        <w:rPr>
          <w:rFonts w:ascii="Arial" w:hAnsi="Arial" w:cs="Arial"/>
          <w:color w:val="000000" w:themeColor="text1"/>
          <w:sz w:val="20"/>
          <w:szCs w:val="20"/>
        </w:rPr>
        <w:t xml:space="preserve"> December's moderate incident frequency, comparable to July (10) and August (11) but significantly lower than established dry season peaks of January (28), February (27), and March (21), suggests the traditional dry season conflict pattern may be more complex than previously understood, with December representing a critical stabilization phase that provides opportunity for targeted intensive mitigation in core areas while preparing for anticipated January escalation. </w:t>
      </w:r>
    </w:p>
    <w:p w14:paraId="663B06CE" w14:textId="03000235" w:rsidR="004A5790" w:rsidRPr="00017581" w:rsidRDefault="004A5790" w:rsidP="00B8007A">
      <w:pPr>
        <w:spacing w:after="0" w:line="240" w:lineRule="auto"/>
        <w:jc w:val="both"/>
        <w:rPr>
          <w:rFonts w:ascii="Arial" w:hAnsi="Arial" w:cs="Arial"/>
          <w:color w:val="000000" w:themeColor="text1"/>
          <w:sz w:val="20"/>
          <w:szCs w:val="20"/>
        </w:rPr>
      </w:pPr>
    </w:p>
    <w:p w14:paraId="1B5926A3" w14:textId="2A0DB6B2" w:rsidR="003262BE" w:rsidRPr="00017581" w:rsidRDefault="003262BE" w:rsidP="00B8007A">
      <w:pPr>
        <w:spacing w:after="0" w:line="240" w:lineRule="auto"/>
        <w:jc w:val="center"/>
        <w:rPr>
          <w:rFonts w:ascii="Times New Roman" w:hAnsi="Times New Roman" w:cs="Times New Roman"/>
          <w:color w:val="000000" w:themeColor="text1"/>
        </w:rPr>
      </w:pPr>
      <w:r w:rsidRPr="00017581">
        <w:rPr>
          <w:rFonts w:ascii="Times New Roman" w:hAnsi="Times New Roman" w:cs="Times New Roman"/>
          <w:noProof/>
          <w:color w:val="000000" w:themeColor="text1"/>
        </w:rPr>
        <w:drawing>
          <wp:inline distT="0" distB="0" distL="0" distR="0" wp14:anchorId="59EE85EF" wp14:editId="43E376D5">
            <wp:extent cx="4025859" cy="2794000"/>
            <wp:effectExtent l="0" t="0" r="0" b="6350"/>
            <wp:docPr id="4487458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9395" cy="2796454"/>
                    </a:xfrm>
                    <a:prstGeom prst="rect">
                      <a:avLst/>
                    </a:prstGeom>
                    <a:noFill/>
                    <a:ln>
                      <a:noFill/>
                    </a:ln>
                  </pic:spPr>
                </pic:pic>
              </a:graphicData>
            </a:graphic>
          </wp:inline>
        </w:drawing>
      </w:r>
    </w:p>
    <w:p w14:paraId="725B5160" w14:textId="7790ADCD" w:rsidR="003262BE" w:rsidRPr="00017581" w:rsidRDefault="003262BE" w:rsidP="00B8007A">
      <w:pPr>
        <w:spacing w:after="0" w:line="240" w:lineRule="auto"/>
        <w:jc w:val="both"/>
        <w:rPr>
          <w:rFonts w:ascii="Arial" w:hAnsi="Arial" w:cs="Arial"/>
          <w:color w:val="000000" w:themeColor="text1"/>
          <w:sz w:val="20"/>
          <w:szCs w:val="20"/>
        </w:rPr>
      </w:pPr>
      <w:r w:rsidRPr="00017581">
        <w:rPr>
          <w:rFonts w:ascii="Arial" w:hAnsi="Arial" w:cs="Arial"/>
          <w:b/>
          <w:bCs/>
          <w:color w:val="000000" w:themeColor="text1"/>
          <w:sz w:val="20"/>
          <w:szCs w:val="20"/>
        </w:rPr>
        <w:t>Figure 12:</w:t>
      </w:r>
      <w:r w:rsidRPr="00017581">
        <w:rPr>
          <w:rFonts w:ascii="Arial" w:hAnsi="Arial" w:cs="Arial"/>
          <w:color w:val="000000" w:themeColor="text1"/>
          <w:sz w:val="20"/>
          <w:szCs w:val="20"/>
        </w:rPr>
        <w:t xml:space="preserve"> Spatial Distribution of </w:t>
      </w:r>
      <w:r w:rsidR="00297F2E" w:rsidRPr="00017581">
        <w:rPr>
          <w:rFonts w:ascii="Arial" w:hAnsi="Arial" w:cs="Arial"/>
          <w:color w:val="000000" w:themeColor="text1"/>
          <w:sz w:val="20"/>
          <w:szCs w:val="20"/>
        </w:rPr>
        <w:t>HTC</w:t>
      </w:r>
      <w:r w:rsidRPr="00017581">
        <w:rPr>
          <w:rFonts w:ascii="Arial" w:hAnsi="Arial" w:cs="Arial"/>
          <w:color w:val="000000" w:themeColor="text1"/>
          <w:sz w:val="20"/>
          <w:szCs w:val="20"/>
        </w:rPr>
        <w:t xml:space="preserve"> Incidents during December (2019–2023) in and around </w:t>
      </w:r>
      <w:r w:rsidR="007F1938" w:rsidRPr="00017581">
        <w:rPr>
          <w:rFonts w:ascii="Arial" w:hAnsi="Arial" w:cs="Arial"/>
          <w:color w:val="000000" w:themeColor="text1"/>
          <w:sz w:val="20"/>
          <w:szCs w:val="20"/>
        </w:rPr>
        <w:t>NTR</w:t>
      </w:r>
      <w:r w:rsidRPr="00017581">
        <w:rPr>
          <w:rFonts w:ascii="Arial" w:hAnsi="Arial" w:cs="Arial"/>
          <w:color w:val="000000" w:themeColor="text1"/>
          <w:sz w:val="20"/>
          <w:szCs w:val="20"/>
        </w:rPr>
        <w:t>.</w:t>
      </w:r>
    </w:p>
    <w:p w14:paraId="07513F8A" w14:textId="77777777" w:rsidR="00832ACA" w:rsidRPr="00017581" w:rsidRDefault="00832ACA" w:rsidP="00B8007A">
      <w:pPr>
        <w:spacing w:after="0" w:line="240" w:lineRule="auto"/>
        <w:jc w:val="both"/>
        <w:rPr>
          <w:rFonts w:ascii="Arial" w:hAnsi="Arial" w:cs="Arial"/>
          <w:color w:val="000000" w:themeColor="text1"/>
          <w:sz w:val="20"/>
          <w:szCs w:val="20"/>
        </w:rPr>
      </w:pPr>
    </w:p>
    <w:p w14:paraId="6A70C35A" w14:textId="3381CEE1" w:rsidR="0004318E" w:rsidRPr="00017581" w:rsidRDefault="0004318E"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GIS-based heatmap (Figure 13) synthesizes 210 cumulative livestock predation incidents, revealing persistent spatial clustering along the forest-agriculture interface, confirming the "edge effect" as a primary driver of conflict. High-intensity hotspots (red) are concentrated in the </w:t>
      </w:r>
      <w:proofErr w:type="spellStart"/>
      <w:r w:rsidRPr="00017581">
        <w:rPr>
          <w:rFonts w:ascii="Arial" w:hAnsi="Arial" w:cs="Arial"/>
          <w:color w:val="000000" w:themeColor="text1"/>
          <w:sz w:val="20"/>
          <w:szCs w:val="20"/>
        </w:rPr>
        <w:t>northwestern</w:t>
      </w:r>
      <w:proofErr w:type="spellEnd"/>
      <w:r w:rsidRPr="00017581">
        <w:rPr>
          <w:rFonts w:ascii="Arial" w:hAnsi="Arial" w:cs="Arial"/>
          <w:color w:val="000000" w:themeColor="text1"/>
          <w:sz w:val="20"/>
          <w:szCs w:val="20"/>
        </w:rPr>
        <w:t xml:space="preserve"> ranges, particularly </w:t>
      </w:r>
      <w:proofErr w:type="spellStart"/>
      <w:r w:rsidRPr="00017581">
        <w:rPr>
          <w:rFonts w:ascii="Arial" w:hAnsi="Arial" w:cs="Arial"/>
          <w:color w:val="000000" w:themeColor="text1"/>
          <w:sz w:val="20"/>
          <w:szCs w:val="20"/>
        </w:rPr>
        <w:t>Anechowkur</w:t>
      </w:r>
      <w:proofErr w:type="spellEnd"/>
      <w:r w:rsidRPr="00017581">
        <w:rPr>
          <w:rFonts w:ascii="Arial" w:hAnsi="Arial" w:cs="Arial"/>
          <w:color w:val="000000" w:themeColor="text1"/>
          <w:sz w:val="20"/>
          <w:szCs w:val="20"/>
        </w:rPr>
        <w:t xml:space="preserve"> and </w:t>
      </w:r>
      <w:proofErr w:type="spellStart"/>
      <w:r w:rsidRPr="00017581">
        <w:rPr>
          <w:rFonts w:ascii="Arial" w:hAnsi="Arial" w:cs="Arial"/>
          <w:color w:val="000000" w:themeColor="text1"/>
          <w:sz w:val="20"/>
          <w:szCs w:val="20"/>
        </w:rPr>
        <w:t>Veeranahosalli</w:t>
      </w:r>
      <w:proofErr w:type="spellEnd"/>
      <w:r w:rsidRPr="00017581">
        <w:rPr>
          <w:rFonts w:ascii="Arial" w:hAnsi="Arial" w:cs="Arial"/>
          <w:color w:val="000000" w:themeColor="text1"/>
          <w:sz w:val="20"/>
          <w:szCs w:val="20"/>
        </w:rPr>
        <w:t xml:space="preserve">, while areas of lower conflict intensity (light orange) are also evident in other peripheral ranges like </w:t>
      </w:r>
      <w:proofErr w:type="spellStart"/>
      <w:r w:rsidRPr="00017581">
        <w:rPr>
          <w:rFonts w:ascii="Arial" w:hAnsi="Arial" w:cs="Arial"/>
          <w:color w:val="000000" w:themeColor="text1"/>
          <w:sz w:val="20"/>
          <w:szCs w:val="20"/>
        </w:rPr>
        <w:t>Hunsur</w:t>
      </w:r>
      <w:proofErr w:type="spellEnd"/>
      <w:r w:rsidRPr="00017581">
        <w:rPr>
          <w:rFonts w:ascii="Arial" w:hAnsi="Arial" w:cs="Arial"/>
          <w:color w:val="000000" w:themeColor="text1"/>
          <w:sz w:val="20"/>
          <w:szCs w:val="20"/>
        </w:rPr>
        <w:t xml:space="preserve"> WL, </w:t>
      </w:r>
      <w:proofErr w:type="spellStart"/>
      <w:r w:rsidRPr="00017581">
        <w:rPr>
          <w:rFonts w:ascii="Arial" w:hAnsi="Arial" w:cs="Arial"/>
          <w:color w:val="000000" w:themeColor="text1"/>
          <w:sz w:val="20"/>
          <w:szCs w:val="20"/>
        </w:rPr>
        <w:t>Kallahalla</w:t>
      </w:r>
      <w:proofErr w:type="spellEnd"/>
      <w:r w:rsidRPr="00017581">
        <w:rPr>
          <w:rFonts w:ascii="Arial" w:hAnsi="Arial" w:cs="Arial"/>
          <w:color w:val="000000" w:themeColor="text1"/>
          <w:sz w:val="20"/>
          <w:szCs w:val="20"/>
        </w:rPr>
        <w:t xml:space="preserve"> WL, and D B </w:t>
      </w:r>
      <w:proofErr w:type="spellStart"/>
      <w:r w:rsidRPr="00017581">
        <w:rPr>
          <w:rFonts w:ascii="Arial" w:hAnsi="Arial" w:cs="Arial"/>
          <w:color w:val="000000" w:themeColor="text1"/>
          <w:sz w:val="20"/>
          <w:szCs w:val="20"/>
        </w:rPr>
        <w:t>Kuppe</w:t>
      </w:r>
      <w:proofErr w:type="spellEnd"/>
      <w:r w:rsidRPr="00017581">
        <w:rPr>
          <w:rFonts w:ascii="Arial" w:hAnsi="Arial" w:cs="Arial"/>
          <w:color w:val="000000" w:themeColor="text1"/>
          <w:sz w:val="20"/>
          <w:szCs w:val="20"/>
        </w:rPr>
        <w:t xml:space="preserve"> WL. This comprehensive spatial analysis visually identifies perennial conflict zones that require year-round, targeted mitigation efforts.</w:t>
      </w:r>
    </w:p>
    <w:p w14:paraId="157C67EC" w14:textId="7F6ABBFC" w:rsidR="00B761B1" w:rsidRPr="00017581" w:rsidRDefault="00B761B1" w:rsidP="00B761B1">
      <w:pPr>
        <w:spacing w:after="0" w:line="240" w:lineRule="auto"/>
        <w:jc w:val="center"/>
        <w:rPr>
          <w:rFonts w:ascii="Times New Roman" w:hAnsi="Times New Roman" w:cs="Times New Roman"/>
          <w:color w:val="000000" w:themeColor="text1"/>
        </w:rPr>
      </w:pPr>
      <w:r w:rsidRPr="00017581">
        <w:rPr>
          <w:rFonts w:ascii="Times New Roman" w:hAnsi="Times New Roman" w:cs="Times New Roman"/>
          <w:noProof/>
          <w:color w:val="000000" w:themeColor="text1"/>
        </w:rPr>
        <w:lastRenderedPageBreak/>
        <w:drawing>
          <wp:inline distT="0" distB="0" distL="0" distR="0" wp14:anchorId="14D186E5" wp14:editId="751CBE35">
            <wp:extent cx="4316506" cy="3564413"/>
            <wp:effectExtent l="0" t="0" r="8255" b="0"/>
            <wp:docPr id="2101749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2386" cy="3569268"/>
                    </a:xfrm>
                    <a:prstGeom prst="rect">
                      <a:avLst/>
                    </a:prstGeom>
                    <a:noFill/>
                    <a:ln>
                      <a:noFill/>
                    </a:ln>
                  </pic:spPr>
                </pic:pic>
              </a:graphicData>
            </a:graphic>
          </wp:inline>
        </w:drawing>
      </w:r>
    </w:p>
    <w:p w14:paraId="4F2F7277" w14:textId="77777777" w:rsidR="00071D0F" w:rsidRPr="00017581" w:rsidRDefault="00071D0F" w:rsidP="00B8007A">
      <w:pPr>
        <w:spacing w:after="0" w:line="240" w:lineRule="auto"/>
        <w:jc w:val="both"/>
        <w:rPr>
          <w:rFonts w:ascii="Times New Roman" w:hAnsi="Times New Roman" w:cs="Times New Roman"/>
          <w:color w:val="000000" w:themeColor="text1"/>
        </w:rPr>
      </w:pPr>
    </w:p>
    <w:p w14:paraId="7BEF132C" w14:textId="58B912DA" w:rsidR="003D5AE4" w:rsidRPr="00017581" w:rsidRDefault="003D5AE4" w:rsidP="003D5AE4">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Figure 13. </w:t>
      </w:r>
      <w:proofErr w:type="spellStart"/>
      <w:r w:rsidRPr="00017581">
        <w:rPr>
          <w:rFonts w:ascii="Arial" w:hAnsi="Arial" w:cs="Arial"/>
          <w:color w:val="000000" w:themeColor="text1"/>
          <w:sz w:val="20"/>
          <w:szCs w:val="20"/>
        </w:rPr>
        <w:t>Spatio</w:t>
      </w:r>
      <w:proofErr w:type="spellEnd"/>
      <w:r w:rsidRPr="00017581">
        <w:rPr>
          <w:rFonts w:ascii="Arial" w:hAnsi="Arial" w:cs="Arial"/>
          <w:color w:val="000000" w:themeColor="text1"/>
          <w:sz w:val="20"/>
          <w:szCs w:val="20"/>
        </w:rPr>
        <w:t>-temporal hotspots of HTC in NTR from 2019–2023</w:t>
      </w:r>
      <w:r w:rsidR="00573FFA" w:rsidRPr="00017581">
        <w:rPr>
          <w:rFonts w:ascii="Arial" w:hAnsi="Arial" w:cs="Arial"/>
          <w:color w:val="000000" w:themeColor="text1"/>
          <w:sz w:val="20"/>
          <w:szCs w:val="20"/>
        </w:rPr>
        <w:t xml:space="preserve"> with focused forest staff deployments</w:t>
      </w:r>
      <w:r w:rsidRPr="00017581">
        <w:rPr>
          <w:rFonts w:ascii="Arial" w:hAnsi="Arial" w:cs="Arial"/>
          <w:color w:val="000000" w:themeColor="text1"/>
          <w:sz w:val="20"/>
          <w:szCs w:val="20"/>
        </w:rPr>
        <w:t xml:space="preserve">. </w:t>
      </w:r>
    </w:p>
    <w:p w14:paraId="5F5B24CF" w14:textId="77777777" w:rsidR="003D5AE4" w:rsidRPr="00017581" w:rsidRDefault="003D5AE4" w:rsidP="00B8007A">
      <w:pPr>
        <w:spacing w:after="0" w:line="240" w:lineRule="auto"/>
        <w:jc w:val="both"/>
        <w:rPr>
          <w:rFonts w:ascii="Times New Roman" w:hAnsi="Times New Roman" w:cs="Times New Roman"/>
          <w:b/>
          <w:bCs/>
          <w:color w:val="000000" w:themeColor="text1"/>
        </w:rPr>
      </w:pPr>
    </w:p>
    <w:p w14:paraId="3939B465" w14:textId="77777777" w:rsidR="0056196D" w:rsidRPr="00017581" w:rsidRDefault="0056196D" w:rsidP="00832ACA">
      <w:pPr>
        <w:spacing w:after="0" w:line="240" w:lineRule="auto"/>
        <w:rPr>
          <w:rFonts w:ascii="Arial" w:hAnsi="Arial" w:cs="Arial"/>
          <w:b/>
          <w:bCs/>
          <w:color w:val="000000" w:themeColor="text1"/>
          <w:sz w:val="22"/>
          <w:szCs w:val="22"/>
        </w:rPr>
      </w:pPr>
    </w:p>
    <w:p w14:paraId="108C3565" w14:textId="77777777" w:rsidR="0056196D" w:rsidRPr="00017581" w:rsidRDefault="0056196D" w:rsidP="00832ACA">
      <w:pPr>
        <w:spacing w:after="0" w:line="240" w:lineRule="auto"/>
        <w:rPr>
          <w:rFonts w:ascii="Arial" w:hAnsi="Arial" w:cs="Arial"/>
          <w:b/>
          <w:bCs/>
          <w:color w:val="000000" w:themeColor="text1"/>
          <w:sz w:val="22"/>
          <w:szCs w:val="22"/>
        </w:rPr>
      </w:pPr>
    </w:p>
    <w:p w14:paraId="3066BE7F" w14:textId="77777777" w:rsidR="0056196D" w:rsidRPr="00017581" w:rsidRDefault="0056196D" w:rsidP="00832ACA">
      <w:pPr>
        <w:spacing w:after="0" w:line="240" w:lineRule="auto"/>
        <w:rPr>
          <w:rFonts w:ascii="Arial" w:hAnsi="Arial" w:cs="Arial"/>
          <w:b/>
          <w:bCs/>
          <w:color w:val="000000" w:themeColor="text1"/>
          <w:sz w:val="22"/>
          <w:szCs w:val="22"/>
        </w:rPr>
      </w:pPr>
    </w:p>
    <w:p w14:paraId="0E6AEC12" w14:textId="5D0F5618" w:rsidR="00832ACA" w:rsidRPr="00017581" w:rsidRDefault="00071D0F" w:rsidP="00832ACA">
      <w:pPr>
        <w:spacing w:after="0" w:line="240" w:lineRule="auto"/>
        <w:rPr>
          <w:rFonts w:ascii="Arial" w:hAnsi="Arial" w:cs="Arial"/>
          <w:b/>
          <w:bCs/>
          <w:color w:val="000000" w:themeColor="text1"/>
          <w:sz w:val="22"/>
          <w:szCs w:val="22"/>
        </w:rPr>
      </w:pPr>
      <w:r w:rsidRPr="00017581">
        <w:rPr>
          <w:rFonts w:ascii="Arial" w:hAnsi="Arial" w:cs="Arial"/>
          <w:b/>
          <w:bCs/>
          <w:color w:val="000000" w:themeColor="text1"/>
          <w:sz w:val="22"/>
          <w:szCs w:val="22"/>
        </w:rPr>
        <w:t>Results</w:t>
      </w:r>
    </w:p>
    <w:p w14:paraId="490C049F" w14:textId="77777777" w:rsidR="0056196D" w:rsidRPr="00017581" w:rsidRDefault="0056196D" w:rsidP="00832ACA">
      <w:pPr>
        <w:spacing w:after="0" w:line="240" w:lineRule="auto"/>
        <w:rPr>
          <w:rFonts w:ascii="Arial" w:hAnsi="Arial" w:cs="Arial"/>
          <w:b/>
          <w:bCs/>
          <w:color w:val="000000" w:themeColor="text1"/>
          <w:sz w:val="22"/>
          <w:szCs w:val="22"/>
        </w:rPr>
      </w:pPr>
    </w:p>
    <w:p w14:paraId="056414C5" w14:textId="2F43EAD4" w:rsidR="003A6891" w:rsidRPr="00017581" w:rsidRDefault="003A6891"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Geospatial analysis of 210 livestock predation incidents from 2019–2023 reveals significant spatial clustering along the forest-agriculture interface, with </w:t>
      </w:r>
      <w:proofErr w:type="spellStart"/>
      <w:r w:rsidRPr="00017581">
        <w:rPr>
          <w:rFonts w:ascii="Arial" w:hAnsi="Arial" w:cs="Arial"/>
          <w:color w:val="000000" w:themeColor="text1"/>
          <w:sz w:val="20"/>
          <w:szCs w:val="20"/>
        </w:rPr>
        <w:t>Anechowkur</w:t>
      </w:r>
      <w:proofErr w:type="spellEnd"/>
      <w:r w:rsidRPr="00017581">
        <w:rPr>
          <w:rFonts w:ascii="Arial" w:hAnsi="Arial" w:cs="Arial"/>
          <w:color w:val="000000" w:themeColor="text1"/>
          <w:sz w:val="20"/>
          <w:szCs w:val="20"/>
        </w:rPr>
        <w:t xml:space="preserve"> and </w:t>
      </w:r>
      <w:proofErr w:type="spellStart"/>
      <w:r w:rsidRPr="00017581">
        <w:rPr>
          <w:rFonts w:ascii="Arial" w:hAnsi="Arial" w:cs="Arial"/>
          <w:color w:val="000000" w:themeColor="text1"/>
          <w:sz w:val="20"/>
          <w:szCs w:val="20"/>
        </w:rPr>
        <w:t>Veeranahosalli</w:t>
      </w:r>
      <w:proofErr w:type="spellEnd"/>
      <w:r w:rsidRPr="00017581">
        <w:rPr>
          <w:rFonts w:ascii="Arial" w:hAnsi="Arial" w:cs="Arial"/>
          <w:color w:val="000000" w:themeColor="text1"/>
          <w:sz w:val="20"/>
          <w:szCs w:val="20"/>
        </w:rPr>
        <w:t xml:space="preserve"> emerging as perennial high-intensity conflict hotspots. Geospatial analysis identified </w:t>
      </w:r>
      <w:proofErr w:type="spellStart"/>
      <w:r w:rsidRPr="00017581">
        <w:rPr>
          <w:rFonts w:ascii="Arial" w:hAnsi="Arial" w:cs="Arial"/>
          <w:color w:val="000000" w:themeColor="text1"/>
          <w:sz w:val="20"/>
          <w:szCs w:val="20"/>
        </w:rPr>
        <w:t>Anechowkur</w:t>
      </w:r>
      <w:proofErr w:type="spellEnd"/>
      <w:r w:rsidRPr="00017581">
        <w:rPr>
          <w:rFonts w:ascii="Arial" w:hAnsi="Arial" w:cs="Arial"/>
          <w:color w:val="000000" w:themeColor="text1"/>
          <w:sz w:val="20"/>
          <w:szCs w:val="20"/>
        </w:rPr>
        <w:t xml:space="preserve"> (40.95% of incidents, n=86) and </w:t>
      </w:r>
      <w:proofErr w:type="spellStart"/>
      <w:r w:rsidRPr="00017581">
        <w:rPr>
          <w:rFonts w:ascii="Arial" w:hAnsi="Arial" w:cs="Arial"/>
          <w:color w:val="000000" w:themeColor="text1"/>
          <w:sz w:val="20"/>
          <w:szCs w:val="20"/>
        </w:rPr>
        <w:t>Veeranahosalli</w:t>
      </w:r>
      <w:proofErr w:type="spellEnd"/>
      <w:r w:rsidRPr="00017581">
        <w:rPr>
          <w:rFonts w:ascii="Arial" w:hAnsi="Arial" w:cs="Arial"/>
          <w:color w:val="000000" w:themeColor="text1"/>
          <w:sz w:val="20"/>
          <w:szCs w:val="20"/>
        </w:rPr>
        <w:t xml:space="preserve"> (16.67%, n=35) as primary conflict </w:t>
      </w:r>
      <w:proofErr w:type="spellStart"/>
      <w:r w:rsidRPr="00017581">
        <w:rPr>
          <w:rFonts w:ascii="Arial" w:hAnsi="Arial" w:cs="Arial"/>
          <w:color w:val="000000" w:themeColor="text1"/>
          <w:sz w:val="20"/>
          <w:szCs w:val="20"/>
        </w:rPr>
        <w:t>epicenters</w:t>
      </w:r>
      <w:proofErr w:type="spellEnd"/>
      <w:r w:rsidRPr="00017581">
        <w:rPr>
          <w:rFonts w:ascii="Arial" w:hAnsi="Arial" w:cs="Arial"/>
          <w:color w:val="000000" w:themeColor="text1"/>
          <w:sz w:val="20"/>
          <w:szCs w:val="20"/>
        </w:rPr>
        <w:t xml:space="preserve">, with secondary clustering in </w:t>
      </w:r>
      <w:proofErr w:type="spellStart"/>
      <w:r w:rsidRPr="00017581">
        <w:rPr>
          <w:rFonts w:ascii="Arial" w:hAnsi="Arial" w:cs="Arial"/>
          <w:color w:val="000000" w:themeColor="text1"/>
          <w:sz w:val="20"/>
          <w:szCs w:val="20"/>
        </w:rPr>
        <w:t>Hunsur</w:t>
      </w:r>
      <w:proofErr w:type="spellEnd"/>
      <w:r w:rsidRPr="00017581">
        <w:rPr>
          <w:rFonts w:ascii="Arial" w:hAnsi="Arial" w:cs="Arial"/>
          <w:color w:val="000000" w:themeColor="text1"/>
          <w:sz w:val="20"/>
          <w:szCs w:val="20"/>
        </w:rPr>
        <w:t xml:space="preserve"> (11.43%, n=24), collectively representing 69.05% of all livestock predation events (Figures 1–12). The spatial analysis revealed a robust "edge effect," with 78.5% of incidents occurring within 1 km of the forest-agriculture interface, demonstrating the critical role of habitat boundaries in conflict occurrence. Proximity to forest edge was quantified using 1-km buffers generated in GIS from reserve boundary layers, revealing that incident density decreased exponentially with distance from the forest boundary. Furthermore, incidents clustered significantly near water sources, with 64.3% of predation events occurring within 500m of permanent water bodies, suggesting that water accessibility influences both tiger movement patterns and livestock vulnerability. The </w:t>
      </w:r>
      <w:proofErr w:type="spellStart"/>
      <w:r w:rsidRPr="00017581">
        <w:rPr>
          <w:rFonts w:ascii="Arial" w:hAnsi="Arial" w:cs="Arial"/>
          <w:color w:val="000000" w:themeColor="text1"/>
          <w:sz w:val="20"/>
          <w:szCs w:val="20"/>
        </w:rPr>
        <w:t>northwestern</w:t>
      </w:r>
      <w:proofErr w:type="spellEnd"/>
      <w:r w:rsidRPr="00017581">
        <w:rPr>
          <w:rFonts w:ascii="Arial" w:hAnsi="Arial" w:cs="Arial"/>
          <w:color w:val="000000" w:themeColor="text1"/>
          <w:sz w:val="20"/>
          <w:szCs w:val="20"/>
        </w:rPr>
        <w:t xml:space="preserve"> sector, encompassing </w:t>
      </w:r>
      <w:proofErr w:type="spellStart"/>
      <w:r w:rsidRPr="00017581">
        <w:rPr>
          <w:rFonts w:ascii="Arial" w:hAnsi="Arial" w:cs="Arial"/>
          <w:color w:val="000000" w:themeColor="text1"/>
          <w:sz w:val="20"/>
          <w:szCs w:val="20"/>
        </w:rPr>
        <w:t>Anechowkur</w:t>
      </w:r>
      <w:proofErr w:type="spellEnd"/>
      <w:r w:rsidRPr="00017581">
        <w:rPr>
          <w:rFonts w:ascii="Arial" w:hAnsi="Arial" w:cs="Arial"/>
          <w:color w:val="000000" w:themeColor="text1"/>
          <w:sz w:val="20"/>
          <w:szCs w:val="20"/>
        </w:rPr>
        <w:t xml:space="preserve"> and </w:t>
      </w:r>
      <w:proofErr w:type="spellStart"/>
      <w:r w:rsidRPr="00017581">
        <w:rPr>
          <w:rFonts w:ascii="Arial" w:hAnsi="Arial" w:cs="Arial"/>
          <w:color w:val="000000" w:themeColor="text1"/>
          <w:sz w:val="20"/>
          <w:szCs w:val="20"/>
        </w:rPr>
        <w:t>Veeranahosalli</w:t>
      </w:r>
      <w:proofErr w:type="spellEnd"/>
      <w:r w:rsidRPr="00017581">
        <w:rPr>
          <w:rFonts w:ascii="Arial" w:hAnsi="Arial" w:cs="Arial"/>
          <w:color w:val="000000" w:themeColor="text1"/>
          <w:sz w:val="20"/>
          <w:szCs w:val="20"/>
        </w:rPr>
        <w:t xml:space="preserve"> ranges, exhibited the highest conflict intensity (2.8 incidents per km² annually), nearly four times higher than the reserve average (0.7 incidents per km²). Secondary hotspots emerged in the eastern periphery near </w:t>
      </w:r>
      <w:proofErr w:type="spellStart"/>
      <w:r w:rsidRPr="00017581">
        <w:rPr>
          <w:rFonts w:ascii="Arial" w:hAnsi="Arial" w:cs="Arial"/>
          <w:color w:val="000000" w:themeColor="text1"/>
          <w:sz w:val="20"/>
          <w:szCs w:val="20"/>
        </w:rPr>
        <w:t>Hunsur</w:t>
      </w:r>
      <w:proofErr w:type="spellEnd"/>
      <w:r w:rsidRPr="00017581">
        <w:rPr>
          <w:rFonts w:ascii="Arial" w:hAnsi="Arial" w:cs="Arial"/>
          <w:color w:val="000000" w:themeColor="text1"/>
          <w:sz w:val="20"/>
          <w:szCs w:val="20"/>
        </w:rPr>
        <w:t xml:space="preserve"> and southern boundary adjacent to agricultural lands, indicating multiple pressure points along the human-wildlife interface. Conflict frequency exhibited strong seasonality with distinct patterns across the annual cycle. The dry season months showed peak activity</w:t>
      </w:r>
      <w:r w:rsidR="00012D73" w:rsidRPr="00017581">
        <w:rPr>
          <w:rFonts w:ascii="Arial" w:hAnsi="Arial" w:cs="Arial"/>
          <w:color w:val="000000" w:themeColor="text1"/>
          <w:sz w:val="20"/>
          <w:szCs w:val="20"/>
        </w:rPr>
        <w:t xml:space="preserve"> as</w:t>
      </w:r>
      <w:r w:rsidR="00E72252" w:rsidRPr="00017581">
        <w:rPr>
          <w:rFonts w:ascii="Arial" w:hAnsi="Arial" w:cs="Arial"/>
          <w:color w:val="000000" w:themeColor="text1"/>
          <w:sz w:val="20"/>
          <w:szCs w:val="20"/>
        </w:rPr>
        <w:tab/>
      </w:r>
      <w:r w:rsidR="00E72252" w:rsidRPr="00017581">
        <w:rPr>
          <w:rFonts w:ascii="Arial" w:hAnsi="Arial" w:cs="Arial"/>
          <w:color w:val="000000" w:themeColor="text1"/>
          <w:sz w:val="20"/>
          <w:szCs w:val="20"/>
        </w:rPr>
        <w:tab/>
      </w:r>
      <w:r w:rsidR="00E72252" w:rsidRPr="00017581">
        <w:rPr>
          <w:rFonts w:ascii="Arial" w:hAnsi="Arial" w:cs="Arial"/>
          <w:color w:val="000000" w:themeColor="text1"/>
          <w:sz w:val="20"/>
          <w:szCs w:val="20"/>
        </w:rPr>
        <w:tab/>
      </w:r>
      <w:r w:rsidR="00E72252" w:rsidRPr="00017581">
        <w:rPr>
          <w:rFonts w:ascii="Arial" w:hAnsi="Arial" w:cs="Arial"/>
          <w:color w:val="000000" w:themeColor="text1"/>
          <w:sz w:val="20"/>
          <w:szCs w:val="20"/>
        </w:rPr>
        <w:tab/>
      </w:r>
      <w:r w:rsidR="00E72252" w:rsidRPr="00017581">
        <w:rPr>
          <w:rFonts w:ascii="Arial" w:hAnsi="Arial" w:cs="Arial"/>
          <w:color w:val="000000" w:themeColor="text1"/>
          <w:sz w:val="20"/>
          <w:szCs w:val="20"/>
        </w:rPr>
        <w:tab/>
      </w:r>
      <w:r w:rsidR="00E72252" w:rsidRPr="00017581">
        <w:rPr>
          <w:rFonts w:ascii="Arial" w:hAnsi="Arial" w:cs="Arial"/>
          <w:color w:val="000000" w:themeColor="text1"/>
          <w:sz w:val="20"/>
          <w:szCs w:val="20"/>
        </w:rPr>
        <w:tab/>
      </w:r>
      <w:r w:rsidR="00E72252" w:rsidRPr="00017581">
        <w:rPr>
          <w:rFonts w:ascii="Arial" w:hAnsi="Arial" w:cs="Arial"/>
          <w:color w:val="000000" w:themeColor="text1"/>
          <w:sz w:val="20"/>
          <w:szCs w:val="20"/>
        </w:rPr>
        <w:tab/>
      </w:r>
      <w:r w:rsidR="00E72252" w:rsidRPr="00017581">
        <w:rPr>
          <w:rFonts w:ascii="Arial" w:hAnsi="Arial" w:cs="Arial"/>
          <w:color w:val="000000" w:themeColor="text1"/>
          <w:sz w:val="20"/>
          <w:szCs w:val="20"/>
        </w:rPr>
        <w:tab/>
      </w:r>
      <w:r w:rsidR="00E72252" w:rsidRPr="00017581">
        <w:rPr>
          <w:rFonts w:ascii="Arial" w:hAnsi="Arial" w:cs="Arial"/>
          <w:color w:val="000000" w:themeColor="text1"/>
          <w:sz w:val="20"/>
          <w:szCs w:val="20"/>
        </w:rPr>
        <w:tab/>
      </w:r>
      <w:r w:rsidR="00E72252" w:rsidRPr="00017581">
        <w:rPr>
          <w:rFonts w:ascii="Arial" w:hAnsi="Arial" w:cs="Arial"/>
          <w:color w:val="000000" w:themeColor="text1"/>
          <w:sz w:val="20"/>
          <w:szCs w:val="20"/>
        </w:rPr>
        <w:tab/>
      </w:r>
      <w:r w:rsidR="00012D73" w:rsidRPr="00017581">
        <w:rPr>
          <w:rFonts w:ascii="Arial" w:hAnsi="Arial" w:cs="Arial"/>
          <w:color w:val="000000" w:themeColor="text1"/>
          <w:sz w:val="20"/>
          <w:szCs w:val="20"/>
        </w:rPr>
        <w:t xml:space="preserve"> in </w:t>
      </w:r>
      <w:r w:rsidRPr="00017581">
        <w:rPr>
          <w:rFonts w:ascii="Arial" w:hAnsi="Arial" w:cs="Arial"/>
          <w:color w:val="000000" w:themeColor="text1"/>
          <w:sz w:val="20"/>
          <w:szCs w:val="20"/>
        </w:rPr>
        <w:t>January (28 incidents, 13.3% of total), February (27 incidents, 12.9%), and March (21 incidents, 10.0%), collectively accounting for 36.2% of all conflicts. The monsoon months (June–August) demonstrated the lowest activity</w:t>
      </w:r>
      <w:r w:rsidR="00012D73" w:rsidRPr="00017581">
        <w:rPr>
          <w:rFonts w:ascii="Arial" w:hAnsi="Arial" w:cs="Arial"/>
          <w:color w:val="000000" w:themeColor="text1"/>
          <w:sz w:val="20"/>
          <w:szCs w:val="20"/>
        </w:rPr>
        <w:t xml:space="preserve"> as in </w:t>
      </w:r>
      <w:r w:rsidRPr="00017581">
        <w:rPr>
          <w:rFonts w:ascii="Arial" w:hAnsi="Arial" w:cs="Arial"/>
          <w:color w:val="000000" w:themeColor="text1"/>
          <w:sz w:val="20"/>
          <w:szCs w:val="20"/>
        </w:rPr>
        <w:t xml:space="preserve">June (9 incidents, 4.3%), July (10 incidents, 4.8%), and August (11 incidents, 5.2%), representing only 14.3% of annual conflicts. Notably, September recorded a sharp resurgence (34 incidents, 16.2%) surpassing even dry-season peaks, </w:t>
      </w:r>
      <w:proofErr w:type="spellStart"/>
      <w:r w:rsidRPr="00017581">
        <w:rPr>
          <w:rFonts w:ascii="Arial" w:hAnsi="Arial" w:cs="Arial"/>
          <w:color w:val="000000" w:themeColor="text1"/>
          <w:sz w:val="20"/>
          <w:szCs w:val="20"/>
        </w:rPr>
        <w:t>signaling</w:t>
      </w:r>
      <w:proofErr w:type="spellEnd"/>
      <w:r w:rsidRPr="00017581">
        <w:rPr>
          <w:rFonts w:ascii="Arial" w:hAnsi="Arial" w:cs="Arial"/>
          <w:color w:val="000000" w:themeColor="text1"/>
          <w:sz w:val="20"/>
          <w:szCs w:val="20"/>
        </w:rPr>
        <w:t xml:space="preserve"> a critical post-monsoon escalation phase in the annual HTC cycle. This September spike coincides with post-monsoon prey dispersal, crop harvest activities, and reduced vegetative cover, increasing tiger mobility near human settlements</w:t>
      </w:r>
      <w:r w:rsidR="004933FF" w:rsidRPr="00017581">
        <w:rPr>
          <w:rFonts w:ascii="Arial" w:hAnsi="Arial" w:cs="Arial"/>
          <w:color w:val="000000" w:themeColor="text1"/>
          <w:sz w:val="20"/>
          <w:szCs w:val="20"/>
        </w:rPr>
        <w:t xml:space="preserve"> (</w:t>
      </w:r>
      <w:proofErr w:type="spellStart"/>
      <w:r w:rsidR="004933FF" w:rsidRPr="00017581">
        <w:rPr>
          <w:rFonts w:ascii="Arial" w:hAnsi="Arial" w:cs="Arial"/>
          <w:color w:val="000000" w:themeColor="text1"/>
          <w:sz w:val="20"/>
          <w:szCs w:val="20"/>
        </w:rPr>
        <w:t>Karanth</w:t>
      </w:r>
      <w:proofErr w:type="spellEnd"/>
      <w:r w:rsidR="004933FF" w:rsidRPr="00017581">
        <w:rPr>
          <w:rFonts w:ascii="Arial" w:hAnsi="Arial" w:cs="Arial"/>
          <w:color w:val="000000" w:themeColor="text1"/>
          <w:sz w:val="20"/>
          <w:szCs w:val="20"/>
        </w:rPr>
        <w:t xml:space="preserve"> &amp; </w:t>
      </w:r>
      <w:proofErr w:type="spellStart"/>
      <w:r w:rsidR="004933FF" w:rsidRPr="00017581">
        <w:rPr>
          <w:rFonts w:ascii="Arial" w:hAnsi="Arial" w:cs="Arial"/>
          <w:color w:val="000000" w:themeColor="text1"/>
          <w:sz w:val="20"/>
          <w:szCs w:val="20"/>
        </w:rPr>
        <w:t>Sunquist</w:t>
      </w:r>
      <w:proofErr w:type="spellEnd"/>
      <w:r w:rsidR="004933FF" w:rsidRPr="00017581">
        <w:rPr>
          <w:rFonts w:ascii="Arial" w:hAnsi="Arial" w:cs="Arial"/>
          <w:color w:val="000000" w:themeColor="text1"/>
          <w:sz w:val="20"/>
          <w:szCs w:val="20"/>
        </w:rPr>
        <w:t xml:space="preserve"> 1995). </w:t>
      </w:r>
      <w:r w:rsidRPr="00017581">
        <w:rPr>
          <w:rFonts w:ascii="Arial" w:hAnsi="Arial" w:cs="Arial"/>
          <w:color w:val="000000" w:themeColor="text1"/>
          <w:sz w:val="20"/>
          <w:szCs w:val="20"/>
        </w:rPr>
        <w:t xml:space="preserve">November showed a secondary peak (26 </w:t>
      </w:r>
      <w:r w:rsidRPr="00017581">
        <w:rPr>
          <w:rFonts w:ascii="Arial" w:hAnsi="Arial" w:cs="Arial"/>
          <w:color w:val="000000" w:themeColor="text1"/>
          <w:sz w:val="20"/>
          <w:szCs w:val="20"/>
        </w:rPr>
        <w:lastRenderedPageBreak/>
        <w:t xml:space="preserve">incidents, 12.4%), suggesting a bimodal conflict pattern with primary peaks in the dry season (January-March) and secondary surges in the post-monsoon period (September, November). The coefficient of variation in monthly conflict frequency was 0.58, indicating substantial temporal variability that demands adaptive management responses. Monthly incident rates ranged from a minimum of 1.8 incidents/month (June) to a maximum of 6.8 incidents/month (September), representing a 3.8-fold difference between low and high-risk periods. Temporal analysis of livestock management revealed that 83.8% of incidents occurred during </w:t>
      </w:r>
      <w:proofErr w:type="spellStart"/>
      <w:r w:rsidRPr="00017581">
        <w:rPr>
          <w:rFonts w:ascii="Arial" w:hAnsi="Arial" w:cs="Arial"/>
          <w:color w:val="000000" w:themeColor="text1"/>
          <w:sz w:val="20"/>
          <w:szCs w:val="20"/>
        </w:rPr>
        <w:t>nighttime</w:t>
      </w:r>
      <w:proofErr w:type="spellEnd"/>
      <w:r w:rsidRPr="00017581">
        <w:rPr>
          <w:rFonts w:ascii="Arial" w:hAnsi="Arial" w:cs="Arial"/>
          <w:color w:val="000000" w:themeColor="text1"/>
          <w:sz w:val="20"/>
          <w:szCs w:val="20"/>
        </w:rPr>
        <w:t xml:space="preserve"> grazing or when animals were inadequately secured, emphasizing the role of livestock protection practices in conflict mitigation. Household </w:t>
      </w:r>
      <w:r w:rsidR="00012D73" w:rsidRPr="00017581">
        <w:rPr>
          <w:rFonts w:ascii="Arial" w:hAnsi="Arial" w:cs="Arial"/>
          <w:color w:val="000000" w:themeColor="text1"/>
          <w:sz w:val="20"/>
          <w:szCs w:val="20"/>
        </w:rPr>
        <w:t>structured s</w:t>
      </w:r>
      <w:r w:rsidRPr="00017581">
        <w:rPr>
          <w:rFonts w:ascii="Arial" w:hAnsi="Arial" w:cs="Arial"/>
          <w:color w:val="000000" w:themeColor="text1"/>
          <w:sz w:val="20"/>
          <w:szCs w:val="20"/>
        </w:rPr>
        <w:t>urvey</w:t>
      </w:r>
      <w:r w:rsidR="00012D73" w:rsidRPr="00017581">
        <w:rPr>
          <w:rFonts w:ascii="Arial" w:hAnsi="Arial" w:cs="Arial"/>
          <w:color w:val="000000" w:themeColor="text1"/>
          <w:sz w:val="20"/>
          <w:szCs w:val="20"/>
        </w:rPr>
        <w:t>s</w:t>
      </w:r>
      <w:r w:rsidRPr="00017581">
        <w:rPr>
          <w:rFonts w:ascii="Arial" w:hAnsi="Arial" w:cs="Arial"/>
          <w:color w:val="000000" w:themeColor="text1"/>
          <w:sz w:val="20"/>
          <w:szCs w:val="20"/>
        </w:rPr>
        <w:t xml:space="preserve"> across 57 buffer-zone villages. Only 31.2% of households possessed predator-proof enclosures, with substantial variation between high-conflict villages (</w:t>
      </w:r>
      <w:proofErr w:type="spellStart"/>
      <w:r w:rsidRPr="00017581">
        <w:rPr>
          <w:rFonts w:ascii="Arial" w:hAnsi="Arial" w:cs="Arial"/>
          <w:color w:val="000000" w:themeColor="text1"/>
          <w:sz w:val="20"/>
          <w:szCs w:val="20"/>
        </w:rPr>
        <w:t>Anechowkur</w:t>
      </w:r>
      <w:proofErr w:type="spellEnd"/>
      <w:r w:rsidRPr="00017581">
        <w:rPr>
          <w:rFonts w:ascii="Arial" w:hAnsi="Arial" w:cs="Arial"/>
          <w:color w:val="000000" w:themeColor="text1"/>
          <w:sz w:val="20"/>
          <w:szCs w:val="20"/>
        </w:rPr>
        <w:t xml:space="preserve">: 18.3%, </w:t>
      </w:r>
      <w:proofErr w:type="spellStart"/>
      <w:r w:rsidRPr="00017581">
        <w:rPr>
          <w:rFonts w:ascii="Arial" w:hAnsi="Arial" w:cs="Arial"/>
          <w:color w:val="000000" w:themeColor="text1"/>
          <w:sz w:val="20"/>
          <w:szCs w:val="20"/>
        </w:rPr>
        <w:t>Veeranahosalli</w:t>
      </w:r>
      <w:proofErr w:type="spellEnd"/>
      <w:r w:rsidRPr="00017581">
        <w:rPr>
          <w:rFonts w:ascii="Arial" w:hAnsi="Arial" w:cs="Arial"/>
          <w:color w:val="000000" w:themeColor="text1"/>
          <w:sz w:val="20"/>
          <w:szCs w:val="20"/>
        </w:rPr>
        <w:t xml:space="preserve">: 22.7%) and low-conflict areas (67.4% average). Distance to forest boundary emerged as a critical predictor of conflict risk, with households within 500m experiencing 4.2 times higher predation rates than those beyond 2km. Forest </w:t>
      </w:r>
      <w:r w:rsidR="00012D73" w:rsidRPr="00017581">
        <w:rPr>
          <w:rFonts w:ascii="Arial" w:hAnsi="Arial" w:cs="Arial"/>
          <w:color w:val="000000" w:themeColor="text1"/>
          <w:sz w:val="20"/>
          <w:szCs w:val="20"/>
        </w:rPr>
        <w:t xml:space="preserve">staff deployment optimization via implementation </w:t>
      </w:r>
      <w:r w:rsidRPr="00017581">
        <w:rPr>
          <w:rFonts w:ascii="Arial" w:hAnsi="Arial" w:cs="Arial"/>
          <w:color w:val="000000" w:themeColor="text1"/>
          <w:sz w:val="20"/>
          <w:szCs w:val="20"/>
        </w:rPr>
        <w:t xml:space="preserve">of </w:t>
      </w:r>
      <w:r w:rsidR="00012D73" w:rsidRPr="00017581">
        <w:rPr>
          <w:rFonts w:ascii="Arial" w:hAnsi="Arial" w:cs="Arial"/>
          <w:color w:val="000000" w:themeColor="text1"/>
          <w:sz w:val="20"/>
          <w:szCs w:val="20"/>
        </w:rPr>
        <w:t>temporally guided</w:t>
      </w:r>
      <w:r w:rsidRPr="00017581">
        <w:rPr>
          <w:rFonts w:ascii="Arial" w:hAnsi="Arial" w:cs="Arial"/>
          <w:color w:val="000000" w:themeColor="text1"/>
          <w:sz w:val="20"/>
          <w:szCs w:val="20"/>
        </w:rPr>
        <w:t xml:space="preserve"> forest staff deployment in </w:t>
      </w:r>
      <w:proofErr w:type="spellStart"/>
      <w:r w:rsidRPr="00017581">
        <w:rPr>
          <w:rFonts w:ascii="Arial" w:hAnsi="Arial" w:cs="Arial"/>
          <w:color w:val="000000" w:themeColor="text1"/>
          <w:sz w:val="20"/>
          <w:szCs w:val="20"/>
        </w:rPr>
        <w:t>Anechowkur</w:t>
      </w:r>
      <w:proofErr w:type="spellEnd"/>
      <w:r w:rsidRPr="00017581">
        <w:rPr>
          <w:rFonts w:ascii="Arial" w:hAnsi="Arial" w:cs="Arial"/>
          <w:color w:val="000000" w:themeColor="text1"/>
          <w:sz w:val="20"/>
          <w:szCs w:val="20"/>
        </w:rPr>
        <w:t xml:space="preserve"> and </w:t>
      </w:r>
      <w:proofErr w:type="spellStart"/>
      <w:r w:rsidRPr="00017581">
        <w:rPr>
          <w:rFonts w:ascii="Arial" w:hAnsi="Arial" w:cs="Arial"/>
          <w:color w:val="000000" w:themeColor="text1"/>
          <w:sz w:val="20"/>
          <w:szCs w:val="20"/>
        </w:rPr>
        <w:t>Veeranahosalli</w:t>
      </w:r>
      <w:proofErr w:type="spellEnd"/>
      <w:r w:rsidRPr="00017581">
        <w:rPr>
          <w:rFonts w:ascii="Arial" w:hAnsi="Arial" w:cs="Arial"/>
          <w:color w:val="000000" w:themeColor="text1"/>
          <w:sz w:val="20"/>
          <w:szCs w:val="20"/>
        </w:rPr>
        <w:t xml:space="preserve"> yielded measurable conflict reduction during high-risk months (January-March) in 2022 and 2023. Targeted patrolling during peak conflict periods resulted in a 42.3% reduction in livestock predation compared to baseline years (2019-2021), while maintaining equivalent staffing levels. Beat restructuring that shifted personnel focus to high-risk months at identified hotspots demonstrated patrol efficiency optimization, with conflict prevention per patrol-hour improving by 2.7-fold during targeted deployment periods. This temporal alignment of resources with conflict peaks significantly enhanced mitigation efficacy without requiring additional staff or resources, demonstrating the value of data-driven adaptive management. Low-risk months (June-August) allowed for resource reallocation to habitat improvement and community engagement activities, maximizing conservation outcomes across multiple objectives. </w:t>
      </w:r>
    </w:p>
    <w:p w14:paraId="39176A7C" w14:textId="77777777" w:rsidR="002A1231" w:rsidRPr="00017581" w:rsidRDefault="002A1231" w:rsidP="00B8007A">
      <w:pPr>
        <w:spacing w:after="0" w:line="240" w:lineRule="auto"/>
        <w:jc w:val="both"/>
        <w:rPr>
          <w:rFonts w:ascii="Times New Roman" w:hAnsi="Times New Roman" w:cs="Times New Roman"/>
          <w:color w:val="000000" w:themeColor="text1"/>
        </w:rPr>
      </w:pPr>
    </w:p>
    <w:p w14:paraId="051273A3" w14:textId="49E74E53" w:rsidR="000A2D41" w:rsidRPr="00017581" w:rsidRDefault="000A2D41" w:rsidP="00E358B9">
      <w:pPr>
        <w:spacing w:after="0" w:line="240" w:lineRule="auto"/>
        <w:rPr>
          <w:rFonts w:ascii="Arial" w:hAnsi="Arial" w:cs="Arial"/>
          <w:b/>
          <w:bCs/>
          <w:color w:val="000000" w:themeColor="text1"/>
          <w:sz w:val="22"/>
          <w:szCs w:val="22"/>
        </w:rPr>
      </w:pPr>
      <w:r w:rsidRPr="00017581">
        <w:rPr>
          <w:rFonts w:ascii="Arial" w:hAnsi="Arial" w:cs="Arial"/>
          <w:b/>
          <w:bCs/>
          <w:color w:val="000000" w:themeColor="text1"/>
          <w:sz w:val="22"/>
          <w:szCs w:val="22"/>
        </w:rPr>
        <w:t>Discussions</w:t>
      </w:r>
    </w:p>
    <w:p w14:paraId="53BA18D1" w14:textId="77777777" w:rsidR="002A1231" w:rsidRPr="00017581" w:rsidRDefault="002A1231" w:rsidP="00B8007A">
      <w:pPr>
        <w:spacing w:after="0" w:line="240" w:lineRule="auto"/>
        <w:jc w:val="both"/>
        <w:rPr>
          <w:rFonts w:ascii="Times New Roman" w:hAnsi="Times New Roman" w:cs="Times New Roman"/>
          <w:b/>
          <w:bCs/>
          <w:color w:val="000000" w:themeColor="text1"/>
        </w:rPr>
      </w:pPr>
    </w:p>
    <w:p w14:paraId="503EC5FA" w14:textId="652D6D39" w:rsidR="003A6891" w:rsidRPr="00017581" w:rsidRDefault="003A6891" w:rsidP="003A6891">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Our study provides the first comprehensive </w:t>
      </w:r>
      <w:proofErr w:type="spellStart"/>
      <w:r w:rsidRPr="00017581">
        <w:rPr>
          <w:rFonts w:ascii="Arial" w:hAnsi="Arial" w:cs="Arial"/>
          <w:color w:val="000000" w:themeColor="text1"/>
          <w:sz w:val="20"/>
          <w:szCs w:val="20"/>
        </w:rPr>
        <w:t>spatio</w:t>
      </w:r>
      <w:proofErr w:type="spellEnd"/>
      <w:r w:rsidRPr="00017581">
        <w:rPr>
          <w:rFonts w:ascii="Arial" w:hAnsi="Arial" w:cs="Arial"/>
          <w:color w:val="000000" w:themeColor="text1"/>
          <w:sz w:val="20"/>
          <w:szCs w:val="20"/>
        </w:rPr>
        <w:t xml:space="preserve">-temporal analysis of human-tiger conflict in </w:t>
      </w:r>
      <w:proofErr w:type="spellStart"/>
      <w:r w:rsidRPr="00017581">
        <w:rPr>
          <w:rFonts w:ascii="Arial" w:hAnsi="Arial" w:cs="Arial"/>
          <w:color w:val="000000" w:themeColor="text1"/>
          <w:sz w:val="20"/>
          <w:szCs w:val="20"/>
        </w:rPr>
        <w:t>Nagarahole</w:t>
      </w:r>
      <w:proofErr w:type="spellEnd"/>
      <w:r w:rsidRPr="00017581">
        <w:rPr>
          <w:rFonts w:ascii="Arial" w:hAnsi="Arial" w:cs="Arial"/>
          <w:color w:val="000000" w:themeColor="text1"/>
          <w:sz w:val="20"/>
          <w:szCs w:val="20"/>
        </w:rPr>
        <w:t xml:space="preserve"> Tiger Reserve, revealing complex patterns that demand nuanced, adaptive management strategies. The findings confirm the "edge effect" as the primary driver of HTC in NTR, with incidents concentrated along forest-agriculture boundaries (Figures 1–12), consistent with global patterns of human-carnivore conflict (</w:t>
      </w:r>
      <w:proofErr w:type="spellStart"/>
      <w:r w:rsidRPr="00017581">
        <w:rPr>
          <w:rFonts w:ascii="Arial" w:hAnsi="Arial" w:cs="Arial"/>
          <w:color w:val="000000" w:themeColor="text1"/>
          <w:sz w:val="20"/>
          <w:szCs w:val="20"/>
        </w:rPr>
        <w:t>Athreya</w:t>
      </w:r>
      <w:proofErr w:type="spellEnd"/>
      <w:r w:rsidRPr="00017581">
        <w:rPr>
          <w:rFonts w:ascii="Arial" w:hAnsi="Arial" w:cs="Arial"/>
          <w:color w:val="000000" w:themeColor="text1"/>
          <w:sz w:val="20"/>
          <w:szCs w:val="20"/>
        </w:rPr>
        <w:t xml:space="preserve"> et al., 2013). Spatial </w:t>
      </w:r>
      <w:r w:rsidR="00615D3A" w:rsidRPr="00017581">
        <w:rPr>
          <w:rFonts w:ascii="Arial" w:hAnsi="Arial" w:cs="Arial"/>
          <w:color w:val="000000" w:themeColor="text1"/>
          <w:sz w:val="20"/>
          <w:szCs w:val="20"/>
        </w:rPr>
        <w:t>dynamics and landscape factors in t</w:t>
      </w:r>
      <w:r w:rsidRPr="00017581">
        <w:rPr>
          <w:rFonts w:ascii="Arial" w:hAnsi="Arial" w:cs="Arial"/>
          <w:color w:val="000000" w:themeColor="text1"/>
          <w:sz w:val="20"/>
          <w:szCs w:val="20"/>
        </w:rPr>
        <w:t xml:space="preserve">he </w:t>
      </w:r>
      <w:proofErr w:type="spellStart"/>
      <w:r w:rsidRPr="00017581">
        <w:rPr>
          <w:rFonts w:ascii="Arial" w:hAnsi="Arial" w:cs="Arial"/>
          <w:color w:val="000000" w:themeColor="text1"/>
          <w:sz w:val="20"/>
          <w:szCs w:val="20"/>
        </w:rPr>
        <w:t>northwestern</w:t>
      </w:r>
      <w:proofErr w:type="spellEnd"/>
      <w:r w:rsidRPr="00017581">
        <w:rPr>
          <w:rFonts w:ascii="Arial" w:hAnsi="Arial" w:cs="Arial"/>
          <w:color w:val="000000" w:themeColor="text1"/>
          <w:sz w:val="20"/>
          <w:szCs w:val="20"/>
        </w:rPr>
        <w:t xml:space="preserve"> sector's emergence as a perennial hotspot (</w:t>
      </w:r>
      <w:proofErr w:type="spellStart"/>
      <w:r w:rsidRPr="00017581">
        <w:rPr>
          <w:rFonts w:ascii="Arial" w:hAnsi="Arial" w:cs="Arial"/>
          <w:color w:val="000000" w:themeColor="text1"/>
          <w:sz w:val="20"/>
          <w:szCs w:val="20"/>
        </w:rPr>
        <w:t>Anechowkur</w:t>
      </w:r>
      <w:proofErr w:type="spellEnd"/>
      <w:r w:rsidRPr="00017581">
        <w:rPr>
          <w:rFonts w:ascii="Arial" w:hAnsi="Arial" w:cs="Arial"/>
          <w:color w:val="000000" w:themeColor="text1"/>
          <w:sz w:val="20"/>
          <w:szCs w:val="20"/>
        </w:rPr>
        <w:t xml:space="preserve">, </w:t>
      </w:r>
      <w:proofErr w:type="spellStart"/>
      <w:r w:rsidRPr="00017581">
        <w:rPr>
          <w:rFonts w:ascii="Arial" w:hAnsi="Arial" w:cs="Arial"/>
          <w:color w:val="000000" w:themeColor="text1"/>
          <w:sz w:val="20"/>
          <w:szCs w:val="20"/>
        </w:rPr>
        <w:t>Veeranahosalli</w:t>
      </w:r>
      <w:proofErr w:type="spellEnd"/>
      <w:r w:rsidRPr="00017581">
        <w:rPr>
          <w:rFonts w:ascii="Arial" w:hAnsi="Arial" w:cs="Arial"/>
          <w:color w:val="000000" w:themeColor="text1"/>
          <w:sz w:val="20"/>
          <w:szCs w:val="20"/>
        </w:rPr>
        <w:t xml:space="preserve">) reflects the confluence of multiple risk factors fragmented habitats, high livestock density, inadequate protection infrastructure, and proximity to major tiger movement corridors. This pattern aligns with findings from </w:t>
      </w:r>
      <w:proofErr w:type="spellStart"/>
      <w:r w:rsidRPr="00017581">
        <w:rPr>
          <w:rFonts w:ascii="Arial" w:hAnsi="Arial" w:cs="Arial"/>
          <w:color w:val="000000" w:themeColor="text1"/>
          <w:sz w:val="20"/>
          <w:szCs w:val="20"/>
        </w:rPr>
        <w:t>Kanha</w:t>
      </w:r>
      <w:proofErr w:type="spellEnd"/>
      <w:r w:rsidRPr="00017581">
        <w:rPr>
          <w:rFonts w:ascii="Arial" w:hAnsi="Arial" w:cs="Arial"/>
          <w:color w:val="000000" w:themeColor="text1"/>
          <w:sz w:val="20"/>
          <w:szCs w:val="20"/>
        </w:rPr>
        <w:t xml:space="preserve"> Tiger Reserve, where landscape fragmentation and agricultural intensification created persistent conflict zones (Miller et al., 2016). The concentration of 69.05% of incidents in just three ranges suggests that targeted interventions in these areas could yield disproportionate conservation benefits. The robust edge effect, with 78.5% of incidents within 1km of forest boundaries, underscores the critical importance of interface management. This finding supports the "edge ecology" hypothesis, where predators exploit ecotonal zones for hunting opportunities while minimizing energy expenditure (Ripple &amp; </w:t>
      </w:r>
      <w:proofErr w:type="spellStart"/>
      <w:r w:rsidRPr="00017581">
        <w:rPr>
          <w:rFonts w:ascii="Arial" w:hAnsi="Arial" w:cs="Arial"/>
          <w:color w:val="000000" w:themeColor="text1"/>
          <w:sz w:val="20"/>
          <w:szCs w:val="20"/>
        </w:rPr>
        <w:t>Beschta</w:t>
      </w:r>
      <w:proofErr w:type="spellEnd"/>
      <w:r w:rsidRPr="00017581">
        <w:rPr>
          <w:rFonts w:ascii="Arial" w:hAnsi="Arial" w:cs="Arial"/>
          <w:color w:val="000000" w:themeColor="text1"/>
          <w:sz w:val="20"/>
          <w:szCs w:val="20"/>
        </w:rPr>
        <w:t xml:space="preserve">, 2004). The exponential decay in conflict intensity with distance from forest edges provides a clear spatial framework for prioritizing mitigation investments. The clustering of incidents near water sources (64.3% within 500m) reflects both tiger </w:t>
      </w:r>
      <w:proofErr w:type="spellStart"/>
      <w:r w:rsidRPr="00017581">
        <w:rPr>
          <w:rFonts w:ascii="Arial" w:hAnsi="Arial" w:cs="Arial"/>
          <w:color w:val="000000" w:themeColor="text1"/>
          <w:sz w:val="20"/>
          <w:szCs w:val="20"/>
        </w:rPr>
        <w:t>behavioral</w:t>
      </w:r>
      <w:proofErr w:type="spellEnd"/>
      <w:r w:rsidRPr="00017581">
        <w:rPr>
          <w:rFonts w:ascii="Arial" w:hAnsi="Arial" w:cs="Arial"/>
          <w:color w:val="000000" w:themeColor="text1"/>
          <w:sz w:val="20"/>
          <w:szCs w:val="20"/>
        </w:rPr>
        <w:t xml:space="preserve"> ecology and livestock management practices. Tigers require regular access to water, particularly during dry periods, while livestock are often grazed near water sources for convenience. This spatial overlap creates predictable conflict zones that can be targeted for intervention through strategic placement of predator-proof watering facilities and modified grazing schedules. Temporal </w:t>
      </w:r>
      <w:r w:rsidR="00615D3A" w:rsidRPr="00017581">
        <w:rPr>
          <w:rFonts w:ascii="Arial" w:hAnsi="Arial" w:cs="Arial"/>
          <w:color w:val="000000" w:themeColor="text1"/>
          <w:sz w:val="20"/>
          <w:szCs w:val="20"/>
        </w:rPr>
        <w:t xml:space="preserve">patterns and ecological drivers showed </w:t>
      </w:r>
      <w:r w:rsidRPr="00017581">
        <w:rPr>
          <w:rFonts w:ascii="Arial" w:hAnsi="Arial" w:cs="Arial"/>
          <w:color w:val="000000" w:themeColor="text1"/>
          <w:sz w:val="20"/>
          <w:szCs w:val="20"/>
        </w:rPr>
        <w:t>pronounced seasonality in conflict frequency reflect</w:t>
      </w:r>
      <w:r w:rsidR="00615D3A" w:rsidRPr="00017581">
        <w:rPr>
          <w:rFonts w:ascii="Arial" w:hAnsi="Arial" w:cs="Arial"/>
          <w:color w:val="000000" w:themeColor="text1"/>
          <w:sz w:val="20"/>
          <w:szCs w:val="20"/>
        </w:rPr>
        <w:t>ing</w:t>
      </w:r>
      <w:r w:rsidRPr="00017581">
        <w:rPr>
          <w:rFonts w:ascii="Arial" w:hAnsi="Arial" w:cs="Arial"/>
          <w:color w:val="000000" w:themeColor="text1"/>
          <w:sz w:val="20"/>
          <w:szCs w:val="20"/>
        </w:rPr>
        <w:t xml:space="preserve"> complex interactions between tiger ecology, prey dynamics, and human activities. Peak conflicts during dry months (January-March) align with reduced natural prey availability, increased tiger mobility due to water scarcity, and livestock vulnerability as vegetation cover declines (</w:t>
      </w:r>
      <w:proofErr w:type="spellStart"/>
      <w:r w:rsidRPr="00017581">
        <w:rPr>
          <w:rFonts w:ascii="Arial" w:hAnsi="Arial" w:cs="Arial"/>
          <w:color w:val="000000" w:themeColor="text1"/>
          <w:sz w:val="20"/>
          <w:szCs w:val="20"/>
        </w:rPr>
        <w:t>Karanth</w:t>
      </w:r>
      <w:proofErr w:type="spellEnd"/>
      <w:r w:rsidRPr="00017581">
        <w:rPr>
          <w:rFonts w:ascii="Arial" w:hAnsi="Arial" w:cs="Arial"/>
          <w:color w:val="000000" w:themeColor="text1"/>
          <w:sz w:val="20"/>
          <w:szCs w:val="20"/>
        </w:rPr>
        <w:t xml:space="preserve"> &amp; </w:t>
      </w:r>
      <w:proofErr w:type="spellStart"/>
      <w:r w:rsidRPr="00017581">
        <w:rPr>
          <w:rFonts w:ascii="Arial" w:hAnsi="Arial" w:cs="Arial"/>
          <w:color w:val="000000" w:themeColor="text1"/>
          <w:sz w:val="20"/>
          <w:szCs w:val="20"/>
        </w:rPr>
        <w:t>Sunquist</w:t>
      </w:r>
      <w:proofErr w:type="spellEnd"/>
      <w:r w:rsidRPr="00017581">
        <w:rPr>
          <w:rFonts w:ascii="Arial" w:hAnsi="Arial" w:cs="Arial"/>
          <w:color w:val="000000" w:themeColor="text1"/>
          <w:sz w:val="20"/>
          <w:szCs w:val="20"/>
        </w:rPr>
        <w:t xml:space="preserve">, 1995). The 3.8-fold variation between low and high-risk months provides compelling evidence for implementing seasonal management protocols. The unexpected September spike (34 incidents) represents a critical finding that challenges conventional understanding of HTC seasonality in Indian tiger reserves. </w:t>
      </w:r>
      <w:r w:rsidR="00615D3A" w:rsidRPr="00017581">
        <w:rPr>
          <w:rFonts w:ascii="Arial" w:hAnsi="Arial" w:cs="Arial"/>
          <w:color w:val="000000" w:themeColor="text1"/>
          <w:sz w:val="20"/>
          <w:szCs w:val="20"/>
        </w:rPr>
        <w:t>P</w:t>
      </w:r>
      <w:r w:rsidRPr="00017581">
        <w:rPr>
          <w:rFonts w:ascii="Arial" w:hAnsi="Arial" w:cs="Arial"/>
          <w:color w:val="000000" w:themeColor="text1"/>
          <w:sz w:val="20"/>
          <w:szCs w:val="20"/>
        </w:rPr>
        <w:t>ost-monsoon surge likely reflects the confluence of several factors</w:t>
      </w:r>
      <w:r w:rsidR="00615D3A" w:rsidRPr="00017581">
        <w:rPr>
          <w:rFonts w:ascii="Arial" w:hAnsi="Arial" w:cs="Arial"/>
          <w:color w:val="000000" w:themeColor="text1"/>
          <w:sz w:val="20"/>
          <w:szCs w:val="20"/>
        </w:rPr>
        <w:t xml:space="preserve"> like</w:t>
      </w:r>
      <w:r w:rsidRPr="00017581">
        <w:rPr>
          <w:rFonts w:ascii="Arial" w:hAnsi="Arial" w:cs="Arial"/>
          <w:color w:val="000000" w:themeColor="text1"/>
          <w:sz w:val="20"/>
          <w:szCs w:val="20"/>
        </w:rPr>
        <w:t xml:space="preserve"> (1) dispersal of natural prey as vegetation patterns change, (2) increased tiger movement as territories are re-established after monsoon disruptions, (3) crop harvest activities that disturb established patterns, and (4) livestock vulnerability as farmers resume intensive agricultural activities. This pattern parallels findings from Chitwan National Park, where post-monsoon periods showed elevated human-tiger encounters (Bhattarai &amp; Fischer, 2014). The bimodal conflict pattern with primary dry-season peaks and secondary post-monsoon surges suggests that NTR experiences two distinct </w:t>
      </w:r>
      <w:r w:rsidRPr="00017581">
        <w:rPr>
          <w:rFonts w:ascii="Arial" w:hAnsi="Arial" w:cs="Arial"/>
          <w:color w:val="000000" w:themeColor="text1"/>
          <w:sz w:val="20"/>
          <w:szCs w:val="20"/>
        </w:rPr>
        <w:lastRenderedPageBreak/>
        <w:t xml:space="preserve">high-risk periods annually, each requiring tailored management responses. This temporal complexity demands sophisticated adaptive management that can scale interventions appropriately across the annual cycle. The stark disparity in predator-proof infrastructure between high-conflict (18.3-22.7%) and low-conflict villages (67.4%) suggests that protective measures are either unavailable or ineffective in the most vulnerable areas. This infrastructure deficit represents a critical intervention opportunity, particularly given that 83.8% of incidents occurred when livestock were inadequately secured. The preference for young livestock (71.4% of predations) reflects tigers' opportunistic hunting </w:t>
      </w:r>
      <w:proofErr w:type="spellStart"/>
      <w:r w:rsidRPr="00017581">
        <w:rPr>
          <w:rFonts w:ascii="Arial" w:hAnsi="Arial" w:cs="Arial"/>
          <w:color w:val="000000" w:themeColor="text1"/>
          <w:sz w:val="20"/>
          <w:szCs w:val="20"/>
        </w:rPr>
        <w:t>behavior</w:t>
      </w:r>
      <w:proofErr w:type="spellEnd"/>
      <w:r w:rsidRPr="00017581">
        <w:rPr>
          <w:rFonts w:ascii="Arial" w:hAnsi="Arial" w:cs="Arial"/>
          <w:color w:val="000000" w:themeColor="text1"/>
          <w:sz w:val="20"/>
          <w:szCs w:val="20"/>
        </w:rPr>
        <w:t xml:space="preserve"> and highlights the vulnerability of valuable breeding stock. This pattern suggests that protection strategies should prioritize young animals and breeding females, which represent disproportionate economic and genetic value to rural households. Management </w:t>
      </w:r>
      <w:r w:rsidR="00615D3A" w:rsidRPr="00017581">
        <w:rPr>
          <w:rFonts w:ascii="Arial" w:hAnsi="Arial" w:cs="Arial"/>
          <w:color w:val="000000" w:themeColor="text1"/>
          <w:sz w:val="20"/>
          <w:szCs w:val="20"/>
        </w:rPr>
        <w:t xml:space="preserve">implications and adaptive strategies </w:t>
      </w:r>
      <w:r w:rsidRPr="00017581">
        <w:rPr>
          <w:rFonts w:ascii="Arial" w:hAnsi="Arial" w:cs="Arial"/>
          <w:color w:val="000000" w:themeColor="text1"/>
          <w:sz w:val="20"/>
          <w:szCs w:val="20"/>
        </w:rPr>
        <w:t>demonstrat</w:t>
      </w:r>
      <w:r w:rsidR="001B693F" w:rsidRPr="00017581">
        <w:rPr>
          <w:rFonts w:ascii="Arial" w:hAnsi="Arial" w:cs="Arial"/>
          <w:color w:val="000000" w:themeColor="text1"/>
          <w:sz w:val="20"/>
          <w:szCs w:val="20"/>
        </w:rPr>
        <w:t>ed</w:t>
      </w:r>
      <w:r w:rsidRPr="00017581">
        <w:rPr>
          <w:rFonts w:ascii="Arial" w:hAnsi="Arial" w:cs="Arial"/>
          <w:color w:val="000000" w:themeColor="text1"/>
          <w:sz w:val="20"/>
          <w:szCs w:val="20"/>
        </w:rPr>
        <w:t xml:space="preserve"> of successful temporal staff deployment represents a paradigm shift from static to adaptive forest management. The 42.3% reduction in livestock predation through targeted patrolling during high-risk months, achieved without additional resources, provides a scalable model for India's chronically under-resourced protected areas. This approach directly addresses the critical staffing deficits that plague tiger reserves nationwide, where guard-to-area ratios often fall below international standards. The success of beat restructuring in </w:t>
      </w:r>
      <w:proofErr w:type="spellStart"/>
      <w:r w:rsidRPr="00017581">
        <w:rPr>
          <w:rFonts w:ascii="Arial" w:hAnsi="Arial" w:cs="Arial"/>
          <w:color w:val="000000" w:themeColor="text1"/>
          <w:sz w:val="20"/>
          <w:szCs w:val="20"/>
        </w:rPr>
        <w:t>Anechowkur</w:t>
      </w:r>
      <w:proofErr w:type="spellEnd"/>
      <w:r w:rsidRPr="00017581">
        <w:rPr>
          <w:rFonts w:ascii="Arial" w:hAnsi="Arial" w:cs="Arial"/>
          <w:color w:val="000000" w:themeColor="text1"/>
          <w:sz w:val="20"/>
          <w:szCs w:val="20"/>
        </w:rPr>
        <w:t xml:space="preserve"> and </w:t>
      </w:r>
      <w:proofErr w:type="spellStart"/>
      <w:r w:rsidRPr="00017581">
        <w:rPr>
          <w:rFonts w:ascii="Arial" w:hAnsi="Arial" w:cs="Arial"/>
          <w:color w:val="000000" w:themeColor="text1"/>
          <w:sz w:val="20"/>
          <w:szCs w:val="20"/>
        </w:rPr>
        <w:t>Veeranahosalli</w:t>
      </w:r>
      <w:proofErr w:type="spellEnd"/>
      <w:r w:rsidRPr="00017581">
        <w:rPr>
          <w:rFonts w:ascii="Arial" w:hAnsi="Arial" w:cs="Arial"/>
          <w:color w:val="000000" w:themeColor="text1"/>
          <w:sz w:val="20"/>
          <w:szCs w:val="20"/>
        </w:rPr>
        <w:t xml:space="preserve"> underscores that temporal targeting outperforms uniform deployment strategies. This finding mirrors successful adaptive management in </w:t>
      </w:r>
      <w:proofErr w:type="spellStart"/>
      <w:r w:rsidRPr="00017581">
        <w:rPr>
          <w:rFonts w:ascii="Arial" w:hAnsi="Arial" w:cs="Arial"/>
          <w:color w:val="000000" w:themeColor="text1"/>
          <w:sz w:val="20"/>
          <w:szCs w:val="20"/>
        </w:rPr>
        <w:t>Kanha</w:t>
      </w:r>
      <w:proofErr w:type="spellEnd"/>
      <w:r w:rsidRPr="00017581">
        <w:rPr>
          <w:rFonts w:ascii="Arial" w:hAnsi="Arial" w:cs="Arial"/>
          <w:color w:val="000000" w:themeColor="text1"/>
          <w:sz w:val="20"/>
          <w:szCs w:val="20"/>
        </w:rPr>
        <w:t xml:space="preserve"> Tiger Reserve, where seasonal patrol adjustments reduced livestock losses by 38% (Miller et al., 2016). The 2.7-fold improvement in patrol efficiency during targeted deployments suggests that data-driven resource allocation can dramatically enhance conservation outcomes. The integration of GIS analytics into operational management protocols represents a critical advancement for evidence-based conservation. The ability to predict conflict hotspots and timing enables proactive rather than reactive management, potentially preventing conflicts before they occur. This predictive capacity is particularly valuable given the long-term consequences of human-tiger conflict for both conservation and community relations. Conservation </w:t>
      </w:r>
      <w:r w:rsidR="001B693F" w:rsidRPr="00017581">
        <w:rPr>
          <w:rFonts w:ascii="Arial" w:hAnsi="Arial" w:cs="Arial"/>
          <w:color w:val="000000" w:themeColor="text1"/>
          <w:sz w:val="20"/>
          <w:szCs w:val="20"/>
        </w:rPr>
        <w:t xml:space="preserve">framework and policy implications </w:t>
      </w:r>
      <w:r w:rsidRPr="00017581">
        <w:rPr>
          <w:rFonts w:ascii="Arial" w:hAnsi="Arial" w:cs="Arial"/>
          <w:color w:val="000000" w:themeColor="text1"/>
          <w:sz w:val="20"/>
          <w:szCs w:val="20"/>
        </w:rPr>
        <w:t>findings support a multi-tiered conservation strategy that integrates spatial targeting, temporal optimization, and community engagement. Priority interventions should focus on (1) intensive mitigation in persistent hotspots (</w:t>
      </w:r>
      <w:proofErr w:type="spellStart"/>
      <w:r w:rsidRPr="00017581">
        <w:rPr>
          <w:rFonts w:ascii="Arial" w:hAnsi="Arial" w:cs="Arial"/>
          <w:color w:val="000000" w:themeColor="text1"/>
          <w:sz w:val="20"/>
          <w:szCs w:val="20"/>
        </w:rPr>
        <w:t>Anechowkur</w:t>
      </w:r>
      <w:proofErr w:type="spellEnd"/>
      <w:r w:rsidRPr="00017581">
        <w:rPr>
          <w:rFonts w:ascii="Arial" w:hAnsi="Arial" w:cs="Arial"/>
          <w:color w:val="000000" w:themeColor="text1"/>
          <w:sz w:val="20"/>
          <w:szCs w:val="20"/>
        </w:rPr>
        <w:t xml:space="preserve">, </w:t>
      </w:r>
      <w:proofErr w:type="spellStart"/>
      <w:r w:rsidRPr="00017581">
        <w:rPr>
          <w:rFonts w:ascii="Arial" w:hAnsi="Arial" w:cs="Arial"/>
          <w:color w:val="000000" w:themeColor="text1"/>
          <w:sz w:val="20"/>
          <w:szCs w:val="20"/>
        </w:rPr>
        <w:t>Veeranahosalli</w:t>
      </w:r>
      <w:proofErr w:type="spellEnd"/>
      <w:r w:rsidRPr="00017581">
        <w:rPr>
          <w:rFonts w:ascii="Arial" w:hAnsi="Arial" w:cs="Arial"/>
          <w:color w:val="000000" w:themeColor="text1"/>
          <w:sz w:val="20"/>
          <w:szCs w:val="20"/>
        </w:rPr>
        <w:t xml:space="preserve">), (2) </w:t>
      </w:r>
      <w:r w:rsidR="005D034E" w:rsidRPr="00017581">
        <w:rPr>
          <w:rFonts w:ascii="Arial" w:hAnsi="Arial" w:cs="Arial"/>
          <w:color w:val="000000" w:themeColor="text1"/>
          <w:sz w:val="20"/>
          <w:szCs w:val="20"/>
        </w:rPr>
        <w:t>temporally targeted</w:t>
      </w:r>
      <w:r w:rsidRPr="00017581">
        <w:rPr>
          <w:rFonts w:ascii="Arial" w:hAnsi="Arial" w:cs="Arial"/>
          <w:color w:val="000000" w:themeColor="text1"/>
          <w:sz w:val="20"/>
          <w:szCs w:val="20"/>
        </w:rPr>
        <w:t xml:space="preserve"> patrols during high-risk months (January-March, September),</w:t>
      </w:r>
      <w:r w:rsidR="00017581" w:rsidRPr="00017581">
        <w:rPr>
          <w:rFonts w:ascii="Arial" w:hAnsi="Arial" w:cs="Arial"/>
          <w:color w:val="000000" w:themeColor="text1"/>
          <w:sz w:val="20"/>
          <w:szCs w:val="20"/>
        </w:rPr>
        <w:t xml:space="preserve"> and </w:t>
      </w:r>
      <w:r w:rsidRPr="00017581">
        <w:rPr>
          <w:rFonts w:ascii="Arial" w:hAnsi="Arial" w:cs="Arial"/>
          <w:color w:val="000000" w:themeColor="text1"/>
          <w:sz w:val="20"/>
          <w:szCs w:val="20"/>
        </w:rPr>
        <w:t xml:space="preserve">(3) subsidized predator-proof infrastructure in vulnerable villages. The success of adaptive management protocols in NTR provides a replicable framework for tiger reserves across India's human-dominated landscapes. The integration of scientific analysis with operational management represents a critical advancement in evidence-based conservation that can be scaled to address the broader challenges of human-wildlife conflict in biodiversity hotspots. </w:t>
      </w:r>
    </w:p>
    <w:p w14:paraId="2E5EA220" w14:textId="77777777" w:rsidR="00CB6326" w:rsidRPr="00017581" w:rsidRDefault="00CB6326" w:rsidP="003A6891">
      <w:pPr>
        <w:spacing w:after="0" w:line="240" w:lineRule="auto"/>
        <w:jc w:val="both"/>
        <w:rPr>
          <w:rFonts w:ascii="Arial" w:hAnsi="Arial" w:cs="Arial"/>
          <w:color w:val="000000" w:themeColor="text1"/>
          <w:sz w:val="20"/>
          <w:szCs w:val="20"/>
        </w:rPr>
      </w:pPr>
    </w:p>
    <w:p w14:paraId="2F70F226" w14:textId="736D707B" w:rsidR="00CB6326" w:rsidRPr="00017581" w:rsidRDefault="00CB6326" w:rsidP="00CB6326">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Recommendations are to</w:t>
      </w:r>
      <w:r w:rsidRPr="00017581">
        <w:rPr>
          <w:rFonts w:ascii="Arial" w:hAnsi="Arial" w:cs="Arial"/>
          <w:b/>
          <w:bCs/>
          <w:color w:val="000000" w:themeColor="text1"/>
          <w:sz w:val="20"/>
          <w:szCs w:val="20"/>
        </w:rPr>
        <w:t xml:space="preserve"> i</w:t>
      </w:r>
      <w:r w:rsidRPr="00017581">
        <w:rPr>
          <w:rFonts w:ascii="Arial" w:hAnsi="Arial" w:cs="Arial"/>
          <w:color w:val="000000" w:themeColor="text1"/>
          <w:sz w:val="20"/>
          <w:szCs w:val="20"/>
        </w:rPr>
        <w:t xml:space="preserve">mplement adaptive forest management in NTR through: (1) concentrated patrolling in </w:t>
      </w:r>
      <w:proofErr w:type="spellStart"/>
      <w:r w:rsidRPr="00017581">
        <w:rPr>
          <w:rFonts w:ascii="Arial" w:hAnsi="Arial" w:cs="Arial"/>
          <w:color w:val="000000" w:themeColor="text1"/>
          <w:sz w:val="20"/>
          <w:szCs w:val="20"/>
        </w:rPr>
        <w:t>Anechowkur</w:t>
      </w:r>
      <w:proofErr w:type="spellEnd"/>
      <w:r w:rsidRPr="00017581">
        <w:rPr>
          <w:rFonts w:ascii="Arial" w:hAnsi="Arial" w:cs="Arial"/>
          <w:color w:val="000000" w:themeColor="text1"/>
          <w:sz w:val="20"/>
          <w:szCs w:val="20"/>
        </w:rPr>
        <w:t xml:space="preserve"> and </w:t>
      </w:r>
      <w:proofErr w:type="spellStart"/>
      <w:r w:rsidRPr="00017581">
        <w:rPr>
          <w:rFonts w:ascii="Arial" w:hAnsi="Arial" w:cs="Arial"/>
          <w:color w:val="000000" w:themeColor="text1"/>
          <w:sz w:val="20"/>
          <w:szCs w:val="20"/>
        </w:rPr>
        <w:t>Veeranahosalli</w:t>
      </w:r>
      <w:proofErr w:type="spellEnd"/>
      <w:r w:rsidRPr="00017581">
        <w:rPr>
          <w:rFonts w:ascii="Arial" w:hAnsi="Arial" w:cs="Arial"/>
          <w:color w:val="000000" w:themeColor="text1"/>
          <w:sz w:val="20"/>
          <w:szCs w:val="20"/>
        </w:rPr>
        <w:t xml:space="preserve"> hotspots during peak months (January-March, September) yielding demonstrated 42.3% conflict reduction, (2) subsidized predator-proof enclosures for vulnerable villages within 1km of forest boundaries where only 18.3-22.7% have adequate protection and (3) GIS integration for real-time incident mapping and beat optimization. Future studies should</w:t>
      </w:r>
      <w:r w:rsidR="005D034E" w:rsidRPr="00017581">
        <w:rPr>
          <w:rFonts w:ascii="Arial" w:hAnsi="Arial" w:cs="Arial"/>
          <w:color w:val="000000" w:themeColor="text1"/>
          <w:sz w:val="20"/>
          <w:szCs w:val="20"/>
        </w:rPr>
        <w:t xml:space="preserve"> include</w:t>
      </w:r>
      <w:r w:rsidRPr="00017581">
        <w:rPr>
          <w:rFonts w:ascii="Arial" w:hAnsi="Arial" w:cs="Arial"/>
          <w:color w:val="000000" w:themeColor="text1"/>
          <w:sz w:val="20"/>
          <w:szCs w:val="20"/>
        </w:rPr>
        <w:t xml:space="preserve"> (1) expand</w:t>
      </w:r>
      <w:r w:rsidR="005D034E" w:rsidRPr="00017581">
        <w:rPr>
          <w:rFonts w:ascii="Arial" w:hAnsi="Arial" w:cs="Arial"/>
          <w:color w:val="000000" w:themeColor="text1"/>
          <w:sz w:val="20"/>
          <w:szCs w:val="20"/>
        </w:rPr>
        <w:t>ing</w:t>
      </w:r>
      <w:r w:rsidRPr="00017581">
        <w:rPr>
          <w:rFonts w:ascii="Arial" w:hAnsi="Arial" w:cs="Arial"/>
          <w:color w:val="000000" w:themeColor="text1"/>
          <w:sz w:val="20"/>
          <w:szCs w:val="20"/>
        </w:rPr>
        <w:t xml:space="preserve"> to multi-carnivore conflict analysis (2) investigate climate change impacts on conflict patterns.</w:t>
      </w:r>
    </w:p>
    <w:p w14:paraId="03414B24" w14:textId="77777777" w:rsidR="00CB6326" w:rsidRPr="00017581" w:rsidRDefault="00CB6326" w:rsidP="003A6891">
      <w:pPr>
        <w:spacing w:after="0" w:line="240" w:lineRule="auto"/>
        <w:jc w:val="both"/>
        <w:rPr>
          <w:rFonts w:ascii="Arial" w:hAnsi="Arial" w:cs="Arial"/>
          <w:color w:val="000000" w:themeColor="text1"/>
          <w:sz w:val="20"/>
          <w:szCs w:val="20"/>
        </w:rPr>
      </w:pPr>
    </w:p>
    <w:p w14:paraId="1A17707A" w14:textId="77777777" w:rsidR="003A6891" w:rsidRPr="00017581" w:rsidRDefault="003A6891" w:rsidP="00B8007A">
      <w:pPr>
        <w:spacing w:after="0" w:line="240" w:lineRule="auto"/>
        <w:jc w:val="both"/>
        <w:rPr>
          <w:rFonts w:ascii="Arial" w:hAnsi="Arial" w:cs="Arial"/>
          <w:color w:val="000000" w:themeColor="text1"/>
          <w:sz w:val="20"/>
          <w:szCs w:val="20"/>
        </w:rPr>
      </w:pPr>
    </w:p>
    <w:p w14:paraId="260FC825" w14:textId="77777777" w:rsidR="002A1231" w:rsidRPr="00017581" w:rsidRDefault="002A1231" w:rsidP="00B8007A">
      <w:pPr>
        <w:spacing w:after="0" w:line="240" w:lineRule="auto"/>
        <w:jc w:val="both"/>
        <w:rPr>
          <w:rFonts w:ascii="Times New Roman" w:hAnsi="Times New Roman" w:cs="Times New Roman"/>
          <w:color w:val="000000" w:themeColor="text1"/>
        </w:rPr>
      </w:pPr>
    </w:p>
    <w:p w14:paraId="3132EC76" w14:textId="7EAD8D9E" w:rsidR="000A2D41" w:rsidRPr="00017581" w:rsidRDefault="000A2D41" w:rsidP="00E358B9">
      <w:pPr>
        <w:spacing w:after="0" w:line="240" w:lineRule="auto"/>
        <w:rPr>
          <w:rFonts w:ascii="Arial" w:hAnsi="Arial" w:cs="Arial"/>
          <w:b/>
          <w:bCs/>
          <w:color w:val="000000" w:themeColor="text1"/>
          <w:sz w:val="22"/>
          <w:szCs w:val="22"/>
        </w:rPr>
      </w:pPr>
      <w:r w:rsidRPr="00017581">
        <w:rPr>
          <w:rFonts w:ascii="Arial" w:hAnsi="Arial" w:cs="Arial"/>
          <w:b/>
          <w:bCs/>
          <w:color w:val="000000" w:themeColor="text1"/>
          <w:sz w:val="22"/>
          <w:szCs w:val="22"/>
        </w:rPr>
        <w:t>Conclusions</w:t>
      </w:r>
    </w:p>
    <w:p w14:paraId="69131FE4" w14:textId="77777777" w:rsidR="002A1231" w:rsidRPr="00017581" w:rsidRDefault="002A1231" w:rsidP="00B8007A">
      <w:pPr>
        <w:spacing w:after="0" w:line="240" w:lineRule="auto"/>
        <w:jc w:val="both"/>
        <w:rPr>
          <w:rFonts w:ascii="Times New Roman" w:hAnsi="Times New Roman" w:cs="Times New Roman"/>
          <w:b/>
          <w:bCs/>
          <w:color w:val="000000" w:themeColor="text1"/>
        </w:rPr>
      </w:pPr>
    </w:p>
    <w:p w14:paraId="325F20D5" w14:textId="635AAD3F" w:rsidR="000A2D41" w:rsidRPr="00017581" w:rsidRDefault="000A2D41" w:rsidP="00B8007A">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This study establishes that HTC in NTR is spatially entrenched along forest edges and temporally amplified during dry and post-monsoon months.</w:t>
      </w:r>
      <w:r w:rsidR="00D94C55" w:rsidRPr="00017581">
        <w:rPr>
          <w:rFonts w:ascii="Arial" w:hAnsi="Arial" w:cs="Arial"/>
          <w:color w:val="000000" w:themeColor="text1"/>
          <w:sz w:val="20"/>
          <w:szCs w:val="20"/>
        </w:rPr>
        <w:t xml:space="preserve"> These findings highlight the critical need for year-round, temporally targeted mitigation informed by GIS analytics. Integrating forest staff deployments into beat management, patrolling protocols representing a scalable, low-cost strategy for India's under-resourced protected areas. </w:t>
      </w:r>
      <w:r w:rsidRPr="00017581">
        <w:rPr>
          <w:rFonts w:ascii="Arial" w:hAnsi="Arial" w:cs="Arial"/>
          <w:color w:val="000000" w:themeColor="text1"/>
          <w:sz w:val="20"/>
          <w:szCs w:val="20"/>
        </w:rPr>
        <w:t xml:space="preserve">The persistence of hotspots like </w:t>
      </w:r>
      <w:proofErr w:type="spellStart"/>
      <w:r w:rsidRPr="00017581">
        <w:rPr>
          <w:rFonts w:ascii="Arial" w:hAnsi="Arial" w:cs="Arial"/>
          <w:color w:val="000000" w:themeColor="text1"/>
          <w:sz w:val="20"/>
          <w:szCs w:val="20"/>
        </w:rPr>
        <w:t>Anechowkur</w:t>
      </w:r>
      <w:proofErr w:type="spellEnd"/>
      <w:r w:rsidRPr="00017581">
        <w:rPr>
          <w:rFonts w:ascii="Arial" w:hAnsi="Arial" w:cs="Arial"/>
          <w:color w:val="000000" w:themeColor="text1"/>
          <w:sz w:val="20"/>
          <w:szCs w:val="20"/>
        </w:rPr>
        <w:t xml:space="preserve"> </w:t>
      </w:r>
      <w:r w:rsidR="00D94C55" w:rsidRPr="00017581">
        <w:rPr>
          <w:rFonts w:ascii="Arial" w:hAnsi="Arial" w:cs="Arial"/>
          <w:color w:val="000000" w:themeColor="text1"/>
          <w:sz w:val="20"/>
          <w:szCs w:val="20"/>
        </w:rPr>
        <w:t xml:space="preserve">and </w:t>
      </w:r>
      <w:proofErr w:type="spellStart"/>
      <w:r w:rsidR="00D94C55" w:rsidRPr="00017581">
        <w:rPr>
          <w:rFonts w:ascii="Arial" w:hAnsi="Arial" w:cs="Arial"/>
          <w:color w:val="000000" w:themeColor="text1"/>
          <w:sz w:val="20"/>
          <w:szCs w:val="20"/>
        </w:rPr>
        <w:t>Veeranahosalli</w:t>
      </w:r>
      <w:proofErr w:type="spellEnd"/>
      <w:r w:rsidR="00D94C55" w:rsidRPr="00017581">
        <w:rPr>
          <w:rFonts w:ascii="Arial" w:hAnsi="Arial" w:cs="Arial"/>
          <w:color w:val="000000" w:themeColor="text1"/>
          <w:sz w:val="20"/>
          <w:szCs w:val="20"/>
        </w:rPr>
        <w:t xml:space="preserve"> </w:t>
      </w:r>
      <w:r w:rsidRPr="00017581">
        <w:rPr>
          <w:rFonts w:ascii="Arial" w:hAnsi="Arial" w:cs="Arial"/>
          <w:color w:val="000000" w:themeColor="text1"/>
          <w:sz w:val="20"/>
          <w:szCs w:val="20"/>
        </w:rPr>
        <w:t xml:space="preserve">underscores the need for </w:t>
      </w:r>
      <w:r w:rsidR="00D94C55" w:rsidRPr="00017581">
        <w:rPr>
          <w:rFonts w:ascii="Arial" w:hAnsi="Arial" w:cs="Arial"/>
          <w:color w:val="000000" w:themeColor="text1"/>
          <w:sz w:val="20"/>
          <w:szCs w:val="20"/>
        </w:rPr>
        <w:t xml:space="preserve">temporally targeted </w:t>
      </w:r>
      <w:r w:rsidRPr="00017581">
        <w:rPr>
          <w:rFonts w:ascii="Arial" w:hAnsi="Arial" w:cs="Arial"/>
          <w:color w:val="000000" w:themeColor="text1"/>
          <w:sz w:val="20"/>
          <w:szCs w:val="20"/>
        </w:rPr>
        <w:t>explicit management. By prioritizing predator-proofing</w:t>
      </w:r>
      <w:r w:rsidR="00C03B83" w:rsidRPr="00017581">
        <w:rPr>
          <w:rFonts w:ascii="Arial" w:hAnsi="Arial" w:cs="Arial"/>
          <w:color w:val="000000" w:themeColor="text1"/>
          <w:sz w:val="20"/>
          <w:szCs w:val="20"/>
        </w:rPr>
        <w:t xml:space="preserve"> and</w:t>
      </w:r>
      <w:r w:rsidRPr="00017581">
        <w:rPr>
          <w:rFonts w:ascii="Arial" w:hAnsi="Arial" w:cs="Arial"/>
          <w:color w:val="000000" w:themeColor="text1"/>
          <w:sz w:val="20"/>
          <w:szCs w:val="20"/>
        </w:rPr>
        <w:t xml:space="preserve"> hotspot-focused patrols, NTR can mitigate conflicts while advancing coexistence. These strategies offer a replicable framework for tiger reserves across India’s human-dominated landscapes.</w:t>
      </w:r>
    </w:p>
    <w:p w14:paraId="194B6B7F" w14:textId="77777777" w:rsidR="00CF1302" w:rsidRPr="00017581" w:rsidRDefault="00CF1302" w:rsidP="00B8007A">
      <w:pPr>
        <w:spacing w:after="0" w:line="240" w:lineRule="auto"/>
        <w:jc w:val="both"/>
        <w:rPr>
          <w:rFonts w:ascii="Times New Roman" w:hAnsi="Times New Roman" w:cs="Times New Roman"/>
          <w:color w:val="000000" w:themeColor="text1"/>
        </w:rPr>
      </w:pPr>
    </w:p>
    <w:p w14:paraId="7F1593E9" w14:textId="78DD8932" w:rsidR="00AC78C8" w:rsidRPr="00017581" w:rsidRDefault="00AC78C8" w:rsidP="00AC78C8">
      <w:pPr>
        <w:spacing w:after="0" w:line="240" w:lineRule="auto"/>
        <w:rPr>
          <w:rFonts w:ascii="Arial" w:hAnsi="Arial" w:cs="Arial"/>
          <w:color w:val="000000" w:themeColor="text1"/>
        </w:rPr>
      </w:pPr>
      <w:r w:rsidRPr="00017581">
        <w:rPr>
          <w:rFonts w:ascii="Arial" w:hAnsi="Arial" w:cs="Arial"/>
          <w:b/>
          <w:bCs/>
          <w:color w:val="000000" w:themeColor="text1"/>
          <w:sz w:val="22"/>
          <w:szCs w:val="22"/>
        </w:rPr>
        <w:t>Acknowledgement</w:t>
      </w:r>
      <w:r w:rsidR="00845587">
        <w:rPr>
          <w:rFonts w:ascii="Arial" w:hAnsi="Arial" w:cs="Arial"/>
          <w:b/>
          <w:bCs/>
          <w:color w:val="000000" w:themeColor="text1"/>
          <w:sz w:val="22"/>
          <w:szCs w:val="22"/>
        </w:rPr>
        <w:t>s</w:t>
      </w:r>
    </w:p>
    <w:p w14:paraId="79D84D6C" w14:textId="2BBA97E8" w:rsidR="00AC78C8" w:rsidRPr="00017581" w:rsidRDefault="00AC78C8" w:rsidP="00AC78C8">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Authors thank Karnataka Forest Department and all park officials.</w:t>
      </w:r>
    </w:p>
    <w:p w14:paraId="4D45A02E" w14:textId="77777777" w:rsidR="0056196D" w:rsidRPr="00017581" w:rsidRDefault="0056196D" w:rsidP="00AC78C8">
      <w:pPr>
        <w:spacing w:after="0" w:line="240" w:lineRule="auto"/>
        <w:jc w:val="both"/>
        <w:rPr>
          <w:rFonts w:ascii="Arial" w:hAnsi="Arial" w:cs="Arial"/>
          <w:color w:val="000000" w:themeColor="text1"/>
          <w:sz w:val="20"/>
          <w:szCs w:val="20"/>
        </w:rPr>
      </w:pPr>
    </w:p>
    <w:p w14:paraId="09B516DA" w14:textId="77777777" w:rsidR="00AC78C8" w:rsidRPr="00017581" w:rsidRDefault="00AC78C8" w:rsidP="00AC78C8">
      <w:pPr>
        <w:spacing w:after="0" w:line="240" w:lineRule="auto"/>
        <w:jc w:val="both"/>
        <w:rPr>
          <w:rFonts w:ascii="Times New Roman" w:hAnsi="Times New Roman" w:cs="Times New Roman"/>
          <w:color w:val="000000" w:themeColor="text1"/>
        </w:rPr>
      </w:pPr>
    </w:p>
    <w:p w14:paraId="033A6584" w14:textId="77777777" w:rsidR="00AC78C8" w:rsidRPr="00017581" w:rsidRDefault="00AC78C8" w:rsidP="00AC78C8">
      <w:pPr>
        <w:spacing w:after="0" w:line="240" w:lineRule="auto"/>
        <w:rPr>
          <w:rFonts w:ascii="Arial" w:hAnsi="Arial" w:cs="Arial"/>
          <w:bCs/>
          <w:color w:val="000000" w:themeColor="text1"/>
        </w:rPr>
      </w:pPr>
      <w:r w:rsidRPr="00017581">
        <w:rPr>
          <w:rFonts w:ascii="Arial" w:hAnsi="Arial" w:cs="Arial"/>
          <w:b/>
          <w:bCs/>
          <w:color w:val="000000" w:themeColor="text1"/>
          <w:sz w:val="22"/>
          <w:szCs w:val="22"/>
        </w:rPr>
        <w:lastRenderedPageBreak/>
        <w:t>Authors’ Contributions</w:t>
      </w:r>
    </w:p>
    <w:p w14:paraId="725534E5" w14:textId="13D9C59C" w:rsidR="00AC78C8" w:rsidRDefault="00AC78C8" w:rsidP="00AC78C8">
      <w:p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P.S. Harsha: Is a research scholar, is responsible for conceptualisation, planning, sampling, execution of work, </w:t>
      </w:r>
      <w:r w:rsidR="0056196D" w:rsidRPr="00017581">
        <w:rPr>
          <w:rFonts w:ascii="Arial" w:hAnsi="Arial" w:cs="Arial"/>
          <w:color w:val="000000" w:themeColor="text1"/>
          <w:sz w:val="20"/>
          <w:szCs w:val="20"/>
        </w:rPr>
        <w:t>d</w:t>
      </w:r>
      <w:r w:rsidRPr="00017581">
        <w:rPr>
          <w:rFonts w:ascii="Arial" w:hAnsi="Arial" w:cs="Arial"/>
          <w:color w:val="000000" w:themeColor="text1"/>
          <w:sz w:val="20"/>
          <w:szCs w:val="20"/>
        </w:rPr>
        <w:t>ata analysis, writing and manuscript preparation; V. Kumara:</w:t>
      </w:r>
      <w:r w:rsidR="0056196D" w:rsidRPr="00017581">
        <w:rPr>
          <w:rFonts w:ascii="Arial" w:hAnsi="Arial" w:cs="Arial"/>
          <w:color w:val="000000" w:themeColor="text1"/>
          <w:sz w:val="20"/>
          <w:szCs w:val="20"/>
        </w:rPr>
        <w:t xml:space="preserve"> </w:t>
      </w:r>
      <w:r w:rsidRPr="00017581">
        <w:rPr>
          <w:rFonts w:ascii="Arial" w:hAnsi="Arial" w:cs="Arial"/>
          <w:color w:val="000000" w:themeColor="text1"/>
          <w:sz w:val="20"/>
          <w:szCs w:val="20"/>
        </w:rPr>
        <w:t xml:space="preserve">Is responsible for </w:t>
      </w:r>
      <w:r w:rsidR="0056196D" w:rsidRPr="00017581">
        <w:rPr>
          <w:rFonts w:ascii="Arial" w:hAnsi="Arial" w:cs="Arial"/>
          <w:color w:val="000000" w:themeColor="text1"/>
          <w:sz w:val="20"/>
          <w:szCs w:val="20"/>
        </w:rPr>
        <w:t>g</w:t>
      </w:r>
      <w:r w:rsidRPr="00017581">
        <w:rPr>
          <w:rFonts w:ascii="Arial" w:hAnsi="Arial" w:cs="Arial"/>
          <w:color w:val="000000" w:themeColor="text1"/>
          <w:sz w:val="20"/>
          <w:szCs w:val="20"/>
        </w:rPr>
        <w:t>uidance and correcting manuscript.</w:t>
      </w:r>
    </w:p>
    <w:p w14:paraId="247EA107" w14:textId="4E025F2B" w:rsidR="0012636E" w:rsidRDefault="0012636E" w:rsidP="00AC78C8">
      <w:pPr>
        <w:spacing w:after="0" w:line="240" w:lineRule="auto"/>
        <w:jc w:val="both"/>
        <w:rPr>
          <w:rFonts w:ascii="Arial" w:hAnsi="Arial" w:cs="Arial"/>
          <w:color w:val="000000" w:themeColor="text1"/>
          <w:sz w:val="20"/>
          <w:szCs w:val="20"/>
        </w:rPr>
      </w:pPr>
    </w:p>
    <w:p w14:paraId="01373B2E" w14:textId="77777777" w:rsidR="0012636E" w:rsidRPr="0012636E" w:rsidRDefault="0012636E" w:rsidP="0012636E">
      <w:pPr>
        <w:spacing w:after="0" w:line="240" w:lineRule="auto"/>
        <w:jc w:val="both"/>
        <w:rPr>
          <w:rFonts w:ascii="Arial" w:hAnsi="Arial" w:cs="Arial"/>
          <w:b/>
          <w:color w:val="000000" w:themeColor="text1"/>
          <w:sz w:val="20"/>
          <w:szCs w:val="20"/>
        </w:rPr>
      </w:pPr>
      <w:r w:rsidRPr="0012636E">
        <w:rPr>
          <w:rFonts w:ascii="Arial" w:hAnsi="Arial" w:cs="Arial"/>
          <w:b/>
          <w:color w:val="000000" w:themeColor="text1"/>
          <w:sz w:val="20"/>
          <w:szCs w:val="20"/>
        </w:rPr>
        <w:t>Disclaimer (Artificial intelligence)</w:t>
      </w:r>
    </w:p>
    <w:p w14:paraId="3EE61174" w14:textId="77777777" w:rsidR="0012636E" w:rsidRPr="0012636E" w:rsidRDefault="0012636E" w:rsidP="0012636E">
      <w:pPr>
        <w:spacing w:after="0" w:line="240" w:lineRule="auto"/>
        <w:jc w:val="both"/>
        <w:rPr>
          <w:rFonts w:ascii="Arial" w:hAnsi="Arial" w:cs="Arial"/>
          <w:color w:val="000000" w:themeColor="text1"/>
          <w:sz w:val="20"/>
          <w:szCs w:val="20"/>
        </w:rPr>
      </w:pPr>
      <w:r w:rsidRPr="0012636E">
        <w:rPr>
          <w:rFonts w:ascii="Arial" w:hAnsi="Arial" w:cs="Arial"/>
          <w:color w:val="000000" w:themeColor="text1"/>
          <w:sz w:val="20"/>
          <w:szCs w:val="20"/>
        </w:rPr>
        <w:t xml:space="preserve">Option 1: </w:t>
      </w:r>
    </w:p>
    <w:p w14:paraId="1B385C65" w14:textId="77777777" w:rsidR="0012636E" w:rsidRPr="0012636E" w:rsidRDefault="0012636E" w:rsidP="0012636E">
      <w:pPr>
        <w:spacing w:after="0" w:line="240" w:lineRule="auto"/>
        <w:jc w:val="both"/>
        <w:rPr>
          <w:rFonts w:ascii="Arial" w:hAnsi="Arial" w:cs="Arial"/>
          <w:color w:val="000000" w:themeColor="text1"/>
          <w:sz w:val="20"/>
          <w:szCs w:val="20"/>
        </w:rPr>
      </w:pPr>
      <w:r w:rsidRPr="0012636E">
        <w:rPr>
          <w:rFonts w:ascii="Arial" w:hAnsi="Arial" w:cs="Arial"/>
          <w:color w:val="000000" w:themeColor="text1"/>
          <w:sz w:val="20"/>
          <w:szCs w:val="20"/>
        </w:rPr>
        <w:t>Author(s) hereby declare that NO generative AI technologies such as Large Language Models (</w:t>
      </w:r>
      <w:proofErr w:type="spellStart"/>
      <w:r w:rsidRPr="0012636E">
        <w:rPr>
          <w:rFonts w:ascii="Arial" w:hAnsi="Arial" w:cs="Arial"/>
          <w:color w:val="000000" w:themeColor="text1"/>
          <w:sz w:val="20"/>
          <w:szCs w:val="20"/>
        </w:rPr>
        <w:t>ChatGPT</w:t>
      </w:r>
      <w:proofErr w:type="spellEnd"/>
      <w:r w:rsidRPr="0012636E">
        <w:rPr>
          <w:rFonts w:ascii="Arial" w:hAnsi="Arial" w:cs="Arial"/>
          <w:color w:val="000000" w:themeColor="text1"/>
          <w:sz w:val="20"/>
          <w:szCs w:val="20"/>
        </w:rPr>
        <w:t xml:space="preserve">, COPILOT, etc.) and text-to-image generators have been used during the writing or editing of this manuscript. </w:t>
      </w:r>
    </w:p>
    <w:p w14:paraId="5C3D580B" w14:textId="77777777" w:rsidR="0012636E" w:rsidRPr="0012636E" w:rsidRDefault="0012636E" w:rsidP="0012636E">
      <w:pPr>
        <w:spacing w:after="0" w:line="240" w:lineRule="auto"/>
        <w:jc w:val="both"/>
        <w:rPr>
          <w:rFonts w:ascii="Arial" w:hAnsi="Arial" w:cs="Arial"/>
          <w:color w:val="000000" w:themeColor="text1"/>
          <w:sz w:val="20"/>
          <w:szCs w:val="20"/>
        </w:rPr>
      </w:pPr>
      <w:r w:rsidRPr="0012636E">
        <w:rPr>
          <w:rFonts w:ascii="Arial" w:hAnsi="Arial" w:cs="Arial"/>
          <w:color w:val="000000" w:themeColor="text1"/>
          <w:sz w:val="20"/>
          <w:szCs w:val="20"/>
        </w:rPr>
        <w:t xml:space="preserve">Option 2: </w:t>
      </w:r>
    </w:p>
    <w:p w14:paraId="38679788" w14:textId="77777777" w:rsidR="0012636E" w:rsidRPr="0012636E" w:rsidRDefault="0012636E" w:rsidP="0012636E">
      <w:pPr>
        <w:spacing w:after="0" w:line="240" w:lineRule="auto"/>
        <w:jc w:val="both"/>
        <w:rPr>
          <w:rFonts w:ascii="Arial" w:hAnsi="Arial" w:cs="Arial"/>
          <w:color w:val="000000" w:themeColor="text1"/>
          <w:sz w:val="20"/>
          <w:szCs w:val="20"/>
        </w:rPr>
      </w:pPr>
      <w:r w:rsidRPr="0012636E">
        <w:rPr>
          <w:rFonts w:ascii="Arial" w:hAnsi="Arial" w:cs="Arial"/>
          <w:color w:val="000000" w:themeColor="text1"/>
          <w:sz w:val="20"/>
          <w:szCs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92D07B5" w14:textId="77777777" w:rsidR="0012636E" w:rsidRPr="0012636E" w:rsidRDefault="0012636E" w:rsidP="0012636E">
      <w:pPr>
        <w:spacing w:after="0" w:line="240" w:lineRule="auto"/>
        <w:jc w:val="both"/>
        <w:rPr>
          <w:rFonts w:ascii="Arial" w:hAnsi="Arial" w:cs="Arial"/>
          <w:color w:val="000000" w:themeColor="text1"/>
          <w:sz w:val="20"/>
          <w:szCs w:val="20"/>
        </w:rPr>
      </w:pPr>
      <w:r w:rsidRPr="0012636E">
        <w:rPr>
          <w:rFonts w:ascii="Arial" w:hAnsi="Arial" w:cs="Arial"/>
          <w:color w:val="000000" w:themeColor="text1"/>
          <w:sz w:val="20"/>
          <w:szCs w:val="20"/>
        </w:rPr>
        <w:t>Details of the AI usage are given below:</w:t>
      </w:r>
    </w:p>
    <w:p w14:paraId="4F8D99A6" w14:textId="77777777" w:rsidR="0012636E" w:rsidRPr="0012636E" w:rsidRDefault="0012636E" w:rsidP="0012636E">
      <w:pPr>
        <w:spacing w:after="0" w:line="240" w:lineRule="auto"/>
        <w:jc w:val="both"/>
        <w:rPr>
          <w:rFonts w:ascii="Arial" w:hAnsi="Arial" w:cs="Arial"/>
          <w:color w:val="000000" w:themeColor="text1"/>
          <w:sz w:val="20"/>
          <w:szCs w:val="20"/>
        </w:rPr>
      </w:pPr>
      <w:r w:rsidRPr="0012636E">
        <w:rPr>
          <w:rFonts w:ascii="Arial" w:hAnsi="Arial" w:cs="Arial"/>
          <w:color w:val="000000" w:themeColor="text1"/>
          <w:sz w:val="20"/>
          <w:szCs w:val="20"/>
        </w:rPr>
        <w:t>1.</w:t>
      </w:r>
    </w:p>
    <w:p w14:paraId="064C488E" w14:textId="77777777" w:rsidR="0012636E" w:rsidRPr="0012636E" w:rsidRDefault="0012636E" w:rsidP="0012636E">
      <w:pPr>
        <w:spacing w:after="0" w:line="240" w:lineRule="auto"/>
        <w:jc w:val="both"/>
        <w:rPr>
          <w:rFonts w:ascii="Arial" w:hAnsi="Arial" w:cs="Arial"/>
          <w:color w:val="000000" w:themeColor="text1"/>
          <w:sz w:val="20"/>
          <w:szCs w:val="20"/>
        </w:rPr>
      </w:pPr>
      <w:r w:rsidRPr="0012636E">
        <w:rPr>
          <w:rFonts w:ascii="Arial" w:hAnsi="Arial" w:cs="Arial"/>
          <w:color w:val="000000" w:themeColor="text1"/>
          <w:sz w:val="20"/>
          <w:szCs w:val="20"/>
        </w:rPr>
        <w:t>2.</w:t>
      </w:r>
    </w:p>
    <w:p w14:paraId="4C09C17F" w14:textId="37881B7F" w:rsidR="0012636E" w:rsidRPr="00017581" w:rsidRDefault="0012636E" w:rsidP="0012636E">
      <w:pPr>
        <w:spacing w:after="0" w:line="240" w:lineRule="auto"/>
        <w:jc w:val="both"/>
        <w:rPr>
          <w:rFonts w:ascii="Arial" w:hAnsi="Arial" w:cs="Arial"/>
          <w:color w:val="000000" w:themeColor="text1"/>
          <w:sz w:val="20"/>
          <w:szCs w:val="20"/>
        </w:rPr>
      </w:pPr>
      <w:r w:rsidRPr="0012636E">
        <w:rPr>
          <w:rFonts w:ascii="Arial" w:hAnsi="Arial" w:cs="Arial"/>
          <w:color w:val="000000" w:themeColor="text1"/>
          <w:sz w:val="20"/>
          <w:szCs w:val="20"/>
        </w:rPr>
        <w:t>3.</w:t>
      </w:r>
    </w:p>
    <w:p w14:paraId="4296E798" w14:textId="77777777" w:rsidR="00AC78C8" w:rsidRPr="00017581" w:rsidRDefault="00AC78C8" w:rsidP="00B8007A">
      <w:pPr>
        <w:spacing w:after="0" w:line="240" w:lineRule="auto"/>
        <w:jc w:val="both"/>
        <w:rPr>
          <w:rFonts w:ascii="Times New Roman" w:hAnsi="Times New Roman" w:cs="Times New Roman"/>
          <w:color w:val="000000" w:themeColor="text1"/>
        </w:rPr>
      </w:pPr>
    </w:p>
    <w:p w14:paraId="6869B139" w14:textId="174D362D" w:rsidR="00CF1302" w:rsidRPr="00017581" w:rsidRDefault="00CF1302" w:rsidP="00E358B9">
      <w:pPr>
        <w:spacing w:after="0" w:line="240" w:lineRule="auto"/>
        <w:rPr>
          <w:rFonts w:ascii="Arial" w:hAnsi="Arial" w:cs="Arial"/>
          <w:b/>
          <w:bCs/>
          <w:color w:val="000000" w:themeColor="text1"/>
          <w:sz w:val="22"/>
          <w:szCs w:val="22"/>
        </w:rPr>
      </w:pPr>
      <w:r w:rsidRPr="00017581">
        <w:rPr>
          <w:rFonts w:ascii="Arial" w:hAnsi="Arial" w:cs="Arial"/>
          <w:b/>
          <w:bCs/>
          <w:color w:val="000000" w:themeColor="text1"/>
          <w:sz w:val="22"/>
          <w:szCs w:val="22"/>
        </w:rPr>
        <w:t>References</w:t>
      </w:r>
    </w:p>
    <w:p w14:paraId="55488097" w14:textId="77777777" w:rsidR="00E358B9" w:rsidRPr="00017581" w:rsidRDefault="00E358B9" w:rsidP="00E358B9">
      <w:pPr>
        <w:spacing w:after="0" w:line="240" w:lineRule="auto"/>
        <w:rPr>
          <w:rFonts w:ascii="Arial" w:hAnsi="Arial" w:cs="Arial"/>
          <w:b/>
          <w:bCs/>
          <w:color w:val="000000" w:themeColor="text1"/>
          <w:sz w:val="22"/>
          <w:szCs w:val="22"/>
        </w:rPr>
      </w:pPr>
    </w:p>
    <w:p w14:paraId="5C51CD42" w14:textId="77777777" w:rsidR="00EB5D49" w:rsidRPr="00017581" w:rsidRDefault="00EB5D49" w:rsidP="00EB5D49">
      <w:pPr>
        <w:numPr>
          <w:ilvl w:val="0"/>
          <w:numId w:val="11"/>
        </w:num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Fernando, P., </w:t>
      </w:r>
      <w:proofErr w:type="spellStart"/>
      <w:r w:rsidRPr="00017581">
        <w:rPr>
          <w:rFonts w:ascii="Arial" w:hAnsi="Arial" w:cs="Arial"/>
          <w:color w:val="000000" w:themeColor="text1"/>
          <w:sz w:val="20"/>
          <w:szCs w:val="20"/>
        </w:rPr>
        <w:t>Wikramanayake</w:t>
      </w:r>
      <w:proofErr w:type="spellEnd"/>
      <w:r w:rsidRPr="00017581">
        <w:rPr>
          <w:rFonts w:ascii="Arial" w:hAnsi="Arial" w:cs="Arial"/>
          <w:color w:val="000000" w:themeColor="text1"/>
          <w:sz w:val="20"/>
          <w:szCs w:val="20"/>
        </w:rPr>
        <w:t xml:space="preserve">, E., </w:t>
      </w:r>
      <w:proofErr w:type="spellStart"/>
      <w:r w:rsidRPr="00017581">
        <w:rPr>
          <w:rFonts w:ascii="Arial" w:hAnsi="Arial" w:cs="Arial"/>
          <w:color w:val="000000" w:themeColor="text1"/>
          <w:sz w:val="20"/>
          <w:szCs w:val="20"/>
        </w:rPr>
        <w:t>Weerakoon</w:t>
      </w:r>
      <w:proofErr w:type="spellEnd"/>
      <w:r w:rsidRPr="00017581">
        <w:rPr>
          <w:rFonts w:ascii="Arial" w:hAnsi="Arial" w:cs="Arial"/>
          <w:color w:val="000000" w:themeColor="text1"/>
          <w:sz w:val="20"/>
          <w:szCs w:val="20"/>
        </w:rPr>
        <w:t>, D., et al. (2005). Perceptions and patterns of human–elephant conflict in old and new settlements in Sri Lanka. </w:t>
      </w:r>
      <w:r w:rsidRPr="00017581">
        <w:rPr>
          <w:rFonts w:ascii="Arial" w:hAnsi="Arial" w:cs="Arial"/>
          <w:i/>
          <w:iCs/>
          <w:color w:val="000000" w:themeColor="text1"/>
          <w:sz w:val="20"/>
          <w:szCs w:val="20"/>
        </w:rPr>
        <w:t>Biodiversity and Conservation</w:t>
      </w:r>
      <w:r w:rsidRPr="00017581">
        <w:rPr>
          <w:rFonts w:ascii="Arial" w:hAnsi="Arial" w:cs="Arial"/>
          <w:color w:val="000000" w:themeColor="text1"/>
          <w:sz w:val="20"/>
          <w:szCs w:val="20"/>
        </w:rPr>
        <w:t>, 14(10):2465-2481.</w:t>
      </w:r>
    </w:p>
    <w:p w14:paraId="493C553C" w14:textId="77777777" w:rsidR="00EB5D49" w:rsidRPr="00017581" w:rsidRDefault="00EB5D49" w:rsidP="00EB5D49">
      <w:pPr>
        <w:numPr>
          <w:ilvl w:val="0"/>
          <w:numId w:val="11"/>
        </w:num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Treves, A., &amp; </w:t>
      </w:r>
      <w:proofErr w:type="spellStart"/>
      <w:r w:rsidRPr="00017581">
        <w:rPr>
          <w:rFonts w:ascii="Arial" w:hAnsi="Arial" w:cs="Arial"/>
          <w:color w:val="000000" w:themeColor="text1"/>
          <w:sz w:val="20"/>
          <w:szCs w:val="20"/>
        </w:rPr>
        <w:t>Karanth</w:t>
      </w:r>
      <w:proofErr w:type="spellEnd"/>
      <w:r w:rsidRPr="00017581">
        <w:rPr>
          <w:rFonts w:ascii="Arial" w:hAnsi="Arial" w:cs="Arial"/>
          <w:color w:val="000000" w:themeColor="text1"/>
          <w:sz w:val="20"/>
          <w:szCs w:val="20"/>
        </w:rPr>
        <w:t>, K. U. (2003). Human-carnivore conflict and perspectives on carnivore management worldwide. </w:t>
      </w:r>
      <w:r w:rsidRPr="00017581">
        <w:rPr>
          <w:rFonts w:ascii="Arial" w:hAnsi="Arial" w:cs="Arial"/>
          <w:i/>
          <w:iCs/>
          <w:color w:val="000000" w:themeColor="text1"/>
          <w:sz w:val="20"/>
          <w:szCs w:val="20"/>
        </w:rPr>
        <w:t>Conservation Biology</w:t>
      </w:r>
      <w:r w:rsidRPr="00017581">
        <w:rPr>
          <w:rFonts w:ascii="Arial" w:hAnsi="Arial" w:cs="Arial"/>
          <w:color w:val="000000" w:themeColor="text1"/>
          <w:sz w:val="20"/>
          <w:szCs w:val="20"/>
        </w:rPr>
        <w:t>, 17(6):1491-1499.</w:t>
      </w:r>
    </w:p>
    <w:p w14:paraId="2A9ECD18" w14:textId="77777777" w:rsidR="00EB5D49" w:rsidRPr="00017581" w:rsidRDefault="00EB5D49" w:rsidP="00EB5D49">
      <w:pPr>
        <w:numPr>
          <w:ilvl w:val="0"/>
          <w:numId w:val="11"/>
        </w:num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Goodrich, J., </w:t>
      </w:r>
      <w:proofErr w:type="spellStart"/>
      <w:r w:rsidRPr="00017581">
        <w:rPr>
          <w:rFonts w:ascii="Arial" w:hAnsi="Arial" w:cs="Arial"/>
          <w:color w:val="000000" w:themeColor="text1"/>
          <w:sz w:val="20"/>
          <w:szCs w:val="20"/>
        </w:rPr>
        <w:t>Wibisono</w:t>
      </w:r>
      <w:proofErr w:type="spellEnd"/>
      <w:r w:rsidRPr="00017581">
        <w:rPr>
          <w:rFonts w:ascii="Arial" w:hAnsi="Arial" w:cs="Arial"/>
          <w:color w:val="000000" w:themeColor="text1"/>
          <w:sz w:val="20"/>
          <w:szCs w:val="20"/>
        </w:rPr>
        <w:t xml:space="preserve">, H., </w:t>
      </w:r>
      <w:proofErr w:type="spellStart"/>
      <w:r w:rsidRPr="00017581">
        <w:rPr>
          <w:rFonts w:ascii="Arial" w:hAnsi="Arial" w:cs="Arial"/>
          <w:color w:val="000000" w:themeColor="text1"/>
          <w:sz w:val="20"/>
          <w:szCs w:val="20"/>
        </w:rPr>
        <w:t>Miquelle</w:t>
      </w:r>
      <w:proofErr w:type="spellEnd"/>
      <w:r w:rsidRPr="00017581">
        <w:rPr>
          <w:rFonts w:ascii="Arial" w:hAnsi="Arial" w:cs="Arial"/>
          <w:color w:val="000000" w:themeColor="text1"/>
          <w:sz w:val="20"/>
          <w:szCs w:val="20"/>
        </w:rPr>
        <w:t>, D., et al. (2022). </w:t>
      </w:r>
      <w:r w:rsidRPr="00017581">
        <w:rPr>
          <w:rFonts w:ascii="Arial" w:hAnsi="Arial" w:cs="Arial"/>
          <w:i/>
          <w:iCs/>
          <w:color w:val="000000" w:themeColor="text1"/>
          <w:sz w:val="20"/>
          <w:szCs w:val="20"/>
        </w:rPr>
        <w:t xml:space="preserve">Panthera </w:t>
      </w:r>
      <w:proofErr w:type="spellStart"/>
      <w:r w:rsidRPr="00017581">
        <w:rPr>
          <w:rFonts w:ascii="Arial" w:hAnsi="Arial" w:cs="Arial"/>
          <w:i/>
          <w:iCs/>
          <w:color w:val="000000" w:themeColor="text1"/>
          <w:sz w:val="20"/>
          <w:szCs w:val="20"/>
        </w:rPr>
        <w:t>tigris</w:t>
      </w:r>
      <w:proofErr w:type="spellEnd"/>
      <w:r w:rsidRPr="00017581">
        <w:rPr>
          <w:rFonts w:ascii="Arial" w:hAnsi="Arial" w:cs="Arial"/>
          <w:color w:val="000000" w:themeColor="text1"/>
          <w:sz w:val="20"/>
          <w:szCs w:val="20"/>
        </w:rPr>
        <w:t>. </w:t>
      </w:r>
      <w:r w:rsidRPr="00017581">
        <w:rPr>
          <w:rFonts w:ascii="Arial" w:hAnsi="Arial" w:cs="Arial"/>
          <w:i/>
          <w:iCs/>
          <w:color w:val="000000" w:themeColor="text1"/>
          <w:sz w:val="20"/>
          <w:szCs w:val="20"/>
        </w:rPr>
        <w:t>IUCN Red List</w:t>
      </w:r>
      <w:r w:rsidRPr="00017581">
        <w:rPr>
          <w:rFonts w:ascii="Arial" w:hAnsi="Arial" w:cs="Arial"/>
          <w:color w:val="000000" w:themeColor="text1"/>
          <w:sz w:val="20"/>
          <w:szCs w:val="20"/>
        </w:rPr>
        <w:t>.</w:t>
      </w:r>
    </w:p>
    <w:p w14:paraId="292ED395" w14:textId="77777777" w:rsidR="00EB5D49" w:rsidRPr="00017581" w:rsidRDefault="00EB5D49" w:rsidP="00EB5D49">
      <w:pPr>
        <w:numPr>
          <w:ilvl w:val="0"/>
          <w:numId w:val="11"/>
        </w:numPr>
        <w:spacing w:after="0" w:line="240" w:lineRule="auto"/>
        <w:jc w:val="both"/>
        <w:rPr>
          <w:rFonts w:ascii="Arial" w:hAnsi="Arial" w:cs="Arial"/>
          <w:color w:val="000000" w:themeColor="text1"/>
          <w:sz w:val="20"/>
          <w:szCs w:val="20"/>
        </w:rPr>
      </w:pPr>
      <w:proofErr w:type="spellStart"/>
      <w:r w:rsidRPr="00017581">
        <w:rPr>
          <w:rFonts w:ascii="Arial" w:hAnsi="Arial" w:cs="Arial"/>
          <w:color w:val="000000" w:themeColor="text1"/>
          <w:sz w:val="20"/>
          <w:szCs w:val="20"/>
        </w:rPr>
        <w:t>Jhala</w:t>
      </w:r>
      <w:proofErr w:type="spellEnd"/>
      <w:r w:rsidRPr="00017581">
        <w:rPr>
          <w:rFonts w:ascii="Arial" w:hAnsi="Arial" w:cs="Arial"/>
          <w:color w:val="000000" w:themeColor="text1"/>
          <w:sz w:val="20"/>
          <w:szCs w:val="20"/>
        </w:rPr>
        <w:t>, Y. V., Qureshi, Q., &amp; Nayak, A. K. (Eds.). (2021). </w:t>
      </w:r>
      <w:r w:rsidRPr="00017581">
        <w:rPr>
          <w:rFonts w:ascii="Arial" w:hAnsi="Arial" w:cs="Arial"/>
          <w:i/>
          <w:iCs/>
          <w:color w:val="000000" w:themeColor="text1"/>
          <w:sz w:val="20"/>
          <w:szCs w:val="20"/>
        </w:rPr>
        <w:t>Status of Tigers in India, 2021</w:t>
      </w:r>
      <w:r w:rsidRPr="00017581">
        <w:rPr>
          <w:rFonts w:ascii="Arial" w:hAnsi="Arial" w:cs="Arial"/>
          <w:color w:val="000000" w:themeColor="text1"/>
          <w:sz w:val="20"/>
          <w:szCs w:val="20"/>
        </w:rPr>
        <w:t>. National Tiger Conservation Authority.</w:t>
      </w:r>
    </w:p>
    <w:p w14:paraId="5DF1FB66" w14:textId="77777777" w:rsidR="00812BA6" w:rsidRDefault="00812BA6" w:rsidP="00EB5D49">
      <w:pPr>
        <w:numPr>
          <w:ilvl w:val="0"/>
          <w:numId w:val="11"/>
        </w:numPr>
        <w:spacing w:after="0" w:line="240" w:lineRule="auto"/>
        <w:jc w:val="both"/>
        <w:rPr>
          <w:rFonts w:ascii="Arial" w:hAnsi="Arial" w:cs="Arial"/>
          <w:color w:val="000000" w:themeColor="text1"/>
          <w:sz w:val="20"/>
          <w:szCs w:val="20"/>
        </w:rPr>
      </w:pPr>
      <w:r w:rsidRPr="00812BA6">
        <w:rPr>
          <w:rFonts w:ascii="Arial" w:hAnsi="Arial" w:cs="Arial"/>
          <w:color w:val="000000" w:themeColor="text1"/>
          <w:sz w:val="20"/>
          <w:szCs w:val="20"/>
        </w:rPr>
        <w:t xml:space="preserve">Kandel, K. (2025). Human-tiger (Panthera </w:t>
      </w:r>
      <w:proofErr w:type="spellStart"/>
      <w:r w:rsidRPr="00812BA6">
        <w:rPr>
          <w:rFonts w:ascii="Arial" w:hAnsi="Arial" w:cs="Arial"/>
          <w:color w:val="000000" w:themeColor="text1"/>
          <w:sz w:val="20"/>
          <w:szCs w:val="20"/>
        </w:rPr>
        <w:t>tigris</w:t>
      </w:r>
      <w:proofErr w:type="spellEnd"/>
      <w:r w:rsidRPr="00812BA6">
        <w:rPr>
          <w:rFonts w:ascii="Arial" w:hAnsi="Arial" w:cs="Arial"/>
          <w:color w:val="000000" w:themeColor="text1"/>
          <w:sz w:val="20"/>
          <w:szCs w:val="20"/>
        </w:rPr>
        <w:t xml:space="preserve">) conflict: status and trend in the Chitwan National Park, Nepal. International Journal of Research and Scientific Innovation, 12(5), 500-511. </w:t>
      </w:r>
    </w:p>
    <w:p w14:paraId="0240B625" w14:textId="4828BD46" w:rsidR="00EB5D49" w:rsidRPr="00017581" w:rsidRDefault="00EB5D49" w:rsidP="00EB5D49">
      <w:pPr>
        <w:numPr>
          <w:ilvl w:val="0"/>
          <w:numId w:val="11"/>
        </w:num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McInturff, A., Xu, W., Wilkinson, C. E., et al. (2020).</w:t>
      </w:r>
      <w:r w:rsidR="009A3678" w:rsidRPr="009A3678">
        <w:t xml:space="preserve"> </w:t>
      </w:r>
      <w:r w:rsidR="009A3678" w:rsidRPr="009A3678">
        <w:rPr>
          <w:rFonts w:ascii="Arial" w:hAnsi="Arial" w:cs="Arial"/>
          <w:color w:val="000000" w:themeColor="text1"/>
          <w:sz w:val="20"/>
          <w:szCs w:val="20"/>
        </w:rPr>
        <w:t>Fence Ecology: Frameworks for Understanding the Ecological Effects of Fences</w:t>
      </w:r>
      <w:r w:rsidRPr="00017581">
        <w:rPr>
          <w:rFonts w:ascii="Arial" w:hAnsi="Arial" w:cs="Arial"/>
          <w:color w:val="000000" w:themeColor="text1"/>
          <w:sz w:val="20"/>
          <w:szCs w:val="20"/>
        </w:rPr>
        <w:t>. </w:t>
      </w:r>
      <w:proofErr w:type="spellStart"/>
      <w:r w:rsidR="009A3678" w:rsidRPr="009A3678">
        <w:rPr>
          <w:rFonts w:ascii="Arial" w:hAnsi="Arial" w:cs="Arial"/>
          <w:i/>
          <w:iCs/>
          <w:color w:val="000000" w:themeColor="text1"/>
          <w:sz w:val="20"/>
          <w:szCs w:val="20"/>
        </w:rPr>
        <w:t>BioScience</w:t>
      </w:r>
      <w:proofErr w:type="spellEnd"/>
      <w:r w:rsidRPr="00017581">
        <w:rPr>
          <w:rFonts w:ascii="Arial" w:hAnsi="Arial" w:cs="Arial"/>
          <w:color w:val="000000" w:themeColor="text1"/>
          <w:sz w:val="20"/>
          <w:szCs w:val="20"/>
        </w:rPr>
        <w:t xml:space="preserve">, </w:t>
      </w:r>
      <w:r w:rsidR="009A3678">
        <w:rPr>
          <w:rFonts w:ascii="Arial" w:hAnsi="Arial" w:cs="Arial"/>
          <w:color w:val="000000" w:themeColor="text1"/>
          <w:sz w:val="20"/>
          <w:szCs w:val="20"/>
        </w:rPr>
        <w:t>70</w:t>
      </w:r>
      <w:r w:rsidRPr="00017581">
        <w:rPr>
          <w:rFonts w:ascii="Arial" w:hAnsi="Arial" w:cs="Arial"/>
          <w:color w:val="000000" w:themeColor="text1"/>
          <w:sz w:val="20"/>
          <w:szCs w:val="20"/>
        </w:rPr>
        <w:t>(1</w:t>
      </w:r>
      <w:r w:rsidR="009A3678">
        <w:rPr>
          <w:rFonts w:ascii="Arial" w:hAnsi="Arial" w:cs="Arial"/>
          <w:color w:val="000000" w:themeColor="text1"/>
          <w:sz w:val="20"/>
          <w:szCs w:val="20"/>
        </w:rPr>
        <w:t>1</w:t>
      </w:r>
      <w:r w:rsidRPr="00017581">
        <w:rPr>
          <w:rFonts w:ascii="Arial" w:hAnsi="Arial" w:cs="Arial"/>
          <w:color w:val="000000" w:themeColor="text1"/>
          <w:sz w:val="20"/>
          <w:szCs w:val="20"/>
        </w:rPr>
        <w:t>):9</w:t>
      </w:r>
      <w:r w:rsidR="009A3678">
        <w:rPr>
          <w:rFonts w:ascii="Arial" w:hAnsi="Arial" w:cs="Arial"/>
          <w:color w:val="000000" w:themeColor="text1"/>
          <w:sz w:val="20"/>
          <w:szCs w:val="20"/>
        </w:rPr>
        <w:t>71</w:t>
      </w:r>
      <w:r w:rsidRPr="00017581">
        <w:rPr>
          <w:rFonts w:ascii="Arial" w:hAnsi="Arial" w:cs="Arial"/>
          <w:color w:val="000000" w:themeColor="text1"/>
          <w:sz w:val="20"/>
          <w:szCs w:val="20"/>
        </w:rPr>
        <w:t>-9</w:t>
      </w:r>
      <w:r w:rsidR="009A3678">
        <w:rPr>
          <w:rFonts w:ascii="Arial" w:hAnsi="Arial" w:cs="Arial"/>
          <w:color w:val="000000" w:themeColor="text1"/>
          <w:sz w:val="20"/>
          <w:szCs w:val="20"/>
        </w:rPr>
        <w:t>85</w:t>
      </w:r>
      <w:r w:rsidRPr="00017581">
        <w:rPr>
          <w:rFonts w:ascii="Arial" w:hAnsi="Arial" w:cs="Arial"/>
          <w:color w:val="000000" w:themeColor="text1"/>
          <w:sz w:val="20"/>
          <w:szCs w:val="20"/>
        </w:rPr>
        <w:t>.</w:t>
      </w:r>
    </w:p>
    <w:p w14:paraId="07984C83" w14:textId="2118ECFB" w:rsidR="00EB5D49" w:rsidRPr="00017581" w:rsidRDefault="00EB5D49" w:rsidP="00EB5D49">
      <w:pPr>
        <w:numPr>
          <w:ilvl w:val="0"/>
          <w:numId w:val="11"/>
        </w:numPr>
        <w:spacing w:after="0" w:line="240" w:lineRule="auto"/>
        <w:jc w:val="both"/>
        <w:rPr>
          <w:rFonts w:ascii="Arial" w:hAnsi="Arial" w:cs="Arial"/>
          <w:color w:val="000000" w:themeColor="text1"/>
          <w:sz w:val="20"/>
          <w:szCs w:val="20"/>
        </w:rPr>
      </w:pPr>
      <w:r w:rsidRPr="00B31FC6">
        <w:rPr>
          <w:rFonts w:ascii="Arial" w:hAnsi="Arial" w:cs="Arial"/>
          <w:color w:val="000000" w:themeColor="text1"/>
          <w:sz w:val="20"/>
          <w:szCs w:val="20"/>
        </w:rPr>
        <w:t>Harihar, A., Ghosh-Harihar, M., &amp; MacMillan, D. C. (20</w:t>
      </w:r>
      <w:r w:rsidR="00DD21DC" w:rsidRPr="00B31FC6">
        <w:rPr>
          <w:rFonts w:ascii="Arial" w:hAnsi="Arial" w:cs="Arial"/>
          <w:color w:val="000000" w:themeColor="text1"/>
          <w:sz w:val="20"/>
          <w:szCs w:val="20"/>
        </w:rPr>
        <w:t>14</w:t>
      </w:r>
      <w:r w:rsidRPr="00017581">
        <w:rPr>
          <w:rFonts w:ascii="Arial" w:hAnsi="Arial" w:cs="Arial"/>
          <w:color w:val="000000" w:themeColor="text1"/>
          <w:sz w:val="20"/>
          <w:szCs w:val="20"/>
        </w:rPr>
        <w:t>).</w:t>
      </w:r>
      <w:r w:rsidR="009A3678" w:rsidRPr="009A3678">
        <w:t xml:space="preserve"> </w:t>
      </w:r>
      <w:r w:rsidR="009A3678" w:rsidRPr="009A3678">
        <w:rPr>
          <w:rFonts w:ascii="Arial" w:hAnsi="Arial" w:cs="Arial"/>
          <w:color w:val="000000" w:themeColor="text1"/>
          <w:sz w:val="20"/>
          <w:szCs w:val="20"/>
        </w:rPr>
        <w:t xml:space="preserve">Human resettlement and tiger conservation- socio-eco-nomic assessment of pastoralists reveals a rare </w:t>
      </w:r>
      <w:proofErr w:type="spellStart"/>
      <w:r w:rsidR="009A3678" w:rsidRPr="009A3678">
        <w:rPr>
          <w:rFonts w:ascii="Arial" w:hAnsi="Arial" w:cs="Arial"/>
          <w:color w:val="000000" w:themeColor="text1"/>
          <w:sz w:val="20"/>
          <w:szCs w:val="20"/>
        </w:rPr>
        <w:t>conservationopportunity</w:t>
      </w:r>
      <w:proofErr w:type="spellEnd"/>
      <w:r w:rsidR="009A3678" w:rsidRPr="009A3678">
        <w:rPr>
          <w:rFonts w:ascii="Arial" w:hAnsi="Arial" w:cs="Arial"/>
          <w:color w:val="000000" w:themeColor="text1"/>
          <w:sz w:val="20"/>
          <w:szCs w:val="20"/>
        </w:rPr>
        <w:t xml:space="preserve"> in a human-dominated landscape.</w:t>
      </w:r>
      <w:r w:rsidR="00DD21DC">
        <w:rPr>
          <w:rFonts w:ascii="Arial" w:hAnsi="Arial" w:cs="Arial"/>
          <w:color w:val="000000" w:themeColor="text1"/>
          <w:sz w:val="20"/>
          <w:szCs w:val="20"/>
        </w:rPr>
        <w:t xml:space="preserve"> </w:t>
      </w:r>
      <w:r w:rsidR="00DD21DC" w:rsidRPr="00DD21DC">
        <w:rPr>
          <w:rFonts w:ascii="Arial" w:hAnsi="Arial" w:cs="Arial"/>
          <w:i/>
          <w:iCs/>
          <w:color w:val="000000" w:themeColor="text1"/>
          <w:sz w:val="20"/>
          <w:szCs w:val="20"/>
        </w:rPr>
        <w:t xml:space="preserve">Biological </w:t>
      </w:r>
      <w:proofErr w:type="gramStart"/>
      <w:r w:rsidR="00DD21DC" w:rsidRPr="00DD21DC">
        <w:rPr>
          <w:rFonts w:ascii="Arial" w:hAnsi="Arial" w:cs="Arial"/>
          <w:i/>
          <w:iCs/>
          <w:color w:val="000000" w:themeColor="text1"/>
          <w:sz w:val="20"/>
          <w:szCs w:val="20"/>
        </w:rPr>
        <w:t>Conservation</w:t>
      </w:r>
      <w:r w:rsidR="00DD21DC">
        <w:rPr>
          <w:rFonts w:ascii="Arial" w:hAnsi="Arial" w:cs="Arial"/>
          <w:color w:val="000000" w:themeColor="text1"/>
          <w:sz w:val="20"/>
          <w:szCs w:val="20"/>
        </w:rPr>
        <w:t xml:space="preserve">, </w:t>
      </w:r>
      <w:r w:rsidR="00DD21DC" w:rsidRPr="00DD21DC">
        <w:rPr>
          <w:rFonts w:ascii="Arial" w:hAnsi="Arial" w:cs="Arial"/>
          <w:color w:val="000000" w:themeColor="text1"/>
          <w:sz w:val="20"/>
          <w:szCs w:val="20"/>
        </w:rPr>
        <w:t xml:space="preserve"> 169</w:t>
      </w:r>
      <w:proofErr w:type="gramEnd"/>
      <w:r w:rsidR="00DD21DC" w:rsidRPr="00DD21DC">
        <w:rPr>
          <w:rFonts w:ascii="Arial" w:hAnsi="Arial" w:cs="Arial"/>
          <w:color w:val="000000" w:themeColor="text1"/>
          <w:sz w:val="20"/>
          <w:szCs w:val="20"/>
        </w:rPr>
        <w:t>, 167-175</w:t>
      </w:r>
      <w:r w:rsidRPr="00017581">
        <w:rPr>
          <w:rFonts w:ascii="Arial" w:hAnsi="Arial" w:cs="Arial"/>
          <w:color w:val="000000" w:themeColor="text1"/>
          <w:sz w:val="20"/>
          <w:szCs w:val="20"/>
        </w:rPr>
        <w:t>.</w:t>
      </w:r>
    </w:p>
    <w:p w14:paraId="78BBF15D" w14:textId="77777777" w:rsidR="00EB5D49" w:rsidRPr="00017581" w:rsidRDefault="00EB5D49" w:rsidP="00EB5D49">
      <w:pPr>
        <w:numPr>
          <w:ilvl w:val="0"/>
          <w:numId w:val="11"/>
        </w:numPr>
        <w:spacing w:after="0" w:line="240" w:lineRule="auto"/>
        <w:jc w:val="both"/>
        <w:rPr>
          <w:rFonts w:ascii="Arial" w:hAnsi="Arial" w:cs="Arial"/>
          <w:color w:val="000000" w:themeColor="text1"/>
          <w:sz w:val="20"/>
          <w:szCs w:val="20"/>
        </w:rPr>
      </w:pPr>
      <w:proofErr w:type="spellStart"/>
      <w:r w:rsidRPr="00017581">
        <w:rPr>
          <w:rFonts w:ascii="Arial" w:hAnsi="Arial" w:cs="Arial"/>
          <w:color w:val="000000" w:themeColor="text1"/>
          <w:sz w:val="20"/>
          <w:szCs w:val="20"/>
        </w:rPr>
        <w:t>Athreya</w:t>
      </w:r>
      <w:proofErr w:type="spellEnd"/>
      <w:r w:rsidRPr="00017581">
        <w:rPr>
          <w:rFonts w:ascii="Arial" w:hAnsi="Arial" w:cs="Arial"/>
          <w:color w:val="000000" w:themeColor="text1"/>
          <w:sz w:val="20"/>
          <w:szCs w:val="20"/>
        </w:rPr>
        <w:t xml:space="preserve">, V., </w:t>
      </w:r>
      <w:proofErr w:type="spellStart"/>
      <w:r w:rsidRPr="00017581">
        <w:rPr>
          <w:rFonts w:ascii="Arial" w:hAnsi="Arial" w:cs="Arial"/>
          <w:color w:val="000000" w:themeColor="text1"/>
          <w:sz w:val="20"/>
          <w:szCs w:val="20"/>
        </w:rPr>
        <w:t>Odden</w:t>
      </w:r>
      <w:proofErr w:type="spellEnd"/>
      <w:r w:rsidRPr="00017581">
        <w:rPr>
          <w:rFonts w:ascii="Arial" w:hAnsi="Arial" w:cs="Arial"/>
          <w:color w:val="000000" w:themeColor="text1"/>
          <w:sz w:val="20"/>
          <w:szCs w:val="20"/>
        </w:rPr>
        <w:t>, M., Linnell, J. D. C., et al. (2013). Big cats in our backyards: Persistence of large carnivores in human-dominated landscapes in India. </w:t>
      </w:r>
      <w:proofErr w:type="spellStart"/>
      <w:r w:rsidRPr="00017581">
        <w:rPr>
          <w:rFonts w:ascii="Arial" w:hAnsi="Arial" w:cs="Arial"/>
          <w:i/>
          <w:iCs/>
          <w:color w:val="000000" w:themeColor="text1"/>
          <w:sz w:val="20"/>
          <w:szCs w:val="20"/>
        </w:rPr>
        <w:t>PLoS</w:t>
      </w:r>
      <w:proofErr w:type="spellEnd"/>
      <w:r w:rsidRPr="00017581">
        <w:rPr>
          <w:rFonts w:ascii="Arial" w:hAnsi="Arial" w:cs="Arial"/>
          <w:i/>
          <w:iCs/>
          <w:color w:val="000000" w:themeColor="text1"/>
          <w:sz w:val="20"/>
          <w:szCs w:val="20"/>
        </w:rPr>
        <w:t xml:space="preserve"> ONE</w:t>
      </w:r>
      <w:r w:rsidRPr="00017581">
        <w:rPr>
          <w:rFonts w:ascii="Arial" w:hAnsi="Arial" w:cs="Arial"/>
          <w:color w:val="000000" w:themeColor="text1"/>
          <w:sz w:val="20"/>
          <w:szCs w:val="20"/>
        </w:rPr>
        <w:t>, 8(3</w:t>
      </w:r>
      <w:proofErr w:type="gramStart"/>
      <w:r w:rsidRPr="00017581">
        <w:rPr>
          <w:rFonts w:ascii="Arial" w:hAnsi="Arial" w:cs="Arial"/>
          <w:color w:val="000000" w:themeColor="text1"/>
          <w:sz w:val="20"/>
          <w:szCs w:val="20"/>
        </w:rPr>
        <w:t>):e</w:t>
      </w:r>
      <w:proofErr w:type="gramEnd"/>
      <w:r w:rsidRPr="00017581">
        <w:rPr>
          <w:rFonts w:ascii="Arial" w:hAnsi="Arial" w:cs="Arial"/>
          <w:color w:val="000000" w:themeColor="text1"/>
          <w:sz w:val="20"/>
          <w:szCs w:val="20"/>
        </w:rPr>
        <w:t>57872.</w:t>
      </w:r>
    </w:p>
    <w:p w14:paraId="5D278153" w14:textId="77777777" w:rsidR="00EB5D49" w:rsidRPr="00017581" w:rsidRDefault="00EB5D49" w:rsidP="00EB5D49">
      <w:pPr>
        <w:numPr>
          <w:ilvl w:val="0"/>
          <w:numId w:val="11"/>
        </w:numPr>
        <w:spacing w:after="0" w:line="240" w:lineRule="auto"/>
        <w:jc w:val="both"/>
        <w:rPr>
          <w:rFonts w:ascii="Arial" w:hAnsi="Arial" w:cs="Arial"/>
          <w:color w:val="000000" w:themeColor="text1"/>
          <w:sz w:val="20"/>
          <w:szCs w:val="20"/>
        </w:rPr>
      </w:pPr>
      <w:proofErr w:type="spellStart"/>
      <w:r w:rsidRPr="00017581">
        <w:rPr>
          <w:rFonts w:ascii="Arial" w:hAnsi="Arial" w:cs="Arial"/>
          <w:color w:val="000000" w:themeColor="text1"/>
          <w:sz w:val="20"/>
          <w:szCs w:val="20"/>
        </w:rPr>
        <w:t>Karanth</w:t>
      </w:r>
      <w:proofErr w:type="spellEnd"/>
      <w:r w:rsidRPr="00017581">
        <w:rPr>
          <w:rFonts w:ascii="Arial" w:hAnsi="Arial" w:cs="Arial"/>
          <w:color w:val="000000" w:themeColor="text1"/>
          <w:sz w:val="20"/>
          <w:szCs w:val="20"/>
        </w:rPr>
        <w:t xml:space="preserve">, K. U., &amp; </w:t>
      </w:r>
      <w:proofErr w:type="spellStart"/>
      <w:r w:rsidRPr="00017581">
        <w:rPr>
          <w:rFonts w:ascii="Arial" w:hAnsi="Arial" w:cs="Arial"/>
          <w:color w:val="000000" w:themeColor="text1"/>
          <w:sz w:val="20"/>
          <w:szCs w:val="20"/>
        </w:rPr>
        <w:t>DeFries</w:t>
      </w:r>
      <w:proofErr w:type="spellEnd"/>
      <w:r w:rsidRPr="00017581">
        <w:rPr>
          <w:rFonts w:ascii="Arial" w:hAnsi="Arial" w:cs="Arial"/>
          <w:color w:val="000000" w:themeColor="text1"/>
          <w:sz w:val="20"/>
          <w:szCs w:val="20"/>
        </w:rPr>
        <w:t>, R. (2010). Nature-based tourism in Indian protected areas: Challenges for tiger conservation. </w:t>
      </w:r>
      <w:r w:rsidRPr="00017581">
        <w:rPr>
          <w:rFonts w:ascii="Arial" w:hAnsi="Arial" w:cs="Arial"/>
          <w:i/>
          <w:iCs/>
          <w:color w:val="000000" w:themeColor="text1"/>
          <w:sz w:val="20"/>
          <w:szCs w:val="20"/>
        </w:rPr>
        <w:t>Conservation Letters</w:t>
      </w:r>
      <w:r w:rsidRPr="00017581">
        <w:rPr>
          <w:rFonts w:ascii="Arial" w:hAnsi="Arial" w:cs="Arial"/>
          <w:color w:val="000000" w:themeColor="text1"/>
          <w:sz w:val="20"/>
          <w:szCs w:val="20"/>
        </w:rPr>
        <w:t>, 4(2):137-149.</w:t>
      </w:r>
    </w:p>
    <w:p w14:paraId="4F992425" w14:textId="3E7F3BBA" w:rsidR="00EB5D49" w:rsidRPr="00017581" w:rsidRDefault="00EB5D49" w:rsidP="00EB5D49">
      <w:pPr>
        <w:numPr>
          <w:ilvl w:val="0"/>
          <w:numId w:val="11"/>
        </w:num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Chatterjee, N., </w:t>
      </w:r>
      <w:proofErr w:type="spellStart"/>
      <w:r w:rsidRPr="00017581">
        <w:rPr>
          <w:rFonts w:ascii="Arial" w:hAnsi="Arial" w:cs="Arial"/>
          <w:color w:val="000000" w:themeColor="text1"/>
          <w:sz w:val="20"/>
          <w:szCs w:val="20"/>
        </w:rPr>
        <w:t>Basu</w:t>
      </w:r>
      <w:proofErr w:type="spellEnd"/>
      <w:r w:rsidRPr="00017581">
        <w:rPr>
          <w:rFonts w:ascii="Arial" w:hAnsi="Arial" w:cs="Arial"/>
          <w:color w:val="000000" w:themeColor="text1"/>
          <w:sz w:val="20"/>
          <w:szCs w:val="20"/>
        </w:rPr>
        <w:t xml:space="preserve">, P., </w:t>
      </w:r>
      <w:proofErr w:type="spellStart"/>
      <w:r w:rsidRPr="00017581">
        <w:rPr>
          <w:rFonts w:ascii="Arial" w:hAnsi="Arial" w:cs="Arial"/>
          <w:color w:val="000000" w:themeColor="text1"/>
          <w:sz w:val="20"/>
          <w:szCs w:val="20"/>
        </w:rPr>
        <w:t>Kshettry</w:t>
      </w:r>
      <w:proofErr w:type="spellEnd"/>
      <w:r w:rsidRPr="00017581">
        <w:rPr>
          <w:rFonts w:ascii="Arial" w:hAnsi="Arial" w:cs="Arial"/>
          <w:color w:val="000000" w:themeColor="text1"/>
          <w:sz w:val="20"/>
          <w:szCs w:val="20"/>
        </w:rPr>
        <w:t>, A., et al. (2022).</w:t>
      </w:r>
      <w:r w:rsidR="00896C19">
        <w:rPr>
          <w:rFonts w:ascii="Arial" w:hAnsi="Arial" w:cs="Arial"/>
          <w:color w:val="000000" w:themeColor="text1"/>
          <w:sz w:val="20"/>
          <w:szCs w:val="20"/>
        </w:rPr>
        <w:t xml:space="preserve"> </w:t>
      </w:r>
      <w:r w:rsidR="00896C19" w:rsidRPr="00896C19">
        <w:rPr>
          <w:rFonts w:ascii="Arial" w:hAnsi="Arial" w:cs="Arial"/>
          <w:color w:val="000000" w:themeColor="text1"/>
          <w:sz w:val="20"/>
          <w:szCs w:val="20"/>
        </w:rPr>
        <w:t>Predicting negative human-tiger (</w:t>
      </w:r>
      <w:r w:rsidR="00896C19" w:rsidRPr="00896C19">
        <w:rPr>
          <w:rFonts w:ascii="Arial" w:hAnsi="Arial" w:cs="Arial"/>
          <w:i/>
          <w:iCs/>
          <w:color w:val="000000" w:themeColor="text1"/>
          <w:sz w:val="20"/>
          <w:szCs w:val="20"/>
        </w:rPr>
        <w:t xml:space="preserve">Panthera </w:t>
      </w:r>
      <w:proofErr w:type="spellStart"/>
      <w:r w:rsidR="00896C19" w:rsidRPr="00896C19">
        <w:rPr>
          <w:rFonts w:ascii="Arial" w:hAnsi="Arial" w:cs="Arial"/>
          <w:i/>
          <w:iCs/>
          <w:color w:val="000000" w:themeColor="text1"/>
          <w:sz w:val="20"/>
          <w:szCs w:val="20"/>
        </w:rPr>
        <w:t>tigris</w:t>
      </w:r>
      <w:proofErr w:type="spellEnd"/>
      <w:r w:rsidR="00896C19" w:rsidRPr="00896C19">
        <w:rPr>
          <w:rFonts w:ascii="Arial" w:hAnsi="Arial" w:cs="Arial"/>
          <w:color w:val="000000" w:themeColor="text1"/>
          <w:sz w:val="20"/>
          <w:szCs w:val="20"/>
        </w:rPr>
        <w:t xml:space="preserve">) interactions in mosaic landscapes around </w:t>
      </w:r>
      <w:proofErr w:type="spellStart"/>
      <w:r w:rsidR="00896C19" w:rsidRPr="00896C19">
        <w:rPr>
          <w:rFonts w:ascii="Arial" w:hAnsi="Arial" w:cs="Arial"/>
          <w:color w:val="000000" w:themeColor="text1"/>
          <w:sz w:val="20"/>
          <w:szCs w:val="20"/>
        </w:rPr>
        <w:t>Dudhwa</w:t>
      </w:r>
      <w:proofErr w:type="spellEnd"/>
      <w:r w:rsidR="00896C19" w:rsidRPr="00896C19">
        <w:rPr>
          <w:rFonts w:ascii="Arial" w:hAnsi="Arial" w:cs="Arial"/>
          <w:color w:val="000000" w:themeColor="text1"/>
          <w:sz w:val="20"/>
          <w:szCs w:val="20"/>
        </w:rPr>
        <w:t xml:space="preserve"> and </w:t>
      </w:r>
      <w:proofErr w:type="spellStart"/>
      <w:r w:rsidR="00896C19" w:rsidRPr="00896C19">
        <w:rPr>
          <w:rFonts w:ascii="Arial" w:hAnsi="Arial" w:cs="Arial"/>
          <w:color w:val="000000" w:themeColor="text1"/>
          <w:sz w:val="20"/>
          <w:szCs w:val="20"/>
        </w:rPr>
        <w:t>Pilibhit</w:t>
      </w:r>
      <w:proofErr w:type="spellEnd"/>
      <w:r w:rsidR="00896C19" w:rsidRPr="00896C19">
        <w:rPr>
          <w:rFonts w:ascii="Arial" w:hAnsi="Arial" w:cs="Arial"/>
          <w:color w:val="000000" w:themeColor="text1"/>
          <w:sz w:val="20"/>
          <w:szCs w:val="20"/>
        </w:rPr>
        <w:t xml:space="preserve"> tiger reserves in India</w:t>
      </w:r>
      <w:r w:rsidRPr="00017581">
        <w:rPr>
          <w:rFonts w:ascii="Arial" w:hAnsi="Arial" w:cs="Arial"/>
          <w:color w:val="000000" w:themeColor="text1"/>
          <w:sz w:val="20"/>
          <w:szCs w:val="20"/>
        </w:rPr>
        <w:t>. </w:t>
      </w:r>
      <w:r w:rsidR="00896C19" w:rsidRPr="00896C19">
        <w:rPr>
          <w:rFonts w:ascii="Arial" w:hAnsi="Arial" w:cs="Arial"/>
          <w:i/>
          <w:iCs/>
          <w:color w:val="000000" w:themeColor="text1"/>
          <w:sz w:val="20"/>
          <w:szCs w:val="20"/>
        </w:rPr>
        <w:t xml:space="preserve">Front. </w:t>
      </w:r>
      <w:proofErr w:type="spellStart"/>
      <w:r w:rsidR="00896C19" w:rsidRPr="00896C19">
        <w:rPr>
          <w:rFonts w:ascii="Arial" w:hAnsi="Arial" w:cs="Arial"/>
          <w:i/>
          <w:iCs/>
          <w:color w:val="000000" w:themeColor="text1"/>
          <w:sz w:val="20"/>
          <w:szCs w:val="20"/>
        </w:rPr>
        <w:t>Conserv</w:t>
      </w:r>
      <w:proofErr w:type="spellEnd"/>
      <w:r w:rsidR="00896C19" w:rsidRPr="00896C19">
        <w:rPr>
          <w:rFonts w:ascii="Arial" w:hAnsi="Arial" w:cs="Arial"/>
          <w:i/>
          <w:iCs/>
          <w:color w:val="000000" w:themeColor="text1"/>
          <w:sz w:val="20"/>
          <w:szCs w:val="20"/>
        </w:rPr>
        <w:t>. Sci</w:t>
      </w:r>
      <w:r w:rsidR="00896C19" w:rsidRPr="00896C19">
        <w:rPr>
          <w:rFonts w:ascii="Arial" w:hAnsi="Arial" w:cs="Arial"/>
          <w:color w:val="000000" w:themeColor="text1"/>
          <w:sz w:val="20"/>
          <w:szCs w:val="20"/>
        </w:rPr>
        <w:t>., 11 October 2022</w:t>
      </w:r>
      <w:r w:rsidRPr="00017581">
        <w:rPr>
          <w:rFonts w:ascii="Arial" w:hAnsi="Arial" w:cs="Arial"/>
          <w:color w:val="000000" w:themeColor="text1"/>
          <w:sz w:val="20"/>
          <w:szCs w:val="20"/>
        </w:rPr>
        <w:t>,</w:t>
      </w:r>
      <w:r w:rsidR="00896C19" w:rsidRPr="00896C19">
        <w:rPr>
          <w:rFonts w:ascii="Helvetica" w:hAnsi="Helvetica" w:cs="Helvetica"/>
          <w:color w:val="282828"/>
          <w:sz w:val="18"/>
          <w:szCs w:val="18"/>
          <w:shd w:val="clear" w:color="auto" w:fill="F7F7F7"/>
        </w:rPr>
        <w:t xml:space="preserve"> </w:t>
      </w:r>
      <w:r w:rsidR="00896C19" w:rsidRPr="00896C19">
        <w:rPr>
          <w:rFonts w:ascii="Arial" w:hAnsi="Arial" w:cs="Arial"/>
          <w:color w:val="000000" w:themeColor="text1"/>
          <w:sz w:val="20"/>
          <w:szCs w:val="20"/>
        </w:rPr>
        <w:t>Volume 3 - 2022</w:t>
      </w:r>
      <w:r w:rsidRPr="00017581">
        <w:rPr>
          <w:rFonts w:ascii="Arial" w:hAnsi="Arial" w:cs="Arial"/>
          <w:color w:val="000000" w:themeColor="text1"/>
          <w:sz w:val="20"/>
          <w:szCs w:val="20"/>
        </w:rPr>
        <w:t>.</w:t>
      </w:r>
    </w:p>
    <w:p w14:paraId="410C74DC" w14:textId="77777777" w:rsidR="00EB5D49" w:rsidRPr="00017581" w:rsidRDefault="00EB5D49" w:rsidP="00EB5D49">
      <w:pPr>
        <w:numPr>
          <w:ilvl w:val="0"/>
          <w:numId w:val="11"/>
        </w:num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Miller, J. R. B., </w:t>
      </w:r>
      <w:proofErr w:type="spellStart"/>
      <w:r w:rsidRPr="00017581">
        <w:rPr>
          <w:rFonts w:ascii="Arial" w:hAnsi="Arial" w:cs="Arial"/>
          <w:color w:val="000000" w:themeColor="text1"/>
          <w:sz w:val="20"/>
          <w:szCs w:val="20"/>
        </w:rPr>
        <w:t>Jhala</w:t>
      </w:r>
      <w:proofErr w:type="spellEnd"/>
      <w:r w:rsidRPr="00017581">
        <w:rPr>
          <w:rFonts w:ascii="Arial" w:hAnsi="Arial" w:cs="Arial"/>
          <w:color w:val="000000" w:themeColor="text1"/>
          <w:sz w:val="20"/>
          <w:szCs w:val="20"/>
        </w:rPr>
        <w:t>, Y. V., &amp; Schmitz, O. J. (2016). Human perceptions mirror realities of carnivore attack risk for livestock. </w:t>
      </w:r>
      <w:proofErr w:type="spellStart"/>
      <w:r w:rsidRPr="00017581">
        <w:rPr>
          <w:rFonts w:ascii="Arial" w:hAnsi="Arial" w:cs="Arial"/>
          <w:i/>
          <w:iCs/>
          <w:color w:val="000000" w:themeColor="text1"/>
          <w:sz w:val="20"/>
          <w:szCs w:val="20"/>
        </w:rPr>
        <w:t>PLoS</w:t>
      </w:r>
      <w:proofErr w:type="spellEnd"/>
      <w:r w:rsidRPr="00017581">
        <w:rPr>
          <w:rFonts w:ascii="Arial" w:hAnsi="Arial" w:cs="Arial"/>
          <w:i/>
          <w:iCs/>
          <w:color w:val="000000" w:themeColor="text1"/>
          <w:sz w:val="20"/>
          <w:szCs w:val="20"/>
        </w:rPr>
        <w:t xml:space="preserve"> ONE</w:t>
      </w:r>
      <w:r w:rsidRPr="00017581">
        <w:rPr>
          <w:rFonts w:ascii="Arial" w:hAnsi="Arial" w:cs="Arial"/>
          <w:color w:val="000000" w:themeColor="text1"/>
          <w:sz w:val="20"/>
          <w:szCs w:val="20"/>
        </w:rPr>
        <w:t>, 11(9</w:t>
      </w:r>
      <w:proofErr w:type="gramStart"/>
      <w:r w:rsidRPr="00017581">
        <w:rPr>
          <w:rFonts w:ascii="Arial" w:hAnsi="Arial" w:cs="Arial"/>
          <w:color w:val="000000" w:themeColor="text1"/>
          <w:sz w:val="20"/>
          <w:szCs w:val="20"/>
        </w:rPr>
        <w:t>):e</w:t>
      </w:r>
      <w:proofErr w:type="gramEnd"/>
      <w:r w:rsidRPr="00017581">
        <w:rPr>
          <w:rFonts w:ascii="Arial" w:hAnsi="Arial" w:cs="Arial"/>
          <w:color w:val="000000" w:themeColor="text1"/>
          <w:sz w:val="20"/>
          <w:szCs w:val="20"/>
        </w:rPr>
        <w:t>0162685.</w:t>
      </w:r>
    </w:p>
    <w:p w14:paraId="15EBF876" w14:textId="4D56E732" w:rsidR="00EB5D49" w:rsidRPr="00017581" w:rsidRDefault="00EB5D49" w:rsidP="00EB5D49">
      <w:pPr>
        <w:numPr>
          <w:ilvl w:val="0"/>
          <w:numId w:val="11"/>
        </w:numPr>
        <w:spacing w:after="0" w:line="240" w:lineRule="auto"/>
        <w:jc w:val="both"/>
        <w:rPr>
          <w:rFonts w:ascii="Arial" w:hAnsi="Arial" w:cs="Arial"/>
          <w:color w:val="000000" w:themeColor="text1"/>
          <w:sz w:val="20"/>
          <w:szCs w:val="20"/>
        </w:rPr>
      </w:pPr>
      <w:proofErr w:type="spellStart"/>
      <w:r w:rsidRPr="00017581">
        <w:rPr>
          <w:rFonts w:ascii="Arial" w:hAnsi="Arial" w:cs="Arial"/>
          <w:color w:val="000000" w:themeColor="text1"/>
          <w:sz w:val="20"/>
          <w:szCs w:val="20"/>
        </w:rPr>
        <w:t>Lyngdoh</w:t>
      </w:r>
      <w:proofErr w:type="spellEnd"/>
      <w:r w:rsidRPr="00017581">
        <w:rPr>
          <w:rFonts w:ascii="Arial" w:hAnsi="Arial" w:cs="Arial"/>
          <w:color w:val="000000" w:themeColor="text1"/>
          <w:sz w:val="20"/>
          <w:szCs w:val="20"/>
        </w:rPr>
        <w:t xml:space="preserve">, S., </w:t>
      </w:r>
      <w:proofErr w:type="spellStart"/>
      <w:r w:rsidRPr="00017581">
        <w:rPr>
          <w:rFonts w:ascii="Arial" w:hAnsi="Arial" w:cs="Arial"/>
          <w:color w:val="000000" w:themeColor="text1"/>
          <w:sz w:val="20"/>
          <w:szCs w:val="20"/>
        </w:rPr>
        <w:t>Shrotriya</w:t>
      </w:r>
      <w:proofErr w:type="spellEnd"/>
      <w:r w:rsidRPr="00017581">
        <w:rPr>
          <w:rFonts w:ascii="Arial" w:hAnsi="Arial" w:cs="Arial"/>
          <w:color w:val="000000" w:themeColor="text1"/>
          <w:sz w:val="20"/>
          <w:szCs w:val="20"/>
        </w:rPr>
        <w:t>, S., Goyal, S. P., et al. (2014).</w:t>
      </w:r>
      <w:r w:rsidR="00896C19" w:rsidRPr="00896C19">
        <w:t xml:space="preserve"> </w:t>
      </w:r>
      <w:r w:rsidR="00896C19" w:rsidRPr="00896C19">
        <w:rPr>
          <w:rFonts w:ascii="Arial" w:hAnsi="Arial" w:cs="Arial"/>
          <w:color w:val="000000" w:themeColor="text1"/>
          <w:sz w:val="20"/>
          <w:szCs w:val="20"/>
        </w:rPr>
        <w:t>Prey Preferences of the Snow Leopard (Panthera uncia): Regional Diet Specificity Holds Global Significance for Conservation</w:t>
      </w:r>
      <w:r w:rsidRPr="00017581">
        <w:rPr>
          <w:rFonts w:ascii="Arial" w:hAnsi="Arial" w:cs="Arial"/>
          <w:color w:val="000000" w:themeColor="text1"/>
          <w:sz w:val="20"/>
          <w:szCs w:val="20"/>
        </w:rPr>
        <w:t>. </w:t>
      </w:r>
      <w:proofErr w:type="spellStart"/>
      <w:r w:rsidR="00896C19" w:rsidRPr="00896C19">
        <w:rPr>
          <w:rFonts w:ascii="Arial" w:hAnsi="Arial" w:cs="Arial"/>
          <w:color w:val="000000" w:themeColor="text1"/>
          <w:sz w:val="20"/>
          <w:szCs w:val="20"/>
        </w:rPr>
        <w:t>PLoS</w:t>
      </w:r>
      <w:proofErr w:type="spellEnd"/>
      <w:r w:rsidR="00896C19" w:rsidRPr="00896C19">
        <w:rPr>
          <w:rFonts w:ascii="Arial" w:hAnsi="Arial" w:cs="Arial"/>
          <w:color w:val="000000" w:themeColor="text1"/>
          <w:sz w:val="20"/>
          <w:szCs w:val="20"/>
        </w:rPr>
        <w:t xml:space="preserve"> ONE 9(2): e88349</w:t>
      </w:r>
      <w:r w:rsidRPr="00017581">
        <w:rPr>
          <w:rFonts w:ascii="Arial" w:hAnsi="Arial" w:cs="Arial"/>
          <w:color w:val="000000" w:themeColor="text1"/>
          <w:sz w:val="20"/>
          <w:szCs w:val="20"/>
        </w:rPr>
        <w:t>.</w:t>
      </w:r>
    </w:p>
    <w:p w14:paraId="18A786DC" w14:textId="77777777" w:rsidR="00EB5D49" w:rsidRPr="00017581" w:rsidRDefault="00EB5D49" w:rsidP="00EB5D49">
      <w:pPr>
        <w:numPr>
          <w:ilvl w:val="0"/>
          <w:numId w:val="11"/>
        </w:num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 xml:space="preserve">Ramesh, T., </w:t>
      </w:r>
      <w:proofErr w:type="spellStart"/>
      <w:r w:rsidRPr="00017581">
        <w:rPr>
          <w:rFonts w:ascii="Arial" w:hAnsi="Arial" w:cs="Arial"/>
          <w:color w:val="000000" w:themeColor="text1"/>
          <w:sz w:val="20"/>
          <w:szCs w:val="20"/>
        </w:rPr>
        <w:t>Kalle</w:t>
      </w:r>
      <w:proofErr w:type="spellEnd"/>
      <w:r w:rsidRPr="00017581">
        <w:rPr>
          <w:rFonts w:ascii="Arial" w:hAnsi="Arial" w:cs="Arial"/>
          <w:color w:val="000000" w:themeColor="text1"/>
          <w:sz w:val="20"/>
          <w:szCs w:val="20"/>
        </w:rPr>
        <w:t xml:space="preserve">, R., Sankar, K., et al. (2019). </w:t>
      </w:r>
      <w:proofErr w:type="spellStart"/>
      <w:r w:rsidRPr="00017581">
        <w:rPr>
          <w:rFonts w:ascii="Arial" w:hAnsi="Arial" w:cs="Arial"/>
          <w:color w:val="000000" w:themeColor="text1"/>
          <w:sz w:val="20"/>
          <w:szCs w:val="20"/>
        </w:rPr>
        <w:t>Spatio</w:t>
      </w:r>
      <w:proofErr w:type="spellEnd"/>
      <w:r w:rsidRPr="00017581">
        <w:rPr>
          <w:rFonts w:ascii="Arial" w:hAnsi="Arial" w:cs="Arial"/>
          <w:color w:val="000000" w:themeColor="text1"/>
          <w:sz w:val="20"/>
          <w:szCs w:val="20"/>
        </w:rPr>
        <w:t>-temporal partitioning among large carnivores in relation to prey availability. </w:t>
      </w:r>
      <w:r w:rsidRPr="00017581">
        <w:rPr>
          <w:rFonts w:ascii="Arial" w:hAnsi="Arial" w:cs="Arial"/>
          <w:i/>
          <w:iCs/>
          <w:color w:val="000000" w:themeColor="text1"/>
          <w:sz w:val="20"/>
          <w:szCs w:val="20"/>
        </w:rPr>
        <w:t>Journal of Zoology</w:t>
      </w:r>
      <w:r w:rsidRPr="00017581">
        <w:rPr>
          <w:rFonts w:ascii="Arial" w:hAnsi="Arial" w:cs="Arial"/>
          <w:color w:val="000000" w:themeColor="text1"/>
          <w:sz w:val="20"/>
          <w:szCs w:val="20"/>
        </w:rPr>
        <w:t>, 307(4):247-256.</w:t>
      </w:r>
    </w:p>
    <w:p w14:paraId="6DED5E0A" w14:textId="77777777" w:rsidR="00EB5D49" w:rsidRPr="00017581" w:rsidRDefault="00EB5D49" w:rsidP="00EB5D49">
      <w:pPr>
        <w:numPr>
          <w:ilvl w:val="0"/>
          <w:numId w:val="11"/>
        </w:numPr>
        <w:spacing w:after="0" w:line="240" w:lineRule="auto"/>
        <w:jc w:val="both"/>
        <w:rPr>
          <w:rFonts w:ascii="Arial" w:hAnsi="Arial" w:cs="Arial"/>
          <w:color w:val="000000" w:themeColor="text1"/>
          <w:sz w:val="20"/>
          <w:szCs w:val="20"/>
        </w:rPr>
      </w:pPr>
      <w:proofErr w:type="spellStart"/>
      <w:r w:rsidRPr="00017581">
        <w:rPr>
          <w:rFonts w:ascii="Arial" w:hAnsi="Arial" w:cs="Arial"/>
          <w:color w:val="000000" w:themeColor="text1"/>
          <w:sz w:val="20"/>
          <w:szCs w:val="20"/>
        </w:rPr>
        <w:t>Karanth</w:t>
      </w:r>
      <w:proofErr w:type="spellEnd"/>
      <w:r w:rsidRPr="00017581">
        <w:rPr>
          <w:rFonts w:ascii="Arial" w:hAnsi="Arial" w:cs="Arial"/>
          <w:color w:val="000000" w:themeColor="text1"/>
          <w:sz w:val="20"/>
          <w:szCs w:val="20"/>
        </w:rPr>
        <w:t xml:space="preserve">, K. U., &amp; </w:t>
      </w:r>
      <w:proofErr w:type="spellStart"/>
      <w:r w:rsidRPr="00017581">
        <w:rPr>
          <w:rFonts w:ascii="Arial" w:hAnsi="Arial" w:cs="Arial"/>
          <w:color w:val="000000" w:themeColor="text1"/>
          <w:sz w:val="20"/>
          <w:szCs w:val="20"/>
        </w:rPr>
        <w:t>Sunquist</w:t>
      </w:r>
      <w:proofErr w:type="spellEnd"/>
      <w:r w:rsidRPr="00017581">
        <w:rPr>
          <w:rFonts w:ascii="Arial" w:hAnsi="Arial" w:cs="Arial"/>
          <w:color w:val="000000" w:themeColor="text1"/>
          <w:sz w:val="20"/>
          <w:szCs w:val="20"/>
        </w:rPr>
        <w:t>, M. E. (1995). Prey selection by tiger, leopard, and dhole in tropical forests. </w:t>
      </w:r>
      <w:r w:rsidRPr="00017581">
        <w:rPr>
          <w:rFonts w:ascii="Arial" w:hAnsi="Arial" w:cs="Arial"/>
          <w:i/>
          <w:iCs/>
          <w:color w:val="000000" w:themeColor="text1"/>
          <w:sz w:val="20"/>
          <w:szCs w:val="20"/>
        </w:rPr>
        <w:t>Journal of Animal Ecology</w:t>
      </w:r>
      <w:r w:rsidRPr="00017581">
        <w:rPr>
          <w:rFonts w:ascii="Arial" w:hAnsi="Arial" w:cs="Arial"/>
          <w:color w:val="000000" w:themeColor="text1"/>
          <w:sz w:val="20"/>
          <w:szCs w:val="20"/>
        </w:rPr>
        <w:t>, 64(4):439-450.</w:t>
      </w:r>
    </w:p>
    <w:p w14:paraId="463DA7B5" w14:textId="6F76E608" w:rsidR="00EB5D49" w:rsidRPr="00017581" w:rsidRDefault="00EB5D49" w:rsidP="00EB5D49">
      <w:pPr>
        <w:numPr>
          <w:ilvl w:val="0"/>
          <w:numId w:val="11"/>
        </w:num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Bhattarai, B. R., &amp; Fischer, K. (2014).</w:t>
      </w:r>
      <w:r w:rsidR="00896C19" w:rsidRPr="00896C19">
        <w:rPr>
          <w:rFonts w:ascii="orig_calibri" w:hAnsi="orig_calibri"/>
          <w:color w:val="0F0E0E"/>
          <w:sz w:val="27"/>
          <w:szCs w:val="27"/>
        </w:rPr>
        <w:t xml:space="preserve"> </w:t>
      </w:r>
      <w:r w:rsidR="00896C19" w:rsidRPr="00896C19">
        <w:rPr>
          <w:rFonts w:ascii="Arial" w:hAnsi="Arial" w:cs="Arial"/>
          <w:color w:val="000000" w:themeColor="text1"/>
          <w:sz w:val="20"/>
          <w:szCs w:val="20"/>
        </w:rPr>
        <w:t>Human-tiger </w:t>
      </w:r>
      <w:r w:rsidR="00896C19" w:rsidRPr="00896C19">
        <w:rPr>
          <w:rFonts w:ascii="Arial" w:hAnsi="Arial" w:cs="Arial"/>
          <w:i/>
          <w:iCs/>
          <w:color w:val="000000" w:themeColor="text1"/>
          <w:sz w:val="20"/>
          <w:szCs w:val="20"/>
        </w:rPr>
        <w:t xml:space="preserve">Panthera </w:t>
      </w:r>
      <w:proofErr w:type="spellStart"/>
      <w:r w:rsidR="00896C19" w:rsidRPr="00896C19">
        <w:rPr>
          <w:rFonts w:ascii="Arial" w:hAnsi="Arial" w:cs="Arial"/>
          <w:i/>
          <w:iCs/>
          <w:color w:val="000000" w:themeColor="text1"/>
          <w:sz w:val="20"/>
          <w:szCs w:val="20"/>
        </w:rPr>
        <w:t>tigris</w:t>
      </w:r>
      <w:proofErr w:type="spellEnd"/>
      <w:r w:rsidR="00896C19" w:rsidRPr="00896C19">
        <w:rPr>
          <w:rFonts w:ascii="Arial" w:hAnsi="Arial" w:cs="Arial"/>
          <w:color w:val="000000" w:themeColor="text1"/>
          <w:sz w:val="20"/>
          <w:szCs w:val="20"/>
        </w:rPr>
        <w:t xml:space="preserve"> conflict and its perception in </w:t>
      </w:r>
      <w:proofErr w:type="spellStart"/>
      <w:r w:rsidR="00896C19" w:rsidRPr="00896C19">
        <w:rPr>
          <w:rFonts w:ascii="Arial" w:hAnsi="Arial" w:cs="Arial"/>
          <w:color w:val="000000" w:themeColor="text1"/>
          <w:sz w:val="20"/>
          <w:szCs w:val="20"/>
        </w:rPr>
        <w:t>Bardia</w:t>
      </w:r>
      <w:proofErr w:type="spellEnd"/>
      <w:r w:rsidR="00896C19" w:rsidRPr="00896C19">
        <w:rPr>
          <w:rFonts w:ascii="Arial" w:hAnsi="Arial" w:cs="Arial"/>
          <w:color w:val="000000" w:themeColor="text1"/>
          <w:sz w:val="20"/>
          <w:szCs w:val="20"/>
        </w:rPr>
        <w:t xml:space="preserve"> National Park, Nepal. </w:t>
      </w:r>
      <w:r w:rsidRPr="00017581">
        <w:rPr>
          <w:rFonts w:ascii="Arial" w:hAnsi="Arial" w:cs="Arial"/>
          <w:i/>
          <w:iCs/>
          <w:color w:val="000000" w:themeColor="text1"/>
          <w:sz w:val="20"/>
          <w:szCs w:val="20"/>
        </w:rPr>
        <w:t>Oryx</w:t>
      </w:r>
      <w:r w:rsidRPr="00017581">
        <w:rPr>
          <w:rFonts w:ascii="Arial" w:hAnsi="Arial" w:cs="Arial"/>
          <w:color w:val="000000" w:themeColor="text1"/>
          <w:sz w:val="20"/>
          <w:szCs w:val="20"/>
        </w:rPr>
        <w:t>, 48(4):522-528.</w:t>
      </w:r>
    </w:p>
    <w:p w14:paraId="4657B12E" w14:textId="4EE24F12" w:rsidR="00EB5D49" w:rsidRPr="00017581" w:rsidRDefault="00EB5D49" w:rsidP="00EB5D49">
      <w:pPr>
        <w:numPr>
          <w:ilvl w:val="0"/>
          <w:numId w:val="11"/>
        </w:numPr>
        <w:spacing w:after="0" w:line="240" w:lineRule="auto"/>
        <w:jc w:val="both"/>
        <w:rPr>
          <w:rFonts w:ascii="Arial" w:hAnsi="Arial" w:cs="Arial"/>
          <w:color w:val="000000" w:themeColor="text1"/>
          <w:sz w:val="20"/>
          <w:szCs w:val="20"/>
        </w:rPr>
      </w:pPr>
      <w:proofErr w:type="spellStart"/>
      <w:r w:rsidRPr="00017581">
        <w:rPr>
          <w:rFonts w:ascii="Arial" w:hAnsi="Arial" w:cs="Arial"/>
          <w:color w:val="000000" w:themeColor="text1"/>
          <w:sz w:val="20"/>
          <w:szCs w:val="20"/>
        </w:rPr>
        <w:t>Kshettry</w:t>
      </w:r>
      <w:proofErr w:type="spellEnd"/>
      <w:r w:rsidRPr="00017581">
        <w:rPr>
          <w:rFonts w:ascii="Arial" w:hAnsi="Arial" w:cs="Arial"/>
          <w:color w:val="000000" w:themeColor="text1"/>
          <w:sz w:val="20"/>
          <w:szCs w:val="20"/>
        </w:rPr>
        <w:t xml:space="preserve">, A., Vaidyanathan, S., &amp; </w:t>
      </w:r>
      <w:proofErr w:type="spellStart"/>
      <w:r w:rsidRPr="00017581">
        <w:rPr>
          <w:rFonts w:ascii="Arial" w:hAnsi="Arial" w:cs="Arial"/>
          <w:color w:val="000000" w:themeColor="text1"/>
          <w:sz w:val="20"/>
          <w:szCs w:val="20"/>
        </w:rPr>
        <w:t>Athreya</w:t>
      </w:r>
      <w:proofErr w:type="spellEnd"/>
      <w:r w:rsidRPr="00017581">
        <w:rPr>
          <w:rFonts w:ascii="Arial" w:hAnsi="Arial" w:cs="Arial"/>
          <w:color w:val="000000" w:themeColor="text1"/>
          <w:sz w:val="20"/>
          <w:szCs w:val="20"/>
        </w:rPr>
        <w:t>, V. (2017).</w:t>
      </w:r>
      <w:r w:rsidR="001E36D6" w:rsidRPr="001E36D6">
        <w:rPr>
          <w:rFonts w:ascii="Helvetica" w:hAnsi="Helvetica" w:cs="Helvetica"/>
          <w:color w:val="202020"/>
          <w:sz w:val="20"/>
          <w:szCs w:val="20"/>
          <w:shd w:val="clear" w:color="auto" w:fill="FFFFFF"/>
        </w:rPr>
        <w:t xml:space="preserve"> </w:t>
      </w:r>
      <w:r w:rsidR="001E36D6" w:rsidRPr="001E36D6">
        <w:rPr>
          <w:rFonts w:ascii="Arial" w:hAnsi="Arial" w:cs="Arial"/>
          <w:color w:val="000000" w:themeColor="text1"/>
          <w:sz w:val="20"/>
          <w:szCs w:val="20"/>
        </w:rPr>
        <w:t>Leopard in a tea-cup: A study of leopard habitat-use and human-leopard interactions in north-eastern India</w:t>
      </w:r>
      <w:r w:rsidRPr="00017581">
        <w:rPr>
          <w:rFonts w:ascii="Arial" w:hAnsi="Arial" w:cs="Arial"/>
          <w:color w:val="000000" w:themeColor="text1"/>
          <w:sz w:val="20"/>
          <w:szCs w:val="20"/>
        </w:rPr>
        <w:t>. </w:t>
      </w:r>
      <w:proofErr w:type="spellStart"/>
      <w:r w:rsidRPr="00017581">
        <w:rPr>
          <w:rFonts w:ascii="Arial" w:hAnsi="Arial" w:cs="Arial"/>
          <w:i/>
          <w:iCs/>
          <w:color w:val="000000" w:themeColor="text1"/>
          <w:sz w:val="20"/>
          <w:szCs w:val="20"/>
        </w:rPr>
        <w:t>PLoS</w:t>
      </w:r>
      <w:proofErr w:type="spellEnd"/>
      <w:r w:rsidRPr="00017581">
        <w:rPr>
          <w:rFonts w:ascii="Arial" w:hAnsi="Arial" w:cs="Arial"/>
          <w:i/>
          <w:iCs/>
          <w:color w:val="000000" w:themeColor="text1"/>
          <w:sz w:val="20"/>
          <w:szCs w:val="20"/>
        </w:rPr>
        <w:t xml:space="preserve"> ONE</w:t>
      </w:r>
      <w:r w:rsidRPr="00017581">
        <w:rPr>
          <w:rFonts w:ascii="Arial" w:hAnsi="Arial" w:cs="Arial"/>
          <w:color w:val="000000" w:themeColor="text1"/>
          <w:sz w:val="20"/>
          <w:szCs w:val="20"/>
        </w:rPr>
        <w:t>, 12(5</w:t>
      </w:r>
      <w:proofErr w:type="gramStart"/>
      <w:r w:rsidRPr="00017581">
        <w:rPr>
          <w:rFonts w:ascii="Arial" w:hAnsi="Arial" w:cs="Arial"/>
          <w:color w:val="000000" w:themeColor="text1"/>
          <w:sz w:val="20"/>
          <w:szCs w:val="20"/>
        </w:rPr>
        <w:t>):e</w:t>
      </w:r>
      <w:proofErr w:type="gramEnd"/>
      <w:r w:rsidRPr="00017581">
        <w:rPr>
          <w:rFonts w:ascii="Arial" w:hAnsi="Arial" w:cs="Arial"/>
          <w:color w:val="000000" w:themeColor="text1"/>
          <w:sz w:val="20"/>
          <w:szCs w:val="20"/>
        </w:rPr>
        <w:t>0177013.</w:t>
      </w:r>
    </w:p>
    <w:p w14:paraId="2D35172A" w14:textId="5D026B5C" w:rsidR="00EB5D49" w:rsidRPr="007D21D8" w:rsidRDefault="00EB5D49" w:rsidP="00EB5D49">
      <w:pPr>
        <w:numPr>
          <w:ilvl w:val="0"/>
          <w:numId w:val="11"/>
        </w:num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lastRenderedPageBreak/>
        <w:t xml:space="preserve">Naha, D., Dash, S. K., Chettri, A., et </w:t>
      </w:r>
      <w:r w:rsidRPr="007D21D8">
        <w:rPr>
          <w:rFonts w:ascii="Arial" w:hAnsi="Arial" w:cs="Arial"/>
          <w:color w:val="000000" w:themeColor="text1"/>
          <w:sz w:val="20"/>
          <w:szCs w:val="20"/>
        </w:rPr>
        <w:t>al. (20</w:t>
      </w:r>
      <w:r w:rsidR="00AB107A" w:rsidRPr="007D21D8">
        <w:rPr>
          <w:rFonts w:ascii="Arial" w:hAnsi="Arial" w:cs="Arial"/>
          <w:color w:val="000000" w:themeColor="text1"/>
          <w:sz w:val="20"/>
          <w:szCs w:val="20"/>
        </w:rPr>
        <w:t>20</w:t>
      </w:r>
      <w:r w:rsidRPr="007D21D8">
        <w:rPr>
          <w:rFonts w:ascii="Arial" w:hAnsi="Arial" w:cs="Arial"/>
          <w:color w:val="000000" w:themeColor="text1"/>
          <w:sz w:val="20"/>
          <w:szCs w:val="20"/>
        </w:rPr>
        <w:t>).</w:t>
      </w:r>
      <w:r w:rsidR="00DB39A2" w:rsidRPr="007D21D8">
        <w:rPr>
          <w:color w:val="000000" w:themeColor="text1"/>
        </w:rPr>
        <w:t xml:space="preserve"> </w:t>
      </w:r>
      <w:r w:rsidR="00DB39A2" w:rsidRPr="007D21D8">
        <w:rPr>
          <w:rFonts w:ascii="Arial" w:hAnsi="Arial" w:cs="Arial"/>
          <w:color w:val="000000" w:themeColor="text1"/>
          <w:sz w:val="20"/>
          <w:szCs w:val="20"/>
        </w:rPr>
        <w:t xml:space="preserve">Landscape predictors of human–leopard conflicts within multi-use areas of the Himalayan region, Scientific </w:t>
      </w:r>
      <w:proofErr w:type="gramStart"/>
      <w:r w:rsidR="00DB39A2" w:rsidRPr="007D21D8">
        <w:rPr>
          <w:rFonts w:ascii="Arial" w:hAnsi="Arial" w:cs="Arial"/>
          <w:color w:val="000000" w:themeColor="text1"/>
          <w:sz w:val="20"/>
          <w:szCs w:val="20"/>
        </w:rPr>
        <w:t>reports  10</w:t>
      </w:r>
      <w:proofErr w:type="gramEnd"/>
      <w:r w:rsidR="00DB39A2" w:rsidRPr="007D21D8">
        <w:rPr>
          <w:rFonts w:ascii="Arial" w:hAnsi="Arial" w:cs="Arial"/>
          <w:color w:val="000000" w:themeColor="text1"/>
          <w:sz w:val="20"/>
          <w:szCs w:val="20"/>
        </w:rPr>
        <w:t>, 11129</w:t>
      </w:r>
      <w:r w:rsidRPr="007D21D8">
        <w:rPr>
          <w:rFonts w:ascii="Arial" w:hAnsi="Arial" w:cs="Arial"/>
          <w:color w:val="000000" w:themeColor="text1"/>
          <w:sz w:val="20"/>
          <w:szCs w:val="20"/>
        </w:rPr>
        <w:t>.</w:t>
      </w:r>
    </w:p>
    <w:p w14:paraId="68C67DD9" w14:textId="39612C13" w:rsidR="00EB5D49" w:rsidRPr="00017581" w:rsidRDefault="00EB5D49" w:rsidP="00EB5D49">
      <w:pPr>
        <w:numPr>
          <w:ilvl w:val="0"/>
          <w:numId w:val="11"/>
        </w:numPr>
        <w:spacing w:after="0" w:line="240" w:lineRule="auto"/>
        <w:jc w:val="both"/>
        <w:rPr>
          <w:rFonts w:ascii="Arial" w:hAnsi="Arial" w:cs="Arial"/>
          <w:color w:val="000000" w:themeColor="text1"/>
          <w:sz w:val="20"/>
          <w:szCs w:val="20"/>
        </w:rPr>
      </w:pPr>
      <w:r w:rsidRPr="007D21D8">
        <w:rPr>
          <w:rFonts w:ascii="Arial" w:hAnsi="Arial" w:cs="Arial"/>
          <w:color w:val="000000" w:themeColor="text1"/>
          <w:sz w:val="20"/>
          <w:szCs w:val="20"/>
        </w:rPr>
        <w:t>Everard, M., Sharma, O. P., Vishwakarma, V. K., et al. (201</w:t>
      </w:r>
      <w:r w:rsidR="00AB107A" w:rsidRPr="007D21D8">
        <w:rPr>
          <w:rFonts w:ascii="Arial" w:hAnsi="Arial" w:cs="Arial"/>
          <w:color w:val="000000" w:themeColor="text1"/>
          <w:sz w:val="20"/>
          <w:szCs w:val="20"/>
        </w:rPr>
        <w:t>8</w:t>
      </w:r>
      <w:r w:rsidRPr="007D21D8">
        <w:rPr>
          <w:rFonts w:ascii="Arial" w:hAnsi="Arial" w:cs="Arial"/>
          <w:color w:val="000000" w:themeColor="text1"/>
          <w:sz w:val="20"/>
          <w:szCs w:val="20"/>
        </w:rPr>
        <w:t>).</w:t>
      </w:r>
      <w:r w:rsidR="00AB107A" w:rsidRPr="007D21D8">
        <w:rPr>
          <w:color w:val="000000" w:themeColor="text1"/>
        </w:rPr>
        <w:t xml:space="preserve"> </w:t>
      </w:r>
      <w:r w:rsidR="00AB107A" w:rsidRPr="00AB107A">
        <w:rPr>
          <w:rFonts w:ascii="Arial" w:hAnsi="Arial" w:cs="Arial"/>
          <w:color w:val="000000" w:themeColor="text1"/>
          <w:sz w:val="20"/>
          <w:szCs w:val="20"/>
        </w:rPr>
        <w:t>Assessing the feasibility of integrating ecosystem-based with engineered water resource governance and management for water security in semi-arid landscapes: A case study in the Banas catchment, Rajasthan, India</w:t>
      </w:r>
      <w:r w:rsidRPr="00017581">
        <w:rPr>
          <w:rFonts w:ascii="Arial" w:hAnsi="Arial" w:cs="Arial"/>
          <w:color w:val="000000" w:themeColor="text1"/>
          <w:sz w:val="20"/>
          <w:szCs w:val="20"/>
        </w:rPr>
        <w:t>.</w:t>
      </w:r>
      <w:r w:rsidR="00AB107A">
        <w:rPr>
          <w:rFonts w:ascii="Arial" w:hAnsi="Arial" w:cs="Arial"/>
          <w:color w:val="000000" w:themeColor="text1"/>
          <w:sz w:val="20"/>
          <w:szCs w:val="20"/>
        </w:rPr>
        <w:t xml:space="preserve"> </w:t>
      </w:r>
      <w:r w:rsidR="00AB107A" w:rsidRPr="00AB107A">
        <w:rPr>
          <w:rFonts w:ascii="Arial" w:hAnsi="Arial" w:cs="Arial"/>
          <w:i/>
          <w:iCs/>
          <w:color w:val="000000" w:themeColor="text1"/>
          <w:sz w:val="20"/>
          <w:szCs w:val="20"/>
        </w:rPr>
        <w:t>Sci Total Environ</w:t>
      </w:r>
      <w:r w:rsidR="00AB107A" w:rsidRPr="00AB107A">
        <w:rPr>
          <w:rFonts w:ascii="Arial" w:hAnsi="Arial" w:cs="Arial"/>
          <w:color w:val="000000" w:themeColor="text1"/>
          <w:sz w:val="20"/>
          <w:szCs w:val="20"/>
        </w:rPr>
        <w:t>. 612:1249-1265.</w:t>
      </w:r>
    </w:p>
    <w:p w14:paraId="21D6D4A3" w14:textId="5850F5A6" w:rsidR="00EB5D49" w:rsidRPr="00017581" w:rsidRDefault="00EB5D49" w:rsidP="00EB5D49">
      <w:pPr>
        <w:numPr>
          <w:ilvl w:val="0"/>
          <w:numId w:val="11"/>
        </w:numPr>
        <w:spacing w:after="0" w:line="240" w:lineRule="auto"/>
        <w:jc w:val="both"/>
        <w:rPr>
          <w:rFonts w:ascii="Arial" w:hAnsi="Arial" w:cs="Arial"/>
          <w:color w:val="000000" w:themeColor="text1"/>
          <w:sz w:val="20"/>
          <w:szCs w:val="20"/>
        </w:rPr>
      </w:pPr>
      <w:proofErr w:type="spellStart"/>
      <w:r w:rsidRPr="00017581">
        <w:rPr>
          <w:rFonts w:ascii="Arial" w:hAnsi="Arial" w:cs="Arial"/>
          <w:color w:val="000000" w:themeColor="text1"/>
          <w:sz w:val="20"/>
          <w:szCs w:val="20"/>
        </w:rPr>
        <w:t>Karanth</w:t>
      </w:r>
      <w:proofErr w:type="spellEnd"/>
      <w:r w:rsidRPr="00017581">
        <w:rPr>
          <w:rFonts w:ascii="Arial" w:hAnsi="Arial" w:cs="Arial"/>
          <w:color w:val="000000" w:themeColor="text1"/>
          <w:sz w:val="20"/>
          <w:szCs w:val="20"/>
        </w:rPr>
        <w:t xml:space="preserve">, K. K., Gupta, S., &amp; </w:t>
      </w:r>
      <w:proofErr w:type="spellStart"/>
      <w:r w:rsidRPr="00017581">
        <w:rPr>
          <w:rFonts w:ascii="Arial" w:hAnsi="Arial" w:cs="Arial"/>
          <w:color w:val="000000" w:themeColor="text1"/>
          <w:sz w:val="20"/>
          <w:szCs w:val="20"/>
        </w:rPr>
        <w:t>Vanamamalai</w:t>
      </w:r>
      <w:proofErr w:type="spellEnd"/>
      <w:r w:rsidRPr="00017581">
        <w:rPr>
          <w:rFonts w:ascii="Arial" w:hAnsi="Arial" w:cs="Arial"/>
          <w:color w:val="000000" w:themeColor="text1"/>
          <w:sz w:val="20"/>
          <w:szCs w:val="20"/>
        </w:rPr>
        <w:t xml:space="preserve">, A. </w:t>
      </w:r>
      <w:r w:rsidRPr="00D63602">
        <w:rPr>
          <w:rFonts w:ascii="Arial" w:hAnsi="Arial" w:cs="Arial"/>
          <w:color w:val="000000" w:themeColor="text1"/>
          <w:sz w:val="20"/>
          <w:szCs w:val="20"/>
        </w:rPr>
        <w:t>(201</w:t>
      </w:r>
      <w:r w:rsidR="003F39CA" w:rsidRPr="00D63602">
        <w:rPr>
          <w:rFonts w:ascii="Arial" w:hAnsi="Arial" w:cs="Arial"/>
          <w:color w:val="000000" w:themeColor="text1"/>
          <w:sz w:val="20"/>
          <w:szCs w:val="20"/>
        </w:rPr>
        <w:t>8</w:t>
      </w:r>
      <w:r w:rsidRPr="00D63602">
        <w:rPr>
          <w:rFonts w:ascii="Arial" w:hAnsi="Arial" w:cs="Arial"/>
          <w:color w:val="000000" w:themeColor="text1"/>
          <w:sz w:val="20"/>
          <w:szCs w:val="20"/>
        </w:rPr>
        <w:t>).</w:t>
      </w:r>
      <w:r w:rsidR="003F39CA" w:rsidRPr="00D63602">
        <w:rPr>
          <w:color w:val="000000" w:themeColor="text1"/>
        </w:rPr>
        <w:t xml:space="preserve"> </w:t>
      </w:r>
      <w:r w:rsidR="003F39CA" w:rsidRPr="003F39CA">
        <w:rPr>
          <w:rFonts w:ascii="Arial" w:hAnsi="Arial" w:cs="Arial"/>
          <w:color w:val="000000" w:themeColor="text1"/>
          <w:sz w:val="20"/>
          <w:szCs w:val="20"/>
        </w:rPr>
        <w:t>Compensation payments, procedures and policies towards human-wildlife conflict management: Insights from India</w:t>
      </w:r>
      <w:r w:rsidRPr="00017581">
        <w:rPr>
          <w:rFonts w:ascii="Arial" w:hAnsi="Arial" w:cs="Arial"/>
          <w:color w:val="000000" w:themeColor="text1"/>
          <w:sz w:val="20"/>
          <w:szCs w:val="20"/>
        </w:rPr>
        <w:t>. </w:t>
      </w:r>
      <w:r w:rsidRPr="00017581">
        <w:rPr>
          <w:rFonts w:ascii="Arial" w:hAnsi="Arial" w:cs="Arial"/>
          <w:i/>
          <w:iCs/>
          <w:color w:val="000000" w:themeColor="text1"/>
          <w:sz w:val="20"/>
          <w:szCs w:val="20"/>
        </w:rPr>
        <w:t>Biological Conservation</w:t>
      </w:r>
      <w:r w:rsidRPr="00017581">
        <w:rPr>
          <w:rFonts w:ascii="Arial" w:hAnsi="Arial" w:cs="Arial"/>
          <w:color w:val="000000" w:themeColor="text1"/>
          <w:sz w:val="20"/>
          <w:szCs w:val="20"/>
        </w:rPr>
        <w:t xml:space="preserve">, </w:t>
      </w:r>
      <w:r w:rsidR="003F39CA">
        <w:rPr>
          <w:rFonts w:ascii="Arial" w:hAnsi="Arial" w:cs="Arial"/>
          <w:color w:val="000000" w:themeColor="text1"/>
          <w:sz w:val="20"/>
          <w:szCs w:val="20"/>
        </w:rPr>
        <w:t>227</w:t>
      </w:r>
      <w:r w:rsidRPr="00017581">
        <w:rPr>
          <w:rFonts w:ascii="Arial" w:hAnsi="Arial" w:cs="Arial"/>
          <w:color w:val="000000" w:themeColor="text1"/>
          <w:sz w:val="20"/>
          <w:szCs w:val="20"/>
        </w:rPr>
        <w:t>:3</w:t>
      </w:r>
      <w:r w:rsidR="003F39CA">
        <w:rPr>
          <w:rFonts w:ascii="Arial" w:hAnsi="Arial" w:cs="Arial"/>
          <w:color w:val="000000" w:themeColor="text1"/>
          <w:sz w:val="20"/>
          <w:szCs w:val="20"/>
        </w:rPr>
        <w:t>8</w:t>
      </w:r>
      <w:r w:rsidRPr="00017581">
        <w:rPr>
          <w:rFonts w:ascii="Arial" w:hAnsi="Arial" w:cs="Arial"/>
          <w:color w:val="000000" w:themeColor="text1"/>
          <w:sz w:val="20"/>
          <w:szCs w:val="20"/>
        </w:rPr>
        <w:t>3-</w:t>
      </w:r>
      <w:r w:rsidR="003F39CA">
        <w:rPr>
          <w:rFonts w:ascii="Arial" w:hAnsi="Arial" w:cs="Arial"/>
          <w:color w:val="000000" w:themeColor="text1"/>
          <w:sz w:val="20"/>
          <w:szCs w:val="20"/>
        </w:rPr>
        <w:t>389</w:t>
      </w:r>
      <w:r w:rsidRPr="00017581">
        <w:rPr>
          <w:rFonts w:ascii="Arial" w:hAnsi="Arial" w:cs="Arial"/>
          <w:color w:val="000000" w:themeColor="text1"/>
          <w:sz w:val="20"/>
          <w:szCs w:val="20"/>
        </w:rPr>
        <w:t>.</w:t>
      </w:r>
    </w:p>
    <w:p w14:paraId="49A82CC8" w14:textId="77777777" w:rsidR="00EB5D49" w:rsidRPr="00017581" w:rsidRDefault="00EB5D49" w:rsidP="00EB5D49">
      <w:pPr>
        <w:numPr>
          <w:ilvl w:val="0"/>
          <w:numId w:val="11"/>
        </w:numPr>
        <w:spacing w:after="0" w:line="240" w:lineRule="auto"/>
        <w:jc w:val="both"/>
        <w:rPr>
          <w:rFonts w:ascii="Arial" w:hAnsi="Arial" w:cs="Arial"/>
          <w:color w:val="000000" w:themeColor="text1"/>
          <w:sz w:val="20"/>
          <w:szCs w:val="20"/>
        </w:rPr>
      </w:pPr>
      <w:r w:rsidRPr="00017581">
        <w:rPr>
          <w:rFonts w:ascii="Arial" w:hAnsi="Arial" w:cs="Arial"/>
          <w:color w:val="000000" w:themeColor="text1"/>
          <w:sz w:val="20"/>
          <w:szCs w:val="20"/>
        </w:rPr>
        <w:t>Spiteri, A., &amp; Nepal, S. K. (2008). Distributing conservation incentives in buffer zones. </w:t>
      </w:r>
      <w:r w:rsidRPr="00017581">
        <w:rPr>
          <w:rFonts w:ascii="Arial" w:hAnsi="Arial" w:cs="Arial"/>
          <w:i/>
          <w:iCs/>
          <w:color w:val="000000" w:themeColor="text1"/>
          <w:sz w:val="20"/>
          <w:szCs w:val="20"/>
        </w:rPr>
        <w:t>Environmental Conservation</w:t>
      </w:r>
      <w:r w:rsidRPr="00017581">
        <w:rPr>
          <w:rFonts w:ascii="Arial" w:hAnsi="Arial" w:cs="Arial"/>
          <w:color w:val="000000" w:themeColor="text1"/>
          <w:sz w:val="20"/>
          <w:szCs w:val="20"/>
        </w:rPr>
        <w:t>, 35(1):76-86.</w:t>
      </w:r>
    </w:p>
    <w:p w14:paraId="6320EAEE" w14:textId="2D29403D" w:rsidR="00EB5D49" w:rsidRPr="006B60E3" w:rsidRDefault="006B60E3" w:rsidP="00F30A61">
      <w:pPr>
        <w:pStyle w:val="ListParagraph"/>
        <w:numPr>
          <w:ilvl w:val="0"/>
          <w:numId w:val="11"/>
        </w:numPr>
        <w:spacing w:after="0"/>
        <w:rPr>
          <w:rFonts w:ascii="Arial" w:hAnsi="Arial" w:cs="Arial"/>
          <w:color w:val="000000" w:themeColor="text1"/>
          <w:sz w:val="20"/>
          <w:szCs w:val="20"/>
        </w:rPr>
      </w:pPr>
      <w:r w:rsidRPr="006B60E3">
        <w:rPr>
          <w:rFonts w:ascii="Arial" w:hAnsi="Arial" w:cs="Arial"/>
          <w:color w:val="000000" w:themeColor="text1"/>
          <w:sz w:val="20"/>
          <w:szCs w:val="20"/>
        </w:rPr>
        <w:t xml:space="preserve">Treves, A., Naughton-Treves, L., Harper, E. K., et al. </w:t>
      </w:r>
      <w:r w:rsidR="00EB5D49" w:rsidRPr="006B60E3">
        <w:rPr>
          <w:rFonts w:ascii="Arial" w:hAnsi="Arial" w:cs="Arial"/>
          <w:color w:val="000000" w:themeColor="text1"/>
          <w:sz w:val="20"/>
          <w:szCs w:val="20"/>
        </w:rPr>
        <w:t>(2004).</w:t>
      </w:r>
      <w:r w:rsidR="009C64FF" w:rsidRPr="009C64FF">
        <w:t xml:space="preserve"> </w:t>
      </w:r>
      <w:r w:rsidR="009C64FF" w:rsidRPr="006B60E3">
        <w:rPr>
          <w:rFonts w:ascii="Arial" w:hAnsi="Arial" w:cs="Arial"/>
          <w:color w:val="000000" w:themeColor="text1"/>
          <w:sz w:val="20"/>
          <w:szCs w:val="20"/>
        </w:rPr>
        <w:t>Predicting Human-Carnivore Conflict: A Spatial Model Derived from 25 Years of Data on Wolf Predation on Livestock</w:t>
      </w:r>
      <w:r w:rsidR="00EB5D49" w:rsidRPr="006B60E3">
        <w:rPr>
          <w:rFonts w:ascii="Arial" w:hAnsi="Arial" w:cs="Arial"/>
          <w:color w:val="000000" w:themeColor="text1"/>
          <w:sz w:val="20"/>
          <w:szCs w:val="20"/>
        </w:rPr>
        <w:t>. </w:t>
      </w:r>
      <w:r w:rsidRPr="006B60E3">
        <w:rPr>
          <w:rFonts w:ascii="Arial" w:hAnsi="Arial" w:cs="Arial"/>
          <w:color w:val="000000" w:themeColor="text1"/>
          <w:sz w:val="20"/>
          <w:szCs w:val="20"/>
        </w:rPr>
        <w:t>Conservation Biology 18(1)</w:t>
      </w:r>
      <w:r w:rsidR="00EB5D49" w:rsidRPr="006B60E3">
        <w:rPr>
          <w:rFonts w:ascii="Arial" w:hAnsi="Arial" w:cs="Arial"/>
          <w:color w:val="000000" w:themeColor="text1"/>
          <w:sz w:val="20"/>
          <w:szCs w:val="20"/>
        </w:rPr>
        <w:t>:1</w:t>
      </w:r>
      <w:r>
        <w:rPr>
          <w:rFonts w:ascii="Arial" w:hAnsi="Arial" w:cs="Arial"/>
          <w:color w:val="000000" w:themeColor="text1"/>
          <w:sz w:val="20"/>
          <w:szCs w:val="20"/>
        </w:rPr>
        <w:t xml:space="preserve">14 </w:t>
      </w:r>
      <w:r w:rsidR="00EB5D49" w:rsidRPr="006B60E3">
        <w:rPr>
          <w:rFonts w:ascii="Arial" w:hAnsi="Arial" w:cs="Arial"/>
          <w:color w:val="000000" w:themeColor="text1"/>
          <w:sz w:val="20"/>
          <w:szCs w:val="20"/>
        </w:rPr>
        <w:t>-12</w:t>
      </w:r>
      <w:r>
        <w:rPr>
          <w:rFonts w:ascii="Arial" w:hAnsi="Arial" w:cs="Arial"/>
          <w:color w:val="000000" w:themeColor="text1"/>
          <w:sz w:val="20"/>
          <w:szCs w:val="20"/>
        </w:rPr>
        <w:t>5</w:t>
      </w:r>
      <w:r w:rsidR="00EB5D49" w:rsidRPr="006B60E3">
        <w:rPr>
          <w:rFonts w:ascii="Arial" w:hAnsi="Arial" w:cs="Arial"/>
          <w:color w:val="000000" w:themeColor="text1"/>
          <w:sz w:val="20"/>
          <w:szCs w:val="20"/>
        </w:rPr>
        <w:t>.</w:t>
      </w:r>
    </w:p>
    <w:p w14:paraId="4B8A11ED" w14:textId="303714E1" w:rsidR="0056196D" w:rsidRDefault="00F30A61" w:rsidP="00F30A61">
      <w:pPr>
        <w:numPr>
          <w:ilvl w:val="0"/>
          <w:numId w:val="11"/>
        </w:numPr>
        <w:spacing w:after="0" w:line="240" w:lineRule="auto"/>
        <w:jc w:val="both"/>
        <w:rPr>
          <w:rFonts w:ascii="Arial" w:hAnsi="Arial" w:cs="Arial"/>
          <w:color w:val="000000" w:themeColor="text1"/>
          <w:sz w:val="20"/>
          <w:szCs w:val="20"/>
        </w:rPr>
      </w:pPr>
      <w:r w:rsidRPr="00F30A61">
        <w:rPr>
          <w:rFonts w:ascii="Arial" w:hAnsi="Arial" w:cs="Arial"/>
          <w:color w:val="000000" w:themeColor="text1"/>
          <w:sz w:val="20"/>
          <w:szCs w:val="20"/>
        </w:rPr>
        <w:t xml:space="preserve">Yuan, M. (2008). Temporal GIS and Applications. In: Shekhar, S., </w:t>
      </w:r>
      <w:proofErr w:type="spellStart"/>
      <w:r w:rsidRPr="00F30A61">
        <w:rPr>
          <w:rFonts w:ascii="Arial" w:hAnsi="Arial" w:cs="Arial"/>
          <w:color w:val="000000" w:themeColor="text1"/>
          <w:sz w:val="20"/>
          <w:szCs w:val="20"/>
        </w:rPr>
        <w:t>Xiong</w:t>
      </w:r>
      <w:proofErr w:type="spellEnd"/>
      <w:r w:rsidRPr="00F30A61">
        <w:rPr>
          <w:rFonts w:ascii="Arial" w:hAnsi="Arial" w:cs="Arial"/>
          <w:color w:val="000000" w:themeColor="text1"/>
          <w:sz w:val="20"/>
          <w:szCs w:val="20"/>
        </w:rPr>
        <w:t xml:space="preserve">, H. (eds) </w:t>
      </w:r>
      <w:proofErr w:type="spellStart"/>
      <w:r w:rsidRPr="00F30A61">
        <w:rPr>
          <w:rFonts w:ascii="Arial" w:hAnsi="Arial" w:cs="Arial"/>
          <w:color w:val="000000" w:themeColor="text1"/>
          <w:sz w:val="20"/>
          <w:szCs w:val="20"/>
        </w:rPr>
        <w:t>Encyclopedia</w:t>
      </w:r>
      <w:proofErr w:type="spellEnd"/>
      <w:r w:rsidRPr="00F30A61">
        <w:rPr>
          <w:rFonts w:ascii="Arial" w:hAnsi="Arial" w:cs="Arial"/>
          <w:color w:val="000000" w:themeColor="text1"/>
          <w:sz w:val="20"/>
          <w:szCs w:val="20"/>
        </w:rPr>
        <w:t xml:space="preserve"> of GIS. Springer, Boston, MA. </w:t>
      </w:r>
    </w:p>
    <w:p w14:paraId="5C00DACD" w14:textId="77777777" w:rsidR="00797C15" w:rsidRDefault="00797C15" w:rsidP="00797C15">
      <w:pPr>
        <w:numPr>
          <w:ilvl w:val="0"/>
          <w:numId w:val="11"/>
        </w:numPr>
        <w:spacing w:after="0" w:line="240" w:lineRule="auto"/>
        <w:jc w:val="both"/>
        <w:rPr>
          <w:rFonts w:ascii="Arial" w:hAnsi="Arial" w:cs="Arial"/>
          <w:sz w:val="22"/>
          <w:szCs w:val="22"/>
          <w:highlight w:val="yellow"/>
        </w:rPr>
      </w:pPr>
      <w:r w:rsidRPr="007A1E88">
        <w:rPr>
          <w:rFonts w:ascii="Arial" w:hAnsi="Arial" w:cs="Arial"/>
          <w:sz w:val="22"/>
          <w:szCs w:val="22"/>
          <w:highlight w:val="yellow"/>
        </w:rPr>
        <w:t>Sharma, P., Chettri, N., &amp; Wangchuk, K. (2021). Human–wildlife conflict in the roof of the world: Understanding multidimensional perspectives through a systematic review. </w:t>
      </w:r>
      <w:r w:rsidRPr="007A1E88">
        <w:rPr>
          <w:rFonts w:ascii="Arial" w:hAnsi="Arial" w:cs="Arial"/>
          <w:i/>
          <w:iCs/>
          <w:sz w:val="22"/>
          <w:szCs w:val="22"/>
          <w:highlight w:val="yellow"/>
        </w:rPr>
        <w:t>Ecology and evolution</w:t>
      </w:r>
      <w:r w:rsidRPr="007A1E88">
        <w:rPr>
          <w:rFonts w:ascii="Arial" w:hAnsi="Arial" w:cs="Arial"/>
          <w:sz w:val="22"/>
          <w:szCs w:val="22"/>
          <w:highlight w:val="yellow"/>
        </w:rPr>
        <w:t>, </w:t>
      </w:r>
      <w:r w:rsidRPr="007A1E88">
        <w:rPr>
          <w:rFonts w:ascii="Arial" w:hAnsi="Arial" w:cs="Arial"/>
          <w:i/>
          <w:iCs/>
          <w:sz w:val="22"/>
          <w:szCs w:val="22"/>
          <w:highlight w:val="yellow"/>
        </w:rPr>
        <w:t>11</w:t>
      </w:r>
      <w:r w:rsidRPr="007A1E88">
        <w:rPr>
          <w:rFonts w:ascii="Arial" w:hAnsi="Arial" w:cs="Arial"/>
          <w:sz w:val="22"/>
          <w:szCs w:val="22"/>
          <w:highlight w:val="yellow"/>
        </w:rPr>
        <w:t>(17), 11569-11586.</w:t>
      </w:r>
    </w:p>
    <w:p w14:paraId="27D6DC4A" w14:textId="77777777" w:rsidR="00797C15" w:rsidRDefault="00797C15" w:rsidP="00797C15">
      <w:pPr>
        <w:numPr>
          <w:ilvl w:val="0"/>
          <w:numId w:val="11"/>
        </w:numPr>
        <w:spacing w:after="0" w:line="240" w:lineRule="auto"/>
        <w:jc w:val="both"/>
        <w:rPr>
          <w:rFonts w:ascii="Arial" w:hAnsi="Arial" w:cs="Arial"/>
          <w:sz w:val="22"/>
          <w:szCs w:val="22"/>
          <w:highlight w:val="yellow"/>
        </w:rPr>
      </w:pPr>
      <w:r w:rsidRPr="00A7073D">
        <w:rPr>
          <w:rFonts w:ascii="Arial" w:hAnsi="Arial" w:cs="Arial"/>
          <w:sz w:val="22"/>
          <w:szCs w:val="22"/>
          <w:highlight w:val="yellow"/>
        </w:rPr>
        <w:t xml:space="preserve">Pathak, S., Mukherjee, J., Sen, A., &amp; </w:t>
      </w:r>
      <w:proofErr w:type="spellStart"/>
      <w:r w:rsidRPr="00A7073D">
        <w:rPr>
          <w:rFonts w:ascii="Arial" w:hAnsi="Arial" w:cs="Arial"/>
          <w:sz w:val="22"/>
          <w:szCs w:val="22"/>
          <w:highlight w:val="yellow"/>
        </w:rPr>
        <w:t>Choudry</w:t>
      </w:r>
      <w:proofErr w:type="spellEnd"/>
      <w:r w:rsidRPr="00A7073D">
        <w:rPr>
          <w:rFonts w:ascii="Arial" w:hAnsi="Arial" w:cs="Arial"/>
          <w:sz w:val="22"/>
          <w:szCs w:val="22"/>
          <w:highlight w:val="yellow"/>
        </w:rPr>
        <w:t xml:space="preserve">, A. (2025). Whose habitat? Exploring human-tiger conflict in the </w:t>
      </w:r>
      <w:proofErr w:type="spellStart"/>
      <w:r w:rsidRPr="00A7073D">
        <w:rPr>
          <w:rFonts w:ascii="Arial" w:hAnsi="Arial" w:cs="Arial"/>
          <w:sz w:val="22"/>
          <w:szCs w:val="22"/>
          <w:highlight w:val="yellow"/>
        </w:rPr>
        <w:t>riskscapes</w:t>
      </w:r>
      <w:proofErr w:type="spellEnd"/>
      <w:r w:rsidRPr="00A7073D">
        <w:rPr>
          <w:rFonts w:ascii="Arial" w:hAnsi="Arial" w:cs="Arial"/>
          <w:sz w:val="22"/>
          <w:szCs w:val="22"/>
          <w:highlight w:val="yellow"/>
        </w:rPr>
        <w:t xml:space="preserve"> of the Indian Sundarbans. </w:t>
      </w:r>
      <w:r w:rsidRPr="00A7073D">
        <w:rPr>
          <w:rFonts w:ascii="Arial" w:hAnsi="Arial" w:cs="Arial"/>
          <w:i/>
          <w:iCs/>
          <w:sz w:val="22"/>
          <w:szCs w:val="22"/>
          <w:highlight w:val="yellow"/>
        </w:rPr>
        <w:t>Journal of Political Ecology</w:t>
      </w:r>
      <w:r w:rsidRPr="00A7073D">
        <w:rPr>
          <w:rFonts w:ascii="Arial" w:hAnsi="Arial" w:cs="Arial"/>
          <w:sz w:val="22"/>
          <w:szCs w:val="22"/>
          <w:highlight w:val="yellow"/>
        </w:rPr>
        <w:t>, </w:t>
      </w:r>
      <w:r w:rsidRPr="00A7073D">
        <w:rPr>
          <w:rFonts w:ascii="Arial" w:hAnsi="Arial" w:cs="Arial"/>
          <w:i/>
          <w:iCs/>
          <w:sz w:val="22"/>
          <w:szCs w:val="22"/>
          <w:highlight w:val="yellow"/>
        </w:rPr>
        <w:t>32</w:t>
      </w:r>
      <w:r w:rsidRPr="00A7073D">
        <w:rPr>
          <w:rFonts w:ascii="Arial" w:hAnsi="Arial" w:cs="Arial"/>
          <w:sz w:val="22"/>
          <w:szCs w:val="22"/>
          <w:highlight w:val="yellow"/>
        </w:rPr>
        <w:t>(1).</w:t>
      </w:r>
    </w:p>
    <w:p w14:paraId="78CDD959" w14:textId="77777777" w:rsidR="00797C15" w:rsidRPr="007A1E88" w:rsidRDefault="00797C15" w:rsidP="00797C15">
      <w:pPr>
        <w:numPr>
          <w:ilvl w:val="0"/>
          <w:numId w:val="11"/>
        </w:numPr>
        <w:spacing w:after="0" w:line="240" w:lineRule="auto"/>
        <w:jc w:val="both"/>
        <w:rPr>
          <w:rFonts w:ascii="Arial" w:hAnsi="Arial" w:cs="Arial"/>
          <w:sz w:val="22"/>
          <w:szCs w:val="22"/>
          <w:highlight w:val="yellow"/>
        </w:rPr>
      </w:pPr>
      <w:r w:rsidRPr="000246BE">
        <w:rPr>
          <w:rFonts w:ascii="Arial" w:hAnsi="Arial" w:cs="Arial"/>
          <w:sz w:val="22"/>
          <w:szCs w:val="22"/>
          <w:highlight w:val="yellow"/>
        </w:rPr>
        <w:t xml:space="preserve">Dhar, S. B., &amp; Mondal, S. (2023). Nature of human–tiger conflict in Indian </w:t>
      </w:r>
      <w:proofErr w:type="spellStart"/>
      <w:r w:rsidRPr="000246BE">
        <w:rPr>
          <w:rFonts w:ascii="Arial" w:hAnsi="Arial" w:cs="Arial"/>
          <w:sz w:val="22"/>
          <w:szCs w:val="22"/>
          <w:highlight w:val="yellow"/>
        </w:rPr>
        <w:t>Sundarban</w:t>
      </w:r>
      <w:proofErr w:type="spellEnd"/>
      <w:r w:rsidRPr="000246BE">
        <w:rPr>
          <w:rFonts w:ascii="Arial" w:hAnsi="Arial" w:cs="Arial"/>
          <w:sz w:val="22"/>
          <w:szCs w:val="22"/>
          <w:highlight w:val="yellow"/>
        </w:rPr>
        <w:t>. </w:t>
      </w:r>
      <w:r w:rsidRPr="000246BE">
        <w:rPr>
          <w:rFonts w:ascii="Arial" w:hAnsi="Arial" w:cs="Arial"/>
          <w:i/>
          <w:iCs/>
          <w:sz w:val="22"/>
          <w:szCs w:val="22"/>
          <w:highlight w:val="yellow"/>
        </w:rPr>
        <w:t>Trees, Forests and People</w:t>
      </w:r>
      <w:r w:rsidRPr="000246BE">
        <w:rPr>
          <w:rFonts w:ascii="Arial" w:hAnsi="Arial" w:cs="Arial"/>
          <w:sz w:val="22"/>
          <w:szCs w:val="22"/>
          <w:highlight w:val="yellow"/>
        </w:rPr>
        <w:t>, </w:t>
      </w:r>
      <w:r w:rsidRPr="000246BE">
        <w:rPr>
          <w:rFonts w:ascii="Arial" w:hAnsi="Arial" w:cs="Arial"/>
          <w:i/>
          <w:iCs/>
          <w:sz w:val="22"/>
          <w:szCs w:val="22"/>
          <w:highlight w:val="yellow"/>
        </w:rPr>
        <w:t>12</w:t>
      </w:r>
      <w:r w:rsidRPr="000246BE">
        <w:rPr>
          <w:rFonts w:ascii="Arial" w:hAnsi="Arial" w:cs="Arial"/>
          <w:sz w:val="22"/>
          <w:szCs w:val="22"/>
          <w:highlight w:val="yellow"/>
        </w:rPr>
        <w:t>, 100401.</w:t>
      </w:r>
    </w:p>
    <w:p w14:paraId="4C28D08F" w14:textId="77777777" w:rsidR="00797C15" w:rsidRPr="00F30A61" w:rsidRDefault="00797C15" w:rsidP="00797C15">
      <w:pPr>
        <w:spacing w:after="0" w:line="240" w:lineRule="auto"/>
        <w:ind w:left="720"/>
        <w:jc w:val="both"/>
        <w:rPr>
          <w:rFonts w:ascii="Arial" w:hAnsi="Arial" w:cs="Arial"/>
          <w:color w:val="000000" w:themeColor="text1"/>
          <w:sz w:val="20"/>
          <w:szCs w:val="20"/>
        </w:rPr>
      </w:pPr>
      <w:bookmarkStart w:id="0" w:name="_GoBack"/>
      <w:bookmarkEnd w:id="0"/>
    </w:p>
    <w:sectPr w:rsidR="00797C15" w:rsidRPr="00F30A61" w:rsidSect="004A5790">
      <w:footerReference w:type="default" r:id="rId2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62DDB" w14:textId="77777777" w:rsidR="00EB403B" w:rsidRDefault="00EB403B" w:rsidP="004A5790">
      <w:pPr>
        <w:spacing w:after="0" w:line="240" w:lineRule="auto"/>
      </w:pPr>
      <w:r>
        <w:separator/>
      </w:r>
    </w:p>
  </w:endnote>
  <w:endnote w:type="continuationSeparator" w:id="0">
    <w:p w14:paraId="7CC8833B" w14:textId="77777777" w:rsidR="00EB403B" w:rsidRDefault="00EB403B" w:rsidP="004A5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rig_calib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96AD1" w14:textId="200AF0BC" w:rsidR="004A5790" w:rsidRDefault="004A5790">
    <w:pPr>
      <w:pStyle w:val="Footer"/>
    </w:pPr>
  </w:p>
  <w:p w14:paraId="27D867B6" w14:textId="77777777" w:rsidR="004A5790" w:rsidRDefault="004A5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F701C" w14:textId="77777777" w:rsidR="00EB403B" w:rsidRDefault="00EB403B" w:rsidP="004A5790">
      <w:pPr>
        <w:spacing w:after="0" w:line="240" w:lineRule="auto"/>
      </w:pPr>
      <w:r>
        <w:separator/>
      </w:r>
    </w:p>
  </w:footnote>
  <w:footnote w:type="continuationSeparator" w:id="0">
    <w:p w14:paraId="0FEEC7B6" w14:textId="77777777" w:rsidR="00EB403B" w:rsidRDefault="00EB403B" w:rsidP="004A5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6DB4"/>
    <w:multiLevelType w:val="multilevel"/>
    <w:tmpl w:val="7F824290"/>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ED5DFB"/>
    <w:multiLevelType w:val="multilevel"/>
    <w:tmpl w:val="50CA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92FF3"/>
    <w:multiLevelType w:val="multilevel"/>
    <w:tmpl w:val="7626F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40C51"/>
    <w:multiLevelType w:val="multilevel"/>
    <w:tmpl w:val="877E6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AB28E7"/>
    <w:multiLevelType w:val="multilevel"/>
    <w:tmpl w:val="DAAA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347E9E"/>
    <w:multiLevelType w:val="multilevel"/>
    <w:tmpl w:val="B44A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056B2B"/>
    <w:multiLevelType w:val="multilevel"/>
    <w:tmpl w:val="48B8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465B4D"/>
    <w:multiLevelType w:val="multilevel"/>
    <w:tmpl w:val="C1A8E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7173AA"/>
    <w:multiLevelType w:val="multilevel"/>
    <w:tmpl w:val="2CECE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470226"/>
    <w:multiLevelType w:val="multilevel"/>
    <w:tmpl w:val="3EF6C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E64445"/>
    <w:multiLevelType w:val="multilevel"/>
    <w:tmpl w:val="999E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4"/>
  </w:num>
  <w:num w:numId="4">
    <w:abstractNumId w:val="9"/>
  </w:num>
  <w:num w:numId="5">
    <w:abstractNumId w:val="2"/>
  </w:num>
  <w:num w:numId="6">
    <w:abstractNumId w:val="3"/>
  </w:num>
  <w:num w:numId="7">
    <w:abstractNumId w:val="1"/>
  </w:num>
  <w:num w:numId="8">
    <w:abstractNumId w:val="5"/>
  </w:num>
  <w:num w:numId="9">
    <w:abstractNumId w:val="8"/>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7EA"/>
    <w:rsid w:val="00004716"/>
    <w:rsid w:val="00012D73"/>
    <w:rsid w:val="00017581"/>
    <w:rsid w:val="0004318E"/>
    <w:rsid w:val="00060A7E"/>
    <w:rsid w:val="00070039"/>
    <w:rsid w:val="00071D0F"/>
    <w:rsid w:val="000958FE"/>
    <w:rsid w:val="000A2D41"/>
    <w:rsid w:val="000B2D7E"/>
    <w:rsid w:val="0012636E"/>
    <w:rsid w:val="00146F6C"/>
    <w:rsid w:val="001A5538"/>
    <w:rsid w:val="001B693F"/>
    <w:rsid w:val="001E36D6"/>
    <w:rsid w:val="001F6795"/>
    <w:rsid w:val="0020478F"/>
    <w:rsid w:val="00222754"/>
    <w:rsid w:val="002405F1"/>
    <w:rsid w:val="00297F2E"/>
    <w:rsid w:val="002A0E1E"/>
    <w:rsid w:val="002A1231"/>
    <w:rsid w:val="002A5E90"/>
    <w:rsid w:val="002C41A8"/>
    <w:rsid w:val="002D3E4E"/>
    <w:rsid w:val="002F56B3"/>
    <w:rsid w:val="003262BE"/>
    <w:rsid w:val="00350334"/>
    <w:rsid w:val="003A6891"/>
    <w:rsid w:val="003C70BA"/>
    <w:rsid w:val="003D5AE4"/>
    <w:rsid w:val="003F1381"/>
    <w:rsid w:val="003F39CA"/>
    <w:rsid w:val="0044504E"/>
    <w:rsid w:val="00455788"/>
    <w:rsid w:val="004933FF"/>
    <w:rsid w:val="004A5790"/>
    <w:rsid w:val="004C0229"/>
    <w:rsid w:val="004C11CE"/>
    <w:rsid w:val="004C42DB"/>
    <w:rsid w:val="004E57EA"/>
    <w:rsid w:val="005033EE"/>
    <w:rsid w:val="0056196D"/>
    <w:rsid w:val="00573FFA"/>
    <w:rsid w:val="005832C7"/>
    <w:rsid w:val="005D034E"/>
    <w:rsid w:val="005F69A7"/>
    <w:rsid w:val="00615D3A"/>
    <w:rsid w:val="00687F05"/>
    <w:rsid w:val="006B60E3"/>
    <w:rsid w:val="006D1450"/>
    <w:rsid w:val="007406D0"/>
    <w:rsid w:val="00772AD5"/>
    <w:rsid w:val="007918EB"/>
    <w:rsid w:val="00797C15"/>
    <w:rsid w:val="007D21D8"/>
    <w:rsid w:val="007D416C"/>
    <w:rsid w:val="007F1938"/>
    <w:rsid w:val="007F7F19"/>
    <w:rsid w:val="00812BA6"/>
    <w:rsid w:val="00812F50"/>
    <w:rsid w:val="008135A2"/>
    <w:rsid w:val="008175E8"/>
    <w:rsid w:val="00821C84"/>
    <w:rsid w:val="00832ACA"/>
    <w:rsid w:val="00842996"/>
    <w:rsid w:val="00845587"/>
    <w:rsid w:val="00896C19"/>
    <w:rsid w:val="008B28DB"/>
    <w:rsid w:val="008D04D3"/>
    <w:rsid w:val="008F62E3"/>
    <w:rsid w:val="009A3678"/>
    <w:rsid w:val="009C1470"/>
    <w:rsid w:val="009C64FF"/>
    <w:rsid w:val="009C6A0A"/>
    <w:rsid w:val="00A315B8"/>
    <w:rsid w:val="00A57EDC"/>
    <w:rsid w:val="00AB107A"/>
    <w:rsid w:val="00AC78C8"/>
    <w:rsid w:val="00B20243"/>
    <w:rsid w:val="00B2613D"/>
    <w:rsid w:val="00B26486"/>
    <w:rsid w:val="00B31FC6"/>
    <w:rsid w:val="00B446FF"/>
    <w:rsid w:val="00B66557"/>
    <w:rsid w:val="00B761B1"/>
    <w:rsid w:val="00B8007A"/>
    <w:rsid w:val="00B84E7B"/>
    <w:rsid w:val="00BD09F2"/>
    <w:rsid w:val="00C03B83"/>
    <w:rsid w:val="00C0546C"/>
    <w:rsid w:val="00C071AF"/>
    <w:rsid w:val="00C165FD"/>
    <w:rsid w:val="00C44AF2"/>
    <w:rsid w:val="00C964AD"/>
    <w:rsid w:val="00CB6326"/>
    <w:rsid w:val="00CE7E16"/>
    <w:rsid w:val="00CF1302"/>
    <w:rsid w:val="00D33387"/>
    <w:rsid w:val="00D41374"/>
    <w:rsid w:val="00D432C7"/>
    <w:rsid w:val="00D47271"/>
    <w:rsid w:val="00D63602"/>
    <w:rsid w:val="00D7338C"/>
    <w:rsid w:val="00D94C55"/>
    <w:rsid w:val="00DB15C6"/>
    <w:rsid w:val="00DB39A2"/>
    <w:rsid w:val="00DD21DC"/>
    <w:rsid w:val="00DD7373"/>
    <w:rsid w:val="00DE1985"/>
    <w:rsid w:val="00E14AF0"/>
    <w:rsid w:val="00E358B9"/>
    <w:rsid w:val="00E55C2C"/>
    <w:rsid w:val="00E72252"/>
    <w:rsid w:val="00E7597F"/>
    <w:rsid w:val="00EB403B"/>
    <w:rsid w:val="00EB5D49"/>
    <w:rsid w:val="00EC068E"/>
    <w:rsid w:val="00EE40C9"/>
    <w:rsid w:val="00F30A61"/>
    <w:rsid w:val="00F956C9"/>
    <w:rsid w:val="00FB7646"/>
    <w:rsid w:val="00FF39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AC266F"/>
  <w15:chartTrackingRefBased/>
  <w15:docId w15:val="{7AAA6C2F-AC79-4FB6-AE8E-4694C9DF3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57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57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57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57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57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57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57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57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57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57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57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57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57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57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57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57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57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57EA"/>
    <w:rPr>
      <w:rFonts w:eastAsiaTheme="majorEastAsia" w:cstheme="majorBidi"/>
      <w:color w:val="272727" w:themeColor="text1" w:themeTint="D8"/>
    </w:rPr>
  </w:style>
  <w:style w:type="paragraph" w:styleId="Title">
    <w:name w:val="Title"/>
    <w:basedOn w:val="Normal"/>
    <w:next w:val="Normal"/>
    <w:link w:val="TitleChar"/>
    <w:uiPriority w:val="10"/>
    <w:qFormat/>
    <w:rsid w:val="004E57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57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57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57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57EA"/>
    <w:pPr>
      <w:spacing w:before="160"/>
      <w:jc w:val="center"/>
    </w:pPr>
    <w:rPr>
      <w:i/>
      <w:iCs/>
      <w:color w:val="404040" w:themeColor="text1" w:themeTint="BF"/>
    </w:rPr>
  </w:style>
  <w:style w:type="character" w:customStyle="1" w:styleId="QuoteChar">
    <w:name w:val="Quote Char"/>
    <w:basedOn w:val="DefaultParagraphFont"/>
    <w:link w:val="Quote"/>
    <w:uiPriority w:val="29"/>
    <w:rsid w:val="004E57EA"/>
    <w:rPr>
      <w:i/>
      <w:iCs/>
      <w:color w:val="404040" w:themeColor="text1" w:themeTint="BF"/>
    </w:rPr>
  </w:style>
  <w:style w:type="paragraph" w:styleId="ListParagraph">
    <w:name w:val="List Paragraph"/>
    <w:basedOn w:val="Normal"/>
    <w:uiPriority w:val="34"/>
    <w:qFormat/>
    <w:rsid w:val="004E57EA"/>
    <w:pPr>
      <w:ind w:left="720"/>
      <w:contextualSpacing/>
    </w:pPr>
  </w:style>
  <w:style w:type="character" w:styleId="IntenseEmphasis">
    <w:name w:val="Intense Emphasis"/>
    <w:basedOn w:val="DefaultParagraphFont"/>
    <w:uiPriority w:val="21"/>
    <w:qFormat/>
    <w:rsid w:val="004E57EA"/>
    <w:rPr>
      <w:i/>
      <w:iCs/>
      <w:color w:val="0F4761" w:themeColor="accent1" w:themeShade="BF"/>
    </w:rPr>
  </w:style>
  <w:style w:type="paragraph" w:styleId="IntenseQuote">
    <w:name w:val="Intense Quote"/>
    <w:basedOn w:val="Normal"/>
    <w:next w:val="Normal"/>
    <w:link w:val="IntenseQuoteChar"/>
    <w:uiPriority w:val="30"/>
    <w:qFormat/>
    <w:rsid w:val="004E57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57EA"/>
    <w:rPr>
      <w:i/>
      <w:iCs/>
      <w:color w:val="0F4761" w:themeColor="accent1" w:themeShade="BF"/>
    </w:rPr>
  </w:style>
  <w:style w:type="character" w:styleId="IntenseReference">
    <w:name w:val="Intense Reference"/>
    <w:basedOn w:val="DefaultParagraphFont"/>
    <w:uiPriority w:val="32"/>
    <w:qFormat/>
    <w:rsid w:val="004E57EA"/>
    <w:rPr>
      <w:b/>
      <w:bCs/>
      <w:smallCaps/>
      <w:color w:val="0F4761" w:themeColor="accent1" w:themeShade="BF"/>
      <w:spacing w:val="5"/>
    </w:rPr>
  </w:style>
  <w:style w:type="paragraph" w:customStyle="1" w:styleId="AcknHead">
    <w:name w:val="Ackn Head"/>
    <w:basedOn w:val="Normal"/>
    <w:rsid w:val="00AC78C8"/>
    <w:pPr>
      <w:keepNext/>
      <w:spacing w:after="240" w:line="240" w:lineRule="auto"/>
    </w:pPr>
    <w:rPr>
      <w:rFonts w:ascii="Helvetica" w:eastAsia="Times New Roman" w:hAnsi="Helvetica" w:cs="Times New Roman"/>
      <w:b/>
      <w:caps/>
      <w:kern w:val="0"/>
      <w:sz w:val="22"/>
      <w:szCs w:val="20"/>
      <w:lang w:val="en-US"/>
      <w14:ligatures w14:val="none"/>
    </w:rPr>
  </w:style>
  <w:style w:type="paragraph" w:customStyle="1" w:styleId="ReferHead">
    <w:name w:val="Refer Head"/>
    <w:basedOn w:val="Normal"/>
    <w:rsid w:val="00AC78C8"/>
    <w:pPr>
      <w:keepNext/>
      <w:spacing w:after="240" w:line="240" w:lineRule="auto"/>
    </w:pPr>
    <w:rPr>
      <w:rFonts w:ascii="Helvetica" w:eastAsia="Times New Roman" w:hAnsi="Helvetica" w:cs="Times New Roman"/>
      <w:b/>
      <w:caps/>
      <w:kern w:val="0"/>
      <w:sz w:val="22"/>
      <w:szCs w:val="20"/>
      <w:lang w:val="en-US"/>
      <w14:ligatures w14:val="none"/>
    </w:rPr>
  </w:style>
  <w:style w:type="paragraph" w:styleId="Header">
    <w:name w:val="header"/>
    <w:basedOn w:val="Normal"/>
    <w:link w:val="HeaderChar"/>
    <w:uiPriority w:val="99"/>
    <w:unhideWhenUsed/>
    <w:rsid w:val="004A57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790"/>
  </w:style>
  <w:style w:type="paragraph" w:styleId="Footer">
    <w:name w:val="footer"/>
    <w:basedOn w:val="Normal"/>
    <w:link w:val="FooterChar"/>
    <w:uiPriority w:val="99"/>
    <w:unhideWhenUsed/>
    <w:rsid w:val="004A57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790"/>
  </w:style>
  <w:style w:type="character" w:styleId="LineNumber">
    <w:name w:val="line number"/>
    <w:basedOn w:val="DefaultParagraphFont"/>
    <w:uiPriority w:val="99"/>
    <w:semiHidden/>
    <w:unhideWhenUsed/>
    <w:rsid w:val="004A5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TotalTime>
  <Pages>14</Pages>
  <Words>5880</Words>
  <Characters>33522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Satish Kumar</dc:creator>
  <cp:keywords/>
  <dc:description/>
  <cp:lastModifiedBy>SDI 1183</cp:lastModifiedBy>
  <cp:revision>12</cp:revision>
  <dcterms:created xsi:type="dcterms:W3CDTF">2025-08-27T11:18:00Z</dcterms:created>
  <dcterms:modified xsi:type="dcterms:W3CDTF">2025-08-28T12:41:00Z</dcterms:modified>
</cp:coreProperties>
</file>