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A181" w14:textId="5F0AEE59" w:rsidR="008B7B11" w:rsidRPr="004D0AF4" w:rsidRDefault="0080797E" w:rsidP="008B7B11">
      <w:pPr>
        <w:jc w:val="center"/>
        <w:rPr>
          <w:rFonts w:ascii="Arial" w:hAnsi="Arial" w:cs="Arial"/>
          <w:b/>
        </w:rPr>
      </w:pPr>
      <w:r w:rsidRPr="004D0AF4">
        <w:rPr>
          <w:rFonts w:ascii="Arial" w:hAnsi="Arial" w:cs="Arial"/>
          <w:b/>
        </w:rPr>
        <w:t xml:space="preserve">Status </w:t>
      </w:r>
      <w:r w:rsidR="00AD5AA9" w:rsidRPr="004D0AF4">
        <w:rPr>
          <w:rFonts w:ascii="Arial" w:hAnsi="Arial" w:cs="Arial"/>
          <w:b/>
        </w:rPr>
        <w:t xml:space="preserve">of Tribal Education in </w:t>
      </w:r>
      <w:proofErr w:type="spellStart"/>
      <w:r w:rsidR="008B7B11" w:rsidRPr="004D0AF4">
        <w:rPr>
          <w:rFonts w:ascii="Arial" w:hAnsi="Arial" w:cs="Arial"/>
          <w:b/>
        </w:rPr>
        <w:t>Junnar</w:t>
      </w:r>
      <w:proofErr w:type="spellEnd"/>
      <w:r w:rsidR="008B7B11" w:rsidRPr="004D0AF4">
        <w:rPr>
          <w:rFonts w:ascii="Arial" w:hAnsi="Arial" w:cs="Arial"/>
          <w:b/>
        </w:rPr>
        <w:t xml:space="preserve"> </w:t>
      </w:r>
      <w:r w:rsidR="00AD5AA9" w:rsidRPr="004D0AF4">
        <w:rPr>
          <w:rFonts w:ascii="Arial" w:hAnsi="Arial" w:cs="Arial"/>
          <w:b/>
        </w:rPr>
        <w:t>Tehsil</w:t>
      </w:r>
      <w:r w:rsidR="001C01D1">
        <w:rPr>
          <w:rFonts w:ascii="Arial" w:hAnsi="Arial" w:cs="Arial"/>
          <w:b/>
        </w:rPr>
        <w:t>,</w:t>
      </w:r>
      <w:r w:rsidR="001C01D1" w:rsidRPr="001C01D1">
        <w:t xml:space="preserve"> </w:t>
      </w:r>
      <w:r w:rsidR="001C01D1" w:rsidRPr="001C01D1">
        <w:rPr>
          <w:rFonts w:ascii="Arial" w:hAnsi="Arial" w:cs="Arial"/>
          <w:b/>
        </w:rPr>
        <w:t>Maharashtra</w:t>
      </w:r>
      <w:r w:rsidR="001C01D1">
        <w:rPr>
          <w:rFonts w:ascii="Arial" w:hAnsi="Arial" w:cs="Arial"/>
          <w:b/>
        </w:rPr>
        <w:t>, India</w:t>
      </w:r>
      <w:r w:rsidR="00AD5AA9" w:rsidRPr="004D0AF4">
        <w:rPr>
          <w:rFonts w:ascii="Arial" w:hAnsi="Arial" w:cs="Arial"/>
          <w:b/>
        </w:rPr>
        <w:t>: An Overview of Welfare Schemes and Programs to Promote Tribal Education</w:t>
      </w:r>
    </w:p>
    <w:p w14:paraId="4C68B952" w14:textId="01BF1E35" w:rsidR="00D721C9" w:rsidRDefault="00D721C9" w:rsidP="00D721C9">
      <w:pPr>
        <w:pStyle w:val="NoSpacing"/>
        <w:pBdr>
          <w:bottom w:val="single" w:sz="12" w:space="1" w:color="auto"/>
        </w:pBdr>
        <w:rPr>
          <w:rFonts w:ascii="Times New Roman" w:hAnsi="Times New Roman" w:cs="Times New Roman"/>
          <w:b/>
        </w:rPr>
      </w:pPr>
    </w:p>
    <w:p w14:paraId="1BF681E4" w14:textId="77777777" w:rsidR="0013067D" w:rsidRPr="00910A8A" w:rsidRDefault="0013067D" w:rsidP="00D721C9">
      <w:pPr>
        <w:pStyle w:val="NoSpacing"/>
        <w:pBdr>
          <w:bottom w:val="single" w:sz="12" w:space="1" w:color="auto"/>
        </w:pBdr>
        <w:rPr>
          <w:rFonts w:ascii="Times New Roman" w:hAnsi="Times New Roman" w:cs="Times New Roman"/>
          <w:b/>
        </w:rPr>
      </w:pPr>
    </w:p>
    <w:p w14:paraId="6B036745" w14:textId="77777777" w:rsidR="00672B46" w:rsidRDefault="00672B46" w:rsidP="00672B46">
      <w:pPr>
        <w:pStyle w:val="NoSpacing"/>
        <w:jc w:val="center"/>
        <w:rPr>
          <w:b/>
          <w:sz w:val="18"/>
          <w:szCs w:val="18"/>
        </w:rPr>
      </w:pPr>
    </w:p>
    <w:p w14:paraId="7C9DB694" w14:textId="77777777" w:rsidR="00672B46" w:rsidRPr="00D721C9" w:rsidRDefault="00672B46" w:rsidP="00D721C9">
      <w:pPr>
        <w:spacing w:before="30" w:after="30" w:line="360" w:lineRule="auto"/>
        <w:rPr>
          <w:rFonts w:ascii="Times New Roman" w:hAnsi="Times New Roman" w:cs="Times New Roman"/>
          <w:b/>
          <w:sz w:val="24"/>
          <w:szCs w:val="24"/>
        </w:rPr>
      </w:pPr>
      <w:r w:rsidRPr="00D721C9">
        <w:rPr>
          <w:rFonts w:ascii="Times New Roman" w:hAnsi="Times New Roman" w:cs="Times New Roman"/>
          <w:b/>
          <w:sz w:val="24"/>
          <w:szCs w:val="24"/>
        </w:rPr>
        <w:t>ABSTRACT</w:t>
      </w:r>
    </w:p>
    <w:p w14:paraId="3C606B3F" w14:textId="578169FA" w:rsidR="000709EF" w:rsidRPr="000709EF" w:rsidRDefault="00DF4AFB" w:rsidP="000709EF">
      <w:pPr>
        <w:spacing w:line="360" w:lineRule="auto"/>
        <w:jc w:val="both"/>
        <w:rPr>
          <w:rFonts w:ascii="Arial" w:hAnsi="Arial" w:cs="Arial"/>
          <w:color w:val="000000" w:themeColor="text1"/>
        </w:rPr>
      </w:pPr>
      <w:r w:rsidRPr="002C4B0A">
        <w:rPr>
          <w:rFonts w:ascii="Arial" w:hAnsi="Arial" w:cs="Arial"/>
          <w:color w:val="000000" w:themeColor="text1"/>
        </w:rPr>
        <w:t xml:space="preserve">Tribal development policies' primary goal is to improve tribal peoples' quality of life in a sustainable way. </w:t>
      </w:r>
      <w:r w:rsidR="0059178D" w:rsidRPr="002C4B0A">
        <w:rPr>
          <w:rFonts w:ascii="Arial" w:hAnsi="Arial" w:cs="Arial"/>
          <w:color w:val="000000" w:themeColor="text1"/>
        </w:rPr>
        <w:t>However, t</w:t>
      </w:r>
      <w:r w:rsidR="00672B46" w:rsidRPr="002C4B0A">
        <w:rPr>
          <w:rFonts w:ascii="Arial" w:hAnsi="Arial" w:cs="Arial"/>
          <w:color w:val="000000" w:themeColor="text1"/>
        </w:rPr>
        <w:t xml:space="preserve">ribal </w:t>
      </w:r>
      <w:r w:rsidR="0059178D" w:rsidRPr="002C4B0A">
        <w:rPr>
          <w:rFonts w:ascii="Arial" w:hAnsi="Arial" w:cs="Arial"/>
          <w:color w:val="000000" w:themeColor="text1"/>
        </w:rPr>
        <w:t>communities</w:t>
      </w:r>
      <w:r w:rsidR="00672B46" w:rsidRPr="002C4B0A">
        <w:rPr>
          <w:rFonts w:ascii="Arial" w:hAnsi="Arial" w:cs="Arial"/>
          <w:color w:val="000000" w:themeColor="text1"/>
        </w:rPr>
        <w:t xml:space="preserve"> are marginalised, poor, and underprivileged in various ways. They have numerous challenges and issues, including financial, employment, and educational issues. Therefore, the government is trying its best to solve all these problems by implementing </w:t>
      </w:r>
      <w:r w:rsidR="00533B07">
        <w:rPr>
          <w:rFonts w:ascii="Arial" w:hAnsi="Arial" w:cs="Arial"/>
          <w:color w:val="000000" w:themeColor="text1"/>
        </w:rPr>
        <w:t>several policies and programs.</w:t>
      </w:r>
      <w:r w:rsidR="00672B46" w:rsidRPr="002C4B0A">
        <w:rPr>
          <w:rFonts w:ascii="Arial" w:hAnsi="Arial" w:cs="Arial"/>
          <w:color w:val="000000" w:themeColor="text1"/>
        </w:rPr>
        <w:t xml:space="preserve"> They can empower themselves and develop the strength and confidence to face challenges in their daily lives with the help of education. Even while our constitution has numerous measures aimed at uplifting tribal society, there are still many difficulties they must overcome. </w:t>
      </w:r>
      <w:r w:rsidR="0059178D" w:rsidRPr="002C4B0A">
        <w:rPr>
          <w:rFonts w:ascii="Arial" w:hAnsi="Arial" w:cs="Arial"/>
          <w:color w:val="000000" w:themeColor="text1"/>
        </w:rPr>
        <w:t>T</w:t>
      </w:r>
      <w:r w:rsidR="00672B46" w:rsidRPr="002C4B0A">
        <w:rPr>
          <w:rFonts w:ascii="Arial" w:hAnsi="Arial" w:cs="Arial"/>
          <w:color w:val="000000" w:themeColor="text1"/>
        </w:rPr>
        <w:t xml:space="preserve">he government has made special efforts by launching several </w:t>
      </w:r>
      <w:r w:rsidR="00BB1140" w:rsidRPr="002C4B0A">
        <w:rPr>
          <w:rFonts w:ascii="Arial" w:hAnsi="Arial" w:cs="Arial"/>
          <w:color w:val="000000" w:themeColor="text1"/>
        </w:rPr>
        <w:t>programs, policies, and schemes to improve educational standards; however, the literacy rate among the Scheduled Tribes has remained low, and they continue to face numerous</w:t>
      </w:r>
      <w:r w:rsidR="00672B46" w:rsidRPr="002C4B0A">
        <w:rPr>
          <w:rFonts w:ascii="Arial" w:hAnsi="Arial" w:cs="Arial"/>
          <w:color w:val="000000" w:themeColor="text1"/>
        </w:rPr>
        <w:t xml:space="preserve"> challenges.</w:t>
      </w:r>
      <w:r w:rsidRPr="002C4B0A">
        <w:rPr>
          <w:rFonts w:ascii="Arial" w:hAnsi="Arial" w:cs="Arial"/>
          <w:color w:val="000000" w:themeColor="text1"/>
        </w:rPr>
        <w:t xml:space="preserve"> </w:t>
      </w:r>
      <w:r w:rsidR="00533B07" w:rsidRPr="004D0AF4">
        <w:rPr>
          <w:rFonts w:ascii="Arial" w:hAnsi="Arial" w:cs="Arial"/>
          <w:color w:val="000000" w:themeColor="text1"/>
        </w:rPr>
        <w:t xml:space="preserve">For this study, </w:t>
      </w:r>
      <w:r w:rsidR="000709EF">
        <w:rPr>
          <w:rFonts w:ascii="Arial" w:hAnsi="Arial" w:cs="Arial"/>
          <w:color w:val="000000" w:themeColor="text1"/>
        </w:rPr>
        <w:t>primary and secondary</w:t>
      </w:r>
      <w:r w:rsidR="00533B07" w:rsidRPr="004D0AF4">
        <w:rPr>
          <w:rFonts w:ascii="Arial" w:hAnsi="Arial" w:cs="Arial"/>
          <w:color w:val="000000" w:themeColor="text1"/>
        </w:rPr>
        <w:t xml:space="preserve"> data were </w:t>
      </w:r>
      <w:r w:rsidR="00533B07">
        <w:rPr>
          <w:rFonts w:ascii="Arial" w:hAnsi="Arial" w:cs="Arial"/>
          <w:color w:val="000000" w:themeColor="text1"/>
        </w:rPr>
        <w:t>collected</w:t>
      </w:r>
      <w:r w:rsidR="00533B07" w:rsidRPr="004D0AF4">
        <w:rPr>
          <w:rFonts w:ascii="Arial" w:hAnsi="Arial" w:cs="Arial"/>
          <w:color w:val="000000" w:themeColor="text1"/>
        </w:rPr>
        <w:t xml:space="preserve"> </w:t>
      </w:r>
      <w:r w:rsidR="00533B07">
        <w:rPr>
          <w:rFonts w:ascii="Arial" w:hAnsi="Arial" w:cs="Arial"/>
          <w:color w:val="000000" w:themeColor="text1"/>
        </w:rPr>
        <w:t xml:space="preserve">from </w:t>
      </w:r>
      <w:r w:rsidR="00533B07" w:rsidRPr="004D0AF4">
        <w:rPr>
          <w:rFonts w:ascii="Arial" w:hAnsi="Arial" w:cs="Arial"/>
          <w:color w:val="000000" w:themeColor="text1"/>
        </w:rPr>
        <w:t>various sources, including government enrollment records, census reports, periodicals, journals, and magazines</w:t>
      </w:r>
      <w:r w:rsidR="00533B07">
        <w:rPr>
          <w:rFonts w:ascii="Arial" w:hAnsi="Arial" w:cs="Arial"/>
          <w:color w:val="000000" w:themeColor="text1"/>
        </w:rPr>
        <w:t xml:space="preserve">. </w:t>
      </w:r>
      <w:r w:rsidR="006F6A76" w:rsidRPr="006F6A76">
        <w:rPr>
          <w:rFonts w:ascii="Arial" w:hAnsi="Arial" w:cs="Arial"/>
          <w:color w:val="000000" w:themeColor="text1"/>
          <w:lang w:val="en-US"/>
        </w:rPr>
        <w:t xml:space="preserve">In Junnar tehsil, tribal students' educational </w:t>
      </w:r>
      <w:r w:rsidR="00854607">
        <w:rPr>
          <w:rFonts w:ascii="Arial" w:hAnsi="Arial" w:cs="Arial"/>
          <w:color w:val="000000" w:themeColor="text1"/>
          <w:lang w:val="en-US"/>
        </w:rPr>
        <w:t>progress</w:t>
      </w:r>
      <w:r w:rsidR="006F6A76" w:rsidRPr="006F6A76">
        <w:rPr>
          <w:rFonts w:ascii="Arial" w:hAnsi="Arial" w:cs="Arial"/>
          <w:color w:val="000000" w:themeColor="text1"/>
          <w:lang w:val="en-US"/>
        </w:rPr>
        <w:t xml:space="preserve"> is </w:t>
      </w:r>
      <w:r w:rsidR="00854607">
        <w:rPr>
          <w:rFonts w:ascii="Arial" w:hAnsi="Arial" w:cs="Arial"/>
          <w:color w:val="000000" w:themeColor="text1"/>
          <w:lang w:val="en-US"/>
        </w:rPr>
        <w:t>extremely lower than</w:t>
      </w:r>
      <w:r w:rsidR="006F6A76" w:rsidRPr="006F6A76">
        <w:rPr>
          <w:rFonts w:ascii="Arial" w:hAnsi="Arial" w:cs="Arial"/>
          <w:color w:val="000000" w:themeColor="text1"/>
          <w:lang w:val="en-US"/>
        </w:rPr>
        <w:t xml:space="preserve"> </w:t>
      </w:r>
      <w:r w:rsidR="00854607">
        <w:rPr>
          <w:rFonts w:ascii="Arial" w:hAnsi="Arial" w:cs="Arial"/>
          <w:color w:val="000000" w:themeColor="text1"/>
          <w:lang w:val="en-US"/>
        </w:rPr>
        <w:t xml:space="preserve">the </w:t>
      </w:r>
      <w:r w:rsidR="006F6A76" w:rsidRPr="006F6A76">
        <w:rPr>
          <w:rFonts w:ascii="Arial" w:hAnsi="Arial" w:cs="Arial"/>
          <w:color w:val="000000" w:themeColor="text1"/>
          <w:lang w:val="en-US"/>
        </w:rPr>
        <w:t xml:space="preserve">general community. </w:t>
      </w:r>
      <w:r w:rsidR="00533B07" w:rsidRPr="00A13DDF">
        <w:rPr>
          <w:rFonts w:ascii="Arial" w:hAnsi="Arial" w:cs="Arial"/>
          <w:color w:val="000000" w:themeColor="text1"/>
          <w:lang w:val="en-US"/>
        </w:rPr>
        <w:t>Tribes are not represented to the expected extent in higher education</w:t>
      </w:r>
      <w:r w:rsidR="00854607">
        <w:rPr>
          <w:rFonts w:ascii="Arial" w:hAnsi="Arial" w:cs="Arial"/>
          <w:color w:val="000000" w:themeColor="text1"/>
          <w:lang w:val="en-US"/>
        </w:rPr>
        <w:t>.</w:t>
      </w:r>
      <w:r w:rsidR="000709EF">
        <w:rPr>
          <w:rFonts w:ascii="Arial" w:hAnsi="Arial" w:cs="Arial"/>
          <w:color w:val="000000" w:themeColor="text1"/>
          <w:lang w:val="en-US"/>
        </w:rPr>
        <w:t xml:space="preserve"> Especially, the female population is still behind in literacy rate and overall educational improvements in rural areas of Junnar tehsil, as well as in Maharashtra state. the urban areas lead in gender equality and female literacy, but rural areas continue to face obstacles in spite of literacy improvement.</w:t>
      </w:r>
    </w:p>
    <w:p w14:paraId="0839DB27" w14:textId="77777777" w:rsidR="00533B07" w:rsidRDefault="00533B07" w:rsidP="006D52EC">
      <w:pPr>
        <w:spacing w:line="360" w:lineRule="auto"/>
        <w:jc w:val="both"/>
        <w:rPr>
          <w:rFonts w:ascii="Arial" w:hAnsi="Arial" w:cs="Arial"/>
          <w:color w:val="000000" w:themeColor="text1"/>
        </w:rPr>
      </w:pPr>
    </w:p>
    <w:p w14:paraId="3DB45F0D" w14:textId="65401699" w:rsidR="00672B46" w:rsidRPr="002C4B0A" w:rsidRDefault="0059178D" w:rsidP="006D52EC">
      <w:pPr>
        <w:spacing w:line="360" w:lineRule="auto"/>
        <w:jc w:val="both"/>
        <w:rPr>
          <w:rFonts w:ascii="Arial" w:hAnsi="Arial" w:cs="Arial"/>
          <w:i/>
          <w:iCs/>
          <w:color w:val="000000" w:themeColor="text1"/>
        </w:rPr>
      </w:pPr>
      <w:r w:rsidRPr="002C4B0A">
        <w:rPr>
          <w:rFonts w:ascii="Arial" w:hAnsi="Arial" w:cs="Arial"/>
          <w:b/>
          <w:i/>
          <w:iCs/>
          <w:color w:val="000000" w:themeColor="text1"/>
        </w:rPr>
        <w:t>Keywords</w:t>
      </w:r>
      <w:r w:rsidR="00672B46" w:rsidRPr="002C4B0A">
        <w:rPr>
          <w:rFonts w:ascii="Arial" w:hAnsi="Arial" w:cs="Arial"/>
          <w:b/>
          <w:i/>
          <w:iCs/>
          <w:color w:val="000000" w:themeColor="text1"/>
        </w:rPr>
        <w:t>:</w:t>
      </w:r>
      <w:r w:rsidR="00672B46" w:rsidRPr="002C4B0A">
        <w:rPr>
          <w:rFonts w:ascii="Arial" w:hAnsi="Arial" w:cs="Arial"/>
          <w:i/>
          <w:iCs/>
          <w:color w:val="000000" w:themeColor="text1"/>
        </w:rPr>
        <w:t xml:space="preserve"> Tribal community, Development, </w:t>
      </w:r>
      <w:r w:rsidRPr="002C4B0A">
        <w:rPr>
          <w:rFonts w:ascii="Arial" w:hAnsi="Arial" w:cs="Arial"/>
          <w:i/>
          <w:iCs/>
          <w:color w:val="000000" w:themeColor="text1"/>
        </w:rPr>
        <w:t>P</w:t>
      </w:r>
      <w:r w:rsidR="00672B46" w:rsidRPr="002C4B0A">
        <w:rPr>
          <w:rFonts w:ascii="Arial" w:hAnsi="Arial" w:cs="Arial"/>
          <w:i/>
          <w:iCs/>
          <w:color w:val="000000" w:themeColor="text1"/>
        </w:rPr>
        <w:t xml:space="preserve">olicies &amp; </w:t>
      </w:r>
      <w:r w:rsidRPr="002C4B0A">
        <w:rPr>
          <w:rFonts w:ascii="Arial" w:hAnsi="Arial" w:cs="Arial"/>
          <w:i/>
          <w:iCs/>
          <w:color w:val="000000" w:themeColor="text1"/>
        </w:rPr>
        <w:t>schemes</w:t>
      </w:r>
      <w:r w:rsidR="00672B46" w:rsidRPr="002C4B0A">
        <w:rPr>
          <w:rFonts w:ascii="Arial" w:hAnsi="Arial" w:cs="Arial"/>
          <w:i/>
          <w:iCs/>
          <w:color w:val="000000" w:themeColor="text1"/>
        </w:rPr>
        <w:t xml:space="preserve">, </w:t>
      </w:r>
      <w:r w:rsidRPr="002C4B0A">
        <w:rPr>
          <w:rFonts w:ascii="Arial" w:hAnsi="Arial" w:cs="Arial"/>
          <w:i/>
          <w:iCs/>
          <w:color w:val="000000" w:themeColor="text1"/>
        </w:rPr>
        <w:t>E</w:t>
      </w:r>
      <w:r w:rsidR="00672B46" w:rsidRPr="002C4B0A">
        <w:rPr>
          <w:rFonts w:ascii="Arial" w:hAnsi="Arial" w:cs="Arial"/>
          <w:i/>
          <w:iCs/>
          <w:color w:val="000000" w:themeColor="text1"/>
        </w:rPr>
        <w:t>ducation upliftment.</w:t>
      </w:r>
    </w:p>
    <w:p w14:paraId="4BAF5914" w14:textId="77777777" w:rsidR="00672B46" w:rsidRPr="0094770F" w:rsidRDefault="00672B46" w:rsidP="00672B46">
      <w:pPr>
        <w:pStyle w:val="Default"/>
        <w:spacing w:line="360" w:lineRule="auto"/>
        <w:jc w:val="both"/>
        <w:rPr>
          <w:color w:val="00B050"/>
        </w:rPr>
      </w:pPr>
    </w:p>
    <w:p w14:paraId="20F92890" w14:textId="77777777" w:rsidR="00672B46" w:rsidRPr="0094770F" w:rsidRDefault="00672B46" w:rsidP="00672B46">
      <w:pPr>
        <w:pStyle w:val="Default"/>
        <w:spacing w:line="360" w:lineRule="auto"/>
        <w:jc w:val="both"/>
        <w:rPr>
          <w:color w:val="00B050"/>
        </w:rPr>
      </w:pPr>
    </w:p>
    <w:p w14:paraId="1195DD0E" w14:textId="5AE1C8DE" w:rsidR="00672B46" w:rsidRDefault="00672B46" w:rsidP="00672B46">
      <w:pPr>
        <w:pStyle w:val="Default"/>
        <w:spacing w:line="360" w:lineRule="auto"/>
        <w:jc w:val="both"/>
        <w:rPr>
          <w:color w:val="00B050"/>
        </w:rPr>
      </w:pPr>
    </w:p>
    <w:p w14:paraId="22E3D09B" w14:textId="18C689A0" w:rsidR="0013067D" w:rsidRDefault="0013067D" w:rsidP="00672B46">
      <w:pPr>
        <w:pStyle w:val="Default"/>
        <w:spacing w:line="360" w:lineRule="auto"/>
        <w:jc w:val="both"/>
        <w:rPr>
          <w:color w:val="00B050"/>
        </w:rPr>
      </w:pPr>
    </w:p>
    <w:p w14:paraId="139A8543" w14:textId="29F70F6B" w:rsidR="0013067D" w:rsidRDefault="0013067D" w:rsidP="00672B46">
      <w:pPr>
        <w:pStyle w:val="Default"/>
        <w:spacing w:line="360" w:lineRule="auto"/>
        <w:jc w:val="both"/>
        <w:rPr>
          <w:color w:val="00B050"/>
        </w:rPr>
      </w:pPr>
    </w:p>
    <w:p w14:paraId="06173891" w14:textId="43E1CB19" w:rsidR="0013067D" w:rsidRDefault="0013067D" w:rsidP="00672B46">
      <w:pPr>
        <w:pStyle w:val="Default"/>
        <w:spacing w:line="360" w:lineRule="auto"/>
        <w:jc w:val="both"/>
        <w:rPr>
          <w:color w:val="00B050"/>
        </w:rPr>
      </w:pPr>
    </w:p>
    <w:p w14:paraId="48394F4E" w14:textId="59A43947" w:rsidR="0013067D" w:rsidRDefault="0013067D" w:rsidP="00672B46">
      <w:pPr>
        <w:pStyle w:val="Default"/>
        <w:spacing w:line="360" w:lineRule="auto"/>
        <w:jc w:val="both"/>
        <w:rPr>
          <w:color w:val="00B050"/>
        </w:rPr>
      </w:pPr>
    </w:p>
    <w:p w14:paraId="0C363FBF" w14:textId="18384BE5" w:rsidR="0013067D" w:rsidRDefault="0013067D" w:rsidP="00672B46">
      <w:pPr>
        <w:pStyle w:val="Default"/>
        <w:spacing w:line="360" w:lineRule="auto"/>
        <w:jc w:val="both"/>
        <w:rPr>
          <w:color w:val="00B050"/>
        </w:rPr>
      </w:pPr>
    </w:p>
    <w:p w14:paraId="42C44AEF" w14:textId="77777777" w:rsidR="0013067D" w:rsidRPr="0094770F" w:rsidRDefault="0013067D" w:rsidP="00672B46">
      <w:pPr>
        <w:pStyle w:val="Default"/>
        <w:spacing w:line="360" w:lineRule="auto"/>
        <w:jc w:val="both"/>
        <w:rPr>
          <w:color w:val="00B050"/>
        </w:rPr>
      </w:pPr>
    </w:p>
    <w:p w14:paraId="3D4E132A" w14:textId="77777777" w:rsidR="00672B46" w:rsidRPr="0094770F" w:rsidRDefault="00672B46" w:rsidP="00672B46">
      <w:pPr>
        <w:pStyle w:val="Default"/>
        <w:spacing w:line="360" w:lineRule="auto"/>
        <w:jc w:val="both"/>
        <w:rPr>
          <w:color w:val="00B050"/>
        </w:rPr>
      </w:pPr>
    </w:p>
    <w:p w14:paraId="77420B1F" w14:textId="77777777" w:rsidR="00672B46" w:rsidRPr="0094770F" w:rsidRDefault="00672B46" w:rsidP="00672B46">
      <w:pPr>
        <w:pStyle w:val="Default"/>
        <w:spacing w:line="360" w:lineRule="auto"/>
        <w:jc w:val="both"/>
        <w:rPr>
          <w:color w:val="00B050"/>
        </w:rPr>
      </w:pPr>
    </w:p>
    <w:p w14:paraId="3BB18E70" w14:textId="6DF4F3ED" w:rsidR="00672B46" w:rsidRPr="004D0AF4" w:rsidRDefault="000F0414" w:rsidP="004D0AF4">
      <w:pPr>
        <w:pStyle w:val="Default"/>
        <w:spacing w:line="360" w:lineRule="auto"/>
        <w:jc w:val="both"/>
        <w:rPr>
          <w:rFonts w:ascii="Arial" w:hAnsi="Arial" w:cs="Arial"/>
          <w:b/>
          <w:bCs/>
          <w:color w:val="000000" w:themeColor="text1"/>
          <w:sz w:val="22"/>
          <w:szCs w:val="22"/>
        </w:rPr>
      </w:pPr>
      <w:r w:rsidRPr="004D0AF4">
        <w:rPr>
          <w:rFonts w:ascii="Arial" w:hAnsi="Arial" w:cs="Arial"/>
          <w:b/>
          <w:bCs/>
          <w:color w:val="000000" w:themeColor="text1"/>
          <w:sz w:val="22"/>
          <w:szCs w:val="22"/>
        </w:rPr>
        <w:t>1. INTRODUCTION</w:t>
      </w:r>
    </w:p>
    <w:p w14:paraId="56B708E6" w14:textId="4CBAC45C" w:rsidR="0055547F" w:rsidRPr="00316C5F" w:rsidRDefault="002858A2" w:rsidP="004D0AF4">
      <w:pPr>
        <w:pStyle w:val="Default"/>
        <w:spacing w:line="360" w:lineRule="auto"/>
        <w:jc w:val="both"/>
        <w:rPr>
          <w:rFonts w:ascii="Arial" w:hAnsi="Arial" w:cs="Arial"/>
          <w:color w:val="000000" w:themeColor="text1"/>
          <w:sz w:val="22"/>
          <w:szCs w:val="22"/>
          <w:lang w:val="en-US"/>
        </w:rPr>
      </w:pPr>
      <w:r w:rsidRPr="00316C5F">
        <w:rPr>
          <w:rFonts w:ascii="Arial" w:hAnsi="Arial" w:cs="Arial"/>
          <w:color w:val="000000" w:themeColor="text1"/>
          <w:sz w:val="22"/>
          <w:szCs w:val="22"/>
        </w:rPr>
        <w:t xml:space="preserve">Scheduled Tribe is one of the major groups that has experienced prejudice in the past. They are backward in terms of education, politics, and economics. Education </w:t>
      </w:r>
      <w:r w:rsidR="0094770F" w:rsidRPr="00316C5F">
        <w:rPr>
          <w:rFonts w:ascii="Arial" w:hAnsi="Arial" w:cs="Arial"/>
          <w:color w:val="000000" w:themeColor="text1"/>
          <w:sz w:val="22"/>
          <w:szCs w:val="22"/>
        </w:rPr>
        <w:t xml:space="preserve">is identified </w:t>
      </w:r>
      <w:r w:rsidRPr="00316C5F">
        <w:rPr>
          <w:rFonts w:ascii="Arial" w:hAnsi="Arial" w:cs="Arial"/>
          <w:color w:val="000000" w:themeColor="text1"/>
          <w:sz w:val="22"/>
          <w:szCs w:val="22"/>
        </w:rPr>
        <w:t xml:space="preserve">as a powerful </w:t>
      </w:r>
      <w:r w:rsidR="0094770F" w:rsidRPr="00316C5F">
        <w:rPr>
          <w:rFonts w:ascii="Arial" w:hAnsi="Arial" w:cs="Arial"/>
          <w:color w:val="000000" w:themeColor="text1"/>
          <w:sz w:val="22"/>
          <w:szCs w:val="22"/>
        </w:rPr>
        <w:t>weapon</w:t>
      </w:r>
      <w:r w:rsidRPr="00316C5F">
        <w:rPr>
          <w:rFonts w:ascii="Arial" w:hAnsi="Arial" w:cs="Arial"/>
          <w:color w:val="000000" w:themeColor="text1"/>
          <w:sz w:val="22"/>
          <w:szCs w:val="22"/>
        </w:rPr>
        <w:t xml:space="preserve"> for advancing society and the economy (</w:t>
      </w:r>
      <w:r w:rsidR="00784631" w:rsidRPr="00316C5F">
        <w:rPr>
          <w:rFonts w:ascii="Arial" w:hAnsi="Arial" w:cs="Arial"/>
          <w:color w:val="000000" w:themeColor="text1"/>
          <w:sz w:val="22"/>
          <w:szCs w:val="22"/>
        </w:rPr>
        <w:t>Andrabi 2014</w:t>
      </w:r>
      <w:r w:rsidRPr="00316C5F">
        <w:rPr>
          <w:rFonts w:ascii="Arial" w:hAnsi="Arial" w:cs="Arial"/>
          <w:color w:val="000000" w:themeColor="text1"/>
          <w:sz w:val="22"/>
          <w:szCs w:val="22"/>
        </w:rPr>
        <w:t xml:space="preserve">). </w:t>
      </w:r>
      <w:r w:rsidR="0094770F" w:rsidRPr="00316C5F">
        <w:rPr>
          <w:rFonts w:ascii="Arial" w:hAnsi="Arial" w:cs="Arial"/>
          <w:color w:val="000000" w:themeColor="text1"/>
          <w:sz w:val="22"/>
          <w:szCs w:val="22"/>
          <w:lang w:val="en-US"/>
        </w:rPr>
        <w:t xml:space="preserve">Education </w:t>
      </w:r>
      <w:r w:rsidR="004D0AF4" w:rsidRPr="00316C5F">
        <w:rPr>
          <w:rFonts w:ascii="Arial" w:hAnsi="Arial" w:cs="Arial"/>
          <w:color w:val="000000" w:themeColor="text1"/>
          <w:sz w:val="22"/>
          <w:szCs w:val="22"/>
          <w:lang w:val="en-US"/>
        </w:rPr>
        <w:t>plays a crucial role in bridging the socioeconomic gap between marginalized communities and others</w:t>
      </w:r>
      <w:r w:rsidR="0094770F" w:rsidRPr="00316C5F">
        <w:rPr>
          <w:rFonts w:ascii="Arial" w:hAnsi="Arial" w:cs="Arial"/>
          <w:color w:val="000000" w:themeColor="text1"/>
          <w:sz w:val="22"/>
          <w:szCs w:val="22"/>
          <w:lang w:val="en-US"/>
        </w:rPr>
        <w:t xml:space="preserve">. </w:t>
      </w:r>
      <w:r w:rsidRPr="00316C5F">
        <w:rPr>
          <w:rFonts w:ascii="Arial" w:hAnsi="Arial" w:cs="Arial"/>
          <w:color w:val="000000" w:themeColor="text1"/>
          <w:sz w:val="22"/>
          <w:szCs w:val="22"/>
        </w:rPr>
        <w:t>The efforts are made to narrow economic gaps, raise education standards, and improve access to healthcare</w:t>
      </w:r>
      <w:r w:rsidR="00316C5F" w:rsidRPr="00316C5F">
        <w:rPr>
          <w:rFonts w:ascii="Arial" w:hAnsi="Arial" w:cs="Arial"/>
          <w:color w:val="000000" w:themeColor="text1"/>
          <w:sz w:val="22"/>
          <w:szCs w:val="22"/>
        </w:rPr>
        <w:t xml:space="preserve"> (Pati and Dash, 2002)</w:t>
      </w:r>
      <w:r w:rsidRPr="00316C5F">
        <w:rPr>
          <w:rFonts w:ascii="Arial" w:hAnsi="Arial" w:cs="Arial"/>
          <w:color w:val="000000" w:themeColor="text1"/>
          <w:sz w:val="22"/>
          <w:szCs w:val="22"/>
        </w:rPr>
        <w:t>. Despite all of these initiatives, tribal people still rely on their traditional means of subsistence, including the sale of small-scale forest products, the grazing of livestock, the sale of household and agricultural tools, the dispensing of herbal medicines, and performance of folk arts (Gupta 2018).</w:t>
      </w:r>
      <w:r w:rsidR="0060659C" w:rsidRPr="00316C5F">
        <w:rPr>
          <w:rFonts w:ascii="Arial" w:hAnsi="Arial" w:cs="Arial"/>
          <w:color w:val="000000" w:themeColor="text1"/>
          <w:sz w:val="22"/>
          <w:szCs w:val="22"/>
        </w:rPr>
        <w:t xml:space="preserve"> </w:t>
      </w:r>
      <w:r w:rsidR="005710B3" w:rsidRPr="00316C5F">
        <w:rPr>
          <w:rFonts w:ascii="Arial" w:hAnsi="Arial" w:cs="Arial"/>
          <w:color w:val="000000" w:themeColor="text1"/>
          <w:sz w:val="22"/>
          <w:szCs w:val="22"/>
          <w:lang w:val="en-US"/>
        </w:rPr>
        <w:t xml:space="preserve">They face widespread discrimination in social, economic, and educational </w:t>
      </w:r>
      <w:r w:rsidR="004D0AF4" w:rsidRPr="00316C5F">
        <w:rPr>
          <w:rFonts w:ascii="Arial" w:hAnsi="Arial" w:cs="Arial"/>
          <w:color w:val="000000" w:themeColor="text1"/>
          <w:sz w:val="22"/>
          <w:szCs w:val="22"/>
          <w:lang w:val="en-US"/>
        </w:rPr>
        <w:t>sectors</w:t>
      </w:r>
      <w:r w:rsidR="005710B3" w:rsidRPr="00316C5F">
        <w:rPr>
          <w:rFonts w:ascii="Arial" w:hAnsi="Arial" w:cs="Arial"/>
          <w:color w:val="000000" w:themeColor="text1"/>
          <w:sz w:val="22"/>
          <w:szCs w:val="22"/>
          <w:lang w:val="en-US"/>
        </w:rPr>
        <w:t xml:space="preserve">. Tribals have been harmed in a variety of ways, including the forced removal of their houses and land in the name of development </w:t>
      </w:r>
      <w:r w:rsidRPr="00316C5F">
        <w:rPr>
          <w:rFonts w:ascii="Arial" w:hAnsi="Arial" w:cs="Arial"/>
          <w:color w:val="000000" w:themeColor="text1"/>
          <w:sz w:val="22"/>
          <w:szCs w:val="22"/>
        </w:rPr>
        <w:t>(Minz 2020). The accessibility and opportunity for citizens to use educational resources are directly tied to a country's development</w:t>
      </w:r>
      <w:r w:rsidR="00581681" w:rsidRPr="00316C5F">
        <w:rPr>
          <w:rFonts w:ascii="Arial" w:hAnsi="Arial" w:cs="Arial"/>
          <w:color w:val="000000" w:themeColor="text1"/>
          <w:sz w:val="22"/>
          <w:szCs w:val="22"/>
        </w:rPr>
        <w:t xml:space="preserve"> (Saini et.al.,2023)</w:t>
      </w:r>
      <w:r w:rsidRPr="00316C5F">
        <w:rPr>
          <w:rFonts w:ascii="Arial" w:hAnsi="Arial" w:cs="Arial"/>
          <w:color w:val="000000" w:themeColor="text1"/>
          <w:sz w:val="22"/>
          <w:szCs w:val="22"/>
        </w:rPr>
        <w:t>. Education has received special attention since independence</w:t>
      </w:r>
      <w:r w:rsidR="00312D1D" w:rsidRPr="00316C5F">
        <w:rPr>
          <w:rFonts w:ascii="Arial" w:hAnsi="Arial" w:cs="Arial"/>
          <w:color w:val="000000" w:themeColor="text1"/>
          <w:sz w:val="22"/>
          <w:szCs w:val="22"/>
        </w:rPr>
        <w:t>,</w:t>
      </w:r>
      <w:r w:rsidRPr="00316C5F">
        <w:rPr>
          <w:rFonts w:ascii="Arial" w:hAnsi="Arial" w:cs="Arial"/>
          <w:color w:val="000000" w:themeColor="text1"/>
          <w:sz w:val="22"/>
          <w:szCs w:val="22"/>
        </w:rPr>
        <w:t xml:space="preserve"> yet, despite the passage of seventy glorious years of independence, it has remained a major struggle for the government to educate all tribal communities (Daripa 2017)</w:t>
      </w:r>
      <w:r w:rsidR="00312D1D" w:rsidRPr="00316C5F">
        <w:rPr>
          <w:rFonts w:ascii="Arial" w:hAnsi="Arial" w:cs="Arial"/>
          <w:color w:val="000000" w:themeColor="text1"/>
          <w:sz w:val="22"/>
          <w:szCs w:val="22"/>
        </w:rPr>
        <w:t>.</w:t>
      </w:r>
      <w:r w:rsidRPr="00316C5F">
        <w:rPr>
          <w:rFonts w:ascii="Arial" w:hAnsi="Arial" w:cs="Arial"/>
          <w:color w:val="000000" w:themeColor="text1"/>
          <w:sz w:val="22"/>
          <w:szCs w:val="22"/>
        </w:rPr>
        <w:t xml:space="preserve"> By educating </w:t>
      </w:r>
      <w:r w:rsidR="0094770F" w:rsidRPr="00316C5F">
        <w:rPr>
          <w:rFonts w:ascii="Arial" w:hAnsi="Arial" w:cs="Arial"/>
          <w:color w:val="000000" w:themeColor="text1"/>
          <w:sz w:val="22"/>
          <w:szCs w:val="22"/>
        </w:rPr>
        <w:t>themselves</w:t>
      </w:r>
      <w:r w:rsidRPr="00316C5F">
        <w:rPr>
          <w:rFonts w:ascii="Arial" w:hAnsi="Arial" w:cs="Arial"/>
          <w:color w:val="000000" w:themeColor="text1"/>
          <w:sz w:val="22"/>
          <w:szCs w:val="22"/>
        </w:rPr>
        <w:t xml:space="preserve">, </w:t>
      </w:r>
      <w:r w:rsidR="0060659C" w:rsidRPr="00316C5F">
        <w:rPr>
          <w:rFonts w:ascii="Arial" w:hAnsi="Arial" w:cs="Arial"/>
          <w:color w:val="000000" w:themeColor="text1"/>
          <w:sz w:val="22"/>
          <w:szCs w:val="22"/>
        </w:rPr>
        <w:t xml:space="preserve">tribal </w:t>
      </w:r>
      <w:r w:rsidRPr="00316C5F">
        <w:rPr>
          <w:rFonts w:ascii="Arial" w:hAnsi="Arial" w:cs="Arial"/>
          <w:color w:val="000000" w:themeColor="text1"/>
          <w:sz w:val="22"/>
          <w:szCs w:val="22"/>
        </w:rPr>
        <w:t>people can become more independent and develop the strength and confidence to face challenges in daily life</w:t>
      </w:r>
      <w:r w:rsidR="00581681" w:rsidRPr="00316C5F">
        <w:rPr>
          <w:rFonts w:ascii="Arial" w:hAnsi="Arial" w:cs="Arial"/>
          <w:color w:val="000000" w:themeColor="text1"/>
          <w:sz w:val="22"/>
          <w:szCs w:val="22"/>
        </w:rPr>
        <w:t xml:space="preserve"> (Gupta and Singh 2025)</w:t>
      </w:r>
      <w:r w:rsidRPr="00316C5F">
        <w:rPr>
          <w:rFonts w:ascii="Arial" w:hAnsi="Arial" w:cs="Arial"/>
          <w:color w:val="000000" w:themeColor="text1"/>
          <w:sz w:val="22"/>
          <w:szCs w:val="22"/>
        </w:rPr>
        <w:t xml:space="preserve">. Even before independence, they were repressed and excluded, and this alienation continues now. Their ignorance is the main reason for their illiteracy. </w:t>
      </w:r>
      <w:r w:rsidR="00D551F4" w:rsidRPr="00316C5F">
        <w:rPr>
          <w:rFonts w:ascii="Arial" w:hAnsi="Arial" w:cs="Arial"/>
          <w:color w:val="000000" w:themeColor="text1"/>
          <w:sz w:val="22"/>
          <w:szCs w:val="22"/>
          <w:lang w:val="en-US"/>
        </w:rPr>
        <w:t>Hence, the social disadvantage of education is regarded as one of the most crucial and forward-thinking measures to reduce economic backwardness</w:t>
      </w:r>
      <w:r w:rsidR="005774E5" w:rsidRPr="00316C5F">
        <w:rPr>
          <w:rFonts w:ascii="Arial" w:hAnsi="Arial" w:cs="Arial"/>
          <w:color w:val="000000" w:themeColor="text1"/>
          <w:sz w:val="22"/>
          <w:szCs w:val="22"/>
          <w:lang w:val="en-US"/>
        </w:rPr>
        <w:t xml:space="preserve"> </w:t>
      </w:r>
      <w:r w:rsidRPr="00316C5F">
        <w:rPr>
          <w:rFonts w:ascii="Arial" w:hAnsi="Arial" w:cs="Arial"/>
          <w:color w:val="000000" w:themeColor="text1"/>
          <w:sz w:val="22"/>
          <w:szCs w:val="22"/>
        </w:rPr>
        <w:t>(</w:t>
      </w:r>
      <w:r w:rsidR="00316C5F" w:rsidRPr="00316C5F">
        <w:rPr>
          <w:rFonts w:ascii="Arial" w:hAnsi="Arial" w:cs="Arial"/>
          <w:color w:val="000000" w:themeColor="text1"/>
          <w:sz w:val="22"/>
          <w:szCs w:val="22"/>
        </w:rPr>
        <w:t>Nayak 2020</w:t>
      </w:r>
      <w:r w:rsidRPr="00316C5F">
        <w:rPr>
          <w:rFonts w:ascii="Arial" w:hAnsi="Arial" w:cs="Arial"/>
          <w:color w:val="000000" w:themeColor="text1"/>
          <w:sz w:val="22"/>
          <w:szCs w:val="22"/>
        </w:rPr>
        <w:t>).</w:t>
      </w:r>
      <w:r w:rsidR="0060659C" w:rsidRPr="00316C5F">
        <w:rPr>
          <w:rFonts w:ascii="Arial" w:hAnsi="Arial" w:cs="Arial"/>
          <w:color w:val="000000" w:themeColor="text1"/>
          <w:sz w:val="22"/>
          <w:szCs w:val="22"/>
        </w:rPr>
        <w:t xml:space="preserve"> </w:t>
      </w:r>
      <w:r w:rsidR="0094770F" w:rsidRPr="00316C5F">
        <w:rPr>
          <w:rFonts w:ascii="Arial" w:hAnsi="Arial" w:cs="Arial"/>
          <w:color w:val="000000" w:themeColor="text1"/>
          <w:sz w:val="22"/>
          <w:szCs w:val="22"/>
        </w:rPr>
        <w:t>India is the</w:t>
      </w:r>
      <w:r w:rsidRPr="00316C5F">
        <w:rPr>
          <w:rFonts w:ascii="Arial" w:hAnsi="Arial" w:cs="Arial"/>
          <w:color w:val="000000" w:themeColor="text1"/>
          <w:sz w:val="22"/>
          <w:szCs w:val="22"/>
        </w:rPr>
        <w:t xml:space="preserve"> largest country in the world with a tribal population, which has more than 10.2 crore tribal inhabitants. </w:t>
      </w:r>
      <w:r w:rsidR="005774E5" w:rsidRPr="00316C5F">
        <w:rPr>
          <w:rFonts w:ascii="Arial" w:hAnsi="Arial" w:cs="Arial"/>
          <w:color w:val="000000" w:themeColor="text1"/>
          <w:sz w:val="22"/>
          <w:szCs w:val="22"/>
        </w:rPr>
        <w:t>In comparison,</w:t>
      </w:r>
      <w:r w:rsidR="00270F4A" w:rsidRPr="00316C5F">
        <w:rPr>
          <w:rFonts w:ascii="Arial" w:hAnsi="Arial" w:cs="Arial"/>
          <w:color w:val="000000" w:themeColor="text1"/>
          <w:sz w:val="22"/>
          <w:szCs w:val="22"/>
        </w:rPr>
        <w:t xml:space="preserve"> there are 85.77 lakhs of indigenous people in Maharashtra as a whole. Covering 46531 square </w:t>
      </w:r>
      <w:r w:rsidR="005774E5" w:rsidRPr="00316C5F">
        <w:rPr>
          <w:rFonts w:ascii="Arial" w:hAnsi="Arial" w:cs="Arial"/>
          <w:color w:val="000000" w:themeColor="text1"/>
          <w:sz w:val="22"/>
          <w:szCs w:val="22"/>
        </w:rPr>
        <w:t>kilometres</w:t>
      </w:r>
      <w:r w:rsidR="00270F4A" w:rsidRPr="00316C5F">
        <w:rPr>
          <w:rFonts w:ascii="Arial" w:hAnsi="Arial" w:cs="Arial"/>
          <w:color w:val="000000" w:themeColor="text1"/>
          <w:sz w:val="22"/>
          <w:szCs w:val="22"/>
        </w:rPr>
        <w:t xml:space="preserve"> across 12 districts, 16 towns, and </w:t>
      </w:r>
      <w:r w:rsidR="005774E5" w:rsidRPr="00316C5F">
        <w:rPr>
          <w:rFonts w:ascii="Arial" w:hAnsi="Arial" w:cs="Arial"/>
          <w:color w:val="000000" w:themeColor="text1"/>
          <w:sz w:val="22"/>
          <w:szCs w:val="22"/>
        </w:rPr>
        <w:t>5,809 villages, Maharashtra's Scheduled Area has a predominant tribal population of 45 tribal</w:t>
      </w:r>
      <w:r w:rsidR="00270F4A" w:rsidRPr="00316C5F">
        <w:rPr>
          <w:rFonts w:ascii="Arial" w:hAnsi="Arial" w:cs="Arial"/>
          <w:color w:val="000000" w:themeColor="text1"/>
          <w:sz w:val="22"/>
          <w:szCs w:val="22"/>
        </w:rPr>
        <w:t xml:space="preserve"> communities</w:t>
      </w:r>
      <w:r w:rsidR="005710B3" w:rsidRPr="00316C5F">
        <w:rPr>
          <w:rFonts w:ascii="Arial" w:hAnsi="Arial" w:cs="Arial"/>
          <w:color w:val="000000" w:themeColor="text1"/>
          <w:sz w:val="22"/>
          <w:szCs w:val="22"/>
        </w:rPr>
        <w:t>,</w:t>
      </w:r>
      <w:r w:rsidR="00270F4A" w:rsidRPr="00316C5F">
        <w:rPr>
          <w:rFonts w:ascii="Arial" w:hAnsi="Arial" w:cs="Arial"/>
          <w:color w:val="000000" w:themeColor="text1"/>
          <w:sz w:val="22"/>
          <w:szCs w:val="22"/>
        </w:rPr>
        <w:t xml:space="preserve"> making up 49% of the total population (Annual </w:t>
      </w:r>
      <w:r w:rsidR="00D0597F" w:rsidRPr="00316C5F">
        <w:rPr>
          <w:rFonts w:ascii="Arial" w:hAnsi="Arial" w:cs="Arial"/>
          <w:color w:val="000000" w:themeColor="text1"/>
          <w:sz w:val="22"/>
          <w:szCs w:val="22"/>
        </w:rPr>
        <w:t>Tribal Development</w:t>
      </w:r>
      <w:r w:rsidR="00270F4A" w:rsidRPr="00316C5F">
        <w:rPr>
          <w:rFonts w:ascii="Arial" w:hAnsi="Arial" w:cs="Arial"/>
          <w:color w:val="000000" w:themeColor="text1"/>
          <w:sz w:val="22"/>
          <w:szCs w:val="22"/>
        </w:rPr>
        <w:t xml:space="preserve"> Report 2020</w:t>
      </w:r>
      <w:r w:rsidR="00467556" w:rsidRPr="00316C5F">
        <w:rPr>
          <w:rFonts w:ascii="Arial" w:hAnsi="Arial" w:cs="Arial"/>
          <w:color w:val="000000" w:themeColor="text1"/>
          <w:sz w:val="22"/>
          <w:szCs w:val="22"/>
        </w:rPr>
        <w:t xml:space="preserve">, </w:t>
      </w:r>
      <w:r w:rsidR="00467556" w:rsidRPr="00316C5F">
        <w:rPr>
          <w:rFonts w:ascii="Arial" w:hAnsi="Arial" w:cs="Arial"/>
          <w:color w:val="000000" w:themeColor="text1"/>
        </w:rPr>
        <w:t>https://trifed.tribal.gov.in</w:t>
      </w:r>
      <w:r w:rsidR="00270F4A" w:rsidRPr="00316C5F">
        <w:rPr>
          <w:rFonts w:ascii="Arial" w:hAnsi="Arial" w:cs="Arial"/>
          <w:color w:val="000000" w:themeColor="text1"/>
          <w:sz w:val="22"/>
          <w:szCs w:val="22"/>
        </w:rPr>
        <w:t xml:space="preserve">). </w:t>
      </w:r>
      <w:r w:rsidRPr="00316C5F">
        <w:rPr>
          <w:rFonts w:ascii="Arial" w:hAnsi="Arial" w:cs="Arial"/>
          <w:color w:val="000000" w:themeColor="text1"/>
          <w:sz w:val="22"/>
          <w:szCs w:val="22"/>
        </w:rPr>
        <w:t xml:space="preserve">When compared to non-tribal societies, it is </w:t>
      </w:r>
      <w:r w:rsidR="00D551F4" w:rsidRPr="00316C5F">
        <w:rPr>
          <w:rFonts w:ascii="Arial" w:hAnsi="Arial" w:cs="Arial"/>
          <w:color w:val="000000" w:themeColor="text1"/>
          <w:sz w:val="22"/>
          <w:szCs w:val="22"/>
        </w:rPr>
        <w:t xml:space="preserve">shown </w:t>
      </w:r>
      <w:r w:rsidRPr="00316C5F">
        <w:rPr>
          <w:rFonts w:ascii="Arial" w:hAnsi="Arial" w:cs="Arial"/>
          <w:color w:val="000000" w:themeColor="text1"/>
          <w:sz w:val="22"/>
          <w:szCs w:val="22"/>
        </w:rPr>
        <w:t xml:space="preserve">that tribal groups </w:t>
      </w:r>
      <w:r w:rsidR="00D551F4" w:rsidRPr="00316C5F">
        <w:rPr>
          <w:rFonts w:ascii="Arial" w:hAnsi="Arial" w:cs="Arial"/>
          <w:color w:val="000000" w:themeColor="text1"/>
          <w:sz w:val="22"/>
          <w:szCs w:val="22"/>
        </w:rPr>
        <w:t>lag</w:t>
      </w:r>
      <w:r w:rsidRPr="00316C5F">
        <w:rPr>
          <w:rFonts w:ascii="Arial" w:hAnsi="Arial" w:cs="Arial"/>
          <w:color w:val="000000" w:themeColor="text1"/>
          <w:sz w:val="22"/>
          <w:szCs w:val="22"/>
        </w:rPr>
        <w:t xml:space="preserve"> in every aspect of life.  </w:t>
      </w:r>
      <w:r w:rsidR="006B157D" w:rsidRPr="00316C5F">
        <w:rPr>
          <w:rFonts w:ascii="Arial" w:hAnsi="Arial" w:cs="Arial"/>
          <w:color w:val="000000" w:themeColor="text1"/>
          <w:sz w:val="22"/>
          <w:szCs w:val="22"/>
          <w:lang w:val="en-US"/>
        </w:rPr>
        <w:t>India cannot achieve the goal of "development for all" without the development of its 10.2 crore tribal people</w:t>
      </w:r>
      <w:r w:rsidR="00426049" w:rsidRPr="00316C5F">
        <w:rPr>
          <w:rFonts w:ascii="Arial" w:hAnsi="Arial" w:cs="Arial"/>
          <w:color w:val="000000" w:themeColor="text1"/>
          <w:sz w:val="22"/>
          <w:szCs w:val="22"/>
          <w:lang w:val="en-US"/>
        </w:rPr>
        <w:t xml:space="preserve"> (Patra et.al.,2021)</w:t>
      </w:r>
      <w:r w:rsidR="006B157D" w:rsidRPr="00316C5F">
        <w:rPr>
          <w:rFonts w:ascii="Arial" w:hAnsi="Arial" w:cs="Arial"/>
          <w:color w:val="000000" w:themeColor="text1"/>
          <w:sz w:val="22"/>
          <w:szCs w:val="22"/>
          <w:lang w:val="en-US"/>
        </w:rPr>
        <w:t xml:space="preserve">. </w:t>
      </w:r>
      <w:r w:rsidR="00467556" w:rsidRPr="00316C5F">
        <w:rPr>
          <w:rFonts w:ascii="Arial" w:hAnsi="Arial" w:cs="Arial"/>
          <w:color w:val="000000" w:themeColor="text1"/>
          <w:sz w:val="22"/>
          <w:szCs w:val="22"/>
          <w:lang w:val="en-US"/>
        </w:rPr>
        <w:t xml:space="preserve">The </w:t>
      </w:r>
      <w:r w:rsidR="006B157D" w:rsidRPr="00316C5F">
        <w:rPr>
          <w:rFonts w:ascii="Arial" w:hAnsi="Arial" w:cs="Arial"/>
          <w:color w:val="000000" w:themeColor="text1"/>
          <w:sz w:val="22"/>
          <w:szCs w:val="22"/>
          <w:lang w:val="en-US"/>
        </w:rPr>
        <w:t>Indian Constitution's Schedules V and VI provide explicit protection to tribal populations. The state government should play a major role in offering justice to the poorest members of society, in creating and implementing equitable legislation</w:t>
      </w:r>
      <w:r w:rsidR="00B24F93" w:rsidRPr="00316C5F">
        <w:rPr>
          <w:rFonts w:ascii="Arial" w:hAnsi="Arial" w:cs="Arial"/>
          <w:color w:val="000000" w:themeColor="text1"/>
          <w:sz w:val="22"/>
          <w:szCs w:val="22"/>
          <w:lang w:val="en-US"/>
        </w:rPr>
        <w:t xml:space="preserve"> (Das and Sanskar 2021).</w:t>
      </w:r>
      <w:r w:rsidR="004D0AF4" w:rsidRPr="00316C5F">
        <w:rPr>
          <w:rFonts w:ascii="Arial" w:hAnsi="Arial" w:cs="Arial"/>
          <w:color w:val="000000" w:themeColor="text1"/>
          <w:sz w:val="22"/>
          <w:szCs w:val="22"/>
          <w:lang w:val="en-US"/>
        </w:rPr>
        <w:t xml:space="preserve"> </w:t>
      </w:r>
      <w:r w:rsidR="0060659C" w:rsidRPr="00316C5F">
        <w:rPr>
          <w:rFonts w:ascii="Arial" w:hAnsi="Arial" w:cs="Arial"/>
          <w:color w:val="000000" w:themeColor="text1"/>
          <w:sz w:val="22"/>
          <w:szCs w:val="22"/>
        </w:rPr>
        <w:t xml:space="preserve">The government claims that it has worked nonstop to close the gap between the tribal community as a whole and the path of development and sustainable progress. Since </w:t>
      </w:r>
      <w:r w:rsidR="0060659C" w:rsidRPr="00316C5F">
        <w:rPr>
          <w:rFonts w:ascii="Arial" w:hAnsi="Arial" w:cs="Arial"/>
          <w:color w:val="000000" w:themeColor="text1"/>
          <w:sz w:val="22"/>
          <w:szCs w:val="22"/>
        </w:rPr>
        <w:lastRenderedPageBreak/>
        <w:t xml:space="preserve">independence, a number of policies and programmes have been developed to address tribal issues. </w:t>
      </w:r>
      <w:r w:rsidR="006B157D" w:rsidRPr="00316C5F">
        <w:rPr>
          <w:rFonts w:ascii="Arial" w:hAnsi="Arial" w:cs="Arial"/>
          <w:color w:val="000000" w:themeColor="text1"/>
          <w:sz w:val="22"/>
          <w:szCs w:val="22"/>
          <w:lang w:val="en-US"/>
        </w:rPr>
        <w:t xml:space="preserve">However, it does not appear to be sufficient to lift up tribal people, who have been living in poverty for decades. Indian government has </w:t>
      </w:r>
      <w:r w:rsidR="00A66836" w:rsidRPr="00316C5F">
        <w:rPr>
          <w:rFonts w:ascii="Arial" w:hAnsi="Arial" w:cs="Arial"/>
          <w:color w:val="000000" w:themeColor="text1"/>
          <w:sz w:val="22"/>
          <w:szCs w:val="22"/>
          <w:lang w:val="en-US"/>
        </w:rPr>
        <w:t>launched</w:t>
      </w:r>
      <w:r w:rsidR="006B157D" w:rsidRPr="00316C5F">
        <w:rPr>
          <w:rFonts w:ascii="Arial" w:hAnsi="Arial" w:cs="Arial"/>
          <w:color w:val="000000" w:themeColor="text1"/>
          <w:sz w:val="22"/>
          <w:szCs w:val="22"/>
          <w:lang w:val="en-US"/>
        </w:rPr>
        <w:t xml:space="preserve"> several </w:t>
      </w:r>
      <w:r w:rsidR="00A66836" w:rsidRPr="00316C5F">
        <w:rPr>
          <w:rFonts w:ascii="Arial" w:hAnsi="Arial" w:cs="Arial"/>
          <w:color w:val="000000" w:themeColor="text1"/>
          <w:sz w:val="22"/>
          <w:szCs w:val="22"/>
          <w:lang w:val="en-US"/>
        </w:rPr>
        <w:t>innovative</w:t>
      </w:r>
      <w:r w:rsidR="006B157D" w:rsidRPr="00316C5F">
        <w:rPr>
          <w:rFonts w:ascii="Arial" w:hAnsi="Arial" w:cs="Arial"/>
          <w:color w:val="000000" w:themeColor="text1"/>
          <w:sz w:val="22"/>
          <w:szCs w:val="22"/>
          <w:lang w:val="en-US"/>
        </w:rPr>
        <w:t xml:space="preserve"> projects to assist </w:t>
      </w:r>
      <w:r w:rsidR="00A66836" w:rsidRPr="00316C5F">
        <w:rPr>
          <w:rFonts w:ascii="Arial" w:hAnsi="Arial" w:cs="Arial"/>
          <w:color w:val="000000" w:themeColor="text1"/>
          <w:sz w:val="22"/>
          <w:szCs w:val="22"/>
          <w:lang w:val="en-US"/>
        </w:rPr>
        <w:t>tribal</w:t>
      </w:r>
      <w:r w:rsidR="006B157D" w:rsidRPr="00316C5F">
        <w:rPr>
          <w:rFonts w:ascii="Arial" w:hAnsi="Arial" w:cs="Arial"/>
          <w:color w:val="000000" w:themeColor="text1"/>
          <w:sz w:val="22"/>
          <w:szCs w:val="22"/>
          <w:lang w:val="en-US"/>
        </w:rPr>
        <w:t xml:space="preserve"> </w:t>
      </w:r>
      <w:r w:rsidR="00A66836" w:rsidRPr="00316C5F">
        <w:rPr>
          <w:rFonts w:ascii="Arial" w:hAnsi="Arial" w:cs="Arial"/>
          <w:color w:val="000000" w:themeColor="text1"/>
          <w:sz w:val="22"/>
          <w:szCs w:val="22"/>
          <w:lang w:val="en-US"/>
        </w:rPr>
        <w:t>students</w:t>
      </w:r>
      <w:r w:rsidR="006B157D" w:rsidRPr="00316C5F">
        <w:rPr>
          <w:rFonts w:ascii="Arial" w:hAnsi="Arial" w:cs="Arial"/>
          <w:color w:val="000000" w:themeColor="text1"/>
          <w:sz w:val="22"/>
          <w:szCs w:val="22"/>
          <w:lang w:val="en-US"/>
        </w:rPr>
        <w:t xml:space="preserve"> in their education. The Right to Education Act of 2009 was a key step in reaching the long-cherished goal of universal elementary education, which will definitely help indigenous people</w:t>
      </w:r>
      <w:r w:rsidR="00A66836" w:rsidRPr="00316C5F">
        <w:rPr>
          <w:rFonts w:ascii="Arial" w:hAnsi="Arial" w:cs="Arial"/>
          <w:color w:val="000000" w:themeColor="text1"/>
          <w:sz w:val="22"/>
          <w:szCs w:val="22"/>
          <w:lang w:val="en-US"/>
        </w:rPr>
        <w:t xml:space="preserve"> </w:t>
      </w:r>
      <w:r w:rsidR="0060659C" w:rsidRPr="00316C5F">
        <w:rPr>
          <w:rFonts w:ascii="Arial" w:hAnsi="Arial" w:cs="Arial"/>
          <w:color w:val="000000" w:themeColor="text1"/>
          <w:sz w:val="22"/>
          <w:szCs w:val="22"/>
        </w:rPr>
        <w:t>(Andrabi</w:t>
      </w:r>
      <w:r w:rsidR="001846E4" w:rsidRPr="00316C5F">
        <w:rPr>
          <w:rFonts w:ascii="Arial" w:hAnsi="Arial" w:cs="Arial"/>
          <w:color w:val="000000" w:themeColor="text1"/>
          <w:sz w:val="22"/>
          <w:szCs w:val="22"/>
        </w:rPr>
        <w:t xml:space="preserve">, </w:t>
      </w:r>
      <w:r w:rsidR="0060659C" w:rsidRPr="00316C5F">
        <w:rPr>
          <w:rFonts w:ascii="Arial" w:hAnsi="Arial" w:cs="Arial"/>
          <w:color w:val="000000" w:themeColor="text1"/>
          <w:sz w:val="22"/>
          <w:szCs w:val="22"/>
        </w:rPr>
        <w:t xml:space="preserve">2014). </w:t>
      </w:r>
    </w:p>
    <w:p w14:paraId="61F5155E" w14:textId="77777777" w:rsidR="004D0AF4" w:rsidRPr="00790C2D" w:rsidRDefault="004D0AF4" w:rsidP="00E20901">
      <w:pPr>
        <w:rPr>
          <w:rFonts w:ascii="Arial" w:hAnsi="Arial" w:cs="Arial"/>
          <w:b/>
          <w:bCs/>
          <w:color w:val="000000" w:themeColor="text1"/>
        </w:rPr>
      </w:pPr>
    </w:p>
    <w:p w14:paraId="4C855043" w14:textId="35CBAE93" w:rsidR="0055547F" w:rsidRPr="004D0AF4" w:rsidRDefault="000F0414" w:rsidP="00E20901">
      <w:pPr>
        <w:rPr>
          <w:rFonts w:ascii="Arial" w:hAnsi="Arial" w:cs="Arial"/>
          <w:b/>
          <w:bCs/>
          <w:color w:val="000000" w:themeColor="text1"/>
        </w:rPr>
      </w:pPr>
      <w:r w:rsidRPr="004D0AF4">
        <w:rPr>
          <w:rFonts w:ascii="Arial" w:hAnsi="Arial" w:cs="Arial"/>
          <w:b/>
          <w:bCs/>
          <w:color w:val="000000" w:themeColor="text1"/>
        </w:rPr>
        <w:t>2. OBJECTIVES OF THE STUDY</w:t>
      </w:r>
    </w:p>
    <w:p w14:paraId="7BBFCDA0" w14:textId="06B5F3DB" w:rsidR="00A627A7" w:rsidRPr="004D0AF4" w:rsidRDefault="00A66836" w:rsidP="0055547F">
      <w:pPr>
        <w:jc w:val="both"/>
        <w:rPr>
          <w:rFonts w:ascii="Arial" w:hAnsi="Arial" w:cs="Arial"/>
          <w:color w:val="000000" w:themeColor="text1"/>
        </w:rPr>
      </w:pPr>
      <w:r w:rsidRPr="004D0AF4">
        <w:rPr>
          <w:rFonts w:ascii="Arial" w:hAnsi="Arial" w:cs="Arial"/>
          <w:color w:val="000000" w:themeColor="text1"/>
        </w:rPr>
        <w:t>F</w:t>
      </w:r>
      <w:r w:rsidR="00A627A7" w:rsidRPr="004D0AF4">
        <w:rPr>
          <w:rFonts w:ascii="Arial" w:hAnsi="Arial" w:cs="Arial"/>
          <w:color w:val="000000" w:themeColor="text1"/>
        </w:rPr>
        <w:t>ollowing objectives</w:t>
      </w:r>
      <w:r w:rsidRPr="004D0AF4">
        <w:rPr>
          <w:rFonts w:ascii="Arial" w:hAnsi="Arial" w:cs="Arial"/>
          <w:color w:val="000000" w:themeColor="text1"/>
        </w:rPr>
        <w:t xml:space="preserve"> were </w:t>
      </w:r>
      <w:r w:rsidR="001846E4" w:rsidRPr="004D0AF4">
        <w:rPr>
          <w:rFonts w:ascii="Arial" w:hAnsi="Arial" w:cs="Arial"/>
          <w:color w:val="000000" w:themeColor="text1"/>
        </w:rPr>
        <w:t>framed</w:t>
      </w:r>
      <w:r w:rsidR="00A627A7" w:rsidRPr="004D0AF4">
        <w:rPr>
          <w:rFonts w:ascii="Arial" w:hAnsi="Arial" w:cs="Arial"/>
          <w:color w:val="000000" w:themeColor="text1"/>
        </w:rPr>
        <w:t xml:space="preserve"> for </w:t>
      </w:r>
      <w:r w:rsidR="001846E4" w:rsidRPr="004D0AF4">
        <w:rPr>
          <w:rFonts w:ascii="Arial" w:hAnsi="Arial" w:cs="Arial"/>
          <w:color w:val="000000" w:themeColor="text1"/>
        </w:rPr>
        <w:t xml:space="preserve">the </w:t>
      </w:r>
      <w:r w:rsidR="00A627A7" w:rsidRPr="004D0AF4">
        <w:rPr>
          <w:rFonts w:ascii="Arial" w:hAnsi="Arial" w:cs="Arial"/>
          <w:color w:val="000000" w:themeColor="text1"/>
        </w:rPr>
        <w:t>research stud</w:t>
      </w:r>
      <w:r w:rsidRPr="004D0AF4">
        <w:rPr>
          <w:rFonts w:ascii="Arial" w:hAnsi="Arial" w:cs="Arial"/>
          <w:color w:val="000000" w:themeColor="text1"/>
        </w:rPr>
        <w:t>y:</w:t>
      </w:r>
    </w:p>
    <w:p w14:paraId="23978F0E" w14:textId="778919D3" w:rsidR="000855A2" w:rsidRDefault="00175BE5" w:rsidP="0055547F">
      <w:pPr>
        <w:jc w:val="both"/>
        <w:rPr>
          <w:rFonts w:ascii="Arial" w:hAnsi="Arial" w:cs="Arial"/>
          <w:color w:val="000000" w:themeColor="text1"/>
        </w:rPr>
      </w:pPr>
      <w:r w:rsidRPr="004D0AF4">
        <w:rPr>
          <w:rFonts w:ascii="Arial" w:hAnsi="Arial" w:cs="Arial"/>
          <w:color w:val="000000" w:themeColor="text1"/>
        </w:rPr>
        <w:t>1.</w:t>
      </w:r>
      <w:r w:rsidR="001846E4" w:rsidRPr="004D0AF4">
        <w:rPr>
          <w:rFonts w:ascii="Arial" w:hAnsi="Arial" w:cs="Arial"/>
          <w:color w:val="000000" w:themeColor="text1"/>
        </w:rPr>
        <w:t xml:space="preserve"> </w:t>
      </w:r>
      <w:r w:rsidRPr="004D0AF4">
        <w:rPr>
          <w:rFonts w:ascii="Arial" w:hAnsi="Arial" w:cs="Arial"/>
          <w:color w:val="000000" w:themeColor="text1"/>
        </w:rPr>
        <w:t xml:space="preserve">To know </w:t>
      </w:r>
      <w:r w:rsidR="00467556">
        <w:rPr>
          <w:rFonts w:ascii="Arial" w:hAnsi="Arial" w:cs="Arial"/>
          <w:color w:val="000000" w:themeColor="text1"/>
        </w:rPr>
        <w:t xml:space="preserve">the </w:t>
      </w:r>
      <w:r w:rsidRPr="004D0AF4">
        <w:rPr>
          <w:rFonts w:ascii="Arial" w:hAnsi="Arial" w:cs="Arial"/>
          <w:color w:val="000000" w:themeColor="text1"/>
        </w:rPr>
        <w:t xml:space="preserve">status of tribal education </w:t>
      </w:r>
      <w:r w:rsidR="000855A2">
        <w:rPr>
          <w:rFonts w:ascii="Arial" w:hAnsi="Arial" w:cs="Arial"/>
          <w:color w:val="000000" w:themeColor="text1"/>
        </w:rPr>
        <w:t>in</w:t>
      </w:r>
      <w:r w:rsidR="00467556">
        <w:rPr>
          <w:rFonts w:ascii="Arial" w:hAnsi="Arial" w:cs="Arial"/>
          <w:color w:val="000000" w:themeColor="text1"/>
        </w:rPr>
        <w:t xml:space="preserve"> </w:t>
      </w:r>
      <w:r w:rsidR="00CA6A89">
        <w:rPr>
          <w:rFonts w:ascii="Arial" w:hAnsi="Arial" w:cs="Arial"/>
          <w:color w:val="000000" w:themeColor="text1"/>
        </w:rPr>
        <w:t>study regions.</w:t>
      </w:r>
    </w:p>
    <w:p w14:paraId="67DA5045" w14:textId="2D1F449A" w:rsidR="0055547F" w:rsidRPr="004D0AF4" w:rsidRDefault="00175BE5" w:rsidP="0055547F">
      <w:pPr>
        <w:jc w:val="both"/>
        <w:rPr>
          <w:rFonts w:ascii="Arial" w:hAnsi="Arial" w:cs="Arial"/>
          <w:color w:val="000000" w:themeColor="text1"/>
        </w:rPr>
      </w:pPr>
      <w:r w:rsidRPr="004D0AF4">
        <w:rPr>
          <w:rFonts w:ascii="Arial" w:hAnsi="Arial" w:cs="Arial"/>
          <w:color w:val="000000" w:themeColor="text1"/>
        </w:rPr>
        <w:t>2</w:t>
      </w:r>
      <w:r w:rsidR="0055547F" w:rsidRPr="004D0AF4">
        <w:rPr>
          <w:rFonts w:ascii="Arial" w:hAnsi="Arial" w:cs="Arial"/>
          <w:color w:val="000000" w:themeColor="text1"/>
        </w:rPr>
        <w:t>.</w:t>
      </w:r>
      <w:r w:rsidR="001846E4" w:rsidRPr="004D0AF4">
        <w:rPr>
          <w:rFonts w:ascii="Arial" w:hAnsi="Arial" w:cs="Arial"/>
          <w:color w:val="000000" w:themeColor="text1"/>
        </w:rPr>
        <w:t xml:space="preserve"> </w:t>
      </w:r>
      <w:r w:rsidR="0055547F" w:rsidRPr="004D0AF4">
        <w:rPr>
          <w:rFonts w:ascii="Arial" w:hAnsi="Arial" w:cs="Arial"/>
          <w:color w:val="000000" w:themeColor="text1"/>
        </w:rPr>
        <w:t xml:space="preserve">To </w:t>
      </w:r>
      <w:r w:rsidRPr="004D0AF4">
        <w:rPr>
          <w:rFonts w:ascii="Arial" w:hAnsi="Arial" w:cs="Arial"/>
          <w:color w:val="000000" w:themeColor="text1"/>
        </w:rPr>
        <w:t>understand the welfare schemes</w:t>
      </w:r>
      <w:r w:rsidR="0055547F" w:rsidRPr="004D0AF4">
        <w:rPr>
          <w:rFonts w:ascii="Arial" w:hAnsi="Arial" w:cs="Arial"/>
          <w:color w:val="000000" w:themeColor="text1"/>
        </w:rPr>
        <w:t>, programmes</w:t>
      </w:r>
      <w:r w:rsidR="001846E4" w:rsidRPr="004D0AF4">
        <w:rPr>
          <w:rFonts w:ascii="Arial" w:hAnsi="Arial" w:cs="Arial"/>
          <w:color w:val="000000" w:themeColor="text1"/>
        </w:rPr>
        <w:t>,</w:t>
      </w:r>
      <w:r w:rsidR="0055547F" w:rsidRPr="004D0AF4">
        <w:rPr>
          <w:rFonts w:ascii="Arial" w:hAnsi="Arial" w:cs="Arial"/>
          <w:color w:val="000000" w:themeColor="text1"/>
        </w:rPr>
        <w:t xml:space="preserve"> </w:t>
      </w:r>
      <w:r w:rsidRPr="004D0AF4">
        <w:rPr>
          <w:rFonts w:ascii="Arial" w:hAnsi="Arial" w:cs="Arial"/>
          <w:color w:val="000000" w:themeColor="text1"/>
        </w:rPr>
        <w:t>and policies implemented</w:t>
      </w:r>
      <w:r w:rsidR="00A66836" w:rsidRPr="004D0AF4">
        <w:rPr>
          <w:rFonts w:ascii="Arial" w:hAnsi="Arial" w:cs="Arial"/>
          <w:color w:val="000000" w:themeColor="text1"/>
        </w:rPr>
        <w:t xml:space="preserve"> </w:t>
      </w:r>
      <w:r w:rsidR="0055547F" w:rsidRPr="004D0AF4">
        <w:rPr>
          <w:rFonts w:ascii="Arial" w:hAnsi="Arial" w:cs="Arial"/>
          <w:color w:val="000000" w:themeColor="text1"/>
        </w:rPr>
        <w:t xml:space="preserve">for tribal </w:t>
      </w:r>
      <w:r w:rsidRPr="004D0AF4">
        <w:rPr>
          <w:rFonts w:ascii="Arial" w:hAnsi="Arial" w:cs="Arial"/>
          <w:color w:val="000000" w:themeColor="text1"/>
        </w:rPr>
        <w:t>education.</w:t>
      </w:r>
    </w:p>
    <w:p w14:paraId="50F285FB" w14:textId="77777777" w:rsidR="0060659C" w:rsidRPr="005D3962" w:rsidRDefault="0060659C" w:rsidP="00672B46">
      <w:pPr>
        <w:pStyle w:val="Default"/>
        <w:spacing w:line="360" w:lineRule="auto"/>
        <w:jc w:val="both"/>
      </w:pPr>
    </w:p>
    <w:p w14:paraId="746BD732" w14:textId="382C2A4A" w:rsidR="00DA5E56" w:rsidRPr="004D0AF4" w:rsidRDefault="000F0414" w:rsidP="004D0AF4">
      <w:pPr>
        <w:pStyle w:val="Default"/>
        <w:spacing w:line="360" w:lineRule="auto"/>
        <w:jc w:val="both"/>
        <w:rPr>
          <w:rFonts w:ascii="Arial" w:hAnsi="Arial" w:cs="Arial"/>
          <w:b/>
          <w:bCs/>
          <w:color w:val="000000" w:themeColor="text1"/>
          <w:sz w:val="22"/>
          <w:szCs w:val="22"/>
        </w:rPr>
      </w:pPr>
      <w:r w:rsidRPr="004D0AF4">
        <w:rPr>
          <w:rFonts w:ascii="Arial" w:hAnsi="Arial" w:cs="Arial"/>
          <w:b/>
          <w:bCs/>
          <w:color w:val="000000" w:themeColor="text1"/>
          <w:sz w:val="22"/>
          <w:szCs w:val="22"/>
        </w:rPr>
        <w:t>3. METHODOLOGY</w:t>
      </w:r>
    </w:p>
    <w:p w14:paraId="17BD40E8" w14:textId="25EA713B" w:rsidR="00A627A7" w:rsidRPr="00316C5F" w:rsidRDefault="00E20901" w:rsidP="004D0AF4">
      <w:pPr>
        <w:pStyle w:val="Default"/>
        <w:spacing w:line="360" w:lineRule="auto"/>
        <w:jc w:val="both"/>
        <w:rPr>
          <w:rFonts w:ascii="Arial" w:hAnsi="Arial" w:cs="Arial"/>
          <w:color w:val="000000" w:themeColor="text1"/>
          <w:sz w:val="22"/>
          <w:szCs w:val="22"/>
        </w:rPr>
      </w:pPr>
      <w:r w:rsidRPr="00316C5F">
        <w:rPr>
          <w:rFonts w:ascii="Arial" w:hAnsi="Arial" w:cs="Arial"/>
          <w:color w:val="000000" w:themeColor="text1"/>
          <w:sz w:val="22"/>
          <w:szCs w:val="22"/>
        </w:rPr>
        <w:t xml:space="preserve">The primary data were </w:t>
      </w:r>
      <w:r w:rsidR="00A66836" w:rsidRPr="00316C5F">
        <w:rPr>
          <w:rFonts w:ascii="Arial" w:hAnsi="Arial" w:cs="Arial"/>
          <w:color w:val="000000" w:themeColor="text1"/>
          <w:sz w:val="22"/>
          <w:szCs w:val="22"/>
        </w:rPr>
        <w:t>gathered by arranging in-person</w:t>
      </w:r>
      <w:r w:rsidR="00CD5005" w:rsidRPr="00316C5F">
        <w:rPr>
          <w:rFonts w:ascii="Arial" w:hAnsi="Arial" w:cs="Arial"/>
          <w:color w:val="000000" w:themeColor="text1"/>
          <w:sz w:val="22"/>
          <w:szCs w:val="22"/>
        </w:rPr>
        <w:t xml:space="preserve"> and student</w:t>
      </w:r>
      <w:r w:rsidR="00A66836" w:rsidRPr="00316C5F">
        <w:rPr>
          <w:rFonts w:ascii="Arial" w:hAnsi="Arial" w:cs="Arial"/>
          <w:color w:val="000000" w:themeColor="text1"/>
          <w:sz w:val="22"/>
          <w:szCs w:val="22"/>
        </w:rPr>
        <w:t xml:space="preserve"> discussions, </w:t>
      </w:r>
      <w:r w:rsidR="00CD5005" w:rsidRPr="00316C5F">
        <w:rPr>
          <w:rFonts w:ascii="Arial" w:hAnsi="Arial" w:cs="Arial"/>
          <w:color w:val="000000" w:themeColor="text1"/>
          <w:sz w:val="22"/>
          <w:szCs w:val="22"/>
        </w:rPr>
        <w:t xml:space="preserve">and </w:t>
      </w:r>
      <w:r w:rsidR="00DA5E56" w:rsidRPr="00316C5F">
        <w:rPr>
          <w:rFonts w:ascii="Arial" w:hAnsi="Arial" w:cs="Arial"/>
          <w:color w:val="000000" w:themeColor="text1"/>
          <w:sz w:val="22"/>
          <w:szCs w:val="22"/>
        </w:rPr>
        <w:t>questionnaires</w:t>
      </w:r>
      <w:r w:rsidR="00CD5005" w:rsidRPr="00316C5F">
        <w:rPr>
          <w:rFonts w:ascii="Arial" w:hAnsi="Arial" w:cs="Arial"/>
          <w:color w:val="000000" w:themeColor="text1"/>
          <w:sz w:val="22"/>
          <w:szCs w:val="22"/>
        </w:rPr>
        <w:t xml:space="preserve">. </w:t>
      </w:r>
      <w:r w:rsidR="00DA5E56" w:rsidRPr="00316C5F">
        <w:rPr>
          <w:rFonts w:ascii="Arial" w:hAnsi="Arial" w:cs="Arial"/>
          <w:color w:val="000000" w:themeColor="text1"/>
          <w:sz w:val="22"/>
          <w:szCs w:val="22"/>
        </w:rPr>
        <w:t xml:space="preserve">In addition, secondary data were gathered from various </w:t>
      </w:r>
      <w:r w:rsidR="001846E4" w:rsidRPr="00316C5F">
        <w:rPr>
          <w:rFonts w:ascii="Arial" w:hAnsi="Arial" w:cs="Arial"/>
          <w:color w:val="000000" w:themeColor="text1"/>
          <w:sz w:val="22"/>
          <w:szCs w:val="22"/>
        </w:rPr>
        <w:t>sources</w:t>
      </w:r>
      <w:r w:rsidR="00DA5E56" w:rsidRPr="00316C5F">
        <w:rPr>
          <w:rFonts w:ascii="Arial" w:hAnsi="Arial" w:cs="Arial"/>
          <w:color w:val="000000" w:themeColor="text1"/>
          <w:sz w:val="22"/>
          <w:szCs w:val="22"/>
        </w:rPr>
        <w:t xml:space="preserve">, including government enrollment records, </w:t>
      </w:r>
      <w:r w:rsidR="00CD5005" w:rsidRPr="00316C5F">
        <w:rPr>
          <w:rFonts w:ascii="Arial" w:hAnsi="Arial" w:cs="Arial"/>
          <w:color w:val="000000" w:themeColor="text1"/>
          <w:sz w:val="22"/>
          <w:szCs w:val="22"/>
        </w:rPr>
        <w:t xml:space="preserve">census reports, </w:t>
      </w:r>
      <w:r w:rsidR="00DA5E56" w:rsidRPr="00316C5F">
        <w:rPr>
          <w:rFonts w:ascii="Arial" w:hAnsi="Arial" w:cs="Arial"/>
          <w:color w:val="000000" w:themeColor="text1"/>
          <w:sz w:val="22"/>
          <w:szCs w:val="22"/>
        </w:rPr>
        <w:t>periodicals,</w:t>
      </w:r>
      <w:r w:rsidR="00CD5005" w:rsidRPr="00316C5F">
        <w:rPr>
          <w:rFonts w:ascii="Arial" w:hAnsi="Arial" w:cs="Arial"/>
          <w:color w:val="000000" w:themeColor="text1"/>
          <w:sz w:val="22"/>
          <w:szCs w:val="22"/>
        </w:rPr>
        <w:t xml:space="preserve"> journals, and</w:t>
      </w:r>
      <w:r w:rsidR="00DA5E56" w:rsidRPr="00316C5F">
        <w:rPr>
          <w:rFonts w:ascii="Arial" w:hAnsi="Arial" w:cs="Arial"/>
          <w:color w:val="000000" w:themeColor="text1"/>
          <w:sz w:val="22"/>
          <w:szCs w:val="22"/>
        </w:rPr>
        <w:t xml:space="preserve"> magazines</w:t>
      </w:r>
      <w:r w:rsidR="00380E26" w:rsidRPr="00316C5F">
        <w:rPr>
          <w:rFonts w:ascii="Arial" w:hAnsi="Arial" w:cs="Arial"/>
          <w:color w:val="000000" w:themeColor="text1"/>
          <w:sz w:val="22"/>
          <w:szCs w:val="22"/>
        </w:rPr>
        <w:t xml:space="preserve"> (Kokate and Swami 2020)</w:t>
      </w:r>
      <w:r w:rsidR="00CD5005" w:rsidRPr="00316C5F">
        <w:rPr>
          <w:rFonts w:ascii="Arial" w:hAnsi="Arial" w:cs="Arial"/>
          <w:color w:val="000000" w:themeColor="text1"/>
          <w:sz w:val="22"/>
          <w:szCs w:val="22"/>
        </w:rPr>
        <w:t>.</w:t>
      </w:r>
      <w:r w:rsidR="001846E4" w:rsidRPr="00316C5F">
        <w:rPr>
          <w:rFonts w:ascii="Arial" w:hAnsi="Arial" w:cs="Arial"/>
          <w:color w:val="000000" w:themeColor="text1"/>
          <w:sz w:val="22"/>
          <w:szCs w:val="22"/>
        </w:rPr>
        <w:t xml:space="preserve"> </w:t>
      </w:r>
      <w:r w:rsidR="00A627A7" w:rsidRPr="00316C5F">
        <w:rPr>
          <w:rFonts w:ascii="Arial" w:hAnsi="Arial" w:cs="Arial"/>
          <w:color w:val="000000" w:themeColor="text1"/>
          <w:sz w:val="22"/>
          <w:szCs w:val="22"/>
        </w:rPr>
        <w:t>For this study,</w:t>
      </w:r>
      <w:r w:rsidR="00CD5005" w:rsidRPr="00316C5F">
        <w:rPr>
          <w:rFonts w:ascii="Arial" w:hAnsi="Arial" w:cs="Arial"/>
          <w:color w:val="000000" w:themeColor="text1"/>
          <w:sz w:val="22"/>
          <w:szCs w:val="22"/>
        </w:rPr>
        <w:t xml:space="preserve"> </w:t>
      </w:r>
      <w:r w:rsidR="00A627A7" w:rsidRPr="00316C5F">
        <w:rPr>
          <w:rFonts w:ascii="Arial" w:hAnsi="Arial" w:cs="Arial"/>
          <w:color w:val="000000" w:themeColor="text1"/>
          <w:sz w:val="22"/>
          <w:szCs w:val="22"/>
        </w:rPr>
        <w:t xml:space="preserve">quantitative and qualitative data were </w:t>
      </w:r>
      <w:r w:rsidR="00CD5005" w:rsidRPr="00316C5F">
        <w:rPr>
          <w:rFonts w:ascii="Arial" w:hAnsi="Arial" w:cs="Arial"/>
          <w:color w:val="000000" w:themeColor="text1"/>
          <w:sz w:val="22"/>
          <w:szCs w:val="22"/>
        </w:rPr>
        <w:t xml:space="preserve">gathered, and </w:t>
      </w:r>
      <w:r w:rsidR="00A627A7" w:rsidRPr="00316C5F">
        <w:rPr>
          <w:rFonts w:ascii="Arial" w:hAnsi="Arial" w:cs="Arial"/>
          <w:color w:val="000000" w:themeColor="text1"/>
          <w:sz w:val="22"/>
          <w:szCs w:val="22"/>
        </w:rPr>
        <w:t xml:space="preserve">statistical and non-statistical </w:t>
      </w:r>
      <w:r w:rsidR="001846E4" w:rsidRPr="00316C5F">
        <w:rPr>
          <w:rFonts w:ascii="Arial" w:hAnsi="Arial" w:cs="Arial"/>
          <w:color w:val="000000" w:themeColor="text1"/>
          <w:sz w:val="22"/>
          <w:szCs w:val="22"/>
        </w:rPr>
        <w:t>analyses</w:t>
      </w:r>
      <w:r w:rsidR="00A627A7" w:rsidRPr="00316C5F">
        <w:rPr>
          <w:rFonts w:ascii="Arial" w:hAnsi="Arial" w:cs="Arial"/>
          <w:color w:val="000000" w:themeColor="text1"/>
          <w:sz w:val="22"/>
          <w:szCs w:val="22"/>
        </w:rPr>
        <w:t xml:space="preserve"> were employed to support the findings of the results.</w:t>
      </w:r>
    </w:p>
    <w:p w14:paraId="4ED3B169" w14:textId="77777777" w:rsidR="00633A1C" w:rsidRDefault="00633A1C" w:rsidP="001846E4">
      <w:pPr>
        <w:pStyle w:val="Default"/>
        <w:spacing w:line="360" w:lineRule="auto"/>
        <w:jc w:val="both"/>
      </w:pPr>
    </w:p>
    <w:p w14:paraId="6DCC0F85" w14:textId="69EB0381" w:rsidR="00633A1C" w:rsidRPr="004D0AF4" w:rsidRDefault="000F0414" w:rsidP="00633A1C">
      <w:pPr>
        <w:spacing w:line="360" w:lineRule="auto"/>
        <w:rPr>
          <w:rFonts w:ascii="Arial" w:hAnsi="Arial" w:cs="Arial"/>
          <w:b/>
          <w:bCs/>
          <w:color w:val="000000" w:themeColor="text1"/>
        </w:rPr>
      </w:pPr>
      <w:r w:rsidRPr="004D0AF4">
        <w:rPr>
          <w:rFonts w:ascii="Arial" w:hAnsi="Arial" w:cs="Arial"/>
          <w:b/>
          <w:bCs/>
          <w:color w:val="000000" w:themeColor="text1"/>
        </w:rPr>
        <w:t>4. RESULTS AND DISCUSSION</w:t>
      </w:r>
    </w:p>
    <w:p w14:paraId="2C952DD4" w14:textId="0DEA9731" w:rsidR="00E82470" w:rsidRPr="004D0AF4" w:rsidRDefault="00C32CB0" w:rsidP="00E82470">
      <w:pPr>
        <w:spacing w:line="360" w:lineRule="auto"/>
        <w:jc w:val="both"/>
        <w:rPr>
          <w:rFonts w:ascii="Arial" w:hAnsi="Arial" w:cs="Arial"/>
          <w:color w:val="000000" w:themeColor="text1"/>
          <w:lang w:val="en-US"/>
        </w:rPr>
      </w:pPr>
      <w:r w:rsidRPr="004D0AF4">
        <w:rPr>
          <w:rFonts w:ascii="Arial" w:hAnsi="Arial" w:cs="Arial"/>
          <w:color w:val="000000" w:themeColor="text1"/>
          <w:lang w:val="en-US"/>
        </w:rPr>
        <w:t>Tribal education is generally described as educational programs especially for tribal communities to address their basic needs and difficulties, which are sometimes caused by their physical and cultural isolation. In these communities, it is essential for social inclusion, cultural identity preservation, and development</w:t>
      </w:r>
      <w:r w:rsidR="00BB1140" w:rsidRPr="004D0AF4">
        <w:rPr>
          <w:rFonts w:ascii="Arial" w:hAnsi="Arial" w:cs="Arial"/>
          <w:color w:val="000000" w:themeColor="text1"/>
          <w:lang w:val="en-US"/>
        </w:rPr>
        <w:t>.</w:t>
      </w:r>
      <w:r w:rsidR="004D0AF4" w:rsidRPr="004D0AF4">
        <w:rPr>
          <w:rFonts w:ascii="Arial" w:hAnsi="Arial" w:cs="Arial"/>
          <w:color w:val="000000" w:themeColor="text1"/>
          <w:lang w:val="en-US"/>
        </w:rPr>
        <w:t xml:space="preserve"> </w:t>
      </w:r>
      <w:r w:rsidRPr="004D0AF4">
        <w:rPr>
          <w:rFonts w:ascii="Arial" w:hAnsi="Arial" w:cs="Arial"/>
          <w:color w:val="000000" w:themeColor="text1"/>
          <w:lang w:val="en-US"/>
        </w:rPr>
        <w:t xml:space="preserve">As per the 2011 Census, Scheduled Tribes (STs) make up about 8.6 % of the population in India. These communities have been marginalized and geographically remote, and they have encountered several obstacles to receiving high-quality education </w:t>
      </w:r>
      <w:r w:rsidR="00F76AD3" w:rsidRPr="004D0AF4">
        <w:rPr>
          <w:rFonts w:ascii="Arial" w:hAnsi="Arial" w:cs="Arial"/>
          <w:color w:val="000000" w:themeColor="text1"/>
          <w:lang w:val="en-US"/>
        </w:rPr>
        <w:t xml:space="preserve">due to the </w:t>
      </w:r>
      <w:r w:rsidRPr="004D0AF4">
        <w:rPr>
          <w:rFonts w:ascii="Arial" w:hAnsi="Arial" w:cs="Arial"/>
          <w:color w:val="000000" w:themeColor="text1"/>
          <w:lang w:val="en-US"/>
        </w:rPr>
        <w:t>lack of infrastructure, poverty, language barriers, and cultural alienation.</w:t>
      </w:r>
      <w:r w:rsidR="00E82470" w:rsidRPr="004D0AF4">
        <w:rPr>
          <w:rFonts w:ascii="Arial" w:hAnsi="Arial" w:cs="Arial"/>
          <w:color w:val="000000" w:themeColor="text1"/>
          <w:lang w:val="en-US"/>
        </w:rPr>
        <w:t xml:space="preserve"> </w:t>
      </w:r>
      <w:r w:rsidR="00F76AD3" w:rsidRPr="004D0AF4">
        <w:rPr>
          <w:rFonts w:ascii="Arial" w:hAnsi="Arial" w:cs="Arial"/>
          <w:color w:val="000000" w:themeColor="text1"/>
          <w:lang w:val="en-US"/>
        </w:rPr>
        <w:t xml:space="preserve">Education is a potent tool for social advancement and empowerment. The Indian government, along with the state government and non-governmental organizations, has put a number of programs and policies to raise the literacy and educational attainment of tribal groups. </w:t>
      </w:r>
      <w:r w:rsidR="00E82470" w:rsidRPr="004D0AF4">
        <w:rPr>
          <w:rFonts w:ascii="Arial" w:hAnsi="Arial" w:cs="Arial"/>
          <w:color w:val="000000" w:themeColor="text1"/>
          <w:lang w:val="en-US"/>
        </w:rPr>
        <w:t>The literacy rates and enrolment levels in tribal communities have improved over the decades. However, notable disparities still exist when compared to the general population, particularly in higher education and female literacy.</w:t>
      </w:r>
    </w:p>
    <w:p w14:paraId="6DEE1A61" w14:textId="77777777" w:rsidR="00653B65" w:rsidRDefault="00653B65" w:rsidP="00E82470">
      <w:pPr>
        <w:spacing w:line="360" w:lineRule="auto"/>
        <w:jc w:val="both"/>
        <w:rPr>
          <w:rFonts w:ascii="Times New Roman" w:hAnsi="Times New Roman" w:cs="Times New Roman"/>
          <w:b/>
          <w:bCs/>
          <w:color w:val="00B050"/>
          <w:sz w:val="25"/>
          <w:szCs w:val="25"/>
        </w:rPr>
      </w:pPr>
    </w:p>
    <w:p w14:paraId="5C8C4155" w14:textId="5ED6B517" w:rsidR="00EC6A8E" w:rsidRPr="00653B65" w:rsidRDefault="000F0414" w:rsidP="00653B65">
      <w:pPr>
        <w:spacing w:line="360" w:lineRule="auto"/>
        <w:jc w:val="both"/>
        <w:rPr>
          <w:rFonts w:ascii="Arial" w:hAnsi="Arial" w:cs="Arial"/>
          <w:b/>
          <w:bCs/>
          <w:color w:val="000000" w:themeColor="text1"/>
        </w:rPr>
      </w:pPr>
      <w:r w:rsidRPr="00653B65">
        <w:rPr>
          <w:rFonts w:ascii="Arial" w:hAnsi="Arial" w:cs="Arial"/>
          <w:b/>
          <w:bCs/>
          <w:color w:val="000000" w:themeColor="text1"/>
        </w:rPr>
        <w:t>4.1 PROBLEMS OF TRIBAL COMMUNITIES</w:t>
      </w:r>
    </w:p>
    <w:p w14:paraId="0BB34EB2" w14:textId="79249F8D" w:rsidR="00EC6A8E" w:rsidRPr="00316C5F" w:rsidRDefault="00EC6A8E" w:rsidP="00653B65">
      <w:pPr>
        <w:spacing w:line="360" w:lineRule="auto"/>
        <w:jc w:val="both"/>
        <w:rPr>
          <w:rFonts w:ascii="Arial" w:hAnsi="Arial" w:cs="Arial"/>
          <w:color w:val="000000" w:themeColor="text1"/>
        </w:rPr>
      </w:pPr>
      <w:r w:rsidRPr="00316C5F">
        <w:rPr>
          <w:rFonts w:ascii="Arial" w:hAnsi="Arial" w:cs="Arial"/>
          <w:color w:val="000000" w:themeColor="text1"/>
          <w:lang w:val="en-US"/>
        </w:rPr>
        <w:t xml:space="preserve">In India, tribal communities are resource-poor, geographically isolated, illiterate, politically indifferent, culturally diverse, uncomplicated, and trustworthy. They encounter difficulties or problems within the context of socioeconomic, cultural, and political development. They make just enough money to get by and are frequently perceived as socially inferior. Their situation is </w:t>
      </w:r>
      <w:r w:rsidR="00E64458" w:rsidRPr="00316C5F">
        <w:rPr>
          <w:rFonts w:ascii="Arial" w:hAnsi="Arial" w:cs="Arial"/>
          <w:color w:val="000000" w:themeColor="text1"/>
          <w:lang w:val="en-US"/>
        </w:rPr>
        <w:t>characterized</w:t>
      </w:r>
      <w:r w:rsidRPr="00316C5F">
        <w:rPr>
          <w:rFonts w:ascii="Arial" w:hAnsi="Arial" w:cs="Arial"/>
          <w:color w:val="000000" w:themeColor="text1"/>
          <w:lang w:val="en-US"/>
        </w:rPr>
        <w:t xml:space="preserve"> by poverty, adversity, and challenges, and they are unable to manage on their own; therefore, social and governmental involvement is required to alleviate their suffering and promote development </w:t>
      </w:r>
      <w:r w:rsidRPr="00316C5F">
        <w:rPr>
          <w:rFonts w:ascii="Arial" w:hAnsi="Arial" w:cs="Arial"/>
          <w:color w:val="000000" w:themeColor="text1"/>
        </w:rPr>
        <w:t>(Gupta 2018</w:t>
      </w:r>
      <w:r w:rsidR="00467556" w:rsidRPr="00316C5F">
        <w:rPr>
          <w:rFonts w:ascii="Arial" w:hAnsi="Arial" w:cs="Arial"/>
          <w:color w:val="000000" w:themeColor="text1"/>
        </w:rPr>
        <w:t xml:space="preserve">). </w:t>
      </w:r>
      <w:r w:rsidRPr="00316C5F">
        <w:rPr>
          <w:rFonts w:ascii="Arial" w:hAnsi="Arial" w:cs="Arial"/>
          <w:color w:val="000000" w:themeColor="text1"/>
          <w:lang w:val="en-US"/>
        </w:rPr>
        <w:t>Tribal communities' development is greatly impacted by elements like health and education. Education is a crucial development indicator in the process of empowerment and involvement in development</w:t>
      </w:r>
      <w:r w:rsidR="00467556" w:rsidRPr="00316C5F">
        <w:rPr>
          <w:rFonts w:ascii="Arial" w:hAnsi="Arial" w:cs="Arial"/>
          <w:color w:val="000000" w:themeColor="text1"/>
          <w:lang w:val="en-US"/>
        </w:rPr>
        <w:t xml:space="preserve"> (</w:t>
      </w:r>
      <w:r w:rsidR="00467556" w:rsidRPr="00316C5F">
        <w:rPr>
          <w:rFonts w:ascii="Arial" w:hAnsi="Arial" w:cs="Arial"/>
          <w:color w:val="000000" w:themeColor="text1"/>
        </w:rPr>
        <w:t xml:space="preserve">Surendra et.al., 2019). </w:t>
      </w:r>
    </w:p>
    <w:p w14:paraId="66DA3766" w14:textId="7CF1AD51" w:rsidR="00EC6A8E" w:rsidRPr="00256ABD" w:rsidRDefault="000F0414" w:rsidP="00F3577E">
      <w:pPr>
        <w:spacing w:line="360" w:lineRule="auto"/>
        <w:jc w:val="both"/>
        <w:rPr>
          <w:rFonts w:ascii="Arial" w:hAnsi="Arial" w:cs="Arial"/>
          <w:b/>
          <w:bCs/>
          <w:color w:val="000000" w:themeColor="text1"/>
          <w:lang w:val="en-US"/>
        </w:rPr>
      </w:pPr>
      <w:r w:rsidRPr="00256ABD">
        <w:rPr>
          <w:rFonts w:ascii="Arial" w:hAnsi="Arial" w:cs="Arial"/>
          <w:b/>
          <w:bCs/>
          <w:color w:val="000000" w:themeColor="text1"/>
          <w:lang w:val="en-US"/>
        </w:rPr>
        <w:t>4.2 TRIBAL EDUCATION STATUS IN MAHARASHTRA AND INDIA</w:t>
      </w:r>
    </w:p>
    <w:p w14:paraId="1BEFE1CC" w14:textId="73A28858" w:rsidR="00F3577E" w:rsidRPr="00653B65" w:rsidRDefault="00F3577E" w:rsidP="00F3577E">
      <w:pPr>
        <w:spacing w:line="360" w:lineRule="auto"/>
        <w:jc w:val="both"/>
        <w:rPr>
          <w:rFonts w:ascii="Arial" w:hAnsi="Arial" w:cs="Arial"/>
          <w:color w:val="000000" w:themeColor="text1"/>
        </w:rPr>
      </w:pPr>
      <w:r w:rsidRPr="00653B65">
        <w:rPr>
          <w:rFonts w:ascii="Arial" w:hAnsi="Arial" w:cs="Arial"/>
          <w:color w:val="000000" w:themeColor="text1"/>
        </w:rPr>
        <w:t>Data depicted from Table 1. In India, as per the 1991 census report, the total scheduled tribe population was 6.76 crore, increasing to 8.43 crore in 2001, and 10.43 crore in 2011. This indicates that the growth of the ST population 24.7 % increased from 1991 to 2001 and by 23.7 % from 2001 to 2011. The tribe’s population percentage of the gross population has slightly increased from 8.0% in 1991 to 8.6% in 2011. While in Maharashtra state, the scheduled tribes’ population grew from 0.73 crore in 1991 to 0.85 crore in 2001 and increased to 1.05 crore in 2011. The scheduled tribes' population growth rate increased 16.4 % from 1991 to 2001 and 23.5 %from 2001 to 2011.</w:t>
      </w:r>
    </w:p>
    <w:p w14:paraId="487C51EF" w14:textId="77777777" w:rsidR="00633A1C" w:rsidRPr="00256ABD" w:rsidRDefault="00633A1C" w:rsidP="00633A1C">
      <w:pPr>
        <w:rPr>
          <w:rFonts w:ascii="Arial" w:hAnsi="Arial" w:cs="Arial"/>
          <w:b/>
          <w:bCs/>
          <w:color w:val="000000" w:themeColor="text1"/>
        </w:rPr>
      </w:pPr>
      <w:r w:rsidRPr="00256ABD">
        <w:rPr>
          <w:rFonts w:ascii="Arial" w:hAnsi="Arial" w:cs="Arial"/>
          <w:b/>
          <w:bCs/>
          <w:color w:val="000000" w:themeColor="text1"/>
        </w:rPr>
        <w:t>Table 1: Total ST Population, percentage of total population, and ST Literacy Rate (%) in India and Maharashtra (1991, 2001, 2011)</w:t>
      </w:r>
    </w:p>
    <w:tbl>
      <w:tblPr>
        <w:tblStyle w:val="TableGridLight"/>
        <w:tblW w:w="0" w:type="auto"/>
        <w:tblLook w:val="04A0" w:firstRow="1" w:lastRow="0" w:firstColumn="1" w:lastColumn="0" w:noHBand="0" w:noVBand="1"/>
      </w:tblPr>
      <w:tblGrid>
        <w:gridCol w:w="706"/>
        <w:gridCol w:w="1452"/>
        <w:gridCol w:w="2658"/>
        <w:gridCol w:w="1996"/>
        <w:gridCol w:w="2204"/>
      </w:tblGrid>
      <w:tr w:rsidR="00633A1C" w:rsidRPr="00256ABD" w14:paraId="3C147877" w14:textId="77777777" w:rsidTr="00502C2D">
        <w:tc>
          <w:tcPr>
            <w:tcW w:w="0" w:type="auto"/>
            <w:hideMark/>
          </w:tcPr>
          <w:p w14:paraId="646017F6"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Year</w:t>
            </w:r>
          </w:p>
        </w:tc>
        <w:tc>
          <w:tcPr>
            <w:tcW w:w="0" w:type="auto"/>
            <w:hideMark/>
          </w:tcPr>
          <w:p w14:paraId="558425E9"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Region</w:t>
            </w:r>
          </w:p>
        </w:tc>
        <w:tc>
          <w:tcPr>
            <w:tcW w:w="2658" w:type="dxa"/>
            <w:hideMark/>
          </w:tcPr>
          <w:p w14:paraId="49AF4AEA"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 xml:space="preserve">Total ST </w:t>
            </w:r>
          </w:p>
          <w:p w14:paraId="64D9C2BB"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Population (in Cr)</w:t>
            </w:r>
          </w:p>
        </w:tc>
        <w:tc>
          <w:tcPr>
            <w:tcW w:w="1996" w:type="dxa"/>
            <w:hideMark/>
          </w:tcPr>
          <w:p w14:paraId="111063F7"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 of Total Population</w:t>
            </w:r>
          </w:p>
        </w:tc>
        <w:tc>
          <w:tcPr>
            <w:tcW w:w="0" w:type="auto"/>
            <w:hideMark/>
          </w:tcPr>
          <w:p w14:paraId="3CD7C104"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ST Literacy Rate (%)</w:t>
            </w:r>
          </w:p>
        </w:tc>
      </w:tr>
      <w:tr w:rsidR="00633A1C" w:rsidRPr="00256ABD" w14:paraId="19946E79" w14:textId="77777777" w:rsidTr="00502C2D">
        <w:tc>
          <w:tcPr>
            <w:tcW w:w="0" w:type="auto"/>
            <w:vMerge w:val="restart"/>
            <w:hideMark/>
          </w:tcPr>
          <w:p w14:paraId="785E480A"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1991</w:t>
            </w:r>
          </w:p>
        </w:tc>
        <w:tc>
          <w:tcPr>
            <w:tcW w:w="0" w:type="auto"/>
            <w:hideMark/>
          </w:tcPr>
          <w:p w14:paraId="53FEAD87"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India</w:t>
            </w:r>
          </w:p>
        </w:tc>
        <w:tc>
          <w:tcPr>
            <w:tcW w:w="2658" w:type="dxa"/>
            <w:hideMark/>
          </w:tcPr>
          <w:p w14:paraId="6C5404A8"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6.76</w:t>
            </w:r>
          </w:p>
        </w:tc>
        <w:tc>
          <w:tcPr>
            <w:tcW w:w="1996" w:type="dxa"/>
            <w:hideMark/>
          </w:tcPr>
          <w:p w14:paraId="6E43A175"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8.0%</w:t>
            </w:r>
          </w:p>
        </w:tc>
        <w:tc>
          <w:tcPr>
            <w:tcW w:w="0" w:type="auto"/>
            <w:hideMark/>
          </w:tcPr>
          <w:p w14:paraId="3395EC3B"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29.6%</w:t>
            </w:r>
          </w:p>
        </w:tc>
      </w:tr>
      <w:tr w:rsidR="00633A1C" w:rsidRPr="00256ABD" w14:paraId="0610E6C3" w14:textId="77777777" w:rsidTr="00502C2D">
        <w:tc>
          <w:tcPr>
            <w:tcW w:w="0" w:type="auto"/>
            <w:vMerge/>
            <w:hideMark/>
          </w:tcPr>
          <w:p w14:paraId="6E5EE608" w14:textId="77777777" w:rsidR="00633A1C" w:rsidRPr="00256ABD" w:rsidRDefault="00633A1C" w:rsidP="00502C2D">
            <w:pPr>
              <w:spacing w:after="160" w:line="259" w:lineRule="auto"/>
              <w:rPr>
                <w:rFonts w:ascii="Arial" w:hAnsi="Arial" w:cs="Arial"/>
                <w:color w:val="000000" w:themeColor="text1"/>
              </w:rPr>
            </w:pPr>
          </w:p>
        </w:tc>
        <w:tc>
          <w:tcPr>
            <w:tcW w:w="0" w:type="auto"/>
            <w:hideMark/>
          </w:tcPr>
          <w:p w14:paraId="49ABA516"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Maharashtra</w:t>
            </w:r>
          </w:p>
        </w:tc>
        <w:tc>
          <w:tcPr>
            <w:tcW w:w="2658" w:type="dxa"/>
            <w:hideMark/>
          </w:tcPr>
          <w:p w14:paraId="58E91149"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0.73</w:t>
            </w:r>
          </w:p>
        </w:tc>
        <w:tc>
          <w:tcPr>
            <w:tcW w:w="1996" w:type="dxa"/>
            <w:hideMark/>
          </w:tcPr>
          <w:p w14:paraId="004904A0"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9.25%</w:t>
            </w:r>
          </w:p>
        </w:tc>
        <w:tc>
          <w:tcPr>
            <w:tcW w:w="0" w:type="auto"/>
            <w:hideMark/>
          </w:tcPr>
          <w:p w14:paraId="0C431F35"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29.5%</w:t>
            </w:r>
          </w:p>
        </w:tc>
      </w:tr>
      <w:tr w:rsidR="00633A1C" w:rsidRPr="00256ABD" w14:paraId="1BE9C733" w14:textId="77777777" w:rsidTr="00502C2D">
        <w:tc>
          <w:tcPr>
            <w:tcW w:w="0" w:type="auto"/>
            <w:vMerge w:val="restart"/>
            <w:hideMark/>
          </w:tcPr>
          <w:p w14:paraId="517172AA"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2001</w:t>
            </w:r>
          </w:p>
        </w:tc>
        <w:tc>
          <w:tcPr>
            <w:tcW w:w="0" w:type="auto"/>
            <w:hideMark/>
          </w:tcPr>
          <w:p w14:paraId="0848B84F"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India</w:t>
            </w:r>
          </w:p>
        </w:tc>
        <w:tc>
          <w:tcPr>
            <w:tcW w:w="2658" w:type="dxa"/>
            <w:hideMark/>
          </w:tcPr>
          <w:p w14:paraId="68D36565"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8.43</w:t>
            </w:r>
          </w:p>
        </w:tc>
        <w:tc>
          <w:tcPr>
            <w:tcW w:w="1996" w:type="dxa"/>
            <w:hideMark/>
          </w:tcPr>
          <w:p w14:paraId="10E5C476"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8.2%</w:t>
            </w:r>
          </w:p>
        </w:tc>
        <w:tc>
          <w:tcPr>
            <w:tcW w:w="0" w:type="auto"/>
            <w:hideMark/>
          </w:tcPr>
          <w:p w14:paraId="59AEA481"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47.1%</w:t>
            </w:r>
          </w:p>
        </w:tc>
      </w:tr>
      <w:tr w:rsidR="00633A1C" w:rsidRPr="00256ABD" w14:paraId="35CD0F2F" w14:textId="77777777" w:rsidTr="00502C2D">
        <w:tc>
          <w:tcPr>
            <w:tcW w:w="0" w:type="auto"/>
            <w:vMerge/>
            <w:hideMark/>
          </w:tcPr>
          <w:p w14:paraId="728BBD4D" w14:textId="77777777" w:rsidR="00633A1C" w:rsidRPr="00256ABD" w:rsidRDefault="00633A1C" w:rsidP="00502C2D">
            <w:pPr>
              <w:spacing w:after="160" w:line="259" w:lineRule="auto"/>
              <w:rPr>
                <w:rFonts w:ascii="Arial" w:hAnsi="Arial" w:cs="Arial"/>
                <w:color w:val="000000" w:themeColor="text1"/>
              </w:rPr>
            </w:pPr>
          </w:p>
        </w:tc>
        <w:tc>
          <w:tcPr>
            <w:tcW w:w="0" w:type="auto"/>
            <w:hideMark/>
          </w:tcPr>
          <w:p w14:paraId="75EA21A4"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Maharashtra</w:t>
            </w:r>
          </w:p>
        </w:tc>
        <w:tc>
          <w:tcPr>
            <w:tcW w:w="2658" w:type="dxa"/>
            <w:hideMark/>
          </w:tcPr>
          <w:p w14:paraId="3219755C"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0.85</w:t>
            </w:r>
          </w:p>
        </w:tc>
        <w:tc>
          <w:tcPr>
            <w:tcW w:w="1996" w:type="dxa"/>
            <w:hideMark/>
          </w:tcPr>
          <w:p w14:paraId="15B809BD"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8.8%</w:t>
            </w:r>
          </w:p>
        </w:tc>
        <w:tc>
          <w:tcPr>
            <w:tcW w:w="0" w:type="auto"/>
            <w:hideMark/>
          </w:tcPr>
          <w:p w14:paraId="505A5DCB"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44.5%</w:t>
            </w:r>
          </w:p>
        </w:tc>
      </w:tr>
      <w:tr w:rsidR="00633A1C" w:rsidRPr="00256ABD" w14:paraId="7D475647" w14:textId="77777777" w:rsidTr="00502C2D">
        <w:tc>
          <w:tcPr>
            <w:tcW w:w="0" w:type="auto"/>
            <w:vMerge w:val="restart"/>
            <w:hideMark/>
          </w:tcPr>
          <w:p w14:paraId="16CC6122"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2011</w:t>
            </w:r>
          </w:p>
        </w:tc>
        <w:tc>
          <w:tcPr>
            <w:tcW w:w="0" w:type="auto"/>
            <w:hideMark/>
          </w:tcPr>
          <w:p w14:paraId="39B70DC6"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India</w:t>
            </w:r>
          </w:p>
        </w:tc>
        <w:tc>
          <w:tcPr>
            <w:tcW w:w="2658" w:type="dxa"/>
            <w:hideMark/>
          </w:tcPr>
          <w:p w14:paraId="3E983627"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10.43</w:t>
            </w:r>
          </w:p>
        </w:tc>
        <w:tc>
          <w:tcPr>
            <w:tcW w:w="1996" w:type="dxa"/>
            <w:hideMark/>
          </w:tcPr>
          <w:p w14:paraId="70624C1C"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8.6%</w:t>
            </w:r>
          </w:p>
        </w:tc>
        <w:tc>
          <w:tcPr>
            <w:tcW w:w="0" w:type="auto"/>
            <w:hideMark/>
          </w:tcPr>
          <w:p w14:paraId="060EB521"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58.9%</w:t>
            </w:r>
          </w:p>
        </w:tc>
      </w:tr>
      <w:tr w:rsidR="00633A1C" w:rsidRPr="00256ABD" w14:paraId="2E9F473E" w14:textId="77777777" w:rsidTr="00502C2D">
        <w:tc>
          <w:tcPr>
            <w:tcW w:w="0" w:type="auto"/>
            <w:vMerge/>
            <w:hideMark/>
          </w:tcPr>
          <w:p w14:paraId="34C5D0D6" w14:textId="77777777" w:rsidR="00633A1C" w:rsidRPr="00256ABD" w:rsidRDefault="00633A1C" w:rsidP="00502C2D">
            <w:pPr>
              <w:spacing w:after="160" w:line="259" w:lineRule="auto"/>
              <w:rPr>
                <w:rFonts w:ascii="Arial" w:hAnsi="Arial" w:cs="Arial"/>
                <w:color w:val="000000" w:themeColor="text1"/>
              </w:rPr>
            </w:pPr>
          </w:p>
        </w:tc>
        <w:tc>
          <w:tcPr>
            <w:tcW w:w="0" w:type="auto"/>
            <w:hideMark/>
          </w:tcPr>
          <w:p w14:paraId="23E98313"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Maharashtra</w:t>
            </w:r>
          </w:p>
        </w:tc>
        <w:tc>
          <w:tcPr>
            <w:tcW w:w="2658" w:type="dxa"/>
            <w:hideMark/>
          </w:tcPr>
          <w:p w14:paraId="505647DE"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1.05</w:t>
            </w:r>
          </w:p>
        </w:tc>
        <w:tc>
          <w:tcPr>
            <w:tcW w:w="1996" w:type="dxa"/>
            <w:hideMark/>
          </w:tcPr>
          <w:p w14:paraId="190FF2EE"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9.3%</w:t>
            </w:r>
          </w:p>
        </w:tc>
        <w:tc>
          <w:tcPr>
            <w:tcW w:w="0" w:type="auto"/>
            <w:hideMark/>
          </w:tcPr>
          <w:p w14:paraId="13E761CA"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65.7%</w:t>
            </w:r>
          </w:p>
        </w:tc>
      </w:tr>
    </w:tbl>
    <w:p w14:paraId="3D558B95" w14:textId="65764714" w:rsidR="004A1F60" w:rsidRPr="00891DA8" w:rsidRDefault="000834CA" w:rsidP="004A1F60">
      <w:pPr>
        <w:spacing w:line="360" w:lineRule="auto"/>
        <w:jc w:val="both"/>
        <w:rPr>
          <w:rFonts w:ascii="Arial" w:hAnsi="Arial" w:cs="Arial"/>
          <w:sz w:val="18"/>
          <w:szCs w:val="18"/>
        </w:rPr>
      </w:pPr>
      <w:r w:rsidRPr="00891DA8">
        <w:rPr>
          <w:rFonts w:ascii="Arial" w:hAnsi="Arial" w:cs="Arial"/>
          <w:sz w:val="18"/>
          <w:szCs w:val="18"/>
        </w:rPr>
        <w:t>(</w:t>
      </w:r>
      <w:r w:rsidR="004A1F60" w:rsidRPr="00891DA8">
        <w:rPr>
          <w:rFonts w:ascii="Arial" w:hAnsi="Arial" w:cs="Arial"/>
          <w:sz w:val="18"/>
          <w:szCs w:val="18"/>
        </w:rPr>
        <w:t>Source: https://censusindia.gov.in/census.website/data/census-tables</w:t>
      </w:r>
      <w:r w:rsidRPr="00891DA8">
        <w:rPr>
          <w:rFonts w:ascii="Arial" w:hAnsi="Arial" w:cs="Arial"/>
          <w:sz w:val="18"/>
          <w:szCs w:val="18"/>
        </w:rPr>
        <w:t>)</w:t>
      </w:r>
    </w:p>
    <w:p w14:paraId="2F7CEC97" w14:textId="77777777" w:rsidR="00633A1C" w:rsidRPr="00256ABD" w:rsidRDefault="00633A1C" w:rsidP="00633A1C">
      <w:pPr>
        <w:spacing w:line="360" w:lineRule="auto"/>
        <w:rPr>
          <w:rFonts w:ascii="Arial" w:hAnsi="Arial" w:cs="Arial"/>
          <w:color w:val="000000" w:themeColor="text1"/>
        </w:rPr>
      </w:pPr>
    </w:p>
    <w:p w14:paraId="1E36101C" w14:textId="77777777" w:rsidR="00256ABD" w:rsidRDefault="00256ABD" w:rsidP="00633A1C">
      <w:pPr>
        <w:rPr>
          <w:rFonts w:ascii="Arial" w:hAnsi="Arial" w:cs="Arial"/>
          <w:color w:val="000000" w:themeColor="text1"/>
        </w:rPr>
      </w:pPr>
    </w:p>
    <w:p w14:paraId="634ADEA1" w14:textId="580008E8" w:rsidR="00633A1C" w:rsidRDefault="00633A1C" w:rsidP="00633A1C">
      <w:pPr>
        <w:spacing w:line="360" w:lineRule="auto"/>
        <w:rPr>
          <w:rFonts w:ascii="Times New Roman" w:hAnsi="Times New Roman" w:cs="Times New Roman"/>
          <w:color w:val="000000" w:themeColor="text1"/>
          <w:sz w:val="24"/>
          <w:szCs w:val="24"/>
        </w:rPr>
      </w:pPr>
      <w:r w:rsidRPr="002C55B9">
        <w:rPr>
          <w:noProof/>
          <w:color w:val="000000" w:themeColor="text1"/>
          <w:lang w:val="en-US"/>
        </w:rPr>
        <w:drawing>
          <wp:inline distT="0" distB="0" distL="0" distR="0" wp14:anchorId="23A73F71" wp14:editId="2DCDCC34">
            <wp:extent cx="5734050" cy="3095625"/>
            <wp:effectExtent l="0" t="0" r="0" b="9525"/>
            <wp:docPr id="2145604129" name="Chart 1">
              <a:extLst xmlns:a="http://schemas.openxmlformats.org/drawingml/2006/main">
                <a:ext uri="{FF2B5EF4-FFF2-40B4-BE49-F238E27FC236}">
                  <a16:creationId xmlns:a16="http://schemas.microsoft.com/office/drawing/2014/main" id="{5E4B6681-A865-D952-55E0-271EDE0E10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C45920" w14:textId="7B422423" w:rsidR="00891DA8" w:rsidRPr="00891DA8" w:rsidRDefault="00891DA8" w:rsidP="00891DA8">
      <w:pPr>
        <w:spacing w:line="360" w:lineRule="auto"/>
        <w:jc w:val="both"/>
        <w:rPr>
          <w:rFonts w:ascii="Arial" w:hAnsi="Arial" w:cs="Arial"/>
          <w:sz w:val="18"/>
          <w:szCs w:val="18"/>
        </w:rPr>
      </w:pPr>
      <w:r w:rsidRPr="00891DA8">
        <w:rPr>
          <w:rFonts w:ascii="Arial" w:hAnsi="Arial" w:cs="Arial"/>
          <w:sz w:val="18"/>
          <w:szCs w:val="18"/>
        </w:rPr>
        <w:t>(Source: https://censusindia.gov.in/census.website/data/census-tables)</w:t>
      </w:r>
    </w:p>
    <w:p w14:paraId="7A32AEEB" w14:textId="30B1548F" w:rsidR="00256ABD" w:rsidRPr="00CC7015" w:rsidRDefault="00256ABD" w:rsidP="004A1F60">
      <w:pPr>
        <w:spacing w:line="360" w:lineRule="auto"/>
        <w:jc w:val="both"/>
        <w:rPr>
          <w:rFonts w:ascii="Arial" w:hAnsi="Arial" w:cs="Arial"/>
          <w:color w:val="000000" w:themeColor="text1"/>
          <w:sz w:val="20"/>
          <w:szCs w:val="20"/>
        </w:rPr>
      </w:pPr>
      <w:r w:rsidRPr="00CC7015">
        <w:rPr>
          <w:rFonts w:ascii="Arial" w:hAnsi="Arial" w:cs="Arial"/>
          <w:b/>
          <w:bCs/>
          <w:color w:val="000000" w:themeColor="text1"/>
          <w:sz w:val="20"/>
          <w:szCs w:val="20"/>
        </w:rPr>
        <w:t>Fig.1</w:t>
      </w:r>
      <w:r w:rsidRPr="00CC7015">
        <w:rPr>
          <w:rFonts w:ascii="Arial" w:hAnsi="Arial" w:cs="Arial"/>
          <w:color w:val="000000" w:themeColor="text1"/>
          <w:sz w:val="20"/>
          <w:szCs w:val="20"/>
        </w:rPr>
        <w:t xml:space="preserve"> </w:t>
      </w:r>
      <w:r w:rsidRPr="00CC7015">
        <w:rPr>
          <w:rFonts w:ascii="Arial" w:hAnsi="Arial" w:cs="Arial"/>
          <w:b/>
          <w:bCs/>
          <w:color w:val="000000" w:themeColor="text1"/>
          <w:sz w:val="20"/>
          <w:szCs w:val="20"/>
        </w:rPr>
        <w:t>Rural vs Urban Literacy Rate (%) of STs in India by Gender and Literacy Gap</w:t>
      </w:r>
    </w:p>
    <w:p w14:paraId="4ADB0315" w14:textId="6F628D05" w:rsidR="00633A1C" w:rsidRPr="00891DA8" w:rsidRDefault="00633A1C" w:rsidP="004A1F60">
      <w:pPr>
        <w:spacing w:line="360" w:lineRule="auto"/>
        <w:jc w:val="both"/>
        <w:rPr>
          <w:rFonts w:ascii="Arial" w:hAnsi="Arial" w:cs="Arial"/>
          <w:color w:val="000000" w:themeColor="text1"/>
        </w:rPr>
      </w:pPr>
      <w:r w:rsidRPr="00891DA8">
        <w:rPr>
          <w:rFonts w:ascii="Arial" w:hAnsi="Arial" w:cs="Arial"/>
          <w:color w:val="000000" w:themeColor="text1"/>
        </w:rPr>
        <w:t xml:space="preserve">Data depicted from </w:t>
      </w:r>
      <w:r w:rsidR="00891DA8" w:rsidRPr="00891DA8">
        <w:rPr>
          <w:rFonts w:ascii="Arial" w:hAnsi="Arial" w:cs="Arial"/>
          <w:color w:val="000000" w:themeColor="text1"/>
        </w:rPr>
        <w:t>Fig</w:t>
      </w:r>
      <w:r w:rsidRPr="00891DA8">
        <w:rPr>
          <w:rFonts w:ascii="Arial" w:hAnsi="Arial" w:cs="Arial"/>
          <w:color w:val="000000" w:themeColor="text1"/>
        </w:rPr>
        <w:t>.</w:t>
      </w:r>
      <w:r w:rsidR="00891DA8" w:rsidRPr="00891DA8">
        <w:rPr>
          <w:rFonts w:ascii="Arial" w:hAnsi="Arial" w:cs="Arial"/>
          <w:color w:val="000000" w:themeColor="text1"/>
        </w:rPr>
        <w:t>1.</w:t>
      </w:r>
      <w:r w:rsidRPr="00891DA8">
        <w:rPr>
          <w:rFonts w:ascii="Arial" w:hAnsi="Arial" w:cs="Arial"/>
          <w:color w:val="000000" w:themeColor="text1"/>
        </w:rPr>
        <w:t xml:space="preserve"> The literacy rates in scheduled tribes progressively increase across all categories, such as rural vs urban, male and female, over the past 20 years. The literacy gap between males and females has reduced over time, and this indicates the improvement in female education. As per the 1991 census, in rural areas, the STs' total literacy rate was 27.9 %, among them, the male 40.7 % and the female literacy rate was 14.0%.  In urban territory, STs' overall literacy was 52.3 % with males at 65.9 % and females' literacy at 39.0%. The noticeable improvement was observed, especially in female literacy, 34.8 % from 1991 to 2001. In rural areas, out of the total literacy, 47.1 %, scheduled tribes’ males 59.2 %, females 34.8 % and literacy gap 24.4 %. On the other hand, urban areas' total ST literacy is 68.1 %, among them male 77.5 %, female 58.2 %, which is slightly higher than rural areas. In 2011, rural areas closed the gap further, and female literacy increased by nearly 15 % from 2001. The urban STs literacy approaches parity, and the literacy gap </w:t>
      </w:r>
      <w:r w:rsidR="00891DA8">
        <w:rPr>
          <w:rFonts w:ascii="Arial" w:hAnsi="Arial" w:cs="Arial"/>
          <w:color w:val="000000" w:themeColor="text1"/>
        </w:rPr>
        <w:t xml:space="preserve">has </w:t>
      </w:r>
      <w:r w:rsidRPr="00891DA8">
        <w:rPr>
          <w:rFonts w:ascii="Arial" w:hAnsi="Arial" w:cs="Arial"/>
          <w:color w:val="000000" w:themeColor="text1"/>
        </w:rPr>
        <w:t xml:space="preserve">nearly halved </w:t>
      </w:r>
      <w:r w:rsidR="00891DA8">
        <w:rPr>
          <w:rFonts w:ascii="Arial" w:hAnsi="Arial" w:cs="Arial"/>
          <w:color w:val="000000" w:themeColor="text1"/>
        </w:rPr>
        <w:t>since</w:t>
      </w:r>
      <w:r w:rsidRPr="00891DA8">
        <w:rPr>
          <w:rFonts w:ascii="Arial" w:hAnsi="Arial" w:cs="Arial"/>
          <w:color w:val="000000" w:themeColor="text1"/>
        </w:rPr>
        <w:t xml:space="preserve"> 1991. The female literacy growth from 14 % rural and 39 % urban in 1991 to 49.4 % and 70.0 % in 2011, respectively. this growth of female literacy indicates the improvement of educational access and awareness among ST women. The gender gap in rural areas reduced from 26.7 % in 1991 to 18.6 % in 2011. In urban areas, it was reduced more significantly from 26.9 % to 13.2 %. This data shows a positive shift towards gender equity in education.</w:t>
      </w:r>
    </w:p>
    <w:p w14:paraId="5E7F9A9B" w14:textId="77777777" w:rsidR="00891DA8" w:rsidRDefault="00891DA8" w:rsidP="00633A1C">
      <w:pPr>
        <w:spacing w:line="360" w:lineRule="auto"/>
        <w:rPr>
          <w:rFonts w:ascii="Times New Roman" w:hAnsi="Times New Roman" w:cs="Times New Roman"/>
          <w:b/>
          <w:bCs/>
          <w:color w:val="000000" w:themeColor="text1"/>
          <w:sz w:val="24"/>
          <w:szCs w:val="24"/>
        </w:rPr>
      </w:pPr>
    </w:p>
    <w:p w14:paraId="20A2BEFC" w14:textId="77777777" w:rsidR="00891DA8" w:rsidRDefault="00891DA8" w:rsidP="00633A1C">
      <w:pPr>
        <w:spacing w:line="360" w:lineRule="auto"/>
        <w:rPr>
          <w:rFonts w:ascii="Times New Roman" w:hAnsi="Times New Roman" w:cs="Times New Roman"/>
          <w:b/>
          <w:bCs/>
          <w:color w:val="000000" w:themeColor="text1"/>
          <w:sz w:val="24"/>
          <w:szCs w:val="24"/>
        </w:rPr>
      </w:pPr>
    </w:p>
    <w:p w14:paraId="77EA7A2E" w14:textId="605B10DC" w:rsidR="00F3577E" w:rsidRDefault="00F91FF7" w:rsidP="00633A1C">
      <w:pPr>
        <w:spacing w:line="360" w:lineRule="auto"/>
        <w:rPr>
          <w:rFonts w:ascii="Times New Roman" w:hAnsi="Times New Roman" w:cs="Times New Roman"/>
          <w:b/>
          <w:bCs/>
          <w:color w:val="000000" w:themeColor="text1"/>
          <w:sz w:val="24"/>
          <w:szCs w:val="24"/>
        </w:rPr>
      </w:pPr>
      <w:r w:rsidRPr="00F91FF7">
        <w:rPr>
          <w:rFonts w:ascii="Times New Roman" w:hAnsi="Times New Roman" w:cs="Times New Roman"/>
          <w:b/>
          <w:bCs/>
          <w:color w:val="000000" w:themeColor="text1"/>
          <w:sz w:val="24"/>
          <w:szCs w:val="24"/>
        </w:rPr>
        <w:t xml:space="preserve">4.3 </w:t>
      </w:r>
      <w:r w:rsidR="00F3577E" w:rsidRPr="00F91FF7">
        <w:rPr>
          <w:rFonts w:ascii="Times New Roman" w:hAnsi="Times New Roman" w:cs="Times New Roman"/>
          <w:b/>
          <w:bCs/>
          <w:color w:val="000000" w:themeColor="text1"/>
          <w:sz w:val="24"/>
          <w:szCs w:val="24"/>
        </w:rPr>
        <w:t xml:space="preserve">The Administrative Division-wise Scheduled tribes Literacy in Maharashtra State. </w:t>
      </w:r>
    </w:p>
    <w:p w14:paraId="0D7F3535" w14:textId="22AB6C8B" w:rsidR="002B321C" w:rsidRPr="002B321C" w:rsidRDefault="002B321C" w:rsidP="002B321C">
      <w:pPr>
        <w:jc w:val="both"/>
        <w:rPr>
          <w:rFonts w:ascii="Arial" w:hAnsi="Arial" w:cs="Arial"/>
          <w:b/>
          <w:bCs/>
          <w:color w:val="000000" w:themeColor="text1"/>
          <w:sz w:val="20"/>
          <w:szCs w:val="20"/>
        </w:rPr>
      </w:pPr>
      <w:r w:rsidRPr="002B321C">
        <w:rPr>
          <w:rFonts w:ascii="Arial" w:hAnsi="Arial" w:cs="Arial"/>
          <w:b/>
          <w:bCs/>
          <w:color w:val="000000" w:themeColor="text1"/>
          <w:sz w:val="20"/>
          <w:szCs w:val="20"/>
        </w:rPr>
        <w:t xml:space="preserve">Table 2. </w:t>
      </w:r>
      <w:bookmarkStart w:id="0" w:name="_Hlk204938189"/>
      <w:r w:rsidRPr="002B321C">
        <w:rPr>
          <w:rFonts w:ascii="Arial" w:hAnsi="Arial" w:cs="Arial"/>
          <w:b/>
          <w:bCs/>
          <w:color w:val="000000" w:themeColor="text1"/>
          <w:sz w:val="20"/>
          <w:szCs w:val="20"/>
        </w:rPr>
        <w:t>Administrative division-wise, three most dominant ST population districts in Maharashtra state and their total population, ST population, and percentage of ST population.</w:t>
      </w:r>
      <w:bookmarkEnd w:id="0"/>
    </w:p>
    <w:p w14:paraId="2A47FFC3" w14:textId="77777777" w:rsidR="002B321C" w:rsidRPr="002B321C" w:rsidRDefault="002B321C" w:rsidP="002B321C">
      <w:pPr>
        <w:rPr>
          <w:rFonts w:ascii="Arial" w:hAnsi="Arial" w:cs="Arial"/>
          <w:color w:val="000000" w:themeColor="text1"/>
        </w:rPr>
      </w:pPr>
    </w:p>
    <w:tbl>
      <w:tblPr>
        <w:tblStyle w:val="TableGridLight"/>
        <w:tblpPr w:leftFromText="180" w:rightFromText="180" w:vertAnchor="text" w:horzAnchor="margin" w:tblpXSpec="center" w:tblpY="-464"/>
        <w:tblW w:w="9445" w:type="dxa"/>
        <w:tblLook w:val="04A0" w:firstRow="1" w:lastRow="0" w:firstColumn="1" w:lastColumn="0" w:noHBand="0" w:noVBand="1"/>
      </w:tblPr>
      <w:tblGrid>
        <w:gridCol w:w="1961"/>
        <w:gridCol w:w="2624"/>
        <w:gridCol w:w="2160"/>
        <w:gridCol w:w="1440"/>
        <w:gridCol w:w="1260"/>
      </w:tblGrid>
      <w:tr w:rsidR="002B321C" w:rsidRPr="002B321C" w14:paraId="0D2DB987" w14:textId="77777777" w:rsidTr="00B528A1">
        <w:trPr>
          <w:trHeight w:val="753"/>
        </w:trPr>
        <w:tc>
          <w:tcPr>
            <w:tcW w:w="1961" w:type="dxa"/>
          </w:tcPr>
          <w:p w14:paraId="6428FC5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hideMark/>
          </w:tcPr>
          <w:p w14:paraId="1366218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District</w:t>
            </w:r>
          </w:p>
        </w:tc>
        <w:tc>
          <w:tcPr>
            <w:tcW w:w="2160" w:type="dxa"/>
            <w:hideMark/>
          </w:tcPr>
          <w:p w14:paraId="5021E6A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Total</w:t>
            </w:r>
          </w:p>
          <w:p w14:paraId="3F9B6D7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Population</w:t>
            </w:r>
          </w:p>
          <w:p w14:paraId="48C42AC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(In Lakh)</w:t>
            </w:r>
          </w:p>
        </w:tc>
        <w:tc>
          <w:tcPr>
            <w:tcW w:w="1440" w:type="dxa"/>
            <w:hideMark/>
          </w:tcPr>
          <w:p w14:paraId="28AAE4D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ST Population (In Lakh)</w:t>
            </w:r>
          </w:p>
        </w:tc>
        <w:tc>
          <w:tcPr>
            <w:tcW w:w="1260" w:type="dxa"/>
            <w:hideMark/>
          </w:tcPr>
          <w:p w14:paraId="3F1B162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ST %</w:t>
            </w:r>
          </w:p>
        </w:tc>
      </w:tr>
      <w:tr w:rsidR="002B321C" w:rsidRPr="002B321C" w14:paraId="53F528EF" w14:textId="77777777" w:rsidTr="00B528A1">
        <w:trPr>
          <w:trHeight w:val="449"/>
        </w:trPr>
        <w:tc>
          <w:tcPr>
            <w:tcW w:w="1961" w:type="dxa"/>
            <w:vMerge w:val="restart"/>
          </w:tcPr>
          <w:p w14:paraId="2E331DFA" w14:textId="77777777" w:rsidR="002B321C" w:rsidRPr="002B321C" w:rsidRDefault="002B321C" w:rsidP="00B528A1">
            <w:pPr>
              <w:pStyle w:val="NoSpacing"/>
              <w:jc w:val="center"/>
              <w:rPr>
                <w:rFonts w:ascii="Arial" w:hAnsi="Arial" w:cs="Arial"/>
                <w:color w:val="000000" w:themeColor="text1"/>
                <w:sz w:val="20"/>
                <w:szCs w:val="20"/>
              </w:rPr>
            </w:pPr>
          </w:p>
          <w:p w14:paraId="7A11C08E" w14:textId="77777777" w:rsidR="002B321C" w:rsidRPr="002B321C" w:rsidRDefault="002B321C" w:rsidP="00B528A1">
            <w:pPr>
              <w:pStyle w:val="NoSpacing"/>
              <w:jc w:val="center"/>
              <w:rPr>
                <w:rFonts w:ascii="Arial" w:hAnsi="Arial" w:cs="Arial"/>
                <w:color w:val="000000" w:themeColor="text1"/>
                <w:sz w:val="20"/>
                <w:szCs w:val="20"/>
              </w:rPr>
            </w:pPr>
          </w:p>
          <w:p w14:paraId="1615056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Kokan</w:t>
            </w:r>
          </w:p>
          <w:p w14:paraId="3F7CA64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2C036FD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Palghar</w:t>
            </w:r>
          </w:p>
        </w:tc>
        <w:tc>
          <w:tcPr>
            <w:tcW w:w="2160" w:type="dxa"/>
          </w:tcPr>
          <w:p w14:paraId="1AE695F3"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29.90</w:t>
            </w:r>
          </w:p>
        </w:tc>
        <w:tc>
          <w:tcPr>
            <w:tcW w:w="1440" w:type="dxa"/>
          </w:tcPr>
          <w:p w14:paraId="1B13550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11.18</w:t>
            </w:r>
          </w:p>
        </w:tc>
        <w:tc>
          <w:tcPr>
            <w:tcW w:w="1260" w:type="dxa"/>
          </w:tcPr>
          <w:p w14:paraId="4FB0FD6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37.39%</w:t>
            </w:r>
          </w:p>
        </w:tc>
      </w:tr>
      <w:tr w:rsidR="002B321C" w:rsidRPr="002B321C" w14:paraId="143E17A7" w14:textId="77777777" w:rsidTr="00B528A1">
        <w:trPr>
          <w:trHeight w:val="449"/>
        </w:trPr>
        <w:tc>
          <w:tcPr>
            <w:tcW w:w="1961" w:type="dxa"/>
            <w:vMerge/>
          </w:tcPr>
          <w:p w14:paraId="7F304996"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7A840DDA"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Raigad</w:t>
            </w:r>
          </w:p>
        </w:tc>
        <w:tc>
          <w:tcPr>
            <w:tcW w:w="2160" w:type="dxa"/>
          </w:tcPr>
          <w:p w14:paraId="371468E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26.34</w:t>
            </w:r>
          </w:p>
        </w:tc>
        <w:tc>
          <w:tcPr>
            <w:tcW w:w="1440" w:type="dxa"/>
          </w:tcPr>
          <w:p w14:paraId="2508E70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3.05</w:t>
            </w:r>
          </w:p>
        </w:tc>
        <w:tc>
          <w:tcPr>
            <w:tcW w:w="1260" w:type="dxa"/>
          </w:tcPr>
          <w:p w14:paraId="6194604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11.58%</w:t>
            </w:r>
          </w:p>
        </w:tc>
      </w:tr>
      <w:tr w:rsidR="002B321C" w:rsidRPr="002B321C" w14:paraId="5DFF9095" w14:textId="77777777" w:rsidTr="00B528A1">
        <w:trPr>
          <w:trHeight w:val="449"/>
        </w:trPr>
        <w:tc>
          <w:tcPr>
            <w:tcW w:w="1961" w:type="dxa"/>
            <w:vMerge/>
          </w:tcPr>
          <w:p w14:paraId="2D1E1A51"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76E4553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Thane</w:t>
            </w:r>
          </w:p>
        </w:tc>
        <w:tc>
          <w:tcPr>
            <w:tcW w:w="2160" w:type="dxa"/>
          </w:tcPr>
          <w:p w14:paraId="30A5026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80.70</w:t>
            </w:r>
          </w:p>
        </w:tc>
        <w:tc>
          <w:tcPr>
            <w:tcW w:w="1440" w:type="dxa"/>
          </w:tcPr>
          <w:p w14:paraId="45592B7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4.25</w:t>
            </w:r>
          </w:p>
        </w:tc>
        <w:tc>
          <w:tcPr>
            <w:tcW w:w="1260" w:type="dxa"/>
          </w:tcPr>
          <w:p w14:paraId="08E5411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5.27%</w:t>
            </w:r>
          </w:p>
        </w:tc>
      </w:tr>
      <w:tr w:rsidR="002B321C" w:rsidRPr="002B321C" w14:paraId="66C84028" w14:textId="77777777" w:rsidTr="00B528A1">
        <w:trPr>
          <w:trHeight w:val="449"/>
        </w:trPr>
        <w:tc>
          <w:tcPr>
            <w:tcW w:w="1961" w:type="dxa"/>
            <w:vMerge w:val="restart"/>
          </w:tcPr>
          <w:p w14:paraId="305A93EC" w14:textId="77777777" w:rsidR="002B321C" w:rsidRPr="002B321C" w:rsidRDefault="002B321C" w:rsidP="00B528A1">
            <w:pPr>
              <w:pStyle w:val="NoSpacing"/>
              <w:jc w:val="center"/>
              <w:rPr>
                <w:rFonts w:ascii="Arial" w:hAnsi="Arial" w:cs="Arial"/>
                <w:color w:val="000000" w:themeColor="text1"/>
                <w:sz w:val="20"/>
                <w:szCs w:val="20"/>
              </w:rPr>
            </w:pPr>
          </w:p>
          <w:p w14:paraId="1DE99EE0" w14:textId="77777777" w:rsidR="002B321C" w:rsidRPr="002B321C" w:rsidRDefault="002B321C" w:rsidP="00B528A1">
            <w:pPr>
              <w:pStyle w:val="NoSpacing"/>
              <w:jc w:val="center"/>
              <w:rPr>
                <w:rFonts w:ascii="Arial" w:hAnsi="Arial" w:cs="Arial"/>
                <w:color w:val="000000" w:themeColor="text1"/>
                <w:sz w:val="20"/>
                <w:szCs w:val="20"/>
              </w:rPr>
            </w:pPr>
          </w:p>
          <w:p w14:paraId="2680BE8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Nashik</w:t>
            </w:r>
          </w:p>
          <w:p w14:paraId="341B3CD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13FA6D4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Nandurbar</w:t>
            </w:r>
          </w:p>
        </w:tc>
        <w:tc>
          <w:tcPr>
            <w:tcW w:w="2160" w:type="dxa"/>
          </w:tcPr>
          <w:p w14:paraId="093F473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16.48</w:t>
            </w:r>
          </w:p>
        </w:tc>
        <w:tc>
          <w:tcPr>
            <w:tcW w:w="1440" w:type="dxa"/>
          </w:tcPr>
          <w:p w14:paraId="5B9AC2B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11.42</w:t>
            </w:r>
          </w:p>
        </w:tc>
        <w:tc>
          <w:tcPr>
            <w:tcW w:w="1260" w:type="dxa"/>
          </w:tcPr>
          <w:p w14:paraId="5B2CF53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69.30%</w:t>
            </w:r>
          </w:p>
        </w:tc>
      </w:tr>
      <w:tr w:rsidR="002B321C" w:rsidRPr="002B321C" w14:paraId="703025D7" w14:textId="77777777" w:rsidTr="00B528A1">
        <w:trPr>
          <w:trHeight w:val="449"/>
        </w:trPr>
        <w:tc>
          <w:tcPr>
            <w:tcW w:w="1961" w:type="dxa"/>
            <w:vMerge/>
          </w:tcPr>
          <w:p w14:paraId="2B521E11"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08583C5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Dhule</w:t>
            </w:r>
          </w:p>
        </w:tc>
        <w:tc>
          <w:tcPr>
            <w:tcW w:w="2160" w:type="dxa"/>
          </w:tcPr>
          <w:p w14:paraId="3C10422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20.51</w:t>
            </w:r>
          </w:p>
        </w:tc>
        <w:tc>
          <w:tcPr>
            <w:tcW w:w="1440" w:type="dxa"/>
          </w:tcPr>
          <w:p w14:paraId="56C6BCD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6.47</w:t>
            </w:r>
          </w:p>
        </w:tc>
        <w:tc>
          <w:tcPr>
            <w:tcW w:w="1260" w:type="dxa"/>
          </w:tcPr>
          <w:p w14:paraId="21485D4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31.55%</w:t>
            </w:r>
          </w:p>
        </w:tc>
      </w:tr>
      <w:tr w:rsidR="002B321C" w:rsidRPr="002B321C" w14:paraId="49CED7E3" w14:textId="77777777" w:rsidTr="00B528A1">
        <w:trPr>
          <w:trHeight w:val="449"/>
        </w:trPr>
        <w:tc>
          <w:tcPr>
            <w:tcW w:w="1961" w:type="dxa"/>
            <w:vMerge/>
          </w:tcPr>
          <w:p w14:paraId="0228A544"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6C58D46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Nashik</w:t>
            </w:r>
          </w:p>
        </w:tc>
        <w:tc>
          <w:tcPr>
            <w:tcW w:w="2160" w:type="dxa"/>
          </w:tcPr>
          <w:p w14:paraId="26DA58AE"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61.07</w:t>
            </w:r>
          </w:p>
        </w:tc>
        <w:tc>
          <w:tcPr>
            <w:tcW w:w="1440" w:type="dxa"/>
          </w:tcPr>
          <w:p w14:paraId="2188D82A"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15.64</w:t>
            </w:r>
          </w:p>
        </w:tc>
        <w:tc>
          <w:tcPr>
            <w:tcW w:w="1260" w:type="dxa"/>
          </w:tcPr>
          <w:p w14:paraId="19D98BA4"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25.61%</w:t>
            </w:r>
          </w:p>
        </w:tc>
      </w:tr>
      <w:tr w:rsidR="002B321C" w:rsidRPr="002B321C" w14:paraId="7C08B622" w14:textId="77777777" w:rsidTr="00B528A1">
        <w:trPr>
          <w:trHeight w:val="449"/>
        </w:trPr>
        <w:tc>
          <w:tcPr>
            <w:tcW w:w="1961" w:type="dxa"/>
            <w:vMerge w:val="restart"/>
          </w:tcPr>
          <w:p w14:paraId="1F3CF9FB" w14:textId="77777777" w:rsidR="002B321C" w:rsidRPr="002B321C" w:rsidRDefault="002B321C" w:rsidP="00B528A1">
            <w:pPr>
              <w:pStyle w:val="NoSpacing"/>
              <w:jc w:val="center"/>
              <w:rPr>
                <w:rFonts w:ascii="Arial" w:hAnsi="Arial" w:cs="Arial"/>
                <w:color w:val="000000" w:themeColor="text1"/>
                <w:sz w:val="20"/>
                <w:szCs w:val="20"/>
              </w:rPr>
            </w:pPr>
          </w:p>
          <w:p w14:paraId="014ED5D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Pune</w:t>
            </w:r>
          </w:p>
          <w:p w14:paraId="486E9A2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hideMark/>
          </w:tcPr>
          <w:p w14:paraId="561BDBF3"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Pune</w:t>
            </w:r>
          </w:p>
        </w:tc>
        <w:tc>
          <w:tcPr>
            <w:tcW w:w="2160" w:type="dxa"/>
            <w:hideMark/>
          </w:tcPr>
          <w:p w14:paraId="05D1D72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94.29</w:t>
            </w:r>
          </w:p>
        </w:tc>
        <w:tc>
          <w:tcPr>
            <w:tcW w:w="1440" w:type="dxa"/>
            <w:hideMark/>
          </w:tcPr>
          <w:p w14:paraId="5E383096"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3.49</w:t>
            </w:r>
          </w:p>
        </w:tc>
        <w:tc>
          <w:tcPr>
            <w:tcW w:w="1260" w:type="dxa"/>
            <w:hideMark/>
          </w:tcPr>
          <w:p w14:paraId="2CACCB8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3.70%</w:t>
            </w:r>
          </w:p>
        </w:tc>
      </w:tr>
      <w:tr w:rsidR="002B321C" w:rsidRPr="002B321C" w14:paraId="4C008391" w14:textId="77777777" w:rsidTr="00B528A1">
        <w:trPr>
          <w:trHeight w:val="449"/>
        </w:trPr>
        <w:tc>
          <w:tcPr>
            <w:tcW w:w="1961" w:type="dxa"/>
            <w:vMerge/>
          </w:tcPr>
          <w:p w14:paraId="75402A1D"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399C8CC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Solapur</w:t>
            </w:r>
          </w:p>
        </w:tc>
        <w:tc>
          <w:tcPr>
            <w:tcW w:w="2160" w:type="dxa"/>
          </w:tcPr>
          <w:p w14:paraId="45D26E76"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43.18</w:t>
            </w:r>
          </w:p>
        </w:tc>
        <w:tc>
          <w:tcPr>
            <w:tcW w:w="1440" w:type="dxa"/>
          </w:tcPr>
          <w:p w14:paraId="34E4847A"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0.78</w:t>
            </w:r>
          </w:p>
        </w:tc>
        <w:tc>
          <w:tcPr>
            <w:tcW w:w="1260" w:type="dxa"/>
          </w:tcPr>
          <w:p w14:paraId="3DBB0D7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1.81%</w:t>
            </w:r>
          </w:p>
        </w:tc>
      </w:tr>
      <w:tr w:rsidR="002B321C" w:rsidRPr="002B321C" w14:paraId="488B0A6E" w14:textId="77777777" w:rsidTr="00B528A1">
        <w:trPr>
          <w:trHeight w:val="449"/>
        </w:trPr>
        <w:tc>
          <w:tcPr>
            <w:tcW w:w="1961" w:type="dxa"/>
            <w:vMerge/>
          </w:tcPr>
          <w:p w14:paraId="4AC43CBF"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hideMark/>
          </w:tcPr>
          <w:p w14:paraId="655B5AE1"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Satara</w:t>
            </w:r>
          </w:p>
        </w:tc>
        <w:tc>
          <w:tcPr>
            <w:tcW w:w="2160" w:type="dxa"/>
            <w:hideMark/>
          </w:tcPr>
          <w:p w14:paraId="7CBA4E5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30.04</w:t>
            </w:r>
          </w:p>
        </w:tc>
        <w:tc>
          <w:tcPr>
            <w:tcW w:w="1440" w:type="dxa"/>
            <w:hideMark/>
          </w:tcPr>
          <w:p w14:paraId="125D43D1"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0.30</w:t>
            </w:r>
          </w:p>
        </w:tc>
        <w:tc>
          <w:tcPr>
            <w:tcW w:w="1260" w:type="dxa"/>
            <w:hideMark/>
          </w:tcPr>
          <w:p w14:paraId="1EFF707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1.00%</w:t>
            </w:r>
          </w:p>
        </w:tc>
      </w:tr>
      <w:tr w:rsidR="002B321C" w:rsidRPr="002B321C" w14:paraId="000203AE" w14:textId="77777777" w:rsidTr="00B528A1">
        <w:trPr>
          <w:trHeight w:val="545"/>
        </w:trPr>
        <w:tc>
          <w:tcPr>
            <w:tcW w:w="1961" w:type="dxa"/>
            <w:vMerge w:val="restart"/>
          </w:tcPr>
          <w:p w14:paraId="191BFF72" w14:textId="77777777" w:rsidR="002B321C" w:rsidRPr="002B321C" w:rsidRDefault="002B321C" w:rsidP="00B528A1">
            <w:pPr>
              <w:pStyle w:val="NoSpacing"/>
              <w:jc w:val="center"/>
              <w:rPr>
                <w:rFonts w:ascii="Arial" w:hAnsi="Arial" w:cs="Arial"/>
                <w:color w:val="000000" w:themeColor="text1"/>
                <w:sz w:val="20"/>
                <w:szCs w:val="20"/>
              </w:rPr>
            </w:pPr>
          </w:p>
          <w:p w14:paraId="622377F4" w14:textId="77777777" w:rsidR="002B321C" w:rsidRPr="002B321C" w:rsidRDefault="002B321C" w:rsidP="00B528A1">
            <w:pPr>
              <w:pStyle w:val="NoSpacing"/>
              <w:jc w:val="center"/>
              <w:rPr>
                <w:rFonts w:ascii="Arial" w:hAnsi="Arial" w:cs="Arial"/>
                <w:color w:val="000000" w:themeColor="text1"/>
                <w:sz w:val="20"/>
                <w:szCs w:val="20"/>
              </w:rPr>
            </w:pPr>
          </w:p>
          <w:p w14:paraId="05BDA6A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Chhatrapati Sambhaji Nagar</w:t>
            </w:r>
          </w:p>
          <w:p w14:paraId="57B02F4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1D12E7B3"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Hingoli</w:t>
            </w:r>
            <w:proofErr w:type="spellEnd"/>
          </w:p>
        </w:tc>
        <w:tc>
          <w:tcPr>
            <w:tcW w:w="2160" w:type="dxa"/>
          </w:tcPr>
          <w:p w14:paraId="794F923E"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11.77</w:t>
            </w:r>
          </w:p>
        </w:tc>
        <w:tc>
          <w:tcPr>
            <w:tcW w:w="1440" w:type="dxa"/>
          </w:tcPr>
          <w:p w14:paraId="7CAA5B04"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1.12</w:t>
            </w:r>
          </w:p>
        </w:tc>
        <w:tc>
          <w:tcPr>
            <w:tcW w:w="1260" w:type="dxa"/>
          </w:tcPr>
          <w:p w14:paraId="2E72AA7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9.52%</w:t>
            </w:r>
          </w:p>
        </w:tc>
      </w:tr>
      <w:tr w:rsidR="002B321C" w:rsidRPr="002B321C" w14:paraId="1C6010C6" w14:textId="77777777" w:rsidTr="00B528A1">
        <w:trPr>
          <w:trHeight w:val="545"/>
        </w:trPr>
        <w:tc>
          <w:tcPr>
            <w:tcW w:w="1961" w:type="dxa"/>
            <w:vMerge/>
          </w:tcPr>
          <w:p w14:paraId="6853CE06"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7213B5A3"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Nanded</w:t>
            </w:r>
          </w:p>
        </w:tc>
        <w:tc>
          <w:tcPr>
            <w:tcW w:w="2160" w:type="dxa"/>
          </w:tcPr>
          <w:p w14:paraId="792C26C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33.61</w:t>
            </w:r>
          </w:p>
        </w:tc>
        <w:tc>
          <w:tcPr>
            <w:tcW w:w="1440" w:type="dxa"/>
          </w:tcPr>
          <w:p w14:paraId="2DD85DC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2.82</w:t>
            </w:r>
          </w:p>
        </w:tc>
        <w:tc>
          <w:tcPr>
            <w:tcW w:w="1260" w:type="dxa"/>
          </w:tcPr>
          <w:p w14:paraId="6093ACF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8.39%</w:t>
            </w:r>
          </w:p>
        </w:tc>
      </w:tr>
      <w:tr w:rsidR="002B321C" w:rsidRPr="002B321C" w14:paraId="4FF2A126" w14:textId="77777777" w:rsidTr="00B528A1">
        <w:trPr>
          <w:trHeight w:val="545"/>
        </w:trPr>
        <w:tc>
          <w:tcPr>
            <w:tcW w:w="1961" w:type="dxa"/>
            <w:vMerge/>
          </w:tcPr>
          <w:p w14:paraId="2C702B83"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6642012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Chhatrapati Sambhaji Nagar</w:t>
            </w:r>
          </w:p>
        </w:tc>
        <w:tc>
          <w:tcPr>
            <w:tcW w:w="2160" w:type="dxa"/>
          </w:tcPr>
          <w:p w14:paraId="0D340B3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37.01</w:t>
            </w:r>
          </w:p>
        </w:tc>
        <w:tc>
          <w:tcPr>
            <w:tcW w:w="1440" w:type="dxa"/>
          </w:tcPr>
          <w:p w14:paraId="209F1E1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1.43</w:t>
            </w:r>
          </w:p>
        </w:tc>
        <w:tc>
          <w:tcPr>
            <w:tcW w:w="1260" w:type="dxa"/>
          </w:tcPr>
          <w:p w14:paraId="13521B6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3.86%</w:t>
            </w:r>
          </w:p>
        </w:tc>
      </w:tr>
      <w:tr w:rsidR="002B321C" w:rsidRPr="002B321C" w14:paraId="022A8334" w14:textId="77777777" w:rsidTr="00B528A1">
        <w:trPr>
          <w:trHeight w:val="449"/>
        </w:trPr>
        <w:tc>
          <w:tcPr>
            <w:tcW w:w="1961" w:type="dxa"/>
            <w:vMerge w:val="restart"/>
          </w:tcPr>
          <w:p w14:paraId="2A1D215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Amravati</w:t>
            </w:r>
          </w:p>
          <w:p w14:paraId="3A9608F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28E1A758"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Yavatmal</w:t>
            </w:r>
            <w:proofErr w:type="spellEnd"/>
          </w:p>
        </w:tc>
        <w:tc>
          <w:tcPr>
            <w:tcW w:w="2160" w:type="dxa"/>
          </w:tcPr>
          <w:p w14:paraId="73DDB1B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27.72</w:t>
            </w:r>
          </w:p>
        </w:tc>
        <w:tc>
          <w:tcPr>
            <w:tcW w:w="1440" w:type="dxa"/>
          </w:tcPr>
          <w:p w14:paraId="1AF8602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5.14</w:t>
            </w:r>
          </w:p>
        </w:tc>
        <w:tc>
          <w:tcPr>
            <w:tcW w:w="1260" w:type="dxa"/>
          </w:tcPr>
          <w:p w14:paraId="458E60F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18.54%</w:t>
            </w:r>
          </w:p>
        </w:tc>
      </w:tr>
      <w:tr w:rsidR="002B321C" w:rsidRPr="002B321C" w14:paraId="5D3FA16E" w14:textId="77777777" w:rsidTr="00B528A1">
        <w:trPr>
          <w:trHeight w:val="434"/>
        </w:trPr>
        <w:tc>
          <w:tcPr>
            <w:tcW w:w="1961" w:type="dxa"/>
            <w:vMerge/>
          </w:tcPr>
          <w:p w14:paraId="33F82075"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5101F5A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Amravati</w:t>
            </w:r>
          </w:p>
        </w:tc>
        <w:tc>
          <w:tcPr>
            <w:tcW w:w="2160" w:type="dxa"/>
          </w:tcPr>
          <w:p w14:paraId="533B088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28.89</w:t>
            </w:r>
          </w:p>
        </w:tc>
        <w:tc>
          <w:tcPr>
            <w:tcW w:w="1440" w:type="dxa"/>
          </w:tcPr>
          <w:p w14:paraId="1AC1ECB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4.04</w:t>
            </w:r>
          </w:p>
        </w:tc>
        <w:tc>
          <w:tcPr>
            <w:tcW w:w="1260" w:type="dxa"/>
          </w:tcPr>
          <w:p w14:paraId="1CA4117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13.98%</w:t>
            </w:r>
          </w:p>
        </w:tc>
      </w:tr>
      <w:tr w:rsidR="002B321C" w:rsidRPr="002B321C" w14:paraId="6DF24CDC" w14:textId="77777777" w:rsidTr="00B528A1">
        <w:trPr>
          <w:trHeight w:val="449"/>
        </w:trPr>
        <w:tc>
          <w:tcPr>
            <w:tcW w:w="1961" w:type="dxa"/>
            <w:vMerge/>
          </w:tcPr>
          <w:p w14:paraId="6D20DB90"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hideMark/>
          </w:tcPr>
          <w:p w14:paraId="20942504"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Washim</w:t>
            </w:r>
            <w:proofErr w:type="spellEnd"/>
          </w:p>
        </w:tc>
        <w:tc>
          <w:tcPr>
            <w:tcW w:w="2160" w:type="dxa"/>
            <w:hideMark/>
          </w:tcPr>
          <w:p w14:paraId="6E5CCE1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11.97</w:t>
            </w:r>
          </w:p>
        </w:tc>
        <w:tc>
          <w:tcPr>
            <w:tcW w:w="1440" w:type="dxa"/>
            <w:hideMark/>
          </w:tcPr>
          <w:p w14:paraId="795C093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0.81</w:t>
            </w:r>
          </w:p>
        </w:tc>
        <w:tc>
          <w:tcPr>
            <w:tcW w:w="1260" w:type="dxa"/>
            <w:hideMark/>
          </w:tcPr>
          <w:p w14:paraId="5AD9BB46"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6.77%</w:t>
            </w:r>
          </w:p>
        </w:tc>
      </w:tr>
      <w:tr w:rsidR="002B321C" w:rsidRPr="002B321C" w14:paraId="3688400D" w14:textId="77777777" w:rsidTr="00B528A1">
        <w:trPr>
          <w:trHeight w:val="449"/>
        </w:trPr>
        <w:tc>
          <w:tcPr>
            <w:tcW w:w="1961" w:type="dxa"/>
            <w:vMerge w:val="restart"/>
          </w:tcPr>
          <w:p w14:paraId="037B8B5D" w14:textId="77777777" w:rsidR="002B321C" w:rsidRPr="002B321C" w:rsidRDefault="002B321C" w:rsidP="00B528A1">
            <w:pPr>
              <w:pStyle w:val="NoSpacing"/>
              <w:jc w:val="center"/>
              <w:rPr>
                <w:rFonts w:ascii="Arial" w:hAnsi="Arial" w:cs="Arial"/>
                <w:color w:val="000000" w:themeColor="text1"/>
                <w:sz w:val="20"/>
                <w:szCs w:val="20"/>
              </w:rPr>
            </w:pPr>
          </w:p>
          <w:p w14:paraId="359E1094" w14:textId="77777777" w:rsidR="002B321C" w:rsidRPr="002B321C" w:rsidRDefault="002B321C" w:rsidP="00B528A1">
            <w:pPr>
              <w:pStyle w:val="NoSpacing"/>
              <w:jc w:val="center"/>
              <w:rPr>
                <w:rFonts w:ascii="Arial" w:hAnsi="Arial" w:cs="Arial"/>
                <w:color w:val="000000" w:themeColor="text1"/>
                <w:sz w:val="20"/>
                <w:szCs w:val="20"/>
              </w:rPr>
            </w:pPr>
          </w:p>
          <w:p w14:paraId="0BEED48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Nagpur</w:t>
            </w:r>
          </w:p>
          <w:p w14:paraId="645C4C4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43E74F0E"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Gadchiroli</w:t>
            </w:r>
            <w:proofErr w:type="spellEnd"/>
          </w:p>
        </w:tc>
        <w:tc>
          <w:tcPr>
            <w:tcW w:w="2160" w:type="dxa"/>
          </w:tcPr>
          <w:p w14:paraId="1BD0B151"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10.73</w:t>
            </w:r>
          </w:p>
        </w:tc>
        <w:tc>
          <w:tcPr>
            <w:tcW w:w="1440" w:type="dxa"/>
          </w:tcPr>
          <w:p w14:paraId="302F331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4.15</w:t>
            </w:r>
          </w:p>
        </w:tc>
        <w:tc>
          <w:tcPr>
            <w:tcW w:w="1260" w:type="dxa"/>
          </w:tcPr>
          <w:p w14:paraId="1DC8AC5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38.68%</w:t>
            </w:r>
          </w:p>
        </w:tc>
      </w:tr>
      <w:tr w:rsidR="002B321C" w:rsidRPr="002B321C" w14:paraId="47F479AA" w14:textId="77777777" w:rsidTr="00B528A1">
        <w:trPr>
          <w:trHeight w:val="449"/>
        </w:trPr>
        <w:tc>
          <w:tcPr>
            <w:tcW w:w="1961" w:type="dxa"/>
            <w:vMerge/>
          </w:tcPr>
          <w:p w14:paraId="240E0047"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482D573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Chandrapur</w:t>
            </w:r>
          </w:p>
        </w:tc>
        <w:tc>
          <w:tcPr>
            <w:tcW w:w="2160" w:type="dxa"/>
          </w:tcPr>
          <w:p w14:paraId="0E76E3D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22.04</w:t>
            </w:r>
          </w:p>
        </w:tc>
        <w:tc>
          <w:tcPr>
            <w:tcW w:w="1440" w:type="dxa"/>
          </w:tcPr>
          <w:p w14:paraId="0210992A"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3.89</w:t>
            </w:r>
          </w:p>
        </w:tc>
        <w:tc>
          <w:tcPr>
            <w:tcW w:w="1260" w:type="dxa"/>
          </w:tcPr>
          <w:p w14:paraId="51D087B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17.65%</w:t>
            </w:r>
          </w:p>
        </w:tc>
      </w:tr>
      <w:tr w:rsidR="002B321C" w:rsidRPr="002B321C" w14:paraId="50797868" w14:textId="77777777" w:rsidTr="00B528A1">
        <w:trPr>
          <w:trHeight w:val="449"/>
        </w:trPr>
        <w:tc>
          <w:tcPr>
            <w:tcW w:w="1961" w:type="dxa"/>
            <w:vMerge/>
          </w:tcPr>
          <w:p w14:paraId="08EC3FFC"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6A5F5620"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Gondia</w:t>
            </w:r>
            <w:proofErr w:type="spellEnd"/>
          </w:p>
        </w:tc>
        <w:tc>
          <w:tcPr>
            <w:tcW w:w="2160" w:type="dxa"/>
          </w:tcPr>
          <w:p w14:paraId="6677F093"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13.23</w:t>
            </w:r>
          </w:p>
        </w:tc>
        <w:tc>
          <w:tcPr>
            <w:tcW w:w="1440" w:type="dxa"/>
          </w:tcPr>
          <w:p w14:paraId="22552746"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2.14</w:t>
            </w:r>
          </w:p>
        </w:tc>
        <w:tc>
          <w:tcPr>
            <w:tcW w:w="1260" w:type="dxa"/>
          </w:tcPr>
          <w:p w14:paraId="37D0632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16.18%</w:t>
            </w:r>
          </w:p>
        </w:tc>
      </w:tr>
    </w:tbl>
    <w:p w14:paraId="111687C7" w14:textId="661FE4B0" w:rsidR="002B321C" w:rsidRPr="002B321C" w:rsidRDefault="002B321C" w:rsidP="002B321C">
      <w:pPr>
        <w:spacing w:line="360" w:lineRule="auto"/>
        <w:jc w:val="both"/>
        <w:rPr>
          <w:rFonts w:ascii="Arial" w:hAnsi="Arial" w:cs="Arial"/>
          <w:color w:val="000000" w:themeColor="text1"/>
          <w:sz w:val="18"/>
          <w:szCs w:val="18"/>
        </w:rPr>
      </w:pPr>
      <w:r w:rsidRPr="002B321C">
        <w:rPr>
          <w:rFonts w:ascii="Arial" w:hAnsi="Arial" w:cs="Arial"/>
          <w:color w:val="000000" w:themeColor="text1"/>
          <w:sz w:val="18"/>
          <w:szCs w:val="18"/>
        </w:rPr>
        <w:t>(Source: https://censusindia.gov.in/census.website/data/census-table)</w:t>
      </w:r>
    </w:p>
    <w:p w14:paraId="0238208A" w14:textId="20DF2C87" w:rsidR="004A1F60" w:rsidRDefault="00633A1C" w:rsidP="002B321C">
      <w:pPr>
        <w:spacing w:line="360" w:lineRule="auto"/>
        <w:jc w:val="both"/>
        <w:rPr>
          <w:rFonts w:ascii="Arial" w:hAnsi="Arial" w:cs="Arial"/>
          <w:color w:val="000000" w:themeColor="text1"/>
        </w:rPr>
      </w:pPr>
      <w:r w:rsidRPr="00891DA8">
        <w:rPr>
          <w:rFonts w:ascii="Arial" w:hAnsi="Arial" w:cs="Arial"/>
          <w:color w:val="000000" w:themeColor="text1"/>
        </w:rPr>
        <w:t xml:space="preserve">The administrative division-wise, three most dominant ST population districts in Maharashtra state and their total population, ST population, and percentage of ST population were recorded </w:t>
      </w:r>
      <w:r w:rsidR="004A1F60" w:rsidRPr="00891DA8">
        <w:rPr>
          <w:rFonts w:ascii="Arial" w:hAnsi="Arial" w:cs="Arial"/>
          <w:color w:val="000000" w:themeColor="text1"/>
        </w:rPr>
        <w:t xml:space="preserve">as per the following </w:t>
      </w:r>
      <w:r w:rsidRPr="00891DA8">
        <w:rPr>
          <w:rFonts w:ascii="Arial" w:hAnsi="Arial" w:cs="Arial"/>
          <w:color w:val="000000" w:themeColor="text1"/>
        </w:rPr>
        <w:t xml:space="preserve">(Table </w:t>
      </w:r>
      <w:r w:rsidR="002B321C">
        <w:rPr>
          <w:rFonts w:ascii="Arial" w:hAnsi="Arial" w:cs="Arial"/>
          <w:color w:val="000000" w:themeColor="text1"/>
        </w:rPr>
        <w:t>2</w:t>
      </w:r>
      <w:r w:rsidRPr="00891DA8">
        <w:rPr>
          <w:rFonts w:ascii="Arial" w:hAnsi="Arial" w:cs="Arial"/>
          <w:color w:val="000000" w:themeColor="text1"/>
        </w:rPr>
        <w:t>)</w:t>
      </w:r>
      <w:r w:rsidR="004A1F60" w:rsidRPr="00891DA8">
        <w:rPr>
          <w:rFonts w:ascii="Arial" w:hAnsi="Arial" w:cs="Arial"/>
          <w:color w:val="000000" w:themeColor="text1"/>
        </w:rPr>
        <w:t>.</w:t>
      </w:r>
      <w:r w:rsidRPr="00891DA8">
        <w:rPr>
          <w:rFonts w:ascii="Arial" w:hAnsi="Arial" w:cs="Arial"/>
          <w:color w:val="000000" w:themeColor="text1"/>
        </w:rPr>
        <w:t xml:space="preserve"> </w:t>
      </w:r>
      <w:r w:rsidR="004A1F60" w:rsidRPr="00891DA8">
        <w:rPr>
          <w:rFonts w:ascii="Arial" w:hAnsi="Arial" w:cs="Arial"/>
          <w:color w:val="000000" w:themeColor="text1"/>
        </w:rPr>
        <w:t xml:space="preserve">In the Konkan division, Palghar district shows a very high tribal population with 37. 39 %, contributing significantly (11.18 lakh STs) population. The Raigad </w:t>
      </w:r>
      <w:r w:rsidR="004A1F60" w:rsidRPr="00891DA8">
        <w:rPr>
          <w:rFonts w:ascii="Arial" w:hAnsi="Arial" w:cs="Arial"/>
          <w:color w:val="000000" w:themeColor="text1"/>
        </w:rPr>
        <w:lastRenderedPageBreak/>
        <w:t xml:space="preserve">district has a moderate tribal percentage of 11.58 %. Thane is a highly urbanized district and shows a low ST population with 5. 27%. Pune Division shows 3.70 %, 1.81% and 1.00% tribal population in Pune, Solapur, and Satara districts, respectively, which have a very low tribal population as compared to other administrative divisions. </w:t>
      </w:r>
      <w:r w:rsidR="00891DA8" w:rsidRPr="00891DA8">
        <w:rPr>
          <w:rFonts w:ascii="Arial" w:hAnsi="Arial" w:cs="Arial"/>
          <w:color w:val="000000" w:themeColor="text1"/>
        </w:rPr>
        <w:t xml:space="preserve">Chhatrapati Sambhaji Nagar division shows the ST population in </w:t>
      </w:r>
      <w:proofErr w:type="spellStart"/>
      <w:r w:rsidR="00891DA8" w:rsidRPr="00891DA8">
        <w:rPr>
          <w:rFonts w:ascii="Arial" w:hAnsi="Arial" w:cs="Arial"/>
          <w:color w:val="000000" w:themeColor="text1"/>
        </w:rPr>
        <w:t>Hingoli</w:t>
      </w:r>
      <w:proofErr w:type="spellEnd"/>
      <w:r w:rsidR="00891DA8">
        <w:rPr>
          <w:rFonts w:ascii="Arial" w:hAnsi="Arial" w:cs="Arial"/>
          <w:color w:val="000000" w:themeColor="text1"/>
        </w:rPr>
        <w:t>,</w:t>
      </w:r>
      <w:r w:rsidR="00891DA8" w:rsidRPr="00891DA8">
        <w:rPr>
          <w:rFonts w:ascii="Arial" w:hAnsi="Arial" w:cs="Arial"/>
          <w:color w:val="000000" w:themeColor="text1"/>
        </w:rPr>
        <w:t xml:space="preserve"> 9.52 %, followed by Nanded, 8.39 % and Chhatrapati Sambhaji Nagar</w:t>
      </w:r>
      <w:r w:rsidR="00891DA8">
        <w:rPr>
          <w:rFonts w:ascii="Arial" w:hAnsi="Arial" w:cs="Arial"/>
          <w:color w:val="000000" w:themeColor="text1"/>
        </w:rPr>
        <w:t>,</w:t>
      </w:r>
      <w:r w:rsidR="00891DA8" w:rsidRPr="00891DA8">
        <w:rPr>
          <w:rFonts w:ascii="Arial" w:hAnsi="Arial" w:cs="Arial"/>
          <w:color w:val="000000" w:themeColor="text1"/>
        </w:rPr>
        <w:t xml:space="preserve"> 3.86 %. In the Amravati division, </w:t>
      </w:r>
      <w:proofErr w:type="spellStart"/>
      <w:r w:rsidR="00891DA8" w:rsidRPr="00891DA8">
        <w:rPr>
          <w:rFonts w:ascii="Arial" w:hAnsi="Arial" w:cs="Arial"/>
          <w:color w:val="000000" w:themeColor="text1"/>
        </w:rPr>
        <w:t>Yavatmal</w:t>
      </w:r>
      <w:proofErr w:type="spellEnd"/>
      <w:r w:rsidR="00891DA8" w:rsidRPr="00891DA8">
        <w:rPr>
          <w:rFonts w:ascii="Arial" w:hAnsi="Arial" w:cs="Arial"/>
          <w:color w:val="000000" w:themeColor="text1"/>
        </w:rPr>
        <w:t xml:space="preserve"> has 18.54 % and Amravati 13.98% show a moderate to significant tribal population, and </w:t>
      </w:r>
      <w:proofErr w:type="spellStart"/>
      <w:r w:rsidR="00891DA8" w:rsidRPr="00891DA8">
        <w:rPr>
          <w:rFonts w:ascii="Arial" w:hAnsi="Arial" w:cs="Arial"/>
          <w:color w:val="000000" w:themeColor="text1"/>
        </w:rPr>
        <w:t>Washim</w:t>
      </w:r>
      <w:proofErr w:type="spellEnd"/>
      <w:r w:rsidR="00891DA8" w:rsidRPr="00891DA8">
        <w:rPr>
          <w:rFonts w:ascii="Arial" w:hAnsi="Arial" w:cs="Arial"/>
          <w:color w:val="000000" w:themeColor="text1"/>
        </w:rPr>
        <w:t xml:space="preserve"> district is smaller in size with 6.77 % ST population. Nagpur Division reflects its forested and remote geography, and among them, </w:t>
      </w:r>
      <w:proofErr w:type="spellStart"/>
      <w:r w:rsidR="00891DA8" w:rsidRPr="00891DA8">
        <w:rPr>
          <w:rFonts w:ascii="Arial" w:hAnsi="Arial" w:cs="Arial"/>
          <w:color w:val="000000" w:themeColor="text1"/>
        </w:rPr>
        <w:t>Gadchiroli</w:t>
      </w:r>
      <w:proofErr w:type="spellEnd"/>
      <w:r w:rsidR="00891DA8" w:rsidRPr="00891DA8">
        <w:rPr>
          <w:rFonts w:ascii="Arial" w:hAnsi="Arial" w:cs="Arial"/>
          <w:color w:val="000000" w:themeColor="text1"/>
        </w:rPr>
        <w:t xml:space="preserve"> is the most tribal dense district with 38.68 % ST population. Chandrapur and </w:t>
      </w:r>
      <w:proofErr w:type="spellStart"/>
      <w:r w:rsidR="00891DA8" w:rsidRPr="00891DA8">
        <w:rPr>
          <w:rFonts w:ascii="Arial" w:hAnsi="Arial" w:cs="Arial"/>
          <w:color w:val="000000" w:themeColor="text1"/>
        </w:rPr>
        <w:t>Gondia</w:t>
      </w:r>
      <w:proofErr w:type="spellEnd"/>
      <w:r w:rsidR="00891DA8" w:rsidRPr="00891DA8">
        <w:rPr>
          <w:rFonts w:ascii="Arial" w:hAnsi="Arial" w:cs="Arial"/>
          <w:color w:val="000000" w:themeColor="text1"/>
        </w:rPr>
        <w:t xml:space="preserve"> also show noticeable tribal populations with 17.65 % and 16.18 % respectively. Among the six administrative divisions, the highest tribal populated district shows </w:t>
      </w:r>
      <w:proofErr w:type="spellStart"/>
      <w:r w:rsidR="00891DA8" w:rsidRPr="00891DA8">
        <w:rPr>
          <w:rFonts w:ascii="Arial" w:hAnsi="Arial" w:cs="Arial"/>
          <w:color w:val="000000" w:themeColor="text1"/>
        </w:rPr>
        <w:t>Nandurbar</w:t>
      </w:r>
      <w:proofErr w:type="spellEnd"/>
      <w:r w:rsidR="00891DA8" w:rsidRPr="00891DA8">
        <w:rPr>
          <w:rFonts w:ascii="Arial" w:hAnsi="Arial" w:cs="Arial"/>
          <w:color w:val="000000" w:themeColor="text1"/>
        </w:rPr>
        <w:t xml:space="preserve">, 69.3 %, </w:t>
      </w:r>
      <w:proofErr w:type="spellStart"/>
      <w:r w:rsidR="00891DA8" w:rsidRPr="00891DA8">
        <w:rPr>
          <w:rFonts w:ascii="Arial" w:hAnsi="Arial" w:cs="Arial"/>
          <w:color w:val="000000" w:themeColor="text1"/>
        </w:rPr>
        <w:t>Gadchiroli</w:t>
      </w:r>
      <w:proofErr w:type="spellEnd"/>
      <w:r w:rsidR="00891DA8" w:rsidRPr="00891DA8">
        <w:rPr>
          <w:rFonts w:ascii="Arial" w:hAnsi="Arial" w:cs="Arial"/>
          <w:color w:val="000000" w:themeColor="text1"/>
        </w:rPr>
        <w:t>, 38.68 %, and Palghar, 37.39 %, which are key tribal heartlands. On the other hand, lower ST population districts such as Pune 3.70 %, Solapur 1.81 %, and Satara 1.00 % reflect more urbanized and less tribal demographics. Tribal population is concentrated in north-western (Nandurbar and Dhule), and eastern (</w:t>
      </w:r>
      <w:proofErr w:type="spellStart"/>
      <w:r w:rsidR="00891DA8" w:rsidRPr="00891DA8">
        <w:rPr>
          <w:rFonts w:ascii="Arial" w:hAnsi="Arial" w:cs="Arial"/>
          <w:color w:val="000000" w:themeColor="text1"/>
        </w:rPr>
        <w:t>Gadchiroli</w:t>
      </w:r>
      <w:proofErr w:type="spellEnd"/>
      <w:r w:rsidR="00891DA8" w:rsidRPr="00891DA8">
        <w:rPr>
          <w:rFonts w:ascii="Arial" w:hAnsi="Arial" w:cs="Arial"/>
          <w:color w:val="000000" w:themeColor="text1"/>
        </w:rPr>
        <w:t xml:space="preserve">, Chandrapur, and </w:t>
      </w:r>
      <w:proofErr w:type="spellStart"/>
      <w:r w:rsidR="00891DA8" w:rsidRPr="00891DA8">
        <w:rPr>
          <w:rFonts w:ascii="Arial" w:hAnsi="Arial" w:cs="Arial"/>
          <w:color w:val="000000" w:themeColor="text1"/>
        </w:rPr>
        <w:t>Gondia</w:t>
      </w:r>
      <w:proofErr w:type="spellEnd"/>
      <w:r w:rsidR="00891DA8" w:rsidRPr="00891DA8">
        <w:rPr>
          <w:rFonts w:ascii="Arial" w:hAnsi="Arial" w:cs="Arial"/>
          <w:color w:val="000000" w:themeColor="text1"/>
        </w:rPr>
        <w:t xml:space="preserve"> district) in Maharashtra.</w:t>
      </w:r>
    </w:p>
    <w:p w14:paraId="3D709926" w14:textId="60804871" w:rsidR="00CC7015" w:rsidRPr="00891DA8" w:rsidRDefault="00CC7015" w:rsidP="002B321C">
      <w:pPr>
        <w:spacing w:line="360" w:lineRule="auto"/>
        <w:jc w:val="both"/>
        <w:rPr>
          <w:rFonts w:ascii="Arial" w:hAnsi="Arial" w:cs="Arial"/>
          <w:color w:val="000000" w:themeColor="text1"/>
        </w:rPr>
      </w:pPr>
      <w:r w:rsidRPr="002C55B9">
        <w:rPr>
          <w:noProof/>
          <w:color w:val="000000" w:themeColor="text1"/>
          <w:lang w:val="en-US"/>
        </w:rPr>
        <w:drawing>
          <wp:inline distT="0" distB="0" distL="0" distR="0" wp14:anchorId="3468135C" wp14:editId="23328CBE">
            <wp:extent cx="5614035" cy="4315968"/>
            <wp:effectExtent l="0" t="0" r="5715" b="8890"/>
            <wp:docPr id="1907915206" name="Chart 1">
              <a:extLst xmlns:a="http://schemas.openxmlformats.org/drawingml/2006/main">
                <a:ext uri="{FF2B5EF4-FFF2-40B4-BE49-F238E27FC236}">
                  <a16:creationId xmlns:a16="http://schemas.microsoft.com/office/drawing/2014/main" id="{799DB595-67A2-32BA-6E95-76417D118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CD1B6B" w14:textId="77777777" w:rsidR="00CC7015" w:rsidRDefault="00CC7015" w:rsidP="00CC7015">
      <w:pPr>
        <w:spacing w:line="360" w:lineRule="auto"/>
        <w:jc w:val="both"/>
        <w:rPr>
          <w:rFonts w:ascii="Times New Roman" w:hAnsi="Times New Roman" w:cs="Times New Roman"/>
          <w:sz w:val="20"/>
          <w:szCs w:val="20"/>
        </w:rPr>
      </w:pPr>
      <w:r w:rsidRPr="002B321C">
        <w:rPr>
          <w:rFonts w:ascii="Times New Roman" w:hAnsi="Times New Roman" w:cs="Times New Roman"/>
          <w:sz w:val="20"/>
          <w:szCs w:val="20"/>
        </w:rPr>
        <w:t xml:space="preserve">(Source: </w:t>
      </w:r>
      <w:hyperlink r:id="rId10" w:history="1">
        <w:r w:rsidRPr="00322583">
          <w:rPr>
            <w:rStyle w:val="Hyperlink"/>
            <w:rFonts w:ascii="Times New Roman" w:hAnsi="Times New Roman" w:cs="Times New Roman"/>
            <w:sz w:val="20"/>
            <w:szCs w:val="20"/>
          </w:rPr>
          <w:t>https://censusindia.gov.in/census.website/data/census-tables</w:t>
        </w:r>
      </w:hyperlink>
      <w:r w:rsidRPr="002B321C">
        <w:rPr>
          <w:rFonts w:ascii="Times New Roman" w:hAnsi="Times New Roman" w:cs="Times New Roman"/>
          <w:sz w:val="20"/>
          <w:szCs w:val="20"/>
        </w:rPr>
        <w:t>)</w:t>
      </w:r>
    </w:p>
    <w:p w14:paraId="44D20A45" w14:textId="5B99CCF3" w:rsidR="00633A1C" w:rsidRPr="00CC7015" w:rsidRDefault="00CC7015" w:rsidP="00CC7015">
      <w:pPr>
        <w:spacing w:line="36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Fig. 2. </w:t>
      </w:r>
      <w:r w:rsidRPr="00CC7015">
        <w:rPr>
          <w:rFonts w:ascii="Times New Roman" w:hAnsi="Times New Roman" w:cs="Times New Roman"/>
          <w:b/>
          <w:bCs/>
          <w:sz w:val="20"/>
          <w:szCs w:val="20"/>
        </w:rPr>
        <w:t>Administrative division-wise three most dominant ST literate districts</w:t>
      </w:r>
      <w:r>
        <w:rPr>
          <w:rFonts w:ascii="Times New Roman" w:hAnsi="Times New Roman" w:cs="Times New Roman"/>
          <w:b/>
          <w:bCs/>
          <w:sz w:val="20"/>
          <w:szCs w:val="20"/>
        </w:rPr>
        <w:t xml:space="preserve"> with total literacy %, ST literacy %, and literacy gap %</w:t>
      </w:r>
      <w:r w:rsidRPr="00CC7015">
        <w:rPr>
          <w:rFonts w:ascii="Times New Roman" w:hAnsi="Times New Roman" w:cs="Times New Roman"/>
          <w:b/>
          <w:bCs/>
          <w:sz w:val="20"/>
          <w:szCs w:val="20"/>
        </w:rPr>
        <w:t xml:space="preserve"> in Maharashtra state</w:t>
      </w:r>
      <w:r>
        <w:rPr>
          <w:rFonts w:ascii="Times New Roman" w:hAnsi="Times New Roman" w:cs="Times New Roman"/>
          <w:b/>
          <w:bCs/>
          <w:sz w:val="20"/>
          <w:szCs w:val="20"/>
        </w:rPr>
        <w:t>.</w:t>
      </w:r>
    </w:p>
    <w:p w14:paraId="65E8EF29" w14:textId="7C89CA28" w:rsidR="00633A1C" w:rsidRPr="00F1246B" w:rsidRDefault="00633A1C" w:rsidP="00670161">
      <w:pPr>
        <w:spacing w:line="360" w:lineRule="auto"/>
        <w:jc w:val="both"/>
        <w:rPr>
          <w:rFonts w:ascii="Arial" w:hAnsi="Arial" w:cs="Arial"/>
          <w:color w:val="000000" w:themeColor="text1"/>
        </w:rPr>
      </w:pPr>
      <w:r w:rsidRPr="00F1246B">
        <w:rPr>
          <w:rFonts w:ascii="Arial" w:hAnsi="Arial" w:cs="Arial"/>
          <w:color w:val="000000" w:themeColor="text1"/>
        </w:rPr>
        <w:t xml:space="preserve">Data depicted from </w:t>
      </w:r>
      <w:r w:rsidR="002B321C" w:rsidRPr="00F1246B">
        <w:rPr>
          <w:rFonts w:ascii="Arial" w:hAnsi="Arial" w:cs="Arial"/>
          <w:color w:val="000000" w:themeColor="text1"/>
        </w:rPr>
        <w:t>fig</w:t>
      </w:r>
      <w:r w:rsidRPr="00F1246B">
        <w:rPr>
          <w:rFonts w:ascii="Arial" w:hAnsi="Arial" w:cs="Arial"/>
          <w:color w:val="000000" w:themeColor="text1"/>
        </w:rPr>
        <w:t>.</w:t>
      </w:r>
      <w:r w:rsidR="002B321C" w:rsidRPr="00F1246B">
        <w:rPr>
          <w:rFonts w:ascii="Arial" w:hAnsi="Arial" w:cs="Arial"/>
          <w:color w:val="000000" w:themeColor="text1"/>
        </w:rPr>
        <w:t>2.</w:t>
      </w:r>
      <w:r w:rsidRPr="00F1246B">
        <w:rPr>
          <w:rFonts w:ascii="Arial" w:hAnsi="Arial" w:cs="Arial"/>
          <w:color w:val="000000" w:themeColor="text1"/>
        </w:rPr>
        <w:t xml:space="preserve"> The three most tribal communities in the Konkan administrative division are Palghar, Raigad, and Thane. Of these, the ST literacy rate in Palghar district (49.37%) is significantly lower than the overall literacy rate (66.65%), resulting in a 17.28% literacy gap. In comparison to Palghar and Raigad districts, Thane district exhibits higher ST education levels with 68.44% ST literacy and a 16.12% literacy gap, whereas Raigad district has greater literacy (65.12%) and a smaller literacy gap (18.02%). Nandurbar district's ST literacy rate of 46.67% of the total literacy rate of 63.0% with 16.33% is lower than that of Dhule and Nashik in the Nashik Division. The greatest literacy rate in the Nashik division is 63.78 % with an 18.53 % literacy gap, while the Dhule region's literacy rate is 54.55% with an 18.25 % literacy gap. Pune division has a 21.86 % wide literacy gap, despite the district's high total literacy rate of 86.31% and ST literacy of 64.29%. Satara district has the highest ST literacy rate, 66.01 % with a 16.77 % literacy gap. Chhatrapati Sambhaji Nagar division highly concentrated district, including </w:t>
      </w:r>
      <w:proofErr w:type="spellStart"/>
      <w:r w:rsidRPr="00F1246B">
        <w:rPr>
          <w:rFonts w:ascii="Arial" w:hAnsi="Arial" w:cs="Arial"/>
          <w:color w:val="000000" w:themeColor="text1"/>
        </w:rPr>
        <w:t>Hingoli</w:t>
      </w:r>
      <w:proofErr w:type="spellEnd"/>
      <w:r w:rsidRPr="00F1246B">
        <w:rPr>
          <w:rFonts w:ascii="Arial" w:hAnsi="Arial" w:cs="Arial"/>
          <w:color w:val="000000" w:themeColor="text1"/>
        </w:rPr>
        <w:t xml:space="preserve">, Nanded, and Chhatrapati Sambhaji Nagar has moderate literacy gaps, and ST literacy remains below 62 %. In which </w:t>
      </w:r>
      <w:proofErr w:type="spellStart"/>
      <w:r w:rsidRPr="00F1246B">
        <w:rPr>
          <w:rFonts w:ascii="Arial" w:hAnsi="Arial" w:cs="Arial"/>
          <w:color w:val="000000" w:themeColor="text1"/>
        </w:rPr>
        <w:t>Chha</w:t>
      </w:r>
      <w:proofErr w:type="spellEnd"/>
      <w:r w:rsidRPr="00F1246B">
        <w:rPr>
          <w:rFonts w:ascii="Arial" w:hAnsi="Arial" w:cs="Arial"/>
          <w:color w:val="000000" w:themeColor="text1"/>
        </w:rPr>
        <w:t xml:space="preserve">. Sambhaji Nagar district has the highest ST literacy 61. 95 % with 20.96 % literacy gap, and </w:t>
      </w:r>
      <w:proofErr w:type="spellStart"/>
      <w:r w:rsidRPr="00F1246B">
        <w:rPr>
          <w:rFonts w:ascii="Arial" w:hAnsi="Arial" w:cs="Arial"/>
          <w:color w:val="000000" w:themeColor="text1"/>
        </w:rPr>
        <w:t>Hingoli</w:t>
      </w:r>
      <w:proofErr w:type="spellEnd"/>
      <w:r w:rsidRPr="00F1246B">
        <w:rPr>
          <w:rFonts w:ascii="Arial" w:hAnsi="Arial" w:cs="Arial"/>
          <w:color w:val="000000" w:themeColor="text1"/>
        </w:rPr>
        <w:t xml:space="preserve"> and Nanded have shown 60.01 % and 57.8 % ST literacy with 18.16 % and 17.65 % literacy gap, respectively. Amravati division, ST literacy rates in all districts include </w:t>
      </w:r>
      <w:proofErr w:type="spellStart"/>
      <w:r w:rsidRPr="00F1246B">
        <w:rPr>
          <w:rFonts w:ascii="Arial" w:hAnsi="Arial" w:cs="Arial"/>
          <w:color w:val="000000" w:themeColor="text1"/>
        </w:rPr>
        <w:t>Yavatmal</w:t>
      </w:r>
      <w:proofErr w:type="spellEnd"/>
      <w:r w:rsidRPr="00F1246B">
        <w:rPr>
          <w:rFonts w:ascii="Arial" w:hAnsi="Arial" w:cs="Arial"/>
          <w:color w:val="000000" w:themeColor="text1"/>
        </w:rPr>
        <w:t xml:space="preserve"> (60.74 %), Amravati (66.58 %), and </w:t>
      </w:r>
      <w:proofErr w:type="spellStart"/>
      <w:r w:rsidRPr="00F1246B">
        <w:rPr>
          <w:rFonts w:ascii="Arial" w:hAnsi="Arial" w:cs="Arial"/>
          <w:color w:val="000000" w:themeColor="text1"/>
        </w:rPr>
        <w:t>Washim</w:t>
      </w:r>
      <w:proofErr w:type="spellEnd"/>
      <w:r w:rsidRPr="00F1246B">
        <w:rPr>
          <w:rFonts w:ascii="Arial" w:hAnsi="Arial" w:cs="Arial"/>
          <w:color w:val="000000" w:themeColor="text1"/>
        </w:rPr>
        <w:t xml:space="preserve"> (64.38 %), with moderate literacy gaps of 19.96 %, 18.23 %, and 17.37 % respectively. The </w:t>
      </w:r>
      <w:proofErr w:type="spellStart"/>
      <w:r w:rsidRPr="00F1246B">
        <w:rPr>
          <w:rFonts w:ascii="Arial" w:hAnsi="Arial" w:cs="Arial"/>
          <w:color w:val="000000" w:themeColor="text1"/>
        </w:rPr>
        <w:t>Gondia</w:t>
      </w:r>
      <w:proofErr w:type="spellEnd"/>
      <w:r w:rsidRPr="00F1246B">
        <w:rPr>
          <w:rFonts w:ascii="Arial" w:hAnsi="Arial" w:cs="Arial"/>
          <w:color w:val="000000" w:themeColor="text1"/>
        </w:rPr>
        <w:t xml:space="preserve"> district in Nagpur division has the highest ST literacy rate in the state (67.88%), with a low literacy gap of 16.35%. The district of Chandrapur has 65.5% ST literacy and a 19.4% literacy gap, while </w:t>
      </w:r>
      <w:proofErr w:type="spellStart"/>
      <w:r w:rsidRPr="00F1246B">
        <w:rPr>
          <w:rFonts w:ascii="Arial" w:hAnsi="Arial" w:cs="Arial"/>
          <w:color w:val="000000" w:themeColor="text1"/>
        </w:rPr>
        <w:t>Gadchiroli</w:t>
      </w:r>
      <w:proofErr w:type="spellEnd"/>
      <w:r w:rsidRPr="00F1246B">
        <w:rPr>
          <w:rFonts w:ascii="Arial" w:hAnsi="Arial" w:cs="Arial"/>
          <w:color w:val="000000" w:themeColor="text1"/>
        </w:rPr>
        <w:t xml:space="preserve"> has a lower ST literacy rate of 57.24 and a moderate literacy gap of 17.9%. The districts with the highest ST literacy rates across all Maharashtra administrative divisions are </w:t>
      </w:r>
      <w:proofErr w:type="spellStart"/>
      <w:r w:rsidRPr="00F1246B">
        <w:rPr>
          <w:rFonts w:ascii="Arial" w:hAnsi="Arial" w:cs="Arial"/>
          <w:color w:val="000000" w:themeColor="text1"/>
        </w:rPr>
        <w:t>Gondia</w:t>
      </w:r>
      <w:proofErr w:type="spellEnd"/>
      <w:r w:rsidRPr="00F1246B">
        <w:rPr>
          <w:rFonts w:ascii="Arial" w:hAnsi="Arial" w:cs="Arial"/>
          <w:color w:val="000000" w:themeColor="text1"/>
        </w:rPr>
        <w:t xml:space="preserve"> (67.88%), </w:t>
      </w:r>
      <w:proofErr w:type="spellStart"/>
      <w:r w:rsidRPr="00F1246B">
        <w:rPr>
          <w:rFonts w:ascii="Arial" w:hAnsi="Arial" w:cs="Arial"/>
          <w:color w:val="000000" w:themeColor="text1"/>
        </w:rPr>
        <w:t>Satara</w:t>
      </w:r>
      <w:proofErr w:type="spellEnd"/>
      <w:r w:rsidRPr="00F1246B">
        <w:rPr>
          <w:rFonts w:ascii="Arial" w:hAnsi="Arial" w:cs="Arial"/>
          <w:color w:val="000000" w:themeColor="text1"/>
        </w:rPr>
        <w:t xml:space="preserve"> (66.01%), Amravati (66.58%), and Raigad (65.12%). In the districts of Nandurbar (46.67%) and Palghar (49.37%), ST literacy is the lowest. The districts with the biggest literacy gaps are Pune (21.86%) and Ch. Sambhaji Nagar (20.96%), whereas </w:t>
      </w:r>
      <w:proofErr w:type="spellStart"/>
      <w:r w:rsidRPr="00F1246B">
        <w:rPr>
          <w:rFonts w:ascii="Arial" w:hAnsi="Arial" w:cs="Arial"/>
          <w:color w:val="000000" w:themeColor="text1"/>
        </w:rPr>
        <w:t>Gondia</w:t>
      </w:r>
      <w:proofErr w:type="spellEnd"/>
      <w:r w:rsidRPr="00F1246B">
        <w:rPr>
          <w:rFonts w:ascii="Arial" w:hAnsi="Arial" w:cs="Arial"/>
          <w:color w:val="000000" w:themeColor="text1"/>
        </w:rPr>
        <w:t xml:space="preserve"> (16.35%), </w:t>
      </w:r>
      <w:proofErr w:type="spellStart"/>
      <w:r w:rsidRPr="00F1246B">
        <w:rPr>
          <w:rFonts w:ascii="Arial" w:hAnsi="Arial" w:cs="Arial"/>
          <w:color w:val="000000" w:themeColor="text1"/>
        </w:rPr>
        <w:t>Nandurbar</w:t>
      </w:r>
      <w:proofErr w:type="spellEnd"/>
      <w:r w:rsidRPr="00F1246B">
        <w:rPr>
          <w:rFonts w:ascii="Arial" w:hAnsi="Arial" w:cs="Arial"/>
          <w:color w:val="000000" w:themeColor="text1"/>
        </w:rPr>
        <w:t xml:space="preserve"> (16.33%), and Satara (16.77%) have the smallest gaps. </w:t>
      </w:r>
      <w:proofErr w:type="spellStart"/>
      <w:r w:rsidRPr="00F1246B">
        <w:rPr>
          <w:rFonts w:ascii="Arial" w:hAnsi="Arial" w:cs="Arial"/>
          <w:color w:val="000000" w:themeColor="text1"/>
        </w:rPr>
        <w:t>Gondia</w:t>
      </w:r>
      <w:proofErr w:type="spellEnd"/>
      <w:r w:rsidRPr="00F1246B">
        <w:rPr>
          <w:rFonts w:ascii="Arial" w:hAnsi="Arial" w:cs="Arial"/>
          <w:color w:val="000000" w:themeColor="text1"/>
        </w:rPr>
        <w:t xml:space="preserve"> and </w:t>
      </w:r>
      <w:proofErr w:type="spellStart"/>
      <w:r w:rsidRPr="00F1246B">
        <w:rPr>
          <w:rFonts w:ascii="Arial" w:hAnsi="Arial" w:cs="Arial"/>
          <w:color w:val="000000" w:themeColor="text1"/>
        </w:rPr>
        <w:t>Satara</w:t>
      </w:r>
      <w:proofErr w:type="spellEnd"/>
      <w:r w:rsidRPr="00F1246B">
        <w:rPr>
          <w:rFonts w:ascii="Arial" w:hAnsi="Arial" w:cs="Arial"/>
          <w:color w:val="000000" w:themeColor="text1"/>
        </w:rPr>
        <w:t xml:space="preserve"> are two districts that excel at reducing the literacy gap and promoting ST literacy. Despite having comparatively smaller gaps, Nandurbar and Palghar require particular attention because of their poor ST literacy rates.</w:t>
      </w:r>
    </w:p>
    <w:p w14:paraId="3A21AA84" w14:textId="77777777" w:rsidR="00F1246B" w:rsidRDefault="00F1246B" w:rsidP="00633A1C">
      <w:pPr>
        <w:spacing w:line="360" w:lineRule="auto"/>
        <w:rPr>
          <w:rFonts w:ascii="Arial" w:hAnsi="Arial" w:cs="Arial"/>
          <w:b/>
          <w:bCs/>
          <w:color w:val="000000" w:themeColor="text1"/>
        </w:rPr>
      </w:pPr>
    </w:p>
    <w:p w14:paraId="2138874D" w14:textId="77777777" w:rsidR="00F1246B" w:rsidRDefault="00F1246B" w:rsidP="00633A1C">
      <w:pPr>
        <w:spacing w:line="360" w:lineRule="auto"/>
        <w:rPr>
          <w:rFonts w:ascii="Arial" w:hAnsi="Arial" w:cs="Arial"/>
          <w:b/>
          <w:bCs/>
          <w:color w:val="000000" w:themeColor="text1"/>
        </w:rPr>
      </w:pPr>
    </w:p>
    <w:p w14:paraId="19E408F7" w14:textId="77777777" w:rsidR="00F1246B" w:rsidRDefault="00F1246B" w:rsidP="00633A1C">
      <w:pPr>
        <w:spacing w:line="360" w:lineRule="auto"/>
        <w:rPr>
          <w:rFonts w:ascii="Arial" w:hAnsi="Arial" w:cs="Arial"/>
          <w:b/>
          <w:bCs/>
          <w:color w:val="000000" w:themeColor="text1"/>
        </w:rPr>
      </w:pPr>
    </w:p>
    <w:p w14:paraId="0374439A" w14:textId="77777777" w:rsidR="00F1246B" w:rsidRDefault="00F1246B" w:rsidP="00633A1C">
      <w:pPr>
        <w:spacing w:line="360" w:lineRule="auto"/>
        <w:rPr>
          <w:rFonts w:ascii="Arial" w:hAnsi="Arial" w:cs="Arial"/>
          <w:b/>
          <w:bCs/>
          <w:color w:val="000000" w:themeColor="text1"/>
        </w:rPr>
      </w:pPr>
    </w:p>
    <w:p w14:paraId="342BF207" w14:textId="5C38A08E" w:rsidR="00633A1C" w:rsidRDefault="00F91FF7" w:rsidP="00633A1C">
      <w:pPr>
        <w:spacing w:line="360" w:lineRule="auto"/>
        <w:rPr>
          <w:rFonts w:ascii="Arial" w:hAnsi="Arial" w:cs="Arial"/>
          <w:b/>
          <w:bCs/>
          <w:color w:val="000000" w:themeColor="text1"/>
        </w:rPr>
      </w:pPr>
      <w:r w:rsidRPr="00F1246B">
        <w:rPr>
          <w:rFonts w:ascii="Arial" w:hAnsi="Arial" w:cs="Arial"/>
          <w:b/>
          <w:bCs/>
          <w:color w:val="000000" w:themeColor="text1"/>
        </w:rPr>
        <w:t>4.</w:t>
      </w:r>
      <w:r w:rsidR="00F1246B">
        <w:rPr>
          <w:rFonts w:ascii="Arial" w:hAnsi="Arial" w:cs="Arial"/>
          <w:b/>
          <w:bCs/>
          <w:color w:val="000000" w:themeColor="text1"/>
        </w:rPr>
        <w:t xml:space="preserve"> </w:t>
      </w:r>
      <w:r w:rsidRPr="00F1246B">
        <w:rPr>
          <w:rFonts w:ascii="Arial" w:hAnsi="Arial" w:cs="Arial"/>
          <w:b/>
          <w:bCs/>
          <w:color w:val="000000" w:themeColor="text1"/>
        </w:rPr>
        <w:t>4 COMPARATIVE LITERACY RATE OF MAHARASHTRA, PUNE, AND JUNNAR AS PER CENSUS 1991,</w:t>
      </w:r>
      <w:r w:rsidR="00F1246B">
        <w:rPr>
          <w:rFonts w:ascii="Arial" w:hAnsi="Arial" w:cs="Arial"/>
          <w:b/>
          <w:bCs/>
          <w:color w:val="000000" w:themeColor="text1"/>
        </w:rPr>
        <w:t xml:space="preserve"> </w:t>
      </w:r>
      <w:r w:rsidRPr="00F1246B">
        <w:rPr>
          <w:rFonts w:ascii="Arial" w:hAnsi="Arial" w:cs="Arial"/>
          <w:b/>
          <w:bCs/>
          <w:color w:val="000000" w:themeColor="text1"/>
        </w:rPr>
        <w:t>2001,</w:t>
      </w:r>
      <w:r w:rsidR="00F1246B">
        <w:rPr>
          <w:rFonts w:ascii="Arial" w:hAnsi="Arial" w:cs="Arial"/>
          <w:b/>
          <w:bCs/>
          <w:color w:val="000000" w:themeColor="text1"/>
        </w:rPr>
        <w:t xml:space="preserve"> and </w:t>
      </w:r>
      <w:r w:rsidRPr="00F1246B">
        <w:rPr>
          <w:rFonts w:ascii="Arial" w:hAnsi="Arial" w:cs="Arial"/>
          <w:b/>
          <w:bCs/>
          <w:color w:val="000000" w:themeColor="text1"/>
        </w:rPr>
        <w:t>2011</w:t>
      </w:r>
    </w:p>
    <w:p w14:paraId="3EC4EF74" w14:textId="368C9417" w:rsidR="00F1246B" w:rsidRPr="00F1246B" w:rsidRDefault="00F1246B" w:rsidP="00316C5F">
      <w:pPr>
        <w:spacing w:line="360" w:lineRule="auto"/>
        <w:jc w:val="both"/>
        <w:rPr>
          <w:rFonts w:ascii="Arial" w:hAnsi="Arial" w:cs="Arial"/>
          <w:b/>
          <w:bCs/>
          <w:color w:val="000000" w:themeColor="text1"/>
        </w:rPr>
      </w:pPr>
      <w:r w:rsidRPr="00F1246B">
        <w:rPr>
          <w:rFonts w:ascii="Arial" w:hAnsi="Arial" w:cs="Arial"/>
          <w:color w:val="000000" w:themeColor="text1"/>
        </w:rPr>
        <w:t xml:space="preserve">Data depicted from Figure 3.  Across all regions and areas, the literacy rate from 1991-2011 has consistently improved over the 20 years. However, disparities remain in terms of urban and rural, male and female, and literacy gap in gender disparity. In Maharashtra state, rural areas show </w:t>
      </w:r>
      <w:r w:rsidR="00316C5F">
        <w:rPr>
          <w:rFonts w:ascii="Arial" w:hAnsi="Arial" w:cs="Arial"/>
          <w:color w:val="000000" w:themeColor="text1"/>
        </w:rPr>
        <w:t>that</w:t>
      </w:r>
      <w:r w:rsidRPr="00F1246B">
        <w:rPr>
          <w:rFonts w:ascii="Arial" w:hAnsi="Arial" w:cs="Arial"/>
          <w:color w:val="000000" w:themeColor="text1"/>
        </w:rPr>
        <w:t xml:space="preserve"> male literacy increased from 41.0 % (1991) to 71.0 % (2011), and the total 30 % literacy rate rose in the male gender. The female literacy improved significantly from 18.0 % to 52.3 % between 1991 to 2011, respectively. However, in urban areas, literacy trends slightly improved in both male (58.6 % (1991) to 87.1 % (2011) and female 33.4 % (1991) to 72.5 % (2011). </w:t>
      </w:r>
    </w:p>
    <w:p w14:paraId="6FA280D6" w14:textId="52026937" w:rsidR="00633A1C" w:rsidRDefault="00633A1C" w:rsidP="00633A1C">
      <w:pPr>
        <w:spacing w:line="360" w:lineRule="auto"/>
        <w:rPr>
          <w:rFonts w:ascii="Times New Roman" w:hAnsi="Times New Roman" w:cs="Times New Roman"/>
          <w:color w:val="000000" w:themeColor="text1"/>
          <w:sz w:val="24"/>
          <w:szCs w:val="24"/>
        </w:rPr>
      </w:pPr>
      <w:r w:rsidRPr="002C55B9">
        <w:rPr>
          <w:noProof/>
          <w:color w:val="000000" w:themeColor="text1"/>
          <w:lang w:val="en-US"/>
        </w:rPr>
        <w:drawing>
          <wp:inline distT="0" distB="0" distL="0" distR="0" wp14:anchorId="4C3E6944" wp14:editId="3BAA125E">
            <wp:extent cx="5943600" cy="3328416"/>
            <wp:effectExtent l="0" t="0" r="0" b="5715"/>
            <wp:docPr id="1896444042" name="Chart 1">
              <a:extLst xmlns:a="http://schemas.openxmlformats.org/drawingml/2006/main">
                <a:ext uri="{FF2B5EF4-FFF2-40B4-BE49-F238E27FC236}">
                  <a16:creationId xmlns:a16="http://schemas.microsoft.com/office/drawing/2014/main" id="{B2064723-4DFE-6E74-3311-59B018338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ECC32C" w14:textId="77777777" w:rsidR="00F1246B" w:rsidRDefault="00F1246B" w:rsidP="00F1246B">
      <w:pPr>
        <w:spacing w:line="360" w:lineRule="auto"/>
        <w:jc w:val="both"/>
        <w:rPr>
          <w:rFonts w:ascii="Times New Roman" w:hAnsi="Times New Roman" w:cs="Times New Roman"/>
          <w:sz w:val="20"/>
          <w:szCs w:val="20"/>
        </w:rPr>
      </w:pPr>
      <w:r w:rsidRPr="002B321C">
        <w:rPr>
          <w:rFonts w:ascii="Times New Roman" w:hAnsi="Times New Roman" w:cs="Times New Roman"/>
          <w:sz w:val="20"/>
          <w:szCs w:val="20"/>
        </w:rPr>
        <w:t xml:space="preserve">(Source: </w:t>
      </w:r>
      <w:hyperlink r:id="rId12" w:history="1">
        <w:r w:rsidRPr="00322583">
          <w:rPr>
            <w:rStyle w:val="Hyperlink"/>
            <w:rFonts w:ascii="Times New Roman" w:hAnsi="Times New Roman" w:cs="Times New Roman"/>
            <w:sz w:val="20"/>
            <w:szCs w:val="20"/>
          </w:rPr>
          <w:t>https://censusindia.gov.in/census.website/data/census-tables</w:t>
        </w:r>
      </w:hyperlink>
      <w:r w:rsidRPr="002B321C">
        <w:rPr>
          <w:rFonts w:ascii="Times New Roman" w:hAnsi="Times New Roman" w:cs="Times New Roman"/>
          <w:sz w:val="20"/>
          <w:szCs w:val="20"/>
        </w:rPr>
        <w:t>)</w:t>
      </w:r>
    </w:p>
    <w:p w14:paraId="193E23B6" w14:textId="2E46BF7D" w:rsidR="00F1246B" w:rsidRPr="00F1246B" w:rsidRDefault="00F1246B" w:rsidP="00633A1C">
      <w:pPr>
        <w:spacing w:line="360" w:lineRule="auto"/>
        <w:rPr>
          <w:rFonts w:ascii="Arial" w:hAnsi="Arial" w:cs="Arial"/>
          <w:b/>
          <w:bCs/>
          <w:color w:val="000000" w:themeColor="text1"/>
          <w:sz w:val="18"/>
          <w:szCs w:val="18"/>
        </w:rPr>
      </w:pPr>
      <w:r w:rsidRPr="00F1246B">
        <w:rPr>
          <w:rFonts w:ascii="Arial" w:hAnsi="Arial" w:cs="Arial"/>
          <w:b/>
          <w:bCs/>
          <w:color w:val="000000" w:themeColor="text1"/>
          <w:sz w:val="18"/>
          <w:szCs w:val="18"/>
        </w:rPr>
        <w:t>Fig.3. Literacy Rate (%) of Scheduled Tribes (ST) in Maharashtra State, Pune District, and Junnar Tehsil (1991, 2001, 2011): Rural vs Urban by Gender and Literacy Gap</w:t>
      </w:r>
    </w:p>
    <w:p w14:paraId="7FCD551B" w14:textId="122B16C2" w:rsidR="00F1246B" w:rsidRPr="00F1246B" w:rsidRDefault="00633A1C" w:rsidP="00F1246B">
      <w:pPr>
        <w:spacing w:line="360" w:lineRule="auto"/>
        <w:jc w:val="both"/>
        <w:rPr>
          <w:rFonts w:ascii="Arial" w:hAnsi="Arial" w:cs="Arial"/>
          <w:color w:val="000000" w:themeColor="text1"/>
        </w:rPr>
      </w:pPr>
      <w:r w:rsidRPr="00F1246B">
        <w:rPr>
          <w:rFonts w:ascii="Arial" w:hAnsi="Arial" w:cs="Arial"/>
          <w:color w:val="000000" w:themeColor="text1"/>
        </w:rPr>
        <w:t xml:space="preserve">The literacy gap has reduced in rural areas from 23.0 % to 18.7 % but </w:t>
      </w:r>
      <w:r w:rsidR="0067062C">
        <w:rPr>
          <w:rFonts w:ascii="Arial" w:hAnsi="Arial" w:cs="Arial"/>
          <w:color w:val="000000" w:themeColor="text1"/>
        </w:rPr>
        <w:t xml:space="preserve">the </w:t>
      </w:r>
      <w:r w:rsidRPr="00F1246B">
        <w:rPr>
          <w:rFonts w:ascii="Arial" w:hAnsi="Arial" w:cs="Arial"/>
          <w:color w:val="000000" w:themeColor="text1"/>
        </w:rPr>
        <w:t xml:space="preserve">urban areas' literacy gap narrowed from 25.2 % to 14.6 %, which is a more sustainable improvement than rural areas over the last 20 years. In rural areas of Pune district, total literacy has increased from 30.8 % to 63.6 % between 1991 to 2011. In rural areas, the male and female gap has decreased from 22.3 % to 18.6 % but literacy growth among females has increased up to 34.4 % (19.8 % to 54.2 % from 1991 to 2011), which is highly noticeable and a better improvement, </w:t>
      </w:r>
      <w:r w:rsidRPr="00F1246B">
        <w:rPr>
          <w:rFonts w:ascii="Arial" w:hAnsi="Arial" w:cs="Arial"/>
          <w:color w:val="000000" w:themeColor="text1"/>
        </w:rPr>
        <w:lastRenderedPageBreak/>
        <w:t xml:space="preserve">especially in rural female literacy. Simultaneously, in urban areas of Pune district, literacy rate (46.9 % to 79.6 %) and literacy gap (25.3 % to 14.1 %) increased significantly. As per the census records, the rural areas of Junnar tehsil, male literacy 38.2 % to 70.3 %, female literacy 17.4 % to 51.6 % and the literacy gap </w:t>
      </w:r>
      <w:r w:rsidR="00446AF3">
        <w:rPr>
          <w:rFonts w:ascii="Arial" w:hAnsi="Arial" w:cs="Arial"/>
          <w:color w:val="000000" w:themeColor="text1"/>
        </w:rPr>
        <w:t>ranged</w:t>
      </w:r>
      <w:r w:rsidRPr="00F1246B">
        <w:rPr>
          <w:rFonts w:ascii="Arial" w:hAnsi="Arial" w:cs="Arial"/>
          <w:color w:val="000000" w:themeColor="text1"/>
        </w:rPr>
        <w:t xml:space="preserve"> from 20.8 % to 18.7 % from 1991 to 2011. On the other hand, urban areas of Junnar show the male literacy 55.6 % to 85.1 %, female literacy 30.8 % to 70.2 % and literacy gap decreased from 24.8 % to 14.9 % over the last 20 years. The urban areas of Junnar tehsil have made positive gains in both male and female literacy; however, the rural parts of Junnar still lag, especially improvement of women's literacy, and require efforts to focus on female education in rural areas. </w:t>
      </w:r>
    </w:p>
    <w:p w14:paraId="4949ACCD" w14:textId="06D20319" w:rsidR="00633A1C" w:rsidRPr="00F1246B" w:rsidRDefault="00633A1C" w:rsidP="00C77D1C">
      <w:pPr>
        <w:spacing w:line="360" w:lineRule="auto"/>
        <w:jc w:val="both"/>
        <w:rPr>
          <w:rFonts w:ascii="Arial" w:hAnsi="Arial" w:cs="Arial"/>
          <w:b/>
          <w:bCs/>
          <w:color w:val="000000" w:themeColor="text1"/>
        </w:rPr>
      </w:pPr>
      <w:r w:rsidRPr="00F1246B">
        <w:rPr>
          <w:rFonts w:ascii="Arial" w:hAnsi="Arial" w:cs="Arial"/>
          <w:b/>
          <w:bCs/>
          <w:color w:val="000000" w:themeColor="text1"/>
        </w:rPr>
        <w:t xml:space="preserve">Table </w:t>
      </w:r>
      <w:r w:rsidR="00F1246B" w:rsidRPr="00F1246B">
        <w:rPr>
          <w:rFonts w:ascii="Arial" w:hAnsi="Arial" w:cs="Arial"/>
          <w:b/>
          <w:bCs/>
          <w:color w:val="000000" w:themeColor="text1"/>
        </w:rPr>
        <w:t>3</w:t>
      </w:r>
      <w:r w:rsidRPr="00F1246B">
        <w:rPr>
          <w:rFonts w:ascii="Arial" w:hAnsi="Arial" w:cs="Arial"/>
          <w:b/>
          <w:bCs/>
          <w:color w:val="000000" w:themeColor="text1"/>
        </w:rPr>
        <w:t>. Women's literacy gains and gender gap reduction in Maharashtra, Pune District, and Junnar Tehsil from 1991 to 2011.</w:t>
      </w:r>
    </w:p>
    <w:tbl>
      <w:tblPr>
        <w:tblStyle w:val="TableGrid"/>
        <w:tblW w:w="0" w:type="auto"/>
        <w:jc w:val="center"/>
        <w:tblLook w:val="04A0" w:firstRow="1" w:lastRow="0" w:firstColumn="1" w:lastColumn="0" w:noHBand="0" w:noVBand="1"/>
      </w:tblPr>
      <w:tblGrid>
        <w:gridCol w:w="1623"/>
        <w:gridCol w:w="2197"/>
        <w:gridCol w:w="1755"/>
        <w:gridCol w:w="1980"/>
      </w:tblGrid>
      <w:tr w:rsidR="00633A1C" w:rsidRPr="00F1246B" w14:paraId="5F8B5734" w14:textId="77777777" w:rsidTr="00C77D1C">
        <w:trPr>
          <w:trHeight w:val="1376"/>
          <w:jc w:val="center"/>
        </w:trPr>
        <w:tc>
          <w:tcPr>
            <w:tcW w:w="1623" w:type="dxa"/>
            <w:hideMark/>
          </w:tcPr>
          <w:p w14:paraId="6172B186" w14:textId="77777777" w:rsidR="00F1246B" w:rsidRPr="00F1246B" w:rsidRDefault="00F1246B" w:rsidP="00502C2D">
            <w:pPr>
              <w:spacing w:line="360" w:lineRule="auto"/>
              <w:jc w:val="center"/>
              <w:rPr>
                <w:rFonts w:ascii="Arial" w:hAnsi="Arial" w:cs="Arial"/>
                <w:color w:val="000000" w:themeColor="text1"/>
              </w:rPr>
            </w:pPr>
          </w:p>
          <w:p w14:paraId="2A772085" w14:textId="5606E45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Area</w:t>
            </w:r>
          </w:p>
        </w:tc>
        <w:tc>
          <w:tcPr>
            <w:tcW w:w="0" w:type="auto"/>
            <w:hideMark/>
          </w:tcPr>
          <w:p w14:paraId="3727654F"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 xml:space="preserve">Highest literacy gain </w:t>
            </w:r>
          </w:p>
          <w:p w14:paraId="7D665D1D"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(1991–2011)</w:t>
            </w:r>
          </w:p>
        </w:tc>
        <w:tc>
          <w:tcPr>
            <w:tcW w:w="1755" w:type="dxa"/>
            <w:hideMark/>
          </w:tcPr>
          <w:p w14:paraId="5B0F246F"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Gender Gap Reduction</w:t>
            </w:r>
          </w:p>
        </w:tc>
        <w:tc>
          <w:tcPr>
            <w:tcW w:w="1980" w:type="dxa"/>
            <w:hideMark/>
          </w:tcPr>
          <w:p w14:paraId="6EF59CC0"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Remarks</w:t>
            </w:r>
          </w:p>
        </w:tc>
      </w:tr>
      <w:tr w:rsidR="00633A1C" w:rsidRPr="00F1246B" w14:paraId="142ED8D1" w14:textId="77777777" w:rsidTr="00C77D1C">
        <w:trPr>
          <w:jc w:val="center"/>
        </w:trPr>
        <w:tc>
          <w:tcPr>
            <w:tcW w:w="1623" w:type="dxa"/>
            <w:hideMark/>
          </w:tcPr>
          <w:p w14:paraId="7F9D3DA1"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Maharashtra Urban</w:t>
            </w:r>
          </w:p>
        </w:tc>
        <w:tc>
          <w:tcPr>
            <w:tcW w:w="0" w:type="auto"/>
            <w:hideMark/>
          </w:tcPr>
          <w:p w14:paraId="4E523E3A"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Female (+39.1%)</w:t>
            </w:r>
          </w:p>
        </w:tc>
        <w:tc>
          <w:tcPr>
            <w:tcW w:w="1755" w:type="dxa"/>
            <w:hideMark/>
          </w:tcPr>
          <w:p w14:paraId="442A10E9"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-10.6%</w:t>
            </w:r>
          </w:p>
        </w:tc>
        <w:tc>
          <w:tcPr>
            <w:tcW w:w="1980" w:type="dxa"/>
            <w:hideMark/>
          </w:tcPr>
          <w:p w14:paraId="1CD78C52"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Strong gender progress</w:t>
            </w:r>
          </w:p>
        </w:tc>
      </w:tr>
      <w:tr w:rsidR="00633A1C" w:rsidRPr="00F1246B" w14:paraId="321B7785" w14:textId="77777777" w:rsidTr="00C77D1C">
        <w:trPr>
          <w:jc w:val="center"/>
        </w:trPr>
        <w:tc>
          <w:tcPr>
            <w:tcW w:w="1623" w:type="dxa"/>
            <w:hideMark/>
          </w:tcPr>
          <w:p w14:paraId="64409826"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Pune Rural</w:t>
            </w:r>
          </w:p>
        </w:tc>
        <w:tc>
          <w:tcPr>
            <w:tcW w:w="0" w:type="auto"/>
            <w:hideMark/>
          </w:tcPr>
          <w:p w14:paraId="1D19DBEC"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Female (+34.4%)</w:t>
            </w:r>
          </w:p>
        </w:tc>
        <w:tc>
          <w:tcPr>
            <w:tcW w:w="1755" w:type="dxa"/>
            <w:hideMark/>
          </w:tcPr>
          <w:p w14:paraId="0416B8B7"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-3.7%</w:t>
            </w:r>
          </w:p>
        </w:tc>
        <w:tc>
          <w:tcPr>
            <w:tcW w:w="1980" w:type="dxa"/>
            <w:hideMark/>
          </w:tcPr>
          <w:p w14:paraId="76B8FEFF"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Steady rise</w:t>
            </w:r>
          </w:p>
        </w:tc>
      </w:tr>
      <w:tr w:rsidR="00633A1C" w:rsidRPr="00F1246B" w14:paraId="4D41DDB1" w14:textId="77777777" w:rsidTr="00C77D1C">
        <w:trPr>
          <w:jc w:val="center"/>
        </w:trPr>
        <w:tc>
          <w:tcPr>
            <w:tcW w:w="1623" w:type="dxa"/>
            <w:hideMark/>
          </w:tcPr>
          <w:p w14:paraId="62C4FEF5"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Junnar Urban</w:t>
            </w:r>
          </w:p>
        </w:tc>
        <w:tc>
          <w:tcPr>
            <w:tcW w:w="0" w:type="auto"/>
            <w:hideMark/>
          </w:tcPr>
          <w:p w14:paraId="3A75EE72"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Female (+39.4%)</w:t>
            </w:r>
          </w:p>
        </w:tc>
        <w:tc>
          <w:tcPr>
            <w:tcW w:w="1755" w:type="dxa"/>
            <w:hideMark/>
          </w:tcPr>
          <w:p w14:paraId="59496567"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-9.9%</w:t>
            </w:r>
          </w:p>
        </w:tc>
        <w:tc>
          <w:tcPr>
            <w:tcW w:w="1980" w:type="dxa"/>
            <w:hideMark/>
          </w:tcPr>
          <w:p w14:paraId="6FC40006"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Major urban gains</w:t>
            </w:r>
          </w:p>
        </w:tc>
      </w:tr>
      <w:tr w:rsidR="00633A1C" w:rsidRPr="00F1246B" w14:paraId="56046F9B" w14:textId="77777777" w:rsidTr="00C77D1C">
        <w:trPr>
          <w:jc w:val="center"/>
        </w:trPr>
        <w:tc>
          <w:tcPr>
            <w:tcW w:w="1623" w:type="dxa"/>
            <w:hideMark/>
          </w:tcPr>
          <w:p w14:paraId="72E29E59"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Junnar Rural</w:t>
            </w:r>
          </w:p>
        </w:tc>
        <w:tc>
          <w:tcPr>
            <w:tcW w:w="0" w:type="auto"/>
            <w:hideMark/>
          </w:tcPr>
          <w:p w14:paraId="7AE1AE5F"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Female (+34.2%)</w:t>
            </w:r>
          </w:p>
        </w:tc>
        <w:tc>
          <w:tcPr>
            <w:tcW w:w="1755" w:type="dxa"/>
            <w:hideMark/>
          </w:tcPr>
          <w:p w14:paraId="3EEB5E09"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-2.1%</w:t>
            </w:r>
          </w:p>
        </w:tc>
        <w:tc>
          <w:tcPr>
            <w:tcW w:w="1980" w:type="dxa"/>
            <w:hideMark/>
          </w:tcPr>
          <w:p w14:paraId="66834BEB"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Still trailing</w:t>
            </w:r>
          </w:p>
        </w:tc>
      </w:tr>
    </w:tbl>
    <w:p w14:paraId="1EEF4BDE" w14:textId="04AF0640" w:rsidR="000834CA" w:rsidRPr="00F1246B" w:rsidRDefault="00C77D1C" w:rsidP="000834CA">
      <w:pPr>
        <w:spacing w:line="360" w:lineRule="auto"/>
        <w:jc w:val="both"/>
        <w:rPr>
          <w:rFonts w:ascii="Arial" w:hAnsi="Arial" w:cs="Arial"/>
        </w:rPr>
      </w:pPr>
      <w:r>
        <w:rPr>
          <w:rFonts w:ascii="Arial" w:hAnsi="Arial" w:cs="Arial"/>
        </w:rPr>
        <w:t xml:space="preserve">            </w:t>
      </w:r>
      <w:r w:rsidR="000834CA" w:rsidRPr="00F1246B">
        <w:rPr>
          <w:rFonts w:ascii="Arial" w:hAnsi="Arial" w:cs="Arial"/>
        </w:rPr>
        <w:t>(</w:t>
      </w:r>
      <w:r w:rsidR="000834CA" w:rsidRPr="00F1246B">
        <w:rPr>
          <w:rFonts w:ascii="Arial" w:hAnsi="Arial" w:cs="Arial"/>
          <w:sz w:val="18"/>
          <w:szCs w:val="18"/>
        </w:rPr>
        <w:t>Source: https://censusindia.gov.in/census.website/data/census-tables)</w:t>
      </w:r>
    </w:p>
    <w:p w14:paraId="3E76F2EB" w14:textId="77777777" w:rsidR="00C77D1C" w:rsidRDefault="00C77D1C" w:rsidP="00633A1C">
      <w:pPr>
        <w:rPr>
          <w:rFonts w:ascii="Arial" w:hAnsi="Arial" w:cs="Arial"/>
          <w:b/>
          <w:bCs/>
        </w:rPr>
      </w:pPr>
    </w:p>
    <w:p w14:paraId="7E1347DB" w14:textId="5372B7F4" w:rsidR="00633A1C" w:rsidRPr="00A52AD9" w:rsidRDefault="00F91FF7" w:rsidP="00633A1C">
      <w:pPr>
        <w:rPr>
          <w:rFonts w:ascii="Arial" w:hAnsi="Arial" w:cs="Arial"/>
          <w:b/>
          <w:bCs/>
        </w:rPr>
      </w:pPr>
      <w:r w:rsidRPr="00A52AD9">
        <w:rPr>
          <w:rFonts w:ascii="Arial" w:hAnsi="Arial" w:cs="Arial"/>
          <w:b/>
          <w:bCs/>
        </w:rPr>
        <w:t>4.5. COMPARATIVE LITERACY RATE OF SCHEDULED TRIBES AND ALL OTHER COMMUNITIES IN JUNNAR TEHSIL.</w:t>
      </w:r>
    </w:p>
    <w:p w14:paraId="09E06A9F" w14:textId="50EF972B" w:rsidR="00C77D1C" w:rsidRPr="00A52AD9" w:rsidRDefault="00C77D1C" w:rsidP="00C77D1C">
      <w:pPr>
        <w:spacing w:line="360" w:lineRule="auto"/>
        <w:jc w:val="both"/>
        <w:rPr>
          <w:rFonts w:ascii="Arial" w:hAnsi="Arial" w:cs="Arial"/>
          <w:b/>
          <w:bCs/>
        </w:rPr>
      </w:pPr>
      <w:r w:rsidRPr="00A52AD9">
        <w:rPr>
          <w:rFonts w:ascii="Arial" w:hAnsi="Arial" w:cs="Arial"/>
          <w:color w:val="000000" w:themeColor="text1"/>
        </w:rPr>
        <w:t>The data from fig.4. The population of Scheduled Tribes in Junnar tehsil has decreased somewhat over the last 20 years, from approximately 12.0% in 1991 to approximately 11.5% in 2011. The non-ST populations continue to have a dominant position, accounting for approximately 88% of the total population, with a slight growth over time. The ST community has had a notable growth in the total literacy rate, which was 29.5% in 1991, 44.5% in 2001, and 59.4% in 2011. In 1991, 2001, and 2011, the non-ST community's literacy rate was 59.8%, 70.3%, and 78.2% greater than that of the Scheduled Tribes.</w:t>
      </w:r>
    </w:p>
    <w:p w14:paraId="128345D5" w14:textId="77777777" w:rsidR="00633A1C" w:rsidRDefault="00633A1C" w:rsidP="00633A1C">
      <w:pPr>
        <w:spacing w:line="480" w:lineRule="auto"/>
        <w:rPr>
          <w:rFonts w:ascii="Times New Roman" w:hAnsi="Times New Roman" w:cs="Times New Roman"/>
          <w:color w:val="000000" w:themeColor="text1"/>
          <w:sz w:val="24"/>
          <w:szCs w:val="24"/>
        </w:rPr>
      </w:pPr>
    </w:p>
    <w:p w14:paraId="489AB708" w14:textId="46F9EF12" w:rsidR="00C77D1C" w:rsidRPr="00C77D1C" w:rsidRDefault="00633A1C" w:rsidP="00C77D1C">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noProof/>
          <w:lang w:val="en-US"/>
        </w:rPr>
        <w:drawing>
          <wp:inline distT="0" distB="0" distL="0" distR="0" wp14:anchorId="24C9C172" wp14:editId="49281201">
            <wp:extent cx="5267325" cy="3486150"/>
            <wp:effectExtent l="0" t="0" r="9525" b="0"/>
            <wp:docPr id="1771257579" name="Chart 1">
              <a:extLst xmlns:a="http://schemas.openxmlformats.org/drawingml/2006/main">
                <a:ext uri="{FF2B5EF4-FFF2-40B4-BE49-F238E27FC236}">
                  <a16:creationId xmlns:a16="http://schemas.microsoft.com/office/drawing/2014/main" id="{E52DC1C1-6394-F5CA-6506-191516736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6C7CBA" w14:textId="3E01F8C9" w:rsidR="00C77D1C" w:rsidRPr="00C77D1C" w:rsidRDefault="00C77D1C" w:rsidP="00C77D1C">
      <w:pPr>
        <w:spacing w:line="360" w:lineRule="auto"/>
        <w:jc w:val="both"/>
        <w:rPr>
          <w:rFonts w:ascii="Arial" w:hAnsi="Arial" w:cs="Arial"/>
        </w:rPr>
      </w:pPr>
      <w:r>
        <w:rPr>
          <w:rFonts w:ascii="Arial" w:hAnsi="Arial" w:cs="Arial"/>
        </w:rPr>
        <w:t xml:space="preserve">           </w:t>
      </w:r>
      <w:r w:rsidRPr="00C77D1C">
        <w:rPr>
          <w:rFonts w:ascii="Arial" w:hAnsi="Arial" w:cs="Arial"/>
        </w:rPr>
        <w:t>(Source: https://censusindia.gov.in/census.website/data/census-tables)</w:t>
      </w:r>
    </w:p>
    <w:p w14:paraId="0801746C" w14:textId="77777777" w:rsidR="00633A1C" w:rsidRPr="00C77D1C" w:rsidRDefault="00633A1C" w:rsidP="00633A1C">
      <w:pPr>
        <w:rPr>
          <w:rFonts w:ascii="Arial" w:hAnsi="Arial" w:cs="Arial"/>
          <w:b/>
          <w:bCs/>
          <w:sz w:val="20"/>
          <w:szCs w:val="20"/>
        </w:rPr>
      </w:pPr>
      <w:r w:rsidRPr="00C77D1C">
        <w:rPr>
          <w:rFonts w:ascii="Arial" w:hAnsi="Arial" w:cs="Arial"/>
          <w:b/>
          <w:bCs/>
          <w:sz w:val="20"/>
          <w:szCs w:val="20"/>
        </w:rPr>
        <w:t>Fig. 4.  Literacy &amp; Demographic Comparison – Junnar Tehsil: ST vs All Other Communities (1991–2011)</w:t>
      </w:r>
    </w:p>
    <w:p w14:paraId="618AC4A8" w14:textId="1D1F5158" w:rsidR="00633A1C" w:rsidRPr="00A52AD9" w:rsidRDefault="00633A1C" w:rsidP="00633A1C">
      <w:pPr>
        <w:spacing w:line="360" w:lineRule="auto"/>
        <w:jc w:val="both"/>
        <w:rPr>
          <w:rFonts w:ascii="Arial" w:hAnsi="Arial" w:cs="Arial"/>
          <w:color w:val="000000" w:themeColor="text1"/>
        </w:rPr>
      </w:pPr>
      <w:r w:rsidRPr="00A52AD9">
        <w:rPr>
          <w:rFonts w:ascii="Arial" w:hAnsi="Arial" w:cs="Arial"/>
          <w:color w:val="000000" w:themeColor="text1"/>
        </w:rPr>
        <w:t xml:space="preserve">The ST community still lags behind all other communities by around 19% in 2011, despite the moderate literacy gap. According to Junnar tehsil's gender-based literacy statistics, male literacy in the ST category rose from 42.1% in 1991 to 70.6% in 2011. Nonetheless, the literacy rate for girls from Scheduled Tribes increased significantly, more than doubling over 20 years, from 19.8% in 1991 to 30.2% in 2001 to 48.2% in 2011. In every other community, literacy rates for men and women increased from 70.2% to 85.9% and 48.4% to 70.2%, respectively. The gender gap between STs and AOCs in terms of female literacy is still quite high (22% in 2011), while the gender gap between STs and all other communities in terms of male literacy is also significant (15.3% in 2011). In Junnar tehsil, comparison of rural and urban literacy, ST improved significantly in growth from 27.5 % (1991) to 55.1 % (2011) in rural areas, and 52.0% (1991) to 72.0% (2011) in urban regions. In case of all other communities, literacy is noticeable, 55.2% (1991) to 74.8% (2011) and 68.3% (1991) to 84.1% (2011) in rural and urban areas, respectively. The difference in literacy between males and </w:t>
      </w:r>
      <w:r w:rsidR="00A52AD9">
        <w:rPr>
          <w:rFonts w:ascii="Arial" w:hAnsi="Arial" w:cs="Arial"/>
          <w:color w:val="000000" w:themeColor="text1"/>
        </w:rPr>
        <w:t>females</w:t>
      </w:r>
      <w:r w:rsidRPr="00A52AD9">
        <w:rPr>
          <w:rFonts w:ascii="Arial" w:hAnsi="Arial" w:cs="Arial"/>
          <w:color w:val="000000" w:themeColor="text1"/>
        </w:rPr>
        <w:t xml:space="preserve"> varied from 22.3% in 1991, 28.8% in 2001, and 22.4 % in 2011. However, the gender literacy inequalities in non-ST populations have steadily decreased, most notably from 21.8% in 1991 to 15.7% in </w:t>
      </w:r>
      <w:r w:rsidRPr="00A52AD9">
        <w:rPr>
          <w:rFonts w:ascii="Arial" w:hAnsi="Arial" w:cs="Arial"/>
          <w:color w:val="000000" w:themeColor="text1"/>
        </w:rPr>
        <w:lastRenderedPageBreak/>
        <w:t>2011. STs continue to have a larger gender gap than any other community, indicating that gender disparity in literacy is still present in tribal groups.</w:t>
      </w:r>
    </w:p>
    <w:p w14:paraId="1C3EC182" w14:textId="4D64B994" w:rsidR="00EC6A8E" w:rsidRPr="00A52AD9" w:rsidRDefault="00F91FF7" w:rsidP="00EC6A8E">
      <w:pPr>
        <w:spacing w:line="360" w:lineRule="auto"/>
        <w:jc w:val="both"/>
        <w:rPr>
          <w:rFonts w:ascii="Arial" w:hAnsi="Arial" w:cs="Arial"/>
          <w:b/>
          <w:bCs/>
          <w:color w:val="000000" w:themeColor="text1"/>
          <w:lang w:val="en-US"/>
        </w:rPr>
      </w:pPr>
      <w:r w:rsidRPr="00A52AD9">
        <w:rPr>
          <w:rFonts w:ascii="Arial" w:hAnsi="Arial" w:cs="Arial"/>
          <w:b/>
          <w:bCs/>
          <w:color w:val="000000" w:themeColor="text1"/>
          <w:lang w:val="en-US"/>
        </w:rPr>
        <w:t>5.0 THE WELFARE POLICIES, PROGRAMS, AND SCHEMES FOR TRIBAL EDUCATION</w:t>
      </w:r>
    </w:p>
    <w:p w14:paraId="452E3038" w14:textId="48841EDD" w:rsidR="00633A1C" w:rsidRPr="00316C5F" w:rsidRDefault="00FE541A" w:rsidP="00BB1140">
      <w:pPr>
        <w:spacing w:line="360" w:lineRule="auto"/>
        <w:jc w:val="both"/>
        <w:rPr>
          <w:rFonts w:ascii="Arial" w:hAnsi="Arial" w:cs="Arial"/>
          <w:color w:val="000000" w:themeColor="text1"/>
        </w:rPr>
      </w:pPr>
      <w:r w:rsidRPr="00316C5F">
        <w:rPr>
          <w:rFonts w:ascii="Arial" w:hAnsi="Arial" w:cs="Arial"/>
          <w:color w:val="000000" w:themeColor="text1"/>
        </w:rPr>
        <w:t xml:space="preserve">The improvement of tribal peoples per capita through education and skills. Therefore, </w:t>
      </w:r>
      <w:r w:rsidR="0095027B" w:rsidRPr="00316C5F">
        <w:rPr>
          <w:rFonts w:ascii="Arial" w:hAnsi="Arial" w:cs="Arial"/>
          <w:color w:val="000000" w:themeColor="text1"/>
        </w:rPr>
        <w:t>all ST children's primary and elementary education will remain a top priority, with an emphasis on education for girls in particular</w:t>
      </w:r>
      <w:r w:rsidR="00560BA4" w:rsidRPr="00316C5F">
        <w:rPr>
          <w:rFonts w:ascii="Arial" w:hAnsi="Arial" w:cs="Arial"/>
          <w:color w:val="000000" w:themeColor="text1"/>
        </w:rPr>
        <w:t xml:space="preserve"> (</w:t>
      </w:r>
      <w:proofErr w:type="spellStart"/>
      <w:r w:rsidR="00560BA4" w:rsidRPr="00316C5F">
        <w:rPr>
          <w:rFonts w:ascii="Arial" w:hAnsi="Arial" w:cs="Arial"/>
          <w:color w:val="000000" w:themeColor="text1"/>
        </w:rPr>
        <w:t>Thamminaina</w:t>
      </w:r>
      <w:proofErr w:type="spellEnd"/>
      <w:r w:rsidR="00560BA4" w:rsidRPr="00316C5F">
        <w:rPr>
          <w:rFonts w:ascii="Arial" w:hAnsi="Arial" w:cs="Arial"/>
          <w:color w:val="000000" w:themeColor="text1"/>
        </w:rPr>
        <w:t>, et.al.,2020)</w:t>
      </w:r>
      <w:r w:rsidR="0095027B" w:rsidRPr="00316C5F">
        <w:rPr>
          <w:rFonts w:ascii="Arial" w:hAnsi="Arial" w:cs="Arial"/>
          <w:color w:val="000000" w:themeColor="text1"/>
        </w:rPr>
        <w:t>. During the 12th plan period, current educational infrastructure projects would also be finished, in addition to other important education-promoting programs such as scholarships for ST students</w:t>
      </w:r>
      <w:bookmarkStart w:id="1" w:name="_Hlk140516715"/>
      <w:r w:rsidR="007A248B" w:rsidRPr="00316C5F">
        <w:rPr>
          <w:rFonts w:ascii="Arial" w:hAnsi="Arial" w:cs="Arial"/>
          <w:color w:val="000000" w:themeColor="text1"/>
        </w:rPr>
        <w:t xml:space="preserve"> (Pooja et.al.,2024).</w:t>
      </w:r>
    </w:p>
    <w:p w14:paraId="109A11EB" w14:textId="2014DDB7"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UMBRELLA SCHEME FOR TRIBAL EDUCATION</w:t>
      </w:r>
    </w:p>
    <w:p w14:paraId="512679BA" w14:textId="683A2D7D" w:rsidR="004A750B" w:rsidRPr="00316C5F" w:rsidRDefault="0095027B" w:rsidP="007A248B">
      <w:pPr>
        <w:spacing w:line="360" w:lineRule="auto"/>
        <w:jc w:val="both"/>
        <w:rPr>
          <w:rFonts w:ascii="Arial" w:hAnsi="Arial" w:cs="Arial"/>
          <w:color w:val="000000" w:themeColor="text1"/>
        </w:rPr>
      </w:pPr>
      <w:r w:rsidRPr="00316C5F">
        <w:rPr>
          <w:rFonts w:ascii="Arial" w:hAnsi="Arial" w:cs="Arial"/>
          <w:color w:val="000000" w:themeColor="text1"/>
        </w:rPr>
        <w:t>The implementation of the centrally sponsored umbrella programs for the education of indigenous children is recommended for the 12th five-year plan period, which spans from 2013–2014 to 2016–17 and beyond.</w:t>
      </w:r>
      <w:r w:rsidR="004A750B" w:rsidRPr="00316C5F">
        <w:rPr>
          <w:rFonts w:ascii="Arial" w:hAnsi="Arial" w:cs="Arial"/>
          <w:color w:val="000000" w:themeColor="text1"/>
        </w:rPr>
        <w:t xml:space="preserve"> The following ten education-related programs have been implemented by the Ministry of Tribal Affairs </w:t>
      </w:r>
      <w:r w:rsidR="00D65579" w:rsidRPr="00316C5F">
        <w:rPr>
          <w:rFonts w:ascii="Arial" w:hAnsi="Arial" w:cs="Arial"/>
          <w:color w:val="000000" w:themeColor="text1"/>
        </w:rPr>
        <w:t>to</w:t>
      </w:r>
      <w:r w:rsidR="004A750B" w:rsidRPr="00316C5F">
        <w:rPr>
          <w:rFonts w:ascii="Arial" w:hAnsi="Arial" w:cs="Arial"/>
          <w:color w:val="000000" w:themeColor="text1"/>
        </w:rPr>
        <w:t xml:space="preserve"> support infrastructure development, offer scholarship and fellowship opportunities, and close significant gaps in the current initiatives for the education of tribal children</w:t>
      </w:r>
      <w:r w:rsidR="00BB1140" w:rsidRPr="00316C5F">
        <w:rPr>
          <w:rFonts w:ascii="Arial" w:hAnsi="Arial" w:cs="Arial"/>
          <w:color w:val="000000" w:themeColor="text1"/>
        </w:rPr>
        <w:t xml:space="preserve"> (Mishra et.al.,2023</w:t>
      </w:r>
      <w:r w:rsidR="0017556A" w:rsidRPr="00316C5F">
        <w:rPr>
          <w:rFonts w:ascii="Arial" w:hAnsi="Arial" w:cs="Arial"/>
          <w:color w:val="000000" w:themeColor="text1"/>
        </w:rPr>
        <w:t>;</w:t>
      </w:r>
      <w:r w:rsidR="007A248B" w:rsidRPr="00316C5F">
        <w:rPr>
          <w:rFonts w:ascii="Arial" w:hAnsi="Arial" w:cs="Arial"/>
          <w:color w:val="000000" w:themeColor="text1"/>
        </w:rPr>
        <w:t xml:space="preserve"> </w:t>
      </w:r>
      <w:hyperlink r:id="rId14" w:history="1">
        <w:r w:rsidR="007A248B" w:rsidRPr="00316C5F">
          <w:rPr>
            <w:rStyle w:val="Hyperlink"/>
            <w:rFonts w:ascii="Arial" w:hAnsi="Arial" w:cs="Arial"/>
            <w:color w:val="000000" w:themeColor="text1"/>
          </w:rPr>
          <w:t>https://www.pib.gov.in/PressNoteDetails.aspx?NoteId=153230&amp;ModuleId 3</w:t>
        </w:r>
      </w:hyperlink>
      <w:r w:rsidR="007A248B" w:rsidRPr="00316C5F">
        <w:rPr>
          <w:rFonts w:ascii="Arial" w:hAnsi="Arial" w:cs="Arial"/>
          <w:color w:val="000000" w:themeColor="text1"/>
        </w:rPr>
        <w:t>)</w:t>
      </w:r>
    </w:p>
    <w:p w14:paraId="27C72E3C" w14:textId="77777777" w:rsidR="004A750B" w:rsidRPr="00A52AD9" w:rsidRDefault="004A750B" w:rsidP="0002093D">
      <w:pPr>
        <w:pStyle w:val="ListParagraph"/>
        <w:numPr>
          <w:ilvl w:val="0"/>
          <w:numId w:val="3"/>
        </w:numPr>
        <w:spacing w:line="360" w:lineRule="auto"/>
        <w:rPr>
          <w:rFonts w:ascii="Arial" w:hAnsi="Arial" w:cs="Arial"/>
          <w:color w:val="000000" w:themeColor="text1"/>
        </w:rPr>
      </w:pPr>
      <w:r w:rsidRPr="00A52AD9">
        <w:rPr>
          <w:rFonts w:ascii="Arial" w:hAnsi="Arial" w:cs="Arial"/>
          <w:color w:val="000000" w:themeColor="text1"/>
        </w:rPr>
        <w:t>The construction of residential schools in areas that have been identified by tribes.</w:t>
      </w:r>
    </w:p>
    <w:p w14:paraId="756329A6" w14:textId="05B818FC" w:rsidR="004A750B" w:rsidRPr="00A52AD9" w:rsidRDefault="004A750B" w:rsidP="0002093D">
      <w:pPr>
        <w:pStyle w:val="ListParagraph"/>
        <w:numPr>
          <w:ilvl w:val="0"/>
          <w:numId w:val="3"/>
        </w:numPr>
        <w:spacing w:line="360" w:lineRule="auto"/>
        <w:rPr>
          <w:rFonts w:ascii="Arial" w:hAnsi="Arial" w:cs="Arial"/>
          <w:color w:val="000000" w:themeColor="text1"/>
        </w:rPr>
      </w:pPr>
      <w:r w:rsidRPr="00A52AD9">
        <w:rPr>
          <w:rFonts w:ascii="Arial" w:hAnsi="Arial" w:cs="Arial"/>
          <w:color w:val="000000" w:themeColor="text1"/>
        </w:rPr>
        <w:t xml:space="preserve">The construction of </w:t>
      </w:r>
      <w:r w:rsidRPr="00A52AD9">
        <w:rPr>
          <w:rFonts w:ascii="Arial" w:eastAsia="Times New Roman" w:hAnsi="Arial" w:cs="Arial"/>
          <w:color w:val="000000" w:themeColor="text1"/>
          <w:lang w:bidi="mr-IN"/>
        </w:rPr>
        <w:t>Hostels for both male and female tribal students.</w:t>
      </w:r>
    </w:p>
    <w:p w14:paraId="0AF9DB6E" w14:textId="747FA74E" w:rsidR="004A750B" w:rsidRPr="00A52AD9" w:rsidRDefault="004A750B" w:rsidP="0002093D">
      <w:pPr>
        <w:pStyle w:val="ListParagraph"/>
        <w:numPr>
          <w:ilvl w:val="0"/>
          <w:numId w:val="3"/>
        </w:numPr>
        <w:spacing w:line="360" w:lineRule="auto"/>
        <w:rPr>
          <w:rFonts w:ascii="Arial" w:hAnsi="Arial" w:cs="Arial"/>
          <w:color w:val="000000" w:themeColor="text1"/>
        </w:rPr>
      </w:pPr>
      <w:r w:rsidRPr="00A52AD9">
        <w:rPr>
          <w:rFonts w:ascii="Arial" w:hAnsi="Arial" w:cs="Arial"/>
          <w:color w:val="000000" w:themeColor="text1"/>
          <w:shd w:val="clear" w:color="auto" w:fill="FFFFFF"/>
        </w:rPr>
        <w:t>Arrangement of vocational education for tribal students in tribal territories.</w:t>
      </w:r>
    </w:p>
    <w:p w14:paraId="3C14514B" w14:textId="38193959" w:rsidR="00B5537E" w:rsidRPr="00A52AD9" w:rsidRDefault="004A750B"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 xml:space="preserve">Expanding educational </w:t>
      </w:r>
      <w:r w:rsidR="00B5537E" w:rsidRPr="00A52AD9">
        <w:rPr>
          <w:rFonts w:ascii="Arial" w:eastAsia="Times New Roman" w:hAnsi="Arial" w:cs="Arial"/>
          <w:color w:val="000000" w:themeColor="text1"/>
          <w:lang w:bidi="mr-IN"/>
        </w:rPr>
        <w:t>opportunities</w:t>
      </w:r>
      <w:r w:rsidRPr="00A52AD9">
        <w:rPr>
          <w:rFonts w:ascii="Arial" w:eastAsia="Times New Roman" w:hAnsi="Arial" w:cs="Arial"/>
          <w:color w:val="000000" w:themeColor="text1"/>
          <w:lang w:bidi="mr-IN"/>
        </w:rPr>
        <w:t xml:space="preserve"> for tribal girls in low-literacy areas.</w:t>
      </w:r>
    </w:p>
    <w:p w14:paraId="30E33AA8" w14:textId="58E6596E" w:rsidR="00B5537E" w:rsidRPr="00A52AD9" w:rsidRDefault="00B5537E"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Aid grants to nonprofit organizations that support the well-being of students from tribal communities.</w:t>
      </w:r>
    </w:p>
    <w:p w14:paraId="40F49166" w14:textId="1268E9B9" w:rsidR="004A750B" w:rsidRPr="00A52AD9" w:rsidRDefault="00B5537E" w:rsidP="0002093D">
      <w:pPr>
        <w:pStyle w:val="ListParagraph"/>
        <w:numPr>
          <w:ilvl w:val="0"/>
          <w:numId w:val="3"/>
        </w:numPr>
        <w:spacing w:line="360" w:lineRule="auto"/>
        <w:rPr>
          <w:rFonts w:ascii="Arial" w:hAnsi="Arial" w:cs="Arial"/>
          <w:color w:val="000000" w:themeColor="text1"/>
        </w:rPr>
      </w:pPr>
      <w:r w:rsidRPr="00A52AD9">
        <w:rPr>
          <w:rFonts w:ascii="Arial" w:eastAsia="Times New Roman" w:hAnsi="Arial" w:cs="Arial"/>
          <w:color w:val="000000" w:themeColor="text1"/>
          <w:lang w:bidi="mr-IN"/>
        </w:rPr>
        <w:t>Primary matric scholarship is started for indigenous students in schools XI and X.</w:t>
      </w:r>
    </w:p>
    <w:p w14:paraId="4A4FDFB8" w14:textId="77777777" w:rsidR="00B5537E" w:rsidRPr="00A52AD9" w:rsidRDefault="00B5537E" w:rsidP="0002093D">
      <w:pPr>
        <w:pStyle w:val="ListParagraph"/>
        <w:numPr>
          <w:ilvl w:val="0"/>
          <w:numId w:val="3"/>
        </w:numPr>
        <w:spacing w:line="360" w:lineRule="auto"/>
        <w:rPr>
          <w:rFonts w:ascii="Arial" w:hAnsi="Arial" w:cs="Arial"/>
          <w:color w:val="000000" w:themeColor="text1"/>
        </w:rPr>
      </w:pPr>
      <w:r w:rsidRPr="00A52AD9">
        <w:rPr>
          <w:rFonts w:ascii="Arial" w:eastAsia="Times New Roman" w:hAnsi="Arial" w:cs="Arial"/>
          <w:color w:val="000000" w:themeColor="text1"/>
          <w:lang w:bidi="mr-IN"/>
        </w:rPr>
        <w:t>Students from scheduled tribes can apply for scholarships for post-secondary education.</w:t>
      </w:r>
    </w:p>
    <w:p w14:paraId="3869C282" w14:textId="29D90294" w:rsidR="00B5537E" w:rsidRPr="00A52AD9" w:rsidRDefault="00B5537E"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Enhancement of the academic performance of indigenous students.</w:t>
      </w:r>
    </w:p>
    <w:p w14:paraId="35015FD1" w14:textId="362461DC" w:rsidR="00B5537E" w:rsidRPr="00A52AD9" w:rsidRDefault="00B5537E"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Provide quality education for tribal students.</w:t>
      </w:r>
    </w:p>
    <w:p w14:paraId="7778EC01" w14:textId="4B9949C8" w:rsidR="0002093D" w:rsidRPr="00A52AD9" w:rsidRDefault="0002093D"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The Rajiv Gandhi National Fellowship is open to all tribal students.</w:t>
      </w:r>
    </w:p>
    <w:p w14:paraId="21455FB4" w14:textId="56272112" w:rsidR="00B5537E" w:rsidRPr="00A52AD9" w:rsidRDefault="00B5537E" w:rsidP="0002093D">
      <w:pPr>
        <w:pStyle w:val="ListParagraph"/>
        <w:numPr>
          <w:ilvl w:val="0"/>
          <w:numId w:val="3"/>
        </w:numPr>
        <w:spacing w:line="360" w:lineRule="auto"/>
        <w:rPr>
          <w:rFonts w:ascii="Arial" w:hAnsi="Arial" w:cs="Arial"/>
          <w:color w:val="000000" w:themeColor="text1"/>
        </w:rPr>
      </w:pPr>
      <w:r w:rsidRPr="00A52AD9">
        <w:rPr>
          <w:rFonts w:ascii="Arial" w:eastAsia="Times New Roman" w:hAnsi="Arial" w:cs="Arial"/>
          <w:color w:val="000000" w:themeColor="text1"/>
          <w:lang w:bidi="mr-IN"/>
        </w:rPr>
        <w:t xml:space="preserve"> </w:t>
      </w:r>
      <w:r w:rsidR="0002093D" w:rsidRPr="00A52AD9">
        <w:rPr>
          <w:rFonts w:ascii="Arial" w:eastAsia="Times New Roman" w:hAnsi="Arial" w:cs="Arial"/>
          <w:color w:val="000000" w:themeColor="text1"/>
          <w:lang w:bidi="mr-IN"/>
        </w:rPr>
        <w:t xml:space="preserve">Provide the National scholarship for tribal students who intend to study </w:t>
      </w:r>
      <w:r w:rsidR="0002093D" w:rsidRPr="00A52AD9">
        <w:rPr>
          <w:rFonts w:ascii="Arial" w:hAnsi="Arial" w:cs="Arial"/>
          <w:color w:val="000000" w:themeColor="text1"/>
          <w:shd w:val="clear" w:color="auto" w:fill="FFFFFF"/>
        </w:rPr>
        <w:t>abroad.</w:t>
      </w:r>
    </w:p>
    <w:p w14:paraId="56ABABC7" w14:textId="02A3298F" w:rsidR="00633A1C" w:rsidRPr="00A52AD9" w:rsidRDefault="00633A1C" w:rsidP="004A750B">
      <w:pPr>
        <w:spacing w:after="160" w:line="360" w:lineRule="auto"/>
        <w:rPr>
          <w:rFonts w:ascii="Arial" w:hAnsi="Arial" w:cs="Arial"/>
          <w:color w:val="000000" w:themeColor="text1"/>
          <w:shd w:val="clear" w:color="auto" w:fill="FFFFFF"/>
        </w:rPr>
      </w:pPr>
    </w:p>
    <w:p w14:paraId="0B5C7C34" w14:textId="6803AAB9"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CONSTRUCTION OF ASHRAM SCHOOLS IN TRIBAL AREAS</w:t>
      </w:r>
    </w:p>
    <w:p w14:paraId="770820F5" w14:textId="787C6E96" w:rsidR="007A248B" w:rsidRPr="00316C5F" w:rsidRDefault="009938B2" w:rsidP="007A248B">
      <w:pPr>
        <w:spacing w:line="360" w:lineRule="auto"/>
        <w:jc w:val="both"/>
        <w:rPr>
          <w:rFonts w:ascii="Arial" w:hAnsi="Arial" w:cs="Arial"/>
          <w:color w:val="000000" w:themeColor="text1"/>
        </w:rPr>
      </w:pPr>
      <w:r w:rsidRPr="00316C5F">
        <w:rPr>
          <w:rFonts w:ascii="Arial" w:hAnsi="Arial" w:cs="Arial"/>
          <w:color w:val="000000" w:themeColor="text1"/>
        </w:rPr>
        <w:t xml:space="preserve">The Ministry of Tribal Affairs has been working to assist State Governments in their endeavors by giving States grants-in-aid to build school structures for tribal children. For Scheduled Tribe </w:t>
      </w:r>
      <w:r w:rsidRPr="00316C5F">
        <w:rPr>
          <w:rFonts w:ascii="Arial" w:hAnsi="Arial" w:cs="Arial"/>
          <w:color w:val="000000" w:themeColor="text1"/>
        </w:rPr>
        <w:lastRenderedPageBreak/>
        <w:t>boys and girls, the initiative allows for the construction of Ashram Schools at the primary, middle, intermediate, and senior secondary educational levels in addition to the enhancement of already-existing Ashram Schools.</w:t>
      </w:r>
      <w:r w:rsidR="00963AEC" w:rsidRPr="00316C5F">
        <w:rPr>
          <w:rFonts w:ascii="Arial" w:hAnsi="Arial" w:cs="Arial"/>
          <w:color w:val="000000" w:themeColor="text1"/>
        </w:rPr>
        <w:t xml:space="preserve"> </w:t>
      </w:r>
      <w:r w:rsidRPr="00316C5F">
        <w:rPr>
          <w:rFonts w:ascii="Arial" w:hAnsi="Arial" w:cs="Arial"/>
          <w:color w:val="000000" w:themeColor="text1"/>
        </w:rPr>
        <w:t>The Ministry of Tribal Affairs disburses grants-in-aid for the construction of facilities as well as the acquisition of equipment, books, furnishings, and other supplies. The appropriate State Government or UT Administration is responsible for maintaining and running Ashram Schools</w:t>
      </w:r>
      <w:r w:rsidR="00305246" w:rsidRPr="00316C5F">
        <w:rPr>
          <w:rFonts w:ascii="Arial" w:hAnsi="Arial" w:cs="Arial"/>
          <w:color w:val="000000" w:themeColor="text1"/>
        </w:rPr>
        <w:t xml:space="preserve"> (Dicholkar,2018).</w:t>
      </w:r>
      <w:r w:rsidRPr="00316C5F">
        <w:rPr>
          <w:rFonts w:ascii="Arial" w:hAnsi="Arial" w:cs="Arial"/>
          <w:color w:val="000000" w:themeColor="text1"/>
        </w:rPr>
        <w:t xml:space="preserve"> However, the Ministry keeps an eye on the benefits reaching the target population and routinely calls on State Governments to provide ST students with all required facilities, including drinking water, bedding and mattresses, good-quality meals, bathrooms, and basic utilities</w:t>
      </w:r>
      <w:r w:rsidR="00316C5F" w:rsidRPr="00316C5F">
        <w:rPr>
          <w:rFonts w:ascii="Arial" w:hAnsi="Arial" w:cs="Arial"/>
          <w:color w:val="000000" w:themeColor="text1"/>
        </w:rPr>
        <w:t xml:space="preserve"> (</w:t>
      </w:r>
      <w:proofErr w:type="spellStart"/>
      <w:r w:rsidR="00316C5F" w:rsidRPr="00316C5F">
        <w:rPr>
          <w:rFonts w:ascii="Arial" w:hAnsi="Arial" w:cs="Arial"/>
          <w:color w:val="000000" w:themeColor="text1"/>
        </w:rPr>
        <w:t>Garnaik</w:t>
      </w:r>
      <w:proofErr w:type="spellEnd"/>
      <w:r w:rsidR="00316C5F" w:rsidRPr="00316C5F">
        <w:rPr>
          <w:rFonts w:ascii="Arial" w:hAnsi="Arial" w:cs="Arial"/>
          <w:color w:val="000000" w:themeColor="text1"/>
        </w:rPr>
        <w:t xml:space="preserve"> and Barik 2012).</w:t>
      </w:r>
      <w:r w:rsidRPr="00316C5F">
        <w:rPr>
          <w:rFonts w:ascii="Arial" w:hAnsi="Arial" w:cs="Arial"/>
          <w:color w:val="000000" w:themeColor="text1"/>
        </w:rPr>
        <w:t xml:space="preserve"> Additionally, the Ministry monitor</w:t>
      </w:r>
      <w:r w:rsidR="00963AEC" w:rsidRPr="00316C5F">
        <w:rPr>
          <w:rFonts w:ascii="Arial" w:hAnsi="Arial" w:cs="Arial"/>
          <w:color w:val="000000" w:themeColor="text1"/>
        </w:rPr>
        <w:t>s</w:t>
      </w:r>
      <w:r w:rsidRPr="00316C5F">
        <w:rPr>
          <w:rFonts w:ascii="Arial" w:hAnsi="Arial" w:cs="Arial"/>
          <w:color w:val="000000" w:themeColor="text1"/>
        </w:rPr>
        <w:t xml:space="preserve"> computer rooms, labs, libraries, security measures, watchmen, sweeper personnel, and health </w:t>
      </w:r>
      <w:r w:rsidR="00963AEC" w:rsidRPr="00316C5F">
        <w:rPr>
          <w:rFonts w:ascii="Arial" w:hAnsi="Arial" w:cs="Arial"/>
          <w:color w:val="000000" w:themeColor="text1"/>
        </w:rPr>
        <w:t>check-ups of students</w:t>
      </w:r>
      <w:r w:rsidR="00D65579" w:rsidRPr="00316C5F">
        <w:rPr>
          <w:rFonts w:ascii="Arial" w:hAnsi="Arial" w:cs="Arial"/>
          <w:color w:val="000000" w:themeColor="text1"/>
        </w:rPr>
        <w:t xml:space="preserve"> (Saha 2023</w:t>
      </w:r>
      <w:r w:rsidR="00A1380E" w:rsidRPr="00316C5F">
        <w:rPr>
          <w:rFonts w:ascii="Arial" w:hAnsi="Arial" w:cs="Arial"/>
          <w:color w:val="000000" w:themeColor="text1"/>
        </w:rPr>
        <w:t>; Pooja et.al.</w:t>
      </w:r>
      <w:r w:rsidR="00A964E9" w:rsidRPr="00316C5F">
        <w:rPr>
          <w:rFonts w:ascii="Arial" w:hAnsi="Arial" w:cs="Arial"/>
          <w:color w:val="000000" w:themeColor="text1"/>
        </w:rPr>
        <w:t>,</w:t>
      </w:r>
      <w:r w:rsidR="00A1380E" w:rsidRPr="00316C5F">
        <w:rPr>
          <w:rFonts w:ascii="Arial" w:hAnsi="Arial" w:cs="Arial"/>
          <w:color w:val="000000" w:themeColor="text1"/>
        </w:rPr>
        <w:t>2024</w:t>
      </w:r>
      <w:r w:rsidR="007A248B" w:rsidRPr="00316C5F">
        <w:rPr>
          <w:rFonts w:ascii="Arial" w:hAnsi="Arial" w:cs="Arial"/>
          <w:color w:val="000000" w:themeColor="text1"/>
        </w:rPr>
        <w:t>; Government of India (</w:t>
      </w:r>
      <w:proofErr w:type="spellStart"/>
      <w:r w:rsidR="007A248B" w:rsidRPr="00316C5F">
        <w:rPr>
          <w:rFonts w:ascii="Arial" w:hAnsi="Arial" w:cs="Arial"/>
          <w:i/>
          <w:iCs/>
          <w:color w:val="000000" w:themeColor="text1"/>
        </w:rPr>
        <w:t>GoI</w:t>
      </w:r>
      <w:proofErr w:type="spellEnd"/>
      <w:r w:rsidR="007A248B" w:rsidRPr="00316C5F">
        <w:rPr>
          <w:rFonts w:ascii="Arial" w:hAnsi="Arial" w:cs="Arial"/>
          <w:i/>
          <w:iCs/>
          <w:color w:val="000000" w:themeColor="text1"/>
        </w:rPr>
        <w:t>),</w:t>
      </w:r>
      <w:r w:rsidR="007A248B" w:rsidRPr="00316C5F">
        <w:rPr>
          <w:rFonts w:ascii="Arial" w:hAnsi="Arial" w:cs="Arial"/>
          <w:color w:val="000000" w:themeColor="text1"/>
        </w:rPr>
        <w:t xml:space="preserve"> </w:t>
      </w:r>
      <w:proofErr w:type="spellStart"/>
      <w:r w:rsidR="007A248B" w:rsidRPr="00316C5F">
        <w:rPr>
          <w:rFonts w:ascii="Arial" w:hAnsi="Arial" w:cs="Arial"/>
          <w:color w:val="000000" w:themeColor="text1"/>
        </w:rPr>
        <w:t>Niti</w:t>
      </w:r>
      <w:proofErr w:type="spellEnd"/>
      <w:r w:rsidR="007A248B" w:rsidRPr="00316C5F">
        <w:rPr>
          <w:rFonts w:ascii="Arial" w:hAnsi="Arial" w:cs="Arial"/>
          <w:color w:val="000000" w:themeColor="text1"/>
        </w:rPr>
        <w:t xml:space="preserve"> Aayog, Annual Report 2024-25) </w:t>
      </w:r>
    </w:p>
    <w:p w14:paraId="3CDD02EF" w14:textId="6FB9799C"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ESTABLISHMENT OF EKALAVYA MODEL RESIDENTIAL SCHOOLS IN TRIBAL AREAS</w:t>
      </w:r>
    </w:p>
    <w:p w14:paraId="03358888" w14:textId="4F0FF99B" w:rsidR="00AC2C4A" w:rsidRPr="00316C5F" w:rsidRDefault="00AC2C4A" w:rsidP="007A248B">
      <w:pPr>
        <w:spacing w:line="360" w:lineRule="auto"/>
        <w:jc w:val="both"/>
        <w:rPr>
          <w:rFonts w:ascii="Arial" w:hAnsi="Arial" w:cs="Arial"/>
          <w:color w:val="000000" w:themeColor="text1"/>
        </w:rPr>
      </w:pPr>
      <w:r w:rsidRPr="00316C5F">
        <w:rPr>
          <w:rFonts w:ascii="Arial" w:hAnsi="Arial" w:cs="Arial"/>
          <w:color w:val="000000" w:themeColor="text1"/>
        </w:rPr>
        <w:t>Under the Ekalavya Model Residential Schools, the government aimed to establish top-class educational institutions for the growth of education and provide quality education to Scheduled tribe students. The Indian Constitution's Article 275(1) provides for the establishment of Ekalavya Model Residential Schools (EMRS) in States and Union Territories (UTs) through grants. In addition to allowing Scheduled Tribe (ST) students in remote areas to benefit from reservations in professional and advanced educational programs and jobs in both the public and private sectors, EMRS's primary objective is to provide them with high-quality education so they can access the best educational opportunities on par with those available to non-ST students</w:t>
      </w:r>
      <w:r w:rsidR="00D65579" w:rsidRPr="00316C5F">
        <w:rPr>
          <w:rFonts w:ascii="Arial" w:hAnsi="Arial" w:cs="Arial"/>
          <w:color w:val="000000" w:themeColor="text1"/>
        </w:rPr>
        <w:t xml:space="preserve"> (Chattopadhyay and </w:t>
      </w:r>
      <w:proofErr w:type="spellStart"/>
      <w:r w:rsidR="00D65579" w:rsidRPr="00316C5F">
        <w:rPr>
          <w:rFonts w:ascii="Arial" w:hAnsi="Arial" w:cs="Arial"/>
          <w:color w:val="000000" w:themeColor="text1"/>
        </w:rPr>
        <w:t>Durdhawale</w:t>
      </w:r>
      <w:proofErr w:type="spellEnd"/>
      <w:r w:rsidR="00D65579" w:rsidRPr="00316C5F">
        <w:rPr>
          <w:rFonts w:ascii="Arial" w:hAnsi="Arial" w:cs="Arial"/>
          <w:color w:val="000000" w:themeColor="text1"/>
        </w:rPr>
        <w:t xml:space="preserve"> 2009</w:t>
      </w:r>
      <w:r w:rsidR="007A248B" w:rsidRPr="00316C5F">
        <w:rPr>
          <w:rFonts w:ascii="Arial" w:hAnsi="Arial" w:cs="Arial"/>
          <w:color w:val="000000" w:themeColor="text1"/>
        </w:rPr>
        <w:t>: Government of India (</w:t>
      </w:r>
      <w:proofErr w:type="spellStart"/>
      <w:r w:rsidR="007A248B" w:rsidRPr="00316C5F">
        <w:rPr>
          <w:rFonts w:ascii="Arial" w:hAnsi="Arial" w:cs="Arial"/>
          <w:i/>
          <w:iCs/>
          <w:color w:val="000000" w:themeColor="text1"/>
        </w:rPr>
        <w:t>GoI</w:t>
      </w:r>
      <w:proofErr w:type="spellEnd"/>
      <w:r w:rsidR="007A248B" w:rsidRPr="00316C5F">
        <w:rPr>
          <w:rFonts w:ascii="Arial" w:hAnsi="Arial" w:cs="Arial"/>
          <w:i/>
          <w:iCs/>
          <w:color w:val="000000" w:themeColor="text1"/>
        </w:rPr>
        <w:t>),</w:t>
      </w:r>
      <w:r w:rsidR="007A248B" w:rsidRPr="00316C5F">
        <w:rPr>
          <w:rFonts w:ascii="Arial" w:hAnsi="Arial" w:cs="Arial"/>
          <w:color w:val="000000" w:themeColor="text1"/>
        </w:rPr>
        <w:t xml:space="preserve"> </w:t>
      </w:r>
      <w:proofErr w:type="spellStart"/>
      <w:r w:rsidR="007A248B" w:rsidRPr="00316C5F">
        <w:rPr>
          <w:rFonts w:ascii="Arial" w:hAnsi="Arial" w:cs="Arial"/>
          <w:color w:val="000000" w:themeColor="text1"/>
        </w:rPr>
        <w:t>Niti</w:t>
      </w:r>
      <w:proofErr w:type="spellEnd"/>
      <w:r w:rsidR="007A248B" w:rsidRPr="00316C5F">
        <w:rPr>
          <w:rFonts w:ascii="Arial" w:hAnsi="Arial" w:cs="Arial"/>
          <w:color w:val="000000" w:themeColor="text1"/>
        </w:rPr>
        <w:t xml:space="preserve"> Aayog, Annual Report 2024-25) </w:t>
      </w:r>
    </w:p>
    <w:p w14:paraId="205B99F0" w14:textId="397B3FEC" w:rsidR="00AC2C4A" w:rsidRPr="00A52AD9" w:rsidRDefault="00F91FF7" w:rsidP="00AC2C4A">
      <w:pPr>
        <w:spacing w:line="360" w:lineRule="auto"/>
        <w:jc w:val="both"/>
        <w:rPr>
          <w:rFonts w:ascii="Arial" w:hAnsi="Arial" w:cs="Arial"/>
          <w:b/>
          <w:bCs/>
          <w:color w:val="000000" w:themeColor="text1"/>
        </w:rPr>
      </w:pPr>
      <w:r w:rsidRPr="00A52AD9">
        <w:rPr>
          <w:rFonts w:ascii="Arial" w:hAnsi="Arial" w:cs="Arial"/>
          <w:b/>
          <w:bCs/>
          <w:color w:val="000000" w:themeColor="text1"/>
        </w:rPr>
        <w:t>PRE-MATRIC SCHOLARSHIP FOR SCHEDULED TRIBE STUDENTS</w:t>
      </w:r>
    </w:p>
    <w:p w14:paraId="2405A27B" w14:textId="33BD4AE3" w:rsidR="00633A1C" w:rsidRPr="00316C5F" w:rsidRDefault="002A0C28" w:rsidP="00633A1C">
      <w:pPr>
        <w:spacing w:line="360" w:lineRule="auto"/>
        <w:jc w:val="both"/>
        <w:rPr>
          <w:rFonts w:ascii="Arial" w:hAnsi="Arial" w:cs="Arial"/>
          <w:color w:val="000000" w:themeColor="text1"/>
          <w:lang w:val="en-US"/>
        </w:rPr>
      </w:pPr>
      <w:r w:rsidRPr="00316C5F">
        <w:rPr>
          <w:rFonts w:ascii="Arial" w:hAnsi="Arial" w:cs="Arial"/>
          <w:color w:val="000000" w:themeColor="text1"/>
          <w:lang w:val="en-US"/>
        </w:rPr>
        <w:t>Article 46 of the Directive Principles of State Policy (Part IV) of the Constitution addresses the improvement of the educational and economic interests of the weaker segments of society, especially the Scheduled Tribes and Scheduled Castes. In accordance with Article 38 (2) of the constitution, the state must eliminate economic inequality and provide indigenous groups with equal access to opportunities, services, and conditions. Students engaged in the pre-matric scholarship program in grades 9</w:t>
      </w:r>
      <w:r w:rsidRPr="00316C5F">
        <w:rPr>
          <w:rFonts w:ascii="Arial" w:hAnsi="Arial" w:cs="Arial"/>
          <w:color w:val="000000" w:themeColor="text1"/>
          <w:vertAlign w:val="superscript"/>
          <w:lang w:val="en-US"/>
        </w:rPr>
        <w:t>th</w:t>
      </w:r>
      <w:r w:rsidRPr="00316C5F">
        <w:rPr>
          <w:rFonts w:ascii="Arial" w:hAnsi="Arial" w:cs="Arial"/>
          <w:color w:val="000000" w:themeColor="text1"/>
          <w:lang w:val="en-US"/>
        </w:rPr>
        <w:t xml:space="preserve"> and 10</w:t>
      </w:r>
      <w:r w:rsidRPr="00316C5F">
        <w:rPr>
          <w:rFonts w:ascii="Arial" w:hAnsi="Arial" w:cs="Arial"/>
          <w:color w:val="000000" w:themeColor="text1"/>
          <w:vertAlign w:val="superscript"/>
          <w:lang w:val="en-US"/>
        </w:rPr>
        <w:t>th</w:t>
      </w:r>
      <w:r w:rsidRPr="00316C5F">
        <w:rPr>
          <w:rFonts w:ascii="Arial" w:hAnsi="Arial" w:cs="Arial"/>
          <w:color w:val="000000" w:themeColor="text1"/>
          <w:lang w:val="en-US"/>
        </w:rPr>
        <w:t xml:space="preserve"> receive financial support, whose parents' total yearly income should be more than Rs. 2 lakhs. Scholarships are awarded for ten months each year at a monthly payment of Rs. 150 for day scholars and Rs. 350 for hostellers</w:t>
      </w:r>
      <w:r w:rsidR="00D65579" w:rsidRPr="00316C5F">
        <w:rPr>
          <w:rFonts w:ascii="Arial" w:hAnsi="Arial" w:cs="Arial"/>
          <w:color w:val="000000" w:themeColor="text1"/>
          <w:lang w:val="en-US"/>
        </w:rPr>
        <w:t xml:space="preserve"> (Tamboli et.al., 2024).</w:t>
      </w:r>
    </w:p>
    <w:p w14:paraId="0736FFFC" w14:textId="48500A17"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POST-MATRIC SCHOLARSHIP FOR SCHEDULED TRIBE STUDENTS</w:t>
      </w:r>
    </w:p>
    <w:p w14:paraId="450F15CE" w14:textId="104D3AE1" w:rsidR="00D777B3" w:rsidRPr="00316C5F" w:rsidRDefault="00D777B3" w:rsidP="00D777B3">
      <w:pPr>
        <w:spacing w:line="360" w:lineRule="auto"/>
        <w:jc w:val="both"/>
        <w:rPr>
          <w:rFonts w:ascii="Arial" w:hAnsi="Arial" w:cs="Arial"/>
          <w:color w:val="000000" w:themeColor="text1"/>
          <w:lang w:val="en-US"/>
        </w:rPr>
      </w:pPr>
      <w:r w:rsidRPr="00316C5F">
        <w:rPr>
          <w:rFonts w:ascii="Arial" w:hAnsi="Arial" w:cs="Arial"/>
          <w:color w:val="000000" w:themeColor="text1"/>
          <w:lang w:val="en-US"/>
        </w:rPr>
        <w:lastRenderedPageBreak/>
        <w:t xml:space="preserve">This program is to offer financial aid to ST students enrolled in post-matriculation courses at </w:t>
      </w:r>
      <w:r w:rsidR="00E22F58" w:rsidRPr="00316C5F">
        <w:rPr>
          <w:rFonts w:ascii="Arial" w:hAnsi="Arial" w:cs="Arial"/>
          <w:color w:val="000000" w:themeColor="text1"/>
          <w:lang w:val="en-US"/>
        </w:rPr>
        <w:t>authorized</w:t>
      </w:r>
      <w:r w:rsidRPr="00316C5F">
        <w:rPr>
          <w:rFonts w:ascii="Arial" w:hAnsi="Arial" w:cs="Arial"/>
          <w:color w:val="000000" w:themeColor="text1"/>
          <w:lang w:val="en-US"/>
        </w:rPr>
        <w:t xml:space="preserve"> institutions in professional, technical, and non-professional disciplines. Students whose family income is less than Rs. 2.50 lacs annually are eligible for this program. As long as they have finished class 10</w:t>
      </w:r>
      <w:r w:rsidR="00E22F58" w:rsidRPr="00316C5F">
        <w:rPr>
          <w:rFonts w:ascii="Arial" w:hAnsi="Arial" w:cs="Arial"/>
          <w:color w:val="000000" w:themeColor="text1"/>
          <w:vertAlign w:val="superscript"/>
          <w:lang w:val="en-US"/>
        </w:rPr>
        <w:t>th</w:t>
      </w:r>
      <w:r w:rsidR="00E22F58" w:rsidRPr="00316C5F">
        <w:rPr>
          <w:rFonts w:ascii="Arial" w:hAnsi="Arial" w:cs="Arial"/>
          <w:color w:val="000000" w:themeColor="text1"/>
          <w:lang w:val="en-US"/>
        </w:rPr>
        <w:t xml:space="preserve"> or</w:t>
      </w:r>
      <w:r w:rsidRPr="00316C5F">
        <w:rPr>
          <w:rFonts w:ascii="Arial" w:hAnsi="Arial" w:cs="Arial"/>
          <w:color w:val="000000" w:themeColor="text1"/>
          <w:lang w:val="en-US"/>
        </w:rPr>
        <w:t xml:space="preserve"> above, students can use the post-matric scholarship to </w:t>
      </w:r>
      <w:r w:rsidR="00E22F58" w:rsidRPr="00316C5F">
        <w:rPr>
          <w:rFonts w:ascii="Arial" w:hAnsi="Arial" w:cs="Arial"/>
          <w:color w:val="000000" w:themeColor="text1"/>
          <w:lang w:val="en-US"/>
        </w:rPr>
        <w:t>enroll</w:t>
      </w:r>
      <w:r w:rsidRPr="00316C5F">
        <w:rPr>
          <w:rFonts w:ascii="Arial" w:hAnsi="Arial" w:cs="Arial"/>
          <w:color w:val="000000" w:themeColor="text1"/>
          <w:lang w:val="en-US"/>
        </w:rPr>
        <w:t xml:space="preserve"> in classes at any accredited and </w:t>
      </w:r>
      <w:r w:rsidR="00E22F58" w:rsidRPr="00316C5F">
        <w:rPr>
          <w:rFonts w:ascii="Arial" w:hAnsi="Arial" w:cs="Arial"/>
          <w:color w:val="000000" w:themeColor="text1"/>
          <w:lang w:val="en-US"/>
        </w:rPr>
        <w:t>recognized</w:t>
      </w:r>
      <w:r w:rsidRPr="00316C5F">
        <w:rPr>
          <w:rFonts w:ascii="Arial" w:hAnsi="Arial" w:cs="Arial"/>
          <w:color w:val="000000" w:themeColor="text1"/>
          <w:lang w:val="en-US"/>
        </w:rPr>
        <w:t xml:space="preserve"> institution. The essential expenses that the educational institution charges are covered by scholarships that range from Rs 230 to Rs 1,200 per month for ten months of the year</w:t>
      </w:r>
      <w:r w:rsidR="00D65579" w:rsidRPr="00316C5F">
        <w:rPr>
          <w:rFonts w:ascii="Arial" w:hAnsi="Arial" w:cs="Arial"/>
          <w:color w:val="000000" w:themeColor="text1"/>
          <w:lang w:val="en-US"/>
        </w:rPr>
        <w:t xml:space="preserve"> (Tamboli et.al., 2024).</w:t>
      </w:r>
    </w:p>
    <w:p w14:paraId="25B1B710" w14:textId="419FE787"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NATIONAL SCHOLARSHIP FOR HIGHER EDUCATION OF ST STUDENTS</w:t>
      </w:r>
    </w:p>
    <w:p w14:paraId="70DA68BC" w14:textId="299D21BE" w:rsidR="001748A0" w:rsidRPr="00316C5F" w:rsidRDefault="00E22F58" w:rsidP="001748A0">
      <w:pPr>
        <w:spacing w:line="360" w:lineRule="auto"/>
        <w:jc w:val="both"/>
        <w:rPr>
          <w:rFonts w:ascii="Arial" w:hAnsi="Arial" w:cs="Arial"/>
          <w:color w:val="000000" w:themeColor="text1"/>
          <w:lang w:val="en-US"/>
        </w:rPr>
      </w:pPr>
      <w:r w:rsidRPr="00316C5F">
        <w:rPr>
          <w:rFonts w:ascii="Arial" w:hAnsi="Arial" w:cs="Arial"/>
          <w:color w:val="000000" w:themeColor="text1"/>
          <w:lang w:val="en-US"/>
        </w:rPr>
        <w:t xml:space="preserve">This program was previously referred to as "Top Class Scholarship." This initiative was started in the 2007–2008 school year to encourage ST students to enroll in graduate and postgraduate courses in fields such as computer technology, engineering, management, law, and medicine at esteemed public and private universities. </w:t>
      </w:r>
      <w:r w:rsidR="001748A0" w:rsidRPr="00316C5F">
        <w:rPr>
          <w:rFonts w:ascii="Arial" w:hAnsi="Arial" w:cs="Arial"/>
          <w:color w:val="000000" w:themeColor="text1"/>
          <w:lang w:val="en-US"/>
        </w:rPr>
        <w:t xml:space="preserve">Every year, there are 1000 seats available for the scholarship to students of </w:t>
      </w:r>
      <w:r w:rsidR="00790C2D" w:rsidRPr="00316C5F">
        <w:rPr>
          <w:rFonts w:ascii="Arial" w:hAnsi="Arial" w:cs="Arial"/>
          <w:color w:val="000000" w:themeColor="text1"/>
          <w:lang w:val="en-US"/>
        </w:rPr>
        <w:t xml:space="preserve">the </w:t>
      </w:r>
      <w:r w:rsidR="001748A0" w:rsidRPr="00316C5F">
        <w:rPr>
          <w:rFonts w:ascii="Arial" w:hAnsi="Arial" w:cs="Arial"/>
          <w:color w:val="000000" w:themeColor="text1"/>
          <w:lang w:val="en-US"/>
        </w:rPr>
        <w:t>Scheduled tribes. The annual income of the applicant's parents should not exceed 6 lakhs. Additionally, the program covers living expenses of 2200 per month, books and stationery at a maximum of 3000 per year, computer equipment at a maximum of 45,000 once, and the full cost of tuition up to a maximum of 2.5 lakhs per year</w:t>
      </w:r>
      <w:r w:rsidR="00D65579" w:rsidRPr="00316C5F">
        <w:rPr>
          <w:rFonts w:ascii="Arial" w:hAnsi="Arial" w:cs="Arial"/>
          <w:color w:val="000000" w:themeColor="text1"/>
          <w:lang w:val="en-US"/>
        </w:rPr>
        <w:t xml:space="preserve"> (Gautam 2013</w:t>
      </w:r>
      <w:r w:rsidR="00784631" w:rsidRPr="00316C5F">
        <w:rPr>
          <w:rFonts w:ascii="Arial" w:hAnsi="Arial" w:cs="Arial"/>
          <w:color w:val="000000" w:themeColor="text1"/>
          <w:lang w:val="en-US"/>
        </w:rPr>
        <w:t>; Tamboli et.al.,2024</w:t>
      </w:r>
      <w:r w:rsidR="00D65579" w:rsidRPr="00316C5F">
        <w:rPr>
          <w:rFonts w:ascii="Arial" w:hAnsi="Arial" w:cs="Arial"/>
          <w:color w:val="000000" w:themeColor="text1"/>
          <w:lang w:val="en-US"/>
        </w:rPr>
        <w:t>)</w:t>
      </w:r>
    </w:p>
    <w:p w14:paraId="062F470E" w14:textId="2E81F159"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SCHEME OF HOSTEL FOR ST BOYS AND ST GIRLS</w:t>
      </w:r>
    </w:p>
    <w:p w14:paraId="155F1E5A" w14:textId="0B4EB65D" w:rsidR="0077127B" w:rsidRPr="00A52AD9" w:rsidRDefault="003A0732" w:rsidP="00633A1C">
      <w:pPr>
        <w:spacing w:line="360" w:lineRule="auto"/>
        <w:jc w:val="both"/>
        <w:rPr>
          <w:rFonts w:ascii="Arial" w:hAnsi="Arial" w:cs="Arial"/>
          <w:color w:val="000000" w:themeColor="text1"/>
        </w:rPr>
      </w:pPr>
      <w:r w:rsidRPr="00316C5F">
        <w:rPr>
          <w:rFonts w:ascii="Arial" w:hAnsi="Arial" w:cs="Arial"/>
          <w:color w:val="000000" w:themeColor="text1"/>
        </w:rPr>
        <w:t xml:space="preserve">This scheme was implemented for the hostel's amenities to be upgraded so that indigenous students can more easily continue their education. The main purpose of this programme was to reduce </w:t>
      </w:r>
      <w:r w:rsidR="00C17C7D" w:rsidRPr="00316C5F">
        <w:rPr>
          <w:rFonts w:ascii="Arial" w:hAnsi="Arial" w:cs="Arial"/>
          <w:color w:val="000000" w:themeColor="text1"/>
        </w:rPr>
        <w:t xml:space="preserve">the </w:t>
      </w:r>
      <w:r w:rsidRPr="00316C5F">
        <w:rPr>
          <w:rFonts w:ascii="Arial" w:hAnsi="Arial" w:cs="Arial"/>
          <w:color w:val="000000" w:themeColor="text1"/>
        </w:rPr>
        <w:t xml:space="preserve">dropout rates </w:t>
      </w:r>
      <w:r w:rsidR="00C17C7D" w:rsidRPr="00316C5F">
        <w:rPr>
          <w:rFonts w:ascii="Arial" w:hAnsi="Arial" w:cs="Arial"/>
          <w:color w:val="000000" w:themeColor="text1"/>
        </w:rPr>
        <w:t>of</w:t>
      </w:r>
      <w:r w:rsidRPr="00316C5F">
        <w:rPr>
          <w:rFonts w:ascii="Arial" w:hAnsi="Arial" w:cs="Arial"/>
          <w:color w:val="000000" w:themeColor="text1"/>
        </w:rPr>
        <w:t xml:space="preserve"> indigenous </w:t>
      </w:r>
      <w:r w:rsidR="00C17C7D" w:rsidRPr="00316C5F">
        <w:rPr>
          <w:rFonts w:ascii="Arial" w:hAnsi="Arial" w:cs="Arial"/>
          <w:color w:val="000000" w:themeColor="text1"/>
        </w:rPr>
        <w:t>students</w:t>
      </w:r>
      <w:r w:rsidRPr="00316C5F">
        <w:rPr>
          <w:rFonts w:ascii="Arial" w:hAnsi="Arial" w:cs="Arial"/>
          <w:color w:val="000000" w:themeColor="text1"/>
        </w:rPr>
        <w:t xml:space="preserve"> and </w:t>
      </w:r>
      <w:r w:rsidR="00C17C7D" w:rsidRPr="00316C5F">
        <w:rPr>
          <w:rFonts w:ascii="Arial" w:hAnsi="Arial" w:cs="Arial"/>
          <w:color w:val="000000" w:themeColor="text1"/>
        </w:rPr>
        <w:t xml:space="preserve">increase the </w:t>
      </w:r>
      <w:r w:rsidRPr="00316C5F">
        <w:rPr>
          <w:rFonts w:ascii="Arial" w:hAnsi="Arial" w:cs="Arial"/>
          <w:color w:val="000000" w:themeColor="text1"/>
        </w:rPr>
        <w:t>rate of literacy</w:t>
      </w:r>
      <w:r w:rsidR="00C17C7D" w:rsidRPr="00316C5F">
        <w:rPr>
          <w:rFonts w:ascii="Arial" w:hAnsi="Arial" w:cs="Arial"/>
          <w:color w:val="000000" w:themeColor="text1"/>
        </w:rPr>
        <w:t xml:space="preserve"> in tribal territories.</w:t>
      </w:r>
      <w:r w:rsidR="0077127B" w:rsidRPr="00316C5F">
        <w:rPr>
          <w:rFonts w:ascii="Arial" w:hAnsi="Arial" w:cs="Arial"/>
          <w:color w:val="000000" w:themeColor="text1"/>
        </w:rPr>
        <w:t xml:space="preserve"> </w:t>
      </w:r>
      <w:r w:rsidR="00C17C7D" w:rsidRPr="00316C5F">
        <w:rPr>
          <w:rFonts w:ascii="Arial" w:hAnsi="Arial" w:cs="Arial"/>
          <w:color w:val="000000" w:themeColor="text1"/>
        </w:rPr>
        <w:t>Under this scheme</w:t>
      </w:r>
      <w:r w:rsidR="00633A1C" w:rsidRPr="00316C5F">
        <w:rPr>
          <w:rFonts w:ascii="Arial" w:hAnsi="Arial" w:cs="Arial"/>
          <w:color w:val="000000" w:themeColor="text1"/>
        </w:rPr>
        <w:t xml:space="preserve"> to provide hostel </w:t>
      </w:r>
      <w:r w:rsidR="0077127B" w:rsidRPr="00316C5F">
        <w:rPr>
          <w:rFonts w:ascii="Arial" w:hAnsi="Arial" w:cs="Arial"/>
          <w:color w:val="000000" w:themeColor="text1"/>
        </w:rPr>
        <w:t xml:space="preserve">is provided </w:t>
      </w:r>
      <w:r w:rsidR="00633A1C" w:rsidRPr="00316C5F">
        <w:rPr>
          <w:rFonts w:ascii="Arial" w:hAnsi="Arial" w:cs="Arial"/>
          <w:color w:val="000000" w:themeColor="text1"/>
        </w:rPr>
        <w:t xml:space="preserve">for ST students who live </w:t>
      </w:r>
      <w:r w:rsidR="0077127B" w:rsidRPr="00316C5F">
        <w:rPr>
          <w:rFonts w:ascii="Arial" w:hAnsi="Arial" w:cs="Arial"/>
          <w:color w:val="000000" w:themeColor="text1"/>
        </w:rPr>
        <w:t>outside places</w:t>
      </w:r>
      <w:r w:rsidR="00633A1C" w:rsidRPr="00316C5F">
        <w:rPr>
          <w:rFonts w:ascii="Arial" w:hAnsi="Arial" w:cs="Arial"/>
          <w:color w:val="000000" w:themeColor="text1"/>
        </w:rPr>
        <w:t xml:space="preserve"> </w:t>
      </w:r>
      <w:r w:rsidR="00C17C7D" w:rsidRPr="00316C5F">
        <w:rPr>
          <w:rFonts w:ascii="Arial" w:hAnsi="Arial" w:cs="Arial"/>
          <w:color w:val="000000" w:themeColor="text1"/>
        </w:rPr>
        <w:t>and</w:t>
      </w:r>
      <w:r w:rsidR="00633A1C" w:rsidRPr="00316C5F">
        <w:rPr>
          <w:rFonts w:ascii="Arial" w:hAnsi="Arial" w:cs="Arial"/>
          <w:color w:val="000000" w:themeColor="text1"/>
        </w:rPr>
        <w:t xml:space="preserve"> </w:t>
      </w:r>
      <w:r w:rsidR="00C17C7D" w:rsidRPr="00316C5F">
        <w:rPr>
          <w:rFonts w:ascii="Arial" w:hAnsi="Arial" w:cs="Arial"/>
          <w:color w:val="000000" w:themeColor="text1"/>
        </w:rPr>
        <w:t xml:space="preserve">are </w:t>
      </w:r>
      <w:r w:rsidR="00633A1C" w:rsidRPr="00316C5F">
        <w:rPr>
          <w:rFonts w:ascii="Arial" w:hAnsi="Arial" w:cs="Arial"/>
          <w:color w:val="000000" w:themeColor="text1"/>
        </w:rPr>
        <w:t xml:space="preserve">unable to attend classes </w:t>
      </w:r>
      <w:r w:rsidR="0077127B" w:rsidRPr="00316C5F">
        <w:rPr>
          <w:rFonts w:ascii="Arial" w:hAnsi="Arial" w:cs="Arial"/>
          <w:color w:val="000000" w:themeColor="text1"/>
        </w:rPr>
        <w:t>due to</w:t>
      </w:r>
      <w:r w:rsidR="00633A1C" w:rsidRPr="00316C5F">
        <w:rPr>
          <w:rFonts w:ascii="Arial" w:hAnsi="Arial" w:cs="Arial"/>
          <w:color w:val="000000" w:themeColor="text1"/>
        </w:rPr>
        <w:t xml:space="preserve"> their financial </w:t>
      </w:r>
      <w:r w:rsidR="0077127B" w:rsidRPr="00316C5F">
        <w:rPr>
          <w:rFonts w:ascii="Arial" w:hAnsi="Arial" w:cs="Arial"/>
          <w:color w:val="000000" w:themeColor="text1"/>
        </w:rPr>
        <w:t>constraints</w:t>
      </w:r>
      <w:r w:rsidR="001748A0" w:rsidRPr="00316C5F">
        <w:rPr>
          <w:rFonts w:ascii="Arial" w:hAnsi="Arial" w:cs="Arial"/>
          <w:color w:val="000000" w:themeColor="text1"/>
        </w:rPr>
        <w:t>.</w:t>
      </w:r>
      <w:r w:rsidR="00633A1C" w:rsidRPr="00316C5F">
        <w:rPr>
          <w:rFonts w:ascii="Arial" w:hAnsi="Arial" w:cs="Arial"/>
          <w:color w:val="000000" w:themeColor="text1"/>
        </w:rPr>
        <w:t xml:space="preserve"> The Hostels for </w:t>
      </w:r>
      <w:r w:rsidR="0077127B" w:rsidRPr="00316C5F">
        <w:rPr>
          <w:rFonts w:ascii="Arial" w:hAnsi="Arial" w:cs="Arial"/>
          <w:color w:val="000000" w:themeColor="text1"/>
        </w:rPr>
        <w:t xml:space="preserve">both </w:t>
      </w:r>
      <w:r w:rsidR="00633A1C" w:rsidRPr="00316C5F">
        <w:rPr>
          <w:rFonts w:ascii="Arial" w:hAnsi="Arial" w:cs="Arial"/>
          <w:color w:val="000000" w:themeColor="text1"/>
        </w:rPr>
        <w:t xml:space="preserve">boys and girls from scheduled tribes are to be </w:t>
      </w:r>
      <w:r w:rsidR="0077127B" w:rsidRPr="00316C5F">
        <w:rPr>
          <w:rFonts w:ascii="Arial" w:hAnsi="Arial" w:cs="Arial"/>
          <w:color w:val="000000" w:themeColor="text1"/>
        </w:rPr>
        <w:t>provided</w:t>
      </w:r>
      <w:r w:rsidR="00633A1C" w:rsidRPr="00316C5F">
        <w:rPr>
          <w:rFonts w:ascii="Arial" w:hAnsi="Arial" w:cs="Arial"/>
          <w:color w:val="000000" w:themeColor="text1"/>
        </w:rPr>
        <w:t xml:space="preserve"> at various schools, colleges, and universities run by the state or union territory governments.</w:t>
      </w:r>
      <w:r w:rsidR="00B5507F" w:rsidRPr="00316C5F">
        <w:rPr>
          <w:rFonts w:ascii="Arial" w:hAnsi="Arial" w:cs="Arial"/>
          <w:color w:val="000000" w:themeColor="text1"/>
        </w:rPr>
        <w:t xml:space="preserve"> </w:t>
      </w:r>
      <w:r w:rsidR="0077127B" w:rsidRPr="00316C5F">
        <w:rPr>
          <w:rFonts w:ascii="Arial" w:hAnsi="Arial" w:cs="Arial"/>
          <w:color w:val="000000" w:themeColor="text1"/>
        </w:rPr>
        <w:t xml:space="preserve">The states and union territories use grants authorized by the </w:t>
      </w:r>
      <w:r w:rsidR="00B5507F" w:rsidRPr="00316C5F">
        <w:rPr>
          <w:rFonts w:ascii="Arial" w:hAnsi="Arial" w:cs="Arial"/>
          <w:color w:val="000000" w:themeColor="text1"/>
        </w:rPr>
        <w:t>c</w:t>
      </w:r>
      <w:r w:rsidR="0077127B" w:rsidRPr="00316C5F">
        <w:rPr>
          <w:rFonts w:ascii="Arial" w:hAnsi="Arial" w:cs="Arial"/>
          <w:color w:val="000000" w:themeColor="text1"/>
        </w:rPr>
        <w:t xml:space="preserve">entral government for constructing and developing hostels at the middle, secondary, college, and university levels, and the </w:t>
      </w:r>
      <w:r w:rsidR="00B5507F" w:rsidRPr="00316C5F">
        <w:rPr>
          <w:rFonts w:ascii="Arial" w:hAnsi="Arial" w:cs="Arial"/>
          <w:color w:val="000000" w:themeColor="text1"/>
        </w:rPr>
        <w:t>scheme</w:t>
      </w:r>
      <w:r w:rsidR="0077127B" w:rsidRPr="00316C5F">
        <w:rPr>
          <w:rFonts w:ascii="Arial" w:hAnsi="Arial" w:cs="Arial"/>
          <w:color w:val="000000" w:themeColor="text1"/>
        </w:rPr>
        <w:t xml:space="preserve"> also includes vocational training facilities. For </w:t>
      </w:r>
      <w:r w:rsidR="00B5507F" w:rsidRPr="00316C5F">
        <w:rPr>
          <w:rFonts w:ascii="Arial" w:hAnsi="Arial" w:cs="Arial"/>
          <w:color w:val="000000" w:themeColor="text1"/>
        </w:rPr>
        <w:t xml:space="preserve">developing the </w:t>
      </w:r>
      <w:r w:rsidR="0077127B" w:rsidRPr="00316C5F">
        <w:rPr>
          <w:rFonts w:ascii="Arial" w:hAnsi="Arial" w:cs="Arial"/>
          <w:color w:val="000000" w:themeColor="text1"/>
        </w:rPr>
        <w:t xml:space="preserve">girls' hostels, the </w:t>
      </w:r>
      <w:r w:rsidR="00B5507F" w:rsidRPr="00316C5F">
        <w:rPr>
          <w:rFonts w:ascii="Arial" w:hAnsi="Arial" w:cs="Arial"/>
          <w:color w:val="000000" w:themeColor="text1"/>
        </w:rPr>
        <w:t>central</w:t>
      </w:r>
      <w:r w:rsidR="0077127B" w:rsidRPr="00316C5F">
        <w:rPr>
          <w:rFonts w:ascii="Arial" w:hAnsi="Arial" w:cs="Arial"/>
          <w:color w:val="000000" w:themeColor="text1"/>
        </w:rPr>
        <w:t xml:space="preserve"> government pays </w:t>
      </w:r>
      <w:r w:rsidR="00B5507F" w:rsidRPr="00316C5F">
        <w:rPr>
          <w:rFonts w:ascii="Arial" w:hAnsi="Arial" w:cs="Arial"/>
          <w:color w:val="000000" w:themeColor="text1"/>
        </w:rPr>
        <w:t>all costs</w:t>
      </w:r>
      <w:r w:rsidR="0077127B" w:rsidRPr="00316C5F">
        <w:rPr>
          <w:rFonts w:ascii="Arial" w:hAnsi="Arial" w:cs="Arial"/>
          <w:color w:val="000000" w:themeColor="text1"/>
        </w:rPr>
        <w:t xml:space="preserve">, whereas for </w:t>
      </w:r>
      <w:r w:rsidR="00B5507F" w:rsidRPr="00316C5F">
        <w:rPr>
          <w:rFonts w:ascii="Arial" w:hAnsi="Arial" w:cs="Arial"/>
          <w:color w:val="000000" w:themeColor="text1"/>
        </w:rPr>
        <w:t>boys' hostels</w:t>
      </w:r>
      <w:r w:rsidR="0077127B" w:rsidRPr="00316C5F">
        <w:rPr>
          <w:rFonts w:ascii="Arial" w:hAnsi="Arial" w:cs="Arial"/>
          <w:color w:val="000000" w:themeColor="text1"/>
        </w:rPr>
        <w:t xml:space="preserve">, </w:t>
      </w:r>
      <w:r w:rsidR="00B5507F" w:rsidRPr="00316C5F">
        <w:rPr>
          <w:rFonts w:ascii="Arial" w:hAnsi="Arial" w:cs="Arial"/>
          <w:color w:val="000000" w:themeColor="text1"/>
        </w:rPr>
        <w:t>a 50/50 financial expense split between the</w:t>
      </w:r>
      <w:r w:rsidR="0077127B" w:rsidRPr="00316C5F">
        <w:rPr>
          <w:rFonts w:ascii="Arial" w:hAnsi="Arial" w:cs="Arial"/>
          <w:color w:val="000000" w:themeColor="text1"/>
        </w:rPr>
        <w:t xml:space="preserve"> </w:t>
      </w:r>
      <w:r w:rsidR="00B5507F" w:rsidRPr="00316C5F">
        <w:rPr>
          <w:rFonts w:ascii="Arial" w:hAnsi="Arial" w:cs="Arial"/>
          <w:color w:val="000000" w:themeColor="text1"/>
        </w:rPr>
        <w:t>central and state</w:t>
      </w:r>
      <w:r w:rsidR="0077127B" w:rsidRPr="00316C5F">
        <w:rPr>
          <w:rFonts w:ascii="Arial" w:hAnsi="Arial" w:cs="Arial"/>
          <w:color w:val="000000" w:themeColor="text1"/>
        </w:rPr>
        <w:t xml:space="preserve"> </w:t>
      </w:r>
      <w:r w:rsidR="00B5507F" w:rsidRPr="00316C5F">
        <w:rPr>
          <w:rFonts w:ascii="Arial" w:hAnsi="Arial" w:cs="Arial"/>
          <w:color w:val="000000" w:themeColor="text1"/>
        </w:rPr>
        <w:t>governments</w:t>
      </w:r>
      <w:r w:rsidR="00C532BC" w:rsidRPr="00316C5F">
        <w:rPr>
          <w:rFonts w:ascii="Arial" w:hAnsi="Arial" w:cs="Arial"/>
          <w:color w:val="000000" w:themeColor="text1"/>
        </w:rPr>
        <w:t xml:space="preserve"> (Chavan 2016</w:t>
      </w:r>
      <w:r w:rsidR="00A1380E" w:rsidRPr="00316C5F">
        <w:rPr>
          <w:rFonts w:ascii="Arial" w:hAnsi="Arial" w:cs="Arial"/>
          <w:color w:val="000000" w:themeColor="text1"/>
        </w:rPr>
        <w:t>; Pooja et.al., 2024</w:t>
      </w:r>
      <w:r w:rsidR="007A248B" w:rsidRPr="00316C5F">
        <w:rPr>
          <w:rFonts w:ascii="Arial" w:hAnsi="Arial" w:cs="Arial"/>
          <w:color w:val="000000" w:themeColor="text1"/>
        </w:rPr>
        <w:t>; Government of India (</w:t>
      </w:r>
      <w:proofErr w:type="spellStart"/>
      <w:r w:rsidR="007A248B" w:rsidRPr="00316C5F">
        <w:rPr>
          <w:rFonts w:ascii="Arial" w:hAnsi="Arial" w:cs="Arial"/>
          <w:i/>
          <w:iCs/>
          <w:color w:val="000000" w:themeColor="text1"/>
        </w:rPr>
        <w:t>GoI</w:t>
      </w:r>
      <w:proofErr w:type="spellEnd"/>
      <w:r w:rsidR="007A248B" w:rsidRPr="00316C5F">
        <w:rPr>
          <w:rFonts w:ascii="Arial" w:hAnsi="Arial" w:cs="Arial"/>
          <w:i/>
          <w:iCs/>
          <w:color w:val="000000" w:themeColor="text1"/>
        </w:rPr>
        <w:t>),</w:t>
      </w:r>
      <w:r w:rsidR="007A248B" w:rsidRPr="00316C5F">
        <w:rPr>
          <w:rFonts w:ascii="Arial" w:hAnsi="Arial" w:cs="Arial"/>
          <w:color w:val="000000" w:themeColor="text1"/>
        </w:rPr>
        <w:t xml:space="preserve"> </w:t>
      </w:r>
      <w:proofErr w:type="spellStart"/>
      <w:r w:rsidR="007A248B" w:rsidRPr="00316C5F">
        <w:rPr>
          <w:rFonts w:ascii="Arial" w:hAnsi="Arial" w:cs="Arial"/>
          <w:color w:val="000000" w:themeColor="text1"/>
        </w:rPr>
        <w:t>Niti</w:t>
      </w:r>
      <w:proofErr w:type="spellEnd"/>
      <w:r w:rsidR="007A248B" w:rsidRPr="00316C5F">
        <w:rPr>
          <w:rFonts w:ascii="Arial" w:hAnsi="Arial" w:cs="Arial"/>
          <w:color w:val="000000" w:themeColor="text1"/>
        </w:rPr>
        <w:t xml:space="preserve"> Aayog, Annual Report 2024-25) </w:t>
      </w:r>
    </w:p>
    <w:p w14:paraId="07E9112E" w14:textId="4A14ABDD" w:rsidR="00633A1C" w:rsidRPr="00A52AD9" w:rsidRDefault="00633A1C"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Enhancing Education for Scheduled Tribe Girls in Low Literacy Areas</w:t>
      </w:r>
    </w:p>
    <w:p w14:paraId="50C64EAD" w14:textId="317C748C" w:rsidR="00633A1C" w:rsidRPr="00316C5F" w:rsidRDefault="00294E3F" w:rsidP="00CA2273">
      <w:pPr>
        <w:spacing w:line="360" w:lineRule="auto"/>
        <w:jc w:val="both"/>
        <w:rPr>
          <w:rFonts w:ascii="Arial" w:hAnsi="Arial" w:cs="Arial"/>
          <w:color w:val="000000" w:themeColor="text1"/>
          <w:lang w:val="en-US"/>
        </w:rPr>
      </w:pPr>
      <w:r w:rsidRPr="00316C5F">
        <w:rPr>
          <w:rFonts w:ascii="Arial" w:hAnsi="Arial" w:cs="Arial"/>
          <w:color w:val="000000" w:themeColor="text1"/>
          <w:lang w:val="en-US"/>
        </w:rPr>
        <w:lastRenderedPageBreak/>
        <w:t>The major aims of this plan are to reduce the literacy gap between tribal women and other females in society, as well as to encourage tribal girls to fully enroll in specific districts or blocks, notably those with lower women's education levels and PVTG areas.</w:t>
      </w:r>
      <w:r w:rsidR="00C532BC" w:rsidRPr="00316C5F">
        <w:rPr>
          <w:rFonts w:ascii="Arial" w:hAnsi="Arial" w:cs="Arial"/>
          <w:color w:val="000000" w:themeColor="text1"/>
          <w:lang w:val="en-US"/>
        </w:rPr>
        <w:t xml:space="preserve"> </w:t>
      </w:r>
      <w:r w:rsidRPr="00316C5F">
        <w:rPr>
          <w:rFonts w:ascii="Arial" w:hAnsi="Arial" w:cs="Arial"/>
          <w:color w:val="000000" w:themeColor="text1"/>
          <w:lang w:val="en-US"/>
        </w:rPr>
        <w:t xml:space="preserve">The scheme is implemented by independent State or Union Territory Administration agencies, as well as nonprofit and voluntary </w:t>
      </w:r>
      <w:r w:rsidR="00CA2273" w:rsidRPr="00316C5F">
        <w:rPr>
          <w:rFonts w:ascii="Arial" w:hAnsi="Arial" w:cs="Arial"/>
          <w:color w:val="000000" w:themeColor="text1"/>
          <w:lang w:val="en-US"/>
        </w:rPr>
        <w:t>organizations.</w:t>
      </w:r>
      <w:r w:rsidRPr="00316C5F">
        <w:rPr>
          <w:rFonts w:ascii="Arial" w:hAnsi="Arial" w:cs="Arial"/>
          <w:color w:val="000000" w:themeColor="text1"/>
          <w:lang w:val="en-US"/>
        </w:rPr>
        <w:t xml:space="preserve"> </w:t>
      </w:r>
      <w:r w:rsidR="00CA2273" w:rsidRPr="00316C5F">
        <w:rPr>
          <w:rFonts w:ascii="Arial" w:hAnsi="Arial" w:cs="Arial"/>
          <w:color w:val="000000" w:themeColor="text1"/>
          <w:lang w:val="en-US"/>
        </w:rPr>
        <w:t>The</w:t>
      </w:r>
      <w:r w:rsidRPr="00316C5F">
        <w:rPr>
          <w:rFonts w:ascii="Arial" w:hAnsi="Arial" w:cs="Arial"/>
          <w:color w:val="000000" w:themeColor="text1"/>
          <w:lang w:val="en-US"/>
        </w:rPr>
        <w:t xml:space="preserve"> yearly inspections conducted by district collectors, committees, and authorities, </w:t>
      </w:r>
      <w:r w:rsidR="00CA2273" w:rsidRPr="00316C5F">
        <w:rPr>
          <w:rFonts w:ascii="Arial" w:hAnsi="Arial" w:cs="Arial"/>
          <w:color w:val="000000" w:themeColor="text1"/>
          <w:lang w:val="en-US"/>
        </w:rPr>
        <w:t xml:space="preserve">or </w:t>
      </w:r>
      <w:r w:rsidRPr="00316C5F">
        <w:rPr>
          <w:rFonts w:ascii="Arial" w:hAnsi="Arial" w:cs="Arial"/>
          <w:color w:val="000000" w:themeColor="text1"/>
          <w:lang w:val="en-US"/>
        </w:rPr>
        <w:t>the central government-designated ministry and independent agencies</w:t>
      </w:r>
      <w:r w:rsidR="00CA2273" w:rsidRPr="00316C5F">
        <w:rPr>
          <w:rFonts w:ascii="Arial" w:hAnsi="Arial" w:cs="Arial"/>
          <w:color w:val="000000" w:themeColor="text1"/>
          <w:lang w:val="en-US"/>
        </w:rPr>
        <w:t>,</w:t>
      </w:r>
      <w:r w:rsidRPr="00316C5F">
        <w:rPr>
          <w:rFonts w:ascii="Arial" w:hAnsi="Arial" w:cs="Arial"/>
          <w:color w:val="000000" w:themeColor="text1"/>
          <w:lang w:val="en-US"/>
        </w:rPr>
        <w:t xml:space="preserve"> conduct simultaneous surveillance. </w:t>
      </w:r>
      <w:r w:rsidR="00CA2273" w:rsidRPr="00316C5F">
        <w:rPr>
          <w:rFonts w:ascii="Arial" w:hAnsi="Arial" w:cs="Arial"/>
          <w:color w:val="000000" w:themeColor="text1"/>
          <w:lang w:val="en-US"/>
        </w:rPr>
        <w:t>Participating indigenous girls in these initiatives can benefit from socioeconomic growth, as well as an improvement in literacy</w:t>
      </w:r>
      <w:r w:rsidR="00C532BC" w:rsidRPr="00316C5F">
        <w:rPr>
          <w:rFonts w:ascii="Arial" w:hAnsi="Arial" w:cs="Arial"/>
          <w:color w:val="000000" w:themeColor="text1"/>
          <w:lang w:val="en-US"/>
        </w:rPr>
        <w:t xml:space="preserve"> (</w:t>
      </w:r>
      <w:r w:rsidR="00C532BC" w:rsidRPr="00316C5F">
        <w:rPr>
          <w:rFonts w:ascii="Arial" w:hAnsi="Arial" w:cs="Arial"/>
          <w:color w:val="000000" w:themeColor="text1"/>
        </w:rPr>
        <w:t>Thamminaina et.al., 2020)</w:t>
      </w:r>
    </w:p>
    <w:p w14:paraId="5B32F062" w14:textId="53BD1D61" w:rsidR="00633A1C" w:rsidRPr="00A52AD9" w:rsidRDefault="004D61C1"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 xml:space="preserve">Rajiv Gandhi </w:t>
      </w:r>
      <w:r w:rsidR="00633A1C" w:rsidRPr="00A52AD9">
        <w:rPr>
          <w:rFonts w:ascii="Arial" w:hAnsi="Arial" w:cs="Arial"/>
          <w:b/>
          <w:bCs/>
          <w:color w:val="000000" w:themeColor="text1"/>
        </w:rPr>
        <w:t>National Fellowship Scheme for Higher Education of Tribal Students</w:t>
      </w:r>
    </w:p>
    <w:p w14:paraId="21132A64" w14:textId="088C49D7" w:rsidR="00D8289B" w:rsidRPr="00316C5F" w:rsidRDefault="004D61C1" w:rsidP="007A248B">
      <w:pPr>
        <w:spacing w:line="360" w:lineRule="auto"/>
        <w:jc w:val="both"/>
        <w:rPr>
          <w:rFonts w:ascii="Arial" w:hAnsi="Arial" w:cs="Arial"/>
          <w:color w:val="000000" w:themeColor="text1"/>
          <w:lang w:val="en-US"/>
        </w:rPr>
      </w:pPr>
      <w:r w:rsidRPr="00316C5F">
        <w:rPr>
          <w:rFonts w:ascii="Arial" w:hAnsi="Arial" w:cs="Arial"/>
          <w:color w:val="000000" w:themeColor="text1"/>
        </w:rPr>
        <w:t>This National fellowship was first established in 2005-2006</w:t>
      </w:r>
      <w:r w:rsidR="00633A1C" w:rsidRPr="00316C5F">
        <w:rPr>
          <w:rFonts w:ascii="Arial" w:hAnsi="Arial" w:cs="Arial"/>
          <w:color w:val="000000" w:themeColor="text1"/>
        </w:rPr>
        <w:t xml:space="preserve"> for Scheduled Tribes</w:t>
      </w:r>
      <w:r w:rsidRPr="00316C5F">
        <w:rPr>
          <w:rFonts w:ascii="Arial" w:hAnsi="Arial" w:cs="Arial"/>
          <w:color w:val="000000" w:themeColor="text1"/>
        </w:rPr>
        <w:t xml:space="preserve"> students to pursue their higher education and </w:t>
      </w:r>
      <w:r w:rsidR="00633A1C" w:rsidRPr="00316C5F">
        <w:rPr>
          <w:rFonts w:ascii="Arial" w:hAnsi="Arial" w:cs="Arial"/>
          <w:color w:val="000000" w:themeColor="text1"/>
        </w:rPr>
        <w:t xml:space="preserve">is supported by the </w:t>
      </w:r>
      <w:r w:rsidRPr="00316C5F">
        <w:rPr>
          <w:rFonts w:ascii="Arial" w:hAnsi="Arial" w:cs="Arial"/>
          <w:color w:val="000000" w:themeColor="text1"/>
        </w:rPr>
        <w:t>Central</w:t>
      </w:r>
      <w:r w:rsidR="00633A1C" w:rsidRPr="00316C5F">
        <w:rPr>
          <w:rFonts w:ascii="Arial" w:hAnsi="Arial" w:cs="Arial"/>
          <w:color w:val="000000" w:themeColor="text1"/>
        </w:rPr>
        <w:t xml:space="preserve"> government through the Ministry of Tribal Affairs. </w:t>
      </w:r>
      <w:r w:rsidR="00D8289B" w:rsidRPr="00316C5F">
        <w:rPr>
          <w:rFonts w:ascii="Arial" w:hAnsi="Arial" w:cs="Arial"/>
          <w:color w:val="000000" w:themeColor="text1"/>
          <w:lang w:val="en-US"/>
        </w:rPr>
        <w:t>The program's purpose is to encourage ST students to pursue their higher studies by offering fellowships for M.Phil. and Ph.D. programs. The program enables Scheduled Tribe candidates to pursue higher education, including regular and full-time M.Phil. and Ph.D. programs in the humanities, social sciences, engineering, and technology. Every year, students from Scheduled Tribes are allocated 750 total vacancies across all courses and fellowships received for up to five years. The program pays Rs 31,000 per month for the first three years and Rs 35,000 per month for the remaining two years</w:t>
      </w:r>
      <w:r w:rsidR="00C532BC" w:rsidRPr="00316C5F">
        <w:rPr>
          <w:rFonts w:ascii="Arial" w:hAnsi="Arial" w:cs="Arial"/>
          <w:color w:val="000000" w:themeColor="text1"/>
          <w:lang w:val="en-US"/>
        </w:rPr>
        <w:t xml:space="preserve"> (Gandhi 1986</w:t>
      </w:r>
      <w:r w:rsidR="007A248B" w:rsidRPr="00316C5F">
        <w:rPr>
          <w:rFonts w:ascii="Arial" w:hAnsi="Arial" w:cs="Arial"/>
          <w:color w:val="000000" w:themeColor="text1"/>
          <w:lang w:val="en-US"/>
        </w:rPr>
        <w:t xml:space="preserve">; </w:t>
      </w:r>
      <w:r w:rsidR="007A248B" w:rsidRPr="00316C5F">
        <w:rPr>
          <w:rFonts w:ascii="Arial" w:hAnsi="Arial" w:cs="Arial"/>
          <w:color w:val="000000" w:themeColor="text1"/>
        </w:rPr>
        <w:t>https://cbps.in/wp-content/uploads/2024/11/Report).</w:t>
      </w:r>
    </w:p>
    <w:p w14:paraId="5118D06B" w14:textId="191D075B" w:rsidR="00633A1C" w:rsidRPr="00A52AD9" w:rsidRDefault="00633A1C"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 xml:space="preserve">Scheme of National Overseas Scholarship for Tribal Students: </w:t>
      </w:r>
    </w:p>
    <w:p w14:paraId="36DE503F" w14:textId="28DF3D7A" w:rsidR="00D8289B" w:rsidRPr="00C73287" w:rsidRDefault="00C512D0" w:rsidP="00D8289B">
      <w:pPr>
        <w:spacing w:line="360" w:lineRule="auto"/>
        <w:jc w:val="both"/>
        <w:rPr>
          <w:rFonts w:ascii="Arial" w:hAnsi="Arial" w:cs="Arial"/>
          <w:color w:val="000000" w:themeColor="text1"/>
        </w:rPr>
      </w:pPr>
      <w:r w:rsidRPr="007A248B">
        <w:rPr>
          <w:rFonts w:ascii="Arial" w:hAnsi="Arial" w:cs="Arial"/>
          <w:color w:val="000000" w:themeColor="text1"/>
        </w:rPr>
        <w:t xml:space="preserve">The Scheme provides financial assistance to meritorious tribal students pursuing advanced degrees in engineering, technology, and science at the master's, doctoral, and postdoctoral levels in foreign nations. Every year, a total of 20 seats are available, with 17 reserved for STs and 3 for members of particularly vulnerable tribal groups. </w:t>
      </w:r>
      <w:r w:rsidR="00633A1C" w:rsidRPr="007A248B">
        <w:rPr>
          <w:rFonts w:ascii="Arial" w:hAnsi="Arial" w:cs="Arial"/>
          <w:color w:val="000000" w:themeColor="text1"/>
        </w:rPr>
        <w:t xml:space="preserve">The </w:t>
      </w:r>
      <w:r w:rsidRPr="007A248B">
        <w:rPr>
          <w:rFonts w:ascii="Arial" w:hAnsi="Arial" w:cs="Arial"/>
          <w:color w:val="000000" w:themeColor="text1"/>
        </w:rPr>
        <w:t>student's</w:t>
      </w:r>
      <w:r w:rsidR="00633A1C" w:rsidRPr="007A248B">
        <w:rPr>
          <w:rFonts w:ascii="Arial" w:hAnsi="Arial" w:cs="Arial"/>
          <w:color w:val="000000" w:themeColor="text1"/>
        </w:rPr>
        <w:t xml:space="preserve"> </w:t>
      </w:r>
      <w:r w:rsidRPr="007A248B">
        <w:rPr>
          <w:rFonts w:ascii="Arial" w:hAnsi="Arial" w:cs="Arial"/>
          <w:color w:val="000000" w:themeColor="text1"/>
        </w:rPr>
        <w:t>family</w:t>
      </w:r>
      <w:r w:rsidR="00633A1C" w:rsidRPr="007A248B">
        <w:rPr>
          <w:rFonts w:ascii="Arial" w:hAnsi="Arial" w:cs="Arial"/>
          <w:color w:val="000000" w:themeColor="text1"/>
        </w:rPr>
        <w:t xml:space="preserve"> income </w:t>
      </w:r>
      <w:r w:rsidRPr="007A248B">
        <w:rPr>
          <w:rFonts w:ascii="Arial" w:hAnsi="Arial" w:cs="Arial"/>
          <w:color w:val="000000" w:themeColor="text1"/>
        </w:rPr>
        <w:t xml:space="preserve">should not be more than Rs. 6.00 lakhs annually </w:t>
      </w:r>
      <w:r w:rsidR="00633A1C" w:rsidRPr="007A248B">
        <w:rPr>
          <w:rFonts w:ascii="Arial" w:hAnsi="Arial" w:cs="Arial"/>
          <w:color w:val="000000" w:themeColor="text1"/>
        </w:rPr>
        <w:t>from all sources</w:t>
      </w:r>
      <w:r w:rsidRPr="007A248B">
        <w:rPr>
          <w:rFonts w:ascii="Arial" w:hAnsi="Arial" w:cs="Arial"/>
          <w:color w:val="000000" w:themeColor="text1"/>
        </w:rPr>
        <w:t>.</w:t>
      </w:r>
      <w:r w:rsidR="00633A1C" w:rsidRPr="007A248B">
        <w:rPr>
          <w:rFonts w:ascii="Arial" w:hAnsi="Arial" w:cs="Arial"/>
          <w:color w:val="000000" w:themeColor="text1"/>
        </w:rPr>
        <w:t xml:space="preserve"> </w:t>
      </w:r>
      <w:r w:rsidRPr="007A248B">
        <w:rPr>
          <w:rFonts w:ascii="Arial" w:hAnsi="Arial" w:cs="Arial"/>
          <w:color w:val="000000" w:themeColor="text1"/>
        </w:rPr>
        <w:t>For students studying in the United Kingdom, a yearly maintenance allowance of £9900 is provided, with £1116 for contingency and equipment allowance for years, and additional permitted expenses are available. For candidates in the United States, a $15400 yearly maintenance allowance,</w:t>
      </w:r>
      <w:r w:rsidR="009817B7" w:rsidRPr="007A248B">
        <w:rPr>
          <w:rFonts w:ascii="Arial" w:hAnsi="Arial" w:cs="Arial"/>
          <w:color w:val="000000" w:themeColor="text1"/>
        </w:rPr>
        <w:t xml:space="preserve"> with </w:t>
      </w:r>
      <w:r w:rsidRPr="007A248B">
        <w:rPr>
          <w:rFonts w:ascii="Arial" w:hAnsi="Arial" w:cs="Arial"/>
          <w:color w:val="000000" w:themeColor="text1"/>
        </w:rPr>
        <w:t xml:space="preserve">a $1532 annual contingency and equipment allowance, actual tuition costs, and any other applicable charges are granted. For candidates from other countries, the US dollar or an equivalent rate will be </w:t>
      </w:r>
      <w:r w:rsidR="009817B7" w:rsidRPr="007A248B">
        <w:rPr>
          <w:rFonts w:ascii="Arial" w:hAnsi="Arial" w:cs="Arial"/>
          <w:color w:val="000000" w:themeColor="text1"/>
        </w:rPr>
        <w:t>provided</w:t>
      </w:r>
      <w:r w:rsidRPr="007A248B">
        <w:rPr>
          <w:rFonts w:ascii="Arial" w:hAnsi="Arial" w:cs="Arial"/>
          <w:color w:val="000000" w:themeColor="text1"/>
        </w:rPr>
        <w:t xml:space="preserve">. </w:t>
      </w:r>
      <w:r w:rsidR="009817B7" w:rsidRPr="007A248B">
        <w:rPr>
          <w:rFonts w:ascii="Arial" w:hAnsi="Arial" w:cs="Arial"/>
          <w:color w:val="000000" w:themeColor="text1"/>
        </w:rPr>
        <w:t>This fund</w:t>
      </w:r>
      <w:r w:rsidRPr="007A248B">
        <w:rPr>
          <w:rFonts w:ascii="Arial" w:hAnsi="Arial" w:cs="Arial"/>
          <w:color w:val="000000" w:themeColor="text1"/>
        </w:rPr>
        <w:t xml:space="preserve"> is distributed </w:t>
      </w:r>
      <w:r w:rsidR="009817B7" w:rsidRPr="007A248B">
        <w:rPr>
          <w:rFonts w:ascii="Arial" w:hAnsi="Arial" w:cs="Arial"/>
          <w:color w:val="000000" w:themeColor="text1"/>
        </w:rPr>
        <w:t>through</w:t>
      </w:r>
      <w:r w:rsidRPr="007A248B">
        <w:rPr>
          <w:rFonts w:ascii="Arial" w:hAnsi="Arial" w:cs="Arial"/>
          <w:color w:val="000000" w:themeColor="text1"/>
        </w:rPr>
        <w:t xml:space="preserve"> the Ministry of External Affairs and the Indian missions abroad</w:t>
      </w:r>
      <w:r w:rsidR="00C532BC" w:rsidRPr="007A248B">
        <w:rPr>
          <w:rFonts w:ascii="Arial" w:hAnsi="Arial" w:cs="Arial"/>
          <w:color w:val="000000" w:themeColor="text1"/>
        </w:rPr>
        <w:t xml:space="preserve"> </w:t>
      </w:r>
      <w:r w:rsidR="00C532BC" w:rsidRPr="00C73287">
        <w:rPr>
          <w:rFonts w:ascii="Arial" w:hAnsi="Arial" w:cs="Arial"/>
          <w:color w:val="000000" w:themeColor="text1"/>
        </w:rPr>
        <w:t>(Banerjee and Panda 2024</w:t>
      </w:r>
      <w:r w:rsidR="007A248B" w:rsidRPr="00C73287">
        <w:rPr>
          <w:rFonts w:ascii="Arial" w:hAnsi="Arial" w:cs="Arial"/>
          <w:color w:val="000000" w:themeColor="text1"/>
        </w:rPr>
        <w:t xml:space="preserve">; </w:t>
      </w:r>
      <w:hyperlink r:id="rId15" w:history="1">
        <w:r w:rsidR="007A248B" w:rsidRPr="00C73287">
          <w:rPr>
            <w:rStyle w:val="Hyperlink"/>
            <w:rFonts w:ascii="Arial" w:hAnsi="Arial" w:cs="Arial"/>
            <w:color w:val="000000" w:themeColor="text1"/>
          </w:rPr>
          <w:t>https://cbps.in/wp-content/uploads/2024/11/Report</w:t>
        </w:r>
      </w:hyperlink>
      <w:r w:rsidR="007A248B" w:rsidRPr="00C73287">
        <w:rPr>
          <w:rFonts w:ascii="Arial" w:hAnsi="Arial" w:cs="Arial"/>
          <w:color w:val="000000" w:themeColor="text1"/>
        </w:rPr>
        <w:t>).</w:t>
      </w:r>
    </w:p>
    <w:p w14:paraId="69AEB857" w14:textId="44958363" w:rsidR="00633A1C" w:rsidRPr="00A52AD9" w:rsidRDefault="00633A1C" w:rsidP="00D8289B">
      <w:pPr>
        <w:spacing w:line="360" w:lineRule="auto"/>
        <w:jc w:val="both"/>
        <w:rPr>
          <w:rFonts w:ascii="Arial" w:hAnsi="Arial" w:cs="Arial"/>
          <w:b/>
          <w:bCs/>
          <w:color w:val="000000" w:themeColor="text1"/>
          <w:shd w:val="clear" w:color="auto" w:fill="FFFFFF"/>
        </w:rPr>
      </w:pPr>
      <w:r w:rsidRPr="00A52AD9">
        <w:rPr>
          <w:rFonts w:ascii="Arial" w:hAnsi="Arial" w:cs="Arial"/>
          <w:b/>
          <w:bCs/>
          <w:color w:val="000000" w:themeColor="text1"/>
          <w:shd w:val="clear" w:color="auto" w:fill="FFFFFF"/>
        </w:rPr>
        <w:lastRenderedPageBreak/>
        <w:t>TRTI Research Fellowship for Tribal Students:</w:t>
      </w:r>
    </w:p>
    <w:p w14:paraId="0C5D4CDB" w14:textId="17464757" w:rsidR="0017556A" w:rsidRPr="00C73287" w:rsidRDefault="0039015F" w:rsidP="00907049">
      <w:pPr>
        <w:spacing w:line="360" w:lineRule="auto"/>
        <w:jc w:val="both"/>
        <w:rPr>
          <w:rFonts w:ascii="Arial" w:hAnsi="Arial" w:cs="Arial"/>
          <w:color w:val="000000" w:themeColor="text1"/>
        </w:rPr>
      </w:pPr>
      <w:r w:rsidRPr="00C73287">
        <w:rPr>
          <w:rFonts w:ascii="Arial" w:hAnsi="Arial" w:cs="Arial"/>
          <w:color w:val="000000" w:themeColor="text1"/>
          <w:shd w:val="clear" w:color="auto" w:fill="FFFFFF"/>
        </w:rPr>
        <w:t xml:space="preserve">Under this scheme, fellowships provided to tribal students for pursuing their Ph.D. and M.Phil. degrees by TRTI are an autonomous organization of the Maharashtra government. </w:t>
      </w:r>
      <w:r w:rsidR="00633A1C" w:rsidRPr="00C73287">
        <w:rPr>
          <w:rFonts w:ascii="Arial" w:hAnsi="Arial" w:cs="Arial"/>
          <w:color w:val="000000" w:themeColor="text1"/>
          <w:shd w:val="clear" w:color="auto" w:fill="FFFFFF"/>
        </w:rPr>
        <w:t xml:space="preserve">These initiatives include </w:t>
      </w:r>
      <w:r w:rsidR="00FA437D" w:rsidRPr="00C73287">
        <w:rPr>
          <w:rFonts w:ascii="Arial" w:hAnsi="Arial" w:cs="Arial"/>
          <w:color w:val="000000" w:themeColor="text1"/>
          <w:shd w:val="clear" w:color="auto" w:fill="FFFFFF"/>
        </w:rPr>
        <w:t xml:space="preserve">various </w:t>
      </w:r>
      <w:r w:rsidR="00633A1C" w:rsidRPr="00C73287">
        <w:rPr>
          <w:rFonts w:ascii="Arial" w:hAnsi="Arial" w:cs="Arial"/>
          <w:color w:val="000000" w:themeColor="text1"/>
          <w:shd w:val="clear" w:color="auto" w:fill="FFFFFF"/>
        </w:rPr>
        <w:t xml:space="preserve">research studies </w:t>
      </w:r>
      <w:r w:rsidR="007A248B" w:rsidRPr="00C73287">
        <w:rPr>
          <w:rFonts w:ascii="Arial" w:hAnsi="Arial" w:cs="Arial"/>
          <w:color w:val="000000" w:themeColor="text1"/>
          <w:shd w:val="clear" w:color="auto" w:fill="FFFFFF"/>
        </w:rPr>
        <w:t xml:space="preserve">in </w:t>
      </w:r>
      <w:r w:rsidR="00FA437D" w:rsidRPr="00C73287">
        <w:rPr>
          <w:rFonts w:ascii="Arial" w:hAnsi="Arial" w:cs="Arial"/>
          <w:color w:val="000000" w:themeColor="text1"/>
          <w:shd w:val="clear" w:color="auto" w:fill="FFFFFF"/>
        </w:rPr>
        <w:t>Arts, Humanities, Science and technology, Medical, Engineering, Culture,</w:t>
      </w:r>
      <w:r w:rsidR="00633A1C" w:rsidRPr="00C73287">
        <w:rPr>
          <w:rFonts w:ascii="Arial" w:hAnsi="Arial" w:cs="Arial"/>
          <w:color w:val="000000" w:themeColor="text1"/>
          <w:shd w:val="clear" w:color="auto" w:fill="FFFFFF"/>
        </w:rPr>
        <w:t xml:space="preserve"> and other topics. </w:t>
      </w:r>
      <w:r w:rsidR="00FA437D" w:rsidRPr="00C73287">
        <w:rPr>
          <w:rFonts w:ascii="Arial" w:hAnsi="Arial" w:cs="Arial"/>
          <w:color w:val="000000" w:themeColor="text1"/>
          <w:shd w:val="clear" w:color="auto" w:fill="FFFFFF"/>
        </w:rPr>
        <w:t xml:space="preserve">The fellowship is provided for tribal students to </w:t>
      </w:r>
      <w:r w:rsidR="00633A1C" w:rsidRPr="00C73287">
        <w:rPr>
          <w:rFonts w:ascii="Arial" w:hAnsi="Arial" w:cs="Arial"/>
          <w:color w:val="000000" w:themeColor="text1"/>
        </w:rPr>
        <w:t xml:space="preserve">pursue </w:t>
      </w:r>
      <w:r w:rsidR="00FA437D" w:rsidRPr="00C73287">
        <w:rPr>
          <w:rFonts w:ascii="Arial" w:hAnsi="Arial" w:cs="Arial"/>
          <w:color w:val="000000" w:themeColor="text1"/>
        </w:rPr>
        <w:t>Ph.D. and M.Phil.</w:t>
      </w:r>
      <w:r w:rsidR="00633A1C" w:rsidRPr="00C73287">
        <w:rPr>
          <w:rFonts w:ascii="Arial" w:hAnsi="Arial" w:cs="Arial"/>
          <w:color w:val="000000" w:themeColor="text1"/>
        </w:rPr>
        <w:t xml:space="preserve"> by offering </w:t>
      </w:r>
      <w:r w:rsidR="00FA437D" w:rsidRPr="00C73287">
        <w:rPr>
          <w:rFonts w:ascii="Arial" w:hAnsi="Arial" w:cs="Arial"/>
          <w:color w:val="000000" w:themeColor="text1"/>
        </w:rPr>
        <w:t xml:space="preserve">the first 3 years (35000/ Month) and the remaining two years (42000/ Month) </w:t>
      </w:r>
      <w:r w:rsidR="00633A1C" w:rsidRPr="00C73287">
        <w:rPr>
          <w:rFonts w:ascii="Arial" w:hAnsi="Arial" w:cs="Arial"/>
          <w:color w:val="000000" w:themeColor="text1"/>
        </w:rPr>
        <w:t xml:space="preserve">fellowships </w:t>
      </w:r>
      <w:r w:rsidR="00FA437D" w:rsidRPr="00C73287">
        <w:rPr>
          <w:rFonts w:ascii="Arial" w:hAnsi="Arial" w:cs="Arial"/>
          <w:color w:val="000000" w:themeColor="text1"/>
        </w:rPr>
        <w:t>with contingency and HRA allowances</w:t>
      </w:r>
      <w:r w:rsidR="003113B8" w:rsidRPr="00C73287">
        <w:rPr>
          <w:rFonts w:ascii="Arial" w:hAnsi="Arial" w:cs="Arial"/>
          <w:color w:val="000000" w:themeColor="text1"/>
        </w:rPr>
        <w:t xml:space="preserve"> (</w:t>
      </w:r>
      <w:hyperlink r:id="rId16" w:history="1">
        <w:r w:rsidR="0017556A" w:rsidRPr="00C73287">
          <w:rPr>
            <w:rStyle w:val="Hyperlink"/>
            <w:rFonts w:ascii="Arial" w:hAnsi="Arial" w:cs="Arial"/>
            <w:color w:val="000000" w:themeColor="text1"/>
          </w:rPr>
          <w:t>https://fellowship.trti-maha.in</w:t>
        </w:r>
      </w:hyperlink>
      <w:r w:rsidR="0017556A" w:rsidRPr="00C73287">
        <w:rPr>
          <w:rFonts w:ascii="Arial" w:hAnsi="Arial" w:cs="Arial"/>
          <w:color w:val="000000" w:themeColor="text1"/>
        </w:rPr>
        <w:t>)</w:t>
      </w:r>
    </w:p>
    <w:p w14:paraId="3CC558E7" w14:textId="01BEB61E" w:rsidR="00907049" w:rsidRPr="00A52AD9" w:rsidRDefault="00907049" w:rsidP="00907049">
      <w:pPr>
        <w:spacing w:line="360" w:lineRule="auto"/>
        <w:jc w:val="both"/>
        <w:rPr>
          <w:rFonts w:ascii="Arial" w:hAnsi="Arial" w:cs="Arial"/>
          <w:b/>
          <w:bCs/>
          <w:color w:val="000000" w:themeColor="text1"/>
          <w:shd w:val="clear" w:color="auto" w:fill="FFFFFF"/>
        </w:rPr>
      </w:pPr>
      <w:r w:rsidRPr="00A52AD9">
        <w:rPr>
          <w:rFonts w:ascii="Arial" w:hAnsi="Arial" w:cs="Arial"/>
          <w:b/>
          <w:bCs/>
          <w:color w:val="000000" w:themeColor="text1"/>
          <w:shd w:val="clear" w:color="auto" w:fill="FFFFFF"/>
        </w:rPr>
        <w:t>TRTI provides financial assistance for competitive exams for tribal students:</w:t>
      </w:r>
    </w:p>
    <w:p w14:paraId="1C63D3E9" w14:textId="56B28EA7" w:rsidR="00907049" w:rsidRPr="00016F67" w:rsidRDefault="00907049" w:rsidP="00305246">
      <w:pPr>
        <w:spacing w:line="360" w:lineRule="auto"/>
        <w:jc w:val="both"/>
        <w:rPr>
          <w:rFonts w:ascii="Arial" w:hAnsi="Arial" w:cs="Arial"/>
          <w:color w:val="000000" w:themeColor="text1"/>
        </w:rPr>
      </w:pPr>
      <w:r w:rsidRPr="00016F67">
        <w:rPr>
          <w:rFonts w:ascii="Arial" w:hAnsi="Arial" w:cs="Arial"/>
          <w:color w:val="000000" w:themeColor="text1"/>
          <w:shd w:val="clear" w:color="auto" w:fill="FFFFFF"/>
        </w:rPr>
        <w:t xml:space="preserve">Under this scheme, financial assistance and training </w:t>
      </w:r>
      <w:r w:rsidR="00644C78" w:rsidRPr="00016F67">
        <w:rPr>
          <w:rFonts w:ascii="Arial" w:hAnsi="Arial" w:cs="Arial"/>
          <w:color w:val="000000" w:themeColor="text1"/>
          <w:shd w:val="clear" w:color="auto" w:fill="FFFFFF"/>
        </w:rPr>
        <w:t xml:space="preserve">are </w:t>
      </w:r>
      <w:r w:rsidRPr="00016F67">
        <w:rPr>
          <w:rFonts w:ascii="Arial" w:hAnsi="Arial" w:cs="Arial"/>
          <w:color w:val="000000" w:themeColor="text1"/>
          <w:shd w:val="clear" w:color="auto" w:fill="FFFFFF"/>
        </w:rPr>
        <w:t xml:space="preserve">provided to tribal students for preparation </w:t>
      </w:r>
      <w:r w:rsidR="00644C78" w:rsidRPr="00016F67">
        <w:rPr>
          <w:rFonts w:ascii="Arial" w:hAnsi="Arial" w:cs="Arial"/>
          <w:color w:val="000000" w:themeColor="text1"/>
          <w:shd w:val="clear" w:color="auto" w:fill="FFFFFF"/>
        </w:rPr>
        <w:t>for</w:t>
      </w:r>
      <w:r w:rsidRPr="00016F67">
        <w:rPr>
          <w:rFonts w:ascii="Arial" w:hAnsi="Arial" w:cs="Arial"/>
          <w:color w:val="000000" w:themeColor="text1"/>
          <w:shd w:val="clear" w:color="auto" w:fill="FFFFFF"/>
        </w:rPr>
        <w:t xml:space="preserve"> various competitive </w:t>
      </w:r>
      <w:r w:rsidR="00644C78" w:rsidRPr="00016F67">
        <w:rPr>
          <w:rFonts w:ascii="Arial" w:hAnsi="Arial" w:cs="Arial"/>
          <w:color w:val="000000" w:themeColor="text1"/>
          <w:shd w:val="clear" w:color="auto" w:fill="FFFFFF"/>
        </w:rPr>
        <w:t>examinations</w:t>
      </w:r>
      <w:r w:rsidRPr="00016F67">
        <w:rPr>
          <w:rFonts w:ascii="Arial" w:hAnsi="Arial" w:cs="Arial"/>
          <w:color w:val="000000" w:themeColor="text1"/>
          <w:shd w:val="clear" w:color="auto" w:fill="FFFFFF"/>
        </w:rPr>
        <w:t xml:space="preserve"> such as UPSC, MPSC, RRB Railway, </w:t>
      </w:r>
      <w:r w:rsidR="00644C78" w:rsidRPr="00016F67">
        <w:rPr>
          <w:rFonts w:ascii="Arial" w:hAnsi="Arial" w:cs="Arial"/>
          <w:color w:val="000000" w:themeColor="text1"/>
          <w:shd w:val="clear" w:color="auto" w:fill="FFFFFF"/>
        </w:rPr>
        <w:t>IBPS, Nabard</w:t>
      </w:r>
      <w:r w:rsidRPr="00016F67">
        <w:rPr>
          <w:rFonts w:ascii="Arial" w:hAnsi="Arial" w:cs="Arial"/>
          <w:color w:val="000000" w:themeColor="text1"/>
          <w:shd w:val="clear" w:color="auto" w:fill="FFFFFF"/>
        </w:rPr>
        <w:t xml:space="preserve">, SBI (PO/SO/ Clerical), RBI, LIC, Regional Bank, TET, </w:t>
      </w:r>
      <w:r w:rsidR="00644C78" w:rsidRPr="00016F67">
        <w:rPr>
          <w:rFonts w:ascii="Arial" w:hAnsi="Arial" w:cs="Arial"/>
          <w:color w:val="000000" w:themeColor="text1"/>
          <w:shd w:val="clear" w:color="auto" w:fill="FFFFFF"/>
        </w:rPr>
        <w:t>and foreign</w:t>
      </w:r>
      <w:r w:rsidRPr="00016F67">
        <w:rPr>
          <w:rFonts w:ascii="Arial" w:hAnsi="Arial" w:cs="Arial"/>
          <w:color w:val="000000" w:themeColor="text1"/>
          <w:shd w:val="clear" w:color="auto" w:fill="FFFFFF"/>
        </w:rPr>
        <w:t xml:space="preserve"> language training</w:t>
      </w:r>
      <w:r w:rsidR="003113B8" w:rsidRPr="00016F67">
        <w:rPr>
          <w:rFonts w:ascii="Arial" w:hAnsi="Arial" w:cs="Arial"/>
          <w:color w:val="000000" w:themeColor="text1"/>
          <w:shd w:val="clear" w:color="auto" w:fill="FFFFFF"/>
        </w:rPr>
        <w:t xml:space="preserve"> (</w:t>
      </w:r>
      <w:hyperlink r:id="rId17" w:history="1">
        <w:r w:rsidR="003113B8" w:rsidRPr="00016F67">
          <w:rPr>
            <w:rStyle w:val="Hyperlink"/>
            <w:rFonts w:ascii="Arial" w:hAnsi="Arial" w:cs="Arial"/>
            <w:color w:val="000000" w:themeColor="text1"/>
          </w:rPr>
          <w:t>https://cpetp.trti-maha.in</w:t>
        </w:r>
      </w:hyperlink>
      <w:r w:rsidR="003113B8" w:rsidRPr="00016F67">
        <w:rPr>
          <w:rFonts w:ascii="Arial" w:hAnsi="Arial" w:cs="Arial"/>
          <w:color w:val="000000" w:themeColor="text1"/>
        </w:rPr>
        <w:t>)</w:t>
      </w:r>
    </w:p>
    <w:p w14:paraId="08BE0E66" w14:textId="257A0D15" w:rsidR="00633A1C" w:rsidRPr="00A52AD9" w:rsidRDefault="00633A1C"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Ekalavya Residential Public School</w:t>
      </w:r>
      <w:r w:rsidR="00644C78" w:rsidRPr="00A52AD9">
        <w:rPr>
          <w:rFonts w:ascii="Arial" w:hAnsi="Arial" w:cs="Arial"/>
          <w:b/>
          <w:bCs/>
          <w:color w:val="000000" w:themeColor="text1"/>
        </w:rPr>
        <w:t xml:space="preserve"> for tribal students:</w:t>
      </w:r>
    </w:p>
    <w:p w14:paraId="462E8B6B" w14:textId="77562A1A" w:rsidR="00644C78" w:rsidRPr="00C73287" w:rsidRDefault="00644C78" w:rsidP="00633A1C">
      <w:pPr>
        <w:spacing w:line="360" w:lineRule="auto"/>
        <w:jc w:val="both"/>
        <w:rPr>
          <w:rFonts w:ascii="Arial" w:hAnsi="Arial" w:cs="Arial"/>
          <w:color w:val="000000" w:themeColor="text1"/>
          <w:lang w:val="en-US"/>
        </w:rPr>
      </w:pPr>
      <w:r w:rsidRPr="00C73287">
        <w:rPr>
          <w:rFonts w:ascii="Arial" w:hAnsi="Arial" w:cs="Arial"/>
          <w:color w:val="000000" w:themeColor="text1"/>
          <w:lang w:val="en-US"/>
        </w:rPr>
        <w:t xml:space="preserve">Ekalavya Model Residential School (EMRS) in Nashik was established in the year of 2000. The Maharashtra Tribal </w:t>
      </w:r>
      <w:r w:rsidR="006E70B0" w:rsidRPr="00C73287">
        <w:rPr>
          <w:rFonts w:ascii="Arial" w:hAnsi="Arial" w:cs="Arial"/>
          <w:color w:val="000000" w:themeColor="text1"/>
          <w:lang w:val="en-US"/>
        </w:rPr>
        <w:t>Public-School</w:t>
      </w:r>
      <w:r w:rsidRPr="00C73287">
        <w:rPr>
          <w:rFonts w:ascii="Arial" w:hAnsi="Arial" w:cs="Arial"/>
          <w:color w:val="000000" w:themeColor="text1"/>
          <w:lang w:val="en-US"/>
        </w:rPr>
        <w:t xml:space="preserve"> Society, Nashik, is in charge of the school's management.</w:t>
      </w:r>
      <w:r w:rsidR="006E70B0" w:rsidRPr="00C73287">
        <w:rPr>
          <w:rFonts w:ascii="Arial" w:hAnsi="Arial" w:cs="Arial"/>
          <w:color w:val="000000" w:themeColor="text1"/>
          <w:lang w:val="en-US"/>
        </w:rPr>
        <w:t xml:space="preserve"> </w:t>
      </w:r>
      <w:r w:rsidR="00633A1C" w:rsidRPr="00C73287">
        <w:rPr>
          <w:rFonts w:ascii="Arial" w:hAnsi="Arial" w:cs="Arial"/>
          <w:color w:val="000000" w:themeColor="text1"/>
        </w:rPr>
        <w:t xml:space="preserve">The school </w:t>
      </w:r>
      <w:r w:rsidRPr="00C73287">
        <w:rPr>
          <w:rFonts w:ascii="Arial" w:hAnsi="Arial" w:cs="Arial"/>
          <w:color w:val="000000" w:themeColor="text1"/>
        </w:rPr>
        <w:t>provides</w:t>
      </w:r>
      <w:r w:rsidR="00633A1C" w:rsidRPr="00C73287">
        <w:rPr>
          <w:rFonts w:ascii="Arial" w:hAnsi="Arial" w:cs="Arial"/>
          <w:color w:val="000000" w:themeColor="text1"/>
        </w:rPr>
        <w:t xml:space="preserve"> CBSE </w:t>
      </w:r>
      <w:r w:rsidRPr="00C73287">
        <w:rPr>
          <w:rFonts w:ascii="Arial" w:hAnsi="Arial" w:cs="Arial"/>
          <w:color w:val="000000" w:themeColor="text1"/>
        </w:rPr>
        <w:t>English-medium</w:t>
      </w:r>
      <w:r w:rsidR="00633A1C" w:rsidRPr="00C73287">
        <w:rPr>
          <w:rFonts w:ascii="Arial" w:hAnsi="Arial" w:cs="Arial"/>
          <w:color w:val="000000" w:themeColor="text1"/>
        </w:rPr>
        <w:t xml:space="preserve"> </w:t>
      </w:r>
      <w:r w:rsidRPr="00C73287">
        <w:rPr>
          <w:rFonts w:ascii="Arial" w:hAnsi="Arial" w:cs="Arial"/>
          <w:color w:val="000000" w:themeColor="text1"/>
        </w:rPr>
        <w:t>education</w:t>
      </w:r>
      <w:r w:rsidR="00633A1C" w:rsidRPr="00C73287">
        <w:rPr>
          <w:rFonts w:ascii="Arial" w:hAnsi="Arial" w:cs="Arial"/>
          <w:color w:val="000000" w:themeColor="text1"/>
        </w:rPr>
        <w:t xml:space="preserve"> in </w:t>
      </w:r>
      <w:r w:rsidR="006E70B0" w:rsidRPr="00C73287">
        <w:rPr>
          <w:rFonts w:ascii="Arial" w:hAnsi="Arial" w:cs="Arial"/>
          <w:color w:val="000000" w:themeColor="text1"/>
        </w:rPr>
        <w:t>classes</w:t>
      </w:r>
      <w:r w:rsidR="00633A1C" w:rsidRPr="00C73287">
        <w:rPr>
          <w:rFonts w:ascii="Arial" w:hAnsi="Arial" w:cs="Arial"/>
          <w:color w:val="000000" w:themeColor="text1"/>
        </w:rPr>
        <w:t xml:space="preserve"> </w:t>
      </w:r>
      <w:r w:rsidR="006E70B0" w:rsidRPr="00C73287">
        <w:rPr>
          <w:rFonts w:ascii="Arial" w:hAnsi="Arial" w:cs="Arial"/>
          <w:color w:val="000000" w:themeColor="text1"/>
        </w:rPr>
        <w:t>6</w:t>
      </w:r>
      <w:r w:rsidR="006E70B0" w:rsidRPr="00C73287">
        <w:rPr>
          <w:rFonts w:ascii="Arial" w:hAnsi="Arial" w:cs="Arial"/>
          <w:color w:val="000000" w:themeColor="text1"/>
          <w:vertAlign w:val="superscript"/>
        </w:rPr>
        <w:t>th</w:t>
      </w:r>
      <w:r w:rsidR="006E70B0" w:rsidRPr="00C73287">
        <w:rPr>
          <w:rFonts w:ascii="Arial" w:hAnsi="Arial" w:cs="Arial"/>
          <w:color w:val="000000" w:themeColor="text1"/>
        </w:rPr>
        <w:t xml:space="preserve"> to</w:t>
      </w:r>
      <w:r w:rsidR="00633A1C" w:rsidRPr="00C73287">
        <w:rPr>
          <w:rFonts w:ascii="Arial" w:hAnsi="Arial" w:cs="Arial"/>
          <w:color w:val="000000" w:themeColor="text1"/>
        </w:rPr>
        <w:t xml:space="preserve"> </w:t>
      </w:r>
      <w:r w:rsidR="006E70B0" w:rsidRPr="00C73287">
        <w:rPr>
          <w:rFonts w:ascii="Arial" w:hAnsi="Arial" w:cs="Arial"/>
          <w:color w:val="000000" w:themeColor="text1"/>
        </w:rPr>
        <w:t>12</w:t>
      </w:r>
      <w:r w:rsidR="006E70B0" w:rsidRPr="00C73287">
        <w:rPr>
          <w:rFonts w:ascii="Arial" w:hAnsi="Arial" w:cs="Arial"/>
          <w:color w:val="000000" w:themeColor="text1"/>
          <w:vertAlign w:val="superscript"/>
        </w:rPr>
        <w:t>th</w:t>
      </w:r>
      <w:r w:rsidR="006E70B0" w:rsidRPr="00C73287">
        <w:rPr>
          <w:rFonts w:ascii="Arial" w:hAnsi="Arial" w:cs="Arial"/>
          <w:color w:val="000000" w:themeColor="text1"/>
        </w:rPr>
        <w:t xml:space="preserve"> with</w:t>
      </w:r>
      <w:r w:rsidR="00633A1C" w:rsidRPr="00C73287">
        <w:rPr>
          <w:rFonts w:ascii="Arial" w:hAnsi="Arial" w:cs="Arial"/>
          <w:color w:val="000000" w:themeColor="text1"/>
        </w:rPr>
        <w:t xml:space="preserve"> a science stream in grades </w:t>
      </w:r>
      <w:r w:rsidR="006E70B0" w:rsidRPr="00C73287">
        <w:rPr>
          <w:rFonts w:ascii="Arial" w:hAnsi="Arial" w:cs="Arial"/>
          <w:color w:val="000000" w:themeColor="text1"/>
        </w:rPr>
        <w:t>11</w:t>
      </w:r>
      <w:r w:rsidR="006E70B0" w:rsidRPr="00C73287">
        <w:rPr>
          <w:rFonts w:ascii="Arial" w:hAnsi="Arial" w:cs="Arial"/>
          <w:color w:val="000000" w:themeColor="text1"/>
          <w:vertAlign w:val="superscript"/>
        </w:rPr>
        <w:t>th</w:t>
      </w:r>
      <w:r w:rsidR="006E70B0" w:rsidRPr="00C73287">
        <w:rPr>
          <w:rFonts w:ascii="Arial" w:hAnsi="Arial" w:cs="Arial"/>
          <w:color w:val="000000" w:themeColor="text1"/>
        </w:rPr>
        <w:t xml:space="preserve"> and</w:t>
      </w:r>
      <w:r w:rsidR="00633A1C" w:rsidRPr="00C73287">
        <w:rPr>
          <w:rFonts w:ascii="Arial" w:hAnsi="Arial" w:cs="Arial"/>
          <w:color w:val="000000" w:themeColor="text1"/>
        </w:rPr>
        <w:t xml:space="preserve"> </w:t>
      </w:r>
      <w:r w:rsidR="006E70B0" w:rsidRPr="00C73287">
        <w:rPr>
          <w:rFonts w:ascii="Arial" w:hAnsi="Arial" w:cs="Arial"/>
          <w:color w:val="000000" w:themeColor="text1"/>
        </w:rPr>
        <w:t>12</w:t>
      </w:r>
      <w:r w:rsidR="006E70B0" w:rsidRPr="00C73287">
        <w:rPr>
          <w:rFonts w:ascii="Arial" w:hAnsi="Arial" w:cs="Arial"/>
          <w:color w:val="000000" w:themeColor="text1"/>
          <w:vertAlign w:val="superscript"/>
        </w:rPr>
        <w:t>th</w:t>
      </w:r>
      <w:r w:rsidR="00633A1C" w:rsidRPr="00C73287">
        <w:rPr>
          <w:rFonts w:ascii="Arial" w:hAnsi="Arial" w:cs="Arial"/>
          <w:color w:val="000000" w:themeColor="text1"/>
        </w:rPr>
        <w:t xml:space="preserve">. Sixty students </w:t>
      </w:r>
      <w:r w:rsidR="006E70B0" w:rsidRPr="00C73287">
        <w:rPr>
          <w:rFonts w:ascii="Arial" w:hAnsi="Arial" w:cs="Arial"/>
          <w:color w:val="000000" w:themeColor="text1"/>
        </w:rPr>
        <w:t xml:space="preserve">can be </w:t>
      </w:r>
      <w:r w:rsidR="00633A1C" w:rsidRPr="00C73287">
        <w:rPr>
          <w:rFonts w:ascii="Arial" w:hAnsi="Arial" w:cs="Arial"/>
          <w:color w:val="000000" w:themeColor="text1"/>
        </w:rPr>
        <w:t xml:space="preserve">admitted through the entrance exam, with 30 </w:t>
      </w:r>
      <w:r w:rsidR="006E70B0" w:rsidRPr="00C73287">
        <w:rPr>
          <w:rFonts w:ascii="Arial" w:hAnsi="Arial" w:cs="Arial"/>
          <w:color w:val="000000" w:themeColor="text1"/>
        </w:rPr>
        <w:t>boys</w:t>
      </w:r>
      <w:r w:rsidR="00633A1C" w:rsidRPr="00C73287">
        <w:rPr>
          <w:rFonts w:ascii="Arial" w:hAnsi="Arial" w:cs="Arial"/>
          <w:color w:val="000000" w:themeColor="text1"/>
        </w:rPr>
        <w:t xml:space="preserve"> and 30 girls entering </w:t>
      </w:r>
      <w:r w:rsidR="006E70B0" w:rsidRPr="00C73287">
        <w:rPr>
          <w:rFonts w:ascii="Arial" w:hAnsi="Arial" w:cs="Arial"/>
          <w:color w:val="000000" w:themeColor="text1"/>
        </w:rPr>
        <w:t>from class 6</w:t>
      </w:r>
      <w:r w:rsidR="006E70B0" w:rsidRPr="00C73287">
        <w:rPr>
          <w:rFonts w:ascii="Arial" w:hAnsi="Arial" w:cs="Arial"/>
          <w:color w:val="000000" w:themeColor="text1"/>
          <w:vertAlign w:val="superscript"/>
        </w:rPr>
        <w:t>th</w:t>
      </w:r>
      <w:r w:rsidR="00633A1C" w:rsidRPr="00C73287">
        <w:rPr>
          <w:rFonts w:ascii="Arial" w:hAnsi="Arial" w:cs="Arial"/>
          <w:color w:val="000000" w:themeColor="text1"/>
        </w:rPr>
        <w:t xml:space="preserve">. Each school can accommodate </w:t>
      </w:r>
      <w:r w:rsidR="006E70B0" w:rsidRPr="00C73287">
        <w:rPr>
          <w:rFonts w:ascii="Arial" w:hAnsi="Arial" w:cs="Arial"/>
          <w:color w:val="000000" w:themeColor="text1"/>
        </w:rPr>
        <w:t xml:space="preserve">a total of </w:t>
      </w:r>
      <w:r w:rsidR="00633A1C" w:rsidRPr="00C73287">
        <w:rPr>
          <w:rFonts w:ascii="Arial" w:hAnsi="Arial" w:cs="Arial"/>
          <w:color w:val="000000" w:themeColor="text1"/>
        </w:rPr>
        <w:t xml:space="preserve">420 </w:t>
      </w:r>
      <w:r w:rsidR="006E70B0" w:rsidRPr="00C73287">
        <w:rPr>
          <w:rFonts w:ascii="Arial" w:hAnsi="Arial" w:cs="Arial"/>
          <w:color w:val="000000" w:themeColor="text1"/>
        </w:rPr>
        <w:t>tribal students</w:t>
      </w:r>
      <w:r w:rsidR="00633A1C" w:rsidRPr="00C73287">
        <w:rPr>
          <w:rFonts w:ascii="Arial" w:hAnsi="Arial" w:cs="Arial"/>
          <w:color w:val="000000" w:themeColor="text1"/>
        </w:rPr>
        <w:t xml:space="preserve">. Each year, in February and March, the six ITDP Projects </w:t>
      </w:r>
      <w:r w:rsidR="006E70B0" w:rsidRPr="00C73287">
        <w:rPr>
          <w:rFonts w:ascii="Arial" w:hAnsi="Arial" w:cs="Arial"/>
          <w:color w:val="000000" w:themeColor="text1"/>
        </w:rPr>
        <w:t xml:space="preserve">arrange the </w:t>
      </w:r>
      <w:r w:rsidR="00633A1C" w:rsidRPr="00C73287">
        <w:rPr>
          <w:rFonts w:ascii="Arial" w:hAnsi="Arial" w:cs="Arial"/>
          <w:color w:val="000000" w:themeColor="text1"/>
        </w:rPr>
        <w:t>exams for their respective regions</w:t>
      </w:r>
      <w:r w:rsidR="003113B8" w:rsidRPr="00C73287">
        <w:rPr>
          <w:rFonts w:ascii="Arial" w:hAnsi="Arial" w:cs="Arial"/>
          <w:color w:val="000000" w:themeColor="text1"/>
        </w:rPr>
        <w:t xml:space="preserve"> (</w:t>
      </w:r>
      <w:hyperlink r:id="rId18" w:history="1">
        <w:r w:rsidR="00560BA4" w:rsidRPr="00C73287">
          <w:rPr>
            <w:rStyle w:val="Hyperlink"/>
            <w:rFonts w:ascii="Arial" w:hAnsi="Arial" w:cs="Arial"/>
            <w:color w:val="000000" w:themeColor="text1"/>
          </w:rPr>
          <w:t>https://tribal.nic.in/EMRS.aspx</w:t>
        </w:r>
      </w:hyperlink>
      <w:r w:rsidR="00560BA4" w:rsidRPr="00C73287">
        <w:rPr>
          <w:rFonts w:ascii="Arial" w:hAnsi="Arial" w:cs="Arial"/>
          <w:color w:val="000000" w:themeColor="text1"/>
        </w:rPr>
        <w:t>; Valvi, 2016</w:t>
      </w:r>
      <w:r w:rsidR="003113B8" w:rsidRPr="00C73287">
        <w:rPr>
          <w:rFonts w:ascii="Arial" w:hAnsi="Arial" w:cs="Arial"/>
          <w:color w:val="000000" w:themeColor="text1"/>
        </w:rPr>
        <w:t>)</w:t>
      </w:r>
    </w:p>
    <w:p w14:paraId="318CF377" w14:textId="77777777" w:rsidR="00633A1C" w:rsidRPr="00A52AD9" w:rsidRDefault="00633A1C"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An integrated plan to equalize STs with other groups:</w:t>
      </w:r>
    </w:p>
    <w:p w14:paraId="3A2BE227" w14:textId="7168FBD2" w:rsidR="00F37F85" w:rsidRPr="00C73287" w:rsidRDefault="00F37F85" w:rsidP="00F37F85">
      <w:pPr>
        <w:spacing w:line="360" w:lineRule="auto"/>
        <w:jc w:val="both"/>
        <w:rPr>
          <w:rFonts w:ascii="Arial" w:hAnsi="Arial" w:cs="Arial"/>
          <w:color w:val="000000" w:themeColor="text1"/>
          <w:lang w:val="en-US"/>
        </w:rPr>
      </w:pPr>
      <w:r w:rsidRPr="00C73287">
        <w:rPr>
          <w:rFonts w:ascii="Arial" w:hAnsi="Arial" w:cs="Arial"/>
          <w:color w:val="000000" w:themeColor="text1"/>
          <w:lang w:val="en-US"/>
        </w:rPr>
        <w:t xml:space="preserve">Education is an essential factor for the nation's social and economic prosperity, as well as for closing opportunity disparities between marginalized groups and the general population. As a result, the National Policy of Education (1986) and the Programs for Action Plan (1992) should prioritize the educational development of scheduled tribes, who rank lowest across a variety of socioeconomic factors. The Sarva Siksha Abhiyan, with a specific emphasis on tribal children's education, was developed to achieve constitutional requirements to provide free and compulsory primary education to all children aged 6 to 14. </w:t>
      </w:r>
      <w:r w:rsidRPr="00C73287">
        <w:rPr>
          <w:rFonts w:ascii="Arial" w:hAnsi="Arial" w:cs="Arial"/>
          <w:color w:val="000000" w:themeColor="text1"/>
        </w:rPr>
        <w:t>Although several programs have been implemented from India's independence to help the educational growth in the Scheduled Tribes, however, literacy rates between the STs and the general population of India continue to be significantly different</w:t>
      </w:r>
      <w:r w:rsidR="003113B8" w:rsidRPr="00C73287">
        <w:rPr>
          <w:rFonts w:ascii="Arial" w:hAnsi="Arial" w:cs="Arial"/>
          <w:color w:val="000000" w:themeColor="text1"/>
        </w:rPr>
        <w:t xml:space="preserve"> (Hughes 2000). </w:t>
      </w:r>
    </w:p>
    <w:p w14:paraId="5598B7DE" w14:textId="77777777" w:rsidR="00633A1C" w:rsidRPr="00A52AD9" w:rsidRDefault="00633A1C" w:rsidP="00D5407F">
      <w:pPr>
        <w:spacing w:line="360" w:lineRule="auto"/>
        <w:rPr>
          <w:rFonts w:ascii="Arial" w:hAnsi="Arial" w:cs="Arial"/>
          <w:b/>
          <w:bCs/>
          <w:color w:val="000000" w:themeColor="text1"/>
        </w:rPr>
      </w:pPr>
      <w:r w:rsidRPr="00A52AD9">
        <w:rPr>
          <w:rFonts w:ascii="Arial" w:hAnsi="Arial" w:cs="Arial"/>
          <w:b/>
          <w:bCs/>
          <w:color w:val="000000" w:themeColor="text1"/>
        </w:rPr>
        <w:lastRenderedPageBreak/>
        <w:t xml:space="preserve">Vocational Training </w:t>
      </w:r>
      <w:proofErr w:type="spellStart"/>
      <w:r w:rsidRPr="00A52AD9">
        <w:rPr>
          <w:rFonts w:ascii="Arial" w:hAnsi="Arial" w:cs="Arial"/>
          <w:b/>
          <w:bCs/>
          <w:color w:val="000000" w:themeColor="text1"/>
        </w:rPr>
        <w:t>Centers</w:t>
      </w:r>
      <w:proofErr w:type="spellEnd"/>
      <w:r w:rsidRPr="00A52AD9">
        <w:rPr>
          <w:rFonts w:ascii="Arial" w:hAnsi="Arial" w:cs="Arial"/>
          <w:b/>
          <w:bCs/>
          <w:color w:val="000000" w:themeColor="text1"/>
        </w:rPr>
        <w:t xml:space="preserve"> in Tribal Areas</w:t>
      </w:r>
    </w:p>
    <w:p w14:paraId="51A8D924" w14:textId="5589375C" w:rsidR="00A13DDF" w:rsidRPr="00C73287" w:rsidRDefault="00D5407F" w:rsidP="007A248B">
      <w:pPr>
        <w:spacing w:line="360" w:lineRule="auto"/>
        <w:jc w:val="both"/>
        <w:rPr>
          <w:rFonts w:ascii="Arial" w:hAnsi="Arial" w:cs="Arial"/>
          <w:color w:val="000000" w:themeColor="text1"/>
        </w:rPr>
      </w:pPr>
      <w:r w:rsidRPr="00C73287">
        <w:rPr>
          <w:rFonts w:ascii="Arial" w:hAnsi="Arial" w:cs="Arial"/>
          <w:color w:val="000000" w:themeColor="text1"/>
        </w:rPr>
        <w:t>The program aims to enhance the skills of tribal students in a variety of traditional and modern professions based on their educational background, current economic conditions, and market potential, allowing them to find suitable jobs or start their enterprises</w:t>
      </w:r>
      <w:r w:rsidR="007F0AEA" w:rsidRPr="00C73287">
        <w:rPr>
          <w:rFonts w:ascii="Arial" w:hAnsi="Arial" w:cs="Arial"/>
          <w:color w:val="000000" w:themeColor="text1"/>
        </w:rPr>
        <w:t xml:space="preserve"> (</w:t>
      </w:r>
      <w:proofErr w:type="spellStart"/>
      <w:r w:rsidR="007F0AEA" w:rsidRPr="00C73287">
        <w:rPr>
          <w:rFonts w:ascii="Arial" w:hAnsi="Arial" w:cs="Arial"/>
          <w:color w:val="000000" w:themeColor="text1"/>
        </w:rPr>
        <w:t>Ghising</w:t>
      </w:r>
      <w:proofErr w:type="spellEnd"/>
      <w:r w:rsidR="007F0AEA" w:rsidRPr="00C73287">
        <w:rPr>
          <w:rFonts w:ascii="Arial" w:hAnsi="Arial" w:cs="Arial"/>
          <w:color w:val="000000" w:themeColor="text1"/>
        </w:rPr>
        <w:t xml:space="preserve"> 2025</w:t>
      </w:r>
      <w:r w:rsidR="00016F67" w:rsidRPr="00C73287">
        <w:rPr>
          <w:rFonts w:ascii="Arial" w:hAnsi="Arial" w:cs="Arial"/>
          <w:color w:val="000000" w:themeColor="text1"/>
        </w:rPr>
        <w:t xml:space="preserve">; </w:t>
      </w:r>
      <w:hyperlink r:id="rId19" w:history="1">
        <w:r w:rsidR="00016F67" w:rsidRPr="00C73287">
          <w:rPr>
            <w:rStyle w:val="Hyperlink"/>
            <w:rFonts w:ascii="Arial" w:hAnsi="Arial" w:cs="Arial"/>
            <w:color w:val="000000" w:themeColor="text1"/>
          </w:rPr>
          <w:t>https://fellowship.trti-maha.in</w:t>
        </w:r>
      </w:hyperlink>
      <w:r w:rsidR="007F0AEA" w:rsidRPr="00C73287">
        <w:rPr>
          <w:rFonts w:ascii="Arial" w:hAnsi="Arial" w:cs="Arial"/>
          <w:color w:val="000000" w:themeColor="text1"/>
        </w:rPr>
        <w:t>).</w:t>
      </w:r>
      <w:bookmarkEnd w:id="1"/>
    </w:p>
    <w:p w14:paraId="0A5D5134" w14:textId="4FD81B55" w:rsidR="00633A1C" w:rsidRPr="00A13DDF" w:rsidRDefault="00A13DDF" w:rsidP="00633A1C">
      <w:pPr>
        <w:spacing w:line="360" w:lineRule="auto"/>
        <w:rPr>
          <w:rFonts w:ascii="Arial" w:hAnsi="Arial" w:cs="Arial"/>
          <w:b/>
          <w:bCs/>
          <w:color w:val="000000" w:themeColor="text1"/>
        </w:rPr>
      </w:pPr>
      <w:r w:rsidRPr="00A13DDF">
        <w:rPr>
          <w:rFonts w:ascii="Arial" w:hAnsi="Arial" w:cs="Arial"/>
          <w:b/>
          <w:bCs/>
          <w:color w:val="000000" w:themeColor="text1"/>
        </w:rPr>
        <w:t>6.</w:t>
      </w:r>
      <w:r>
        <w:rPr>
          <w:rFonts w:ascii="Arial" w:hAnsi="Arial" w:cs="Arial"/>
          <w:b/>
          <w:bCs/>
          <w:color w:val="000000" w:themeColor="text1"/>
        </w:rPr>
        <w:t>0</w:t>
      </w:r>
      <w:r w:rsidRPr="00A13DDF">
        <w:rPr>
          <w:rFonts w:ascii="Arial" w:hAnsi="Arial" w:cs="Arial"/>
          <w:b/>
          <w:bCs/>
          <w:color w:val="000000" w:themeColor="text1"/>
        </w:rPr>
        <w:t xml:space="preserve"> </w:t>
      </w:r>
      <w:r w:rsidR="00633A1C" w:rsidRPr="00A13DDF">
        <w:rPr>
          <w:rFonts w:ascii="Arial" w:hAnsi="Arial" w:cs="Arial"/>
          <w:b/>
          <w:bCs/>
          <w:color w:val="000000" w:themeColor="text1"/>
        </w:rPr>
        <w:t>Conclusion</w:t>
      </w:r>
    </w:p>
    <w:p w14:paraId="6A2FC7FC" w14:textId="37086EA4" w:rsidR="0080797E" w:rsidRDefault="009B217A" w:rsidP="0080797E">
      <w:pPr>
        <w:spacing w:line="360" w:lineRule="auto"/>
        <w:jc w:val="both"/>
        <w:rPr>
          <w:rFonts w:ascii="Arial" w:hAnsi="Arial" w:cs="Arial"/>
          <w:color w:val="000000" w:themeColor="text1"/>
        </w:rPr>
      </w:pPr>
      <w:r w:rsidRPr="00A13DDF">
        <w:rPr>
          <w:rFonts w:ascii="Arial" w:hAnsi="Arial" w:cs="Arial"/>
          <w:color w:val="000000" w:themeColor="text1"/>
          <w:lang w:val="en-US"/>
        </w:rPr>
        <w:t>The primary barriers to the tribal community's long-term growth are their lack of knowledge of the policies and programs that have been established for them. This awareness must be raised to boost the literacy rate among the tribal population. After independence, the central government launched a number of initiatives, projects, and programs, as well as dedicated funds for various ways to encourage tribal education.</w:t>
      </w:r>
      <w:r w:rsidR="0080797E" w:rsidRPr="00A13DDF">
        <w:rPr>
          <w:rFonts w:ascii="Arial" w:hAnsi="Arial" w:cs="Arial"/>
          <w:color w:val="000000" w:themeColor="text1"/>
          <w:lang w:val="en-US"/>
        </w:rPr>
        <w:t xml:space="preserve"> All of these programs are significant and appreciated, but educational progress among tribal peoples is extremely slow. Tribes are not represented to the expected extent in higher education. As a result, now it is necessary to take strong decisions and effective plans must be implemented immediately to decrease the educational challenges that indigenous children </w:t>
      </w:r>
      <w:r w:rsidR="0080797E" w:rsidRPr="00A13DDF">
        <w:rPr>
          <w:rFonts w:ascii="Arial" w:hAnsi="Arial" w:cs="Arial"/>
          <w:color w:val="000000" w:themeColor="text1"/>
        </w:rPr>
        <w:t xml:space="preserve">face in their education. </w:t>
      </w:r>
    </w:p>
    <w:p w14:paraId="54CCE08D" w14:textId="32EFE817" w:rsidR="000C3F3B" w:rsidRPr="00A13DDF" w:rsidRDefault="00A13DDF" w:rsidP="00A13DDF">
      <w:pPr>
        <w:spacing w:line="360" w:lineRule="auto"/>
        <w:jc w:val="both"/>
        <w:rPr>
          <w:rFonts w:ascii="Arial" w:hAnsi="Arial" w:cs="Arial"/>
        </w:rPr>
      </w:pPr>
      <w:bookmarkStart w:id="2" w:name="_Hlk137984711"/>
      <w:r>
        <w:rPr>
          <w:rFonts w:ascii="Arial" w:hAnsi="Arial" w:cs="Arial"/>
          <w:b/>
          <w:bCs/>
        </w:rPr>
        <w:t xml:space="preserve">7.2 </w:t>
      </w:r>
      <w:r w:rsidR="000C3F3B" w:rsidRPr="00A13DDF">
        <w:rPr>
          <w:rFonts w:ascii="Arial" w:hAnsi="Arial" w:cs="Arial"/>
          <w:b/>
          <w:bCs/>
        </w:rPr>
        <w:t>Ethical approval:</w:t>
      </w:r>
      <w:r w:rsidR="000C3F3B" w:rsidRPr="00A13DDF">
        <w:rPr>
          <w:rFonts w:ascii="Arial" w:hAnsi="Arial" w:cs="Arial"/>
        </w:rPr>
        <w:t xml:space="preserve">  The ethical guidelines for data collection are followed in the study for primary and secondary data collection by the Project Officer, Tribal Development Project Office, </w:t>
      </w:r>
      <w:proofErr w:type="spellStart"/>
      <w:r w:rsidR="000C3F3B" w:rsidRPr="00A13DDF">
        <w:rPr>
          <w:rFonts w:ascii="Arial" w:hAnsi="Arial" w:cs="Arial"/>
        </w:rPr>
        <w:t>Ghodegaon</w:t>
      </w:r>
      <w:proofErr w:type="spellEnd"/>
      <w:r w:rsidR="000C3F3B" w:rsidRPr="00A13DDF">
        <w:rPr>
          <w:rFonts w:ascii="Arial" w:hAnsi="Arial" w:cs="Arial"/>
        </w:rPr>
        <w:t>, Pune, Letter No: 2024: 1 (2) /3190.</w:t>
      </w:r>
    </w:p>
    <w:p w14:paraId="78C96073" w14:textId="77777777" w:rsidR="004801DF" w:rsidRPr="0067062C" w:rsidRDefault="004801DF" w:rsidP="0067062C">
      <w:pPr>
        <w:spacing w:line="360" w:lineRule="auto"/>
        <w:jc w:val="both"/>
        <w:rPr>
          <w:rFonts w:ascii="Arial" w:eastAsia="Calibri" w:hAnsi="Arial" w:cs="Arial"/>
          <w:b/>
          <w:bCs/>
          <w:kern w:val="2"/>
          <w:lang w:val="en-US"/>
        </w:rPr>
      </w:pPr>
      <w:bookmarkStart w:id="3" w:name="_Hlk197682619"/>
      <w:bookmarkStart w:id="4" w:name="_Hlk180402183"/>
      <w:bookmarkStart w:id="5" w:name="_Hlk183680988"/>
      <w:bookmarkEnd w:id="2"/>
      <w:r w:rsidRPr="0067062C">
        <w:rPr>
          <w:rFonts w:ascii="Arial" w:eastAsia="Calibri" w:hAnsi="Arial" w:cs="Arial"/>
          <w:b/>
          <w:bCs/>
          <w:kern w:val="2"/>
          <w:lang w:val="en-US"/>
        </w:rPr>
        <w:t>Disclaimer (Artificial intelligence)</w:t>
      </w:r>
      <w:bookmarkStart w:id="6" w:name="_GoBack"/>
      <w:bookmarkEnd w:id="6"/>
    </w:p>
    <w:p w14:paraId="298BF1D6" w14:textId="6EBE8DD7" w:rsidR="004801DF" w:rsidRPr="00C73287" w:rsidRDefault="004801DF" w:rsidP="00A13DDF">
      <w:pPr>
        <w:spacing w:line="360" w:lineRule="auto"/>
        <w:jc w:val="both"/>
        <w:rPr>
          <w:rFonts w:ascii="Arial" w:eastAsia="Calibri" w:hAnsi="Arial" w:cs="Arial"/>
          <w:kern w:val="2"/>
          <w:lang w:val="en-US"/>
        </w:rPr>
      </w:pPr>
      <w:r w:rsidRPr="0067062C">
        <w:rPr>
          <w:rFonts w:ascii="Arial" w:eastAsia="Calibri" w:hAnsi="Arial" w:cs="Arial"/>
          <w:kern w:val="2"/>
          <w:lang w:val="en-US"/>
        </w:rPr>
        <w:t xml:space="preserve">Author(s) hereby </w:t>
      </w:r>
      <w:r w:rsidR="0067062C">
        <w:rPr>
          <w:rFonts w:ascii="Arial" w:eastAsia="Calibri" w:hAnsi="Arial" w:cs="Arial"/>
          <w:kern w:val="2"/>
          <w:lang w:val="en-US"/>
        </w:rPr>
        <w:t>declare</w:t>
      </w:r>
      <w:r w:rsidRPr="0067062C">
        <w:rPr>
          <w:rFonts w:ascii="Arial" w:eastAsia="Calibri" w:hAnsi="Arial" w:cs="Arial"/>
          <w:kern w:val="2"/>
          <w:lang w:val="en-US"/>
        </w:rPr>
        <w:t xml:space="preserve"> that NO generative AI technologies such as Large Language Models (ChatGPT, COPILOT, etc.) and text-to-image generators have been used during the writing or editing of this manuscript. </w:t>
      </w:r>
      <w:bookmarkEnd w:id="3"/>
      <w:bookmarkEnd w:id="4"/>
      <w:bookmarkEnd w:id="5"/>
    </w:p>
    <w:p w14:paraId="09E9BCA0" w14:textId="2A0723C0" w:rsidR="008B126F" w:rsidRPr="00A13DDF" w:rsidRDefault="00A13DDF" w:rsidP="00633A1C">
      <w:pPr>
        <w:spacing w:line="360" w:lineRule="auto"/>
        <w:jc w:val="both"/>
        <w:rPr>
          <w:rFonts w:ascii="Arial" w:hAnsi="Arial" w:cs="Arial"/>
          <w:b/>
          <w:bCs/>
          <w:color w:val="000000" w:themeColor="text1"/>
        </w:rPr>
      </w:pPr>
      <w:r w:rsidRPr="00A13DDF">
        <w:rPr>
          <w:rFonts w:ascii="Arial" w:hAnsi="Arial" w:cs="Arial"/>
          <w:b/>
          <w:bCs/>
          <w:color w:val="000000" w:themeColor="text1"/>
        </w:rPr>
        <w:t xml:space="preserve">8.0 </w:t>
      </w:r>
      <w:r w:rsidR="00633A1C" w:rsidRPr="00A13DDF">
        <w:rPr>
          <w:rFonts w:ascii="Arial" w:hAnsi="Arial" w:cs="Arial"/>
          <w:b/>
          <w:bCs/>
          <w:color w:val="000000" w:themeColor="text1"/>
        </w:rPr>
        <w:t>References</w:t>
      </w:r>
    </w:p>
    <w:p w14:paraId="5D13F825"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Andrabi, A. A. (2014). Tribal Education and Government Interventions. </w:t>
      </w:r>
      <w:r w:rsidRPr="00C73287">
        <w:rPr>
          <w:rFonts w:ascii="Arial" w:hAnsi="Arial" w:cs="Arial"/>
          <w:i/>
          <w:iCs/>
          <w:color w:val="000000" w:themeColor="text1"/>
        </w:rPr>
        <w:t>International Research Journal of Management Sociology &amp; Humanity</w:t>
      </w:r>
      <w:r w:rsidRPr="00C73287">
        <w:rPr>
          <w:rFonts w:ascii="Arial" w:hAnsi="Arial" w:cs="Arial"/>
          <w:color w:val="000000" w:themeColor="text1"/>
        </w:rPr>
        <w:t>, </w:t>
      </w:r>
      <w:r w:rsidRPr="00C73287">
        <w:rPr>
          <w:rFonts w:ascii="Arial" w:hAnsi="Arial" w:cs="Arial"/>
          <w:i/>
          <w:iCs/>
          <w:color w:val="000000" w:themeColor="text1"/>
        </w:rPr>
        <w:t>5</w:t>
      </w:r>
      <w:r w:rsidRPr="00C73287">
        <w:rPr>
          <w:rFonts w:ascii="Arial" w:hAnsi="Arial" w:cs="Arial"/>
          <w:color w:val="000000" w:themeColor="text1"/>
        </w:rPr>
        <w:t>(3), 316-323.</w:t>
      </w:r>
    </w:p>
    <w:p w14:paraId="678F7EFC"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Banerjee, M. S., and Panda, B. K. (2024). Tribal Educational Schemes and its Awareness among Tribal Youths. </w:t>
      </w:r>
      <w:r w:rsidRPr="00C73287">
        <w:rPr>
          <w:rFonts w:ascii="Arial" w:hAnsi="Arial" w:cs="Arial"/>
          <w:i/>
          <w:iCs/>
          <w:color w:val="000000" w:themeColor="text1"/>
        </w:rPr>
        <w:t>Bayan College International Journal of Multidisciplinary Research</w:t>
      </w:r>
      <w:r w:rsidRPr="00C73287">
        <w:rPr>
          <w:rFonts w:ascii="Arial" w:hAnsi="Arial" w:cs="Arial"/>
          <w:color w:val="000000" w:themeColor="text1"/>
        </w:rPr>
        <w:t>, </w:t>
      </w:r>
      <w:r w:rsidRPr="00C73287">
        <w:rPr>
          <w:rFonts w:ascii="Arial" w:hAnsi="Arial" w:cs="Arial"/>
          <w:i/>
          <w:iCs/>
          <w:color w:val="000000" w:themeColor="text1"/>
        </w:rPr>
        <w:t>4</w:t>
      </w:r>
      <w:r w:rsidRPr="00C73287">
        <w:rPr>
          <w:rFonts w:ascii="Arial" w:hAnsi="Arial" w:cs="Arial"/>
          <w:color w:val="000000" w:themeColor="text1"/>
        </w:rPr>
        <w:t>(1), 1-10.</w:t>
      </w:r>
    </w:p>
    <w:p w14:paraId="73DABFF3"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 xml:space="preserve">Chattopadhyay, A., and </w:t>
      </w:r>
      <w:proofErr w:type="spellStart"/>
      <w:r w:rsidRPr="00C73287">
        <w:rPr>
          <w:rFonts w:ascii="Arial" w:hAnsi="Arial" w:cs="Arial"/>
          <w:color w:val="000000" w:themeColor="text1"/>
        </w:rPr>
        <w:t>Durdhawale</w:t>
      </w:r>
      <w:proofErr w:type="spellEnd"/>
      <w:r w:rsidRPr="00C73287">
        <w:rPr>
          <w:rFonts w:ascii="Arial" w:hAnsi="Arial" w:cs="Arial"/>
          <w:color w:val="000000" w:themeColor="text1"/>
        </w:rPr>
        <w:t>, V. (2009). Primary schooling in a tribal district of Maharashtra: Some policy relevance. </w:t>
      </w:r>
      <w:r w:rsidRPr="00C73287">
        <w:rPr>
          <w:rFonts w:ascii="Arial" w:hAnsi="Arial" w:cs="Arial"/>
          <w:i/>
          <w:iCs/>
          <w:color w:val="000000" w:themeColor="text1"/>
        </w:rPr>
        <w:t>Journal of Education Administration and Policy Studies</w:t>
      </w:r>
      <w:r w:rsidRPr="00C73287">
        <w:rPr>
          <w:rFonts w:ascii="Arial" w:hAnsi="Arial" w:cs="Arial"/>
          <w:color w:val="000000" w:themeColor="text1"/>
        </w:rPr>
        <w:t>, </w:t>
      </w:r>
      <w:r w:rsidRPr="00C73287">
        <w:rPr>
          <w:rFonts w:ascii="Arial" w:hAnsi="Arial" w:cs="Arial"/>
          <w:i/>
          <w:iCs/>
          <w:color w:val="000000" w:themeColor="text1"/>
        </w:rPr>
        <w:t>1</w:t>
      </w:r>
      <w:r w:rsidRPr="00C73287">
        <w:rPr>
          <w:rFonts w:ascii="Arial" w:hAnsi="Arial" w:cs="Arial"/>
          <w:color w:val="000000" w:themeColor="text1"/>
        </w:rPr>
        <w:t>(5), 70-78.</w:t>
      </w:r>
    </w:p>
    <w:p w14:paraId="5947592D"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lastRenderedPageBreak/>
        <w:t>Chavan, P. S. (2016). A study of the effectiveness of the government hostel scheme for scheduled tribe boys and girls in Maharashtra state. </w:t>
      </w:r>
      <w:r w:rsidRPr="00C73287">
        <w:rPr>
          <w:rFonts w:ascii="Arial" w:hAnsi="Arial" w:cs="Arial"/>
          <w:i/>
          <w:iCs/>
          <w:color w:val="000000" w:themeColor="text1"/>
        </w:rPr>
        <w:t>Regional Centre for Urban &amp; Environmental Studies (RCUES), Mumbai (Fully supported by Ministry of Urban Development, Government of India)</w:t>
      </w:r>
      <w:r w:rsidRPr="00C73287">
        <w:rPr>
          <w:rFonts w:ascii="Arial" w:hAnsi="Arial" w:cs="Arial"/>
          <w:color w:val="000000" w:themeColor="text1"/>
        </w:rPr>
        <w:t>, 235.</w:t>
      </w:r>
    </w:p>
    <w:p w14:paraId="7CAC392A"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proofErr w:type="spellStart"/>
      <w:r w:rsidRPr="00C73287">
        <w:rPr>
          <w:rFonts w:ascii="Arial" w:hAnsi="Arial" w:cs="Arial"/>
          <w:color w:val="000000" w:themeColor="text1"/>
        </w:rPr>
        <w:t>Daripa</w:t>
      </w:r>
      <w:proofErr w:type="spellEnd"/>
      <w:r w:rsidRPr="00C73287">
        <w:rPr>
          <w:rFonts w:ascii="Arial" w:hAnsi="Arial" w:cs="Arial"/>
          <w:color w:val="000000" w:themeColor="text1"/>
        </w:rPr>
        <w:t>, S. K. (2017). Tribal education in India: Government initiative and challenges. </w:t>
      </w:r>
      <w:r w:rsidRPr="00C73287">
        <w:rPr>
          <w:rFonts w:ascii="Arial" w:hAnsi="Arial" w:cs="Arial"/>
          <w:i/>
          <w:iCs/>
          <w:color w:val="000000" w:themeColor="text1"/>
        </w:rPr>
        <w:t>International Journal of Research in Social Sciences</w:t>
      </w:r>
      <w:r w:rsidRPr="00C73287">
        <w:rPr>
          <w:rFonts w:ascii="Arial" w:hAnsi="Arial" w:cs="Arial"/>
          <w:color w:val="000000" w:themeColor="text1"/>
        </w:rPr>
        <w:t>, </w:t>
      </w:r>
      <w:r w:rsidRPr="00C73287">
        <w:rPr>
          <w:rFonts w:ascii="Arial" w:hAnsi="Arial" w:cs="Arial"/>
          <w:i/>
          <w:iCs/>
          <w:color w:val="000000" w:themeColor="text1"/>
        </w:rPr>
        <w:t>7</w:t>
      </w:r>
      <w:r w:rsidRPr="00C73287">
        <w:rPr>
          <w:rFonts w:ascii="Arial" w:hAnsi="Arial" w:cs="Arial"/>
          <w:color w:val="000000" w:themeColor="text1"/>
        </w:rPr>
        <w:t>(10), 156-166.</w:t>
      </w:r>
    </w:p>
    <w:p w14:paraId="611C99E7"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Das, C., and Sanskar, S. (2021). Adequacy of Indian Constitution in protection of tribal rights. </w:t>
      </w:r>
      <w:r w:rsidRPr="00C73287">
        <w:rPr>
          <w:rFonts w:ascii="Arial" w:hAnsi="Arial" w:cs="Arial"/>
          <w:i/>
          <w:iCs/>
          <w:color w:val="000000" w:themeColor="text1"/>
        </w:rPr>
        <w:t>Available at SSRN 3911449</w:t>
      </w:r>
      <w:r w:rsidRPr="00C73287">
        <w:rPr>
          <w:rFonts w:ascii="Arial" w:hAnsi="Arial" w:cs="Arial"/>
          <w:color w:val="000000" w:themeColor="text1"/>
        </w:rPr>
        <w:t>.</w:t>
      </w:r>
    </w:p>
    <w:p w14:paraId="0161BB88"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proofErr w:type="spellStart"/>
      <w:r w:rsidRPr="00C73287">
        <w:rPr>
          <w:rFonts w:ascii="Arial" w:hAnsi="Arial" w:cs="Arial"/>
          <w:color w:val="000000" w:themeColor="text1"/>
        </w:rPr>
        <w:t>Dicholkar</w:t>
      </w:r>
      <w:proofErr w:type="spellEnd"/>
      <w:r w:rsidRPr="00C73287">
        <w:rPr>
          <w:rFonts w:ascii="Arial" w:hAnsi="Arial" w:cs="Arial"/>
          <w:color w:val="000000" w:themeColor="text1"/>
        </w:rPr>
        <w:t>, S. (2018). ‘Adivasi Ashram shala</w:t>
      </w:r>
      <w:proofErr w:type="gramStart"/>
      <w:r w:rsidRPr="00C73287">
        <w:rPr>
          <w:rFonts w:ascii="Arial" w:hAnsi="Arial" w:cs="Arial"/>
          <w:color w:val="000000" w:themeColor="text1"/>
        </w:rPr>
        <w:t>’(</w:t>
      </w:r>
      <w:proofErr w:type="gramEnd"/>
      <w:r w:rsidRPr="00C73287">
        <w:rPr>
          <w:rFonts w:ascii="Arial" w:hAnsi="Arial" w:cs="Arial"/>
          <w:color w:val="000000" w:themeColor="text1"/>
        </w:rPr>
        <w:t>Tribal Residential school) and Protection for Tribal Children in Maharashtra, India.</w:t>
      </w:r>
    </w:p>
    <w:p w14:paraId="5335F7D6"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Gandhi, R. (1986). New National Policy on Education. </w:t>
      </w:r>
      <w:r w:rsidRPr="00C73287">
        <w:rPr>
          <w:rFonts w:ascii="Arial" w:hAnsi="Arial" w:cs="Arial"/>
          <w:i/>
          <w:iCs/>
          <w:color w:val="000000" w:themeColor="text1"/>
        </w:rPr>
        <w:t>Indian Journal of Public Administration</w:t>
      </w:r>
      <w:r w:rsidRPr="00C73287">
        <w:rPr>
          <w:rFonts w:ascii="Arial" w:hAnsi="Arial" w:cs="Arial"/>
          <w:color w:val="000000" w:themeColor="text1"/>
        </w:rPr>
        <w:t>, </w:t>
      </w:r>
      <w:r w:rsidRPr="00C73287">
        <w:rPr>
          <w:rFonts w:ascii="Arial" w:hAnsi="Arial" w:cs="Arial"/>
          <w:i/>
          <w:iCs/>
          <w:color w:val="000000" w:themeColor="text1"/>
        </w:rPr>
        <w:t>32</w:t>
      </w:r>
      <w:r w:rsidRPr="00C73287">
        <w:rPr>
          <w:rFonts w:ascii="Arial" w:hAnsi="Arial" w:cs="Arial"/>
          <w:color w:val="000000" w:themeColor="text1"/>
        </w:rPr>
        <w:t>(3), 435-460.</w:t>
      </w:r>
    </w:p>
    <w:p w14:paraId="6F0728CD"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proofErr w:type="spellStart"/>
      <w:r w:rsidRPr="00C73287">
        <w:rPr>
          <w:rFonts w:ascii="Arial" w:hAnsi="Arial" w:cs="Arial"/>
          <w:color w:val="000000" w:themeColor="text1"/>
        </w:rPr>
        <w:t>Garnaik</w:t>
      </w:r>
      <w:proofErr w:type="spellEnd"/>
      <w:r w:rsidRPr="00C73287">
        <w:rPr>
          <w:rFonts w:ascii="Arial" w:hAnsi="Arial" w:cs="Arial"/>
          <w:color w:val="000000" w:themeColor="text1"/>
        </w:rPr>
        <w:t>, I., and Barik, N. (2012). Role of ashram school in tribal education: A study of a block in Jharsuguda district. </w:t>
      </w:r>
      <w:r w:rsidRPr="00C73287">
        <w:rPr>
          <w:rFonts w:ascii="Arial" w:hAnsi="Arial" w:cs="Arial"/>
          <w:i/>
          <w:iCs/>
          <w:color w:val="000000" w:themeColor="text1"/>
        </w:rPr>
        <w:t>Odisha Review, October 2012</w:t>
      </w:r>
      <w:r w:rsidRPr="00C73287">
        <w:rPr>
          <w:rFonts w:ascii="Arial" w:hAnsi="Arial" w:cs="Arial"/>
          <w:color w:val="000000" w:themeColor="text1"/>
        </w:rPr>
        <w:t>, 85-89.</w:t>
      </w:r>
    </w:p>
    <w:p w14:paraId="47A070BE"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Gautam, N. (2013). Education of scheduled tribes in India: Schemes and programmes. </w:t>
      </w:r>
      <w:r w:rsidRPr="00C73287">
        <w:rPr>
          <w:rFonts w:ascii="Arial" w:hAnsi="Arial" w:cs="Arial"/>
          <w:i/>
          <w:iCs/>
          <w:color w:val="000000" w:themeColor="text1"/>
        </w:rPr>
        <w:t>journal of education and practice</w:t>
      </w:r>
      <w:r w:rsidRPr="00C73287">
        <w:rPr>
          <w:rFonts w:ascii="Arial" w:hAnsi="Arial" w:cs="Arial"/>
          <w:color w:val="000000" w:themeColor="text1"/>
        </w:rPr>
        <w:t>, </w:t>
      </w:r>
      <w:r w:rsidRPr="00C73287">
        <w:rPr>
          <w:rFonts w:ascii="Arial" w:hAnsi="Arial" w:cs="Arial"/>
          <w:i/>
          <w:iCs/>
          <w:color w:val="000000" w:themeColor="text1"/>
        </w:rPr>
        <w:t>4</w:t>
      </w:r>
      <w:r w:rsidRPr="00C73287">
        <w:rPr>
          <w:rFonts w:ascii="Arial" w:hAnsi="Arial" w:cs="Arial"/>
          <w:color w:val="000000" w:themeColor="text1"/>
        </w:rPr>
        <w:t>(4).</w:t>
      </w:r>
    </w:p>
    <w:p w14:paraId="3E7FB72E"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proofErr w:type="spellStart"/>
      <w:r w:rsidRPr="00C73287">
        <w:rPr>
          <w:rFonts w:ascii="Arial" w:hAnsi="Arial" w:cs="Arial"/>
          <w:color w:val="000000" w:themeColor="text1"/>
        </w:rPr>
        <w:t>Ghising</w:t>
      </w:r>
      <w:proofErr w:type="spellEnd"/>
      <w:r w:rsidRPr="00C73287">
        <w:rPr>
          <w:rFonts w:ascii="Arial" w:hAnsi="Arial" w:cs="Arial"/>
          <w:color w:val="000000" w:themeColor="text1"/>
        </w:rPr>
        <w:t>, D. (2025). Inclusion of Indigenous People in Technical and Vocational Training. </w:t>
      </w:r>
      <w:r w:rsidRPr="00C73287">
        <w:rPr>
          <w:rFonts w:ascii="Arial" w:hAnsi="Arial" w:cs="Arial"/>
          <w:i/>
          <w:iCs/>
          <w:color w:val="000000" w:themeColor="text1"/>
        </w:rPr>
        <w:t>Asian Journal of Population Sciences</w:t>
      </w:r>
      <w:r w:rsidRPr="00C73287">
        <w:rPr>
          <w:rFonts w:ascii="Arial" w:hAnsi="Arial" w:cs="Arial"/>
          <w:color w:val="000000" w:themeColor="text1"/>
        </w:rPr>
        <w:t>, </w:t>
      </w:r>
      <w:r w:rsidRPr="00C73287">
        <w:rPr>
          <w:rFonts w:ascii="Arial" w:hAnsi="Arial" w:cs="Arial"/>
          <w:i/>
          <w:iCs/>
          <w:color w:val="000000" w:themeColor="text1"/>
        </w:rPr>
        <w:t>4</w:t>
      </w:r>
      <w:r w:rsidRPr="00C73287">
        <w:rPr>
          <w:rFonts w:ascii="Arial" w:hAnsi="Arial" w:cs="Arial"/>
          <w:color w:val="000000" w:themeColor="text1"/>
        </w:rPr>
        <w:t>(1), 86-100.</w:t>
      </w:r>
    </w:p>
    <w:p w14:paraId="4CA8768F"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Gupta, P. V. (2018). Tribal Development in India-Status and Strategies. </w:t>
      </w:r>
      <w:r w:rsidRPr="00C73287">
        <w:rPr>
          <w:rFonts w:ascii="Arial" w:hAnsi="Arial" w:cs="Arial"/>
          <w:i/>
          <w:iCs/>
          <w:color w:val="000000" w:themeColor="text1"/>
        </w:rPr>
        <w:t>International Journal of African and Asian Studies</w:t>
      </w:r>
      <w:r w:rsidRPr="00C73287">
        <w:rPr>
          <w:rFonts w:ascii="Arial" w:hAnsi="Arial" w:cs="Arial"/>
          <w:color w:val="000000" w:themeColor="text1"/>
        </w:rPr>
        <w:t>, </w:t>
      </w:r>
      <w:r w:rsidRPr="00C73287">
        <w:rPr>
          <w:rFonts w:ascii="Arial" w:hAnsi="Arial" w:cs="Arial"/>
          <w:i/>
          <w:iCs/>
          <w:color w:val="000000" w:themeColor="text1"/>
        </w:rPr>
        <w:t>48</w:t>
      </w:r>
      <w:r w:rsidRPr="00C73287">
        <w:rPr>
          <w:rFonts w:ascii="Arial" w:hAnsi="Arial" w:cs="Arial"/>
          <w:color w:val="000000" w:themeColor="text1"/>
        </w:rPr>
        <w:t>, 14-19.</w:t>
      </w:r>
    </w:p>
    <w:p w14:paraId="6D5B9D6E" w14:textId="0563A58A" w:rsidR="00D0597F" w:rsidRPr="00C73287" w:rsidRDefault="00D0597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lang w:val="en-IN"/>
        </w:rPr>
        <w:t xml:space="preserve">Gupta, N., Gupta, P. S., John, E. P., Dhongde, S. R., </w:t>
      </w:r>
      <w:proofErr w:type="spellStart"/>
      <w:r w:rsidRPr="00C73287">
        <w:rPr>
          <w:rFonts w:ascii="Arial" w:hAnsi="Arial" w:cs="Arial"/>
          <w:color w:val="000000" w:themeColor="text1"/>
          <w:lang w:val="en-IN"/>
        </w:rPr>
        <w:t>Rautrao</w:t>
      </w:r>
      <w:proofErr w:type="spellEnd"/>
      <w:r w:rsidRPr="00C73287">
        <w:rPr>
          <w:rFonts w:ascii="Arial" w:hAnsi="Arial" w:cs="Arial"/>
          <w:color w:val="000000" w:themeColor="text1"/>
          <w:lang w:val="en-IN"/>
        </w:rPr>
        <w:t>, R. R., and Singh, K. (2025). Challenges and Role of Innovation, Entrepreneurship, and Startup for Economic Growth of India in the 21st Century. </w:t>
      </w:r>
      <w:r w:rsidRPr="00C73287">
        <w:rPr>
          <w:rFonts w:ascii="Arial" w:hAnsi="Arial" w:cs="Arial"/>
          <w:i/>
          <w:iCs/>
          <w:color w:val="000000" w:themeColor="text1"/>
          <w:lang w:val="en-IN"/>
        </w:rPr>
        <w:t>Advances in Consumer Research</w:t>
      </w:r>
      <w:r w:rsidRPr="00C73287">
        <w:rPr>
          <w:rFonts w:ascii="Arial" w:hAnsi="Arial" w:cs="Arial"/>
          <w:color w:val="000000" w:themeColor="text1"/>
          <w:lang w:val="en-IN"/>
        </w:rPr>
        <w:t>, </w:t>
      </w:r>
      <w:r w:rsidRPr="00C73287">
        <w:rPr>
          <w:rFonts w:ascii="Arial" w:hAnsi="Arial" w:cs="Arial"/>
          <w:i/>
          <w:iCs/>
          <w:color w:val="000000" w:themeColor="text1"/>
          <w:lang w:val="en-IN"/>
        </w:rPr>
        <w:t>2</w:t>
      </w:r>
      <w:r w:rsidRPr="00C73287">
        <w:rPr>
          <w:rFonts w:ascii="Arial" w:hAnsi="Arial" w:cs="Arial"/>
          <w:color w:val="000000" w:themeColor="text1"/>
          <w:lang w:val="en-IN"/>
        </w:rPr>
        <w:t>(4).</w:t>
      </w:r>
    </w:p>
    <w:p w14:paraId="0C9B7767"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 xml:space="preserve">Hughes, G. (2000). Marginalization of </w:t>
      </w:r>
      <w:proofErr w:type="spellStart"/>
      <w:r w:rsidRPr="00C73287">
        <w:rPr>
          <w:rFonts w:ascii="Arial" w:hAnsi="Arial" w:cs="Arial"/>
          <w:color w:val="000000" w:themeColor="text1"/>
        </w:rPr>
        <w:t>socioscientific</w:t>
      </w:r>
      <w:proofErr w:type="spellEnd"/>
      <w:r w:rsidRPr="00C73287">
        <w:rPr>
          <w:rFonts w:ascii="Arial" w:hAnsi="Arial" w:cs="Arial"/>
          <w:color w:val="000000" w:themeColor="text1"/>
        </w:rPr>
        <w:t xml:space="preserve"> material in science–technology–society science curricula: Some implications for gender inclusivity and curriculum reform. </w:t>
      </w:r>
      <w:r w:rsidRPr="00C73287">
        <w:rPr>
          <w:rFonts w:ascii="Arial" w:hAnsi="Arial" w:cs="Arial"/>
          <w:i/>
          <w:iCs/>
          <w:color w:val="000000" w:themeColor="text1"/>
        </w:rPr>
        <w:t>Journal of Research in Science Teaching: The Official Journal of the National Association for Research in Science Teaching</w:t>
      </w:r>
      <w:r w:rsidRPr="00C73287">
        <w:rPr>
          <w:rFonts w:ascii="Arial" w:hAnsi="Arial" w:cs="Arial"/>
          <w:color w:val="000000" w:themeColor="text1"/>
        </w:rPr>
        <w:t>, </w:t>
      </w:r>
      <w:r w:rsidRPr="00C73287">
        <w:rPr>
          <w:rFonts w:ascii="Arial" w:hAnsi="Arial" w:cs="Arial"/>
          <w:i/>
          <w:iCs/>
          <w:color w:val="000000" w:themeColor="text1"/>
        </w:rPr>
        <w:t>37</w:t>
      </w:r>
      <w:r w:rsidRPr="00C73287">
        <w:rPr>
          <w:rFonts w:ascii="Arial" w:hAnsi="Arial" w:cs="Arial"/>
          <w:color w:val="000000" w:themeColor="text1"/>
        </w:rPr>
        <w:t>(5), 426-440.</w:t>
      </w:r>
    </w:p>
    <w:p w14:paraId="7FA822EF"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proofErr w:type="spellStart"/>
      <w:r w:rsidRPr="00C73287">
        <w:rPr>
          <w:rFonts w:ascii="Arial" w:hAnsi="Arial" w:cs="Arial"/>
          <w:color w:val="000000" w:themeColor="text1"/>
        </w:rPr>
        <w:t>Kokate</w:t>
      </w:r>
      <w:proofErr w:type="spellEnd"/>
      <w:r w:rsidRPr="00C73287">
        <w:rPr>
          <w:rFonts w:ascii="Arial" w:hAnsi="Arial" w:cs="Arial"/>
          <w:color w:val="000000" w:themeColor="text1"/>
        </w:rPr>
        <w:t>, M. A. K., and Swami, V. I. (2020). Tribal Development Programmes and its Administration in the State of Maharashtra. Vidyawarta. 1. 2319 9318: 104-109</w:t>
      </w:r>
    </w:p>
    <w:p w14:paraId="0009631D"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Minz, S. K. (2020). Tribal development policies in India: Its implications and prospects. </w:t>
      </w:r>
      <w:r w:rsidRPr="00C73287">
        <w:rPr>
          <w:rFonts w:ascii="Arial" w:hAnsi="Arial" w:cs="Arial"/>
          <w:i/>
          <w:iCs/>
          <w:color w:val="000000" w:themeColor="text1"/>
        </w:rPr>
        <w:t>Mukt Shabd Journal</w:t>
      </w:r>
      <w:r w:rsidRPr="00C73287">
        <w:rPr>
          <w:rFonts w:ascii="Arial" w:hAnsi="Arial" w:cs="Arial"/>
          <w:color w:val="000000" w:themeColor="text1"/>
        </w:rPr>
        <w:t>, </w:t>
      </w:r>
      <w:r w:rsidRPr="00C73287">
        <w:rPr>
          <w:rFonts w:ascii="Arial" w:hAnsi="Arial" w:cs="Arial"/>
          <w:i/>
          <w:iCs/>
          <w:color w:val="000000" w:themeColor="text1"/>
        </w:rPr>
        <w:t>9</w:t>
      </w:r>
      <w:r w:rsidRPr="00C73287">
        <w:rPr>
          <w:rFonts w:ascii="Arial" w:hAnsi="Arial" w:cs="Arial"/>
          <w:color w:val="000000" w:themeColor="text1"/>
        </w:rPr>
        <w:t>(5), 818-829.</w:t>
      </w:r>
    </w:p>
    <w:p w14:paraId="209D5ABF" w14:textId="77777777" w:rsidR="007D65CC"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 xml:space="preserve">Mishra, M., and </w:t>
      </w:r>
      <w:proofErr w:type="spellStart"/>
      <w:r w:rsidRPr="00C73287">
        <w:rPr>
          <w:rFonts w:ascii="Arial" w:hAnsi="Arial" w:cs="Arial"/>
          <w:color w:val="000000" w:themeColor="text1"/>
        </w:rPr>
        <w:t>Pettala</w:t>
      </w:r>
      <w:proofErr w:type="spellEnd"/>
      <w:r w:rsidRPr="00C73287">
        <w:rPr>
          <w:rFonts w:ascii="Arial" w:hAnsi="Arial" w:cs="Arial"/>
          <w:color w:val="000000" w:themeColor="text1"/>
        </w:rPr>
        <w:t>, R. (Eds.). (2023). </w:t>
      </w:r>
      <w:r w:rsidRPr="00C73287">
        <w:rPr>
          <w:rFonts w:ascii="Arial" w:hAnsi="Arial" w:cs="Arial"/>
          <w:i/>
          <w:iCs/>
          <w:color w:val="000000" w:themeColor="text1"/>
        </w:rPr>
        <w:t>Education of socio-economic disadvantaged groups: From marginalisation to inclusion</w:t>
      </w:r>
      <w:r w:rsidRPr="00C73287">
        <w:rPr>
          <w:rFonts w:ascii="Arial" w:hAnsi="Arial" w:cs="Arial"/>
          <w:color w:val="000000" w:themeColor="text1"/>
        </w:rPr>
        <w:t>. Taylor &amp; Francis.</w:t>
      </w:r>
    </w:p>
    <w:p w14:paraId="54602CEA"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Nayak, S. K. (2020). Good Practices in Tribal Development (Livelihood Sector) in Three Indian States.</w:t>
      </w:r>
    </w:p>
    <w:p w14:paraId="6047A043"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Pati, R. N., and Dash, J. (2002). </w:t>
      </w:r>
      <w:r w:rsidRPr="00C73287">
        <w:rPr>
          <w:rFonts w:ascii="Arial" w:hAnsi="Arial" w:cs="Arial"/>
          <w:i/>
          <w:iCs/>
          <w:color w:val="000000" w:themeColor="text1"/>
        </w:rPr>
        <w:t>Tribal and indigenous people of India: Problems and prospects</w:t>
      </w:r>
      <w:r w:rsidRPr="00C73287">
        <w:rPr>
          <w:rFonts w:ascii="Arial" w:hAnsi="Arial" w:cs="Arial"/>
          <w:color w:val="000000" w:themeColor="text1"/>
        </w:rPr>
        <w:t>. APH Publishing.</w:t>
      </w:r>
    </w:p>
    <w:p w14:paraId="304B1B27"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lastRenderedPageBreak/>
        <w:t>Patra, U. K., Gayak, J., Khan, K. R., Karim, S. K., Halder, S., Sen, A., and Paul, G.  (2021). A comparative study of tribal education development in India: with special references to Purulia District, West Bengal. </w:t>
      </w:r>
      <w:r w:rsidRPr="00C73287">
        <w:rPr>
          <w:rFonts w:ascii="Arial" w:hAnsi="Arial" w:cs="Arial"/>
          <w:i/>
          <w:iCs/>
          <w:color w:val="000000" w:themeColor="text1"/>
        </w:rPr>
        <w:t>Journal of Critical Reviews</w:t>
      </w:r>
      <w:r w:rsidRPr="00C73287">
        <w:rPr>
          <w:rFonts w:ascii="Arial" w:hAnsi="Arial" w:cs="Arial"/>
          <w:color w:val="000000" w:themeColor="text1"/>
        </w:rPr>
        <w:t>, </w:t>
      </w:r>
      <w:r w:rsidRPr="00C73287">
        <w:rPr>
          <w:rFonts w:ascii="Arial" w:hAnsi="Arial" w:cs="Arial"/>
          <w:i/>
          <w:iCs/>
          <w:color w:val="000000" w:themeColor="text1"/>
        </w:rPr>
        <w:t>8</w:t>
      </w:r>
      <w:r w:rsidRPr="00C73287">
        <w:rPr>
          <w:rFonts w:ascii="Arial" w:hAnsi="Arial" w:cs="Arial"/>
          <w:color w:val="000000" w:themeColor="text1"/>
        </w:rPr>
        <w:t>(1), 110-121.</w:t>
      </w:r>
    </w:p>
    <w:p w14:paraId="1743F53E"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Saha, A. (2023). </w:t>
      </w:r>
      <w:r w:rsidRPr="00C73287">
        <w:rPr>
          <w:rFonts w:ascii="Arial" w:hAnsi="Arial" w:cs="Arial"/>
          <w:i/>
          <w:iCs/>
          <w:color w:val="000000" w:themeColor="text1"/>
        </w:rPr>
        <w:t>Caste and Tribe, Poverty and Patriarchy: A Qualitative Assessment of Educational and Social Factors and Policies Contributing to the Current Status of Scheduled Castes and Scheduled Tribes Children in a State in India</w:t>
      </w:r>
      <w:r w:rsidRPr="00C73287">
        <w:rPr>
          <w:rFonts w:ascii="Arial" w:hAnsi="Arial" w:cs="Arial"/>
          <w:color w:val="000000" w:themeColor="text1"/>
        </w:rPr>
        <w:t> (Doctoral dissertation, The George Washington University).</w:t>
      </w:r>
    </w:p>
    <w:p w14:paraId="133F5FD6"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Saini, M., Sengupta, E., Singh, M., Singh, H., &amp; Singh, J. (2023). Sustainable Development Goal for Quality Education (SDG 4): A study on SDG 4 to extract the pattern of association among the indicators of SDG 4 employing a genetic algorithm. </w:t>
      </w:r>
      <w:r w:rsidRPr="00C73287">
        <w:rPr>
          <w:rFonts w:ascii="Arial" w:hAnsi="Arial" w:cs="Arial"/>
          <w:i/>
          <w:iCs/>
          <w:color w:val="000000" w:themeColor="text1"/>
        </w:rPr>
        <w:t>Education and Information Technologies</w:t>
      </w:r>
      <w:r w:rsidRPr="00C73287">
        <w:rPr>
          <w:rFonts w:ascii="Arial" w:hAnsi="Arial" w:cs="Arial"/>
          <w:color w:val="000000" w:themeColor="text1"/>
        </w:rPr>
        <w:t>, </w:t>
      </w:r>
      <w:r w:rsidRPr="00C73287">
        <w:rPr>
          <w:rFonts w:ascii="Arial" w:hAnsi="Arial" w:cs="Arial"/>
          <w:i/>
          <w:iCs/>
          <w:color w:val="000000" w:themeColor="text1"/>
        </w:rPr>
        <w:t>28</w:t>
      </w:r>
      <w:r w:rsidRPr="00C73287">
        <w:rPr>
          <w:rFonts w:ascii="Arial" w:hAnsi="Arial" w:cs="Arial"/>
          <w:color w:val="000000" w:themeColor="text1"/>
        </w:rPr>
        <w:t>(2), 2031-2069.</w:t>
      </w:r>
    </w:p>
    <w:p w14:paraId="5D004A56"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Surendra, M., Naik, J. L., and Reddy, K. S. (2019). A study of tribal development policies in Andhra Pradesh: An overview. </w:t>
      </w:r>
      <w:r w:rsidRPr="00C73287">
        <w:rPr>
          <w:rFonts w:ascii="Arial" w:hAnsi="Arial" w:cs="Arial"/>
          <w:i/>
          <w:iCs/>
          <w:color w:val="000000" w:themeColor="text1"/>
        </w:rPr>
        <w:t>International Journal of Research in Social Sciences</w:t>
      </w:r>
      <w:r w:rsidRPr="00C73287">
        <w:rPr>
          <w:rFonts w:ascii="Arial" w:hAnsi="Arial" w:cs="Arial"/>
          <w:color w:val="000000" w:themeColor="text1"/>
        </w:rPr>
        <w:t>, </w:t>
      </w:r>
      <w:r w:rsidRPr="00C73287">
        <w:rPr>
          <w:rFonts w:ascii="Arial" w:hAnsi="Arial" w:cs="Arial"/>
          <w:i/>
          <w:iCs/>
          <w:color w:val="000000" w:themeColor="text1"/>
        </w:rPr>
        <w:t>9</w:t>
      </w:r>
      <w:r w:rsidRPr="00C73287">
        <w:rPr>
          <w:rFonts w:ascii="Arial" w:hAnsi="Arial" w:cs="Arial"/>
          <w:color w:val="000000" w:themeColor="text1"/>
        </w:rPr>
        <w:t>(10), 67-95.</w:t>
      </w:r>
    </w:p>
    <w:p w14:paraId="4E53276B"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Tamboli, M. A., Tamboli, A. S., and Bankar, N. U. (2024, February). A comprehensive review of tribal welfare schemes in Maharashtra state, India. In </w:t>
      </w:r>
      <w:r w:rsidRPr="00C73287">
        <w:rPr>
          <w:rFonts w:ascii="Arial" w:hAnsi="Arial" w:cs="Arial"/>
          <w:i/>
          <w:iCs/>
          <w:color w:val="000000" w:themeColor="text1"/>
        </w:rPr>
        <w:t>International Conference on Humanity Education and Society (ICHES)</w:t>
      </w:r>
      <w:r w:rsidRPr="00C73287">
        <w:rPr>
          <w:rFonts w:ascii="Arial" w:hAnsi="Arial" w:cs="Arial"/>
          <w:color w:val="000000" w:themeColor="text1"/>
        </w:rPr>
        <w:t> (Vol. 3, No. 1).</w:t>
      </w:r>
    </w:p>
    <w:p w14:paraId="0C6A03C7"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proofErr w:type="spellStart"/>
      <w:r w:rsidRPr="00C73287">
        <w:rPr>
          <w:rFonts w:ascii="Arial" w:hAnsi="Arial" w:cs="Arial"/>
          <w:color w:val="000000" w:themeColor="text1"/>
        </w:rPr>
        <w:t>Thamminaina</w:t>
      </w:r>
      <w:proofErr w:type="spellEnd"/>
      <w:r w:rsidRPr="00C73287">
        <w:rPr>
          <w:rFonts w:ascii="Arial" w:hAnsi="Arial" w:cs="Arial"/>
          <w:color w:val="000000" w:themeColor="text1"/>
        </w:rPr>
        <w:t>, A., Kanungo, P., and Mohanty, S. (2020). Barriers, opportunities, and enablers to educate girls from Particularly Vulnerable Tribal Groups (PVTGs): A systematic review of literature. </w:t>
      </w:r>
      <w:r w:rsidRPr="00C73287">
        <w:rPr>
          <w:rFonts w:ascii="Arial" w:hAnsi="Arial" w:cs="Arial"/>
          <w:i/>
          <w:iCs/>
          <w:color w:val="000000" w:themeColor="text1"/>
        </w:rPr>
        <w:t>Children and Youth Services Review</w:t>
      </w:r>
      <w:r w:rsidRPr="00C73287">
        <w:rPr>
          <w:rFonts w:ascii="Arial" w:hAnsi="Arial" w:cs="Arial"/>
          <w:color w:val="000000" w:themeColor="text1"/>
        </w:rPr>
        <w:t>, </w:t>
      </w:r>
      <w:r w:rsidRPr="00C73287">
        <w:rPr>
          <w:rFonts w:ascii="Arial" w:hAnsi="Arial" w:cs="Arial"/>
          <w:i/>
          <w:iCs/>
          <w:color w:val="000000" w:themeColor="text1"/>
        </w:rPr>
        <w:t>118</w:t>
      </w:r>
      <w:r w:rsidRPr="00C73287">
        <w:rPr>
          <w:rFonts w:ascii="Arial" w:hAnsi="Arial" w:cs="Arial"/>
          <w:color w:val="000000" w:themeColor="text1"/>
        </w:rPr>
        <w:t>, 105350.</w:t>
      </w:r>
    </w:p>
    <w:p w14:paraId="2F4C4DDA" w14:textId="77777777" w:rsidR="00AB2841" w:rsidRPr="00C73287" w:rsidRDefault="00A13DD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Valvi, D. N. (2016). </w:t>
      </w:r>
      <w:r w:rsidRPr="00C73287">
        <w:rPr>
          <w:rFonts w:ascii="Arial" w:hAnsi="Arial" w:cs="Arial"/>
          <w:i/>
          <w:iCs/>
          <w:color w:val="000000" w:themeColor="text1"/>
        </w:rPr>
        <w:t>A Study of the Impact of Welfare Measures on Tribal Development in Nandurbar and Dhule Districts of Maharashtra</w:t>
      </w:r>
      <w:r w:rsidRPr="00C73287">
        <w:rPr>
          <w:rFonts w:ascii="Arial" w:hAnsi="Arial" w:cs="Arial"/>
          <w:color w:val="000000" w:themeColor="text1"/>
        </w:rPr>
        <w:t xml:space="preserve">. Lulu.com. </w:t>
      </w:r>
    </w:p>
    <w:p w14:paraId="3D0749DB" w14:textId="7F3AB5D3" w:rsidR="00A1380E" w:rsidRPr="00C73287" w:rsidRDefault="00A1380E"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lang w:val="en-IN"/>
        </w:rPr>
        <w:t xml:space="preserve">Pooja, B. M., Anandaraja, N., </w:t>
      </w:r>
      <w:proofErr w:type="spellStart"/>
      <w:r w:rsidRPr="00C73287">
        <w:rPr>
          <w:rFonts w:ascii="Arial" w:hAnsi="Arial" w:cs="Arial"/>
          <w:color w:val="000000" w:themeColor="text1"/>
          <w:lang w:val="en-IN"/>
        </w:rPr>
        <w:t>Fernandaz</w:t>
      </w:r>
      <w:proofErr w:type="spellEnd"/>
      <w:r w:rsidRPr="00C73287">
        <w:rPr>
          <w:rFonts w:ascii="Arial" w:hAnsi="Arial" w:cs="Arial"/>
          <w:color w:val="000000" w:themeColor="text1"/>
          <w:lang w:val="en-IN"/>
        </w:rPr>
        <w:t>, C. C., and Balasubramaniam, P. (2024). A Review on Empowering Particularly Vulnerable Tribal Groups in India: Insights and Strategies. </w:t>
      </w:r>
      <w:r w:rsidRPr="00C73287">
        <w:rPr>
          <w:rFonts w:ascii="Arial" w:hAnsi="Arial" w:cs="Arial"/>
          <w:i/>
          <w:iCs/>
          <w:color w:val="000000" w:themeColor="text1"/>
          <w:lang w:val="en-IN"/>
        </w:rPr>
        <w:t>Journal of Scientific Research and Reports</w:t>
      </w:r>
      <w:r w:rsidRPr="00C73287">
        <w:rPr>
          <w:rFonts w:ascii="Arial" w:hAnsi="Arial" w:cs="Arial"/>
          <w:color w:val="000000" w:themeColor="text1"/>
          <w:lang w:val="en-IN"/>
        </w:rPr>
        <w:t>, </w:t>
      </w:r>
      <w:r w:rsidRPr="00C73287">
        <w:rPr>
          <w:rFonts w:ascii="Arial" w:hAnsi="Arial" w:cs="Arial"/>
          <w:i/>
          <w:iCs/>
          <w:color w:val="000000" w:themeColor="text1"/>
          <w:lang w:val="en-IN"/>
        </w:rPr>
        <w:t>30</w:t>
      </w:r>
      <w:r w:rsidRPr="00C73287">
        <w:rPr>
          <w:rFonts w:ascii="Arial" w:hAnsi="Arial" w:cs="Arial"/>
          <w:color w:val="000000" w:themeColor="text1"/>
          <w:lang w:val="en-IN"/>
        </w:rPr>
        <w:t>(8), 892-902.</w:t>
      </w:r>
    </w:p>
    <w:p w14:paraId="27A11A2F" w14:textId="64CF1148" w:rsidR="00AB2841" w:rsidRPr="00C73287" w:rsidRDefault="00016F67"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Government of India (</w:t>
      </w:r>
      <w:proofErr w:type="spellStart"/>
      <w:r w:rsidRPr="00C73287">
        <w:rPr>
          <w:rFonts w:ascii="Arial" w:hAnsi="Arial" w:cs="Arial"/>
          <w:i/>
          <w:iCs/>
          <w:color w:val="000000" w:themeColor="text1"/>
        </w:rPr>
        <w:t>GoI</w:t>
      </w:r>
      <w:proofErr w:type="spellEnd"/>
      <w:r w:rsidRPr="00C73287">
        <w:rPr>
          <w:rFonts w:ascii="Arial" w:hAnsi="Arial" w:cs="Arial"/>
          <w:i/>
          <w:iCs/>
          <w:color w:val="000000" w:themeColor="text1"/>
        </w:rPr>
        <w:t>),</w:t>
      </w:r>
      <w:r w:rsidRPr="00C73287">
        <w:rPr>
          <w:rFonts w:ascii="Arial" w:hAnsi="Arial" w:cs="Arial"/>
          <w:color w:val="000000" w:themeColor="text1"/>
        </w:rPr>
        <w:t xml:space="preserve"> </w:t>
      </w:r>
      <w:proofErr w:type="spellStart"/>
      <w:r w:rsidRPr="00C73287">
        <w:rPr>
          <w:rFonts w:ascii="Arial" w:hAnsi="Arial" w:cs="Arial"/>
          <w:color w:val="000000" w:themeColor="text1"/>
        </w:rPr>
        <w:t>Niti</w:t>
      </w:r>
      <w:proofErr w:type="spellEnd"/>
      <w:r w:rsidRPr="00C73287">
        <w:rPr>
          <w:rFonts w:ascii="Arial" w:hAnsi="Arial" w:cs="Arial"/>
          <w:color w:val="000000" w:themeColor="text1"/>
        </w:rPr>
        <w:t xml:space="preserve"> Aayog, </w:t>
      </w:r>
      <w:r w:rsidR="007A3CE3" w:rsidRPr="00C73287">
        <w:rPr>
          <w:rFonts w:ascii="Arial" w:hAnsi="Arial" w:cs="Arial"/>
          <w:color w:val="000000" w:themeColor="text1"/>
        </w:rPr>
        <w:t xml:space="preserve">Annual Report 2024-25 </w:t>
      </w:r>
    </w:p>
    <w:p w14:paraId="2F9C3488" w14:textId="0D368723" w:rsidR="001E59C8" w:rsidRPr="00C73287" w:rsidRDefault="005C1DA5" w:rsidP="007A248B">
      <w:pPr>
        <w:pStyle w:val="ListParagraph"/>
        <w:numPr>
          <w:ilvl w:val="0"/>
          <w:numId w:val="8"/>
        </w:numPr>
        <w:spacing w:line="360" w:lineRule="auto"/>
        <w:rPr>
          <w:rFonts w:ascii="Arial" w:hAnsi="Arial" w:cs="Arial"/>
          <w:color w:val="000000" w:themeColor="text1"/>
        </w:rPr>
      </w:pPr>
      <w:hyperlink r:id="rId20" w:history="1">
        <w:r w:rsidR="00556B1B" w:rsidRPr="00C73287">
          <w:rPr>
            <w:rStyle w:val="Hyperlink"/>
            <w:rFonts w:ascii="Arial" w:hAnsi="Arial" w:cs="Arial"/>
            <w:color w:val="000000" w:themeColor="text1"/>
          </w:rPr>
          <w:t>https://www.pib.gov.in/PressNoteDetails.aspx?NoteId=153230&amp;ModuleId=3</w:t>
        </w:r>
      </w:hyperlink>
    </w:p>
    <w:p w14:paraId="0491198C" w14:textId="49D810E3" w:rsidR="00556B1B" w:rsidRPr="00C73287" w:rsidRDefault="005C1DA5" w:rsidP="007A248B">
      <w:pPr>
        <w:pStyle w:val="ListParagraph"/>
        <w:numPr>
          <w:ilvl w:val="0"/>
          <w:numId w:val="8"/>
        </w:numPr>
        <w:spacing w:line="360" w:lineRule="auto"/>
        <w:rPr>
          <w:rFonts w:ascii="Arial" w:hAnsi="Arial" w:cs="Arial"/>
          <w:color w:val="000000" w:themeColor="text1"/>
        </w:rPr>
      </w:pPr>
      <w:hyperlink r:id="rId21" w:history="1">
        <w:r w:rsidR="0017556A" w:rsidRPr="00C73287">
          <w:rPr>
            <w:rStyle w:val="Hyperlink"/>
            <w:rFonts w:ascii="Arial" w:hAnsi="Arial" w:cs="Arial"/>
            <w:color w:val="000000" w:themeColor="text1"/>
            <w:lang w:val="en-IN"/>
          </w:rPr>
          <w:t>https://cbps.in/wp-content/uploads/2024/11/Report.</w:t>
        </w:r>
      </w:hyperlink>
    </w:p>
    <w:p w14:paraId="1EB6DC16" w14:textId="77777777" w:rsidR="00016F67" w:rsidRPr="00C73287" w:rsidRDefault="005C1DA5" w:rsidP="007A248B">
      <w:pPr>
        <w:pStyle w:val="ListParagraph"/>
        <w:numPr>
          <w:ilvl w:val="0"/>
          <w:numId w:val="8"/>
        </w:numPr>
        <w:spacing w:line="360" w:lineRule="auto"/>
        <w:rPr>
          <w:rFonts w:ascii="Arial" w:hAnsi="Arial" w:cs="Arial"/>
          <w:color w:val="000000" w:themeColor="text1"/>
        </w:rPr>
      </w:pPr>
      <w:hyperlink r:id="rId22" w:history="1">
        <w:r w:rsidR="00016F67" w:rsidRPr="00C73287">
          <w:rPr>
            <w:rStyle w:val="Hyperlink"/>
            <w:rFonts w:ascii="Arial" w:hAnsi="Arial" w:cs="Arial"/>
            <w:color w:val="000000" w:themeColor="text1"/>
          </w:rPr>
          <w:t>https://censusindia.gov.in/census.website/data/census-tables</w:t>
        </w:r>
      </w:hyperlink>
    </w:p>
    <w:p w14:paraId="36EAB72F" w14:textId="798FA0FE" w:rsidR="007D65CC" w:rsidRPr="00C73287" w:rsidRDefault="005C1DA5" w:rsidP="007A248B">
      <w:pPr>
        <w:pStyle w:val="ListParagraph"/>
        <w:numPr>
          <w:ilvl w:val="0"/>
          <w:numId w:val="8"/>
        </w:numPr>
        <w:spacing w:line="360" w:lineRule="auto"/>
        <w:rPr>
          <w:rFonts w:ascii="Arial" w:hAnsi="Arial" w:cs="Arial"/>
          <w:color w:val="000000" w:themeColor="text1"/>
        </w:rPr>
      </w:pPr>
      <w:hyperlink r:id="rId23" w:history="1">
        <w:r w:rsidR="00016F67" w:rsidRPr="00C73287">
          <w:rPr>
            <w:rStyle w:val="Hyperlink"/>
            <w:rFonts w:ascii="Arial" w:hAnsi="Arial" w:cs="Arial"/>
            <w:color w:val="000000" w:themeColor="text1"/>
          </w:rPr>
          <w:t>https://fellowship.trti-maha.in</w:t>
        </w:r>
      </w:hyperlink>
    </w:p>
    <w:p w14:paraId="48F6E154" w14:textId="422F3AC4" w:rsidR="00016F67" w:rsidRPr="00C73287" w:rsidRDefault="005C1DA5" w:rsidP="007A248B">
      <w:pPr>
        <w:pStyle w:val="ListParagraph"/>
        <w:numPr>
          <w:ilvl w:val="0"/>
          <w:numId w:val="8"/>
        </w:numPr>
        <w:spacing w:line="360" w:lineRule="auto"/>
        <w:rPr>
          <w:rFonts w:ascii="Arial" w:hAnsi="Arial" w:cs="Arial"/>
          <w:color w:val="000000" w:themeColor="text1"/>
        </w:rPr>
      </w:pPr>
      <w:hyperlink r:id="rId24" w:history="1">
        <w:r w:rsidR="00016F67" w:rsidRPr="00C73287">
          <w:rPr>
            <w:rStyle w:val="Hyperlink"/>
            <w:rFonts w:ascii="Arial" w:hAnsi="Arial" w:cs="Arial"/>
            <w:color w:val="000000" w:themeColor="text1"/>
          </w:rPr>
          <w:t>https://cpetp.trti-maha.in</w:t>
        </w:r>
      </w:hyperlink>
    </w:p>
    <w:p w14:paraId="7F41805B" w14:textId="52025462" w:rsidR="0017556A" w:rsidRPr="00C73287" w:rsidRDefault="005C1DA5" w:rsidP="007A248B">
      <w:pPr>
        <w:pStyle w:val="ListParagraph"/>
        <w:numPr>
          <w:ilvl w:val="0"/>
          <w:numId w:val="8"/>
        </w:numPr>
        <w:spacing w:line="360" w:lineRule="auto"/>
        <w:rPr>
          <w:rFonts w:ascii="Arial" w:hAnsi="Arial" w:cs="Arial"/>
          <w:color w:val="000000" w:themeColor="text1"/>
        </w:rPr>
      </w:pPr>
      <w:hyperlink r:id="rId25" w:history="1">
        <w:r w:rsidR="00D0597F" w:rsidRPr="00C73287">
          <w:rPr>
            <w:rStyle w:val="Hyperlink"/>
            <w:rFonts w:ascii="Arial" w:hAnsi="Arial" w:cs="Arial"/>
            <w:color w:val="000000" w:themeColor="text1"/>
          </w:rPr>
          <w:t>https://tribal.nic.in/EMRS.aspx</w:t>
        </w:r>
      </w:hyperlink>
    </w:p>
    <w:p w14:paraId="6AF54F9A" w14:textId="613015BA" w:rsidR="00D0597F" w:rsidRPr="00C73287" w:rsidRDefault="00D0597F" w:rsidP="007A248B">
      <w:pPr>
        <w:pStyle w:val="ListParagraph"/>
        <w:numPr>
          <w:ilvl w:val="0"/>
          <w:numId w:val="8"/>
        </w:numPr>
        <w:spacing w:line="360" w:lineRule="auto"/>
        <w:rPr>
          <w:rFonts w:ascii="Arial" w:hAnsi="Arial" w:cs="Arial"/>
          <w:color w:val="000000" w:themeColor="text1"/>
        </w:rPr>
      </w:pPr>
      <w:r w:rsidRPr="00C73287">
        <w:rPr>
          <w:rFonts w:ascii="Arial" w:hAnsi="Arial" w:cs="Arial"/>
          <w:color w:val="000000" w:themeColor="text1"/>
        </w:rPr>
        <w:t>https://trifed.tribal.gov.in/sites/default/files/2023/01/TRIFED_Annual_Report_2020_21.pdf</w:t>
      </w:r>
    </w:p>
    <w:p w14:paraId="0769FA13" w14:textId="77777777" w:rsidR="007D65CC" w:rsidRPr="00C73287" w:rsidRDefault="007D65CC" w:rsidP="00633A1C">
      <w:pPr>
        <w:spacing w:line="360" w:lineRule="auto"/>
        <w:jc w:val="both"/>
        <w:rPr>
          <w:rFonts w:ascii="Arial" w:hAnsi="Arial" w:cs="Arial"/>
          <w:color w:val="000000" w:themeColor="text1"/>
        </w:rPr>
      </w:pPr>
    </w:p>
    <w:p w14:paraId="71C35620" w14:textId="77777777" w:rsidR="00633A1C" w:rsidRPr="00A13DDF" w:rsidRDefault="00633A1C" w:rsidP="00633A1C">
      <w:pPr>
        <w:pStyle w:val="Default"/>
        <w:spacing w:line="360" w:lineRule="auto"/>
        <w:jc w:val="both"/>
        <w:rPr>
          <w:rFonts w:ascii="Arial" w:hAnsi="Arial" w:cs="Arial"/>
          <w:color w:val="000000" w:themeColor="text1"/>
          <w:sz w:val="22"/>
          <w:szCs w:val="22"/>
        </w:rPr>
      </w:pPr>
    </w:p>
    <w:sectPr w:rsidR="00633A1C" w:rsidRPr="00A13DDF" w:rsidSect="00672B4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920B3" w14:textId="77777777" w:rsidR="005C1DA5" w:rsidRDefault="005C1DA5" w:rsidP="00633A1C">
      <w:pPr>
        <w:spacing w:after="0" w:line="240" w:lineRule="auto"/>
      </w:pPr>
      <w:r>
        <w:separator/>
      </w:r>
    </w:p>
  </w:endnote>
  <w:endnote w:type="continuationSeparator" w:id="0">
    <w:p w14:paraId="1F53EC6E" w14:textId="77777777" w:rsidR="005C1DA5" w:rsidRDefault="005C1DA5" w:rsidP="0063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ont278">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5E05" w14:textId="77777777" w:rsidR="0013067D" w:rsidRDefault="00130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845775"/>
      <w:docPartObj>
        <w:docPartGallery w:val="Page Numbers (Bottom of Page)"/>
        <w:docPartUnique/>
      </w:docPartObj>
    </w:sdtPr>
    <w:sdtEndPr>
      <w:rPr>
        <w:color w:val="7F7F7F" w:themeColor="background1" w:themeShade="7F"/>
        <w:spacing w:val="60"/>
      </w:rPr>
    </w:sdtEndPr>
    <w:sdtContent>
      <w:p w14:paraId="74388541" w14:textId="56994BC5" w:rsidR="00633A1C" w:rsidRDefault="00633A1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C6FA6" w:rsidRPr="002C6FA6">
          <w:rPr>
            <w:b/>
            <w:bCs/>
            <w:noProof/>
          </w:rPr>
          <w:t>20</w:t>
        </w:r>
        <w:r>
          <w:rPr>
            <w:b/>
            <w:bCs/>
            <w:noProof/>
          </w:rPr>
          <w:fldChar w:fldCharType="end"/>
        </w:r>
        <w:r>
          <w:rPr>
            <w:b/>
            <w:bCs/>
          </w:rPr>
          <w:t xml:space="preserve"> | </w:t>
        </w:r>
        <w:r>
          <w:rPr>
            <w:color w:val="7F7F7F" w:themeColor="background1" w:themeShade="7F"/>
            <w:spacing w:val="60"/>
          </w:rPr>
          <w:t>Page</w:t>
        </w:r>
      </w:p>
    </w:sdtContent>
  </w:sdt>
  <w:p w14:paraId="411AE0A2" w14:textId="77777777" w:rsidR="00633A1C" w:rsidRDefault="00633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A798" w14:textId="77777777" w:rsidR="0013067D" w:rsidRDefault="00130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659DD" w14:textId="77777777" w:rsidR="005C1DA5" w:rsidRDefault="005C1DA5" w:rsidP="00633A1C">
      <w:pPr>
        <w:spacing w:after="0" w:line="240" w:lineRule="auto"/>
      </w:pPr>
      <w:r>
        <w:separator/>
      </w:r>
    </w:p>
  </w:footnote>
  <w:footnote w:type="continuationSeparator" w:id="0">
    <w:p w14:paraId="23E5F1A5" w14:textId="77777777" w:rsidR="005C1DA5" w:rsidRDefault="005C1DA5" w:rsidP="0063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0149" w14:textId="7F2EC65C" w:rsidR="0013067D" w:rsidRDefault="005C1DA5">
    <w:pPr>
      <w:pStyle w:val="Header"/>
    </w:pPr>
    <w:r>
      <w:rPr>
        <w:noProof/>
      </w:rPr>
      <w:pict w14:anchorId="31F78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23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88FF" w14:textId="34523AFE" w:rsidR="0013067D" w:rsidRDefault="005C1DA5">
    <w:pPr>
      <w:pStyle w:val="Header"/>
    </w:pPr>
    <w:r>
      <w:rPr>
        <w:noProof/>
      </w:rPr>
      <w:pict w14:anchorId="30C5E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23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C31F" w14:textId="1BA45F7F" w:rsidR="0013067D" w:rsidRDefault="005C1DA5">
    <w:pPr>
      <w:pStyle w:val="Header"/>
    </w:pPr>
    <w:r>
      <w:rPr>
        <w:noProof/>
      </w:rPr>
      <w:pict w14:anchorId="08A42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23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45F"/>
    <w:multiLevelType w:val="hybridMultilevel"/>
    <w:tmpl w:val="5C06C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20358"/>
    <w:multiLevelType w:val="hybridMultilevel"/>
    <w:tmpl w:val="82B86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546753"/>
    <w:multiLevelType w:val="hybridMultilevel"/>
    <w:tmpl w:val="82B86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7B3862"/>
    <w:multiLevelType w:val="hybridMultilevel"/>
    <w:tmpl w:val="82B86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803AD"/>
    <w:multiLevelType w:val="hybridMultilevel"/>
    <w:tmpl w:val="07362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94F9B"/>
    <w:multiLevelType w:val="hybridMultilevel"/>
    <w:tmpl w:val="0E5E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A10C2"/>
    <w:multiLevelType w:val="hybridMultilevel"/>
    <w:tmpl w:val="82B86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493A9A"/>
    <w:multiLevelType w:val="hybridMultilevel"/>
    <w:tmpl w:val="82B86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1F77B2"/>
    <w:multiLevelType w:val="hybridMultilevel"/>
    <w:tmpl w:val="3B36F948"/>
    <w:lvl w:ilvl="0" w:tplc="5B4AC32E">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95922"/>
    <w:multiLevelType w:val="hybridMultilevel"/>
    <w:tmpl w:val="82B86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0"/>
  </w:num>
  <w:num w:numId="5">
    <w:abstractNumId w:val="3"/>
  </w:num>
  <w:num w:numId="6">
    <w:abstractNumId w:val="7"/>
  </w:num>
  <w:num w:numId="7">
    <w:abstractNumId w:val="9"/>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B5"/>
    <w:rsid w:val="00016F67"/>
    <w:rsid w:val="0002093D"/>
    <w:rsid w:val="000576A8"/>
    <w:rsid w:val="000709EF"/>
    <w:rsid w:val="000834CA"/>
    <w:rsid w:val="000855A2"/>
    <w:rsid w:val="000967EC"/>
    <w:rsid w:val="000B3C1B"/>
    <w:rsid w:val="000C38F5"/>
    <w:rsid w:val="000C3F3B"/>
    <w:rsid w:val="000E569E"/>
    <w:rsid w:val="000F0414"/>
    <w:rsid w:val="001010BB"/>
    <w:rsid w:val="0010400F"/>
    <w:rsid w:val="0013067D"/>
    <w:rsid w:val="001748A0"/>
    <w:rsid w:val="0017556A"/>
    <w:rsid w:val="00175BE5"/>
    <w:rsid w:val="0018103E"/>
    <w:rsid w:val="001846E4"/>
    <w:rsid w:val="001C01D1"/>
    <w:rsid w:val="001C20C1"/>
    <w:rsid w:val="001D0AD0"/>
    <w:rsid w:val="001E28FD"/>
    <w:rsid w:val="001E59C8"/>
    <w:rsid w:val="001E62AC"/>
    <w:rsid w:val="001F74EE"/>
    <w:rsid w:val="002075B3"/>
    <w:rsid w:val="00223529"/>
    <w:rsid w:val="00256ABD"/>
    <w:rsid w:val="00270F4A"/>
    <w:rsid w:val="00282006"/>
    <w:rsid w:val="002858A2"/>
    <w:rsid w:val="00294E3F"/>
    <w:rsid w:val="002A0C28"/>
    <w:rsid w:val="002B321C"/>
    <w:rsid w:val="002C4B0A"/>
    <w:rsid w:val="002C6FA6"/>
    <w:rsid w:val="002E349C"/>
    <w:rsid w:val="00305246"/>
    <w:rsid w:val="003113B8"/>
    <w:rsid w:val="00312D1D"/>
    <w:rsid w:val="00316C5F"/>
    <w:rsid w:val="003527E8"/>
    <w:rsid w:val="00380E26"/>
    <w:rsid w:val="0039015F"/>
    <w:rsid w:val="003A0732"/>
    <w:rsid w:val="003C4448"/>
    <w:rsid w:val="003F1D05"/>
    <w:rsid w:val="003F22CC"/>
    <w:rsid w:val="00426049"/>
    <w:rsid w:val="00446AF3"/>
    <w:rsid w:val="00467556"/>
    <w:rsid w:val="004801DF"/>
    <w:rsid w:val="004865AE"/>
    <w:rsid w:val="004A1F60"/>
    <w:rsid w:val="004A750B"/>
    <w:rsid w:val="004D0AF4"/>
    <w:rsid w:val="004D61C1"/>
    <w:rsid w:val="00523560"/>
    <w:rsid w:val="00531237"/>
    <w:rsid w:val="00533A53"/>
    <w:rsid w:val="00533B07"/>
    <w:rsid w:val="005442B6"/>
    <w:rsid w:val="0055547F"/>
    <w:rsid w:val="00556B1B"/>
    <w:rsid w:val="00560BA4"/>
    <w:rsid w:val="005710B3"/>
    <w:rsid w:val="00574E50"/>
    <w:rsid w:val="005774E5"/>
    <w:rsid w:val="00581681"/>
    <w:rsid w:val="0059178D"/>
    <w:rsid w:val="005C1DA5"/>
    <w:rsid w:val="005D1CD7"/>
    <w:rsid w:val="005D7AD3"/>
    <w:rsid w:val="00604D48"/>
    <w:rsid w:val="0060659C"/>
    <w:rsid w:val="00622A8C"/>
    <w:rsid w:val="00633A1C"/>
    <w:rsid w:val="00644C78"/>
    <w:rsid w:val="00653B65"/>
    <w:rsid w:val="00670161"/>
    <w:rsid w:val="0067062C"/>
    <w:rsid w:val="00672B46"/>
    <w:rsid w:val="006B157D"/>
    <w:rsid w:val="006D52EC"/>
    <w:rsid w:val="006E274D"/>
    <w:rsid w:val="006E70B0"/>
    <w:rsid w:val="006F6A76"/>
    <w:rsid w:val="00743F04"/>
    <w:rsid w:val="0077127B"/>
    <w:rsid w:val="007731B8"/>
    <w:rsid w:val="00784631"/>
    <w:rsid w:val="00790C2D"/>
    <w:rsid w:val="007A248B"/>
    <w:rsid w:val="007A3CE3"/>
    <w:rsid w:val="007C3169"/>
    <w:rsid w:val="007D65CC"/>
    <w:rsid w:val="007F0AEA"/>
    <w:rsid w:val="0080797E"/>
    <w:rsid w:val="00854607"/>
    <w:rsid w:val="00891DA8"/>
    <w:rsid w:val="0089386B"/>
    <w:rsid w:val="008B126F"/>
    <w:rsid w:val="008B1DB5"/>
    <w:rsid w:val="008B7B11"/>
    <w:rsid w:val="008C4747"/>
    <w:rsid w:val="008E37D4"/>
    <w:rsid w:val="008E736A"/>
    <w:rsid w:val="00907049"/>
    <w:rsid w:val="00907131"/>
    <w:rsid w:val="0094770F"/>
    <w:rsid w:val="0095027B"/>
    <w:rsid w:val="00963AEC"/>
    <w:rsid w:val="009817B7"/>
    <w:rsid w:val="009938B2"/>
    <w:rsid w:val="009A69A4"/>
    <w:rsid w:val="009B217A"/>
    <w:rsid w:val="00A1380E"/>
    <w:rsid w:val="00A13DDF"/>
    <w:rsid w:val="00A52AD9"/>
    <w:rsid w:val="00A627A7"/>
    <w:rsid w:val="00A66836"/>
    <w:rsid w:val="00A964E9"/>
    <w:rsid w:val="00AA55B7"/>
    <w:rsid w:val="00AA6D2A"/>
    <w:rsid w:val="00AB2841"/>
    <w:rsid w:val="00AC0694"/>
    <w:rsid w:val="00AC2C4A"/>
    <w:rsid w:val="00AD5AA9"/>
    <w:rsid w:val="00B24F93"/>
    <w:rsid w:val="00B40BE1"/>
    <w:rsid w:val="00B5507F"/>
    <w:rsid w:val="00B5537E"/>
    <w:rsid w:val="00B65AD8"/>
    <w:rsid w:val="00BB1140"/>
    <w:rsid w:val="00BD7C4F"/>
    <w:rsid w:val="00C17C7D"/>
    <w:rsid w:val="00C32CB0"/>
    <w:rsid w:val="00C512D0"/>
    <w:rsid w:val="00C532BC"/>
    <w:rsid w:val="00C73287"/>
    <w:rsid w:val="00C77D1C"/>
    <w:rsid w:val="00CA2273"/>
    <w:rsid w:val="00CA6A89"/>
    <w:rsid w:val="00CB7A4B"/>
    <w:rsid w:val="00CC5896"/>
    <w:rsid w:val="00CC7015"/>
    <w:rsid w:val="00CD5005"/>
    <w:rsid w:val="00CE57F1"/>
    <w:rsid w:val="00D0597F"/>
    <w:rsid w:val="00D3311A"/>
    <w:rsid w:val="00D40F82"/>
    <w:rsid w:val="00D5407F"/>
    <w:rsid w:val="00D551F4"/>
    <w:rsid w:val="00D6393F"/>
    <w:rsid w:val="00D65579"/>
    <w:rsid w:val="00D703A2"/>
    <w:rsid w:val="00D721C9"/>
    <w:rsid w:val="00D777B3"/>
    <w:rsid w:val="00D8289B"/>
    <w:rsid w:val="00DA5E56"/>
    <w:rsid w:val="00DF4AFB"/>
    <w:rsid w:val="00E20901"/>
    <w:rsid w:val="00E22F58"/>
    <w:rsid w:val="00E50DAD"/>
    <w:rsid w:val="00E64458"/>
    <w:rsid w:val="00E71778"/>
    <w:rsid w:val="00E82470"/>
    <w:rsid w:val="00E860EC"/>
    <w:rsid w:val="00E9345C"/>
    <w:rsid w:val="00EC467A"/>
    <w:rsid w:val="00EC4B56"/>
    <w:rsid w:val="00EC5563"/>
    <w:rsid w:val="00EC6A8E"/>
    <w:rsid w:val="00EE590E"/>
    <w:rsid w:val="00F1246B"/>
    <w:rsid w:val="00F27264"/>
    <w:rsid w:val="00F3577E"/>
    <w:rsid w:val="00F37F85"/>
    <w:rsid w:val="00F70528"/>
    <w:rsid w:val="00F76AD3"/>
    <w:rsid w:val="00F91FF7"/>
    <w:rsid w:val="00FA437D"/>
    <w:rsid w:val="00FB2DF3"/>
    <w:rsid w:val="00FE541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6656D3"/>
  <w15:chartTrackingRefBased/>
  <w15:docId w15:val="{C2D16BFA-3109-4DD9-8580-066D6656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B46"/>
    <w:pPr>
      <w:spacing w:after="200" w:line="276" w:lineRule="auto"/>
      <w:jc w:val="left"/>
    </w:pPr>
    <w:rPr>
      <w:kern w:val="0"/>
      <w:lang w:val="en-IN"/>
      <w14:ligatures w14:val="none"/>
    </w:rPr>
  </w:style>
  <w:style w:type="paragraph" w:styleId="Heading1">
    <w:name w:val="heading 1"/>
    <w:basedOn w:val="Normal"/>
    <w:next w:val="Normal"/>
    <w:link w:val="Heading1Char"/>
    <w:uiPriority w:val="9"/>
    <w:qFormat/>
    <w:rsid w:val="008B1DB5"/>
    <w:pPr>
      <w:keepNext/>
      <w:keepLines/>
      <w:spacing w:before="360" w:after="80" w:line="240" w:lineRule="auto"/>
      <w:jc w:val="both"/>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B1DB5"/>
    <w:pPr>
      <w:keepNext/>
      <w:keepLines/>
      <w:spacing w:before="160" w:after="80" w:line="240" w:lineRule="auto"/>
      <w:jc w:val="both"/>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B1DB5"/>
    <w:pPr>
      <w:keepNext/>
      <w:keepLines/>
      <w:spacing w:before="160" w:after="80" w:line="240" w:lineRule="auto"/>
      <w:jc w:val="both"/>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B1DB5"/>
    <w:pPr>
      <w:keepNext/>
      <w:keepLines/>
      <w:spacing w:before="80" w:after="40" w:line="240" w:lineRule="auto"/>
      <w:jc w:val="both"/>
      <w:outlineLvl w:val="3"/>
    </w:pPr>
    <w:rPr>
      <w:rFonts w:eastAsiaTheme="majorEastAsia"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8B1DB5"/>
    <w:pPr>
      <w:keepNext/>
      <w:keepLines/>
      <w:spacing w:before="80" w:after="40" w:line="240" w:lineRule="auto"/>
      <w:jc w:val="both"/>
      <w:outlineLvl w:val="4"/>
    </w:pPr>
    <w:rPr>
      <w:rFonts w:eastAsiaTheme="majorEastAsia"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B1DB5"/>
    <w:pPr>
      <w:keepNext/>
      <w:keepLines/>
      <w:spacing w:before="40" w:after="0" w:line="240" w:lineRule="auto"/>
      <w:jc w:val="both"/>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8B1DB5"/>
    <w:pPr>
      <w:keepNext/>
      <w:keepLines/>
      <w:spacing w:before="40" w:after="0" w:line="240" w:lineRule="auto"/>
      <w:jc w:val="both"/>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8B1DB5"/>
    <w:pPr>
      <w:keepNext/>
      <w:keepLines/>
      <w:spacing w:after="0" w:line="240" w:lineRule="auto"/>
      <w:jc w:val="both"/>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8B1DB5"/>
    <w:pPr>
      <w:keepNext/>
      <w:keepLines/>
      <w:spacing w:after="0" w:line="240" w:lineRule="auto"/>
      <w:jc w:val="both"/>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D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D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D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D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B5"/>
    <w:rPr>
      <w:rFonts w:eastAsiaTheme="majorEastAsia" w:cstheme="majorBidi"/>
      <w:color w:val="272727" w:themeColor="text1" w:themeTint="D8"/>
    </w:rPr>
  </w:style>
  <w:style w:type="paragraph" w:styleId="Title">
    <w:name w:val="Title"/>
    <w:basedOn w:val="Normal"/>
    <w:next w:val="Normal"/>
    <w:link w:val="TitleChar"/>
    <w:uiPriority w:val="10"/>
    <w:qFormat/>
    <w:rsid w:val="008B1DB5"/>
    <w:pPr>
      <w:spacing w:after="80" w:line="240" w:lineRule="auto"/>
      <w:contextualSpacing/>
      <w:jc w:val="both"/>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B1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B5"/>
    <w:pPr>
      <w:numPr>
        <w:ilvl w:val="1"/>
      </w:numPr>
      <w:spacing w:after="160" w:line="240" w:lineRule="auto"/>
      <w:jc w:val="both"/>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B1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B5"/>
    <w:pPr>
      <w:spacing w:before="160" w:after="160" w:line="240"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8B1DB5"/>
    <w:rPr>
      <w:i/>
      <w:iCs/>
      <w:color w:val="404040" w:themeColor="text1" w:themeTint="BF"/>
    </w:rPr>
  </w:style>
  <w:style w:type="paragraph" w:styleId="ListParagraph">
    <w:name w:val="List Paragraph"/>
    <w:basedOn w:val="Normal"/>
    <w:uiPriority w:val="34"/>
    <w:qFormat/>
    <w:rsid w:val="008B1DB5"/>
    <w:pPr>
      <w:spacing w:after="0" w:line="240" w:lineRule="auto"/>
      <w:ind w:left="720"/>
      <w:contextualSpacing/>
      <w:jc w:val="both"/>
    </w:pPr>
    <w:rPr>
      <w:kern w:val="2"/>
      <w:lang w:val="en-US"/>
      <w14:ligatures w14:val="standardContextual"/>
    </w:rPr>
  </w:style>
  <w:style w:type="character" w:styleId="IntenseEmphasis">
    <w:name w:val="Intense Emphasis"/>
    <w:basedOn w:val="DefaultParagraphFont"/>
    <w:uiPriority w:val="21"/>
    <w:qFormat/>
    <w:rsid w:val="008B1DB5"/>
    <w:rPr>
      <w:i/>
      <w:iCs/>
      <w:color w:val="2F5496" w:themeColor="accent1" w:themeShade="BF"/>
    </w:rPr>
  </w:style>
  <w:style w:type="paragraph" w:styleId="IntenseQuote">
    <w:name w:val="Intense Quote"/>
    <w:basedOn w:val="Normal"/>
    <w:next w:val="Normal"/>
    <w:link w:val="IntenseQuoteChar"/>
    <w:uiPriority w:val="30"/>
    <w:qFormat/>
    <w:rsid w:val="008B1DB5"/>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8B1DB5"/>
    <w:rPr>
      <w:i/>
      <w:iCs/>
      <w:color w:val="2F5496" w:themeColor="accent1" w:themeShade="BF"/>
    </w:rPr>
  </w:style>
  <w:style w:type="character" w:styleId="IntenseReference">
    <w:name w:val="Intense Reference"/>
    <w:basedOn w:val="DefaultParagraphFont"/>
    <w:uiPriority w:val="32"/>
    <w:qFormat/>
    <w:rsid w:val="008B1DB5"/>
    <w:rPr>
      <w:b/>
      <w:bCs/>
      <w:smallCaps/>
      <w:color w:val="2F5496" w:themeColor="accent1" w:themeShade="BF"/>
      <w:spacing w:val="5"/>
    </w:rPr>
  </w:style>
  <w:style w:type="paragraph" w:styleId="NoSpacing">
    <w:name w:val="No Spacing"/>
    <w:uiPriority w:val="1"/>
    <w:qFormat/>
    <w:rsid w:val="00672B46"/>
    <w:pPr>
      <w:suppressAutoHyphens/>
      <w:jc w:val="left"/>
    </w:pPr>
    <w:rPr>
      <w:rFonts w:ascii="Calibri" w:eastAsia="Calibri" w:hAnsi="Calibri" w:cs="font278"/>
      <w:kern w:val="1"/>
      <w14:ligatures w14:val="none"/>
    </w:rPr>
  </w:style>
  <w:style w:type="paragraph" w:customStyle="1" w:styleId="Default">
    <w:name w:val="Default"/>
    <w:rsid w:val="00672B46"/>
    <w:pPr>
      <w:autoSpaceDE w:val="0"/>
      <w:autoSpaceDN w:val="0"/>
      <w:adjustRightInd w:val="0"/>
      <w:jc w:val="left"/>
    </w:pPr>
    <w:rPr>
      <w:rFonts w:ascii="Times New Roman" w:hAnsi="Times New Roman" w:cs="Times New Roman"/>
      <w:color w:val="000000"/>
      <w:kern w:val="0"/>
      <w:sz w:val="24"/>
      <w:szCs w:val="24"/>
      <w:lang w:val="en-IN"/>
      <w14:ligatures w14:val="none"/>
    </w:rPr>
  </w:style>
  <w:style w:type="table" w:styleId="TableGridLight">
    <w:name w:val="Grid Table Light"/>
    <w:basedOn w:val="TableNormal"/>
    <w:uiPriority w:val="40"/>
    <w:rsid w:val="00633A1C"/>
    <w:pPr>
      <w:jc w:val="left"/>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3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3A1C"/>
    <w:rPr>
      <w:i/>
      <w:iCs/>
    </w:rPr>
  </w:style>
  <w:style w:type="paragraph" w:styleId="Header">
    <w:name w:val="header"/>
    <w:basedOn w:val="Normal"/>
    <w:link w:val="HeaderChar"/>
    <w:uiPriority w:val="99"/>
    <w:unhideWhenUsed/>
    <w:rsid w:val="00633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A1C"/>
    <w:rPr>
      <w:kern w:val="0"/>
      <w:lang w:val="en-IN"/>
      <w14:ligatures w14:val="none"/>
    </w:rPr>
  </w:style>
  <w:style w:type="paragraph" w:styleId="Footer">
    <w:name w:val="footer"/>
    <w:basedOn w:val="Normal"/>
    <w:link w:val="FooterChar"/>
    <w:uiPriority w:val="99"/>
    <w:unhideWhenUsed/>
    <w:rsid w:val="00633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A1C"/>
    <w:rPr>
      <w:kern w:val="0"/>
      <w:lang w:val="en-IN"/>
      <w14:ligatures w14:val="none"/>
    </w:rPr>
  </w:style>
  <w:style w:type="character" w:styleId="Hyperlink">
    <w:name w:val="Hyperlink"/>
    <w:basedOn w:val="DefaultParagraphFont"/>
    <w:uiPriority w:val="99"/>
    <w:unhideWhenUsed/>
    <w:rsid w:val="003113B8"/>
    <w:rPr>
      <w:color w:val="0563C1" w:themeColor="hyperlink"/>
      <w:u w:val="single"/>
    </w:rPr>
  </w:style>
  <w:style w:type="character" w:customStyle="1" w:styleId="UnresolvedMention1">
    <w:name w:val="Unresolved Mention1"/>
    <w:basedOn w:val="DefaultParagraphFont"/>
    <w:uiPriority w:val="99"/>
    <w:semiHidden/>
    <w:unhideWhenUsed/>
    <w:rsid w:val="003113B8"/>
    <w:rPr>
      <w:color w:val="605E5C"/>
      <w:shd w:val="clear" w:color="auto" w:fill="E1DFDD"/>
    </w:rPr>
  </w:style>
  <w:style w:type="character" w:styleId="UnresolvedMention">
    <w:name w:val="Unresolved Mention"/>
    <w:basedOn w:val="DefaultParagraphFont"/>
    <w:uiPriority w:val="99"/>
    <w:semiHidden/>
    <w:unhideWhenUsed/>
    <w:rsid w:val="00AB2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796">
      <w:bodyDiv w:val="1"/>
      <w:marLeft w:val="0"/>
      <w:marRight w:val="0"/>
      <w:marTop w:val="0"/>
      <w:marBottom w:val="0"/>
      <w:divBdr>
        <w:top w:val="none" w:sz="0" w:space="0" w:color="auto"/>
        <w:left w:val="none" w:sz="0" w:space="0" w:color="auto"/>
        <w:bottom w:val="none" w:sz="0" w:space="0" w:color="auto"/>
        <w:right w:val="none" w:sz="0" w:space="0" w:color="auto"/>
      </w:divBdr>
    </w:div>
    <w:div w:id="11878814">
      <w:bodyDiv w:val="1"/>
      <w:marLeft w:val="0"/>
      <w:marRight w:val="0"/>
      <w:marTop w:val="0"/>
      <w:marBottom w:val="0"/>
      <w:divBdr>
        <w:top w:val="none" w:sz="0" w:space="0" w:color="auto"/>
        <w:left w:val="none" w:sz="0" w:space="0" w:color="auto"/>
        <w:bottom w:val="none" w:sz="0" w:space="0" w:color="auto"/>
        <w:right w:val="none" w:sz="0" w:space="0" w:color="auto"/>
      </w:divBdr>
    </w:div>
    <w:div w:id="32774460">
      <w:bodyDiv w:val="1"/>
      <w:marLeft w:val="0"/>
      <w:marRight w:val="0"/>
      <w:marTop w:val="0"/>
      <w:marBottom w:val="0"/>
      <w:divBdr>
        <w:top w:val="none" w:sz="0" w:space="0" w:color="auto"/>
        <w:left w:val="none" w:sz="0" w:space="0" w:color="auto"/>
        <w:bottom w:val="none" w:sz="0" w:space="0" w:color="auto"/>
        <w:right w:val="none" w:sz="0" w:space="0" w:color="auto"/>
      </w:divBdr>
    </w:div>
    <w:div w:id="83187795">
      <w:bodyDiv w:val="1"/>
      <w:marLeft w:val="0"/>
      <w:marRight w:val="0"/>
      <w:marTop w:val="0"/>
      <w:marBottom w:val="0"/>
      <w:divBdr>
        <w:top w:val="none" w:sz="0" w:space="0" w:color="auto"/>
        <w:left w:val="none" w:sz="0" w:space="0" w:color="auto"/>
        <w:bottom w:val="none" w:sz="0" w:space="0" w:color="auto"/>
        <w:right w:val="none" w:sz="0" w:space="0" w:color="auto"/>
      </w:divBdr>
    </w:div>
    <w:div w:id="94636579">
      <w:bodyDiv w:val="1"/>
      <w:marLeft w:val="0"/>
      <w:marRight w:val="0"/>
      <w:marTop w:val="0"/>
      <w:marBottom w:val="0"/>
      <w:divBdr>
        <w:top w:val="none" w:sz="0" w:space="0" w:color="auto"/>
        <w:left w:val="none" w:sz="0" w:space="0" w:color="auto"/>
        <w:bottom w:val="none" w:sz="0" w:space="0" w:color="auto"/>
        <w:right w:val="none" w:sz="0" w:space="0" w:color="auto"/>
      </w:divBdr>
    </w:div>
    <w:div w:id="102194094">
      <w:bodyDiv w:val="1"/>
      <w:marLeft w:val="0"/>
      <w:marRight w:val="0"/>
      <w:marTop w:val="0"/>
      <w:marBottom w:val="0"/>
      <w:divBdr>
        <w:top w:val="none" w:sz="0" w:space="0" w:color="auto"/>
        <w:left w:val="none" w:sz="0" w:space="0" w:color="auto"/>
        <w:bottom w:val="none" w:sz="0" w:space="0" w:color="auto"/>
        <w:right w:val="none" w:sz="0" w:space="0" w:color="auto"/>
      </w:divBdr>
    </w:div>
    <w:div w:id="116265823">
      <w:bodyDiv w:val="1"/>
      <w:marLeft w:val="0"/>
      <w:marRight w:val="0"/>
      <w:marTop w:val="0"/>
      <w:marBottom w:val="0"/>
      <w:divBdr>
        <w:top w:val="none" w:sz="0" w:space="0" w:color="auto"/>
        <w:left w:val="none" w:sz="0" w:space="0" w:color="auto"/>
        <w:bottom w:val="none" w:sz="0" w:space="0" w:color="auto"/>
        <w:right w:val="none" w:sz="0" w:space="0" w:color="auto"/>
      </w:divBdr>
    </w:div>
    <w:div w:id="122043409">
      <w:bodyDiv w:val="1"/>
      <w:marLeft w:val="0"/>
      <w:marRight w:val="0"/>
      <w:marTop w:val="0"/>
      <w:marBottom w:val="0"/>
      <w:divBdr>
        <w:top w:val="none" w:sz="0" w:space="0" w:color="auto"/>
        <w:left w:val="none" w:sz="0" w:space="0" w:color="auto"/>
        <w:bottom w:val="none" w:sz="0" w:space="0" w:color="auto"/>
        <w:right w:val="none" w:sz="0" w:space="0" w:color="auto"/>
      </w:divBdr>
    </w:div>
    <w:div w:id="135808050">
      <w:bodyDiv w:val="1"/>
      <w:marLeft w:val="0"/>
      <w:marRight w:val="0"/>
      <w:marTop w:val="0"/>
      <w:marBottom w:val="0"/>
      <w:divBdr>
        <w:top w:val="none" w:sz="0" w:space="0" w:color="auto"/>
        <w:left w:val="none" w:sz="0" w:space="0" w:color="auto"/>
        <w:bottom w:val="none" w:sz="0" w:space="0" w:color="auto"/>
        <w:right w:val="none" w:sz="0" w:space="0" w:color="auto"/>
      </w:divBdr>
    </w:div>
    <w:div w:id="137575146">
      <w:bodyDiv w:val="1"/>
      <w:marLeft w:val="0"/>
      <w:marRight w:val="0"/>
      <w:marTop w:val="0"/>
      <w:marBottom w:val="0"/>
      <w:divBdr>
        <w:top w:val="none" w:sz="0" w:space="0" w:color="auto"/>
        <w:left w:val="none" w:sz="0" w:space="0" w:color="auto"/>
        <w:bottom w:val="none" w:sz="0" w:space="0" w:color="auto"/>
        <w:right w:val="none" w:sz="0" w:space="0" w:color="auto"/>
      </w:divBdr>
    </w:div>
    <w:div w:id="140772254">
      <w:bodyDiv w:val="1"/>
      <w:marLeft w:val="0"/>
      <w:marRight w:val="0"/>
      <w:marTop w:val="0"/>
      <w:marBottom w:val="0"/>
      <w:divBdr>
        <w:top w:val="none" w:sz="0" w:space="0" w:color="auto"/>
        <w:left w:val="none" w:sz="0" w:space="0" w:color="auto"/>
        <w:bottom w:val="none" w:sz="0" w:space="0" w:color="auto"/>
        <w:right w:val="none" w:sz="0" w:space="0" w:color="auto"/>
      </w:divBdr>
    </w:div>
    <w:div w:id="145826435">
      <w:bodyDiv w:val="1"/>
      <w:marLeft w:val="0"/>
      <w:marRight w:val="0"/>
      <w:marTop w:val="0"/>
      <w:marBottom w:val="0"/>
      <w:divBdr>
        <w:top w:val="none" w:sz="0" w:space="0" w:color="auto"/>
        <w:left w:val="none" w:sz="0" w:space="0" w:color="auto"/>
        <w:bottom w:val="none" w:sz="0" w:space="0" w:color="auto"/>
        <w:right w:val="none" w:sz="0" w:space="0" w:color="auto"/>
      </w:divBdr>
    </w:div>
    <w:div w:id="155850835">
      <w:bodyDiv w:val="1"/>
      <w:marLeft w:val="0"/>
      <w:marRight w:val="0"/>
      <w:marTop w:val="0"/>
      <w:marBottom w:val="0"/>
      <w:divBdr>
        <w:top w:val="none" w:sz="0" w:space="0" w:color="auto"/>
        <w:left w:val="none" w:sz="0" w:space="0" w:color="auto"/>
        <w:bottom w:val="none" w:sz="0" w:space="0" w:color="auto"/>
        <w:right w:val="none" w:sz="0" w:space="0" w:color="auto"/>
      </w:divBdr>
    </w:div>
    <w:div w:id="191840686">
      <w:bodyDiv w:val="1"/>
      <w:marLeft w:val="0"/>
      <w:marRight w:val="0"/>
      <w:marTop w:val="0"/>
      <w:marBottom w:val="0"/>
      <w:divBdr>
        <w:top w:val="none" w:sz="0" w:space="0" w:color="auto"/>
        <w:left w:val="none" w:sz="0" w:space="0" w:color="auto"/>
        <w:bottom w:val="none" w:sz="0" w:space="0" w:color="auto"/>
        <w:right w:val="none" w:sz="0" w:space="0" w:color="auto"/>
      </w:divBdr>
    </w:div>
    <w:div w:id="272826932">
      <w:bodyDiv w:val="1"/>
      <w:marLeft w:val="0"/>
      <w:marRight w:val="0"/>
      <w:marTop w:val="0"/>
      <w:marBottom w:val="0"/>
      <w:divBdr>
        <w:top w:val="none" w:sz="0" w:space="0" w:color="auto"/>
        <w:left w:val="none" w:sz="0" w:space="0" w:color="auto"/>
        <w:bottom w:val="none" w:sz="0" w:space="0" w:color="auto"/>
        <w:right w:val="none" w:sz="0" w:space="0" w:color="auto"/>
      </w:divBdr>
    </w:div>
    <w:div w:id="276373165">
      <w:bodyDiv w:val="1"/>
      <w:marLeft w:val="0"/>
      <w:marRight w:val="0"/>
      <w:marTop w:val="0"/>
      <w:marBottom w:val="0"/>
      <w:divBdr>
        <w:top w:val="none" w:sz="0" w:space="0" w:color="auto"/>
        <w:left w:val="none" w:sz="0" w:space="0" w:color="auto"/>
        <w:bottom w:val="none" w:sz="0" w:space="0" w:color="auto"/>
        <w:right w:val="none" w:sz="0" w:space="0" w:color="auto"/>
      </w:divBdr>
    </w:div>
    <w:div w:id="304093138">
      <w:bodyDiv w:val="1"/>
      <w:marLeft w:val="0"/>
      <w:marRight w:val="0"/>
      <w:marTop w:val="0"/>
      <w:marBottom w:val="0"/>
      <w:divBdr>
        <w:top w:val="none" w:sz="0" w:space="0" w:color="auto"/>
        <w:left w:val="none" w:sz="0" w:space="0" w:color="auto"/>
        <w:bottom w:val="none" w:sz="0" w:space="0" w:color="auto"/>
        <w:right w:val="none" w:sz="0" w:space="0" w:color="auto"/>
      </w:divBdr>
    </w:div>
    <w:div w:id="322512214">
      <w:bodyDiv w:val="1"/>
      <w:marLeft w:val="0"/>
      <w:marRight w:val="0"/>
      <w:marTop w:val="0"/>
      <w:marBottom w:val="0"/>
      <w:divBdr>
        <w:top w:val="none" w:sz="0" w:space="0" w:color="auto"/>
        <w:left w:val="none" w:sz="0" w:space="0" w:color="auto"/>
        <w:bottom w:val="none" w:sz="0" w:space="0" w:color="auto"/>
        <w:right w:val="none" w:sz="0" w:space="0" w:color="auto"/>
      </w:divBdr>
    </w:div>
    <w:div w:id="335502472">
      <w:bodyDiv w:val="1"/>
      <w:marLeft w:val="0"/>
      <w:marRight w:val="0"/>
      <w:marTop w:val="0"/>
      <w:marBottom w:val="0"/>
      <w:divBdr>
        <w:top w:val="none" w:sz="0" w:space="0" w:color="auto"/>
        <w:left w:val="none" w:sz="0" w:space="0" w:color="auto"/>
        <w:bottom w:val="none" w:sz="0" w:space="0" w:color="auto"/>
        <w:right w:val="none" w:sz="0" w:space="0" w:color="auto"/>
      </w:divBdr>
    </w:div>
    <w:div w:id="349113170">
      <w:bodyDiv w:val="1"/>
      <w:marLeft w:val="0"/>
      <w:marRight w:val="0"/>
      <w:marTop w:val="0"/>
      <w:marBottom w:val="0"/>
      <w:divBdr>
        <w:top w:val="none" w:sz="0" w:space="0" w:color="auto"/>
        <w:left w:val="none" w:sz="0" w:space="0" w:color="auto"/>
        <w:bottom w:val="none" w:sz="0" w:space="0" w:color="auto"/>
        <w:right w:val="none" w:sz="0" w:space="0" w:color="auto"/>
      </w:divBdr>
    </w:div>
    <w:div w:id="374700570">
      <w:bodyDiv w:val="1"/>
      <w:marLeft w:val="0"/>
      <w:marRight w:val="0"/>
      <w:marTop w:val="0"/>
      <w:marBottom w:val="0"/>
      <w:divBdr>
        <w:top w:val="none" w:sz="0" w:space="0" w:color="auto"/>
        <w:left w:val="none" w:sz="0" w:space="0" w:color="auto"/>
        <w:bottom w:val="none" w:sz="0" w:space="0" w:color="auto"/>
        <w:right w:val="none" w:sz="0" w:space="0" w:color="auto"/>
      </w:divBdr>
    </w:div>
    <w:div w:id="424543844">
      <w:bodyDiv w:val="1"/>
      <w:marLeft w:val="0"/>
      <w:marRight w:val="0"/>
      <w:marTop w:val="0"/>
      <w:marBottom w:val="0"/>
      <w:divBdr>
        <w:top w:val="none" w:sz="0" w:space="0" w:color="auto"/>
        <w:left w:val="none" w:sz="0" w:space="0" w:color="auto"/>
        <w:bottom w:val="none" w:sz="0" w:space="0" w:color="auto"/>
        <w:right w:val="none" w:sz="0" w:space="0" w:color="auto"/>
      </w:divBdr>
    </w:div>
    <w:div w:id="482435105">
      <w:bodyDiv w:val="1"/>
      <w:marLeft w:val="0"/>
      <w:marRight w:val="0"/>
      <w:marTop w:val="0"/>
      <w:marBottom w:val="0"/>
      <w:divBdr>
        <w:top w:val="none" w:sz="0" w:space="0" w:color="auto"/>
        <w:left w:val="none" w:sz="0" w:space="0" w:color="auto"/>
        <w:bottom w:val="none" w:sz="0" w:space="0" w:color="auto"/>
        <w:right w:val="none" w:sz="0" w:space="0" w:color="auto"/>
      </w:divBdr>
    </w:div>
    <w:div w:id="542521056">
      <w:bodyDiv w:val="1"/>
      <w:marLeft w:val="0"/>
      <w:marRight w:val="0"/>
      <w:marTop w:val="0"/>
      <w:marBottom w:val="0"/>
      <w:divBdr>
        <w:top w:val="none" w:sz="0" w:space="0" w:color="auto"/>
        <w:left w:val="none" w:sz="0" w:space="0" w:color="auto"/>
        <w:bottom w:val="none" w:sz="0" w:space="0" w:color="auto"/>
        <w:right w:val="none" w:sz="0" w:space="0" w:color="auto"/>
      </w:divBdr>
    </w:div>
    <w:div w:id="555287025">
      <w:bodyDiv w:val="1"/>
      <w:marLeft w:val="0"/>
      <w:marRight w:val="0"/>
      <w:marTop w:val="0"/>
      <w:marBottom w:val="0"/>
      <w:divBdr>
        <w:top w:val="none" w:sz="0" w:space="0" w:color="auto"/>
        <w:left w:val="none" w:sz="0" w:space="0" w:color="auto"/>
        <w:bottom w:val="none" w:sz="0" w:space="0" w:color="auto"/>
        <w:right w:val="none" w:sz="0" w:space="0" w:color="auto"/>
      </w:divBdr>
    </w:div>
    <w:div w:id="555362119">
      <w:bodyDiv w:val="1"/>
      <w:marLeft w:val="0"/>
      <w:marRight w:val="0"/>
      <w:marTop w:val="0"/>
      <w:marBottom w:val="0"/>
      <w:divBdr>
        <w:top w:val="none" w:sz="0" w:space="0" w:color="auto"/>
        <w:left w:val="none" w:sz="0" w:space="0" w:color="auto"/>
        <w:bottom w:val="none" w:sz="0" w:space="0" w:color="auto"/>
        <w:right w:val="none" w:sz="0" w:space="0" w:color="auto"/>
      </w:divBdr>
    </w:div>
    <w:div w:id="581334952">
      <w:bodyDiv w:val="1"/>
      <w:marLeft w:val="0"/>
      <w:marRight w:val="0"/>
      <w:marTop w:val="0"/>
      <w:marBottom w:val="0"/>
      <w:divBdr>
        <w:top w:val="none" w:sz="0" w:space="0" w:color="auto"/>
        <w:left w:val="none" w:sz="0" w:space="0" w:color="auto"/>
        <w:bottom w:val="none" w:sz="0" w:space="0" w:color="auto"/>
        <w:right w:val="none" w:sz="0" w:space="0" w:color="auto"/>
      </w:divBdr>
    </w:div>
    <w:div w:id="613942242">
      <w:bodyDiv w:val="1"/>
      <w:marLeft w:val="0"/>
      <w:marRight w:val="0"/>
      <w:marTop w:val="0"/>
      <w:marBottom w:val="0"/>
      <w:divBdr>
        <w:top w:val="none" w:sz="0" w:space="0" w:color="auto"/>
        <w:left w:val="none" w:sz="0" w:space="0" w:color="auto"/>
        <w:bottom w:val="none" w:sz="0" w:space="0" w:color="auto"/>
        <w:right w:val="none" w:sz="0" w:space="0" w:color="auto"/>
      </w:divBdr>
    </w:div>
    <w:div w:id="638073781">
      <w:bodyDiv w:val="1"/>
      <w:marLeft w:val="0"/>
      <w:marRight w:val="0"/>
      <w:marTop w:val="0"/>
      <w:marBottom w:val="0"/>
      <w:divBdr>
        <w:top w:val="none" w:sz="0" w:space="0" w:color="auto"/>
        <w:left w:val="none" w:sz="0" w:space="0" w:color="auto"/>
        <w:bottom w:val="none" w:sz="0" w:space="0" w:color="auto"/>
        <w:right w:val="none" w:sz="0" w:space="0" w:color="auto"/>
      </w:divBdr>
    </w:div>
    <w:div w:id="649555785">
      <w:bodyDiv w:val="1"/>
      <w:marLeft w:val="0"/>
      <w:marRight w:val="0"/>
      <w:marTop w:val="0"/>
      <w:marBottom w:val="0"/>
      <w:divBdr>
        <w:top w:val="none" w:sz="0" w:space="0" w:color="auto"/>
        <w:left w:val="none" w:sz="0" w:space="0" w:color="auto"/>
        <w:bottom w:val="none" w:sz="0" w:space="0" w:color="auto"/>
        <w:right w:val="none" w:sz="0" w:space="0" w:color="auto"/>
      </w:divBdr>
    </w:div>
    <w:div w:id="656492723">
      <w:bodyDiv w:val="1"/>
      <w:marLeft w:val="0"/>
      <w:marRight w:val="0"/>
      <w:marTop w:val="0"/>
      <w:marBottom w:val="0"/>
      <w:divBdr>
        <w:top w:val="none" w:sz="0" w:space="0" w:color="auto"/>
        <w:left w:val="none" w:sz="0" w:space="0" w:color="auto"/>
        <w:bottom w:val="none" w:sz="0" w:space="0" w:color="auto"/>
        <w:right w:val="none" w:sz="0" w:space="0" w:color="auto"/>
      </w:divBdr>
    </w:div>
    <w:div w:id="722295983">
      <w:bodyDiv w:val="1"/>
      <w:marLeft w:val="0"/>
      <w:marRight w:val="0"/>
      <w:marTop w:val="0"/>
      <w:marBottom w:val="0"/>
      <w:divBdr>
        <w:top w:val="none" w:sz="0" w:space="0" w:color="auto"/>
        <w:left w:val="none" w:sz="0" w:space="0" w:color="auto"/>
        <w:bottom w:val="none" w:sz="0" w:space="0" w:color="auto"/>
        <w:right w:val="none" w:sz="0" w:space="0" w:color="auto"/>
      </w:divBdr>
    </w:div>
    <w:div w:id="731541695">
      <w:bodyDiv w:val="1"/>
      <w:marLeft w:val="0"/>
      <w:marRight w:val="0"/>
      <w:marTop w:val="0"/>
      <w:marBottom w:val="0"/>
      <w:divBdr>
        <w:top w:val="none" w:sz="0" w:space="0" w:color="auto"/>
        <w:left w:val="none" w:sz="0" w:space="0" w:color="auto"/>
        <w:bottom w:val="none" w:sz="0" w:space="0" w:color="auto"/>
        <w:right w:val="none" w:sz="0" w:space="0" w:color="auto"/>
      </w:divBdr>
    </w:div>
    <w:div w:id="735205708">
      <w:bodyDiv w:val="1"/>
      <w:marLeft w:val="0"/>
      <w:marRight w:val="0"/>
      <w:marTop w:val="0"/>
      <w:marBottom w:val="0"/>
      <w:divBdr>
        <w:top w:val="none" w:sz="0" w:space="0" w:color="auto"/>
        <w:left w:val="none" w:sz="0" w:space="0" w:color="auto"/>
        <w:bottom w:val="none" w:sz="0" w:space="0" w:color="auto"/>
        <w:right w:val="none" w:sz="0" w:space="0" w:color="auto"/>
      </w:divBdr>
    </w:div>
    <w:div w:id="740253213">
      <w:bodyDiv w:val="1"/>
      <w:marLeft w:val="0"/>
      <w:marRight w:val="0"/>
      <w:marTop w:val="0"/>
      <w:marBottom w:val="0"/>
      <w:divBdr>
        <w:top w:val="none" w:sz="0" w:space="0" w:color="auto"/>
        <w:left w:val="none" w:sz="0" w:space="0" w:color="auto"/>
        <w:bottom w:val="none" w:sz="0" w:space="0" w:color="auto"/>
        <w:right w:val="none" w:sz="0" w:space="0" w:color="auto"/>
      </w:divBdr>
    </w:div>
    <w:div w:id="746000687">
      <w:bodyDiv w:val="1"/>
      <w:marLeft w:val="0"/>
      <w:marRight w:val="0"/>
      <w:marTop w:val="0"/>
      <w:marBottom w:val="0"/>
      <w:divBdr>
        <w:top w:val="none" w:sz="0" w:space="0" w:color="auto"/>
        <w:left w:val="none" w:sz="0" w:space="0" w:color="auto"/>
        <w:bottom w:val="none" w:sz="0" w:space="0" w:color="auto"/>
        <w:right w:val="none" w:sz="0" w:space="0" w:color="auto"/>
      </w:divBdr>
    </w:div>
    <w:div w:id="762921472">
      <w:bodyDiv w:val="1"/>
      <w:marLeft w:val="0"/>
      <w:marRight w:val="0"/>
      <w:marTop w:val="0"/>
      <w:marBottom w:val="0"/>
      <w:divBdr>
        <w:top w:val="none" w:sz="0" w:space="0" w:color="auto"/>
        <w:left w:val="none" w:sz="0" w:space="0" w:color="auto"/>
        <w:bottom w:val="none" w:sz="0" w:space="0" w:color="auto"/>
        <w:right w:val="none" w:sz="0" w:space="0" w:color="auto"/>
      </w:divBdr>
    </w:div>
    <w:div w:id="774793470">
      <w:bodyDiv w:val="1"/>
      <w:marLeft w:val="0"/>
      <w:marRight w:val="0"/>
      <w:marTop w:val="0"/>
      <w:marBottom w:val="0"/>
      <w:divBdr>
        <w:top w:val="none" w:sz="0" w:space="0" w:color="auto"/>
        <w:left w:val="none" w:sz="0" w:space="0" w:color="auto"/>
        <w:bottom w:val="none" w:sz="0" w:space="0" w:color="auto"/>
        <w:right w:val="none" w:sz="0" w:space="0" w:color="auto"/>
      </w:divBdr>
    </w:div>
    <w:div w:id="783160608">
      <w:bodyDiv w:val="1"/>
      <w:marLeft w:val="0"/>
      <w:marRight w:val="0"/>
      <w:marTop w:val="0"/>
      <w:marBottom w:val="0"/>
      <w:divBdr>
        <w:top w:val="none" w:sz="0" w:space="0" w:color="auto"/>
        <w:left w:val="none" w:sz="0" w:space="0" w:color="auto"/>
        <w:bottom w:val="none" w:sz="0" w:space="0" w:color="auto"/>
        <w:right w:val="none" w:sz="0" w:space="0" w:color="auto"/>
      </w:divBdr>
    </w:div>
    <w:div w:id="817961641">
      <w:bodyDiv w:val="1"/>
      <w:marLeft w:val="0"/>
      <w:marRight w:val="0"/>
      <w:marTop w:val="0"/>
      <w:marBottom w:val="0"/>
      <w:divBdr>
        <w:top w:val="none" w:sz="0" w:space="0" w:color="auto"/>
        <w:left w:val="none" w:sz="0" w:space="0" w:color="auto"/>
        <w:bottom w:val="none" w:sz="0" w:space="0" w:color="auto"/>
        <w:right w:val="none" w:sz="0" w:space="0" w:color="auto"/>
      </w:divBdr>
    </w:div>
    <w:div w:id="829909513">
      <w:bodyDiv w:val="1"/>
      <w:marLeft w:val="0"/>
      <w:marRight w:val="0"/>
      <w:marTop w:val="0"/>
      <w:marBottom w:val="0"/>
      <w:divBdr>
        <w:top w:val="none" w:sz="0" w:space="0" w:color="auto"/>
        <w:left w:val="none" w:sz="0" w:space="0" w:color="auto"/>
        <w:bottom w:val="none" w:sz="0" w:space="0" w:color="auto"/>
        <w:right w:val="none" w:sz="0" w:space="0" w:color="auto"/>
      </w:divBdr>
    </w:div>
    <w:div w:id="851383029">
      <w:bodyDiv w:val="1"/>
      <w:marLeft w:val="0"/>
      <w:marRight w:val="0"/>
      <w:marTop w:val="0"/>
      <w:marBottom w:val="0"/>
      <w:divBdr>
        <w:top w:val="none" w:sz="0" w:space="0" w:color="auto"/>
        <w:left w:val="none" w:sz="0" w:space="0" w:color="auto"/>
        <w:bottom w:val="none" w:sz="0" w:space="0" w:color="auto"/>
        <w:right w:val="none" w:sz="0" w:space="0" w:color="auto"/>
      </w:divBdr>
    </w:div>
    <w:div w:id="874386991">
      <w:bodyDiv w:val="1"/>
      <w:marLeft w:val="0"/>
      <w:marRight w:val="0"/>
      <w:marTop w:val="0"/>
      <w:marBottom w:val="0"/>
      <w:divBdr>
        <w:top w:val="none" w:sz="0" w:space="0" w:color="auto"/>
        <w:left w:val="none" w:sz="0" w:space="0" w:color="auto"/>
        <w:bottom w:val="none" w:sz="0" w:space="0" w:color="auto"/>
        <w:right w:val="none" w:sz="0" w:space="0" w:color="auto"/>
      </w:divBdr>
    </w:div>
    <w:div w:id="883980801">
      <w:bodyDiv w:val="1"/>
      <w:marLeft w:val="0"/>
      <w:marRight w:val="0"/>
      <w:marTop w:val="0"/>
      <w:marBottom w:val="0"/>
      <w:divBdr>
        <w:top w:val="none" w:sz="0" w:space="0" w:color="auto"/>
        <w:left w:val="none" w:sz="0" w:space="0" w:color="auto"/>
        <w:bottom w:val="none" w:sz="0" w:space="0" w:color="auto"/>
        <w:right w:val="none" w:sz="0" w:space="0" w:color="auto"/>
      </w:divBdr>
    </w:div>
    <w:div w:id="891190074">
      <w:bodyDiv w:val="1"/>
      <w:marLeft w:val="0"/>
      <w:marRight w:val="0"/>
      <w:marTop w:val="0"/>
      <w:marBottom w:val="0"/>
      <w:divBdr>
        <w:top w:val="none" w:sz="0" w:space="0" w:color="auto"/>
        <w:left w:val="none" w:sz="0" w:space="0" w:color="auto"/>
        <w:bottom w:val="none" w:sz="0" w:space="0" w:color="auto"/>
        <w:right w:val="none" w:sz="0" w:space="0" w:color="auto"/>
      </w:divBdr>
    </w:div>
    <w:div w:id="913244855">
      <w:bodyDiv w:val="1"/>
      <w:marLeft w:val="0"/>
      <w:marRight w:val="0"/>
      <w:marTop w:val="0"/>
      <w:marBottom w:val="0"/>
      <w:divBdr>
        <w:top w:val="none" w:sz="0" w:space="0" w:color="auto"/>
        <w:left w:val="none" w:sz="0" w:space="0" w:color="auto"/>
        <w:bottom w:val="none" w:sz="0" w:space="0" w:color="auto"/>
        <w:right w:val="none" w:sz="0" w:space="0" w:color="auto"/>
      </w:divBdr>
    </w:div>
    <w:div w:id="915820103">
      <w:bodyDiv w:val="1"/>
      <w:marLeft w:val="0"/>
      <w:marRight w:val="0"/>
      <w:marTop w:val="0"/>
      <w:marBottom w:val="0"/>
      <w:divBdr>
        <w:top w:val="none" w:sz="0" w:space="0" w:color="auto"/>
        <w:left w:val="none" w:sz="0" w:space="0" w:color="auto"/>
        <w:bottom w:val="none" w:sz="0" w:space="0" w:color="auto"/>
        <w:right w:val="none" w:sz="0" w:space="0" w:color="auto"/>
      </w:divBdr>
    </w:div>
    <w:div w:id="931398273">
      <w:bodyDiv w:val="1"/>
      <w:marLeft w:val="0"/>
      <w:marRight w:val="0"/>
      <w:marTop w:val="0"/>
      <w:marBottom w:val="0"/>
      <w:divBdr>
        <w:top w:val="none" w:sz="0" w:space="0" w:color="auto"/>
        <w:left w:val="none" w:sz="0" w:space="0" w:color="auto"/>
        <w:bottom w:val="none" w:sz="0" w:space="0" w:color="auto"/>
        <w:right w:val="none" w:sz="0" w:space="0" w:color="auto"/>
      </w:divBdr>
    </w:div>
    <w:div w:id="947617745">
      <w:bodyDiv w:val="1"/>
      <w:marLeft w:val="0"/>
      <w:marRight w:val="0"/>
      <w:marTop w:val="0"/>
      <w:marBottom w:val="0"/>
      <w:divBdr>
        <w:top w:val="none" w:sz="0" w:space="0" w:color="auto"/>
        <w:left w:val="none" w:sz="0" w:space="0" w:color="auto"/>
        <w:bottom w:val="none" w:sz="0" w:space="0" w:color="auto"/>
        <w:right w:val="none" w:sz="0" w:space="0" w:color="auto"/>
      </w:divBdr>
    </w:div>
    <w:div w:id="988363318">
      <w:bodyDiv w:val="1"/>
      <w:marLeft w:val="0"/>
      <w:marRight w:val="0"/>
      <w:marTop w:val="0"/>
      <w:marBottom w:val="0"/>
      <w:divBdr>
        <w:top w:val="none" w:sz="0" w:space="0" w:color="auto"/>
        <w:left w:val="none" w:sz="0" w:space="0" w:color="auto"/>
        <w:bottom w:val="none" w:sz="0" w:space="0" w:color="auto"/>
        <w:right w:val="none" w:sz="0" w:space="0" w:color="auto"/>
      </w:divBdr>
    </w:div>
    <w:div w:id="1002513308">
      <w:bodyDiv w:val="1"/>
      <w:marLeft w:val="0"/>
      <w:marRight w:val="0"/>
      <w:marTop w:val="0"/>
      <w:marBottom w:val="0"/>
      <w:divBdr>
        <w:top w:val="none" w:sz="0" w:space="0" w:color="auto"/>
        <w:left w:val="none" w:sz="0" w:space="0" w:color="auto"/>
        <w:bottom w:val="none" w:sz="0" w:space="0" w:color="auto"/>
        <w:right w:val="none" w:sz="0" w:space="0" w:color="auto"/>
      </w:divBdr>
    </w:div>
    <w:div w:id="1029717096">
      <w:bodyDiv w:val="1"/>
      <w:marLeft w:val="0"/>
      <w:marRight w:val="0"/>
      <w:marTop w:val="0"/>
      <w:marBottom w:val="0"/>
      <w:divBdr>
        <w:top w:val="none" w:sz="0" w:space="0" w:color="auto"/>
        <w:left w:val="none" w:sz="0" w:space="0" w:color="auto"/>
        <w:bottom w:val="none" w:sz="0" w:space="0" w:color="auto"/>
        <w:right w:val="none" w:sz="0" w:space="0" w:color="auto"/>
      </w:divBdr>
    </w:div>
    <w:div w:id="1060860613">
      <w:bodyDiv w:val="1"/>
      <w:marLeft w:val="0"/>
      <w:marRight w:val="0"/>
      <w:marTop w:val="0"/>
      <w:marBottom w:val="0"/>
      <w:divBdr>
        <w:top w:val="none" w:sz="0" w:space="0" w:color="auto"/>
        <w:left w:val="none" w:sz="0" w:space="0" w:color="auto"/>
        <w:bottom w:val="none" w:sz="0" w:space="0" w:color="auto"/>
        <w:right w:val="none" w:sz="0" w:space="0" w:color="auto"/>
      </w:divBdr>
    </w:div>
    <w:div w:id="1112045612">
      <w:bodyDiv w:val="1"/>
      <w:marLeft w:val="0"/>
      <w:marRight w:val="0"/>
      <w:marTop w:val="0"/>
      <w:marBottom w:val="0"/>
      <w:divBdr>
        <w:top w:val="none" w:sz="0" w:space="0" w:color="auto"/>
        <w:left w:val="none" w:sz="0" w:space="0" w:color="auto"/>
        <w:bottom w:val="none" w:sz="0" w:space="0" w:color="auto"/>
        <w:right w:val="none" w:sz="0" w:space="0" w:color="auto"/>
      </w:divBdr>
    </w:div>
    <w:div w:id="1131022214">
      <w:bodyDiv w:val="1"/>
      <w:marLeft w:val="0"/>
      <w:marRight w:val="0"/>
      <w:marTop w:val="0"/>
      <w:marBottom w:val="0"/>
      <w:divBdr>
        <w:top w:val="none" w:sz="0" w:space="0" w:color="auto"/>
        <w:left w:val="none" w:sz="0" w:space="0" w:color="auto"/>
        <w:bottom w:val="none" w:sz="0" w:space="0" w:color="auto"/>
        <w:right w:val="none" w:sz="0" w:space="0" w:color="auto"/>
      </w:divBdr>
    </w:div>
    <w:div w:id="1131704316">
      <w:bodyDiv w:val="1"/>
      <w:marLeft w:val="0"/>
      <w:marRight w:val="0"/>
      <w:marTop w:val="0"/>
      <w:marBottom w:val="0"/>
      <w:divBdr>
        <w:top w:val="none" w:sz="0" w:space="0" w:color="auto"/>
        <w:left w:val="none" w:sz="0" w:space="0" w:color="auto"/>
        <w:bottom w:val="none" w:sz="0" w:space="0" w:color="auto"/>
        <w:right w:val="none" w:sz="0" w:space="0" w:color="auto"/>
      </w:divBdr>
    </w:div>
    <w:div w:id="1142425597">
      <w:bodyDiv w:val="1"/>
      <w:marLeft w:val="0"/>
      <w:marRight w:val="0"/>
      <w:marTop w:val="0"/>
      <w:marBottom w:val="0"/>
      <w:divBdr>
        <w:top w:val="none" w:sz="0" w:space="0" w:color="auto"/>
        <w:left w:val="none" w:sz="0" w:space="0" w:color="auto"/>
        <w:bottom w:val="none" w:sz="0" w:space="0" w:color="auto"/>
        <w:right w:val="none" w:sz="0" w:space="0" w:color="auto"/>
      </w:divBdr>
    </w:div>
    <w:div w:id="1159808787">
      <w:bodyDiv w:val="1"/>
      <w:marLeft w:val="0"/>
      <w:marRight w:val="0"/>
      <w:marTop w:val="0"/>
      <w:marBottom w:val="0"/>
      <w:divBdr>
        <w:top w:val="none" w:sz="0" w:space="0" w:color="auto"/>
        <w:left w:val="none" w:sz="0" w:space="0" w:color="auto"/>
        <w:bottom w:val="none" w:sz="0" w:space="0" w:color="auto"/>
        <w:right w:val="none" w:sz="0" w:space="0" w:color="auto"/>
      </w:divBdr>
    </w:div>
    <w:div w:id="1166897175">
      <w:bodyDiv w:val="1"/>
      <w:marLeft w:val="0"/>
      <w:marRight w:val="0"/>
      <w:marTop w:val="0"/>
      <w:marBottom w:val="0"/>
      <w:divBdr>
        <w:top w:val="none" w:sz="0" w:space="0" w:color="auto"/>
        <w:left w:val="none" w:sz="0" w:space="0" w:color="auto"/>
        <w:bottom w:val="none" w:sz="0" w:space="0" w:color="auto"/>
        <w:right w:val="none" w:sz="0" w:space="0" w:color="auto"/>
      </w:divBdr>
    </w:div>
    <w:div w:id="1167793790">
      <w:bodyDiv w:val="1"/>
      <w:marLeft w:val="0"/>
      <w:marRight w:val="0"/>
      <w:marTop w:val="0"/>
      <w:marBottom w:val="0"/>
      <w:divBdr>
        <w:top w:val="none" w:sz="0" w:space="0" w:color="auto"/>
        <w:left w:val="none" w:sz="0" w:space="0" w:color="auto"/>
        <w:bottom w:val="none" w:sz="0" w:space="0" w:color="auto"/>
        <w:right w:val="none" w:sz="0" w:space="0" w:color="auto"/>
      </w:divBdr>
    </w:div>
    <w:div w:id="1187139180">
      <w:bodyDiv w:val="1"/>
      <w:marLeft w:val="0"/>
      <w:marRight w:val="0"/>
      <w:marTop w:val="0"/>
      <w:marBottom w:val="0"/>
      <w:divBdr>
        <w:top w:val="none" w:sz="0" w:space="0" w:color="auto"/>
        <w:left w:val="none" w:sz="0" w:space="0" w:color="auto"/>
        <w:bottom w:val="none" w:sz="0" w:space="0" w:color="auto"/>
        <w:right w:val="none" w:sz="0" w:space="0" w:color="auto"/>
      </w:divBdr>
    </w:div>
    <w:div w:id="1216234812">
      <w:bodyDiv w:val="1"/>
      <w:marLeft w:val="0"/>
      <w:marRight w:val="0"/>
      <w:marTop w:val="0"/>
      <w:marBottom w:val="0"/>
      <w:divBdr>
        <w:top w:val="none" w:sz="0" w:space="0" w:color="auto"/>
        <w:left w:val="none" w:sz="0" w:space="0" w:color="auto"/>
        <w:bottom w:val="none" w:sz="0" w:space="0" w:color="auto"/>
        <w:right w:val="none" w:sz="0" w:space="0" w:color="auto"/>
      </w:divBdr>
    </w:div>
    <w:div w:id="1268654410">
      <w:bodyDiv w:val="1"/>
      <w:marLeft w:val="0"/>
      <w:marRight w:val="0"/>
      <w:marTop w:val="0"/>
      <w:marBottom w:val="0"/>
      <w:divBdr>
        <w:top w:val="none" w:sz="0" w:space="0" w:color="auto"/>
        <w:left w:val="none" w:sz="0" w:space="0" w:color="auto"/>
        <w:bottom w:val="none" w:sz="0" w:space="0" w:color="auto"/>
        <w:right w:val="none" w:sz="0" w:space="0" w:color="auto"/>
      </w:divBdr>
    </w:div>
    <w:div w:id="1268655747">
      <w:bodyDiv w:val="1"/>
      <w:marLeft w:val="0"/>
      <w:marRight w:val="0"/>
      <w:marTop w:val="0"/>
      <w:marBottom w:val="0"/>
      <w:divBdr>
        <w:top w:val="none" w:sz="0" w:space="0" w:color="auto"/>
        <w:left w:val="none" w:sz="0" w:space="0" w:color="auto"/>
        <w:bottom w:val="none" w:sz="0" w:space="0" w:color="auto"/>
        <w:right w:val="none" w:sz="0" w:space="0" w:color="auto"/>
      </w:divBdr>
    </w:div>
    <w:div w:id="1335181216">
      <w:bodyDiv w:val="1"/>
      <w:marLeft w:val="0"/>
      <w:marRight w:val="0"/>
      <w:marTop w:val="0"/>
      <w:marBottom w:val="0"/>
      <w:divBdr>
        <w:top w:val="none" w:sz="0" w:space="0" w:color="auto"/>
        <w:left w:val="none" w:sz="0" w:space="0" w:color="auto"/>
        <w:bottom w:val="none" w:sz="0" w:space="0" w:color="auto"/>
        <w:right w:val="none" w:sz="0" w:space="0" w:color="auto"/>
      </w:divBdr>
    </w:div>
    <w:div w:id="1342505925">
      <w:bodyDiv w:val="1"/>
      <w:marLeft w:val="0"/>
      <w:marRight w:val="0"/>
      <w:marTop w:val="0"/>
      <w:marBottom w:val="0"/>
      <w:divBdr>
        <w:top w:val="none" w:sz="0" w:space="0" w:color="auto"/>
        <w:left w:val="none" w:sz="0" w:space="0" w:color="auto"/>
        <w:bottom w:val="none" w:sz="0" w:space="0" w:color="auto"/>
        <w:right w:val="none" w:sz="0" w:space="0" w:color="auto"/>
      </w:divBdr>
    </w:div>
    <w:div w:id="1382753736">
      <w:bodyDiv w:val="1"/>
      <w:marLeft w:val="0"/>
      <w:marRight w:val="0"/>
      <w:marTop w:val="0"/>
      <w:marBottom w:val="0"/>
      <w:divBdr>
        <w:top w:val="none" w:sz="0" w:space="0" w:color="auto"/>
        <w:left w:val="none" w:sz="0" w:space="0" w:color="auto"/>
        <w:bottom w:val="none" w:sz="0" w:space="0" w:color="auto"/>
        <w:right w:val="none" w:sz="0" w:space="0" w:color="auto"/>
      </w:divBdr>
    </w:div>
    <w:div w:id="1385063904">
      <w:bodyDiv w:val="1"/>
      <w:marLeft w:val="0"/>
      <w:marRight w:val="0"/>
      <w:marTop w:val="0"/>
      <w:marBottom w:val="0"/>
      <w:divBdr>
        <w:top w:val="none" w:sz="0" w:space="0" w:color="auto"/>
        <w:left w:val="none" w:sz="0" w:space="0" w:color="auto"/>
        <w:bottom w:val="none" w:sz="0" w:space="0" w:color="auto"/>
        <w:right w:val="none" w:sz="0" w:space="0" w:color="auto"/>
      </w:divBdr>
    </w:div>
    <w:div w:id="1386418184">
      <w:bodyDiv w:val="1"/>
      <w:marLeft w:val="0"/>
      <w:marRight w:val="0"/>
      <w:marTop w:val="0"/>
      <w:marBottom w:val="0"/>
      <w:divBdr>
        <w:top w:val="none" w:sz="0" w:space="0" w:color="auto"/>
        <w:left w:val="none" w:sz="0" w:space="0" w:color="auto"/>
        <w:bottom w:val="none" w:sz="0" w:space="0" w:color="auto"/>
        <w:right w:val="none" w:sz="0" w:space="0" w:color="auto"/>
      </w:divBdr>
    </w:div>
    <w:div w:id="1390805572">
      <w:bodyDiv w:val="1"/>
      <w:marLeft w:val="0"/>
      <w:marRight w:val="0"/>
      <w:marTop w:val="0"/>
      <w:marBottom w:val="0"/>
      <w:divBdr>
        <w:top w:val="none" w:sz="0" w:space="0" w:color="auto"/>
        <w:left w:val="none" w:sz="0" w:space="0" w:color="auto"/>
        <w:bottom w:val="none" w:sz="0" w:space="0" w:color="auto"/>
        <w:right w:val="none" w:sz="0" w:space="0" w:color="auto"/>
      </w:divBdr>
    </w:div>
    <w:div w:id="1438140329">
      <w:bodyDiv w:val="1"/>
      <w:marLeft w:val="0"/>
      <w:marRight w:val="0"/>
      <w:marTop w:val="0"/>
      <w:marBottom w:val="0"/>
      <w:divBdr>
        <w:top w:val="none" w:sz="0" w:space="0" w:color="auto"/>
        <w:left w:val="none" w:sz="0" w:space="0" w:color="auto"/>
        <w:bottom w:val="none" w:sz="0" w:space="0" w:color="auto"/>
        <w:right w:val="none" w:sz="0" w:space="0" w:color="auto"/>
      </w:divBdr>
    </w:div>
    <w:div w:id="1447197049">
      <w:bodyDiv w:val="1"/>
      <w:marLeft w:val="0"/>
      <w:marRight w:val="0"/>
      <w:marTop w:val="0"/>
      <w:marBottom w:val="0"/>
      <w:divBdr>
        <w:top w:val="none" w:sz="0" w:space="0" w:color="auto"/>
        <w:left w:val="none" w:sz="0" w:space="0" w:color="auto"/>
        <w:bottom w:val="none" w:sz="0" w:space="0" w:color="auto"/>
        <w:right w:val="none" w:sz="0" w:space="0" w:color="auto"/>
      </w:divBdr>
    </w:div>
    <w:div w:id="1450587012">
      <w:bodyDiv w:val="1"/>
      <w:marLeft w:val="0"/>
      <w:marRight w:val="0"/>
      <w:marTop w:val="0"/>
      <w:marBottom w:val="0"/>
      <w:divBdr>
        <w:top w:val="none" w:sz="0" w:space="0" w:color="auto"/>
        <w:left w:val="none" w:sz="0" w:space="0" w:color="auto"/>
        <w:bottom w:val="none" w:sz="0" w:space="0" w:color="auto"/>
        <w:right w:val="none" w:sz="0" w:space="0" w:color="auto"/>
      </w:divBdr>
    </w:div>
    <w:div w:id="1486555161">
      <w:bodyDiv w:val="1"/>
      <w:marLeft w:val="0"/>
      <w:marRight w:val="0"/>
      <w:marTop w:val="0"/>
      <w:marBottom w:val="0"/>
      <w:divBdr>
        <w:top w:val="none" w:sz="0" w:space="0" w:color="auto"/>
        <w:left w:val="none" w:sz="0" w:space="0" w:color="auto"/>
        <w:bottom w:val="none" w:sz="0" w:space="0" w:color="auto"/>
        <w:right w:val="none" w:sz="0" w:space="0" w:color="auto"/>
      </w:divBdr>
    </w:div>
    <w:div w:id="1496070974">
      <w:bodyDiv w:val="1"/>
      <w:marLeft w:val="0"/>
      <w:marRight w:val="0"/>
      <w:marTop w:val="0"/>
      <w:marBottom w:val="0"/>
      <w:divBdr>
        <w:top w:val="none" w:sz="0" w:space="0" w:color="auto"/>
        <w:left w:val="none" w:sz="0" w:space="0" w:color="auto"/>
        <w:bottom w:val="none" w:sz="0" w:space="0" w:color="auto"/>
        <w:right w:val="none" w:sz="0" w:space="0" w:color="auto"/>
      </w:divBdr>
    </w:div>
    <w:div w:id="1545873943">
      <w:bodyDiv w:val="1"/>
      <w:marLeft w:val="0"/>
      <w:marRight w:val="0"/>
      <w:marTop w:val="0"/>
      <w:marBottom w:val="0"/>
      <w:divBdr>
        <w:top w:val="none" w:sz="0" w:space="0" w:color="auto"/>
        <w:left w:val="none" w:sz="0" w:space="0" w:color="auto"/>
        <w:bottom w:val="none" w:sz="0" w:space="0" w:color="auto"/>
        <w:right w:val="none" w:sz="0" w:space="0" w:color="auto"/>
      </w:divBdr>
    </w:div>
    <w:div w:id="1561865132">
      <w:bodyDiv w:val="1"/>
      <w:marLeft w:val="0"/>
      <w:marRight w:val="0"/>
      <w:marTop w:val="0"/>
      <w:marBottom w:val="0"/>
      <w:divBdr>
        <w:top w:val="none" w:sz="0" w:space="0" w:color="auto"/>
        <w:left w:val="none" w:sz="0" w:space="0" w:color="auto"/>
        <w:bottom w:val="none" w:sz="0" w:space="0" w:color="auto"/>
        <w:right w:val="none" w:sz="0" w:space="0" w:color="auto"/>
      </w:divBdr>
    </w:div>
    <w:div w:id="1562906750">
      <w:bodyDiv w:val="1"/>
      <w:marLeft w:val="0"/>
      <w:marRight w:val="0"/>
      <w:marTop w:val="0"/>
      <w:marBottom w:val="0"/>
      <w:divBdr>
        <w:top w:val="none" w:sz="0" w:space="0" w:color="auto"/>
        <w:left w:val="none" w:sz="0" w:space="0" w:color="auto"/>
        <w:bottom w:val="none" w:sz="0" w:space="0" w:color="auto"/>
        <w:right w:val="none" w:sz="0" w:space="0" w:color="auto"/>
      </w:divBdr>
    </w:div>
    <w:div w:id="1580754357">
      <w:bodyDiv w:val="1"/>
      <w:marLeft w:val="0"/>
      <w:marRight w:val="0"/>
      <w:marTop w:val="0"/>
      <w:marBottom w:val="0"/>
      <w:divBdr>
        <w:top w:val="none" w:sz="0" w:space="0" w:color="auto"/>
        <w:left w:val="none" w:sz="0" w:space="0" w:color="auto"/>
        <w:bottom w:val="none" w:sz="0" w:space="0" w:color="auto"/>
        <w:right w:val="none" w:sz="0" w:space="0" w:color="auto"/>
      </w:divBdr>
    </w:div>
    <w:div w:id="1587032603">
      <w:bodyDiv w:val="1"/>
      <w:marLeft w:val="0"/>
      <w:marRight w:val="0"/>
      <w:marTop w:val="0"/>
      <w:marBottom w:val="0"/>
      <w:divBdr>
        <w:top w:val="none" w:sz="0" w:space="0" w:color="auto"/>
        <w:left w:val="none" w:sz="0" w:space="0" w:color="auto"/>
        <w:bottom w:val="none" w:sz="0" w:space="0" w:color="auto"/>
        <w:right w:val="none" w:sz="0" w:space="0" w:color="auto"/>
      </w:divBdr>
    </w:div>
    <w:div w:id="1608081483">
      <w:bodyDiv w:val="1"/>
      <w:marLeft w:val="0"/>
      <w:marRight w:val="0"/>
      <w:marTop w:val="0"/>
      <w:marBottom w:val="0"/>
      <w:divBdr>
        <w:top w:val="none" w:sz="0" w:space="0" w:color="auto"/>
        <w:left w:val="none" w:sz="0" w:space="0" w:color="auto"/>
        <w:bottom w:val="none" w:sz="0" w:space="0" w:color="auto"/>
        <w:right w:val="none" w:sz="0" w:space="0" w:color="auto"/>
      </w:divBdr>
    </w:div>
    <w:div w:id="1608151183">
      <w:bodyDiv w:val="1"/>
      <w:marLeft w:val="0"/>
      <w:marRight w:val="0"/>
      <w:marTop w:val="0"/>
      <w:marBottom w:val="0"/>
      <w:divBdr>
        <w:top w:val="none" w:sz="0" w:space="0" w:color="auto"/>
        <w:left w:val="none" w:sz="0" w:space="0" w:color="auto"/>
        <w:bottom w:val="none" w:sz="0" w:space="0" w:color="auto"/>
        <w:right w:val="none" w:sz="0" w:space="0" w:color="auto"/>
      </w:divBdr>
    </w:div>
    <w:div w:id="1630820826">
      <w:bodyDiv w:val="1"/>
      <w:marLeft w:val="0"/>
      <w:marRight w:val="0"/>
      <w:marTop w:val="0"/>
      <w:marBottom w:val="0"/>
      <w:divBdr>
        <w:top w:val="none" w:sz="0" w:space="0" w:color="auto"/>
        <w:left w:val="none" w:sz="0" w:space="0" w:color="auto"/>
        <w:bottom w:val="none" w:sz="0" w:space="0" w:color="auto"/>
        <w:right w:val="none" w:sz="0" w:space="0" w:color="auto"/>
      </w:divBdr>
    </w:div>
    <w:div w:id="1648825064">
      <w:bodyDiv w:val="1"/>
      <w:marLeft w:val="0"/>
      <w:marRight w:val="0"/>
      <w:marTop w:val="0"/>
      <w:marBottom w:val="0"/>
      <w:divBdr>
        <w:top w:val="none" w:sz="0" w:space="0" w:color="auto"/>
        <w:left w:val="none" w:sz="0" w:space="0" w:color="auto"/>
        <w:bottom w:val="none" w:sz="0" w:space="0" w:color="auto"/>
        <w:right w:val="none" w:sz="0" w:space="0" w:color="auto"/>
      </w:divBdr>
    </w:div>
    <w:div w:id="1657218436">
      <w:bodyDiv w:val="1"/>
      <w:marLeft w:val="0"/>
      <w:marRight w:val="0"/>
      <w:marTop w:val="0"/>
      <w:marBottom w:val="0"/>
      <w:divBdr>
        <w:top w:val="none" w:sz="0" w:space="0" w:color="auto"/>
        <w:left w:val="none" w:sz="0" w:space="0" w:color="auto"/>
        <w:bottom w:val="none" w:sz="0" w:space="0" w:color="auto"/>
        <w:right w:val="none" w:sz="0" w:space="0" w:color="auto"/>
      </w:divBdr>
    </w:div>
    <w:div w:id="1663504209">
      <w:bodyDiv w:val="1"/>
      <w:marLeft w:val="0"/>
      <w:marRight w:val="0"/>
      <w:marTop w:val="0"/>
      <w:marBottom w:val="0"/>
      <w:divBdr>
        <w:top w:val="none" w:sz="0" w:space="0" w:color="auto"/>
        <w:left w:val="none" w:sz="0" w:space="0" w:color="auto"/>
        <w:bottom w:val="none" w:sz="0" w:space="0" w:color="auto"/>
        <w:right w:val="none" w:sz="0" w:space="0" w:color="auto"/>
      </w:divBdr>
    </w:div>
    <w:div w:id="1671520941">
      <w:bodyDiv w:val="1"/>
      <w:marLeft w:val="0"/>
      <w:marRight w:val="0"/>
      <w:marTop w:val="0"/>
      <w:marBottom w:val="0"/>
      <w:divBdr>
        <w:top w:val="none" w:sz="0" w:space="0" w:color="auto"/>
        <w:left w:val="none" w:sz="0" w:space="0" w:color="auto"/>
        <w:bottom w:val="none" w:sz="0" w:space="0" w:color="auto"/>
        <w:right w:val="none" w:sz="0" w:space="0" w:color="auto"/>
      </w:divBdr>
    </w:div>
    <w:div w:id="1673991494">
      <w:bodyDiv w:val="1"/>
      <w:marLeft w:val="0"/>
      <w:marRight w:val="0"/>
      <w:marTop w:val="0"/>
      <w:marBottom w:val="0"/>
      <w:divBdr>
        <w:top w:val="none" w:sz="0" w:space="0" w:color="auto"/>
        <w:left w:val="none" w:sz="0" w:space="0" w:color="auto"/>
        <w:bottom w:val="none" w:sz="0" w:space="0" w:color="auto"/>
        <w:right w:val="none" w:sz="0" w:space="0" w:color="auto"/>
      </w:divBdr>
    </w:div>
    <w:div w:id="1723409148">
      <w:bodyDiv w:val="1"/>
      <w:marLeft w:val="0"/>
      <w:marRight w:val="0"/>
      <w:marTop w:val="0"/>
      <w:marBottom w:val="0"/>
      <w:divBdr>
        <w:top w:val="none" w:sz="0" w:space="0" w:color="auto"/>
        <w:left w:val="none" w:sz="0" w:space="0" w:color="auto"/>
        <w:bottom w:val="none" w:sz="0" w:space="0" w:color="auto"/>
        <w:right w:val="none" w:sz="0" w:space="0" w:color="auto"/>
      </w:divBdr>
    </w:div>
    <w:div w:id="1747993659">
      <w:bodyDiv w:val="1"/>
      <w:marLeft w:val="0"/>
      <w:marRight w:val="0"/>
      <w:marTop w:val="0"/>
      <w:marBottom w:val="0"/>
      <w:divBdr>
        <w:top w:val="none" w:sz="0" w:space="0" w:color="auto"/>
        <w:left w:val="none" w:sz="0" w:space="0" w:color="auto"/>
        <w:bottom w:val="none" w:sz="0" w:space="0" w:color="auto"/>
        <w:right w:val="none" w:sz="0" w:space="0" w:color="auto"/>
      </w:divBdr>
    </w:div>
    <w:div w:id="1760444377">
      <w:bodyDiv w:val="1"/>
      <w:marLeft w:val="0"/>
      <w:marRight w:val="0"/>
      <w:marTop w:val="0"/>
      <w:marBottom w:val="0"/>
      <w:divBdr>
        <w:top w:val="none" w:sz="0" w:space="0" w:color="auto"/>
        <w:left w:val="none" w:sz="0" w:space="0" w:color="auto"/>
        <w:bottom w:val="none" w:sz="0" w:space="0" w:color="auto"/>
        <w:right w:val="none" w:sz="0" w:space="0" w:color="auto"/>
      </w:divBdr>
    </w:div>
    <w:div w:id="1764523943">
      <w:bodyDiv w:val="1"/>
      <w:marLeft w:val="0"/>
      <w:marRight w:val="0"/>
      <w:marTop w:val="0"/>
      <w:marBottom w:val="0"/>
      <w:divBdr>
        <w:top w:val="none" w:sz="0" w:space="0" w:color="auto"/>
        <w:left w:val="none" w:sz="0" w:space="0" w:color="auto"/>
        <w:bottom w:val="none" w:sz="0" w:space="0" w:color="auto"/>
        <w:right w:val="none" w:sz="0" w:space="0" w:color="auto"/>
      </w:divBdr>
    </w:div>
    <w:div w:id="1772511218">
      <w:bodyDiv w:val="1"/>
      <w:marLeft w:val="0"/>
      <w:marRight w:val="0"/>
      <w:marTop w:val="0"/>
      <w:marBottom w:val="0"/>
      <w:divBdr>
        <w:top w:val="none" w:sz="0" w:space="0" w:color="auto"/>
        <w:left w:val="none" w:sz="0" w:space="0" w:color="auto"/>
        <w:bottom w:val="none" w:sz="0" w:space="0" w:color="auto"/>
        <w:right w:val="none" w:sz="0" w:space="0" w:color="auto"/>
      </w:divBdr>
    </w:div>
    <w:div w:id="1788503328">
      <w:bodyDiv w:val="1"/>
      <w:marLeft w:val="0"/>
      <w:marRight w:val="0"/>
      <w:marTop w:val="0"/>
      <w:marBottom w:val="0"/>
      <w:divBdr>
        <w:top w:val="none" w:sz="0" w:space="0" w:color="auto"/>
        <w:left w:val="none" w:sz="0" w:space="0" w:color="auto"/>
        <w:bottom w:val="none" w:sz="0" w:space="0" w:color="auto"/>
        <w:right w:val="none" w:sz="0" w:space="0" w:color="auto"/>
      </w:divBdr>
    </w:div>
    <w:div w:id="1805654795">
      <w:bodyDiv w:val="1"/>
      <w:marLeft w:val="0"/>
      <w:marRight w:val="0"/>
      <w:marTop w:val="0"/>
      <w:marBottom w:val="0"/>
      <w:divBdr>
        <w:top w:val="none" w:sz="0" w:space="0" w:color="auto"/>
        <w:left w:val="none" w:sz="0" w:space="0" w:color="auto"/>
        <w:bottom w:val="none" w:sz="0" w:space="0" w:color="auto"/>
        <w:right w:val="none" w:sz="0" w:space="0" w:color="auto"/>
      </w:divBdr>
    </w:div>
    <w:div w:id="1812550020">
      <w:bodyDiv w:val="1"/>
      <w:marLeft w:val="0"/>
      <w:marRight w:val="0"/>
      <w:marTop w:val="0"/>
      <w:marBottom w:val="0"/>
      <w:divBdr>
        <w:top w:val="none" w:sz="0" w:space="0" w:color="auto"/>
        <w:left w:val="none" w:sz="0" w:space="0" w:color="auto"/>
        <w:bottom w:val="none" w:sz="0" w:space="0" w:color="auto"/>
        <w:right w:val="none" w:sz="0" w:space="0" w:color="auto"/>
      </w:divBdr>
    </w:div>
    <w:div w:id="1850829295">
      <w:bodyDiv w:val="1"/>
      <w:marLeft w:val="0"/>
      <w:marRight w:val="0"/>
      <w:marTop w:val="0"/>
      <w:marBottom w:val="0"/>
      <w:divBdr>
        <w:top w:val="none" w:sz="0" w:space="0" w:color="auto"/>
        <w:left w:val="none" w:sz="0" w:space="0" w:color="auto"/>
        <w:bottom w:val="none" w:sz="0" w:space="0" w:color="auto"/>
        <w:right w:val="none" w:sz="0" w:space="0" w:color="auto"/>
      </w:divBdr>
    </w:div>
    <w:div w:id="1867206291">
      <w:bodyDiv w:val="1"/>
      <w:marLeft w:val="0"/>
      <w:marRight w:val="0"/>
      <w:marTop w:val="0"/>
      <w:marBottom w:val="0"/>
      <w:divBdr>
        <w:top w:val="none" w:sz="0" w:space="0" w:color="auto"/>
        <w:left w:val="none" w:sz="0" w:space="0" w:color="auto"/>
        <w:bottom w:val="none" w:sz="0" w:space="0" w:color="auto"/>
        <w:right w:val="none" w:sz="0" w:space="0" w:color="auto"/>
      </w:divBdr>
    </w:div>
    <w:div w:id="1902207037">
      <w:bodyDiv w:val="1"/>
      <w:marLeft w:val="0"/>
      <w:marRight w:val="0"/>
      <w:marTop w:val="0"/>
      <w:marBottom w:val="0"/>
      <w:divBdr>
        <w:top w:val="none" w:sz="0" w:space="0" w:color="auto"/>
        <w:left w:val="none" w:sz="0" w:space="0" w:color="auto"/>
        <w:bottom w:val="none" w:sz="0" w:space="0" w:color="auto"/>
        <w:right w:val="none" w:sz="0" w:space="0" w:color="auto"/>
      </w:divBdr>
    </w:div>
    <w:div w:id="1945652129">
      <w:bodyDiv w:val="1"/>
      <w:marLeft w:val="0"/>
      <w:marRight w:val="0"/>
      <w:marTop w:val="0"/>
      <w:marBottom w:val="0"/>
      <w:divBdr>
        <w:top w:val="none" w:sz="0" w:space="0" w:color="auto"/>
        <w:left w:val="none" w:sz="0" w:space="0" w:color="auto"/>
        <w:bottom w:val="none" w:sz="0" w:space="0" w:color="auto"/>
        <w:right w:val="none" w:sz="0" w:space="0" w:color="auto"/>
      </w:divBdr>
    </w:div>
    <w:div w:id="1949968920">
      <w:bodyDiv w:val="1"/>
      <w:marLeft w:val="0"/>
      <w:marRight w:val="0"/>
      <w:marTop w:val="0"/>
      <w:marBottom w:val="0"/>
      <w:divBdr>
        <w:top w:val="none" w:sz="0" w:space="0" w:color="auto"/>
        <w:left w:val="none" w:sz="0" w:space="0" w:color="auto"/>
        <w:bottom w:val="none" w:sz="0" w:space="0" w:color="auto"/>
        <w:right w:val="none" w:sz="0" w:space="0" w:color="auto"/>
      </w:divBdr>
    </w:div>
    <w:div w:id="1953703847">
      <w:bodyDiv w:val="1"/>
      <w:marLeft w:val="0"/>
      <w:marRight w:val="0"/>
      <w:marTop w:val="0"/>
      <w:marBottom w:val="0"/>
      <w:divBdr>
        <w:top w:val="none" w:sz="0" w:space="0" w:color="auto"/>
        <w:left w:val="none" w:sz="0" w:space="0" w:color="auto"/>
        <w:bottom w:val="none" w:sz="0" w:space="0" w:color="auto"/>
        <w:right w:val="none" w:sz="0" w:space="0" w:color="auto"/>
      </w:divBdr>
    </w:div>
    <w:div w:id="1961572592">
      <w:bodyDiv w:val="1"/>
      <w:marLeft w:val="0"/>
      <w:marRight w:val="0"/>
      <w:marTop w:val="0"/>
      <w:marBottom w:val="0"/>
      <w:divBdr>
        <w:top w:val="none" w:sz="0" w:space="0" w:color="auto"/>
        <w:left w:val="none" w:sz="0" w:space="0" w:color="auto"/>
        <w:bottom w:val="none" w:sz="0" w:space="0" w:color="auto"/>
        <w:right w:val="none" w:sz="0" w:space="0" w:color="auto"/>
      </w:divBdr>
    </w:div>
    <w:div w:id="1961835223">
      <w:bodyDiv w:val="1"/>
      <w:marLeft w:val="0"/>
      <w:marRight w:val="0"/>
      <w:marTop w:val="0"/>
      <w:marBottom w:val="0"/>
      <w:divBdr>
        <w:top w:val="none" w:sz="0" w:space="0" w:color="auto"/>
        <w:left w:val="none" w:sz="0" w:space="0" w:color="auto"/>
        <w:bottom w:val="none" w:sz="0" w:space="0" w:color="auto"/>
        <w:right w:val="none" w:sz="0" w:space="0" w:color="auto"/>
      </w:divBdr>
    </w:div>
    <w:div w:id="1962376366">
      <w:bodyDiv w:val="1"/>
      <w:marLeft w:val="0"/>
      <w:marRight w:val="0"/>
      <w:marTop w:val="0"/>
      <w:marBottom w:val="0"/>
      <w:divBdr>
        <w:top w:val="none" w:sz="0" w:space="0" w:color="auto"/>
        <w:left w:val="none" w:sz="0" w:space="0" w:color="auto"/>
        <w:bottom w:val="none" w:sz="0" w:space="0" w:color="auto"/>
        <w:right w:val="none" w:sz="0" w:space="0" w:color="auto"/>
      </w:divBdr>
    </w:div>
    <w:div w:id="1972862260">
      <w:bodyDiv w:val="1"/>
      <w:marLeft w:val="0"/>
      <w:marRight w:val="0"/>
      <w:marTop w:val="0"/>
      <w:marBottom w:val="0"/>
      <w:divBdr>
        <w:top w:val="none" w:sz="0" w:space="0" w:color="auto"/>
        <w:left w:val="none" w:sz="0" w:space="0" w:color="auto"/>
        <w:bottom w:val="none" w:sz="0" w:space="0" w:color="auto"/>
        <w:right w:val="none" w:sz="0" w:space="0" w:color="auto"/>
      </w:divBdr>
    </w:div>
    <w:div w:id="1975016467">
      <w:bodyDiv w:val="1"/>
      <w:marLeft w:val="0"/>
      <w:marRight w:val="0"/>
      <w:marTop w:val="0"/>
      <w:marBottom w:val="0"/>
      <w:divBdr>
        <w:top w:val="none" w:sz="0" w:space="0" w:color="auto"/>
        <w:left w:val="none" w:sz="0" w:space="0" w:color="auto"/>
        <w:bottom w:val="none" w:sz="0" w:space="0" w:color="auto"/>
        <w:right w:val="none" w:sz="0" w:space="0" w:color="auto"/>
      </w:divBdr>
    </w:div>
    <w:div w:id="2002276002">
      <w:bodyDiv w:val="1"/>
      <w:marLeft w:val="0"/>
      <w:marRight w:val="0"/>
      <w:marTop w:val="0"/>
      <w:marBottom w:val="0"/>
      <w:divBdr>
        <w:top w:val="none" w:sz="0" w:space="0" w:color="auto"/>
        <w:left w:val="none" w:sz="0" w:space="0" w:color="auto"/>
        <w:bottom w:val="none" w:sz="0" w:space="0" w:color="auto"/>
        <w:right w:val="none" w:sz="0" w:space="0" w:color="auto"/>
      </w:divBdr>
    </w:div>
    <w:div w:id="2056268290">
      <w:bodyDiv w:val="1"/>
      <w:marLeft w:val="0"/>
      <w:marRight w:val="0"/>
      <w:marTop w:val="0"/>
      <w:marBottom w:val="0"/>
      <w:divBdr>
        <w:top w:val="none" w:sz="0" w:space="0" w:color="auto"/>
        <w:left w:val="none" w:sz="0" w:space="0" w:color="auto"/>
        <w:bottom w:val="none" w:sz="0" w:space="0" w:color="auto"/>
        <w:right w:val="none" w:sz="0" w:space="0" w:color="auto"/>
      </w:divBdr>
    </w:div>
    <w:div w:id="20912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tribal.nic.in/EMRS.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bps.in/wp-content/uploads/2024/11/Report.%20__" TargetMode="External"/><Relationship Id="rId7" Type="http://schemas.openxmlformats.org/officeDocument/2006/relationships/endnotes" Target="endnotes.xml"/><Relationship Id="rId12" Type="http://schemas.openxmlformats.org/officeDocument/2006/relationships/hyperlink" Target="https://censusindia.gov.in/census.website/data/census-tables" TargetMode="External"/><Relationship Id="rId17" Type="http://schemas.openxmlformats.org/officeDocument/2006/relationships/hyperlink" Target="https://cpetp.trti-maha.in" TargetMode="External"/><Relationship Id="rId25" Type="http://schemas.openxmlformats.org/officeDocument/2006/relationships/hyperlink" Target="https://tribal.nic.in/EMRS.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ellowship.trti-maha.in" TargetMode="External"/><Relationship Id="rId20" Type="http://schemas.openxmlformats.org/officeDocument/2006/relationships/hyperlink" Target="https://www.pib.gov.in/PressNoteDetails.aspx?NoteId=153230&amp;ModuleId=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cpetp.trti-maha.i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bps.in/wp-content/uploads/2024/11/Report.%20__" TargetMode="External"/><Relationship Id="rId23" Type="http://schemas.openxmlformats.org/officeDocument/2006/relationships/hyperlink" Target="https://fellowship.trti-maha.in" TargetMode="External"/><Relationship Id="rId28" Type="http://schemas.openxmlformats.org/officeDocument/2006/relationships/footer" Target="footer1.xml"/><Relationship Id="rId10" Type="http://schemas.openxmlformats.org/officeDocument/2006/relationships/hyperlink" Target="https://censusindia.gov.in/census.website/data/census-tables" TargetMode="External"/><Relationship Id="rId19" Type="http://schemas.openxmlformats.org/officeDocument/2006/relationships/hyperlink" Target="https://fellowship.trti-maha.i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pib.gov.in/PressNoteDetails.aspx?NoteId=153230&amp;ModuleId%203" TargetMode="External"/><Relationship Id="rId22" Type="http://schemas.openxmlformats.org/officeDocument/2006/relationships/hyperlink" Target="https://censusindia.gov.in/census.website/data/census-tabl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effectLst/>
                <a:latin typeface="Times New Roman" panose="02020603050405020304" pitchFamily="18" charset="0"/>
                <a:cs typeface="Times New Roman" panose="02020603050405020304" pitchFamily="18" charset="0"/>
              </a:rPr>
              <a:t>Rural vs Urban </a:t>
            </a:r>
            <a:r>
              <a:rPr lang="en-US" sz="1050" b="1">
                <a:effectLst/>
                <a:latin typeface="Arial" panose="020B0604020202020204" pitchFamily="34" charset="0"/>
                <a:cs typeface="Arial" panose="020B0604020202020204" pitchFamily="34" charset="0"/>
              </a:rPr>
              <a:t>Literacy</a:t>
            </a:r>
            <a:r>
              <a:rPr lang="en-US" sz="1200" b="1">
                <a:effectLst/>
                <a:latin typeface="Times New Roman" panose="02020603050405020304" pitchFamily="18" charset="0"/>
                <a:cs typeface="Times New Roman" panose="02020603050405020304" pitchFamily="18" charset="0"/>
              </a:rPr>
              <a:t> Rate (%) of STs in India by Gender and Literacy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Sheet1!$E$25</c:f>
              <c:strCache>
                <c:ptCount val="1"/>
                <c:pt idx="0">
                  <c:v>Male (%)</c:v>
                </c:pt>
              </c:strCache>
            </c:strRef>
          </c:tx>
          <c:spPr>
            <a:solidFill>
              <a:schemeClr val="accent1"/>
            </a:solidFill>
            <a:ln>
              <a:noFill/>
            </a:ln>
            <a:effectLst/>
          </c:spPr>
          <c:invertIfNegative val="0"/>
          <c:cat>
            <c:multiLvlStrRef>
              <c:f>Sheet1!$C$26:$D$31</c:f>
              <c:multiLvlStrCache>
                <c:ptCount val="6"/>
                <c:lvl>
                  <c:pt idx="0">
                    <c:v>Rural</c:v>
                  </c:pt>
                  <c:pt idx="1">
                    <c:v>Urban</c:v>
                  </c:pt>
                  <c:pt idx="2">
                    <c:v>Rural</c:v>
                  </c:pt>
                  <c:pt idx="3">
                    <c:v>Urban</c:v>
                  </c:pt>
                  <c:pt idx="4">
                    <c:v>Rural</c:v>
                  </c:pt>
                  <c:pt idx="5">
                    <c:v>Urban</c:v>
                  </c:pt>
                </c:lvl>
                <c:lvl>
                  <c:pt idx="0">
                    <c:v>1991</c:v>
                  </c:pt>
                  <c:pt idx="2">
                    <c:v>2001</c:v>
                  </c:pt>
                  <c:pt idx="4">
                    <c:v>2011</c:v>
                  </c:pt>
                </c:lvl>
              </c:multiLvlStrCache>
            </c:multiLvlStrRef>
          </c:cat>
          <c:val>
            <c:numRef>
              <c:f>Sheet1!$E$26:$E$31</c:f>
              <c:numCache>
                <c:formatCode>General</c:formatCode>
                <c:ptCount val="6"/>
                <c:pt idx="0">
                  <c:v>40.700000000000003</c:v>
                </c:pt>
                <c:pt idx="1">
                  <c:v>65.900000000000006</c:v>
                </c:pt>
                <c:pt idx="2">
                  <c:v>59.2</c:v>
                </c:pt>
                <c:pt idx="3">
                  <c:v>77.5</c:v>
                </c:pt>
                <c:pt idx="4">
                  <c:v>68</c:v>
                </c:pt>
                <c:pt idx="5">
                  <c:v>83.2</c:v>
                </c:pt>
              </c:numCache>
            </c:numRef>
          </c:val>
          <c:extLst>
            <c:ext xmlns:c16="http://schemas.microsoft.com/office/drawing/2014/chart" uri="{C3380CC4-5D6E-409C-BE32-E72D297353CC}">
              <c16:uniqueId val="{00000000-7F85-4BF4-ADBB-6DFA69892B00}"/>
            </c:ext>
          </c:extLst>
        </c:ser>
        <c:ser>
          <c:idx val="1"/>
          <c:order val="1"/>
          <c:tx>
            <c:strRef>
              <c:f>Sheet1!$F$25</c:f>
              <c:strCache>
                <c:ptCount val="1"/>
                <c:pt idx="0">
                  <c:v>Female (%)</c:v>
                </c:pt>
              </c:strCache>
            </c:strRef>
          </c:tx>
          <c:spPr>
            <a:solidFill>
              <a:schemeClr val="accent2"/>
            </a:solidFill>
            <a:ln>
              <a:noFill/>
            </a:ln>
            <a:effectLst/>
          </c:spPr>
          <c:invertIfNegative val="0"/>
          <c:cat>
            <c:multiLvlStrRef>
              <c:f>Sheet1!$C$26:$D$31</c:f>
              <c:multiLvlStrCache>
                <c:ptCount val="6"/>
                <c:lvl>
                  <c:pt idx="0">
                    <c:v>Rural</c:v>
                  </c:pt>
                  <c:pt idx="1">
                    <c:v>Urban</c:v>
                  </c:pt>
                  <c:pt idx="2">
                    <c:v>Rural</c:v>
                  </c:pt>
                  <c:pt idx="3">
                    <c:v>Urban</c:v>
                  </c:pt>
                  <c:pt idx="4">
                    <c:v>Rural</c:v>
                  </c:pt>
                  <c:pt idx="5">
                    <c:v>Urban</c:v>
                  </c:pt>
                </c:lvl>
                <c:lvl>
                  <c:pt idx="0">
                    <c:v>1991</c:v>
                  </c:pt>
                  <c:pt idx="2">
                    <c:v>2001</c:v>
                  </c:pt>
                  <c:pt idx="4">
                    <c:v>2011</c:v>
                  </c:pt>
                </c:lvl>
              </c:multiLvlStrCache>
            </c:multiLvlStrRef>
          </c:cat>
          <c:val>
            <c:numRef>
              <c:f>Sheet1!$F$26:$F$31</c:f>
              <c:numCache>
                <c:formatCode>General</c:formatCode>
                <c:ptCount val="6"/>
                <c:pt idx="0">
                  <c:v>14</c:v>
                </c:pt>
                <c:pt idx="1">
                  <c:v>39</c:v>
                </c:pt>
                <c:pt idx="2">
                  <c:v>34.799999999999997</c:v>
                </c:pt>
                <c:pt idx="3">
                  <c:v>58.2</c:v>
                </c:pt>
                <c:pt idx="4">
                  <c:v>49.4</c:v>
                </c:pt>
                <c:pt idx="5">
                  <c:v>70</c:v>
                </c:pt>
              </c:numCache>
            </c:numRef>
          </c:val>
          <c:extLst>
            <c:ext xmlns:c16="http://schemas.microsoft.com/office/drawing/2014/chart" uri="{C3380CC4-5D6E-409C-BE32-E72D297353CC}">
              <c16:uniqueId val="{00000001-7F85-4BF4-ADBB-6DFA69892B00}"/>
            </c:ext>
          </c:extLst>
        </c:ser>
        <c:ser>
          <c:idx val="2"/>
          <c:order val="2"/>
          <c:tx>
            <c:strRef>
              <c:f>Sheet1!$G$25</c:f>
              <c:strCache>
                <c:ptCount val="1"/>
                <c:pt idx="0">
                  <c:v>Total (%)</c:v>
                </c:pt>
              </c:strCache>
            </c:strRef>
          </c:tx>
          <c:spPr>
            <a:solidFill>
              <a:schemeClr val="accent6">
                <a:lumMod val="75000"/>
              </a:schemeClr>
            </a:solidFill>
            <a:ln>
              <a:noFill/>
            </a:ln>
            <a:effectLst/>
          </c:spPr>
          <c:invertIfNegative val="0"/>
          <c:cat>
            <c:multiLvlStrRef>
              <c:f>Sheet1!$C$26:$D$31</c:f>
              <c:multiLvlStrCache>
                <c:ptCount val="6"/>
                <c:lvl>
                  <c:pt idx="0">
                    <c:v>Rural</c:v>
                  </c:pt>
                  <c:pt idx="1">
                    <c:v>Urban</c:v>
                  </c:pt>
                  <c:pt idx="2">
                    <c:v>Rural</c:v>
                  </c:pt>
                  <c:pt idx="3">
                    <c:v>Urban</c:v>
                  </c:pt>
                  <c:pt idx="4">
                    <c:v>Rural</c:v>
                  </c:pt>
                  <c:pt idx="5">
                    <c:v>Urban</c:v>
                  </c:pt>
                </c:lvl>
                <c:lvl>
                  <c:pt idx="0">
                    <c:v>1991</c:v>
                  </c:pt>
                  <c:pt idx="2">
                    <c:v>2001</c:v>
                  </c:pt>
                  <c:pt idx="4">
                    <c:v>2011</c:v>
                  </c:pt>
                </c:lvl>
              </c:multiLvlStrCache>
            </c:multiLvlStrRef>
          </c:cat>
          <c:val>
            <c:numRef>
              <c:f>Sheet1!$G$26:$G$31</c:f>
              <c:numCache>
                <c:formatCode>General</c:formatCode>
                <c:ptCount val="6"/>
                <c:pt idx="0">
                  <c:v>27.9</c:v>
                </c:pt>
                <c:pt idx="1">
                  <c:v>52.3</c:v>
                </c:pt>
                <c:pt idx="2">
                  <c:v>47.1</c:v>
                </c:pt>
                <c:pt idx="3">
                  <c:v>68.099999999999994</c:v>
                </c:pt>
                <c:pt idx="4">
                  <c:v>58</c:v>
                </c:pt>
                <c:pt idx="5">
                  <c:v>76</c:v>
                </c:pt>
              </c:numCache>
            </c:numRef>
          </c:val>
          <c:extLst>
            <c:ext xmlns:c16="http://schemas.microsoft.com/office/drawing/2014/chart" uri="{C3380CC4-5D6E-409C-BE32-E72D297353CC}">
              <c16:uniqueId val="{00000002-7F85-4BF4-ADBB-6DFA69892B00}"/>
            </c:ext>
          </c:extLst>
        </c:ser>
        <c:ser>
          <c:idx val="3"/>
          <c:order val="3"/>
          <c:tx>
            <c:strRef>
              <c:f>Sheet1!$H$25</c:f>
              <c:strCache>
                <c:ptCount val="1"/>
                <c:pt idx="0">
                  <c:v>Literacy Gap (%)</c:v>
                </c:pt>
              </c:strCache>
            </c:strRef>
          </c:tx>
          <c:spPr>
            <a:solidFill>
              <a:srgbClr val="FF0066"/>
            </a:solidFill>
            <a:ln>
              <a:noFill/>
            </a:ln>
            <a:effectLst/>
          </c:spPr>
          <c:invertIfNegative val="0"/>
          <c:cat>
            <c:multiLvlStrRef>
              <c:f>Sheet1!$C$26:$D$31</c:f>
              <c:multiLvlStrCache>
                <c:ptCount val="6"/>
                <c:lvl>
                  <c:pt idx="0">
                    <c:v>Rural</c:v>
                  </c:pt>
                  <c:pt idx="1">
                    <c:v>Urban</c:v>
                  </c:pt>
                  <c:pt idx="2">
                    <c:v>Rural</c:v>
                  </c:pt>
                  <c:pt idx="3">
                    <c:v>Urban</c:v>
                  </c:pt>
                  <c:pt idx="4">
                    <c:v>Rural</c:v>
                  </c:pt>
                  <c:pt idx="5">
                    <c:v>Urban</c:v>
                  </c:pt>
                </c:lvl>
                <c:lvl>
                  <c:pt idx="0">
                    <c:v>1991</c:v>
                  </c:pt>
                  <c:pt idx="2">
                    <c:v>2001</c:v>
                  </c:pt>
                  <c:pt idx="4">
                    <c:v>2011</c:v>
                  </c:pt>
                </c:lvl>
              </c:multiLvlStrCache>
            </c:multiLvlStrRef>
          </c:cat>
          <c:val>
            <c:numRef>
              <c:f>Sheet1!$H$26:$H$31</c:f>
              <c:numCache>
                <c:formatCode>General</c:formatCode>
                <c:ptCount val="6"/>
                <c:pt idx="0">
                  <c:v>26.7</c:v>
                </c:pt>
                <c:pt idx="1">
                  <c:v>26.9</c:v>
                </c:pt>
                <c:pt idx="2">
                  <c:v>24.4</c:v>
                </c:pt>
                <c:pt idx="3">
                  <c:v>19.3</c:v>
                </c:pt>
                <c:pt idx="4">
                  <c:v>18.600000000000001</c:v>
                </c:pt>
                <c:pt idx="5">
                  <c:v>13.2</c:v>
                </c:pt>
              </c:numCache>
            </c:numRef>
          </c:val>
          <c:extLst>
            <c:ext xmlns:c16="http://schemas.microsoft.com/office/drawing/2014/chart" uri="{C3380CC4-5D6E-409C-BE32-E72D297353CC}">
              <c16:uniqueId val="{00000003-7F85-4BF4-ADBB-6DFA69892B00}"/>
            </c:ext>
          </c:extLst>
        </c:ser>
        <c:dLbls>
          <c:showLegendKey val="0"/>
          <c:showVal val="0"/>
          <c:showCatName val="0"/>
          <c:showSerName val="0"/>
          <c:showPercent val="0"/>
          <c:showBubbleSize val="0"/>
        </c:dLbls>
        <c:gapWidth val="219"/>
        <c:overlap val="-27"/>
        <c:axId val="166572288"/>
        <c:axId val="166593408"/>
      </c:barChart>
      <c:catAx>
        <c:axId val="16657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6593408"/>
        <c:crosses val="autoZero"/>
        <c:auto val="1"/>
        <c:lblAlgn val="ctr"/>
        <c:lblOffset val="100"/>
        <c:noMultiLvlLbl val="0"/>
      </c:catAx>
      <c:valAx>
        <c:axId val="16659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657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effectLst/>
                <a:latin typeface="Arial" panose="020B0604020202020204" pitchFamily="34" charset="0"/>
                <a:cs typeface="Arial" panose="020B0604020202020204" pitchFamily="34" charset="0"/>
              </a:rPr>
              <a:t>Administrative division-wise three most dominant ST literate districts in Maharashtra </a:t>
            </a:r>
            <a:endParaRPr lang="en-US" sz="10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Sheet1!$D$51</c:f>
              <c:strCache>
                <c:ptCount val="1"/>
                <c:pt idx="0">
                  <c:v>Total Literacy Rate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Sheet1!$B$52:$C$69</c:f>
              <c:multiLvlStrCache>
                <c:ptCount val="18"/>
                <c:lvl>
                  <c:pt idx="0">
                    <c:v>Palghar</c:v>
                  </c:pt>
                  <c:pt idx="1">
                    <c:v>Raigad</c:v>
                  </c:pt>
                  <c:pt idx="2">
                    <c:v>Thane</c:v>
                  </c:pt>
                  <c:pt idx="3">
                    <c:v>Nandurbar</c:v>
                  </c:pt>
                  <c:pt idx="4">
                    <c:v>Dhule</c:v>
                  </c:pt>
                  <c:pt idx="5">
                    <c:v>Nashik</c:v>
                  </c:pt>
                  <c:pt idx="6">
                    <c:v>Pune</c:v>
                  </c:pt>
                  <c:pt idx="7">
                    <c:v>Solapur</c:v>
                  </c:pt>
                  <c:pt idx="8">
                    <c:v>Satara</c:v>
                  </c:pt>
                  <c:pt idx="9">
                    <c:v>Hingoli</c:v>
                  </c:pt>
                  <c:pt idx="10">
                    <c:v>Nanded</c:v>
                  </c:pt>
                  <c:pt idx="11">
                    <c:v>Ch. Sambhaji Nagar</c:v>
                  </c:pt>
                  <c:pt idx="12">
                    <c:v>Yavatmal</c:v>
                  </c:pt>
                  <c:pt idx="13">
                    <c:v>Amravati</c:v>
                  </c:pt>
                  <c:pt idx="14">
                    <c:v>Washim</c:v>
                  </c:pt>
                  <c:pt idx="15">
                    <c:v>Gadchiroli</c:v>
                  </c:pt>
                  <c:pt idx="16">
                    <c:v>Chandrapur</c:v>
                  </c:pt>
                  <c:pt idx="17">
                    <c:v>Gondia</c:v>
                  </c:pt>
                </c:lvl>
                <c:lvl>
                  <c:pt idx="0">
                    <c:v>Konkan </c:v>
                  </c:pt>
                  <c:pt idx="3">
                    <c:v>Nashik </c:v>
                  </c:pt>
                  <c:pt idx="6">
                    <c:v>Pune </c:v>
                  </c:pt>
                  <c:pt idx="9">
                    <c:v>Chh. Sambhaji Nagar</c:v>
                  </c:pt>
                  <c:pt idx="12">
                    <c:v>Amravati </c:v>
                  </c:pt>
                  <c:pt idx="15">
                    <c:v>Nagpur</c:v>
                  </c:pt>
                </c:lvl>
              </c:multiLvlStrCache>
            </c:multiLvlStrRef>
          </c:cat>
          <c:val>
            <c:numRef>
              <c:f>Sheet1!$D$52:$D$69</c:f>
              <c:numCache>
                <c:formatCode>General</c:formatCode>
                <c:ptCount val="18"/>
                <c:pt idx="0">
                  <c:v>66.650000000000006</c:v>
                </c:pt>
                <c:pt idx="1">
                  <c:v>83.14</c:v>
                </c:pt>
                <c:pt idx="2">
                  <c:v>84.53</c:v>
                </c:pt>
                <c:pt idx="3">
                  <c:v>63</c:v>
                </c:pt>
                <c:pt idx="4">
                  <c:v>72.8</c:v>
                </c:pt>
                <c:pt idx="5">
                  <c:v>82.31</c:v>
                </c:pt>
                <c:pt idx="6">
                  <c:v>86.15</c:v>
                </c:pt>
                <c:pt idx="7">
                  <c:v>77.02</c:v>
                </c:pt>
                <c:pt idx="8">
                  <c:v>82.87</c:v>
                </c:pt>
                <c:pt idx="9">
                  <c:v>78.17</c:v>
                </c:pt>
                <c:pt idx="10">
                  <c:v>75.45</c:v>
                </c:pt>
                <c:pt idx="11">
                  <c:v>82.91</c:v>
                </c:pt>
                <c:pt idx="12">
                  <c:v>80.7</c:v>
                </c:pt>
                <c:pt idx="13">
                  <c:v>84.81</c:v>
                </c:pt>
                <c:pt idx="14">
                  <c:v>81.7</c:v>
                </c:pt>
                <c:pt idx="15">
                  <c:v>74.36</c:v>
                </c:pt>
                <c:pt idx="16">
                  <c:v>84.7</c:v>
                </c:pt>
                <c:pt idx="17">
                  <c:v>84.19</c:v>
                </c:pt>
              </c:numCache>
            </c:numRef>
          </c:val>
          <c:extLst>
            <c:ext xmlns:c16="http://schemas.microsoft.com/office/drawing/2014/chart" uri="{C3380CC4-5D6E-409C-BE32-E72D297353CC}">
              <c16:uniqueId val="{00000000-F81C-454E-A196-3CCED6AD089D}"/>
            </c:ext>
          </c:extLst>
        </c:ser>
        <c:ser>
          <c:idx val="1"/>
          <c:order val="1"/>
          <c:tx>
            <c:strRef>
              <c:f>Sheet1!$E$51</c:f>
              <c:strCache>
                <c:ptCount val="1"/>
                <c:pt idx="0">
                  <c:v>ST Literacy Rate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Sheet1!$B$52:$C$69</c:f>
              <c:multiLvlStrCache>
                <c:ptCount val="18"/>
                <c:lvl>
                  <c:pt idx="0">
                    <c:v>Palghar</c:v>
                  </c:pt>
                  <c:pt idx="1">
                    <c:v>Raigad</c:v>
                  </c:pt>
                  <c:pt idx="2">
                    <c:v>Thane</c:v>
                  </c:pt>
                  <c:pt idx="3">
                    <c:v>Nandurbar</c:v>
                  </c:pt>
                  <c:pt idx="4">
                    <c:v>Dhule</c:v>
                  </c:pt>
                  <c:pt idx="5">
                    <c:v>Nashik</c:v>
                  </c:pt>
                  <c:pt idx="6">
                    <c:v>Pune</c:v>
                  </c:pt>
                  <c:pt idx="7">
                    <c:v>Solapur</c:v>
                  </c:pt>
                  <c:pt idx="8">
                    <c:v>Satara</c:v>
                  </c:pt>
                  <c:pt idx="9">
                    <c:v>Hingoli</c:v>
                  </c:pt>
                  <c:pt idx="10">
                    <c:v>Nanded</c:v>
                  </c:pt>
                  <c:pt idx="11">
                    <c:v>Ch. Sambhaji Nagar</c:v>
                  </c:pt>
                  <c:pt idx="12">
                    <c:v>Yavatmal</c:v>
                  </c:pt>
                  <c:pt idx="13">
                    <c:v>Amravati</c:v>
                  </c:pt>
                  <c:pt idx="14">
                    <c:v>Washim</c:v>
                  </c:pt>
                  <c:pt idx="15">
                    <c:v>Gadchiroli</c:v>
                  </c:pt>
                  <c:pt idx="16">
                    <c:v>Chandrapur</c:v>
                  </c:pt>
                  <c:pt idx="17">
                    <c:v>Gondia</c:v>
                  </c:pt>
                </c:lvl>
                <c:lvl>
                  <c:pt idx="0">
                    <c:v>Konkan </c:v>
                  </c:pt>
                  <c:pt idx="3">
                    <c:v>Nashik </c:v>
                  </c:pt>
                  <c:pt idx="6">
                    <c:v>Pune </c:v>
                  </c:pt>
                  <c:pt idx="9">
                    <c:v>Chh. Sambhaji Nagar</c:v>
                  </c:pt>
                  <c:pt idx="12">
                    <c:v>Amravati </c:v>
                  </c:pt>
                  <c:pt idx="15">
                    <c:v>Nagpur</c:v>
                  </c:pt>
                </c:lvl>
              </c:multiLvlStrCache>
            </c:multiLvlStrRef>
          </c:cat>
          <c:val>
            <c:numRef>
              <c:f>Sheet1!$E$52:$E$69</c:f>
              <c:numCache>
                <c:formatCode>General</c:formatCode>
                <c:ptCount val="18"/>
                <c:pt idx="0">
                  <c:v>49.37</c:v>
                </c:pt>
                <c:pt idx="1">
                  <c:v>65.12</c:v>
                </c:pt>
                <c:pt idx="2">
                  <c:v>68.41</c:v>
                </c:pt>
                <c:pt idx="3">
                  <c:v>46.67</c:v>
                </c:pt>
                <c:pt idx="4">
                  <c:v>54.55</c:v>
                </c:pt>
                <c:pt idx="5">
                  <c:v>63.78</c:v>
                </c:pt>
                <c:pt idx="6">
                  <c:v>64.290000000000006</c:v>
                </c:pt>
                <c:pt idx="7">
                  <c:v>59.88</c:v>
                </c:pt>
                <c:pt idx="8">
                  <c:v>66.099999999999994</c:v>
                </c:pt>
                <c:pt idx="9">
                  <c:v>60.01</c:v>
                </c:pt>
                <c:pt idx="10">
                  <c:v>57.8</c:v>
                </c:pt>
                <c:pt idx="11">
                  <c:v>61.95</c:v>
                </c:pt>
                <c:pt idx="12">
                  <c:v>60.74</c:v>
                </c:pt>
                <c:pt idx="13">
                  <c:v>66.58</c:v>
                </c:pt>
                <c:pt idx="14">
                  <c:v>64.33</c:v>
                </c:pt>
                <c:pt idx="15">
                  <c:v>57.24</c:v>
                </c:pt>
                <c:pt idx="16">
                  <c:v>65.3</c:v>
                </c:pt>
                <c:pt idx="17">
                  <c:v>67.84</c:v>
                </c:pt>
              </c:numCache>
            </c:numRef>
          </c:val>
          <c:extLst>
            <c:ext xmlns:c16="http://schemas.microsoft.com/office/drawing/2014/chart" uri="{C3380CC4-5D6E-409C-BE32-E72D297353CC}">
              <c16:uniqueId val="{00000001-F81C-454E-A196-3CCED6AD089D}"/>
            </c:ext>
          </c:extLst>
        </c:ser>
        <c:ser>
          <c:idx val="2"/>
          <c:order val="2"/>
          <c:tx>
            <c:strRef>
              <c:f>Sheet1!$F$51</c:f>
              <c:strCache>
                <c:ptCount val="1"/>
                <c:pt idx="0">
                  <c:v>Literacy Gap (%)</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Sheet1!$B$52:$C$69</c:f>
              <c:multiLvlStrCache>
                <c:ptCount val="18"/>
                <c:lvl>
                  <c:pt idx="0">
                    <c:v>Palghar</c:v>
                  </c:pt>
                  <c:pt idx="1">
                    <c:v>Raigad</c:v>
                  </c:pt>
                  <c:pt idx="2">
                    <c:v>Thane</c:v>
                  </c:pt>
                  <c:pt idx="3">
                    <c:v>Nandurbar</c:v>
                  </c:pt>
                  <c:pt idx="4">
                    <c:v>Dhule</c:v>
                  </c:pt>
                  <c:pt idx="5">
                    <c:v>Nashik</c:v>
                  </c:pt>
                  <c:pt idx="6">
                    <c:v>Pune</c:v>
                  </c:pt>
                  <c:pt idx="7">
                    <c:v>Solapur</c:v>
                  </c:pt>
                  <c:pt idx="8">
                    <c:v>Satara</c:v>
                  </c:pt>
                  <c:pt idx="9">
                    <c:v>Hingoli</c:v>
                  </c:pt>
                  <c:pt idx="10">
                    <c:v>Nanded</c:v>
                  </c:pt>
                  <c:pt idx="11">
                    <c:v>Ch. Sambhaji Nagar</c:v>
                  </c:pt>
                  <c:pt idx="12">
                    <c:v>Yavatmal</c:v>
                  </c:pt>
                  <c:pt idx="13">
                    <c:v>Amravati</c:v>
                  </c:pt>
                  <c:pt idx="14">
                    <c:v>Washim</c:v>
                  </c:pt>
                  <c:pt idx="15">
                    <c:v>Gadchiroli</c:v>
                  </c:pt>
                  <c:pt idx="16">
                    <c:v>Chandrapur</c:v>
                  </c:pt>
                  <c:pt idx="17">
                    <c:v>Gondia</c:v>
                  </c:pt>
                </c:lvl>
                <c:lvl>
                  <c:pt idx="0">
                    <c:v>Konkan </c:v>
                  </c:pt>
                  <c:pt idx="3">
                    <c:v>Nashik </c:v>
                  </c:pt>
                  <c:pt idx="6">
                    <c:v>Pune </c:v>
                  </c:pt>
                  <c:pt idx="9">
                    <c:v>Chh. Sambhaji Nagar</c:v>
                  </c:pt>
                  <c:pt idx="12">
                    <c:v>Amravati </c:v>
                  </c:pt>
                  <c:pt idx="15">
                    <c:v>Nagpur</c:v>
                  </c:pt>
                </c:lvl>
              </c:multiLvlStrCache>
            </c:multiLvlStrRef>
          </c:cat>
          <c:val>
            <c:numRef>
              <c:f>Sheet1!$F$52:$F$69</c:f>
              <c:numCache>
                <c:formatCode>General</c:formatCode>
                <c:ptCount val="18"/>
                <c:pt idx="0">
                  <c:v>17.28</c:v>
                </c:pt>
                <c:pt idx="1">
                  <c:v>18.02</c:v>
                </c:pt>
                <c:pt idx="2">
                  <c:v>16.12</c:v>
                </c:pt>
                <c:pt idx="3">
                  <c:v>16.329999999999998</c:v>
                </c:pt>
                <c:pt idx="4">
                  <c:v>18.25</c:v>
                </c:pt>
                <c:pt idx="5">
                  <c:v>18.53</c:v>
                </c:pt>
                <c:pt idx="6">
                  <c:v>21.86</c:v>
                </c:pt>
                <c:pt idx="7">
                  <c:v>17.14</c:v>
                </c:pt>
                <c:pt idx="8">
                  <c:v>16.77</c:v>
                </c:pt>
                <c:pt idx="9">
                  <c:v>18.16</c:v>
                </c:pt>
                <c:pt idx="10">
                  <c:v>17.649999999999999</c:v>
                </c:pt>
                <c:pt idx="11">
                  <c:v>20.96</c:v>
                </c:pt>
                <c:pt idx="12">
                  <c:v>19.96</c:v>
                </c:pt>
                <c:pt idx="13">
                  <c:v>18.23</c:v>
                </c:pt>
                <c:pt idx="14">
                  <c:v>17.37</c:v>
                </c:pt>
                <c:pt idx="15">
                  <c:v>17.12</c:v>
                </c:pt>
                <c:pt idx="16">
                  <c:v>19.399999999999999</c:v>
                </c:pt>
                <c:pt idx="17">
                  <c:v>16.350000000000001</c:v>
                </c:pt>
              </c:numCache>
            </c:numRef>
          </c:val>
          <c:extLst>
            <c:ext xmlns:c16="http://schemas.microsoft.com/office/drawing/2014/chart" uri="{C3380CC4-5D6E-409C-BE32-E72D297353CC}">
              <c16:uniqueId val="{00000002-F81C-454E-A196-3CCED6AD089D}"/>
            </c:ext>
          </c:extLst>
        </c:ser>
        <c:dLbls>
          <c:dLblPos val="outEnd"/>
          <c:showLegendKey val="0"/>
          <c:showVal val="1"/>
          <c:showCatName val="0"/>
          <c:showSerName val="0"/>
          <c:showPercent val="0"/>
          <c:showBubbleSize val="0"/>
        </c:dLbls>
        <c:gapWidth val="444"/>
        <c:overlap val="-90"/>
        <c:axId val="224034240"/>
        <c:axId val="325333216"/>
      </c:barChart>
      <c:catAx>
        <c:axId val="224034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325333216"/>
        <c:crosses val="autoZero"/>
        <c:auto val="1"/>
        <c:lblAlgn val="ctr"/>
        <c:lblOffset val="100"/>
        <c:noMultiLvlLbl val="0"/>
      </c:catAx>
      <c:valAx>
        <c:axId val="325333216"/>
        <c:scaling>
          <c:orientation val="minMax"/>
        </c:scaling>
        <c:delete val="1"/>
        <c:axPos val="l"/>
        <c:numFmt formatCode="General" sourceLinked="1"/>
        <c:majorTickMark val="none"/>
        <c:minorTickMark val="none"/>
        <c:tickLblPos val="nextTo"/>
        <c:crossAx val="224034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Sheet1!$E$111</c:f>
              <c:strCache>
                <c:ptCount val="1"/>
                <c:pt idx="0">
                  <c:v>Male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multiLvlStrRef>
              <c:f>Sheet1!$B$112:$D$129</c:f>
              <c:multiLvlStrCache>
                <c:ptCount val="18"/>
                <c:lvl>
                  <c:pt idx="0">
                    <c:v>Rural</c:v>
                  </c:pt>
                  <c:pt idx="1">
                    <c:v>Urban</c:v>
                  </c:pt>
                  <c:pt idx="2">
                    <c:v>Rural</c:v>
                  </c:pt>
                  <c:pt idx="3">
                    <c:v>Urban</c:v>
                  </c:pt>
                  <c:pt idx="4">
                    <c:v>Rural</c:v>
                  </c:pt>
                  <c:pt idx="5">
                    <c:v>Urban</c:v>
                  </c:pt>
                  <c:pt idx="6">
                    <c:v>Rural</c:v>
                  </c:pt>
                  <c:pt idx="7">
                    <c:v>Urban</c:v>
                  </c:pt>
                  <c:pt idx="8">
                    <c:v>Rural</c:v>
                  </c:pt>
                  <c:pt idx="9">
                    <c:v>Urban</c:v>
                  </c:pt>
                  <c:pt idx="10">
                    <c:v>Rural</c:v>
                  </c:pt>
                  <c:pt idx="11">
                    <c:v>Urban</c:v>
                  </c:pt>
                  <c:pt idx="12">
                    <c:v>Rural</c:v>
                  </c:pt>
                  <c:pt idx="13">
                    <c:v>Urban</c:v>
                  </c:pt>
                  <c:pt idx="14">
                    <c:v>Rural</c:v>
                  </c:pt>
                  <c:pt idx="15">
                    <c:v>Urban</c:v>
                  </c:pt>
                  <c:pt idx="16">
                    <c:v>Rural</c:v>
                  </c:pt>
                  <c:pt idx="17">
                    <c:v>Urban</c:v>
                  </c:pt>
                </c:lvl>
                <c:lvl>
                  <c:pt idx="0">
                    <c:v>Maharashtra</c:v>
                  </c:pt>
                  <c:pt idx="2">
                    <c:v>Pune </c:v>
                  </c:pt>
                  <c:pt idx="4">
                    <c:v>Junnar </c:v>
                  </c:pt>
                  <c:pt idx="6">
                    <c:v>Maharashtra</c:v>
                  </c:pt>
                  <c:pt idx="8">
                    <c:v>Pune </c:v>
                  </c:pt>
                  <c:pt idx="10">
                    <c:v>Junnar </c:v>
                  </c:pt>
                  <c:pt idx="12">
                    <c:v>Maharashtra</c:v>
                  </c:pt>
                  <c:pt idx="14">
                    <c:v>Pune </c:v>
                  </c:pt>
                  <c:pt idx="16">
                    <c:v>Junnar </c:v>
                  </c:pt>
                </c:lvl>
                <c:lvl>
                  <c:pt idx="0">
                    <c:v>1991</c:v>
                  </c:pt>
                  <c:pt idx="6">
                    <c:v>2001</c:v>
                  </c:pt>
                  <c:pt idx="12">
                    <c:v>2011</c:v>
                  </c:pt>
                </c:lvl>
              </c:multiLvlStrCache>
            </c:multiLvlStrRef>
          </c:cat>
          <c:val>
            <c:numRef>
              <c:f>Sheet1!$E$112:$E$129</c:f>
              <c:numCache>
                <c:formatCode>General</c:formatCode>
                <c:ptCount val="18"/>
                <c:pt idx="0">
                  <c:v>41</c:v>
                </c:pt>
                <c:pt idx="1">
                  <c:v>58.6</c:v>
                </c:pt>
                <c:pt idx="2">
                  <c:v>42.1</c:v>
                </c:pt>
                <c:pt idx="3">
                  <c:v>59.5</c:v>
                </c:pt>
                <c:pt idx="4">
                  <c:v>38.200000000000003</c:v>
                </c:pt>
                <c:pt idx="5">
                  <c:v>55.6</c:v>
                </c:pt>
                <c:pt idx="6">
                  <c:v>56.3</c:v>
                </c:pt>
                <c:pt idx="7">
                  <c:v>73</c:v>
                </c:pt>
                <c:pt idx="8">
                  <c:v>58.6</c:v>
                </c:pt>
                <c:pt idx="9">
                  <c:v>74.3</c:v>
                </c:pt>
                <c:pt idx="10">
                  <c:v>54.7</c:v>
                </c:pt>
                <c:pt idx="11">
                  <c:v>70.400000000000006</c:v>
                </c:pt>
                <c:pt idx="12">
                  <c:v>71</c:v>
                </c:pt>
                <c:pt idx="13">
                  <c:v>87.1</c:v>
                </c:pt>
                <c:pt idx="14">
                  <c:v>72.8</c:v>
                </c:pt>
                <c:pt idx="15">
                  <c:v>86.5</c:v>
                </c:pt>
                <c:pt idx="16">
                  <c:v>70.3</c:v>
                </c:pt>
                <c:pt idx="17">
                  <c:v>85.1</c:v>
                </c:pt>
              </c:numCache>
            </c:numRef>
          </c:val>
          <c:extLst>
            <c:ext xmlns:c16="http://schemas.microsoft.com/office/drawing/2014/chart" uri="{C3380CC4-5D6E-409C-BE32-E72D297353CC}">
              <c16:uniqueId val="{00000000-C62F-4487-AA5B-67CA4D2A6F9C}"/>
            </c:ext>
          </c:extLst>
        </c:ser>
        <c:ser>
          <c:idx val="1"/>
          <c:order val="1"/>
          <c:tx>
            <c:strRef>
              <c:f>Sheet1!$F$111</c:f>
              <c:strCache>
                <c:ptCount val="1"/>
                <c:pt idx="0">
                  <c:v>Female (%)</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multiLvlStrRef>
              <c:f>Sheet1!$B$112:$D$129</c:f>
              <c:multiLvlStrCache>
                <c:ptCount val="18"/>
                <c:lvl>
                  <c:pt idx="0">
                    <c:v>Rural</c:v>
                  </c:pt>
                  <c:pt idx="1">
                    <c:v>Urban</c:v>
                  </c:pt>
                  <c:pt idx="2">
                    <c:v>Rural</c:v>
                  </c:pt>
                  <c:pt idx="3">
                    <c:v>Urban</c:v>
                  </c:pt>
                  <c:pt idx="4">
                    <c:v>Rural</c:v>
                  </c:pt>
                  <c:pt idx="5">
                    <c:v>Urban</c:v>
                  </c:pt>
                  <c:pt idx="6">
                    <c:v>Rural</c:v>
                  </c:pt>
                  <c:pt idx="7">
                    <c:v>Urban</c:v>
                  </c:pt>
                  <c:pt idx="8">
                    <c:v>Rural</c:v>
                  </c:pt>
                  <c:pt idx="9">
                    <c:v>Urban</c:v>
                  </c:pt>
                  <c:pt idx="10">
                    <c:v>Rural</c:v>
                  </c:pt>
                  <c:pt idx="11">
                    <c:v>Urban</c:v>
                  </c:pt>
                  <c:pt idx="12">
                    <c:v>Rural</c:v>
                  </c:pt>
                  <c:pt idx="13">
                    <c:v>Urban</c:v>
                  </c:pt>
                  <c:pt idx="14">
                    <c:v>Rural</c:v>
                  </c:pt>
                  <c:pt idx="15">
                    <c:v>Urban</c:v>
                  </c:pt>
                  <c:pt idx="16">
                    <c:v>Rural</c:v>
                  </c:pt>
                  <c:pt idx="17">
                    <c:v>Urban</c:v>
                  </c:pt>
                </c:lvl>
                <c:lvl>
                  <c:pt idx="0">
                    <c:v>Maharashtra</c:v>
                  </c:pt>
                  <c:pt idx="2">
                    <c:v>Pune </c:v>
                  </c:pt>
                  <c:pt idx="4">
                    <c:v>Junnar </c:v>
                  </c:pt>
                  <c:pt idx="6">
                    <c:v>Maharashtra</c:v>
                  </c:pt>
                  <c:pt idx="8">
                    <c:v>Pune </c:v>
                  </c:pt>
                  <c:pt idx="10">
                    <c:v>Junnar </c:v>
                  </c:pt>
                  <c:pt idx="12">
                    <c:v>Maharashtra</c:v>
                  </c:pt>
                  <c:pt idx="14">
                    <c:v>Pune </c:v>
                  </c:pt>
                  <c:pt idx="16">
                    <c:v>Junnar </c:v>
                  </c:pt>
                </c:lvl>
                <c:lvl>
                  <c:pt idx="0">
                    <c:v>1991</c:v>
                  </c:pt>
                  <c:pt idx="6">
                    <c:v>2001</c:v>
                  </c:pt>
                  <c:pt idx="12">
                    <c:v>2011</c:v>
                  </c:pt>
                </c:lvl>
              </c:multiLvlStrCache>
            </c:multiLvlStrRef>
          </c:cat>
          <c:val>
            <c:numRef>
              <c:f>Sheet1!$F$112:$F$129</c:f>
              <c:numCache>
                <c:formatCode>General</c:formatCode>
                <c:ptCount val="18"/>
                <c:pt idx="0">
                  <c:v>18</c:v>
                </c:pt>
                <c:pt idx="1">
                  <c:v>33.4</c:v>
                </c:pt>
                <c:pt idx="2">
                  <c:v>19.8</c:v>
                </c:pt>
                <c:pt idx="3">
                  <c:v>34.200000000000003</c:v>
                </c:pt>
                <c:pt idx="4">
                  <c:v>17.399999999999999</c:v>
                </c:pt>
                <c:pt idx="5">
                  <c:v>30.8</c:v>
                </c:pt>
                <c:pt idx="6">
                  <c:v>32.4</c:v>
                </c:pt>
                <c:pt idx="7">
                  <c:v>49.2</c:v>
                </c:pt>
                <c:pt idx="8">
                  <c:v>36.9</c:v>
                </c:pt>
                <c:pt idx="9">
                  <c:v>54.1</c:v>
                </c:pt>
                <c:pt idx="10">
                  <c:v>33.5</c:v>
                </c:pt>
                <c:pt idx="11">
                  <c:v>50.1</c:v>
                </c:pt>
                <c:pt idx="12">
                  <c:v>52.3</c:v>
                </c:pt>
                <c:pt idx="13">
                  <c:v>72.5</c:v>
                </c:pt>
                <c:pt idx="14">
                  <c:v>54.2</c:v>
                </c:pt>
                <c:pt idx="15">
                  <c:v>72.400000000000006</c:v>
                </c:pt>
                <c:pt idx="16">
                  <c:v>51.6</c:v>
                </c:pt>
                <c:pt idx="17">
                  <c:v>70.2</c:v>
                </c:pt>
              </c:numCache>
            </c:numRef>
          </c:val>
          <c:extLst>
            <c:ext xmlns:c16="http://schemas.microsoft.com/office/drawing/2014/chart" uri="{C3380CC4-5D6E-409C-BE32-E72D297353CC}">
              <c16:uniqueId val="{00000001-C62F-4487-AA5B-67CA4D2A6F9C}"/>
            </c:ext>
          </c:extLst>
        </c:ser>
        <c:ser>
          <c:idx val="2"/>
          <c:order val="2"/>
          <c:tx>
            <c:strRef>
              <c:f>Sheet1!$G$111</c:f>
              <c:strCache>
                <c:ptCount val="1"/>
                <c:pt idx="0">
                  <c:v>Total (%)</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cat>
            <c:multiLvlStrRef>
              <c:f>Sheet1!$B$112:$D$129</c:f>
              <c:multiLvlStrCache>
                <c:ptCount val="18"/>
                <c:lvl>
                  <c:pt idx="0">
                    <c:v>Rural</c:v>
                  </c:pt>
                  <c:pt idx="1">
                    <c:v>Urban</c:v>
                  </c:pt>
                  <c:pt idx="2">
                    <c:v>Rural</c:v>
                  </c:pt>
                  <c:pt idx="3">
                    <c:v>Urban</c:v>
                  </c:pt>
                  <c:pt idx="4">
                    <c:v>Rural</c:v>
                  </c:pt>
                  <c:pt idx="5">
                    <c:v>Urban</c:v>
                  </c:pt>
                  <c:pt idx="6">
                    <c:v>Rural</c:v>
                  </c:pt>
                  <c:pt idx="7">
                    <c:v>Urban</c:v>
                  </c:pt>
                  <c:pt idx="8">
                    <c:v>Rural</c:v>
                  </c:pt>
                  <c:pt idx="9">
                    <c:v>Urban</c:v>
                  </c:pt>
                  <c:pt idx="10">
                    <c:v>Rural</c:v>
                  </c:pt>
                  <c:pt idx="11">
                    <c:v>Urban</c:v>
                  </c:pt>
                  <c:pt idx="12">
                    <c:v>Rural</c:v>
                  </c:pt>
                  <c:pt idx="13">
                    <c:v>Urban</c:v>
                  </c:pt>
                  <c:pt idx="14">
                    <c:v>Rural</c:v>
                  </c:pt>
                  <c:pt idx="15">
                    <c:v>Urban</c:v>
                  </c:pt>
                  <c:pt idx="16">
                    <c:v>Rural</c:v>
                  </c:pt>
                  <c:pt idx="17">
                    <c:v>Urban</c:v>
                  </c:pt>
                </c:lvl>
                <c:lvl>
                  <c:pt idx="0">
                    <c:v>Maharashtra</c:v>
                  </c:pt>
                  <c:pt idx="2">
                    <c:v>Pune </c:v>
                  </c:pt>
                  <c:pt idx="4">
                    <c:v>Junnar </c:v>
                  </c:pt>
                  <c:pt idx="6">
                    <c:v>Maharashtra</c:v>
                  </c:pt>
                  <c:pt idx="8">
                    <c:v>Pune </c:v>
                  </c:pt>
                  <c:pt idx="10">
                    <c:v>Junnar </c:v>
                  </c:pt>
                  <c:pt idx="12">
                    <c:v>Maharashtra</c:v>
                  </c:pt>
                  <c:pt idx="14">
                    <c:v>Pune </c:v>
                  </c:pt>
                  <c:pt idx="16">
                    <c:v>Junnar </c:v>
                  </c:pt>
                </c:lvl>
                <c:lvl>
                  <c:pt idx="0">
                    <c:v>1991</c:v>
                  </c:pt>
                  <c:pt idx="6">
                    <c:v>2001</c:v>
                  </c:pt>
                  <c:pt idx="12">
                    <c:v>2011</c:v>
                  </c:pt>
                </c:lvl>
              </c:multiLvlStrCache>
            </c:multiLvlStrRef>
          </c:cat>
          <c:val>
            <c:numRef>
              <c:f>Sheet1!$G$112:$G$129</c:f>
              <c:numCache>
                <c:formatCode>General</c:formatCode>
                <c:ptCount val="18"/>
                <c:pt idx="0">
                  <c:v>29.5</c:v>
                </c:pt>
                <c:pt idx="1">
                  <c:v>45.8</c:v>
                </c:pt>
                <c:pt idx="2">
                  <c:v>30.8</c:v>
                </c:pt>
                <c:pt idx="3">
                  <c:v>46.9</c:v>
                </c:pt>
                <c:pt idx="4">
                  <c:v>28.1</c:v>
                </c:pt>
                <c:pt idx="5">
                  <c:v>43.3</c:v>
                </c:pt>
                <c:pt idx="6">
                  <c:v>44.5</c:v>
                </c:pt>
                <c:pt idx="7">
                  <c:v>61.4</c:v>
                </c:pt>
                <c:pt idx="8">
                  <c:v>47.8</c:v>
                </c:pt>
                <c:pt idx="9">
                  <c:v>64.099999999999994</c:v>
                </c:pt>
                <c:pt idx="10">
                  <c:v>44.2</c:v>
                </c:pt>
                <c:pt idx="11">
                  <c:v>60.3</c:v>
                </c:pt>
                <c:pt idx="12">
                  <c:v>61.9</c:v>
                </c:pt>
                <c:pt idx="13">
                  <c:v>79.8</c:v>
                </c:pt>
                <c:pt idx="14">
                  <c:v>63.6</c:v>
                </c:pt>
                <c:pt idx="15">
                  <c:v>79.599999999999994</c:v>
                </c:pt>
                <c:pt idx="16">
                  <c:v>61.1</c:v>
                </c:pt>
                <c:pt idx="17">
                  <c:v>77.599999999999994</c:v>
                </c:pt>
              </c:numCache>
            </c:numRef>
          </c:val>
          <c:extLst>
            <c:ext xmlns:c16="http://schemas.microsoft.com/office/drawing/2014/chart" uri="{C3380CC4-5D6E-409C-BE32-E72D297353CC}">
              <c16:uniqueId val="{00000002-C62F-4487-AA5B-67CA4D2A6F9C}"/>
            </c:ext>
          </c:extLst>
        </c:ser>
        <c:ser>
          <c:idx val="3"/>
          <c:order val="3"/>
          <c:tx>
            <c:strRef>
              <c:f>Sheet1!$H$111</c:f>
              <c:strCache>
                <c:ptCount val="1"/>
                <c:pt idx="0">
                  <c:v>Literacy-Gap (%)</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cat>
            <c:multiLvlStrRef>
              <c:f>Sheet1!$B$112:$D$129</c:f>
              <c:multiLvlStrCache>
                <c:ptCount val="18"/>
                <c:lvl>
                  <c:pt idx="0">
                    <c:v>Rural</c:v>
                  </c:pt>
                  <c:pt idx="1">
                    <c:v>Urban</c:v>
                  </c:pt>
                  <c:pt idx="2">
                    <c:v>Rural</c:v>
                  </c:pt>
                  <c:pt idx="3">
                    <c:v>Urban</c:v>
                  </c:pt>
                  <c:pt idx="4">
                    <c:v>Rural</c:v>
                  </c:pt>
                  <c:pt idx="5">
                    <c:v>Urban</c:v>
                  </c:pt>
                  <c:pt idx="6">
                    <c:v>Rural</c:v>
                  </c:pt>
                  <c:pt idx="7">
                    <c:v>Urban</c:v>
                  </c:pt>
                  <c:pt idx="8">
                    <c:v>Rural</c:v>
                  </c:pt>
                  <c:pt idx="9">
                    <c:v>Urban</c:v>
                  </c:pt>
                  <c:pt idx="10">
                    <c:v>Rural</c:v>
                  </c:pt>
                  <c:pt idx="11">
                    <c:v>Urban</c:v>
                  </c:pt>
                  <c:pt idx="12">
                    <c:v>Rural</c:v>
                  </c:pt>
                  <c:pt idx="13">
                    <c:v>Urban</c:v>
                  </c:pt>
                  <c:pt idx="14">
                    <c:v>Rural</c:v>
                  </c:pt>
                  <c:pt idx="15">
                    <c:v>Urban</c:v>
                  </c:pt>
                  <c:pt idx="16">
                    <c:v>Rural</c:v>
                  </c:pt>
                  <c:pt idx="17">
                    <c:v>Urban</c:v>
                  </c:pt>
                </c:lvl>
                <c:lvl>
                  <c:pt idx="0">
                    <c:v>Maharashtra</c:v>
                  </c:pt>
                  <c:pt idx="2">
                    <c:v>Pune </c:v>
                  </c:pt>
                  <c:pt idx="4">
                    <c:v>Junnar </c:v>
                  </c:pt>
                  <c:pt idx="6">
                    <c:v>Maharashtra</c:v>
                  </c:pt>
                  <c:pt idx="8">
                    <c:v>Pune </c:v>
                  </c:pt>
                  <c:pt idx="10">
                    <c:v>Junnar </c:v>
                  </c:pt>
                  <c:pt idx="12">
                    <c:v>Maharashtra</c:v>
                  </c:pt>
                  <c:pt idx="14">
                    <c:v>Pune </c:v>
                  </c:pt>
                  <c:pt idx="16">
                    <c:v>Junnar </c:v>
                  </c:pt>
                </c:lvl>
                <c:lvl>
                  <c:pt idx="0">
                    <c:v>1991</c:v>
                  </c:pt>
                  <c:pt idx="6">
                    <c:v>2001</c:v>
                  </c:pt>
                  <c:pt idx="12">
                    <c:v>2011</c:v>
                  </c:pt>
                </c:lvl>
              </c:multiLvlStrCache>
            </c:multiLvlStrRef>
          </c:cat>
          <c:val>
            <c:numRef>
              <c:f>Sheet1!$H$112:$H$129</c:f>
              <c:numCache>
                <c:formatCode>General</c:formatCode>
                <c:ptCount val="18"/>
                <c:pt idx="0">
                  <c:v>23</c:v>
                </c:pt>
                <c:pt idx="1">
                  <c:v>25.2</c:v>
                </c:pt>
                <c:pt idx="2">
                  <c:v>22.3</c:v>
                </c:pt>
                <c:pt idx="3">
                  <c:v>25.3</c:v>
                </c:pt>
                <c:pt idx="4">
                  <c:v>20.8</c:v>
                </c:pt>
                <c:pt idx="5">
                  <c:v>24.8</c:v>
                </c:pt>
                <c:pt idx="6">
                  <c:v>23.9</c:v>
                </c:pt>
                <c:pt idx="7">
                  <c:v>23.8</c:v>
                </c:pt>
                <c:pt idx="8">
                  <c:v>21.7</c:v>
                </c:pt>
                <c:pt idx="9">
                  <c:v>20.2</c:v>
                </c:pt>
                <c:pt idx="10">
                  <c:v>21.2</c:v>
                </c:pt>
                <c:pt idx="11">
                  <c:v>20.3</c:v>
                </c:pt>
                <c:pt idx="12">
                  <c:v>18.7</c:v>
                </c:pt>
                <c:pt idx="13">
                  <c:v>14.6</c:v>
                </c:pt>
                <c:pt idx="14">
                  <c:v>18.600000000000001</c:v>
                </c:pt>
                <c:pt idx="15">
                  <c:v>14.1</c:v>
                </c:pt>
                <c:pt idx="16">
                  <c:v>18.7</c:v>
                </c:pt>
                <c:pt idx="17">
                  <c:v>14.9</c:v>
                </c:pt>
              </c:numCache>
            </c:numRef>
          </c:val>
          <c:extLst>
            <c:ext xmlns:c16="http://schemas.microsoft.com/office/drawing/2014/chart" uri="{C3380CC4-5D6E-409C-BE32-E72D297353CC}">
              <c16:uniqueId val="{00000003-C62F-4487-AA5B-67CA4D2A6F9C}"/>
            </c:ext>
          </c:extLst>
        </c:ser>
        <c:dLbls>
          <c:showLegendKey val="0"/>
          <c:showVal val="0"/>
          <c:showCatName val="0"/>
          <c:showSerName val="0"/>
          <c:showPercent val="0"/>
          <c:showBubbleSize val="0"/>
        </c:dLbls>
        <c:gapWidth val="355"/>
        <c:overlap val="-70"/>
        <c:axId val="417623424"/>
        <c:axId val="417619584"/>
      </c:barChart>
      <c:catAx>
        <c:axId val="41762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7619584"/>
        <c:crosses val="autoZero"/>
        <c:auto val="1"/>
        <c:lblAlgn val="ctr"/>
        <c:lblOffset val="100"/>
        <c:noMultiLvlLbl val="0"/>
      </c:catAx>
      <c:valAx>
        <c:axId val="41761958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7623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Sheet1!$B$10:$D$10</c:f>
              <c:strCache>
                <c:ptCount val="3"/>
                <c:pt idx="0">
                  <c:v>1991</c:v>
                </c:pt>
                <c:pt idx="1">
                  <c:v>ST</c:v>
                </c:pt>
                <c:pt idx="2">
                  <c:v>~12.0%</c:v>
                </c:pt>
              </c:strCache>
            </c:strRef>
          </c:tx>
          <c:spPr>
            <a:solidFill>
              <a:schemeClr val="accent1"/>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Sheet1!$E$10:$J$10</c:f>
              <c:numCache>
                <c:formatCode>General</c:formatCode>
                <c:ptCount val="6"/>
                <c:pt idx="0">
                  <c:v>29.5</c:v>
                </c:pt>
                <c:pt idx="1">
                  <c:v>42.1</c:v>
                </c:pt>
                <c:pt idx="2">
                  <c:v>19.8</c:v>
                </c:pt>
                <c:pt idx="3">
                  <c:v>27.5</c:v>
                </c:pt>
                <c:pt idx="4">
                  <c:v>52</c:v>
                </c:pt>
                <c:pt idx="5">
                  <c:v>22.3</c:v>
                </c:pt>
              </c:numCache>
            </c:numRef>
          </c:val>
          <c:extLst>
            <c:ext xmlns:c16="http://schemas.microsoft.com/office/drawing/2014/chart" uri="{C3380CC4-5D6E-409C-BE32-E72D297353CC}">
              <c16:uniqueId val="{00000000-F4DE-4399-B30A-826D26E998C9}"/>
            </c:ext>
          </c:extLst>
        </c:ser>
        <c:ser>
          <c:idx val="1"/>
          <c:order val="1"/>
          <c:tx>
            <c:strRef>
              <c:f>Sheet1!$B$11:$D$11</c:f>
              <c:strCache>
                <c:ptCount val="3"/>
                <c:pt idx="0">
                  <c:v>1991</c:v>
                </c:pt>
                <c:pt idx="1">
                  <c:v>AOC</c:v>
                </c:pt>
                <c:pt idx="2">
                  <c:v>~88.0%</c:v>
                </c:pt>
              </c:strCache>
            </c:strRef>
          </c:tx>
          <c:spPr>
            <a:solidFill>
              <a:schemeClr val="accent2"/>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Sheet1!$E$11:$J$11</c:f>
              <c:numCache>
                <c:formatCode>General</c:formatCode>
                <c:ptCount val="6"/>
                <c:pt idx="0">
                  <c:v>59.8</c:v>
                </c:pt>
                <c:pt idx="1">
                  <c:v>70.2</c:v>
                </c:pt>
                <c:pt idx="2">
                  <c:v>48.4</c:v>
                </c:pt>
                <c:pt idx="3">
                  <c:v>55.2</c:v>
                </c:pt>
                <c:pt idx="4">
                  <c:v>68.3</c:v>
                </c:pt>
                <c:pt idx="5">
                  <c:v>21.8</c:v>
                </c:pt>
              </c:numCache>
            </c:numRef>
          </c:val>
          <c:extLst>
            <c:ext xmlns:c16="http://schemas.microsoft.com/office/drawing/2014/chart" uri="{C3380CC4-5D6E-409C-BE32-E72D297353CC}">
              <c16:uniqueId val="{00000001-F4DE-4399-B30A-826D26E998C9}"/>
            </c:ext>
          </c:extLst>
        </c:ser>
        <c:ser>
          <c:idx val="2"/>
          <c:order val="2"/>
          <c:tx>
            <c:strRef>
              <c:f>Sheet1!$B$12:$D$12</c:f>
              <c:strCache>
                <c:ptCount val="3"/>
                <c:pt idx="0">
                  <c:v>2001</c:v>
                </c:pt>
                <c:pt idx="1">
                  <c:v>ST</c:v>
                </c:pt>
                <c:pt idx="2">
                  <c:v>~11.8%</c:v>
                </c:pt>
              </c:strCache>
            </c:strRef>
          </c:tx>
          <c:spPr>
            <a:solidFill>
              <a:schemeClr val="accent3"/>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Sheet1!$E$12:$J$12</c:f>
              <c:numCache>
                <c:formatCode>General</c:formatCode>
                <c:ptCount val="6"/>
                <c:pt idx="0">
                  <c:v>44.5</c:v>
                </c:pt>
                <c:pt idx="1">
                  <c:v>59</c:v>
                </c:pt>
                <c:pt idx="2">
                  <c:v>30.2</c:v>
                </c:pt>
                <c:pt idx="3">
                  <c:v>41.2</c:v>
                </c:pt>
                <c:pt idx="4">
                  <c:v>63.5</c:v>
                </c:pt>
                <c:pt idx="5">
                  <c:v>28.8</c:v>
                </c:pt>
              </c:numCache>
            </c:numRef>
          </c:val>
          <c:extLst>
            <c:ext xmlns:c16="http://schemas.microsoft.com/office/drawing/2014/chart" uri="{C3380CC4-5D6E-409C-BE32-E72D297353CC}">
              <c16:uniqueId val="{00000002-F4DE-4399-B30A-826D26E998C9}"/>
            </c:ext>
          </c:extLst>
        </c:ser>
        <c:ser>
          <c:idx val="3"/>
          <c:order val="3"/>
          <c:tx>
            <c:strRef>
              <c:f>Sheet1!$B$13:$D$13</c:f>
              <c:strCache>
                <c:ptCount val="3"/>
                <c:pt idx="0">
                  <c:v>2001</c:v>
                </c:pt>
                <c:pt idx="1">
                  <c:v>AOC</c:v>
                </c:pt>
                <c:pt idx="2">
                  <c:v>~88.2%</c:v>
                </c:pt>
              </c:strCache>
            </c:strRef>
          </c:tx>
          <c:spPr>
            <a:solidFill>
              <a:schemeClr val="accent4"/>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Sheet1!$E$13:$J$13</c:f>
              <c:numCache>
                <c:formatCode>General</c:formatCode>
                <c:ptCount val="6"/>
                <c:pt idx="0">
                  <c:v>70.3</c:v>
                </c:pt>
                <c:pt idx="1">
                  <c:v>80.400000000000006</c:v>
                </c:pt>
                <c:pt idx="2">
                  <c:v>60</c:v>
                </c:pt>
                <c:pt idx="3">
                  <c:v>66.099999999999994</c:v>
                </c:pt>
                <c:pt idx="4">
                  <c:v>78.8</c:v>
                </c:pt>
                <c:pt idx="5">
                  <c:v>20.399999999999999</c:v>
                </c:pt>
              </c:numCache>
            </c:numRef>
          </c:val>
          <c:extLst>
            <c:ext xmlns:c16="http://schemas.microsoft.com/office/drawing/2014/chart" uri="{C3380CC4-5D6E-409C-BE32-E72D297353CC}">
              <c16:uniqueId val="{00000003-F4DE-4399-B30A-826D26E998C9}"/>
            </c:ext>
          </c:extLst>
        </c:ser>
        <c:ser>
          <c:idx val="4"/>
          <c:order val="4"/>
          <c:tx>
            <c:strRef>
              <c:f>Sheet1!$B$14:$D$14</c:f>
              <c:strCache>
                <c:ptCount val="3"/>
                <c:pt idx="0">
                  <c:v>2011</c:v>
                </c:pt>
                <c:pt idx="1">
                  <c:v>ST</c:v>
                </c:pt>
                <c:pt idx="2">
                  <c:v>~11.5%</c:v>
                </c:pt>
              </c:strCache>
            </c:strRef>
          </c:tx>
          <c:spPr>
            <a:solidFill>
              <a:schemeClr val="accent5"/>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Sheet1!$E$14:$J$14</c:f>
              <c:numCache>
                <c:formatCode>General</c:formatCode>
                <c:ptCount val="6"/>
                <c:pt idx="0">
                  <c:v>59.4</c:v>
                </c:pt>
                <c:pt idx="1">
                  <c:v>70.599999999999994</c:v>
                </c:pt>
                <c:pt idx="2">
                  <c:v>48.2</c:v>
                </c:pt>
                <c:pt idx="3">
                  <c:v>55.1</c:v>
                </c:pt>
                <c:pt idx="4">
                  <c:v>72</c:v>
                </c:pt>
                <c:pt idx="5">
                  <c:v>22.4</c:v>
                </c:pt>
              </c:numCache>
            </c:numRef>
          </c:val>
          <c:extLst>
            <c:ext xmlns:c16="http://schemas.microsoft.com/office/drawing/2014/chart" uri="{C3380CC4-5D6E-409C-BE32-E72D297353CC}">
              <c16:uniqueId val="{00000004-F4DE-4399-B30A-826D26E998C9}"/>
            </c:ext>
          </c:extLst>
        </c:ser>
        <c:ser>
          <c:idx val="5"/>
          <c:order val="5"/>
          <c:tx>
            <c:strRef>
              <c:f>Sheet1!$B$15:$D$15</c:f>
              <c:strCache>
                <c:ptCount val="3"/>
                <c:pt idx="0">
                  <c:v>2011</c:v>
                </c:pt>
                <c:pt idx="1">
                  <c:v>AOC</c:v>
                </c:pt>
                <c:pt idx="2">
                  <c:v>~88.5%</c:v>
                </c:pt>
              </c:strCache>
            </c:strRef>
          </c:tx>
          <c:spPr>
            <a:solidFill>
              <a:schemeClr val="accent6"/>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Sheet1!$E$15:$J$15</c:f>
              <c:numCache>
                <c:formatCode>General</c:formatCode>
                <c:ptCount val="6"/>
                <c:pt idx="0">
                  <c:v>78.2</c:v>
                </c:pt>
                <c:pt idx="1">
                  <c:v>85.9</c:v>
                </c:pt>
                <c:pt idx="2">
                  <c:v>70.2</c:v>
                </c:pt>
                <c:pt idx="3">
                  <c:v>74.8</c:v>
                </c:pt>
                <c:pt idx="4">
                  <c:v>84.1</c:v>
                </c:pt>
                <c:pt idx="5">
                  <c:v>15.7</c:v>
                </c:pt>
              </c:numCache>
            </c:numRef>
          </c:val>
          <c:extLst>
            <c:ext xmlns:c16="http://schemas.microsoft.com/office/drawing/2014/chart" uri="{C3380CC4-5D6E-409C-BE32-E72D297353CC}">
              <c16:uniqueId val="{00000005-F4DE-4399-B30A-826D26E998C9}"/>
            </c:ext>
          </c:extLst>
        </c:ser>
        <c:dLbls>
          <c:showLegendKey val="0"/>
          <c:showVal val="0"/>
          <c:showCatName val="0"/>
          <c:showSerName val="0"/>
          <c:showPercent val="0"/>
          <c:showBubbleSize val="0"/>
        </c:dLbls>
        <c:gapWidth val="219"/>
        <c:overlap val="-27"/>
        <c:axId val="1871916831"/>
        <c:axId val="1871917311"/>
      </c:barChart>
      <c:catAx>
        <c:axId val="187191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1917311"/>
        <c:crosses val="autoZero"/>
        <c:auto val="1"/>
        <c:lblAlgn val="ctr"/>
        <c:lblOffset val="100"/>
        <c:noMultiLvlLbl val="0"/>
      </c:catAx>
      <c:valAx>
        <c:axId val="187191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191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4E75-FA89-4451-BBC0-5D0A49A6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3361</TotalTime>
  <Pages>19</Pages>
  <Words>6456</Words>
  <Characters>36801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pravin sangale</dc:creator>
  <cp:keywords/>
  <dc:description/>
  <cp:lastModifiedBy>SDI 1183</cp:lastModifiedBy>
  <cp:revision>202</cp:revision>
  <cp:lastPrinted>2025-08-14T09:20:00Z</cp:lastPrinted>
  <dcterms:created xsi:type="dcterms:W3CDTF">2025-07-31T09:10:00Z</dcterms:created>
  <dcterms:modified xsi:type="dcterms:W3CDTF">2025-08-21T11:39:00Z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17273560-333e-4d41-8c85-cf104f48ba9b</vt:lpwstr>
  </property>
</Properties>
</file>