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3C46A" w14:textId="0EDDAD67" w:rsidR="005D1174" w:rsidRPr="009456F0" w:rsidRDefault="007B6C5F" w:rsidP="009456F0">
      <w:pPr>
        <w:spacing w:after="0" w:line="240" w:lineRule="auto"/>
        <w:jc w:val="center"/>
        <w:rPr>
          <w:rFonts w:cs="Times New Roman"/>
          <w:b/>
          <w:bCs/>
        </w:rPr>
      </w:pPr>
      <w:r w:rsidRPr="007B6C5F">
        <w:rPr>
          <w:rFonts w:cs="Times New Roman"/>
          <w:b/>
          <w:bCs/>
        </w:rPr>
        <w:t>Teacher Professional Development as a Predictor of Innovative Teaching Practices in Primary Schools</w:t>
      </w:r>
      <w:r>
        <w:rPr>
          <w:rFonts w:cs="Times New Roman"/>
          <w:b/>
          <w:bCs/>
        </w:rPr>
        <w:t>:</w:t>
      </w:r>
      <w:r w:rsidRPr="007B6C5F">
        <w:rPr>
          <w:rFonts w:cs="Times New Roman"/>
          <w:b/>
          <w:bCs/>
        </w:rPr>
        <w:t xml:space="preserve"> </w:t>
      </w:r>
      <w:r>
        <w:rPr>
          <w:rFonts w:cs="Times New Roman"/>
          <w:b/>
          <w:bCs/>
        </w:rPr>
        <w:t xml:space="preserve">Evidenced </w:t>
      </w:r>
      <w:r w:rsidR="001B6747">
        <w:rPr>
          <w:rFonts w:cs="Times New Roman"/>
          <w:b/>
          <w:bCs/>
        </w:rPr>
        <w:t>f</w:t>
      </w:r>
      <w:r>
        <w:rPr>
          <w:rFonts w:cs="Times New Roman"/>
          <w:b/>
          <w:bCs/>
        </w:rPr>
        <w:t>rom</w:t>
      </w:r>
      <w:r w:rsidRPr="009456F0">
        <w:rPr>
          <w:rFonts w:cs="Times New Roman"/>
          <w:b/>
          <w:bCs/>
        </w:rPr>
        <w:t xml:space="preserve"> </w:t>
      </w:r>
      <w:proofErr w:type="spellStart"/>
      <w:r w:rsidR="005D1174" w:rsidRPr="009456F0">
        <w:rPr>
          <w:rFonts w:cs="Times New Roman"/>
          <w:b/>
          <w:bCs/>
        </w:rPr>
        <w:t>Sankuri</w:t>
      </w:r>
      <w:proofErr w:type="spellEnd"/>
      <w:r w:rsidR="005D1174" w:rsidRPr="009456F0">
        <w:rPr>
          <w:rFonts w:cs="Times New Roman"/>
          <w:b/>
          <w:bCs/>
        </w:rPr>
        <w:t xml:space="preserve"> Sub</w:t>
      </w:r>
      <w:r w:rsidR="00676F9F" w:rsidRPr="009456F0">
        <w:rPr>
          <w:rFonts w:cs="Times New Roman"/>
          <w:b/>
          <w:bCs/>
        </w:rPr>
        <w:t>-</w:t>
      </w:r>
      <w:r w:rsidR="005D1174" w:rsidRPr="009456F0">
        <w:rPr>
          <w:rFonts w:cs="Times New Roman"/>
          <w:b/>
          <w:bCs/>
        </w:rPr>
        <w:t>County</w:t>
      </w:r>
      <w:r w:rsidR="00676F9F" w:rsidRPr="009456F0">
        <w:rPr>
          <w:rFonts w:cs="Times New Roman"/>
          <w:b/>
          <w:bCs/>
        </w:rPr>
        <w:t xml:space="preserve">, </w:t>
      </w:r>
      <w:r w:rsidR="005D1174" w:rsidRPr="009456F0">
        <w:rPr>
          <w:rFonts w:cs="Times New Roman"/>
          <w:b/>
          <w:bCs/>
        </w:rPr>
        <w:t>Kenya</w:t>
      </w:r>
    </w:p>
    <w:p w14:paraId="1083CD0B" w14:textId="77777777" w:rsidR="002F7979" w:rsidRPr="009456F0" w:rsidRDefault="002F7979" w:rsidP="009456F0">
      <w:pPr>
        <w:spacing w:after="0" w:line="240" w:lineRule="auto"/>
        <w:jc w:val="center"/>
        <w:rPr>
          <w:rFonts w:cs="Times New Roman"/>
        </w:rPr>
      </w:pPr>
    </w:p>
    <w:p w14:paraId="17766143" w14:textId="77777777" w:rsidR="005D1174" w:rsidRPr="009456F0" w:rsidRDefault="005D1174" w:rsidP="009456F0">
      <w:pPr>
        <w:spacing w:after="0" w:line="240" w:lineRule="auto"/>
        <w:rPr>
          <w:rFonts w:cs="Times New Roman"/>
          <w:b/>
          <w:bCs/>
        </w:rPr>
      </w:pPr>
      <w:r w:rsidRPr="009456F0">
        <w:rPr>
          <w:rFonts w:cs="Times New Roman"/>
          <w:b/>
          <w:bCs/>
        </w:rPr>
        <w:t>Abstract</w:t>
      </w:r>
    </w:p>
    <w:p w14:paraId="6AE1F7A5" w14:textId="5317DB4B" w:rsidR="005D1174" w:rsidRPr="009456F0" w:rsidRDefault="005D1174" w:rsidP="009456F0">
      <w:pPr>
        <w:spacing w:after="0" w:line="240" w:lineRule="auto"/>
        <w:rPr>
          <w:rFonts w:cs="Times New Roman"/>
        </w:rPr>
      </w:pPr>
      <w:r w:rsidRPr="009456F0">
        <w:rPr>
          <w:rFonts w:cs="Times New Roman"/>
        </w:rPr>
        <w:t xml:space="preserve">This </w:t>
      </w:r>
      <w:r w:rsidR="00255994">
        <w:rPr>
          <w:rFonts w:cs="Times New Roman"/>
        </w:rPr>
        <w:t xml:space="preserve">purpose of </w:t>
      </w:r>
      <w:r w:rsidRPr="009456F0">
        <w:rPr>
          <w:rFonts w:cs="Times New Roman"/>
        </w:rPr>
        <w:t xml:space="preserve">study </w:t>
      </w:r>
      <w:r w:rsidR="00255994">
        <w:rPr>
          <w:rFonts w:cs="Times New Roman"/>
        </w:rPr>
        <w:t>was</w:t>
      </w:r>
      <w:r w:rsidRPr="009456F0">
        <w:rPr>
          <w:rFonts w:cs="Times New Roman"/>
        </w:rPr>
        <w:t xml:space="preserve"> examining the relationship between teacher professional development and innovative teaching in primary schools.</w:t>
      </w:r>
      <w:r w:rsidR="00255994" w:rsidRPr="00255994">
        <w:rPr>
          <w:rFonts w:cs="Times New Roman"/>
        </w:rPr>
        <w:t xml:space="preserve"> </w:t>
      </w:r>
      <w:r w:rsidR="00255994" w:rsidRPr="009456F0">
        <w:rPr>
          <w:rFonts w:cs="Times New Roman"/>
        </w:rPr>
        <w:t xml:space="preserve">The research was grounded in transformational leadership theory. A cross-sectional correlation design was employed to assess relationships between variables. </w:t>
      </w:r>
      <w:r w:rsidRPr="009456F0">
        <w:rPr>
          <w:rFonts w:cs="Times New Roman"/>
        </w:rPr>
        <w:t xml:space="preserve"> The study was conducted across all 28 public primary schools in </w:t>
      </w:r>
      <w:proofErr w:type="spellStart"/>
      <w:r w:rsidRPr="009456F0">
        <w:rPr>
          <w:rFonts w:cs="Times New Roman"/>
        </w:rPr>
        <w:t>Sankuri</w:t>
      </w:r>
      <w:proofErr w:type="spellEnd"/>
      <w:r w:rsidRPr="009456F0">
        <w:rPr>
          <w:rFonts w:cs="Times New Roman"/>
        </w:rPr>
        <w:t xml:space="preserve"> sub-county, targeting all 95 teachers via a census approach. Structured questionnaires were used for quantitative data collection from teachers. Data analysis involved Pearson correlation and regression models. The analysis revealed a strong, positive, and statistically significant relationship between professional development and innovative teaching strategies (r = </w:t>
      </w:r>
      <w:r w:rsidR="009456F0" w:rsidRPr="009456F0">
        <w:rPr>
          <w:rFonts w:cs="Times New Roman"/>
        </w:rPr>
        <w:t>0.701</w:t>
      </w:r>
      <w:r w:rsidRPr="009456F0">
        <w:rPr>
          <w:rFonts w:cs="Times New Roman"/>
        </w:rPr>
        <w:t xml:space="preserve">, p = .000). Regression analysis further confirmed that professional development significantly predicts innovative teaching strategies (β = </w:t>
      </w:r>
      <w:r w:rsidR="00CA61FA">
        <w:rPr>
          <w:rFonts w:cs="Times New Roman"/>
        </w:rPr>
        <w:t>0.691</w:t>
      </w:r>
      <w:r w:rsidRPr="009456F0">
        <w:rPr>
          <w:rFonts w:cs="Times New Roman"/>
        </w:rPr>
        <w:t>, p = .00</w:t>
      </w:r>
      <w:r w:rsidR="00375AB8">
        <w:rPr>
          <w:rFonts w:cs="Times New Roman"/>
        </w:rPr>
        <w:t>0</w:t>
      </w:r>
      <w:r w:rsidRPr="009456F0">
        <w:rPr>
          <w:rFonts w:cs="Times New Roman"/>
        </w:rPr>
        <w:t xml:space="preserve">). The model demonstrated strong explanatory power, with professional development alone accounting for </w:t>
      </w:r>
      <w:r w:rsidR="00205FFA">
        <w:rPr>
          <w:rFonts w:cs="Times New Roman"/>
        </w:rPr>
        <w:t>49.17%</w:t>
      </w:r>
      <w:r w:rsidRPr="009456F0">
        <w:rPr>
          <w:rFonts w:cs="Times New Roman"/>
        </w:rPr>
        <w:t xml:space="preserve"> of the variance in innovative teaching strategies (R² = </w:t>
      </w:r>
      <w:r w:rsidR="00205FFA">
        <w:rPr>
          <w:rFonts w:cs="Times New Roman"/>
        </w:rPr>
        <w:t>0.4917</w:t>
      </w:r>
      <w:r w:rsidRPr="009456F0">
        <w:rPr>
          <w:rFonts w:cs="Times New Roman"/>
        </w:rPr>
        <w:t>). The study concludes that professional development significantly enhances innovative teaching practices in primary schools. The findings underscore the critical need for schools to enhance their teacher development programs to better support innovative teaching practices. Recommendations include prioritizing comprehensive and well-structured professional development programs, ensuring they are tailored to teachers</w:t>
      </w:r>
      <w:r w:rsidR="00AF6C18" w:rsidRPr="009456F0">
        <w:rPr>
          <w:rFonts w:cs="Times New Roman"/>
        </w:rPr>
        <w:t>’</w:t>
      </w:r>
      <w:r w:rsidRPr="009456F0">
        <w:rPr>
          <w:rFonts w:cs="Times New Roman"/>
        </w:rPr>
        <w:t xml:space="preserve"> needs, and providing adequate resources and support to maximize innovative teaching outcomes in primary education settings.</w:t>
      </w:r>
      <w:r w:rsidR="007B6C5F">
        <w:rPr>
          <w:rFonts w:cs="Times New Roman"/>
        </w:rPr>
        <w:t xml:space="preserve"> </w:t>
      </w:r>
      <w:r w:rsidR="007B6C5F" w:rsidRPr="007B6C5F">
        <w:rPr>
          <w:rFonts w:cs="Times New Roman"/>
        </w:rPr>
        <w:t>However, the study employed a cross-sectional design, which limits the ability to infer causal relationships.</w:t>
      </w:r>
    </w:p>
    <w:p w14:paraId="19065FBE" w14:textId="752E0CDE" w:rsidR="005D1174" w:rsidRPr="009456F0" w:rsidRDefault="005D1174" w:rsidP="009456F0">
      <w:pPr>
        <w:spacing w:after="0" w:line="240" w:lineRule="auto"/>
        <w:rPr>
          <w:rFonts w:cs="Times New Roman"/>
        </w:rPr>
      </w:pPr>
      <w:r w:rsidRPr="009456F0">
        <w:rPr>
          <w:rFonts w:cs="Times New Roman"/>
          <w:b/>
          <w:bCs/>
        </w:rPr>
        <w:t>Key words:</w:t>
      </w:r>
      <w:r w:rsidRPr="009456F0">
        <w:rPr>
          <w:rFonts w:cs="Times New Roman"/>
        </w:rPr>
        <w:t xml:space="preserve"> Professional Development, Innovative Teaching Strategies, Primary Schools</w:t>
      </w:r>
      <w:r w:rsidR="001B6747">
        <w:rPr>
          <w:rFonts w:cs="Times New Roman"/>
        </w:rPr>
        <w:t xml:space="preserve">, </w:t>
      </w:r>
      <w:r w:rsidR="001B6747" w:rsidRPr="001B6747">
        <w:rPr>
          <w:rFonts w:cs="Times New Roman"/>
        </w:rPr>
        <w:t>transformational leadership theory</w:t>
      </w:r>
    </w:p>
    <w:p w14:paraId="2493C12F" w14:textId="16756E8F" w:rsidR="005D1174" w:rsidRPr="009456F0" w:rsidRDefault="005D1174" w:rsidP="009456F0">
      <w:pPr>
        <w:spacing w:after="0" w:line="240" w:lineRule="auto"/>
        <w:rPr>
          <w:rFonts w:cs="Times New Roman"/>
        </w:rPr>
      </w:pPr>
      <w:r w:rsidRPr="009456F0">
        <w:rPr>
          <w:rFonts w:cs="Times New Roman"/>
          <w:b/>
          <w:bCs/>
        </w:rPr>
        <w:t>1. Introduction</w:t>
      </w:r>
    </w:p>
    <w:p w14:paraId="377FE9DF" w14:textId="2FE44BA1" w:rsidR="005D1174" w:rsidRPr="00876263" w:rsidRDefault="005D1174" w:rsidP="009456F0">
      <w:pPr>
        <w:spacing w:after="0" w:line="240" w:lineRule="auto"/>
        <w:rPr>
          <w:rFonts w:cs="Times New Roman"/>
        </w:rPr>
      </w:pPr>
      <w:r w:rsidRPr="009456F0">
        <w:rPr>
          <w:rFonts w:cs="Times New Roman"/>
        </w:rPr>
        <w:t xml:space="preserve">The quality of primary education is closely tied to teacher competence, which depends on continuous professional development (TPD). As education systems respond to rapid technological changes and societal needs, </w:t>
      </w:r>
      <w:r w:rsidRPr="00876263">
        <w:rPr>
          <w:rFonts w:cs="Times New Roman"/>
        </w:rPr>
        <w:t>teacher roles become central in shaping future human capital. Research confirms that teacher innovation, commitment, and professional learning positively impact instructional quality and student achievement (</w:t>
      </w:r>
      <w:proofErr w:type="spellStart"/>
      <w:r w:rsidR="00876263" w:rsidRPr="00876263">
        <w:rPr>
          <w:rFonts w:cs="Times New Roman"/>
        </w:rPr>
        <w:t>Ventista</w:t>
      </w:r>
      <w:proofErr w:type="spellEnd"/>
      <w:r w:rsidR="00876263" w:rsidRPr="00876263">
        <w:rPr>
          <w:rFonts w:cs="Times New Roman"/>
        </w:rPr>
        <w:t xml:space="preserve"> &amp; Brown, 2023</w:t>
      </w:r>
      <w:r w:rsidRPr="00876263">
        <w:rPr>
          <w:rFonts w:cs="Times New Roman"/>
        </w:rPr>
        <w:t>). Effective TPD involves structured, sustained learning activities</w:t>
      </w:r>
      <w:r w:rsidR="007F75EF" w:rsidRPr="00876263">
        <w:rPr>
          <w:rFonts w:cs="Times New Roman"/>
        </w:rPr>
        <w:t xml:space="preserve"> </w:t>
      </w:r>
      <w:r w:rsidRPr="00876263">
        <w:rPr>
          <w:rFonts w:cs="Times New Roman"/>
        </w:rPr>
        <w:t xml:space="preserve">that improve teacher practices and learner outcomes. Key elements include content focus, active learning, collaboration, modeling, coaching, feedback, and duration </w:t>
      </w:r>
    </w:p>
    <w:p w14:paraId="413BF098" w14:textId="49F890D8" w:rsidR="005D1174" w:rsidRPr="009456F0" w:rsidRDefault="005D1174" w:rsidP="009456F0">
      <w:pPr>
        <w:spacing w:after="0" w:line="240" w:lineRule="auto"/>
        <w:rPr>
          <w:rFonts w:cs="Times New Roman"/>
        </w:rPr>
      </w:pPr>
      <w:r w:rsidRPr="009456F0">
        <w:rPr>
          <w:rFonts w:cs="Times New Roman"/>
        </w:rPr>
        <w:t>In Kenya, decentralization has increased community participation in school governance and human resource decisions (</w:t>
      </w:r>
      <w:r w:rsidR="001B71CC" w:rsidRPr="001B71CC">
        <w:rPr>
          <w:rFonts w:cs="Times New Roman"/>
        </w:rPr>
        <w:t>Yumba, (2021</w:t>
      </w:r>
      <w:r w:rsidRPr="009456F0">
        <w:rPr>
          <w:rFonts w:cs="Times New Roman"/>
        </w:rPr>
        <w:t xml:space="preserve">). Recruitment and deployment of teachers at the school level highlight the need for strategic staff selection to enhance performance. The Teachers Service Commission (TSC) institutionalized TPD through its 2019 policy framework, mandating all teachers to undertake structured, modular development every five years. Despite this, teacher unions have criticized the program over costs, workload, and limited consultation (TSC, 2021; </w:t>
      </w:r>
      <w:proofErr w:type="spellStart"/>
      <w:proofErr w:type="gramStart"/>
      <w:r w:rsidR="007640E9" w:rsidRPr="007640E9">
        <w:rPr>
          <w:rFonts w:cs="Times New Roman"/>
        </w:rPr>
        <w:t>Kirui</w:t>
      </w:r>
      <w:proofErr w:type="spellEnd"/>
      <w:r w:rsidR="007640E9">
        <w:rPr>
          <w:rFonts w:cs="Times New Roman"/>
        </w:rPr>
        <w:t xml:space="preserve">, </w:t>
      </w:r>
      <w:r w:rsidR="007640E9" w:rsidRPr="007640E9">
        <w:rPr>
          <w:rFonts w:cs="Times New Roman"/>
        </w:rPr>
        <w:t xml:space="preserve"> </w:t>
      </w:r>
      <w:proofErr w:type="spellStart"/>
      <w:r w:rsidR="007640E9" w:rsidRPr="007640E9">
        <w:rPr>
          <w:rFonts w:cs="Times New Roman"/>
        </w:rPr>
        <w:t>Ng’eno</w:t>
      </w:r>
      <w:proofErr w:type="spellEnd"/>
      <w:proofErr w:type="gramEnd"/>
      <w:r w:rsidR="007640E9">
        <w:rPr>
          <w:rFonts w:cs="Times New Roman"/>
        </w:rPr>
        <w:t xml:space="preserve"> </w:t>
      </w:r>
      <w:r w:rsidR="007640E9" w:rsidRPr="007640E9">
        <w:rPr>
          <w:rFonts w:cs="Times New Roman"/>
        </w:rPr>
        <w:t xml:space="preserve">&amp; </w:t>
      </w:r>
      <w:proofErr w:type="spellStart"/>
      <w:r w:rsidR="007640E9" w:rsidRPr="007640E9">
        <w:rPr>
          <w:rFonts w:cs="Times New Roman"/>
        </w:rPr>
        <w:t>Tabot</w:t>
      </w:r>
      <w:proofErr w:type="spellEnd"/>
      <w:r w:rsidR="007640E9" w:rsidRPr="007640E9">
        <w:rPr>
          <w:rFonts w:cs="Times New Roman"/>
        </w:rPr>
        <w:t>, 2022</w:t>
      </w:r>
      <w:r w:rsidRPr="009456F0">
        <w:rPr>
          <w:rFonts w:cs="Times New Roman"/>
        </w:rPr>
        <w:t>).</w:t>
      </w:r>
    </w:p>
    <w:p w14:paraId="3389D63B" w14:textId="57CCE994" w:rsidR="005D1174" w:rsidRPr="009456F0" w:rsidRDefault="005D1174" w:rsidP="009456F0">
      <w:pPr>
        <w:spacing w:after="0" w:line="240" w:lineRule="auto"/>
        <w:rPr>
          <w:rFonts w:cs="Times New Roman"/>
        </w:rPr>
      </w:pPr>
      <w:r w:rsidRPr="009456F0">
        <w:rPr>
          <w:rFonts w:cs="Times New Roman"/>
        </w:rPr>
        <w:t>The Competency-Based Curriculum (CBC) rollout revealed gaps in teacher preparedness. Many teachers have attended only minimal training, leaving them ill-equipped for learner-centered methods and formative assessments (</w:t>
      </w:r>
      <w:proofErr w:type="spellStart"/>
      <w:r w:rsidR="00A90899" w:rsidRPr="00A90899">
        <w:rPr>
          <w:rFonts w:cs="Times New Roman"/>
        </w:rPr>
        <w:t>Njiru</w:t>
      </w:r>
      <w:proofErr w:type="spellEnd"/>
      <w:r w:rsidR="00A90899">
        <w:rPr>
          <w:rFonts w:cs="Times New Roman"/>
        </w:rPr>
        <w:t xml:space="preserve"> &amp;</w:t>
      </w:r>
      <w:r w:rsidR="00A90899" w:rsidRPr="00A90899">
        <w:rPr>
          <w:rFonts w:cs="Times New Roman"/>
        </w:rPr>
        <w:t xml:space="preserve"> </w:t>
      </w:r>
      <w:proofErr w:type="spellStart"/>
      <w:r w:rsidR="00A90899" w:rsidRPr="00A90899">
        <w:rPr>
          <w:rFonts w:cs="Times New Roman"/>
        </w:rPr>
        <w:t>Odundo</w:t>
      </w:r>
      <w:proofErr w:type="spellEnd"/>
      <w:r w:rsidR="00A90899" w:rsidRPr="00A90899">
        <w:rPr>
          <w:rFonts w:cs="Times New Roman"/>
        </w:rPr>
        <w:t>, P2024</w:t>
      </w:r>
      <w:r w:rsidRPr="009456F0">
        <w:rPr>
          <w:rFonts w:cs="Times New Roman"/>
        </w:rPr>
        <w:t xml:space="preserve">; </w:t>
      </w:r>
      <w:proofErr w:type="spellStart"/>
      <w:r w:rsidR="007410F9" w:rsidRPr="007410F9">
        <w:rPr>
          <w:rFonts w:cs="Times New Roman"/>
        </w:rPr>
        <w:t>Ngeno</w:t>
      </w:r>
      <w:proofErr w:type="spellEnd"/>
      <w:r w:rsidR="007410F9" w:rsidRPr="007410F9">
        <w:rPr>
          <w:rFonts w:cs="Times New Roman"/>
        </w:rPr>
        <w:t>, 2023</w:t>
      </w:r>
      <w:r w:rsidRPr="009456F0">
        <w:rPr>
          <w:rFonts w:cs="Times New Roman"/>
        </w:rPr>
        <w:t>). Centralized training models also limit rural teacher participation. Scholars call for differentiated, needs-based TPD that includes teacher feedback and provides subject-specific, location-sensitive support.</w:t>
      </w:r>
    </w:p>
    <w:p w14:paraId="49EC5533" w14:textId="17272C31" w:rsidR="005D1174" w:rsidRPr="009456F0" w:rsidRDefault="005D1174" w:rsidP="009456F0">
      <w:pPr>
        <w:spacing w:after="0" w:line="240" w:lineRule="auto"/>
        <w:rPr>
          <w:rFonts w:cs="Times New Roman"/>
        </w:rPr>
      </w:pPr>
      <w:r w:rsidRPr="009456F0">
        <w:rPr>
          <w:rFonts w:cs="Times New Roman"/>
        </w:rPr>
        <w:lastRenderedPageBreak/>
        <w:t>ICT has become a valuable TPD tool, especially during the COVID-19 pandemic. Platforms like the Kenya Education Cloud enabled broader access to learning resources (</w:t>
      </w:r>
      <w:proofErr w:type="spellStart"/>
      <w:r w:rsidR="005A41B1" w:rsidRPr="005A41B1">
        <w:rPr>
          <w:rFonts w:cs="Times New Roman"/>
        </w:rPr>
        <w:t>Mwang</w:t>
      </w:r>
      <w:proofErr w:type="spellEnd"/>
      <w:r w:rsidRPr="009456F0">
        <w:rPr>
          <w:rFonts w:cs="Times New Roman"/>
        </w:rPr>
        <w:t>, 202</w:t>
      </w:r>
      <w:r w:rsidR="005A41B1">
        <w:rPr>
          <w:rFonts w:cs="Times New Roman"/>
        </w:rPr>
        <w:t>4</w:t>
      </w:r>
      <w:r w:rsidRPr="009456F0">
        <w:rPr>
          <w:rFonts w:cs="Times New Roman"/>
        </w:rPr>
        <w:t>). However, digital inequities remain, particularly in marginalized counties. Blended learning and mobile networks offer promising solutions (</w:t>
      </w:r>
      <w:r w:rsidR="0096318F" w:rsidRPr="0096318F">
        <w:rPr>
          <w:rFonts w:cs="Times New Roman"/>
        </w:rPr>
        <w:t xml:space="preserve">Haji, </w:t>
      </w:r>
      <w:proofErr w:type="spellStart"/>
      <w:proofErr w:type="gramStart"/>
      <w:r w:rsidR="0096318F" w:rsidRPr="0096318F">
        <w:rPr>
          <w:rFonts w:cs="Times New Roman"/>
        </w:rPr>
        <w:t>Shiyo</w:t>
      </w:r>
      <w:proofErr w:type="spellEnd"/>
      <w:r w:rsidR="0096318F">
        <w:rPr>
          <w:rFonts w:cs="Times New Roman"/>
        </w:rPr>
        <w:t xml:space="preserve"> </w:t>
      </w:r>
      <w:r w:rsidR="0096318F" w:rsidRPr="0096318F">
        <w:rPr>
          <w:rFonts w:cs="Times New Roman"/>
        </w:rPr>
        <w:t xml:space="preserve"> &amp;</w:t>
      </w:r>
      <w:proofErr w:type="gramEnd"/>
      <w:r w:rsidR="0096318F" w:rsidRPr="0096318F">
        <w:rPr>
          <w:rFonts w:cs="Times New Roman"/>
        </w:rPr>
        <w:t xml:space="preserve"> </w:t>
      </w:r>
      <w:proofErr w:type="spellStart"/>
      <w:r w:rsidR="0096318F" w:rsidRPr="0096318F">
        <w:rPr>
          <w:rFonts w:cs="Times New Roman"/>
        </w:rPr>
        <w:t>Mrutu</w:t>
      </w:r>
      <w:proofErr w:type="spellEnd"/>
      <w:r w:rsidR="0096318F" w:rsidRPr="0096318F">
        <w:rPr>
          <w:rFonts w:cs="Times New Roman"/>
        </w:rPr>
        <w:t xml:space="preserve">, </w:t>
      </w:r>
      <w:r w:rsidRPr="009456F0">
        <w:rPr>
          <w:rFonts w:cs="Times New Roman"/>
        </w:rPr>
        <w:t>2023).</w:t>
      </w:r>
    </w:p>
    <w:p w14:paraId="0A8D4F1C" w14:textId="1A1601C0" w:rsidR="005D1174" w:rsidRPr="009456F0" w:rsidRDefault="005D1174" w:rsidP="009456F0">
      <w:pPr>
        <w:spacing w:after="0" w:line="240" w:lineRule="auto"/>
        <w:rPr>
          <w:rFonts w:cs="Times New Roman"/>
        </w:rPr>
      </w:pPr>
      <w:r w:rsidRPr="009456F0">
        <w:rPr>
          <w:rFonts w:cs="Times New Roman"/>
        </w:rPr>
        <w:t>Empirical evidence links effective TPD to improved teaching practices and student outcomes. Studies show that trained teachers use more learner-centered approaches, though challenges like high workloads and limited follow-up support hinder sustained impact (</w:t>
      </w:r>
      <w:r w:rsidR="00A90899" w:rsidRPr="00A90899">
        <w:rPr>
          <w:rFonts w:cs="Times New Roman"/>
        </w:rPr>
        <w:t>Omariba. &amp; Barasa, 2024</w:t>
      </w:r>
      <w:r w:rsidRPr="009456F0">
        <w:rPr>
          <w:rFonts w:cs="Times New Roman"/>
        </w:rPr>
        <w:t>; Otieno, 2022). Strengthening TPD requires robust monitoring, digital infrastructure, and inclusion of teacher voices in policy and curriculum design</w:t>
      </w:r>
      <w:r w:rsidR="00703429">
        <w:rPr>
          <w:rFonts w:cs="Times New Roman"/>
        </w:rPr>
        <w:t xml:space="preserve"> (</w:t>
      </w:r>
      <w:proofErr w:type="spellStart"/>
      <w:r w:rsidR="00703429" w:rsidRPr="0096318F">
        <w:rPr>
          <w:rFonts w:cs="Times New Roman"/>
        </w:rPr>
        <w:t>Andafu</w:t>
      </w:r>
      <w:proofErr w:type="spellEnd"/>
      <w:r w:rsidR="00703429" w:rsidRPr="0096318F">
        <w:rPr>
          <w:rFonts w:cs="Times New Roman"/>
        </w:rPr>
        <w:t>, 2023</w:t>
      </w:r>
      <w:r w:rsidR="00703429">
        <w:rPr>
          <w:rFonts w:cs="Times New Roman"/>
        </w:rPr>
        <w:t>)</w:t>
      </w:r>
      <w:r w:rsidRPr="009456F0">
        <w:rPr>
          <w:rFonts w:cs="Times New Roman"/>
        </w:rPr>
        <w:t>.</w:t>
      </w:r>
    </w:p>
    <w:p w14:paraId="0423FC37" w14:textId="77777777" w:rsidR="005D1174" w:rsidRPr="009456F0" w:rsidRDefault="005D1174" w:rsidP="009456F0">
      <w:pPr>
        <w:spacing w:after="0" w:line="240" w:lineRule="auto"/>
        <w:rPr>
          <w:rFonts w:cs="Times New Roman"/>
        </w:rPr>
      </w:pPr>
      <w:r w:rsidRPr="009456F0">
        <w:rPr>
          <w:rFonts w:cs="Times New Roman"/>
          <w:b/>
          <w:bCs/>
        </w:rPr>
        <w:t>2. Background to the Study</w:t>
      </w:r>
    </w:p>
    <w:p w14:paraId="3F902E53" w14:textId="17933A70" w:rsidR="005D1174" w:rsidRPr="009456F0" w:rsidRDefault="005D1174" w:rsidP="009456F0">
      <w:pPr>
        <w:spacing w:after="0" w:line="240" w:lineRule="auto"/>
        <w:rPr>
          <w:rFonts w:cs="Times New Roman"/>
        </w:rPr>
      </w:pPr>
      <w:r w:rsidRPr="009456F0">
        <w:rPr>
          <w:rFonts w:cs="Times New Roman"/>
        </w:rPr>
        <w:t>Teacher Professional Development (TPD) has become central to educational reform globally. Effective TPD is now understood as a lifelong, reflective process supported by data-informed practices, teacher agency, and contextual relevance. In countries like Australia and Uganda, TPD that integrates peer mentoring, school-based coaching, and performance feedback has improved teacher efficacy and student learning outcomes (Gore et al., 2017; World Bank, 2018). However, sustainability remains a challenge in low-income contexts due to infrastructure gaps and donor dependency.</w:t>
      </w:r>
    </w:p>
    <w:p w14:paraId="194E0F81" w14:textId="36BA6E0D" w:rsidR="005D1174" w:rsidRPr="009456F0" w:rsidRDefault="005D1174" w:rsidP="009456F0">
      <w:pPr>
        <w:spacing w:after="0" w:line="240" w:lineRule="auto"/>
        <w:rPr>
          <w:rFonts w:cs="Times New Roman"/>
        </w:rPr>
      </w:pPr>
      <w:r w:rsidRPr="009456F0">
        <w:rPr>
          <w:rFonts w:cs="Times New Roman"/>
        </w:rPr>
        <w:t>Globally and in Kenya, TPD takes multiple forms workshops, coaching, PLCs, and online learning and promotes collaboration, innovation, and professional growth (Hargreaves &amp; Fullan, 2012). The integration of digital technologies has broadened access to training and enabled scalable, personalized learning opportunities. South Africa’s National Digital Learning Framework and Kenya’s Digital Literacy Programme (DLP) exemplify efforts to enhance ICT-based teacher development. These initiatives support blended learning, digital storytelling, and multimedia teaching, aligning with the goals of the Competency-Based Curriculum (CBC). However, digital disparities especially in rural areas persist, requiring sustained investment in infrastructure, teacher ICT training, and leadership support within schools. As Kenya deepens CBC implementation, TPD and decentralization remain critical levers for transforming teaching and learning.</w:t>
      </w:r>
    </w:p>
    <w:p w14:paraId="409C37C2" w14:textId="77777777" w:rsidR="005D1174" w:rsidRPr="009456F0" w:rsidRDefault="005D1174" w:rsidP="009456F0">
      <w:pPr>
        <w:spacing w:after="0" w:line="240" w:lineRule="auto"/>
        <w:rPr>
          <w:rFonts w:cs="Times New Roman"/>
        </w:rPr>
      </w:pPr>
      <w:r w:rsidRPr="009456F0">
        <w:rPr>
          <w:rFonts w:cs="Times New Roman"/>
          <w:b/>
          <w:bCs/>
        </w:rPr>
        <w:t>3. Statement of the Problem</w:t>
      </w:r>
    </w:p>
    <w:p w14:paraId="4413F51A" w14:textId="1387582C" w:rsidR="005D1174" w:rsidRPr="009456F0" w:rsidRDefault="005D1174" w:rsidP="009456F0">
      <w:pPr>
        <w:spacing w:after="0" w:line="240" w:lineRule="auto"/>
        <w:rPr>
          <w:rFonts w:cs="Times New Roman"/>
        </w:rPr>
      </w:pPr>
      <w:r w:rsidRPr="009456F0">
        <w:rPr>
          <w:rFonts w:cs="Times New Roman"/>
        </w:rPr>
        <w:t>Learner performance is at the core of educational systems, serving as the primary indicator of educational effectiveness and success</w:t>
      </w:r>
      <w:r w:rsidR="0055529E">
        <w:rPr>
          <w:rFonts w:cs="Times New Roman"/>
        </w:rPr>
        <w:t xml:space="preserve"> (</w:t>
      </w:r>
      <w:r w:rsidR="0055529E" w:rsidRPr="0055529E">
        <w:rPr>
          <w:rFonts w:cs="Times New Roman"/>
        </w:rPr>
        <w:t xml:space="preserve">Khilji, </w:t>
      </w:r>
      <w:proofErr w:type="spellStart"/>
      <w:r w:rsidR="0055529E" w:rsidRPr="0055529E">
        <w:rPr>
          <w:rFonts w:cs="Times New Roman"/>
        </w:rPr>
        <w:t>Jogezai</w:t>
      </w:r>
      <w:proofErr w:type="spellEnd"/>
      <w:r w:rsidR="0055529E" w:rsidRPr="0055529E">
        <w:rPr>
          <w:rFonts w:cs="Times New Roman"/>
        </w:rPr>
        <w:t>, Bibi</w:t>
      </w:r>
      <w:r w:rsidR="0055529E">
        <w:rPr>
          <w:rFonts w:cs="Times New Roman"/>
        </w:rPr>
        <w:t xml:space="preserve"> </w:t>
      </w:r>
      <w:r w:rsidR="0055529E" w:rsidRPr="0055529E">
        <w:rPr>
          <w:rFonts w:cs="Times New Roman"/>
        </w:rPr>
        <w:t>&amp; Baloch, 2022</w:t>
      </w:r>
      <w:r w:rsidRPr="009456F0">
        <w:rPr>
          <w:rFonts w:cs="Times New Roman"/>
        </w:rPr>
        <w:t>. The Kenyan government has implemented various educational policies designed to strengthen the educational framework and improve student achievement across all regions. Among these efforts is teacher professional development, a recognition that learner performance is inherently linked to the quality of teaching strategies employed in classrooms. The Kenyan government has acknowledged that the quality of teaching strategies adopted by teachers significantly influences student outcomes, making teacher development a critical aspect of maintaining innovative and relevant instructional methods. This led to the implementation of teacher development initiatives aimed at equipping teachers with innovative teaching strategies to enhance their capacity to implement modern pedagogical approaches.</w:t>
      </w:r>
    </w:p>
    <w:p w14:paraId="4CAEC84D" w14:textId="77777777" w:rsidR="005D1174" w:rsidRPr="009456F0" w:rsidRDefault="005D1174" w:rsidP="009456F0">
      <w:pPr>
        <w:spacing w:after="0" w:line="240" w:lineRule="auto"/>
        <w:rPr>
          <w:rFonts w:cs="Times New Roman"/>
        </w:rPr>
      </w:pPr>
      <w:r w:rsidRPr="009456F0">
        <w:rPr>
          <w:rFonts w:cs="Times New Roman"/>
        </w:rPr>
        <w:t xml:space="preserve">However, despite these concerted efforts, student performance in Garissa County continues to significantly lag behind national averages, with mean grades consistently falling below expected standards. For instance, according to the Ministry of Education KCPE performance report in 2021, Garissa County reported declining results over the past five years. This decline occurred despite the initiatives put in place to promote learner performance, including teacher professional development aimed at fostering innovative teaching strategies. Despite this observation, few empirical studies have comprehensively interrogated the relationship between teacher professional </w:t>
      </w:r>
      <w:r w:rsidRPr="009456F0">
        <w:rPr>
          <w:rFonts w:cs="Times New Roman"/>
        </w:rPr>
        <w:lastRenderedPageBreak/>
        <w:t xml:space="preserve">development and innovative teaching in primary schools within this specific context. While professional development is explicitly linked to innovative teaching, its implementation has not consistently yielded the desired results in improving academic outcomes. In this context, there is a lack of clarity on how teacher professional development specifically impacts and promotes the attainment of desired academic outcomes in primary schools within </w:t>
      </w:r>
      <w:proofErr w:type="spellStart"/>
      <w:r w:rsidRPr="009456F0">
        <w:rPr>
          <w:rFonts w:cs="Times New Roman"/>
        </w:rPr>
        <w:t>Sankuri</w:t>
      </w:r>
      <w:proofErr w:type="spellEnd"/>
      <w:r w:rsidRPr="009456F0">
        <w:rPr>
          <w:rFonts w:cs="Times New Roman"/>
        </w:rPr>
        <w:t xml:space="preserve"> Sub-County, Garissa County. Thus, this study sought to examine the relationship between teacher professional development and innovative teaching in primary schools in </w:t>
      </w:r>
      <w:proofErr w:type="spellStart"/>
      <w:r w:rsidRPr="009456F0">
        <w:rPr>
          <w:rFonts w:cs="Times New Roman"/>
        </w:rPr>
        <w:t>Sankuri</w:t>
      </w:r>
      <w:proofErr w:type="spellEnd"/>
      <w:r w:rsidRPr="009456F0">
        <w:rPr>
          <w:rFonts w:cs="Times New Roman"/>
        </w:rPr>
        <w:t xml:space="preserve"> Sub-County, Kenya.</w:t>
      </w:r>
    </w:p>
    <w:p w14:paraId="6847145A" w14:textId="77777777" w:rsidR="005D1174" w:rsidRPr="009456F0" w:rsidRDefault="005D1174" w:rsidP="009456F0">
      <w:pPr>
        <w:spacing w:after="0" w:line="240" w:lineRule="auto"/>
        <w:rPr>
          <w:rFonts w:cs="Times New Roman"/>
        </w:rPr>
      </w:pPr>
      <w:r w:rsidRPr="009456F0">
        <w:rPr>
          <w:rFonts w:cs="Times New Roman"/>
          <w:b/>
          <w:bCs/>
        </w:rPr>
        <w:t>4. Research Hypothesis</w:t>
      </w:r>
    </w:p>
    <w:p w14:paraId="24E08AB9" w14:textId="01D660D5" w:rsidR="005D1174" w:rsidRPr="009456F0" w:rsidRDefault="005D1174" w:rsidP="009456F0">
      <w:pPr>
        <w:spacing w:after="0" w:line="240" w:lineRule="auto"/>
        <w:rPr>
          <w:rFonts w:cs="Times New Roman"/>
        </w:rPr>
      </w:pPr>
      <w:r w:rsidRPr="009456F0">
        <w:rPr>
          <w:rFonts w:cs="Times New Roman"/>
        </w:rPr>
        <w:t>H</w:t>
      </w:r>
      <w:r w:rsidRPr="00E05B93">
        <w:rPr>
          <w:rFonts w:cs="Times New Roman"/>
          <w:vertAlign w:val="subscript"/>
        </w:rPr>
        <w:t>0</w:t>
      </w:r>
      <w:r w:rsidRPr="009456F0">
        <w:rPr>
          <w:rFonts w:cs="Times New Roman"/>
        </w:rPr>
        <w:t xml:space="preserve">: There is no significant </w:t>
      </w:r>
      <w:r w:rsidR="00E05B93">
        <w:rPr>
          <w:rFonts w:cs="Times New Roman"/>
        </w:rPr>
        <w:t>effect of</w:t>
      </w:r>
      <w:r w:rsidRPr="009456F0">
        <w:rPr>
          <w:rFonts w:cs="Times New Roman"/>
        </w:rPr>
        <w:t xml:space="preserve"> teacher professional development </w:t>
      </w:r>
      <w:r w:rsidR="00E05B93">
        <w:rPr>
          <w:rFonts w:cs="Times New Roman"/>
        </w:rPr>
        <w:t xml:space="preserve">on </w:t>
      </w:r>
      <w:r w:rsidRPr="009456F0">
        <w:rPr>
          <w:rFonts w:cs="Times New Roman"/>
        </w:rPr>
        <w:t xml:space="preserve">innovative teaching in primary schools in </w:t>
      </w:r>
      <w:proofErr w:type="spellStart"/>
      <w:r w:rsidRPr="009456F0">
        <w:rPr>
          <w:rFonts w:cs="Times New Roman"/>
        </w:rPr>
        <w:t>Sankuri</w:t>
      </w:r>
      <w:proofErr w:type="spellEnd"/>
      <w:r w:rsidRPr="009456F0">
        <w:rPr>
          <w:rFonts w:cs="Times New Roman"/>
        </w:rPr>
        <w:t xml:space="preserve"> Sub-County, Garissa County, Kenya.</w:t>
      </w:r>
    </w:p>
    <w:p w14:paraId="68262B0D" w14:textId="4B6D0D82" w:rsidR="005D1174" w:rsidRPr="009456F0" w:rsidRDefault="005D1174" w:rsidP="009456F0">
      <w:pPr>
        <w:spacing w:after="0" w:line="240" w:lineRule="auto"/>
        <w:rPr>
          <w:rFonts w:cs="Times New Roman"/>
        </w:rPr>
      </w:pPr>
      <w:r w:rsidRPr="009456F0">
        <w:rPr>
          <w:rFonts w:cs="Times New Roman"/>
          <w:b/>
          <w:bCs/>
        </w:rPr>
        <w:t>5. Methodology</w:t>
      </w:r>
    </w:p>
    <w:p w14:paraId="2B2DBD3A" w14:textId="25FED1F1" w:rsidR="005D1174" w:rsidRPr="009456F0" w:rsidRDefault="005D1174" w:rsidP="009456F0">
      <w:pPr>
        <w:spacing w:after="0" w:line="240" w:lineRule="auto"/>
        <w:rPr>
          <w:rFonts w:cs="Times New Roman"/>
        </w:rPr>
      </w:pPr>
      <w:r w:rsidRPr="009456F0">
        <w:rPr>
          <w:rFonts w:cs="Times New Roman"/>
        </w:rPr>
        <w:t xml:space="preserve">The study was carried out in </w:t>
      </w:r>
      <w:proofErr w:type="spellStart"/>
      <w:r w:rsidRPr="009456F0">
        <w:rPr>
          <w:rFonts w:cs="Times New Roman"/>
        </w:rPr>
        <w:t>Sankuri</w:t>
      </w:r>
      <w:proofErr w:type="spellEnd"/>
      <w:r w:rsidRPr="009456F0">
        <w:rPr>
          <w:rFonts w:cs="Times New Roman"/>
        </w:rPr>
        <w:t xml:space="preserve"> Sub-County, located approximately 400 kilometers northeast of Nairobi, within Garissa County, Kenya. </w:t>
      </w:r>
      <w:proofErr w:type="spellStart"/>
      <w:r w:rsidRPr="009456F0">
        <w:rPr>
          <w:rFonts w:cs="Times New Roman"/>
        </w:rPr>
        <w:t>Sankuri</w:t>
      </w:r>
      <w:proofErr w:type="spellEnd"/>
      <w:r w:rsidRPr="009456F0">
        <w:rPr>
          <w:rFonts w:cs="Times New Roman"/>
        </w:rPr>
        <w:t xml:space="preserve"> Sub-County is one of the 13 sub-counties of Garissa County, situated at approximately 0°17′3″ South latitude and 39°36′21″ East longitude. It is characterized as a remote area with limited infrastructure and diverse cultural and language groups.</w:t>
      </w:r>
      <w:r w:rsidRPr="009456F0">
        <w:rPr>
          <w:rFonts w:cs="Times New Roman"/>
          <w:b/>
          <w:bCs/>
        </w:rPr>
        <w:t xml:space="preserve"> </w:t>
      </w:r>
    </w:p>
    <w:p w14:paraId="14C12261" w14:textId="77777777" w:rsidR="005D1174" w:rsidRPr="009456F0" w:rsidRDefault="005D1174" w:rsidP="009456F0">
      <w:pPr>
        <w:spacing w:after="0" w:line="240" w:lineRule="auto"/>
        <w:rPr>
          <w:rFonts w:cs="Times New Roman"/>
        </w:rPr>
      </w:pPr>
      <w:r w:rsidRPr="009456F0">
        <w:rPr>
          <w:rFonts w:cs="Times New Roman"/>
        </w:rPr>
        <w:t xml:space="preserve">The study’s target population comprised all 95 primary school teachers from the 28 public primary schools in </w:t>
      </w:r>
      <w:proofErr w:type="spellStart"/>
      <w:r w:rsidRPr="009456F0">
        <w:rPr>
          <w:rFonts w:cs="Times New Roman"/>
        </w:rPr>
        <w:t>Sankuri</w:t>
      </w:r>
      <w:proofErr w:type="spellEnd"/>
      <w:r w:rsidRPr="009456F0">
        <w:rPr>
          <w:rFonts w:cs="Times New Roman"/>
        </w:rPr>
        <w:t xml:space="preserve"> Sub-County. This population was selected because teachers are considered key informants for the variables under investigation, playing a crucial role in professional development, school leadership support, and innovative teaching. The study employed a census sampling procedure, which involves including all or nearly all members of a population (</w:t>
      </w:r>
      <w:proofErr w:type="spellStart"/>
      <w:r w:rsidRPr="009456F0">
        <w:rPr>
          <w:rFonts w:cs="Times New Roman"/>
        </w:rPr>
        <w:t>Etikan</w:t>
      </w:r>
      <w:proofErr w:type="spellEnd"/>
      <w:r w:rsidRPr="009456F0">
        <w:rPr>
          <w:rFonts w:cs="Times New Roman"/>
        </w:rPr>
        <w:t xml:space="preserve"> &amp; </w:t>
      </w:r>
      <w:proofErr w:type="spellStart"/>
      <w:r w:rsidRPr="009456F0">
        <w:rPr>
          <w:rFonts w:cs="Times New Roman"/>
        </w:rPr>
        <w:t>Bala</w:t>
      </w:r>
      <w:proofErr w:type="spellEnd"/>
      <w:r w:rsidRPr="009456F0">
        <w:rPr>
          <w:rFonts w:cs="Times New Roman"/>
        </w:rPr>
        <w:t xml:space="preserve">, 2017). Thus, all 95 primary school teachers from the 28 primary schools in </w:t>
      </w:r>
      <w:proofErr w:type="spellStart"/>
      <w:r w:rsidRPr="009456F0">
        <w:rPr>
          <w:rFonts w:cs="Times New Roman"/>
        </w:rPr>
        <w:t>Sankuri</w:t>
      </w:r>
      <w:proofErr w:type="spellEnd"/>
      <w:r w:rsidRPr="009456F0">
        <w:rPr>
          <w:rFonts w:cs="Times New Roman"/>
        </w:rPr>
        <w:t xml:space="preserve"> Sub-County participated. The decision to use census sampling was informed by the relatively small population size (N=95), which is less than 100, allowing the researcher to study the entire population with assured accuracy, timeliness, and economy (</w:t>
      </w:r>
      <w:proofErr w:type="spellStart"/>
      <w:r w:rsidRPr="009456F0">
        <w:rPr>
          <w:rFonts w:cs="Times New Roman"/>
        </w:rPr>
        <w:t>Taherdoost</w:t>
      </w:r>
      <w:proofErr w:type="spellEnd"/>
      <w:r w:rsidRPr="009456F0">
        <w:rPr>
          <w:rFonts w:cs="Times New Roman"/>
        </w:rPr>
        <w:t>, 2016).</w:t>
      </w:r>
    </w:p>
    <w:p w14:paraId="40538966" w14:textId="77777777" w:rsidR="005D1174" w:rsidRPr="009456F0" w:rsidRDefault="005D1174" w:rsidP="009456F0">
      <w:pPr>
        <w:spacing w:after="0" w:line="240" w:lineRule="auto"/>
        <w:rPr>
          <w:rFonts w:cs="Times New Roman"/>
        </w:rPr>
      </w:pPr>
      <w:r w:rsidRPr="009456F0">
        <w:rPr>
          <w:rFonts w:cs="Times New Roman"/>
        </w:rPr>
        <w:t>A structured questionnaire was the primary research instrument used to collect quantitative data regarding the study variables. The questionnaire comprised close-ended questions designed to standardize data collection and enable objective analysis of the relationships between variables, thereby enhancing data reliability and facilitating statistical analysis. A 4-point Likert scale (1 = strongly disagree, 2 = disagree, 3 = agree, and 4 = strongly agree) was adopted to measure respondents’ perceptions and experiences concerning the study variables. The use of a Likert scale allowed for easy quantification of responses, which was essential for statistical analysis to explore relationships and mediation effects among the variables.</w:t>
      </w:r>
    </w:p>
    <w:p w14:paraId="5D9EAFEC" w14:textId="019C7DF6" w:rsidR="00103B8A" w:rsidRPr="009456F0" w:rsidRDefault="00103B8A" w:rsidP="009456F0">
      <w:pPr>
        <w:spacing w:after="0" w:line="240" w:lineRule="auto"/>
        <w:rPr>
          <w:rFonts w:cs="Times New Roman"/>
        </w:rPr>
      </w:pPr>
      <w:r w:rsidRPr="009456F0">
        <w:rPr>
          <w:rFonts w:cs="Times New Roman"/>
          <w:b/>
          <w:bCs/>
        </w:rPr>
        <w:t>6 Validity and Reliability of the Instrument</w:t>
      </w:r>
    </w:p>
    <w:p w14:paraId="4FF3C5DB" w14:textId="5F0D3CF3" w:rsidR="005D1174" w:rsidRPr="009456F0" w:rsidRDefault="005D1174" w:rsidP="009456F0">
      <w:pPr>
        <w:spacing w:after="0" w:line="240" w:lineRule="auto"/>
        <w:rPr>
          <w:rFonts w:cs="Times New Roman"/>
        </w:rPr>
      </w:pPr>
      <w:r w:rsidRPr="009456F0">
        <w:rPr>
          <w:rFonts w:cs="Times New Roman"/>
          <w:b/>
          <w:bCs/>
        </w:rPr>
        <w:t>6.</w:t>
      </w:r>
      <w:r w:rsidR="00103B8A" w:rsidRPr="009456F0">
        <w:rPr>
          <w:rFonts w:cs="Times New Roman"/>
          <w:b/>
          <w:bCs/>
        </w:rPr>
        <w:t>1</w:t>
      </w:r>
      <w:r w:rsidRPr="009456F0">
        <w:rPr>
          <w:rFonts w:cs="Times New Roman"/>
          <w:b/>
          <w:bCs/>
        </w:rPr>
        <w:t xml:space="preserve"> Validity of the Instruments</w:t>
      </w:r>
    </w:p>
    <w:p w14:paraId="2851DA7B" w14:textId="71E748CA" w:rsidR="00CA725B" w:rsidRPr="009456F0" w:rsidRDefault="005D1174" w:rsidP="009456F0">
      <w:pPr>
        <w:spacing w:after="0" w:line="240" w:lineRule="auto"/>
        <w:rPr>
          <w:rFonts w:eastAsia="Times New Roman" w:cs="Times New Roman"/>
          <w:color w:val="000000" w:themeColor="text1"/>
          <w:lang w:eastAsia="zh-CN"/>
        </w:rPr>
      </w:pPr>
      <w:r w:rsidRPr="009456F0">
        <w:rPr>
          <w:rFonts w:cs="Times New Roman"/>
        </w:rPr>
        <w:t xml:space="preserve">To ensure the validity of the questionnaire items, the study employed both content and construct validity assessments. Content validity was established through consultation with subject matter experts, including educational researchers and experienced teachers, who evaluated whether the items comprehensively covered the dimensions of the study variables. Principal component analysis was used to test construct validity. </w:t>
      </w:r>
      <w:r w:rsidR="00CA725B" w:rsidRPr="009456F0">
        <w:rPr>
          <w:rFonts w:cs="Times New Roman"/>
        </w:rPr>
        <w:t xml:space="preserve">Table 1 shows the KMO and </w:t>
      </w:r>
      <w:r w:rsidR="00CA725B" w:rsidRPr="009456F0">
        <w:rPr>
          <w:rFonts w:eastAsia="Times New Roman" w:cs="Times New Roman"/>
          <w:color w:val="000000" w:themeColor="text1"/>
          <w:lang w:eastAsia="zh-CN"/>
        </w:rPr>
        <w:t>Bartlett's Test.</w:t>
      </w:r>
    </w:p>
    <w:p w14:paraId="4AD65C50" w14:textId="50EDC375" w:rsidR="00CA725B" w:rsidRPr="009456F0" w:rsidRDefault="00103B8A" w:rsidP="009456F0">
      <w:pPr>
        <w:pStyle w:val="Caption"/>
        <w:spacing w:after="0"/>
        <w:rPr>
          <w:rFonts w:cs="Times New Roman"/>
          <w:i w:val="0"/>
          <w:iCs w:val="0"/>
          <w:color w:val="auto"/>
          <w:sz w:val="24"/>
          <w:szCs w:val="24"/>
        </w:rPr>
      </w:pPr>
      <w:r w:rsidRPr="009456F0">
        <w:rPr>
          <w:rFonts w:cs="Times New Roman"/>
          <w:i w:val="0"/>
          <w:iCs w:val="0"/>
          <w:color w:val="auto"/>
          <w:sz w:val="24"/>
          <w:szCs w:val="24"/>
        </w:rPr>
        <w:t xml:space="preserve">Table </w:t>
      </w:r>
      <w:r w:rsidRPr="009456F0">
        <w:rPr>
          <w:rFonts w:cs="Times New Roman"/>
          <w:i w:val="0"/>
          <w:iCs w:val="0"/>
          <w:color w:val="auto"/>
          <w:sz w:val="24"/>
          <w:szCs w:val="24"/>
        </w:rPr>
        <w:fldChar w:fldCharType="begin"/>
      </w:r>
      <w:r w:rsidRPr="009456F0">
        <w:rPr>
          <w:rFonts w:cs="Times New Roman"/>
          <w:i w:val="0"/>
          <w:iCs w:val="0"/>
          <w:color w:val="auto"/>
          <w:sz w:val="24"/>
          <w:szCs w:val="24"/>
        </w:rPr>
        <w:instrText xml:space="preserve"> SEQ Table \* ARABIC </w:instrText>
      </w:r>
      <w:r w:rsidRPr="009456F0">
        <w:rPr>
          <w:rFonts w:cs="Times New Roman"/>
          <w:i w:val="0"/>
          <w:iCs w:val="0"/>
          <w:color w:val="auto"/>
          <w:sz w:val="24"/>
          <w:szCs w:val="24"/>
        </w:rPr>
        <w:fldChar w:fldCharType="separate"/>
      </w:r>
      <w:r w:rsidR="009456F0" w:rsidRPr="009456F0">
        <w:rPr>
          <w:rFonts w:cs="Times New Roman"/>
          <w:i w:val="0"/>
          <w:iCs w:val="0"/>
          <w:noProof/>
          <w:color w:val="auto"/>
          <w:sz w:val="24"/>
          <w:szCs w:val="24"/>
        </w:rPr>
        <w:t>1</w:t>
      </w:r>
      <w:r w:rsidRPr="009456F0">
        <w:rPr>
          <w:rFonts w:cs="Times New Roman"/>
          <w:i w:val="0"/>
          <w:iCs w:val="0"/>
          <w:color w:val="auto"/>
          <w:sz w:val="24"/>
          <w:szCs w:val="24"/>
        </w:rPr>
        <w:fldChar w:fldCharType="end"/>
      </w:r>
      <w:r w:rsidR="00CA725B" w:rsidRPr="009456F0">
        <w:rPr>
          <w:rFonts w:cs="Times New Roman"/>
          <w:b/>
          <w:bCs/>
          <w:i w:val="0"/>
          <w:iCs w:val="0"/>
          <w:color w:val="auto"/>
          <w:sz w:val="24"/>
          <w:szCs w:val="24"/>
        </w:rPr>
        <w:t>:</w:t>
      </w:r>
      <w:r w:rsidR="00CA725B" w:rsidRPr="009456F0">
        <w:rPr>
          <w:rFonts w:cs="Times New Roman"/>
          <w:i w:val="0"/>
          <w:iCs w:val="0"/>
          <w:color w:val="auto"/>
          <w:sz w:val="24"/>
          <w:szCs w:val="24"/>
        </w:rPr>
        <w:t xml:space="preserve"> KMO and </w:t>
      </w:r>
      <w:r w:rsidR="00CA725B" w:rsidRPr="009456F0">
        <w:rPr>
          <w:rFonts w:eastAsia="Times New Roman" w:cs="Times New Roman"/>
          <w:i w:val="0"/>
          <w:iCs w:val="0"/>
          <w:color w:val="auto"/>
          <w:sz w:val="24"/>
          <w:szCs w:val="24"/>
          <w:lang w:eastAsia="zh-CN"/>
        </w:rPr>
        <w:t>Bartlett's Test</w:t>
      </w:r>
    </w:p>
    <w:tbl>
      <w:tblPr>
        <w:tblW w:w="8640" w:type="dxa"/>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3405"/>
        <w:gridCol w:w="4140"/>
        <w:gridCol w:w="1095"/>
      </w:tblGrid>
      <w:tr w:rsidR="00CA725B" w:rsidRPr="009456F0" w14:paraId="558F81EC" w14:textId="77777777" w:rsidTr="00010DFA">
        <w:trPr>
          <w:cantSplit/>
        </w:trPr>
        <w:tc>
          <w:tcPr>
            <w:tcW w:w="8640" w:type="dxa"/>
            <w:gridSpan w:val="3"/>
            <w:tcBorders>
              <w:top w:val="single" w:sz="12" w:space="0" w:color="auto"/>
              <w:bottom w:val="single" w:sz="12" w:space="0" w:color="auto"/>
            </w:tcBorders>
            <w:shd w:val="clear" w:color="auto" w:fill="FFFFFF"/>
            <w:hideMark/>
          </w:tcPr>
          <w:p w14:paraId="673774FA" w14:textId="77777777" w:rsidR="00CA725B" w:rsidRPr="009456F0" w:rsidRDefault="00CA725B" w:rsidP="009456F0">
            <w:pPr>
              <w:spacing w:after="0" w:line="240" w:lineRule="auto"/>
              <w:jc w:val="center"/>
              <w:rPr>
                <w:rFonts w:eastAsia="Times New Roman" w:cs="Times New Roman"/>
                <w:color w:val="000000" w:themeColor="text1"/>
                <w:lang w:eastAsia="zh-CN"/>
              </w:rPr>
            </w:pPr>
            <w:r w:rsidRPr="009456F0">
              <w:rPr>
                <w:rFonts w:eastAsia="Times New Roman" w:cs="Times New Roman"/>
                <w:b/>
                <w:bCs/>
                <w:color w:val="000000" w:themeColor="text1"/>
                <w:lang w:eastAsia="zh-CN"/>
              </w:rPr>
              <w:t>KMO and Bartlett's Test</w:t>
            </w:r>
          </w:p>
        </w:tc>
      </w:tr>
      <w:tr w:rsidR="00CA725B" w:rsidRPr="009456F0" w14:paraId="702CFEF0" w14:textId="77777777" w:rsidTr="00010DFA">
        <w:trPr>
          <w:cantSplit/>
        </w:trPr>
        <w:tc>
          <w:tcPr>
            <w:tcW w:w="7545" w:type="dxa"/>
            <w:gridSpan w:val="2"/>
            <w:tcBorders>
              <w:top w:val="single" w:sz="12" w:space="0" w:color="auto"/>
            </w:tcBorders>
            <w:shd w:val="clear" w:color="auto" w:fill="FFFFFF"/>
            <w:vAlign w:val="center"/>
            <w:hideMark/>
          </w:tcPr>
          <w:p w14:paraId="7D78122C"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Kaiser-Meyer-Olkin Measure of Sampling Adequacy.</w:t>
            </w:r>
          </w:p>
        </w:tc>
        <w:tc>
          <w:tcPr>
            <w:tcW w:w="1095" w:type="dxa"/>
            <w:tcBorders>
              <w:top w:val="single" w:sz="12" w:space="0" w:color="auto"/>
            </w:tcBorders>
            <w:shd w:val="clear" w:color="auto" w:fill="FFFFFF"/>
            <w:vAlign w:val="center"/>
            <w:hideMark/>
          </w:tcPr>
          <w:p w14:paraId="025E2137"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.792</w:t>
            </w:r>
          </w:p>
        </w:tc>
      </w:tr>
      <w:tr w:rsidR="00CA725B" w:rsidRPr="009456F0" w14:paraId="29048AB9" w14:textId="77777777" w:rsidTr="00010DFA">
        <w:trPr>
          <w:cantSplit/>
        </w:trPr>
        <w:tc>
          <w:tcPr>
            <w:tcW w:w="3405" w:type="dxa"/>
            <w:vMerge w:val="restart"/>
            <w:shd w:val="clear" w:color="auto" w:fill="FFFFFF"/>
            <w:vAlign w:val="center"/>
            <w:hideMark/>
          </w:tcPr>
          <w:p w14:paraId="093D33BB"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Bartlett's Test of Sphericity</w:t>
            </w:r>
          </w:p>
        </w:tc>
        <w:tc>
          <w:tcPr>
            <w:tcW w:w="4140" w:type="dxa"/>
            <w:shd w:val="clear" w:color="auto" w:fill="FFFFFF"/>
            <w:vAlign w:val="center"/>
            <w:hideMark/>
          </w:tcPr>
          <w:p w14:paraId="0BF63EC4"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Approx. Chi-Square</w:t>
            </w:r>
          </w:p>
        </w:tc>
        <w:tc>
          <w:tcPr>
            <w:tcW w:w="1095" w:type="dxa"/>
            <w:shd w:val="clear" w:color="auto" w:fill="FFFFFF"/>
            <w:vAlign w:val="center"/>
            <w:hideMark/>
          </w:tcPr>
          <w:p w14:paraId="00D290AA"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406.597</w:t>
            </w:r>
          </w:p>
        </w:tc>
      </w:tr>
      <w:tr w:rsidR="00CA725B" w:rsidRPr="009456F0" w14:paraId="19319D53" w14:textId="77777777" w:rsidTr="00010DFA">
        <w:trPr>
          <w:cantSplit/>
        </w:trPr>
        <w:tc>
          <w:tcPr>
            <w:tcW w:w="3405" w:type="dxa"/>
            <w:vMerge/>
            <w:vAlign w:val="center"/>
            <w:hideMark/>
          </w:tcPr>
          <w:p w14:paraId="2E4AA131" w14:textId="77777777" w:rsidR="00CA725B" w:rsidRPr="009456F0" w:rsidRDefault="00CA725B" w:rsidP="009456F0">
            <w:pPr>
              <w:spacing w:after="0" w:line="240" w:lineRule="auto"/>
              <w:rPr>
                <w:rFonts w:eastAsia="Times New Roman" w:cs="Times New Roman"/>
                <w:color w:val="000000" w:themeColor="text1"/>
                <w:lang w:eastAsia="zh-CN"/>
              </w:rPr>
            </w:pPr>
          </w:p>
        </w:tc>
        <w:tc>
          <w:tcPr>
            <w:tcW w:w="4140" w:type="dxa"/>
            <w:shd w:val="clear" w:color="auto" w:fill="FFFFFF"/>
            <w:vAlign w:val="center"/>
            <w:hideMark/>
          </w:tcPr>
          <w:p w14:paraId="0016ACCF"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df</w:t>
            </w:r>
          </w:p>
        </w:tc>
        <w:tc>
          <w:tcPr>
            <w:tcW w:w="1095" w:type="dxa"/>
            <w:shd w:val="clear" w:color="auto" w:fill="FFFFFF"/>
            <w:vAlign w:val="center"/>
            <w:hideMark/>
          </w:tcPr>
          <w:p w14:paraId="00F02E6C"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435</w:t>
            </w:r>
          </w:p>
        </w:tc>
      </w:tr>
      <w:tr w:rsidR="00CA725B" w:rsidRPr="009456F0" w14:paraId="1981D540" w14:textId="77777777" w:rsidTr="00010DFA">
        <w:trPr>
          <w:cantSplit/>
        </w:trPr>
        <w:tc>
          <w:tcPr>
            <w:tcW w:w="3405" w:type="dxa"/>
            <w:vMerge/>
            <w:vAlign w:val="center"/>
            <w:hideMark/>
          </w:tcPr>
          <w:p w14:paraId="1F6D257E" w14:textId="77777777" w:rsidR="00CA725B" w:rsidRPr="009456F0" w:rsidRDefault="00CA725B" w:rsidP="009456F0">
            <w:pPr>
              <w:spacing w:after="0" w:line="240" w:lineRule="auto"/>
              <w:rPr>
                <w:rFonts w:eastAsia="Times New Roman" w:cs="Times New Roman"/>
                <w:color w:val="000000" w:themeColor="text1"/>
                <w:lang w:eastAsia="zh-CN"/>
              </w:rPr>
            </w:pPr>
          </w:p>
        </w:tc>
        <w:tc>
          <w:tcPr>
            <w:tcW w:w="4140" w:type="dxa"/>
            <w:shd w:val="clear" w:color="auto" w:fill="FFFFFF"/>
            <w:vAlign w:val="center"/>
            <w:hideMark/>
          </w:tcPr>
          <w:p w14:paraId="394416FA"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Sig.</w:t>
            </w:r>
          </w:p>
        </w:tc>
        <w:tc>
          <w:tcPr>
            <w:tcW w:w="1095" w:type="dxa"/>
            <w:shd w:val="clear" w:color="auto" w:fill="FFFFFF"/>
            <w:vAlign w:val="center"/>
            <w:hideMark/>
          </w:tcPr>
          <w:p w14:paraId="04325209" w14:textId="77777777" w:rsidR="00CA725B" w:rsidRPr="009456F0" w:rsidRDefault="00CA725B" w:rsidP="009456F0">
            <w:pPr>
              <w:spacing w:after="0" w:line="240" w:lineRule="auto"/>
              <w:rPr>
                <w:rFonts w:eastAsia="Times New Roman" w:cs="Times New Roman"/>
                <w:color w:val="000000" w:themeColor="text1"/>
                <w:lang w:eastAsia="zh-CN"/>
              </w:rPr>
            </w:pPr>
            <w:r w:rsidRPr="009456F0">
              <w:rPr>
                <w:rFonts w:eastAsia="Times New Roman" w:cs="Times New Roman"/>
                <w:color w:val="000000" w:themeColor="text1"/>
                <w:lang w:eastAsia="zh-CN"/>
              </w:rPr>
              <w:t>.032</w:t>
            </w:r>
          </w:p>
        </w:tc>
      </w:tr>
    </w:tbl>
    <w:p w14:paraId="55FA4683" w14:textId="4F7721A0" w:rsidR="005D1174" w:rsidRPr="009456F0" w:rsidRDefault="005D1174" w:rsidP="009456F0">
      <w:pPr>
        <w:spacing w:after="0" w:line="240" w:lineRule="auto"/>
        <w:rPr>
          <w:rFonts w:cs="Times New Roman"/>
        </w:rPr>
      </w:pPr>
      <w:r w:rsidRPr="009456F0">
        <w:rPr>
          <w:rFonts w:cs="Times New Roman"/>
        </w:rPr>
        <w:lastRenderedPageBreak/>
        <w:t>The Kaiser-Meyer-Olkin (KMO) measure of sampling adequacy was found to be 0.792, indicating that the sample was sufficient for conducting factor analysis. A KMO value above 0.6 is generally considered good, suggesting that the data would likely produce distinct and reliable factors. Additionally, Bartlett</w:t>
      </w:r>
      <w:r w:rsidR="00AF6C18" w:rsidRPr="009456F0">
        <w:rPr>
          <w:rFonts w:cs="Times New Roman"/>
        </w:rPr>
        <w:t>’</w:t>
      </w:r>
      <w:r w:rsidRPr="009456F0">
        <w:rPr>
          <w:rFonts w:cs="Times New Roman"/>
        </w:rPr>
        <w:t>s Test of Sphericity yielded a chi-square value of 406.597 with 435 degrees of freedom and a significance level of 0.032. Since the p-value was less than 0.05, the test was statistically significant, implying meaningful relationships among the variables and further justifying factor analysis.</w:t>
      </w:r>
    </w:p>
    <w:p w14:paraId="1B4CCB52" w14:textId="70421D03" w:rsidR="00103B8A" w:rsidRPr="009456F0" w:rsidRDefault="00103B8A" w:rsidP="009456F0">
      <w:pPr>
        <w:spacing w:after="0" w:line="240" w:lineRule="auto"/>
        <w:rPr>
          <w:rFonts w:cs="Times New Roman"/>
        </w:rPr>
      </w:pPr>
      <w:r w:rsidRPr="009456F0">
        <w:rPr>
          <w:rFonts w:cs="Times New Roman"/>
          <w:b/>
          <w:bCs/>
        </w:rPr>
        <w:t>6.1.2 Reliability Results</w:t>
      </w:r>
    </w:p>
    <w:p w14:paraId="3519011F" w14:textId="3F75E7C8" w:rsidR="00103B8A" w:rsidRPr="009456F0" w:rsidRDefault="00103B8A" w:rsidP="009456F0">
      <w:pPr>
        <w:spacing w:after="0" w:line="240" w:lineRule="auto"/>
        <w:rPr>
          <w:rFonts w:cs="Times New Roman"/>
        </w:rPr>
      </w:pPr>
      <w:r w:rsidRPr="009456F0">
        <w:rPr>
          <w:rFonts w:cs="Times New Roman"/>
        </w:rPr>
        <w:t>The reliability statistics indicate that the three-item scale used in the study has a Cronbach’s Alpha of .781, which suggests acceptable internal consistency. This means the items are sufficiently correlated and reliably measure the same underlying construct. A value above .7 is generally considered acceptable for social science research, confirming that the scale is dependable for further analysis. Professional development showed an alpha of 0.791 if deleted, implying it contributes less to the scale’s consistency when removed. Innovative teaching strategies would increase Cronbach’s alpha to 0.828 if removed, indicating it weakly aligns with the scale and its removal would improve overall reliability. Generally, the presence of all items in the model upholds internal consistency, as they yield an overall alpha value of 0.781.</w:t>
      </w:r>
    </w:p>
    <w:p w14:paraId="509064F7" w14:textId="7A813F75" w:rsidR="005D1174" w:rsidRPr="009456F0" w:rsidRDefault="005D1174" w:rsidP="009456F0">
      <w:pPr>
        <w:spacing w:after="0" w:line="240" w:lineRule="auto"/>
        <w:rPr>
          <w:rFonts w:cs="Times New Roman"/>
        </w:rPr>
      </w:pPr>
      <w:r w:rsidRPr="009456F0">
        <w:rPr>
          <w:rFonts w:cs="Times New Roman"/>
          <w:b/>
          <w:bCs/>
        </w:rPr>
        <w:t>7 Data Analysis Methods</w:t>
      </w:r>
    </w:p>
    <w:p w14:paraId="4E7E3AC9" w14:textId="77777777" w:rsidR="005D1174" w:rsidRPr="009456F0" w:rsidRDefault="005D1174" w:rsidP="009456F0">
      <w:pPr>
        <w:spacing w:after="0" w:line="240" w:lineRule="auto"/>
        <w:rPr>
          <w:rFonts w:cs="Times New Roman"/>
        </w:rPr>
      </w:pPr>
      <w:r w:rsidRPr="009456F0">
        <w:rPr>
          <w:rFonts w:cs="Times New Roman"/>
        </w:rPr>
        <w:t>The data collected for this study were analyzed using quantitative methods to address the research objectives and hypotheses. The analysis was conducted in three phases: descriptive statistics, inferential statistics, and mediation analysis. Descriptive statistics summarized the demographic characteristics of the respondents, such as gender, employer type, academic qualifications, and years of teaching experience. Measures like frequencies, means, and standard deviations were used to provide an overview of the study variables. Inferential statistical techniques were employed to test the study’s hypotheses, with Pearson correlation coefficient used to determine the strength and direction of relationships among the variables. While the original thesis also included mediation analysis, for the purpose of this report, the focus will be on the direct correlation and regression analysis concerning the relationship between teacher professional development and innovative teaching.</w:t>
      </w:r>
    </w:p>
    <w:p w14:paraId="3E5ECC64" w14:textId="4F6AE8A5" w:rsidR="005D1174" w:rsidRPr="009456F0" w:rsidRDefault="005D1174" w:rsidP="009456F0">
      <w:pPr>
        <w:spacing w:after="0" w:line="240" w:lineRule="auto"/>
        <w:rPr>
          <w:rFonts w:cs="Times New Roman"/>
        </w:rPr>
      </w:pPr>
      <w:r w:rsidRPr="009456F0">
        <w:rPr>
          <w:rFonts w:cs="Times New Roman"/>
          <w:b/>
          <w:bCs/>
        </w:rPr>
        <w:t xml:space="preserve">8. </w:t>
      </w:r>
      <w:r w:rsidR="001B6747">
        <w:rPr>
          <w:rFonts w:cs="Times New Roman"/>
          <w:b/>
          <w:bCs/>
        </w:rPr>
        <w:t>Result</w:t>
      </w:r>
    </w:p>
    <w:p w14:paraId="55D3FF5B" w14:textId="77777777" w:rsidR="005D1174" w:rsidRPr="009456F0" w:rsidRDefault="005D1174" w:rsidP="009456F0">
      <w:pPr>
        <w:spacing w:after="0" w:line="240" w:lineRule="auto"/>
        <w:rPr>
          <w:rFonts w:cs="Times New Roman"/>
        </w:rPr>
      </w:pPr>
      <w:r w:rsidRPr="009456F0">
        <w:rPr>
          <w:rFonts w:cs="Times New Roman"/>
        </w:rPr>
        <w:t>This section presents the findings, interpretation, and discussions derived from the study, covering general background information on respondents' demographics and the descriptive and inferential statistics related to the study variables.</w:t>
      </w:r>
    </w:p>
    <w:p w14:paraId="40F81688" w14:textId="25493EBD" w:rsidR="005D1174" w:rsidRPr="009456F0" w:rsidRDefault="005D1174" w:rsidP="009456F0">
      <w:pPr>
        <w:spacing w:after="0" w:line="240" w:lineRule="auto"/>
        <w:rPr>
          <w:rFonts w:cs="Times New Roman"/>
        </w:rPr>
      </w:pPr>
      <w:r w:rsidRPr="009456F0">
        <w:rPr>
          <w:rFonts w:cs="Times New Roman"/>
          <w:b/>
          <w:bCs/>
        </w:rPr>
        <w:t>8.1 Questionnaire Response Rate</w:t>
      </w:r>
    </w:p>
    <w:p w14:paraId="08853C65" w14:textId="18C81E1F" w:rsidR="005D1174" w:rsidRPr="009456F0" w:rsidRDefault="005D1174" w:rsidP="009456F0">
      <w:pPr>
        <w:spacing w:after="0" w:line="240" w:lineRule="auto"/>
        <w:rPr>
          <w:rFonts w:cs="Times New Roman"/>
        </w:rPr>
      </w:pPr>
      <w:r w:rsidRPr="009456F0">
        <w:rPr>
          <w:rFonts w:cs="Times New Roman"/>
        </w:rPr>
        <w:t xml:space="preserve">The study targeted all 95 primary school teachers from the 28 public primary schools in </w:t>
      </w:r>
      <w:proofErr w:type="spellStart"/>
      <w:r w:rsidRPr="009456F0">
        <w:rPr>
          <w:rFonts w:cs="Times New Roman"/>
        </w:rPr>
        <w:t>Sankuri</w:t>
      </w:r>
      <w:proofErr w:type="spellEnd"/>
      <w:r w:rsidRPr="009456F0">
        <w:rPr>
          <w:rFonts w:cs="Times New Roman"/>
        </w:rPr>
        <w:t xml:space="preserve"> Sub-County. Of these, 77 out of 95 respondents returned duly completed research instruments, translating to a response rate of 81.05%. This high response rate was achieved due to flexibility in questionnaire administration, employing a </w:t>
      </w:r>
      <w:r w:rsidR="00BC4559" w:rsidRPr="009456F0">
        <w:rPr>
          <w:rFonts w:cs="Times New Roman"/>
        </w:rPr>
        <w:t>“</w:t>
      </w:r>
      <w:r w:rsidRPr="009456F0">
        <w:rPr>
          <w:rFonts w:cs="Times New Roman"/>
        </w:rPr>
        <w:t>drop and pick later</w:t>
      </w:r>
      <w:r w:rsidR="00BC4559" w:rsidRPr="009456F0">
        <w:rPr>
          <w:rFonts w:cs="Times New Roman"/>
        </w:rPr>
        <w:t>”</w:t>
      </w:r>
      <w:r w:rsidRPr="009456F0">
        <w:rPr>
          <w:rFonts w:cs="Times New Roman"/>
        </w:rPr>
        <w:t xml:space="preserve"> method that allowed respondents to complete the questionnaires at their convenience. The non-response of 18 respondents (18.95%) was attributed to other commitments or personal reasons. According to Mugenda and Mugenda (2013), a response rate exceeding 70% is considered excellent in social sciences, indicating that this study's response rate was excellent for conducting analysis and drawing valid conclusions.</w:t>
      </w:r>
    </w:p>
    <w:p w14:paraId="7A6AB220" w14:textId="2D38B476" w:rsidR="005D1174" w:rsidRPr="009456F0" w:rsidRDefault="005D1174" w:rsidP="009456F0">
      <w:pPr>
        <w:spacing w:after="0" w:line="240" w:lineRule="auto"/>
        <w:rPr>
          <w:rFonts w:cs="Times New Roman"/>
        </w:rPr>
      </w:pPr>
      <w:r w:rsidRPr="009456F0">
        <w:rPr>
          <w:rFonts w:cs="Times New Roman"/>
          <w:b/>
          <w:bCs/>
        </w:rPr>
        <w:t>8.2 Demographic Information of Respondents</w:t>
      </w:r>
    </w:p>
    <w:p w14:paraId="6A4061BF" w14:textId="77777777" w:rsidR="005D1174" w:rsidRPr="009456F0" w:rsidRDefault="005D1174" w:rsidP="009456F0">
      <w:pPr>
        <w:spacing w:after="0" w:line="240" w:lineRule="auto"/>
        <w:rPr>
          <w:rFonts w:cs="Times New Roman"/>
        </w:rPr>
      </w:pPr>
      <w:r w:rsidRPr="009456F0">
        <w:rPr>
          <w:rFonts w:cs="Times New Roman"/>
        </w:rPr>
        <w:t xml:space="preserve">The demographic profile of the respondents provided a deeper understanding of the teacher population in </w:t>
      </w:r>
      <w:proofErr w:type="spellStart"/>
      <w:r w:rsidRPr="009456F0">
        <w:rPr>
          <w:rFonts w:cs="Times New Roman"/>
        </w:rPr>
        <w:t>Sankuri</w:t>
      </w:r>
      <w:proofErr w:type="spellEnd"/>
      <w:r w:rsidRPr="009456F0">
        <w:rPr>
          <w:rFonts w:cs="Times New Roman"/>
        </w:rPr>
        <w:t xml:space="preserve"> Sub-County. Gender of Respondents: Out of 77 respondents, 51 (66.2%) were male, while 26 (33.8%) were female, indicating that male teachers constituted the majority </w:t>
      </w:r>
      <w:r w:rsidRPr="009456F0">
        <w:rPr>
          <w:rFonts w:cs="Times New Roman"/>
        </w:rPr>
        <w:lastRenderedPageBreak/>
        <w:t xml:space="preserve">of participants in the study. Current Employer: The vast majority of respondents, 64 (83.1%), were employed by the Teachers Service Commission (TSC), while 13 (16.9%) were employed by the Board of Management (BOM). This suggests that most primary school teachers in </w:t>
      </w:r>
      <w:proofErr w:type="spellStart"/>
      <w:r w:rsidRPr="009456F0">
        <w:rPr>
          <w:rFonts w:cs="Times New Roman"/>
        </w:rPr>
        <w:t>Sankuri</w:t>
      </w:r>
      <w:proofErr w:type="spellEnd"/>
      <w:r w:rsidRPr="009456F0">
        <w:rPr>
          <w:rFonts w:cs="Times New Roman"/>
        </w:rPr>
        <w:t xml:space="preserve"> Sub-County are permanently employed by the TSC rather than being on contract with the BOM. Highest Academic Qualification: The findings showed that the majority of respondents, 34 (44.2%), held certificate-level qualifications, followed by 26 (33.8%) with diploma qualifications, 14 (18.2%) with degree qualifications, and 3 (3.9%) with master's qualifications. This implies that most primary school teachers in </w:t>
      </w:r>
      <w:proofErr w:type="spellStart"/>
      <w:r w:rsidRPr="009456F0">
        <w:rPr>
          <w:rFonts w:cs="Times New Roman"/>
        </w:rPr>
        <w:t>Sankuri</w:t>
      </w:r>
      <w:proofErr w:type="spellEnd"/>
      <w:r w:rsidRPr="009456F0">
        <w:rPr>
          <w:rFonts w:cs="Times New Roman"/>
        </w:rPr>
        <w:t xml:space="preserve"> Sub-County possess basic professional qualifications, with certificate holders forming the largest group, though a significant portion has advanced to diploma and degree levels, indicating a reasonable level of professional competence for the study. Years of Experience in Teaching: The vast majority of participants, 28 (36.4%), had 5-10 years of teaching experience, followed by 21 (27.3%) with over 15 years of experience, 20 (26.0%) with 11-15 years of experience, and only 8 (10.4%) with less than 5 years of experience. This suggests that most teachers in </w:t>
      </w:r>
      <w:proofErr w:type="spellStart"/>
      <w:r w:rsidRPr="009456F0">
        <w:rPr>
          <w:rFonts w:cs="Times New Roman"/>
        </w:rPr>
        <w:t>Sankuri</w:t>
      </w:r>
      <w:proofErr w:type="spellEnd"/>
      <w:r w:rsidRPr="009456F0">
        <w:rPr>
          <w:rFonts w:cs="Times New Roman"/>
        </w:rPr>
        <w:t xml:space="preserve"> Sub-County are seasoned professionals, with over 89% having more than 5 years in the profession, indicating a mature and experienced teaching workforce capable of providing informed responses.</w:t>
      </w:r>
    </w:p>
    <w:p w14:paraId="42F2BA6C" w14:textId="288245CC" w:rsidR="005D1174" w:rsidRPr="009456F0" w:rsidRDefault="005D1174" w:rsidP="009456F0">
      <w:pPr>
        <w:spacing w:after="0" w:line="240" w:lineRule="auto"/>
        <w:rPr>
          <w:rFonts w:cs="Times New Roman"/>
        </w:rPr>
      </w:pPr>
      <w:r w:rsidRPr="009456F0">
        <w:rPr>
          <w:rFonts w:cs="Times New Roman"/>
          <w:b/>
          <w:bCs/>
        </w:rPr>
        <w:t>8.3 Descriptive Statistics for Study Variables</w:t>
      </w:r>
    </w:p>
    <w:p w14:paraId="74E6997F" w14:textId="77777777" w:rsidR="005D1174" w:rsidRPr="009456F0" w:rsidRDefault="005D1174" w:rsidP="009456F0">
      <w:pPr>
        <w:spacing w:after="0" w:line="240" w:lineRule="auto"/>
        <w:rPr>
          <w:rFonts w:cs="Times New Roman"/>
        </w:rPr>
      </w:pPr>
      <w:r w:rsidRPr="009456F0">
        <w:rPr>
          <w:rFonts w:cs="Times New Roman"/>
        </w:rPr>
        <w:t>This section provides descriptive statistics for professional development opportunities and innovative teaching strategies, using frequencies, means, and standard deviations.</w:t>
      </w:r>
    </w:p>
    <w:p w14:paraId="4D9B9C4A" w14:textId="60129EF8" w:rsidR="005D1174" w:rsidRPr="009456F0" w:rsidRDefault="005D1174" w:rsidP="009456F0">
      <w:pPr>
        <w:spacing w:after="0" w:line="240" w:lineRule="auto"/>
        <w:rPr>
          <w:rFonts w:cs="Times New Roman"/>
        </w:rPr>
      </w:pPr>
      <w:r w:rsidRPr="009456F0">
        <w:rPr>
          <w:rFonts w:cs="Times New Roman"/>
          <w:b/>
          <w:bCs/>
        </w:rPr>
        <w:t>8.3.1 Professional Development Opportunities</w:t>
      </w:r>
    </w:p>
    <w:p w14:paraId="65C7A629" w14:textId="77777777" w:rsidR="005D1174" w:rsidRPr="009456F0" w:rsidRDefault="005D1174" w:rsidP="009456F0">
      <w:pPr>
        <w:spacing w:after="0" w:line="240" w:lineRule="auto"/>
        <w:rPr>
          <w:rFonts w:cs="Times New Roman"/>
        </w:rPr>
      </w:pPr>
      <w:r w:rsidRPr="009456F0">
        <w:rPr>
          <w:rFonts w:cs="Times New Roman"/>
        </w:rPr>
        <w:t>The findings revealed a concerning pattern of ineffectiveness in most aspects of professional development (PD) support. While the school was deemed effective in supporting continuous learning and development for teachers (Mean = 2.75, SD = 1.015), indicating some institutional commitment to teacher growth, and teachers expressed effective levels of confidence in implementing new teaching strategies after attending PD programs (Mean = 2.40, SD = 1.016), as well as feeling effectively encouraged to attend external PD workshops and seminars (Mean = 2.12, SD = 0.959), the majority of PD areas showed significant ineffectiveness.</w:t>
      </w:r>
    </w:p>
    <w:p w14:paraId="373E6696" w14:textId="77777777" w:rsidR="005D1174" w:rsidRPr="009456F0" w:rsidRDefault="005D1174" w:rsidP="009456F0">
      <w:pPr>
        <w:spacing w:after="0" w:line="240" w:lineRule="auto"/>
        <w:rPr>
          <w:rFonts w:cs="Times New Roman"/>
        </w:rPr>
      </w:pPr>
      <w:r w:rsidRPr="009456F0">
        <w:rPr>
          <w:rFonts w:cs="Times New Roman"/>
        </w:rPr>
        <w:t>Specifically, the school was found to be ineffective in offering sufficient professional development opportunities to improve teaching skills (Mean = 2.03, SD = 0.843). The training programs provided were largely ineffective in being relevant to implementing innovative teaching methods (Mean = 1.87, SD = 0.714), and teachers had ineffective access to workshops focusing on innovative teaching strategies (Mean = 1.78, SD = 0.681). Most concerningly, professional development experiences were ineffective in significantly enhancing classroom practices (Mean = 1.65, SD = 0.623). Additionally, the school was ineffective in providing ongoing support after PD sessions (Mean = 1.73, SD = 0.700), tailoring PD opportunities to meet specific school needs (Mean = 1.79, SD = 0.695), and ensuring that PD directly impacts the quality of teaching (Mean = 1.83, SD = 0.733).</w:t>
      </w:r>
    </w:p>
    <w:p w14:paraId="6FF24D59" w14:textId="2429561C" w:rsidR="005D1174" w:rsidRPr="009456F0" w:rsidRDefault="005D1174" w:rsidP="009456F0">
      <w:pPr>
        <w:spacing w:after="0" w:line="240" w:lineRule="auto"/>
        <w:rPr>
          <w:rFonts w:cs="Times New Roman"/>
        </w:rPr>
      </w:pPr>
      <w:r w:rsidRPr="009456F0">
        <w:rPr>
          <w:rFonts w:cs="Times New Roman"/>
        </w:rPr>
        <w:t xml:space="preserve">The overall grand mean for professional development opportunities was 1.99, indicating that professional development support was generally somewhat ineffective, approaching the critical threshold. This suggests a critical need for schools to enhance their teacher development programs to better support innovative teaching practices. These findings align with </w:t>
      </w:r>
      <w:r w:rsidR="005A41B1" w:rsidRPr="005A41B1">
        <w:rPr>
          <w:rFonts w:cs="Times New Roman"/>
        </w:rPr>
        <w:t>Samundeeswari</w:t>
      </w:r>
      <w:r w:rsidRPr="009456F0">
        <w:rPr>
          <w:rFonts w:cs="Times New Roman"/>
        </w:rPr>
        <w:t xml:space="preserve"> (202</w:t>
      </w:r>
      <w:r w:rsidR="005A41B1">
        <w:rPr>
          <w:rFonts w:cs="Times New Roman"/>
        </w:rPr>
        <w:t>4</w:t>
      </w:r>
      <w:r w:rsidRPr="009456F0">
        <w:rPr>
          <w:rFonts w:cs="Times New Roman"/>
        </w:rPr>
        <w:t xml:space="preserve">), who emphasized that PD programs must be tailored to teachers' needs, with choice and relevance being major determinants of their classroom application, concurring with the current study's revelation about the irrelevance of some training. The study also aligns with Ekinci and Acar (2019), who found that effective PD should be needs-based and involve active learning and </w:t>
      </w:r>
      <w:r w:rsidRPr="009456F0">
        <w:rPr>
          <w:rFonts w:cs="Times New Roman"/>
        </w:rPr>
        <w:lastRenderedPageBreak/>
        <w:t>cooperation, supporting the current finding that PD opportunities were ineffective in being tailored to specific school needs.</w:t>
      </w:r>
    </w:p>
    <w:p w14:paraId="3D8E4CC3" w14:textId="78B2C040" w:rsidR="005D1174" w:rsidRPr="009456F0" w:rsidRDefault="005D1174" w:rsidP="009456F0">
      <w:pPr>
        <w:spacing w:after="0" w:line="240" w:lineRule="auto"/>
        <w:rPr>
          <w:rFonts w:cs="Times New Roman"/>
        </w:rPr>
      </w:pPr>
      <w:r w:rsidRPr="009456F0">
        <w:rPr>
          <w:rFonts w:cs="Times New Roman"/>
          <w:b/>
          <w:bCs/>
        </w:rPr>
        <w:t>8.3.2 Innovative Teaching Strategies</w:t>
      </w:r>
    </w:p>
    <w:p w14:paraId="1723B161" w14:textId="77777777" w:rsidR="005D1174" w:rsidRPr="009456F0" w:rsidRDefault="005D1174" w:rsidP="009456F0">
      <w:pPr>
        <w:spacing w:after="0" w:line="240" w:lineRule="auto"/>
        <w:rPr>
          <w:rFonts w:cs="Times New Roman"/>
        </w:rPr>
      </w:pPr>
      <w:r w:rsidRPr="009456F0">
        <w:rPr>
          <w:rFonts w:cs="Times New Roman"/>
        </w:rPr>
        <w:t>The findings indicated mixed levels of effectiveness in implementing innovative teaching strategies. Several areas showed very effective performance: teachers regularly evaluating and refining their teaching methods for effectiveness (Mean = 3.45, SD = 0.501) and incorporating creative and innovative approaches in their lesson plans (Mean = 3.40, SD = 0.494). Students responded very effectively to new teaching methods (Mean = 3.39, SD = 0.588), demonstrating the positive impact of innovative practices. Teachers also showed effective performance in using student feedback to improve and innovate their teaching practices (Mean = 2.95, SD = 0.742) and regularly incorporating innovative teaching strategies in their classrooms (Mean = 2.87, SD = 0.801).</w:t>
      </w:r>
    </w:p>
    <w:p w14:paraId="4F58963A" w14:textId="77777777" w:rsidR="005D1174" w:rsidRPr="009456F0" w:rsidRDefault="005D1174" w:rsidP="009456F0">
      <w:pPr>
        <w:spacing w:after="0" w:line="240" w:lineRule="auto"/>
        <w:rPr>
          <w:rFonts w:cs="Times New Roman"/>
        </w:rPr>
      </w:pPr>
      <w:r w:rsidRPr="009456F0">
        <w:rPr>
          <w:rFonts w:cs="Times New Roman"/>
        </w:rPr>
        <w:t>However, several critical areas demonstrated concerning ineffectiveness: teachers were ineffective in adapting their teaching strategies based on the latest educational research (Mean = 2.09, SD = 0.846) and lacked the necessary resources to implement innovative teaching methods effectively (Mean = 2.04, SD = 0.715). The findings also revealed ineffectiveness in using technology to enhance teaching practices (Mean = 2.01, SD = 0.872), overcoming challenges in implementing innovative teaching strategies (Mean = 1.99, SD = 0.819), and collaborating with other teachers to develop and implement new teaching strategies (Mean = 1.97, SD = 0.811).</w:t>
      </w:r>
    </w:p>
    <w:p w14:paraId="14880D8F" w14:textId="2D27A448" w:rsidR="005D1174" w:rsidRPr="009456F0" w:rsidRDefault="005D1174" w:rsidP="009456F0">
      <w:pPr>
        <w:spacing w:after="0" w:line="240" w:lineRule="auto"/>
        <w:rPr>
          <w:rFonts w:cs="Times New Roman"/>
        </w:rPr>
      </w:pPr>
      <w:r w:rsidRPr="009456F0">
        <w:rPr>
          <w:rFonts w:cs="Times New Roman"/>
        </w:rPr>
        <w:t xml:space="preserve">The grand mean for innovative teaching strategies was 2.62, indicating that their implementation was significantly effective overall. These findings concur with Yawman and Kubi (2018), who found that students taught through innovative methods outperformed peers, aligning with the positive student responses observed in this study. The study also aligns with </w:t>
      </w:r>
      <w:proofErr w:type="spellStart"/>
      <w:r w:rsidRPr="009456F0">
        <w:rPr>
          <w:rFonts w:cs="Times New Roman"/>
        </w:rPr>
        <w:t>Ramasimu</w:t>
      </w:r>
      <w:proofErr w:type="spellEnd"/>
      <w:r w:rsidRPr="009456F0">
        <w:rPr>
          <w:rFonts w:cs="Times New Roman"/>
        </w:rPr>
        <w:t xml:space="preserve"> (2024), who identified key clusters of innovative teaching strategies, including collaboration, technology, and expertise, corresponding with the mixed findings across these areas in the current study. The observed ineffectiveness in technology use and teacher collaboration could have adverse effects, as </w:t>
      </w:r>
      <w:proofErr w:type="gramStart"/>
      <w:r w:rsidR="002635A8" w:rsidRPr="002635A8">
        <w:rPr>
          <w:rFonts w:cs="Times New Roman"/>
        </w:rPr>
        <w:t>Vali</w:t>
      </w:r>
      <w:r w:rsidR="002635A8">
        <w:rPr>
          <w:rFonts w:cs="Times New Roman"/>
        </w:rPr>
        <w:t xml:space="preserve"> </w:t>
      </w:r>
      <w:r w:rsidR="002635A8" w:rsidRPr="002635A8">
        <w:rPr>
          <w:rFonts w:cs="Times New Roman"/>
        </w:rPr>
        <w:t xml:space="preserve"> (</w:t>
      </w:r>
      <w:proofErr w:type="gramEnd"/>
      <w:r w:rsidR="002635A8" w:rsidRPr="002635A8">
        <w:rPr>
          <w:rFonts w:cs="Times New Roman"/>
        </w:rPr>
        <w:t>2023</w:t>
      </w:r>
      <w:r w:rsidRPr="009456F0">
        <w:rPr>
          <w:rFonts w:cs="Times New Roman"/>
        </w:rPr>
        <w:t xml:space="preserve">) found that innovative teaching and learning technologies enhance collaborative and student-centered learning. Liu et al. (2020) also emphasized that integrating innovative teaching technologies significantly improves teaching effectiveness, suggesting that the observed technological shortcomings could negatively impact overall academic outcomes. The study partially aligns with </w:t>
      </w:r>
      <w:proofErr w:type="spellStart"/>
      <w:r w:rsidRPr="009456F0">
        <w:rPr>
          <w:rFonts w:cs="Times New Roman"/>
        </w:rPr>
        <w:t>Akolom</w:t>
      </w:r>
      <w:proofErr w:type="spellEnd"/>
      <w:r w:rsidRPr="009456F0">
        <w:rPr>
          <w:rFonts w:cs="Times New Roman"/>
        </w:rPr>
        <w:t xml:space="preserve">, </w:t>
      </w:r>
      <w:proofErr w:type="spellStart"/>
      <w:r w:rsidRPr="009456F0">
        <w:rPr>
          <w:rFonts w:cs="Times New Roman"/>
        </w:rPr>
        <w:t>Masibo</w:t>
      </w:r>
      <w:proofErr w:type="spellEnd"/>
      <w:r w:rsidRPr="009456F0">
        <w:rPr>
          <w:rFonts w:cs="Times New Roman"/>
        </w:rPr>
        <w:t xml:space="preserve">, and </w:t>
      </w:r>
      <w:proofErr w:type="spellStart"/>
      <w:r w:rsidRPr="009456F0">
        <w:rPr>
          <w:rFonts w:cs="Times New Roman"/>
        </w:rPr>
        <w:t>Nyongesa</w:t>
      </w:r>
      <w:proofErr w:type="spellEnd"/>
      <w:r w:rsidRPr="009456F0">
        <w:rPr>
          <w:rFonts w:cs="Times New Roman"/>
        </w:rPr>
        <w:t xml:space="preserve"> (2021), who found that many teachers predominantly used conventional approaches despite innovative strategies existing, consistent with the mixed effectiveness and gap between intention and actual implementation of research-based practices in the current study.</w:t>
      </w:r>
    </w:p>
    <w:p w14:paraId="427CDC4C" w14:textId="48AD90B3" w:rsidR="005D1174" w:rsidRPr="009456F0" w:rsidRDefault="005D1174" w:rsidP="009456F0">
      <w:pPr>
        <w:pStyle w:val="Heading2"/>
        <w:spacing w:before="0" w:after="0" w:line="240" w:lineRule="auto"/>
        <w:rPr>
          <w:rFonts w:ascii="Times New Roman" w:hAnsi="Times New Roman" w:cs="Times New Roman"/>
          <w:color w:val="auto"/>
          <w:sz w:val="24"/>
          <w:szCs w:val="24"/>
        </w:rPr>
      </w:pPr>
      <w:r w:rsidRPr="009456F0">
        <w:rPr>
          <w:rFonts w:ascii="Times New Roman" w:hAnsi="Times New Roman" w:cs="Times New Roman"/>
          <w:b/>
          <w:bCs/>
          <w:color w:val="auto"/>
          <w:sz w:val="24"/>
          <w:szCs w:val="24"/>
        </w:rPr>
        <w:t>8.4 Inferential Statistics</w:t>
      </w:r>
    </w:p>
    <w:p w14:paraId="506CC093" w14:textId="31B294AC" w:rsidR="005D1174" w:rsidRPr="009456F0" w:rsidRDefault="005D1174" w:rsidP="009456F0">
      <w:pPr>
        <w:spacing w:after="0" w:line="240" w:lineRule="auto"/>
        <w:rPr>
          <w:rFonts w:cs="Times New Roman"/>
          <w:b/>
          <w:bCs/>
        </w:rPr>
      </w:pPr>
      <w:r w:rsidRPr="009456F0">
        <w:rPr>
          <w:rFonts w:cs="Times New Roman"/>
          <w:b/>
          <w:bCs/>
        </w:rPr>
        <w:t>8.4.</w:t>
      </w:r>
      <w:r w:rsidR="009456F0" w:rsidRPr="009456F0">
        <w:rPr>
          <w:rFonts w:cs="Times New Roman"/>
          <w:b/>
          <w:bCs/>
        </w:rPr>
        <w:t>1</w:t>
      </w:r>
      <w:r w:rsidRPr="009456F0">
        <w:rPr>
          <w:rFonts w:cs="Times New Roman"/>
          <w:b/>
          <w:bCs/>
        </w:rPr>
        <w:t xml:space="preserve"> Correlation Analysis</w:t>
      </w:r>
    </w:p>
    <w:p w14:paraId="3E75C3AC" w14:textId="560B2BEA" w:rsidR="00103B8A" w:rsidRPr="009456F0" w:rsidRDefault="009456F0" w:rsidP="009456F0">
      <w:pPr>
        <w:spacing w:after="0" w:line="240" w:lineRule="auto"/>
        <w:rPr>
          <w:rFonts w:cs="Times New Roman"/>
        </w:rPr>
      </w:pPr>
      <w:r w:rsidRPr="009456F0">
        <w:rPr>
          <w:rFonts w:cs="Times New Roman"/>
        </w:rPr>
        <w:t>The study carried out correlation analysis to establish existence of relationship between professional development and innovative teaching strategies as shown in Table 2.</w:t>
      </w:r>
    </w:p>
    <w:p w14:paraId="2D73AFA2" w14:textId="5EE5EA7C" w:rsidR="00103B8A" w:rsidRPr="009456F0" w:rsidRDefault="00103B8A" w:rsidP="009456F0">
      <w:pPr>
        <w:pStyle w:val="Caption"/>
        <w:spacing w:after="0"/>
        <w:rPr>
          <w:rFonts w:cs="Times New Roman"/>
          <w:b/>
          <w:bCs/>
          <w:i w:val="0"/>
          <w:iCs w:val="0"/>
          <w:color w:val="auto"/>
          <w:sz w:val="24"/>
          <w:szCs w:val="24"/>
        </w:rPr>
      </w:pPr>
      <w:r w:rsidRPr="009456F0">
        <w:rPr>
          <w:rFonts w:cs="Times New Roman"/>
          <w:i w:val="0"/>
          <w:iCs w:val="0"/>
          <w:color w:val="auto"/>
          <w:sz w:val="24"/>
          <w:szCs w:val="24"/>
        </w:rPr>
        <w:t xml:space="preserve">Table </w:t>
      </w:r>
      <w:r w:rsidRPr="009456F0">
        <w:rPr>
          <w:rFonts w:cs="Times New Roman"/>
          <w:i w:val="0"/>
          <w:iCs w:val="0"/>
          <w:color w:val="auto"/>
          <w:sz w:val="24"/>
          <w:szCs w:val="24"/>
        </w:rPr>
        <w:fldChar w:fldCharType="begin"/>
      </w:r>
      <w:r w:rsidRPr="009456F0">
        <w:rPr>
          <w:rFonts w:cs="Times New Roman"/>
          <w:i w:val="0"/>
          <w:iCs w:val="0"/>
          <w:color w:val="auto"/>
          <w:sz w:val="24"/>
          <w:szCs w:val="24"/>
        </w:rPr>
        <w:instrText xml:space="preserve"> SEQ Table \* ARABIC </w:instrText>
      </w:r>
      <w:r w:rsidRPr="009456F0">
        <w:rPr>
          <w:rFonts w:cs="Times New Roman"/>
          <w:i w:val="0"/>
          <w:iCs w:val="0"/>
          <w:color w:val="auto"/>
          <w:sz w:val="24"/>
          <w:szCs w:val="24"/>
        </w:rPr>
        <w:fldChar w:fldCharType="separate"/>
      </w:r>
      <w:r w:rsidR="009456F0" w:rsidRPr="009456F0">
        <w:rPr>
          <w:rFonts w:cs="Times New Roman"/>
          <w:i w:val="0"/>
          <w:iCs w:val="0"/>
          <w:noProof/>
          <w:color w:val="auto"/>
          <w:sz w:val="24"/>
          <w:szCs w:val="24"/>
        </w:rPr>
        <w:t>2</w:t>
      </w:r>
      <w:r w:rsidRPr="009456F0">
        <w:rPr>
          <w:rFonts w:cs="Times New Roman"/>
          <w:i w:val="0"/>
          <w:iCs w:val="0"/>
          <w:color w:val="auto"/>
          <w:sz w:val="24"/>
          <w:szCs w:val="24"/>
        </w:rPr>
        <w:fldChar w:fldCharType="end"/>
      </w:r>
      <w:r w:rsidRPr="009456F0">
        <w:rPr>
          <w:rFonts w:cs="Times New Roman"/>
          <w:i w:val="0"/>
          <w:iCs w:val="0"/>
          <w:color w:val="auto"/>
          <w:sz w:val="24"/>
          <w:szCs w:val="24"/>
        </w:rPr>
        <w:t>: Correlation Results</w:t>
      </w:r>
    </w:p>
    <w:tbl>
      <w:tblPr>
        <w:tblW w:w="8377" w:type="dxa"/>
        <w:tblLook w:val="04A0" w:firstRow="1" w:lastRow="0" w:firstColumn="1" w:lastColumn="0" w:noHBand="0" w:noVBand="1"/>
      </w:tblPr>
      <w:tblGrid>
        <w:gridCol w:w="2127"/>
        <w:gridCol w:w="1689"/>
        <w:gridCol w:w="12"/>
        <w:gridCol w:w="2511"/>
        <w:gridCol w:w="12"/>
        <w:gridCol w:w="2008"/>
        <w:gridCol w:w="12"/>
        <w:gridCol w:w="6"/>
      </w:tblGrid>
      <w:tr w:rsidR="00103B8A" w:rsidRPr="00103B8A" w14:paraId="5402B2ED" w14:textId="77777777" w:rsidTr="00103B8A">
        <w:trPr>
          <w:gridAfter w:val="1"/>
          <w:wAfter w:w="6" w:type="dxa"/>
          <w:trHeight w:val="495"/>
        </w:trPr>
        <w:tc>
          <w:tcPr>
            <w:tcW w:w="3828" w:type="dxa"/>
            <w:gridSpan w:val="3"/>
            <w:tcBorders>
              <w:top w:val="single" w:sz="4" w:space="0" w:color="auto"/>
              <w:left w:val="nil"/>
              <w:bottom w:val="single" w:sz="4" w:space="0" w:color="auto"/>
              <w:right w:val="nil"/>
            </w:tcBorders>
            <w:hideMark/>
          </w:tcPr>
          <w:p w14:paraId="7120E78E" w14:textId="7B0FA549" w:rsidR="00103B8A" w:rsidRPr="00103B8A" w:rsidRDefault="00103B8A" w:rsidP="009456F0">
            <w:pPr>
              <w:spacing w:after="0" w:line="240" w:lineRule="auto"/>
              <w:jc w:val="center"/>
              <w:rPr>
                <w:rFonts w:eastAsia="Times New Roman" w:cs="Times New Roman"/>
                <w:color w:val="000000"/>
                <w:kern w:val="0"/>
                <w14:ligatures w14:val="none"/>
              </w:rPr>
            </w:pPr>
          </w:p>
        </w:tc>
        <w:tc>
          <w:tcPr>
            <w:tcW w:w="2523" w:type="dxa"/>
            <w:gridSpan w:val="2"/>
            <w:tcBorders>
              <w:top w:val="single" w:sz="4" w:space="0" w:color="auto"/>
              <w:left w:val="nil"/>
              <w:bottom w:val="single" w:sz="4" w:space="0" w:color="auto"/>
              <w:right w:val="nil"/>
            </w:tcBorders>
            <w:hideMark/>
          </w:tcPr>
          <w:p w14:paraId="166017AB"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Innovative Teaching Strategies</w:t>
            </w:r>
          </w:p>
        </w:tc>
        <w:tc>
          <w:tcPr>
            <w:tcW w:w="2020" w:type="dxa"/>
            <w:gridSpan w:val="2"/>
            <w:tcBorders>
              <w:top w:val="single" w:sz="4" w:space="0" w:color="auto"/>
              <w:left w:val="nil"/>
              <w:bottom w:val="single" w:sz="4" w:space="0" w:color="auto"/>
              <w:right w:val="nil"/>
            </w:tcBorders>
            <w:hideMark/>
          </w:tcPr>
          <w:p w14:paraId="7F78AFF1" w14:textId="6800A039" w:rsidR="00103B8A" w:rsidRPr="00103B8A" w:rsidRDefault="00103B8A"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Professional Development</w:t>
            </w:r>
          </w:p>
        </w:tc>
      </w:tr>
      <w:tr w:rsidR="00103B8A" w:rsidRPr="00103B8A" w14:paraId="756DC7D6" w14:textId="77777777" w:rsidTr="00103B8A">
        <w:trPr>
          <w:gridAfter w:val="2"/>
          <w:wAfter w:w="18" w:type="dxa"/>
          <w:trHeight w:val="300"/>
        </w:trPr>
        <w:tc>
          <w:tcPr>
            <w:tcW w:w="2127" w:type="dxa"/>
            <w:vMerge w:val="restart"/>
            <w:tcBorders>
              <w:top w:val="nil"/>
              <w:left w:val="nil"/>
              <w:bottom w:val="nil"/>
              <w:right w:val="nil"/>
            </w:tcBorders>
            <w:hideMark/>
          </w:tcPr>
          <w:p w14:paraId="06970A0A"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Innovative Teaching Strategies</w:t>
            </w:r>
          </w:p>
        </w:tc>
        <w:tc>
          <w:tcPr>
            <w:tcW w:w="1689" w:type="dxa"/>
            <w:tcBorders>
              <w:top w:val="nil"/>
              <w:left w:val="nil"/>
              <w:bottom w:val="nil"/>
              <w:right w:val="nil"/>
            </w:tcBorders>
            <w:hideMark/>
          </w:tcPr>
          <w:p w14:paraId="6B68D03C"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Pearson Correlation</w:t>
            </w:r>
          </w:p>
        </w:tc>
        <w:tc>
          <w:tcPr>
            <w:tcW w:w="2523" w:type="dxa"/>
            <w:gridSpan w:val="2"/>
            <w:tcBorders>
              <w:top w:val="nil"/>
              <w:left w:val="nil"/>
              <w:bottom w:val="nil"/>
              <w:right w:val="nil"/>
            </w:tcBorders>
            <w:noWrap/>
            <w:hideMark/>
          </w:tcPr>
          <w:p w14:paraId="2F098D40"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1</w:t>
            </w:r>
          </w:p>
        </w:tc>
        <w:tc>
          <w:tcPr>
            <w:tcW w:w="2020" w:type="dxa"/>
            <w:gridSpan w:val="2"/>
            <w:tcBorders>
              <w:top w:val="nil"/>
              <w:left w:val="nil"/>
              <w:bottom w:val="nil"/>
              <w:right w:val="nil"/>
            </w:tcBorders>
            <w:noWrap/>
            <w:hideMark/>
          </w:tcPr>
          <w:p w14:paraId="1C7CA90B"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.701</w:t>
            </w:r>
            <w:r w:rsidRPr="00103B8A">
              <w:rPr>
                <w:rFonts w:eastAsia="Times New Roman" w:cs="Times New Roman"/>
                <w:color w:val="000000"/>
                <w:kern w:val="0"/>
                <w:vertAlign w:val="superscript"/>
                <w14:ligatures w14:val="none"/>
              </w:rPr>
              <w:t>**</w:t>
            </w:r>
          </w:p>
        </w:tc>
      </w:tr>
      <w:tr w:rsidR="00103B8A" w:rsidRPr="00103B8A" w14:paraId="384F2288" w14:textId="77777777" w:rsidTr="00103B8A">
        <w:trPr>
          <w:gridAfter w:val="2"/>
          <w:wAfter w:w="18" w:type="dxa"/>
          <w:trHeight w:val="300"/>
        </w:trPr>
        <w:tc>
          <w:tcPr>
            <w:tcW w:w="2127" w:type="dxa"/>
            <w:vMerge/>
            <w:tcBorders>
              <w:top w:val="nil"/>
              <w:left w:val="nil"/>
              <w:bottom w:val="nil"/>
              <w:right w:val="nil"/>
            </w:tcBorders>
            <w:vAlign w:val="center"/>
            <w:hideMark/>
          </w:tcPr>
          <w:p w14:paraId="0F984977" w14:textId="77777777" w:rsidR="00103B8A" w:rsidRPr="00103B8A" w:rsidRDefault="00103B8A" w:rsidP="009456F0">
            <w:pPr>
              <w:spacing w:after="0" w:line="240" w:lineRule="auto"/>
              <w:jc w:val="left"/>
              <w:rPr>
                <w:rFonts w:eastAsia="Times New Roman" w:cs="Times New Roman"/>
                <w:color w:val="000000"/>
                <w:kern w:val="0"/>
                <w14:ligatures w14:val="none"/>
              </w:rPr>
            </w:pPr>
          </w:p>
        </w:tc>
        <w:tc>
          <w:tcPr>
            <w:tcW w:w="1689" w:type="dxa"/>
            <w:tcBorders>
              <w:top w:val="nil"/>
              <w:left w:val="nil"/>
              <w:bottom w:val="nil"/>
              <w:right w:val="nil"/>
            </w:tcBorders>
            <w:hideMark/>
          </w:tcPr>
          <w:p w14:paraId="60472349"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Sig. (2-tailed)</w:t>
            </w:r>
          </w:p>
        </w:tc>
        <w:tc>
          <w:tcPr>
            <w:tcW w:w="2523" w:type="dxa"/>
            <w:gridSpan w:val="2"/>
            <w:tcBorders>
              <w:top w:val="nil"/>
              <w:left w:val="nil"/>
              <w:bottom w:val="nil"/>
              <w:right w:val="nil"/>
            </w:tcBorders>
            <w:hideMark/>
          </w:tcPr>
          <w:p w14:paraId="2421852F" w14:textId="77777777" w:rsidR="00103B8A" w:rsidRPr="00103B8A" w:rsidRDefault="00103B8A" w:rsidP="009456F0">
            <w:pPr>
              <w:spacing w:after="0" w:line="240" w:lineRule="auto"/>
              <w:jc w:val="center"/>
              <w:rPr>
                <w:rFonts w:eastAsia="Times New Roman" w:cs="Times New Roman"/>
                <w:color w:val="000000"/>
                <w:kern w:val="0"/>
                <w14:ligatures w14:val="none"/>
              </w:rPr>
            </w:pPr>
          </w:p>
        </w:tc>
        <w:tc>
          <w:tcPr>
            <w:tcW w:w="2020" w:type="dxa"/>
            <w:gridSpan w:val="2"/>
            <w:tcBorders>
              <w:top w:val="nil"/>
              <w:left w:val="nil"/>
              <w:bottom w:val="nil"/>
              <w:right w:val="nil"/>
            </w:tcBorders>
            <w:noWrap/>
            <w:hideMark/>
          </w:tcPr>
          <w:p w14:paraId="34FF1180"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.000</w:t>
            </w:r>
          </w:p>
        </w:tc>
      </w:tr>
      <w:tr w:rsidR="00103B8A" w:rsidRPr="00103B8A" w14:paraId="05BAA109" w14:textId="77777777" w:rsidTr="00103B8A">
        <w:trPr>
          <w:gridAfter w:val="2"/>
          <w:wAfter w:w="18" w:type="dxa"/>
          <w:trHeight w:val="300"/>
        </w:trPr>
        <w:tc>
          <w:tcPr>
            <w:tcW w:w="2127" w:type="dxa"/>
            <w:vMerge/>
            <w:tcBorders>
              <w:top w:val="nil"/>
              <w:left w:val="nil"/>
              <w:bottom w:val="nil"/>
              <w:right w:val="nil"/>
            </w:tcBorders>
            <w:vAlign w:val="center"/>
            <w:hideMark/>
          </w:tcPr>
          <w:p w14:paraId="4EEC9CBD" w14:textId="77777777" w:rsidR="00103B8A" w:rsidRPr="00103B8A" w:rsidRDefault="00103B8A" w:rsidP="009456F0">
            <w:pPr>
              <w:spacing w:after="0" w:line="240" w:lineRule="auto"/>
              <w:jc w:val="left"/>
              <w:rPr>
                <w:rFonts w:eastAsia="Times New Roman" w:cs="Times New Roman"/>
                <w:color w:val="000000"/>
                <w:kern w:val="0"/>
                <w14:ligatures w14:val="none"/>
              </w:rPr>
            </w:pPr>
          </w:p>
        </w:tc>
        <w:tc>
          <w:tcPr>
            <w:tcW w:w="1689" w:type="dxa"/>
            <w:tcBorders>
              <w:top w:val="nil"/>
              <w:left w:val="nil"/>
              <w:bottom w:val="nil"/>
              <w:right w:val="nil"/>
            </w:tcBorders>
            <w:hideMark/>
          </w:tcPr>
          <w:p w14:paraId="6645D6A0"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N</w:t>
            </w:r>
          </w:p>
        </w:tc>
        <w:tc>
          <w:tcPr>
            <w:tcW w:w="2523" w:type="dxa"/>
            <w:gridSpan w:val="2"/>
            <w:tcBorders>
              <w:top w:val="nil"/>
              <w:left w:val="nil"/>
              <w:bottom w:val="nil"/>
              <w:right w:val="nil"/>
            </w:tcBorders>
            <w:noWrap/>
            <w:hideMark/>
          </w:tcPr>
          <w:p w14:paraId="20479B68"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76</w:t>
            </w:r>
          </w:p>
        </w:tc>
        <w:tc>
          <w:tcPr>
            <w:tcW w:w="2020" w:type="dxa"/>
            <w:gridSpan w:val="2"/>
            <w:tcBorders>
              <w:top w:val="nil"/>
              <w:left w:val="nil"/>
              <w:bottom w:val="nil"/>
              <w:right w:val="nil"/>
            </w:tcBorders>
            <w:noWrap/>
            <w:hideMark/>
          </w:tcPr>
          <w:p w14:paraId="7621B21B"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76</w:t>
            </w:r>
          </w:p>
        </w:tc>
      </w:tr>
      <w:tr w:rsidR="00103B8A" w:rsidRPr="00103B8A" w14:paraId="18B53339" w14:textId="77777777" w:rsidTr="00103B8A">
        <w:trPr>
          <w:gridAfter w:val="2"/>
          <w:wAfter w:w="18" w:type="dxa"/>
          <w:trHeight w:val="300"/>
        </w:trPr>
        <w:tc>
          <w:tcPr>
            <w:tcW w:w="2127" w:type="dxa"/>
            <w:vMerge w:val="restart"/>
            <w:tcBorders>
              <w:top w:val="nil"/>
              <w:left w:val="nil"/>
              <w:bottom w:val="single" w:sz="4" w:space="0" w:color="000000"/>
              <w:right w:val="nil"/>
            </w:tcBorders>
            <w:hideMark/>
          </w:tcPr>
          <w:p w14:paraId="63C0870C" w14:textId="19A063E7" w:rsidR="00103B8A" w:rsidRPr="00103B8A" w:rsidRDefault="00103B8A"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lastRenderedPageBreak/>
              <w:t>Professional Development</w:t>
            </w:r>
          </w:p>
        </w:tc>
        <w:tc>
          <w:tcPr>
            <w:tcW w:w="1689" w:type="dxa"/>
            <w:tcBorders>
              <w:top w:val="nil"/>
              <w:left w:val="nil"/>
              <w:bottom w:val="nil"/>
              <w:right w:val="nil"/>
            </w:tcBorders>
            <w:hideMark/>
          </w:tcPr>
          <w:p w14:paraId="6C09BAB6"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Pearson Correlation</w:t>
            </w:r>
          </w:p>
        </w:tc>
        <w:tc>
          <w:tcPr>
            <w:tcW w:w="2523" w:type="dxa"/>
            <w:gridSpan w:val="2"/>
            <w:tcBorders>
              <w:top w:val="nil"/>
              <w:left w:val="nil"/>
              <w:bottom w:val="nil"/>
              <w:right w:val="nil"/>
            </w:tcBorders>
            <w:noWrap/>
            <w:hideMark/>
          </w:tcPr>
          <w:p w14:paraId="4C4CD2C6"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.701</w:t>
            </w:r>
            <w:r w:rsidRPr="00103B8A">
              <w:rPr>
                <w:rFonts w:eastAsia="Times New Roman" w:cs="Times New Roman"/>
                <w:color w:val="000000"/>
                <w:kern w:val="0"/>
                <w:vertAlign w:val="superscript"/>
                <w14:ligatures w14:val="none"/>
              </w:rPr>
              <w:t>**</w:t>
            </w:r>
          </w:p>
        </w:tc>
        <w:tc>
          <w:tcPr>
            <w:tcW w:w="2020" w:type="dxa"/>
            <w:gridSpan w:val="2"/>
            <w:tcBorders>
              <w:top w:val="nil"/>
              <w:left w:val="nil"/>
              <w:bottom w:val="nil"/>
              <w:right w:val="nil"/>
            </w:tcBorders>
            <w:noWrap/>
            <w:hideMark/>
          </w:tcPr>
          <w:p w14:paraId="3A3EDD1B"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1</w:t>
            </w:r>
          </w:p>
        </w:tc>
      </w:tr>
      <w:tr w:rsidR="00103B8A" w:rsidRPr="00103B8A" w14:paraId="4318D1C2" w14:textId="77777777" w:rsidTr="00103B8A">
        <w:trPr>
          <w:gridAfter w:val="2"/>
          <w:wAfter w:w="18" w:type="dxa"/>
          <w:trHeight w:val="300"/>
        </w:trPr>
        <w:tc>
          <w:tcPr>
            <w:tcW w:w="2127" w:type="dxa"/>
            <w:vMerge/>
            <w:tcBorders>
              <w:top w:val="nil"/>
              <w:left w:val="nil"/>
              <w:bottom w:val="single" w:sz="4" w:space="0" w:color="000000"/>
              <w:right w:val="nil"/>
            </w:tcBorders>
            <w:vAlign w:val="center"/>
            <w:hideMark/>
          </w:tcPr>
          <w:p w14:paraId="7A7AC016" w14:textId="77777777" w:rsidR="00103B8A" w:rsidRPr="00103B8A" w:rsidRDefault="00103B8A" w:rsidP="009456F0">
            <w:pPr>
              <w:spacing w:after="0" w:line="240" w:lineRule="auto"/>
              <w:jc w:val="left"/>
              <w:rPr>
                <w:rFonts w:eastAsia="Times New Roman" w:cs="Times New Roman"/>
                <w:color w:val="000000"/>
                <w:kern w:val="0"/>
                <w14:ligatures w14:val="none"/>
              </w:rPr>
            </w:pPr>
          </w:p>
        </w:tc>
        <w:tc>
          <w:tcPr>
            <w:tcW w:w="1689" w:type="dxa"/>
            <w:tcBorders>
              <w:top w:val="nil"/>
              <w:left w:val="nil"/>
              <w:bottom w:val="nil"/>
              <w:right w:val="nil"/>
            </w:tcBorders>
            <w:hideMark/>
          </w:tcPr>
          <w:p w14:paraId="5227F68A"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Sig. (2-tailed)</w:t>
            </w:r>
          </w:p>
        </w:tc>
        <w:tc>
          <w:tcPr>
            <w:tcW w:w="2523" w:type="dxa"/>
            <w:gridSpan w:val="2"/>
            <w:tcBorders>
              <w:top w:val="nil"/>
              <w:left w:val="nil"/>
              <w:bottom w:val="nil"/>
              <w:right w:val="nil"/>
            </w:tcBorders>
            <w:noWrap/>
            <w:hideMark/>
          </w:tcPr>
          <w:p w14:paraId="6229F15C"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.000</w:t>
            </w:r>
          </w:p>
        </w:tc>
        <w:tc>
          <w:tcPr>
            <w:tcW w:w="2020" w:type="dxa"/>
            <w:gridSpan w:val="2"/>
            <w:tcBorders>
              <w:top w:val="nil"/>
              <w:left w:val="nil"/>
              <w:bottom w:val="nil"/>
              <w:right w:val="nil"/>
            </w:tcBorders>
            <w:hideMark/>
          </w:tcPr>
          <w:p w14:paraId="7E1D3F78" w14:textId="77777777" w:rsidR="00103B8A" w:rsidRPr="00103B8A" w:rsidRDefault="00103B8A" w:rsidP="009456F0">
            <w:pPr>
              <w:spacing w:after="0" w:line="240" w:lineRule="auto"/>
              <w:jc w:val="center"/>
              <w:rPr>
                <w:rFonts w:eastAsia="Times New Roman" w:cs="Times New Roman"/>
                <w:color w:val="000000"/>
                <w:kern w:val="0"/>
                <w14:ligatures w14:val="none"/>
              </w:rPr>
            </w:pPr>
          </w:p>
        </w:tc>
      </w:tr>
      <w:tr w:rsidR="00103B8A" w:rsidRPr="00103B8A" w14:paraId="4AC765A9" w14:textId="77777777" w:rsidTr="00103B8A">
        <w:trPr>
          <w:gridAfter w:val="2"/>
          <w:wAfter w:w="18" w:type="dxa"/>
          <w:trHeight w:val="300"/>
        </w:trPr>
        <w:tc>
          <w:tcPr>
            <w:tcW w:w="2127" w:type="dxa"/>
            <w:vMerge/>
            <w:tcBorders>
              <w:top w:val="nil"/>
              <w:left w:val="nil"/>
              <w:bottom w:val="single" w:sz="4" w:space="0" w:color="000000"/>
              <w:right w:val="nil"/>
            </w:tcBorders>
            <w:vAlign w:val="center"/>
            <w:hideMark/>
          </w:tcPr>
          <w:p w14:paraId="2A33E05C" w14:textId="77777777" w:rsidR="00103B8A" w:rsidRPr="00103B8A" w:rsidRDefault="00103B8A" w:rsidP="009456F0">
            <w:pPr>
              <w:spacing w:after="0" w:line="240" w:lineRule="auto"/>
              <w:jc w:val="left"/>
              <w:rPr>
                <w:rFonts w:eastAsia="Times New Roman" w:cs="Times New Roman"/>
                <w:color w:val="000000"/>
                <w:kern w:val="0"/>
                <w14:ligatures w14:val="none"/>
              </w:rPr>
            </w:pPr>
          </w:p>
        </w:tc>
        <w:tc>
          <w:tcPr>
            <w:tcW w:w="1689" w:type="dxa"/>
            <w:tcBorders>
              <w:top w:val="nil"/>
              <w:left w:val="nil"/>
              <w:bottom w:val="single" w:sz="4" w:space="0" w:color="auto"/>
              <w:right w:val="nil"/>
            </w:tcBorders>
            <w:hideMark/>
          </w:tcPr>
          <w:p w14:paraId="2332FDF1"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N</w:t>
            </w:r>
          </w:p>
        </w:tc>
        <w:tc>
          <w:tcPr>
            <w:tcW w:w="2523" w:type="dxa"/>
            <w:gridSpan w:val="2"/>
            <w:tcBorders>
              <w:top w:val="nil"/>
              <w:left w:val="nil"/>
              <w:bottom w:val="single" w:sz="4" w:space="0" w:color="auto"/>
              <w:right w:val="nil"/>
            </w:tcBorders>
            <w:noWrap/>
            <w:hideMark/>
          </w:tcPr>
          <w:p w14:paraId="7644DC31"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76</w:t>
            </w:r>
          </w:p>
        </w:tc>
        <w:tc>
          <w:tcPr>
            <w:tcW w:w="2020" w:type="dxa"/>
            <w:gridSpan w:val="2"/>
            <w:tcBorders>
              <w:top w:val="nil"/>
              <w:left w:val="nil"/>
              <w:bottom w:val="single" w:sz="4" w:space="0" w:color="auto"/>
              <w:right w:val="nil"/>
            </w:tcBorders>
            <w:noWrap/>
            <w:hideMark/>
          </w:tcPr>
          <w:p w14:paraId="4AC0353E" w14:textId="77777777" w:rsidR="00103B8A" w:rsidRPr="00103B8A" w:rsidRDefault="00103B8A" w:rsidP="009456F0">
            <w:pPr>
              <w:spacing w:after="0" w:line="240" w:lineRule="auto"/>
              <w:jc w:val="center"/>
              <w:rPr>
                <w:rFonts w:eastAsia="Times New Roman" w:cs="Times New Roman"/>
                <w:color w:val="000000"/>
                <w:kern w:val="0"/>
                <w14:ligatures w14:val="none"/>
              </w:rPr>
            </w:pPr>
            <w:r w:rsidRPr="00103B8A">
              <w:rPr>
                <w:rFonts w:eastAsia="Times New Roman" w:cs="Times New Roman"/>
                <w:color w:val="000000"/>
                <w:kern w:val="0"/>
                <w14:ligatures w14:val="none"/>
              </w:rPr>
              <w:t>76</w:t>
            </w:r>
          </w:p>
        </w:tc>
      </w:tr>
      <w:tr w:rsidR="00103B8A" w:rsidRPr="00103B8A" w14:paraId="6CB57374" w14:textId="77777777" w:rsidTr="00103B8A">
        <w:trPr>
          <w:trHeight w:val="300"/>
        </w:trPr>
        <w:tc>
          <w:tcPr>
            <w:tcW w:w="8377" w:type="dxa"/>
            <w:gridSpan w:val="8"/>
            <w:tcBorders>
              <w:top w:val="nil"/>
              <w:left w:val="nil"/>
              <w:bottom w:val="nil"/>
              <w:right w:val="nil"/>
            </w:tcBorders>
            <w:hideMark/>
          </w:tcPr>
          <w:p w14:paraId="5E93F1F0" w14:textId="77777777" w:rsidR="00103B8A" w:rsidRPr="00103B8A" w:rsidRDefault="00103B8A" w:rsidP="009456F0">
            <w:pPr>
              <w:spacing w:after="0" w:line="240" w:lineRule="auto"/>
              <w:jc w:val="left"/>
              <w:rPr>
                <w:rFonts w:eastAsia="Times New Roman" w:cs="Times New Roman"/>
                <w:color w:val="000000"/>
                <w:kern w:val="0"/>
                <w14:ligatures w14:val="none"/>
              </w:rPr>
            </w:pPr>
            <w:r w:rsidRPr="00103B8A">
              <w:rPr>
                <w:rFonts w:eastAsia="Times New Roman" w:cs="Times New Roman"/>
                <w:color w:val="000000"/>
                <w:kern w:val="0"/>
                <w14:ligatures w14:val="none"/>
              </w:rPr>
              <w:t>**. Correlation is significant at the 0.01 level (2-tailed).</w:t>
            </w:r>
          </w:p>
        </w:tc>
      </w:tr>
    </w:tbl>
    <w:p w14:paraId="23995CE8" w14:textId="77777777" w:rsidR="00103B8A" w:rsidRPr="009456F0" w:rsidRDefault="00103B8A" w:rsidP="009456F0">
      <w:pPr>
        <w:spacing w:after="0" w:line="240" w:lineRule="auto"/>
        <w:rPr>
          <w:rFonts w:cs="Times New Roman"/>
        </w:rPr>
      </w:pPr>
    </w:p>
    <w:p w14:paraId="1AD38C00" w14:textId="10BCD9E7" w:rsidR="005D1174" w:rsidRPr="009456F0" w:rsidRDefault="009456F0" w:rsidP="009456F0">
      <w:pPr>
        <w:spacing w:after="0" w:line="240" w:lineRule="auto"/>
        <w:rPr>
          <w:rFonts w:cs="Times New Roman"/>
        </w:rPr>
      </w:pPr>
      <w:r w:rsidRPr="009456F0">
        <w:rPr>
          <w:rFonts w:cs="Times New Roman"/>
        </w:rPr>
        <w:t>Based on the results, t</w:t>
      </w:r>
      <w:r w:rsidR="005D1174" w:rsidRPr="009456F0">
        <w:rPr>
          <w:rFonts w:cs="Times New Roman"/>
        </w:rPr>
        <w:t xml:space="preserve">here </w:t>
      </w:r>
      <w:r w:rsidRPr="009456F0">
        <w:rPr>
          <w:rFonts w:cs="Times New Roman"/>
        </w:rPr>
        <w:t>was</w:t>
      </w:r>
      <w:r w:rsidR="005D1174" w:rsidRPr="009456F0">
        <w:rPr>
          <w:rFonts w:cs="Times New Roman"/>
        </w:rPr>
        <w:t xml:space="preserve"> a strong and significant relationship between professional development and innovative teaching strategies (r = </w:t>
      </w:r>
      <w:r w:rsidRPr="009456F0">
        <w:rPr>
          <w:rFonts w:cs="Times New Roman"/>
        </w:rPr>
        <w:t>0.701</w:t>
      </w:r>
      <w:r w:rsidR="005D1174" w:rsidRPr="009456F0">
        <w:rPr>
          <w:rFonts w:cs="Times New Roman"/>
        </w:rPr>
        <w:t xml:space="preserve">, p = .000). </w:t>
      </w:r>
      <w:r>
        <w:rPr>
          <w:rFonts w:cs="Times New Roman"/>
        </w:rPr>
        <w:t xml:space="preserve">This was because the probability value (p-value) was </w:t>
      </w:r>
      <w:r w:rsidR="005D1174" w:rsidRPr="009456F0">
        <w:rPr>
          <w:rFonts w:cs="Times New Roman"/>
        </w:rPr>
        <w:t>less than the 0.05 threshold</w:t>
      </w:r>
      <w:r>
        <w:rPr>
          <w:rFonts w:cs="Times New Roman"/>
        </w:rPr>
        <w:t xml:space="preserve"> </w:t>
      </w:r>
      <w:r w:rsidR="00EB7550">
        <w:rPr>
          <w:rFonts w:cs="Times New Roman"/>
        </w:rPr>
        <w:t xml:space="preserve">(to imply significance) </w:t>
      </w:r>
      <w:r>
        <w:rPr>
          <w:rFonts w:cs="Times New Roman"/>
        </w:rPr>
        <w:t xml:space="preserve">while the correlation </w:t>
      </w:r>
      <w:r w:rsidR="00EB7550">
        <w:rPr>
          <w:rFonts w:cs="Times New Roman"/>
        </w:rPr>
        <w:t>coefficient</w:t>
      </w:r>
      <w:r>
        <w:rPr>
          <w:rFonts w:cs="Times New Roman"/>
        </w:rPr>
        <w:t xml:space="preserve"> (r) exceeded 0.6 (to imply strength)</w:t>
      </w:r>
      <w:r w:rsidR="00EB7550">
        <w:rPr>
          <w:rFonts w:cs="Times New Roman"/>
        </w:rPr>
        <w:t xml:space="preserve">. </w:t>
      </w:r>
      <w:r w:rsidR="00205FFA">
        <w:rPr>
          <w:rFonts w:cs="Times New Roman"/>
        </w:rPr>
        <w:t>Thus,</w:t>
      </w:r>
      <w:r w:rsidR="00EB7550">
        <w:rPr>
          <w:rFonts w:cs="Times New Roman"/>
        </w:rPr>
        <w:t xml:space="preserve"> there is existence of </w:t>
      </w:r>
      <w:r w:rsidR="00EB7550" w:rsidRPr="009456F0">
        <w:rPr>
          <w:rFonts w:cs="Times New Roman"/>
        </w:rPr>
        <w:t>significant relationship</w:t>
      </w:r>
      <w:r w:rsidR="00EB7550">
        <w:rPr>
          <w:rFonts w:cs="Times New Roman"/>
        </w:rPr>
        <w:t xml:space="preserve"> between</w:t>
      </w:r>
      <w:r w:rsidR="005D1174" w:rsidRPr="009456F0">
        <w:rPr>
          <w:rFonts w:cs="Times New Roman"/>
        </w:rPr>
        <w:t xml:space="preserve"> professional development and innovative teaching in primary schools in </w:t>
      </w:r>
      <w:proofErr w:type="spellStart"/>
      <w:r w:rsidR="005D1174" w:rsidRPr="009456F0">
        <w:rPr>
          <w:rFonts w:cs="Times New Roman"/>
        </w:rPr>
        <w:t>Sankuri</w:t>
      </w:r>
      <w:proofErr w:type="spellEnd"/>
      <w:r w:rsidR="005D1174" w:rsidRPr="009456F0">
        <w:rPr>
          <w:rFonts w:cs="Times New Roman"/>
        </w:rPr>
        <w:t xml:space="preserve"> Sub-County, Garissa County, Kenya.</w:t>
      </w:r>
    </w:p>
    <w:p w14:paraId="40AE8BA8" w14:textId="7A89EAC6" w:rsidR="005D1174" w:rsidRPr="009456F0" w:rsidRDefault="0037714B" w:rsidP="009456F0">
      <w:pPr>
        <w:spacing w:after="0" w:line="240" w:lineRule="auto"/>
        <w:rPr>
          <w:rFonts w:cs="Times New Roman"/>
        </w:rPr>
      </w:pPr>
      <w:r w:rsidRPr="009456F0">
        <w:rPr>
          <w:rFonts w:cs="Times New Roman"/>
          <w:b/>
          <w:bCs/>
        </w:rPr>
        <w:t>8</w:t>
      </w:r>
      <w:r w:rsidR="005D1174" w:rsidRPr="009456F0">
        <w:rPr>
          <w:rFonts w:cs="Times New Roman"/>
          <w:b/>
          <w:bCs/>
        </w:rPr>
        <w:t>.4.</w:t>
      </w:r>
      <w:r w:rsidR="009456F0" w:rsidRPr="009456F0">
        <w:rPr>
          <w:rFonts w:cs="Times New Roman"/>
          <w:b/>
          <w:bCs/>
        </w:rPr>
        <w:t>2</w:t>
      </w:r>
      <w:r w:rsidR="005D1174" w:rsidRPr="009456F0">
        <w:rPr>
          <w:rFonts w:cs="Times New Roman"/>
          <w:b/>
          <w:bCs/>
        </w:rPr>
        <w:t xml:space="preserve"> </w:t>
      </w:r>
      <w:r w:rsidR="00106531" w:rsidRPr="009456F0">
        <w:rPr>
          <w:rFonts w:cs="Times New Roman"/>
          <w:b/>
          <w:bCs/>
        </w:rPr>
        <w:t>Regression Analysis</w:t>
      </w:r>
    </w:p>
    <w:p w14:paraId="4644FD26" w14:textId="380036BB" w:rsidR="00CA725B" w:rsidRPr="009456F0" w:rsidRDefault="00106531" w:rsidP="009456F0">
      <w:pPr>
        <w:spacing w:after="0" w:line="240" w:lineRule="auto"/>
        <w:rPr>
          <w:rFonts w:cs="Times New Roman"/>
        </w:rPr>
      </w:pPr>
      <w:r w:rsidRPr="009456F0">
        <w:rPr>
          <w:rFonts w:cs="Times New Roman"/>
        </w:rPr>
        <w:t xml:space="preserve">Regression analysis was carried out to estimate a model for estimating innovative teaching strategies in terms professional development. The summary of the model was captured in Table </w:t>
      </w:r>
      <w:r w:rsidR="00103B8A" w:rsidRPr="009456F0">
        <w:rPr>
          <w:rFonts w:cs="Times New Roman"/>
        </w:rPr>
        <w:t>3</w:t>
      </w:r>
      <w:r w:rsidR="00205FFA">
        <w:rPr>
          <w:rFonts w:cs="Times New Roman"/>
        </w:rPr>
        <w:t>.</w:t>
      </w:r>
      <w:r w:rsidRPr="009456F0">
        <w:rPr>
          <w:rFonts w:cs="Times New Roman"/>
        </w:rPr>
        <w:t xml:space="preserve"> </w:t>
      </w:r>
    </w:p>
    <w:p w14:paraId="5EAFF4E3" w14:textId="7C39FCB2" w:rsidR="00FE061C" w:rsidRPr="009456F0" w:rsidRDefault="00103B8A" w:rsidP="009456F0">
      <w:pPr>
        <w:pStyle w:val="Caption"/>
        <w:keepNext/>
        <w:spacing w:after="0"/>
        <w:rPr>
          <w:rFonts w:cs="Times New Roman"/>
          <w:b/>
          <w:bCs/>
          <w:i w:val="0"/>
          <w:iCs w:val="0"/>
          <w:color w:val="auto"/>
          <w:sz w:val="24"/>
          <w:szCs w:val="24"/>
        </w:rPr>
      </w:pPr>
      <w:r w:rsidRPr="009456F0">
        <w:rPr>
          <w:rFonts w:cs="Times New Roman"/>
          <w:i w:val="0"/>
          <w:iCs w:val="0"/>
          <w:color w:val="auto"/>
          <w:sz w:val="24"/>
          <w:szCs w:val="24"/>
        </w:rPr>
        <w:t xml:space="preserve">Table </w:t>
      </w:r>
      <w:r w:rsidRPr="009456F0">
        <w:rPr>
          <w:rFonts w:cs="Times New Roman"/>
          <w:i w:val="0"/>
          <w:iCs w:val="0"/>
          <w:color w:val="auto"/>
          <w:sz w:val="24"/>
          <w:szCs w:val="24"/>
        </w:rPr>
        <w:fldChar w:fldCharType="begin"/>
      </w:r>
      <w:r w:rsidRPr="009456F0">
        <w:rPr>
          <w:rFonts w:cs="Times New Roman"/>
          <w:i w:val="0"/>
          <w:iCs w:val="0"/>
          <w:color w:val="auto"/>
          <w:sz w:val="24"/>
          <w:szCs w:val="24"/>
        </w:rPr>
        <w:instrText xml:space="preserve"> SEQ Table \* ARABIC </w:instrText>
      </w:r>
      <w:r w:rsidRPr="009456F0">
        <w:rPr>
          <w:rFonts w:cs="Times New Roman"/>
          <w:i w:val="0"/>
          <w:iCs w:val="0"/>
          <w:color w:val="auto"/>
          <w:sz w:val="24"/>
          <w:szCs w:val="24"/>
        </w:rPr>
        <w:fldChar w:fldCharType="separate"/>
      </w:r>
      <w:r w:rsidR="009456F0" w:rsidRPr="009456F0">
        <w:rPr>
          <w:rFonts w:cs="Times New Roman"/>
          <w:i w:val="0"/>
          <w:iCs w:val="0"/>
          <w:noProof/>
          <w:color w:val="auto"/>
          <w:sz w:val="24"/>
          <w:szCs w:val="24"/>
        </w:rPr>
        <w:t>3</w:t>
      </w:r>
      <w:r w:rsidRPr="009456F0">
        <w:rPr>
          <w:rFonts w:cs="Times New Roman"/>
          <w:i w:val="0"/>
          <w:iCs w:val="0"/>
          <w:color w:val="auto"/>
          <w:sz w:val="24"/>
          <w:szCs w:val="24"/>
        </w:rPr>
        <w:fldChar w:fldCharType="end"/>
      </w:r>
      <w:r w:rsidR="00CA725B" w:rsidRPr="009456F0">
        <w:rPr>
          <w:rFonts w:cs="Times New Roman"/>
          <w:i w:val="0"/>
          <w:iCs w:val="0"/>
          <w:color w:val="auto"/>
          <w:sz w:val="24"/>
          <w:szCs w:val="24"/>
        </w:rPr>
        <w:t>: Model Summary</w:t>
      </w:r>
    </w:p>
    <w:tbl>
      <w:tblPr>
        <w:tblW w:w="7942" w:type="dxa"/>
        <w:tblCellMar>
          <w:left w:w="0" w:type="dxa"/>
          <w:right w:w="0" w:type="dxa"/>
        </w:tblCellMar>
        <w:tblLook w:val="04A0" w:firstRow="1" w:lastRow="0" w:firstColumn="1" w:lastColumn="0" w:noHBand="0" w:noVBand="1"/>
      </w:tblPr>
      <w:tblGrid>
        <w:gridCol w:w="960"/>
        <w:gridCol w:w="960"/>
        <w:gridCol w:w="3325"/>
        <w:gridCol w:w="2697"/>
      </w:tblGrid>
      <w:tr w:rsidR="00106531" w:rsidRPr="009456F0" w14:paraId="14859D10" w14:textId="77777777" w:rsidTr="00106531">
        <w:trPr>
          <w:trHeight w:val="20"/>
        </w:trPr>
        <w:tc>
          <w:tcPr>
            <w:tcW w:w="7942" w:type="dxa"/>
            <w:gridSpan w:val="4"/>
            <w:tcBorders>
              <w:top w:val="nil"/>
              <w:left w:val="nil"/>
              <w:bottom w:val="single" w:sz="4" w:space="0" w:color="auto"/>
              <w:right w:val="nil"/>
            </w:tcBorders>
            <w:tcMar>
              <w:top w:w="15" w:type="dxa"/>
              <w:left w:w="15" w:type="dxa"/>
              <w:bottom w:w="0" w:type="dxa"/>
              <w:right w:w="15" w:type="dxa"/>
            </w:tcMar>
            <w:vAlign w:val="center"/>
            <w:hideMark/>
          </w:tcPr>
          <w:p w14:paraId="414BD05F" w14:textId="77777777" w:rsidR="00106531" w:rsidRPr="009456F0" w:rsidRDefault="00106531" w:rsidP="009456F0">
            <w:pPr>
              <w:spacing w:after="0" w:line="240" w:lineRule="auto"/>
              <w:jc w:val="center"/>
              <w:rPr>
                <w:rFonts w:cs="Times New Roman"/>
                <w:b/>
                <w:bCs/>
                <w:color w:val="000000"/>
              </w:rPr>
            </w:pPr>
            <w:r w:rsidRPr="009456F0">
              <w:rPr>
                <w:rFonts w:cs="Times New Roman"/>
                <w:b/>
                <w:bCs/>
                <w:color w:val="000000"/>
              </w:rPr>
              <w:t>Model Summary</w:t>
            </w:r>
          </w:p>
        </w:tc>
      </w:tr>
      <w:tr w:rsidR="00106531" w:rsidRPr="009456F0" w14:paraId="5CE4A5ED" w14:textId="77777777" w:rsidTr="00106531">
        <w:trPr>
          <w:trHeight w:val="20"/>
        </w:trPr>
        <w:tc>
          <w:tcPr>
            <w:tcW w:w="960" w:type="dxa"/>
            <w:tcBorders>
              <w:top w:val="nil"/>
              <w:left w:val="nil"/>
              <w:bottom w:val="single" w:sz="4" w:space="0" w:color="auto"/>
              <w:right w:val="nil"/>
            </w:tcBorders>
            <w:tcMar>
              <w:top w:w="15" w:type="dxa"/>
              <w:left w:w="15" w:type="dxa"/>
              <w:bottom w:w="0" w:type="dxa"/>
              <w:right w:w="15" w:type="dxa"/>
            </w:tcMar>
            <w:vAlign w:val="bottom"/>
            <w:hideMark/>
          </w:tcPr>
          <w:p w14:paraId="64E72C67"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R</w:t>
            </w:r>
          </w:p>
        </w:tc>
        <w:tc>
          <w:tcPr>
            <w:tcW w:w="960" w:type="dxa"/>
            <w:tcBorders>
              <w:top w:val="nil"/>
              <w:left w:val="nil"/>
              <w:bottom w:val="single" w:sz="4" w:space="0" w:color="auto"/>
              <w:right w:val="nil"/>
            </w:tcBorders>
            <w:tcMar>
              <w:top w:w="15" w:type="dxa"/>
              <w:left w:w="15" w:type="dxa"/>
              <w:bottom w:w="0" w:type="dxa"/>
              <w:right w:w="15" w:type="dxa"/>
            </w:tcMar>
            <w:vAlign w:val="bottom"/>
            <w:hideMark/>
          </w:tcPr>
          <w:p w14:paraId="139F5119"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R Square</w:t>
            </w:r>
          </w:p>
        </w:tc>
        <w:tc>
          <w:tcPr>
            <w:tcW w:w="3325" w:type="dxa"/>
            <w:tcBorders>
              <w:top w:val="nil"/>
              <w:left w:val="nil"/>
              <w:bottom w:val="single" w:sz="4" w:space="0" w:color="auto"/>
              <w:right w:val="nil"/>
            </w:tcBorders>
            <w:tcMar>
              <w:top w:w="15" w:type="dxa"/>
              <w:left w:w="15" w:type="dxa"/>
              <w:bottom w:w="0" w:type="dxa"/>
              <w:right w:w="15" w:type="dxa"/>
            </w:tcMar>
            <w:vAlign w:val="bottom"/>
            <w:hideMark/>
          </w:tcPr>
          <w:p w14:paraId="61F6F237"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Adjusted R Square</w:t>
            </w:r>
          </w:p>
        </w:tc>
        <w:tc>
          <w:tcPr>
            <w:tcW w:w="2697" w:type="dxa"/>
            <w:tcBorders>
              <w:top w:val="nil"/>
              <w:left w:val="nil"/>
              <w:bottom w:val="single" w:sz="4" w:space="0" w:color="auto"/>
              <w:right w:val="nil"/>
            </w:tcBorders>
            <w:tcMar>
              <w:top w:w="15" w:type="dxa"/>
              <w:left w:w="15" w:type="dxa"/>
              <w:bottom w:w="0" w:type="dxa"/>
              <w:right w:w="15" w:type="dxa"/>
            </w:tcMar>
            <w:vAlign w:val="bottom"/>
            <w:hideMark/>
          </w:tcPr>
          <w:p w14:paraId="59B7026B"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Std. Error of the Estimate</w:t>
            </w:r>
          </w:p>
        </w:tc>
      </w:tr>
      <w:tr w:rsidR="00106531" w:rsidRPr="009456F0" w14:paraId="42ECEDFC" w14:textId="77777777" w:rsidTr="00106531">
        <w:trPr>
          <w:trHeight w:val="20"/>
        </w:trPr>
        <w:tc>
          <w:tcPr>
            <w:tcW w:w="0" w:type="auto"/>
            <w:tcBorders>
              <w:top w:val="nil"/>
              <w:left w:val="nil"/>
              <w:bottom w:val="single" w:sz="4" w:space="0" w:color="auto"/>
              <w:right w:val="nil"/>
            </w:tcBorders>
            <w:noWrap/>
            <w:tcMar>
              <w:top w:w="15" w:type="dxa"/>
              <w:left w:w="15" w:type="dxa"/>
              <w:bottom w:w="0" w:type="dxa"/>
              <w:right w:w="15" w:type="dxa"/>
            </w:tcMar>
            <w:hideMark/>
          </w:tcPr>
          <w:p w14:paraId="4ABE53E2"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.701</w:t>
            </w:r>
            <w:r w:rsidRPr="009456F0">
              <w:rPr>
                <w:rFonts w:cs="Times New Roman"/>
                <w:color w:val="000000"/>
                <w:vertAlign w:val="superscript"/>
              </w:rPr>
              <w:t>a</w:t>
            </w:r>
          </w:p>
        </w:tc>
        <w:tc>
          <w:tcPr>
            <w:tcW w:w="0" w:type="auto"/>
            <w:tcBorders>
              <w:top w:val="nil"/>
              <w:left w:val="nil"/>
              <w:bottom w:val="single" w:sz="4" w:space="0" w:color="auto"/>
              <w:right w:val="nil"/>
            </w:tcBorders>
            <w:noWrap/>
            <w:tcMar>
              <w:top w:w="15" w:type="dxa"/>
              <w:left w:w="15" w:type="dxa"/>
              <w:bottom w:w="0" w:type="dxa"/>
              <w:right w:w="15" w:type="dxa"/>
            </w:tcMar>
            <w:hideMark/>
          </w:tcPr>
          <w:p w14:paraId="02A4D654" w14:textId="0C3BA02A" w:rsidR="00106531" w:rsidRPr="009456F0" w:rsidRDefault="00106531" w:rsidP="009456F0">
            <w:pPr>
              <w:spacing w:after="0" w:line="240" w:lineRule="auto"/>
              <w:jc w:val="center"/>
              <w:rPr>
                <w:rFonts w:cs="Times New Roman"/>
                <w:color w:val="000000"/>
              </w:rPr>
            </w:pPr>
            <w:r w:rsidRPr="009456F0">
              <w:rPr>
                <w:rFonts w:cs="Times New Roman"/>
                <w:color w:val="000000"/>
              </w:rPr>
              <w:t>.49</w:t>
            </w:r>
            <w:r w:rsidR="009456F0" w:rsidRPr="009456F0">
              <w:rPr>
                <w:rFonts w:cs="Times New Roman"/>
                <w:color w:val="000000"/>
              </w:rPr>
              <w:t>17</w:t>
            </w:r>
          </w:p>
        </w:tc>
        <w:tc>
          <w:tcPr>
            <w:tcW w:w="3325" w:type="dxa"/>
            <w:tcBorders>
              <w:top w:val="nil"/>
              <w:left w:val="nil"/>
              <w:bottom w:val="single" w:sz="4" w:space="0" w:color="auto"/>
              <w:right w:val="nil"/>
            </w:tcBorders>
            <w:noWrap/>
            <w:tcMar>
              <w:top w:w="15" w:type="dxa"/>
              <w:left w:w="15" w:type="dxa"/>
              <w:bottom w:w="0" w:type="dxa"/>
              <w:right w:w="15" w:type="dxa"/>
            </w:tcMar>
            <w:hideMark/>
          </w:tcPr>
          <w:p w14:paraId="08BF0419" w14:textId="431A7EF9" w:rsidR="00106531" w:rsidRPr="009456F0" w:rsidRDefault="00106531" w:rsidP="009456F0">
            <w:pPr>
              <w:spacing w:after="0" w:line="240" w:lineRule="auto"/>
              <w:jc w:val="center"/>
              <w:rPr>
                <w:rFonts w:cs="Times New Roman"/>
                <w:color w:val="000000"/>
              </w:rPr>
            </w:pPr>
            <w:r w:rsidRPr="009456F0">
              <w:rPr>
                <w:rFonts w:cs="Times New Roman"/>
                <w:color w:val="000000"/>
              </w:rPr>
              <w:t>.48</w:t>
            </w:r>
            <w:r w:rsidR="009456F0" w:rsidRPr="009456F0">
              <w:rPr>
                <w:rFonts w:cs="Times New Roman"/>
                <w:color w:val="000000"/>
              </w:rPr>
              <w:t>48</w:t>
            </w:r>
          </w:p>
        </w:tc>
        <w:tc>
          <w:tcPr>
            <w:tcW w:w="2697" w:type="dxa"/>
            <w:tcBorders>
              <w:top w:val="nil"/>
              <w:left w:val="nil"/>
              <w:bottom w:val="single" w:sz="4" w:space="0" w:color="auto"/>
              <w:right w:val="nil"/>
            </w:tcBorders>
            <w:noWrap/>
            <w:tcMar>
              <w:top w:w="15" w:type="dxa"/>
              <w:left w:w="15" w:type="dxa"/>
              <w:bottom w:w="0" w:type="dxa"/>
              <w:right w:w="15" w:type="dxa"/>
            </w:tcMar>
            <w:hideMark/>
          </w:tcPr>
          <w:p w14:paraId="230CF3AD" w14:textId="77777777" w:rsidR="00106531" w:rsidRPr="009456F0" w:rsidRDefault="00106531" w:rsidP="009456F0">
            <w:pPr>
              <w:spacing w:after="0" w:line="240" w:lineRule="auto"/>
              <w:jc w:val="center"/>
              <w:rPr>
                <w:rFonts w:cs="Times New Roman"/>
                <w:color w:val="000000"/>
              </w:rPr>
            </w:pPr>
            <w:r w:rsidRPr="009456F0">
              <w:rPr>
                <w:rFonts w:cs="Times New Roman"/>
                <w:color w:val="000000"/>
              </w:rPr>
              <w:t>.50711</w:t>
            </w:r>
          </w:p>
        </w:tc>
      </w:tr>
      <w:tr w:rsidR="00106531" w:rsidRPr="009456F0" w14:paraId="473DD305" w14:textId="77777777" w:rsidTr="00106531">
        <w:trPr>
          <w:trHeight w:val="20"/>
        </w:trPr>
        <w:tc>
          <w:tcPr>
            <w:tcW w:w="7942" w:type="dxa"/>
            <w:gridSpan w:val="4"/>
            <w:tcBorders>
              <w:top w:val="single" w:sz="4" w:space="0" w:color="auto"/>
              <w:left w:val="nil"/>
              <w:bottom w:val="nil"/>
              <w:right w:val="nil"/>
            </w:tcBorders>
            <w:tcMar>
              <w:top w:w="15" w:type="dxa"/>
              <w:left w:w="15" w:type="dxa"/>
              <w:bottom w:w="0" w:type="dxa"/>
              <w:right w:w="15" w:type="dxa"/>
            </w:tcMar>
            <w:hideMark/>
          </w:tcPr>
          <w:p w14:paraId="1672A558" w14:textId="77777777" w:rsidR="00106531" w:rsidRPr="009456F0" w:rsidRDefault="00106531" w:rsidP="009456F0">
            <w:pPr>
              <w:spacing w:after="0" w:line="240" w:lineRule="auto"/>
              <w:jc w:val="left"/>
              <w:rPr>
                <w:rFonts w:cs="Times New Roman"/>
                <w:color w:val="000000"/>
              </w:rPr>
            </w:pPr>
            <w:r w:rsidRPr="009456F0">
              <w:rPr>
                <w:rFonts w:cs="Times New Roman"/>
                <w:color w:val="000000"/>
              </w:rPr>
              <w:t>a. Predictors: (Constant), professional development</w:t>
            </w:r>
          </w:p>
        </w:tc>
      </w:tr>
    </w:tbl>
    <w:p w14:paraId="48E242CE" w14:textId="77777777" w:rsidR="00205FFA" w:rsidRDefault="00106531" w:rsidP="009456F0">
      <w:pPr>
        <w:spacing w:after="0" w:line="240" w:lineRule="auto"/>
        <w:rPr>
          <w:rFonts w:cs="Times New Roman"/>
        </w:rPr>
      </w:pPr>
      <w:r w:rsidRPr="009456F0">
        <w:rPr>
          <w:rFonts w:cs="Times New Roman"/>
        </w:rPr>
        <w:t xml:space="preserve"> </w:t>
      </w:r>
    </w:p>
    <w:p w14:paraId="3386E81F" w14:textId="09C5CC13" w:rsidR="0037714B" w:rsidRPr="009456F0" w:rsidRDefault="0037714B" w:rsidP="009456F0">
      <w:pPr>
        <w:spacing w:after="0" w:line="240" w:lineRule="auto"/>
        <w:rPr>
          <w:rFonts w:cs="Times New Roman"/>
        </w:rPr>
      </w:pPr>
      <w:r w:rsidRPr="009456F0">
        <w:rPr>
          <w:rFonts w:cs="Times New Roman"/>
        </w:rPr>
        <w:t>The coefficient of determination (</w:t>
      </w:r>
      <w:r w:rsidRPr="009456F0">
        <w:rPr>
          <w:rStyle w:val="Emphasis"/>
          <w:rFonts w:cs="Times New Roman"/>
        </w:rPr>
        <w:t>R</w:t>
      </w:r>
      <w:r w:rsidRPr="009456F0">
        <w:rPr>
          <w:rFonts w:cs="Times New Roman"/>
        </w:rPr>
        <w:t xml:space="preserve">²) was </w:t>
      </w:r>
      <w:r w:rsidR="00205FFA">
        <w:rPr>
          <w:rFonts w:cs="Times New Roman"/>
        </w:rPr>
        <w:t>.4917</w:t>
      </w:r>
      <w:r w:rsidRPr="009456F0">
        <w:rPr>
          <w:rFonts w:cs="Times New Roman"/>
        </w:rPr>
        <w:t xml:space="preserve">, indicating that </w:t>
      </w:r>
      <w:r w:rsidR="00205FFA">
        <w:rPr>
          <w:rFonts w:cs="Times New Roman"/>
        </w:rPr>
        <w:t>49.17%</w:t>
      </w:r>
      <w:r w:rsidRPr="009456F0">
        <w:rPr>
          <w:rFonts w:cs="Times New Roman"/>
        </w:rPr>
        <w:t xml:space="preserve"> of the variance in innovative teaching strategies was explained by professional development. This finding suggests that professional development exerts a </w:t>
      </w:r>
      <w:r w:rsidR="00205FFA">
        <w:rPr>
          <w:rFonts w:cs="Times New Roman"/>
        </w:rPr>
        <w:t xml:space="preserve">moderate </w:t>
      </w:r>
      <w:r w:rsidRPr="009456F0">
        <w:rPr>
          <w:rFonts w:cs="Times New Roman"/>
        </w:rPr>
        <w:t xml:space="preserve">influence on the outcome variable. The adjusted </w:t>
      </w:r>
      <w:r w:rsidRPr="009456F0">
        <w:rPr>
          <w:rStyle w:val="Emphasis"/>
          <w:rFonts w:cs="Times New Roman"/>
        </w:rPr>
        <w:t>R</w:t>
      </w:r>
      <w:r w:rsidRPr="009456F0">
        <w:rPr>
          <w:rFonts w:cs="Times New Roman"/>
        </w:rPr>
        <w:t xml:space="preserve">² value of </w:t>
      </w:r>
      <w:r w:rsidR="00205FFA">
        <w:rPr>
          <w:rFonts w:cs="Times New Roman"/>
        </w:rPr>
        <w:t>.4848</w:t>
      </w:r>
      <w:r w:rsidRPr="009456F0">
        <w:rPr>
          <w:rFonts w:cs="Times New Roman"/>
        </w:rPr>
        <w:t xml:space="preserve"> further confirms that, even after adjusting for model complexity, the explanatory power remains high. Additionally, the standard error of the estimate (</w:t>
      </w:r>
      <w:r w:rsidR="00205FFA">
        <w:rPr>
          <w:rFonts w:cs="Times New Roman"/>
        </w:rPr>
        <w:t>0</w:t>
      </w:r>
      <w:r w:rsidR="00205FFA" w:rsidRPr="009456F0">
        <w:rPr>
          <w:rFonts w:cs="Times New Roman"/>
          <w:color w:val="000000"/>
        </w:rPr>
        <w:t>.50711</w:t>
      </w:r>
      <w:r w:rsidRPr="009456F0">
        <w:rPr>
          <w:rFonts w:cs="Times New Roman"/>
        </w:rPr>
        <w:t>) indicates that the predicted values were close to the observed values, reflecting a reliable and well-fitting model.</w:t>
      </w:r>
    </w:p>
    <w:p w14:paraId="62F82160" w14:textId="3CA25710" w:rsidR="00B921A1" w:rsidRPr="00205FFA" w:rsidRDefault="009456F0" w:rsidP="009456F0">
      <w:pPr>
        <w:spacing w:after="0" w:line="240" w:lineRule="auto"/>
        <w:rPr>
          <w:rFonts w:cs="Times New Roman"/>
        </w:rPr>
      </w:pPr>
      <w:r w:rsidRPr="00205FFA">
        <w:rPr>
          <w:rFonts w:cs="Times New Roman"/>
        </w:rPr>
        <w:t>Results on</w:t>
      </w:r>
      <w:r w:rsidR="005D1174" w:rsidRPr="00205FFA">
        <w:rPr>
          <w:rFonts w:cs="Times New Roman"/>
        </w:rPr>
        <w:t xml:space="preserve"> Analysis of Variance </w:t>
      </w:r>
      <w:r w:rsidRPr="00205FFA">
        <w:rPr>
          <w:rFonts w:cs="Times New Roman"/>
        </w:rPr>
        <w:t xml:space="preserve">were shown in </w:t>
      </w:r>
      <w:r w:rsidR="00FE061C" w:rsidRPr="00205FFA">
        <w:rPr>
          <w:rFonts w:cs="Times New Roman"/>
        </w:rPr>
        <w:t xml:space="preserve">Table </w:t>
      </w:r>
      <w:r w:rsidR="00205FFA">
        <w:rPr>
          <w:rFonts w:cs="Times New Roman"/>
        </w:rPr>
        <w:t>4.</w:t>
      </w:r>
      <w:r w:rsidR="00FE061C" w:rsidRPr="00205FFA">
        <w:rPr>
          <w:rFonts w:cs="Times New Roman"/>
        </w:rPr>
        <w:t xml:space="preserve"> </w:t>
      </w:r>
    </w:p>
    <w:p w14:paraId="742A4373" w14:textId="3439DA0A" w:rsidR="009456F0" w:rsidRPr="009456F0" w:rsidRDefault="009456F0" w:rsidP="009456F0">
      <w:pPr>
        <w:pStyle w:val="Caption"/>
        <w:spacing w:after="0"/>
        <w:rPr>
          <w:rFonts w:cs="Times New Roman"/>
          <w:i w:val="0"/>
          <w:iCs w:val="0"/>
          <w:color w:val="auto"/>
          <w:sz w:val="24"/>
          <w:szCs w:val="24"/>
        </w:rPr>
      </w:pPr>
      <w:r w:rsidRPr="009456F0">
        <w:rPr>
          <w:rFonts w:cs="Times New Roman"/>
          <w:i w:val="0"/>
          <w:iCs w:val="0"/>
          <w:color w:val="auto"/>
          <w:sz w:val="24"/>
          <w:szCs w:val="24"/>
        </w:rPr>
        <w:t xml:space="preserve">Table </w:t>
      </w:r>
      <w:r w:rsidRPr="009456F0">
        <w:rPr>
          <w:rFonts w:cs="Times New Roman"/>
          <w:i w:val="0"/>
          <w:iCs w:val="0"/>
          <w:color w:val="auto"/>
          <w:sz w:val="24"/>
          <w:szCs w:val="24"/>
        </w:rPr>
        <w:fldChar w:fldCharType="begin"/>
      </w:r>
      <w:r w:rsidRPr="009456F0">
        <w:rPr>
          <w:rFonts w:cs="Times New Roman"/>
          <w:i w:val="0"/>
          <w:iCs w:val="0"/>
          <w:color w:val="auto"/>
          <w:sz w:val="24"/>
          <w:szCs w:val="24"/>
        </w:rPr>
        <w:instrText xml:space="preserve"> SEQ Table \* ARABIC </w:instrText>
      </w:r>
      <w:r w:rsidRPr="009456F0">
        <w:rPr>
          <w:rFonts w:cs="Times New Roman"/>
          <w:i w:val="0"/>
          <w:iCs w:val="0"/>
          <w:color w:val="auto"/>
          <w:sz w:val="24"/>
          <w:szCs w:val="24"/>
        </w:rPr>
        <w:fldChar w:fldCharType="separate"/>
      </w:r>
      <w:r w:rsidRPr="009456F0">
        <w:rPr>
          <w:rFonts w:cs="Times New Roman"/>
          <w:i w:val="0"/>
          <w:iCs w:val="0"/>
          <w:noProof/>
          <w:color w:val="auto"/>
          <w:sz w:val="24"/>
          <w:szCs w:val="24"/>
        </w:rPr>
        <w:t>4</w:t>
      </w:r>
      <w:r w:rsidRPr="009456F0">
        <w:rPr>
          <w:rFonts w:cs="Times New Roman"/>
          <w:i w:val="0"/>
          <w:iCs w:val="0"/>
          <w:color w:val="auto"/>
          <w:sz w:val="24"/>
          <w:szCs w:val="24"/>
        </w:rPr>
        <w:fldChar w:fldCharType="end"/>
      </w:r>
      <w:r w:rsidR="00FE061C" w:rsidRPr="009456F0">
        <w:rPr>
          <w:rFonts w:cs="Times New Roman"/>
          <w:i w:val="0"/>
          <w:iCs w:val="0"/>
          <w:color w:val="auto"/>
          <w:sz w:val="24"/>
          <w:szCs w:val="24"/>
        </w:rPr>
        <w:t xml:space="preserve">: </w:t>
      </w:r>
      <w:r w:rsidRPr="009456F0">
        <w:rPr>
          <w:rFonts w:cs="Times New Roman"/>
          <w:i w:val="0"/>
          <w:iCs w:val="0"/>
          <w:color w:val="auto"/>
          <w:sz w:val="24"/>
          <w:szCs w:val="24"/>
        </w:rPr>
        <w:t>Model Fitness</w:t>
      </w:r>
    </w:p>
    <w:tbl>
      <w:tblPr>
        <w:tblW w:w="8180" w:type="dxa"/>
        <w:tblLook w:val="04A0" w:firstRow="1" w:lastRow="0" w:firstColumn="1" w:lastColumn="0" w:noHBand="0" w:noVBand="1"/>
      </w:tblPr>
      <w:tblGrid>
        <w:gridCol w:w="1283"/>
        <w:gridCol w:w="976"/>
        <w:gridCol w:w="1620"/>
        <w:gridCol w:w="1660"/>
        <w:gridCol w:w="2020"/>
        <w:gridCol w:w="960"/>
      </w:tblGrid>
      <w:tr w:rsidR="009456F0" w:rsidRPr="009456F0" w14:paraId="5CAA57BD" w14:textId="77777777" w:rsidTr="009456F0">
        <w:trPr>
          <w:trHeight w:val="300"/>
        </w:trPr>
        <w:tc>
          <w:tcPr>
            <w:tcW w:w="8180" w:type="dxa"/>
            <w:gridSpan w:val="6"/>
            <w:tcBorders>
              <w:top w:val="nil"/>
              <w:left w:val="nil"/>
              <w:bottom w:val="single" w:sz="4" w:space="0" w:color="auto"/>
              <w:right w:val="nil"/>
            </w:tcBorders>
            <w:vAlign w:val="center"/>
            <w:hideMark/>
          </w:tcPr>
          <w:p w14:paraId="2B5E5331" w14:textId="77777777" w:rsidR="009456F0" w:rsidRPr="009456F0" w:rsidRDefault="009456F0" w:rsidP="009456F0">
            <w:pPr>
              <w:spacing w:after="0" w:line="240" w:lineRule="auto"/>
              <w:jc w:val="center"/>
              <w:rPr>
                <w:rFonts w:eastAsia="Times New Roman" w:cs="Times New Roman"/>
                <w:b/>
                <w:bCs/>
                <w:color w:val="000000"/>
                <w:kern w:val="0"/>
                <w14:ligatures w14:val="none"/>
              </w:rPr>
            </w:pPr>
            <w:r w:rsidRPr="009456F0">
              <w:rPr>
                <w:rFonts w:eastAsia="Times New Roman" w:cs="Times New Roman"/>
                <w:b/>
                <w:bCs/>
                <w:color w:val="000000"/>
                <w:kern w:val="0"/>
                <w14:ligatures w14:val="none"/>
              </w:rPr>
              <w:t>ANOVA</w:t>
            </w:r>
            <w:r w:rsidRPr="009456F0">
              <w:rPr>
                <w:rFonts w:eastAsia="Times New Roman" w:cs="Times New Roman"/>
                <w:b/>
                <w:bCs/>
                <w:color w:val="000000"/>
                <w:kern w:val="0"/>
                <w:vertAlign w:val="superscript"/>
                <w14:ligatures w14:val="none"/>
              </w:rPr>
              <w:t>a</w:t>
            </w:r>
          </w:p>
        </w:tc>
      </w:tr>
      <w:tr w:rsidR="009456F0" w:rsidRPr="009456F0" w14:paraId="1687F3C9" w14:textId="77777777" w:rsidTr="009456F0">
        <w:trPr>
          <w:trHeight w:val="255"/>
        </w:trPr>
        <w:tc>
          <w:tcPr>
            <w:tcW w:w="960" w:type="dxa"/>
            <w:tcBorders>
              <w:top w:val="nil"/>
              <w:left w:val="nil"/>
              <w:bottom w:val="single" w:sz="4" w:space="0" w:color="auto"/>
              <w:right w:val="nil"/>
            </w:tcBorders>
            <w:vAlign w:val="bottom"/>
            <w:hideMark/>
          </w:tcPr>
          <w:p w14:paraId="0DF4DECE"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960" w:type="dxa"/>
            <w:tcBorders>
              <w:top w:val="nil"/>
              <w:left w:val="nil"/>
              <w:bottom w:val="single" w:sz="4" w:space="0" w:color="auto"/>
              <w:right w:val="nil"/>
            </w:tcBorders>
            <w:vAlign w:val="bottom"/>
            <w:hideMark/>
          </w:tcPr>
          <w:p w14:paraId="061442F5"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Sum of Squares</w:t>
            </w:r>
          </w:p>
        </w:tc>
        <w:tc>
          <w:tcPr>
            <w:tcW w:w="1620" w:type="dxa"/>
            <w:tcBorders>
              <w:top w:val="nil"/>
              <w:left w:val="nil"/>
              <w:bottom w:val="single" w:sz="4" w:space="0" w:color="auto"/>
              <w:right w:val="nil"/>
            </w:tcBorders>
            <w:vAlign w:val="bottom"/>
            <w:hideMark/>
          </w:tcPr>
          <w:p w14:paraId="5259545F"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df</w:t>
            </w:r>
          </w:p>
        </w:tc>
        <w:tc>
          <w:tcPr>
            <w:tcW w:w="1660" w:type="dxa"/>
            <w:tcBorders>
              <w:top w:val="nil"/>
              <w:left w:val="nil"/>
              <w:bottom w:val="single" w:sz="4" w:space="0" w:color="auto"/>
              <w:right w:val="nil"/>
            </w:tcBorders>
            <w:vAlign w:val="bottom"/>
            <w:hideMark/>
          </w:tcPr>
          <w:p w14:paraId="48069029"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Mean Square</w:t>
            </w:r>
          </w:p>
        </w:tc>
        <w:tc>
          <w:tcPr>
            <w:tcW w:w="2020" w:type="dxa"/>
            <w:tcBorders>
              <w:top w:val="nil"/>
              <w:left w:val="nil"/>
              <w:bottom w:val="single" w:sz="4" w:space="0" w:color="auto"/>
              <w:right w:val="nil"/>
            </w:tcBorders>
            <w:vAlign w:val="bottom"/>
            <w:hideMark/>
          </w:tcPr>
          <w:p w14:paraId="3ED551F5"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F</w:t>
            </w:r>
          </w:p>
        </w:tc>
        <w:tc>
          <w:tcPr>
            <w:tcW w:w="960" w:type="dxa"/>
            <w:tcBorders>
              <w:top w:val="nil"/>
              <w:left w:val="nil"/>
              <w:bottom w:val="single" w:sz="4" w:space="0" w:color="auto"/>
              <w:right w:val="nil"/>
            </w:tcBorders>
            <w:vAlign w:val="bottom"/>
            <w:hideMark/>
          </w:tcPr>
          <w:p w14:paraId="18B5EE69"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Sig.</w:t>
            </w:r>
          </w:p>
        </w:tc>
      </w:tr>
      <w:tr w:rsidR="009456F0" w:rsidRPr="009456F0" w14:paraId="614684A8" w14:textId="77777777" w:rsidTr="009456F0">
        <w:trPr>
          <w:trHeight w:val="300"/>
        </w:trPr>
        <w:tc>
          <w:tcPr>
            <w:tcW w:w="960" w:type="dxa"/>
            <w:tcBorders>
              <w:top w:val="nil"/>
              <w:left w:val="nil"/>
              <w:bottom w:val="nil"/>
              <w:right w:val="nil"/>
            </w:tcBorders>
            <w:hideMark/>
          </w:tcPr>
          <w:p w14:paraId="78A01DFD"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Regression</w:t>
            </w:r>
          </w:p>
        </w:tc>
        <w:tc>
          <w:tcPr>
            <w:tcW w:w="960" w:type="dxa"/>
            <w:tcBorders>
              <w:top w:val="nil"/>
              <w:left w:val="nil"/>
              <w:bottom w:val="nil"/>
              <w:right w:val="nil"/>
            </w:tcBorders>
            <w:noWrap/>
            <w:hideMark/>
          </w:tcPr>
          <w:p w14:paraId="31AB670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18.407</w:t>
            </w:r>
          </w:p>
        </w:tc>
        <w:tc>
          <w:tcPr>
            <w:tcW w:w="1620" w:type="dxa"/>
            <w:tcBorders>
              <w:top w:val="nil"/>
              <w:left w:val="nil"/>
              <w:bottom w:val="nil"/>
              <w:right w:val="nil"/>
            </w:tcBorders>
            <w:noWrap/>
            <w:hideMark/>
          </w:tcPr>
          <w:p w14:paraId="179D262E"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1</w:t>
            </w:r>
          </w:p>
        </w:tc>
        <w:tc>
          <w:tcPr>
            <w:tcW w:w="1660" w:type="dxa"/>
            <w:tcBorders>
              <w:top w:val="nil"/>
              <w:left w:val="nil"/>
              <w:bottom w:val="nil"/>
              <w:right w:val="nil"/>
            </w:tcBorders>
            <w:noWrap/>
            <w:hideMark/>
          </w:tcPr>
          <w:p w14:paraId="02CE7EFE"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18.407</w:t>
            </w:r>
          </w:p>
        </w:tc>
        <w:tc>
          <w:tcPr>
            <w:tcW w:w="2020" w:type="dxa"/>
            <w:tcBorders>
              <w:top w:val="nil"/>
              <w:left w:val="nil"/>
              <w:bottom w:val="nil"/>
              <w:right w:val="nil"/>
            </w:tcBorders>
            <w:noWrap/>
            <w:hideMark/>
          </w:tcPr>
          <w:p w14:paraId="46EA864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71.579</w:t>
            </w:r>
          </w:p>
        </w:tc>
        <w:tc>
          <w:tcPr>
            <w:tcW w:w="960" w:type="dxa"/>
            <w:tcBorders>
              <w:top w:val="nil"/>
              <w:left w:val="nil"/>
              <w:bottom w:val="nil"/>
              <w:right w:val="nil"/>
            </w:tcBorders>
            <w:noWrap/>
            <w:hideMark/>
          </w:tcPr>
          <w:p w14:paraId="2E2F2260"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.000</w:t>
            </w:r>
            <w:r w:rsidRPr="009456F0">
              <w:rPr>
                <w:rFonts w:eastAsia="Times New Roman" w:cs="Times New Roman"/>
                <w:color w:val="000000"/>
                <w:kern w:val="0"/>
                <w:vertAlign w:val="superscript"/>
                <w14:ligatures w14:val="none"/>
              </w:rPr>
              <w:t>b</w:t>
            </w:r>
          </w:p>
        </w:tc>
      </w:tr>
      <w:tr w:rsidR="009456F0" w:rsidRPr="009456F0" w14:paraId="1DFB38F4" w14:textId="77777777" w:rsidTr="009456F0">
        <w:trPr>
          <w:trHeight w:val="300"/>
        </w:trPr>
        <w:tc>
          <w:tcPr>
            <w:tcW w:w="960" w:type="dxa"/>
            <w:tcBorders>
              <w:top w:val="nil"/>
              <w:left w:val="nil"/>
              <w:bottom w:val="nil"/>
              <w:right w:val="nil"/>
            </w:tcBorders>
            <w:hideMark/>
          </w:tcPr>
          <w:p w14:paraId="695BFB51"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Residual</w:t>
            </w:r>
          </w:p>
        </w:tc>
        <w:tc>
          <w:tcPr>
            <w:tcW w:w="960" w:type="dxa"/>
            <w:tcBorders>
              <w:top w:val="nil"/>
              <w:left w:val="nil"/>
              <w:bottom w:val="nil"/>
              <w:right w:val="nil"/>
            </w:tcBorders>
            <w:noWrap/>
            <w:hideMark/>
          </w:tcPr>
          <w:p w14:paraId="08C54DE9"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19.030</w:t>
            </w:r>
          </w:p>
        </w:tc>
        <w:tc>
          <w:tcPr>
            <w:tcW w:w="1620" w:type="dxa"/>
            <w:tcBorders>
              <w:top w:val="nil"/>
              <w:left w:val="nil"/>
              <w:bottom w:val="nil"/>
              <w:right w:val="nil"/>
            </w:tcBorders>
            <w:noWrap/>
            <w:hideMark/>
          </w:tcPr>
          <w:p w14:paraId="144AA450"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74</w:t>
            </w:r>
          </w:p>
        </w:tc>
        <w:tc>
          <w:tcPr>
            <w:tcW w:w="1660" w:type="dxa"/>
            <w:tcBorders>
              <w:top w:val="nil"/>
              <w:left w:val="nil"/>
              <w:bottom w:val="nil"/>
              <w:right w:val="nil"/>
            </w:tcBorders>
            <w:noWrap/>
            <w:hideMark/>
          </w:tcPr>
          <w:p w14:paraId="0E8E3B2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.257</w:t>
            </w:r>
          </w:p>
        </w:tc>
        <w:tc>
          <w:tcPr>
            <w:tcW w:w="2020" w:type="dxa"/>
            <w:tcBorders>
              <w:top w:val="nil"/>
              <w:left w:val="nil"/>
              <w:bottom w:val="nil"/>
              <w:right w:val="nil"/>
            </w:tcBorders>
            <w:hideMark/>
          </w:tcPr>
          <w:p w14:paraId="0180E3F9" w14:textId="77777777" w:rsidR="009456F0" w:rsidRPr="009456F0" w:rsidRDefault="009456F0" w:rsidP="009456F0">
            <w:pPr>
              <w:spacing w:after="0" w:line="240" w:lineRule="auto"/>
              <w:jc w:val="right"/>
              <w:rPr>
                <w:rFonts w:eastAsia="Times New Roman" w:cs="Times New Roman"/>
                <w:color w:val="000000"/>
                <w:kern w:val="0"/>
                <w14:ligatures w14:val="none"/>
              </w:rPr>
            </w:pPr>
          </w:p>
        </w:tc>
        <w:tc>
          <w:tcPr>
            <w:tcW w:w="960" w:type="dxa"/>
            <w:tcBorders>
              <w:top w:val="nil"/>
              <w:left w:val="nil"/>
              <w:bottom w:val="nil"/>
              <w:right w:val="nil"/>
            </w:tcBorders>
            <w:hideMark/>
          </w:tcPr>
          <w:p w14:paraId="48B68AE4" w14:textId="77777777" w:rsidR="009456F0" w:rsidRPr="009456F0" w:rsidRDefault="009456F0" w:rsidP="009456F0">
            <w:pPr>
              <w:spacing w:after="0" w:line="240" w:lineRule="auto"/>
              <w:jc w:val="left"/>
              <w:rPr>
                <w:rFonts w:eastAsia="Times New Roman" w:cs="Times New Roman"/>
                <w:kern w:val="0"/>
                <w14:ligatures w14:val="none"/>
              </w:rPr>
            </w:pPr>
          </w:p>
        </w:tc>
      </w:tr>
      <w:tr w:rsidR="009456F0" w:rsidRPr="009456F0" w14:paraId="2350C74E" w14:textId="77777777" w:rsidTr="009456F0">
        <w:trPr>
          <w:trHeight w:val="300"/>
        </w:trPr>
        <w:tc>
          <w:tcPr>
            <w:tcW w:w="960" w:type="dxa"/>
            <w:tcBorders>
              <w:top w:val="nil"/>
              <w:left w:val="nil"/>
              <w:bottom w:val="single" w:sz="4" w:space="0" w:color="auto"/>
              <w:right w:val="nil"/>
            </w:tcBorders>
            <w:hideMark/>
          </w:tcPr>
          <w:p w14:paraId="49C4ABB4"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Total</w:t>
            </w:r>
          </w:p>
        </w:tc>
        <w:tc>
          <w:tcPr>
            <w:tcW w:w="960" w:type="dxa"/>
            <w:tcBorders>
              <w:top w:val="nil"/>
              <w:left w:val="nil"/>
              <w:bottom w:val="single" w:sz="4" w:space="0" w:color="auto"/>
              <w:right w:val="nil"/>
            </w:tcBorders>
            <w:noWrap/>
            <w:hideMark/>
          </w:tcPr>
          <w:p w14:paraId="18FBE1AC"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37.437</w:t>
            </w:r>
          </w:p>
        </w:tc>
        <w:tc>
          <w:tcPr>
            <w:tcW w:w="1620" w:type="dxa"/>
            <w:tcBorders>
              <w:top w:val="nil"/>
              <w:left w:val="nil"/>
              <w:bottom w:val="single" w:sz="4" w:space="0" w:color="auto"/>
              <w:right w:val="nil"/>
            </w:tcBorders>
            <w:noWrap/>
            <w:hideMark/>
          </w:tcPr>
          <w:p w14:paraId="120D4FB1"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75</w:t>
            </w:r>
          </w:p>
        </w:tc>
        <w:tc>
          <w:tcPr>
            <w:tcW w:w="1660" w:type="dxa"/>
            <w:tcBorders>
              <w:top w:val="nil"/>
              <w:left w:val="nil"/>
              <w:bottom w:val="single" w:sz="4" w:space="0" w:color="auto"/>
              <w:right w:val="nil"/>
            </w:tcBorders>
            <w:hideMark/>
          </w:tcPr>
          <w:p w14:paraId="23B6E25D"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2020" w:type="dxa"/>
            <w:tcBorders>
              <w:top w:val="nil"/>
              <w:left w:val="nil"/>
              <w:bottom w:val="single" w:sz="4" w:space="0" w:color="auto"/>
              <w:right w:val="nil"/>
            </w:tcBorders>
            <w:hideMark/>
          </w:tcPr>
          <w:p w14:paraId="3A16D1F1"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960" w:type="dxa"/>
            <w:tcBorders>
              <w:top w:val="nil"/>
              <w:left w:val="nil"/>
              <w:bottom w:val="single" w:sz="4" w:space="0" w:color="auto"/>
              <w:right w:val="nil"/>
            </w:tcBorders>
            <w:hideMark/>
          </w:tcPr>
          <w:p w14:paraId="1880E152"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r>
      <w:tr w:rsidR="009456F0" w:rsidRPr="009456F0" w14:paraId="6A52F93D" w14:textId="77777777" w:rsidTr="009456F0">
        <w:trPr>
          <w:trHeight w:val="300"/>
        </w:trPr>
        <w:tc>
          <w:tcPr>
            <w:tcW w:w="8180" w:type="dxa"/>
            <w:gridSpan w:val="6"/>
            <w:tcBorders>
              <w:top w:val="single" w:sz="4" w:space="0" w:color="auto"/>
              <w:left w:val="nil"/>
              <w:bottom w:val="nil"/>
              <w:right w:val="nil"/>
            </w:tcBorders>
            <w:hideMark/>
          </w:tcPr>
          <w:p w14:paraId="6CFABDDF"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a. Dependent Variable: Innovative Teaching Strategies</w:t>
            </w:r>
          </w:p>
        </w:tc>
      </w:tr>
      <w:tr w:rsidR="009456F0" w:rsidRPr="009456F0" w14:paraId="3C02FE4A" w14:textId="77777777" w:rsidTr="009456F0">
        <w:trPr>
          <w:trHeight w:val="300"/>
        </w:trPr>
        <w:tc>
          <w:tcPr>
            <w:tcW w:w="8180" w:type="dxa"/>
            <w:gridSpan w:val="6"/>
            <w:tcBorders>
              <w:top w:val="nil"/>
              <w:left w:val="nil"/>
              <w:bottom w:val="nil"/>
              <w:right w:val="nil"/>
            </w:tcBorders>
            <w:hideMark/>
          </w:tcPr>
          <w:p w14:paraId="0C30824A"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b. Predictors: (Constant), professional development</w:t>
            </w:r>
          </w:p>
        </w:tc>
      </w:tr>
    </w:tbl>
    <w:p w14:paraId="690A246C" w14:textId="77777777" w:rsidR="009456F0" w:rsidRPr="009456F0" w:rsidRDefault="009456F0" w:rsidP="009456F0">
      <w:pPr>
        <w:spacing w:after="0" w:line="240" w:lineRule="auto"/>
        <w:rPr>
          <w:rFonts w:cs="Times New Roman"/>
        </w:rPr>
      </w:pPr>
    </w:p>
    <w:p w14:paraId="56382058" w14:textId="3508ABB4" w:rsidR="00E05B93" w:rsidRDefault="00106531" w:rsidP="00E05B93">
      <w:pPr>
        <w:spacing w:after="0" w:line="240" w:lineRule="auto"/>
        <w:rPr>
          <w:rFonts w:cs="Times New Roman"/>
        </w:rPr>
      </w:pPr>
      <w:r w:rsidRPr="009456F0">
        <w:rPr>
          <w:rFonts w:cs="Times New Roman"/>
        </w:rPr>
        <w:t xml:space="preserve"> </w:t>
      </w:r>
      <w:r w:rsidR="00205FFA">
        <w:rPr>
          <w:rFonts w:cs="Times New Roman"/>
        </w:rPr>
        <w:t>The results show that the p-value (0.000) was less than the 0.05 threshold indicate that professional</w:t>
      </w:r>
      <w:r w:rsidR="00205FFA" w:rsidRPr="009456F0">
        <w:rPr>
          <w:rFonts w:cs="Times New Roman"/>
        </w:rPr>
        <w:t xml:space="preserve"> development significantly </w:t>
      </w:r>
      <w:r w:rsidR="00205FFA">
        <w:rPr>
          <w:rFonts w:cs="Times New Roman"/>
        </w:rPr>
        <w:t>is a predictor of</w:t>
      </w:r>
      <w:r w:rsidR="00205FFA" w:rsidRPr="009456F0">
        <w:rPr>
          <w:rFonts w:cs="Times New Roman"/>
        </w:rPr>
        <w:t xml:space="preserve"> innovative teaching strategies.</w:t>
      </w:r>
      <w:r w:rsidR="00205FFA">
        <w:rPr>
          <w:rFonts w:cs="Times New Roman"/>
        </w:rPr>
        <w:t xml:space="preserve">  </w:t>
      </w:r>
      <w:r w:rsidR="005D1174" w:rsidRPr="009456F0">
        <w:rPr>
          <w:rFonts w:cs="Times New Roman"/>
        </w:rPr>
        <w:t xml:space="preserve">This is evidenced by a large F-statistic of </w:t>
      </w:r>
      <w:r w:rsidR="00205FFA">
        <w:rPr>
          <w:rFonts w:cs="Times New Roman"/>
        </w:rPr>
        <w:t>71.579</w:t>
      </w:r>
      <w:r w:rsidR="005D1174" w:rsidRPr="009456F0">
        <w:rPr>
          <w:rFonts w:cs="Times New Roman"/>
        </w:rPr>
        <w:t xml:space="preserve"> </w:t>
      </w:r>
      <w:r w:rsidR="00205FFA">
        <w:rPr>
          <w:rFonts w:cs="Times New Roman"/>
        </w:rPr>
        <w:t>which was greater than the F-critical of 3.96 (</w:t>
      </w:r>
      <w:r w:rsidR="00205FFA" w:rsidRPr="00205FFA">
        <w:rPr>
          <w:rFonts w:cs="Times New Roman"/>
        </w:rPr>
        <w:t>F</w:t>
      </w:r>
      <w:r w:rsidR="00205FFA" w:rsidRPr="00CA61FA">
        <w:rPr>
          <w:rFonts w:cs="Times New Roman"/>
          <w:vertAlign w:val="subscript"/>
        </w:rPr>
        <w:t>0.05,1,74</w:t>
      </w:r>
      <w:r w:rsidR="00205FFA" w:rsidRPr="00205FFA">
        <w:rPr>
          <w:rFonts w:cs="Times New Roman"/>
        </w:rPr>
        <w:t>​≈3.96</w:t>
      </w:r>
      <w:r w:rsidR="00205FFA">
        <w:rPr>
          <w:rFonts w:cs="Times New Roman"/>
        </w:rPr>
        <w:t>)</w:t>
      </w:r>
      <w:r w:rsidR="005D1174" w:rsidRPr="009456F0">
        <w:rPr>
          <w:rFonts w:cs="Times New Roman"/>
        </w:rPr>
        <w:t>.</w:t>
      </w:r>
      <w:r w:rsidR="00E05B93">
        <w:rPr>
          <w:rFonts w:cs="Times New Roman"/>
        </w:rPr>
        <w:t xml:space="preserve"> </w:t>
      </w:r>
      <w:r w:rsidR="00E05B93" w:rsidRPr="009456F0">
        <w:rPr>
          <w:rFonts w:cs="Times New Roman"/>
        </w:rPr>
        <w:t xml:space="preserve">Based on these compelling results, the </w:t>
      </w:r>
      <w:r w:rsidR="00E05B93">
        <w:rPr>
          <w:rFonts w:cs="Times New Roman"/>
        </w:rPr>
        <w:t xml:space="preserve">study rejected the </w:t>
      </w:r>
      <w:r w:rsidR="00E05B93" w:rsidRPr="009456F0">
        <w:rPr>
          <w:rFonts w:cs="Times New Roman"/>
        </w:rPr>
        <w:t xml:space="preserve">null hypothesis, </w:t>
      </w:r>
    </w:p>
    <w:p w14:paraId="58776CC6" w14:textId="77777777" w:rsidR="00E05B93" w:rsidRPr="00E05B93" w:rsidRDefault="00E05B93" w:rsidP="00E05B93">
      <w:pPr>
        <w:spacing w:after="0" w:line="240" w:lineRule="auto"/>
        <w:ind w:left="567" w:right="571"/>
        <w:rPr>
          <w:rFonts w:cs="Times New Roman"/>
          <w:i/>
          <w:iCs/>
        </w:rPr>
      </w:pPr>
      <w:r w:rsidRPr="00E05B93">
        <w:rPr>
          <w:rFonts w:cs="Times New Roman"/>
          <w:i/>
          <w:iCs/>
        </w:rPr>
        <w:t>H</w:t>
      </w:r>
      <w:r w:rsidRPr="00E05B93">
        <w:rPr>
          <w:rFonts w:cs="Times New Roman"/>
          <w:i/>
          <w:iCs/>
          <w:vertAlign w:val="subscript"/>
        </w:rPr>
        <w:t>0</w:t>
      </w:r>
      <w:r w:rsidRPr="00E05B93">
        <w:rPr>
          <w:rFonts w:cs="Times New Roman"/>
          <w:i/>
          <w:iCs/>
        </w:rPr>
        <w:t xml:space="preserve">: There is no significant effect of teacher professional development on innovative teaching in primary schools in </w:t>
      </w:r>
      <w:proofErr w:type="spellStart"/>
      <w:r w:rsidRPr="00E05B93">
        <w:rPr>
          <w:rFonts w:cs="Times New Roman"/>
          <w:i/>
          <w:iCs/>
        </w:rPr>
        <w:t>Sankuri</w:t>
      </w:r>
      <w:proofErr w:type="spellEnd"/>
      <w:r w:rsidRPr="00E05B93">
        <w:rPr>
          <w:rFonts w:cs="Times New Roman"/>
          <w:i/>
          <w:iCs/>
        </w:rPr>
        <w:t xml:space="preserve"> Sub-County, Garissa County, Kenya</w:t>
      </w:r>
    </w:p>
    <w:p w14:paraId="3FF6FBEE" w14:textId="77777777" w:rsidR="00E05B93" w:rsidRDefault="00E05B93" w:rsidP="00E05B93">
      <w:pPr>
        <w:spacing w:after="0" w:line="240" w:lineRule="auto"/>
        <w:rPr>
          <w:rFonts w:cs="Times New Roman"/>
        </w:rPr>
      </w:pPr>
    </w:p>
    <w:p w14:paraId="7160C2F3" w14:textId="5A6E6796" w:rsidR="00E05B93" w:rsidRPr="009456F0" w:rsidRDefault="00E05B93" w:rsidP="00E05B93">
      <w:pPr>
        <w:spacing w:after="0" w:line="240" w:lineRule="auto"/>
        <w:rPr>
          <w:rFonts w:cs="Times New Roman"/>
        </w:rPr>
      </w:pPr>
      <w:r>
        <w:rPr>
          <w:rFonts w:cs="Times New Roman"/>
        </w:rPr>
        <w:lastRenderedPageBreak/>
        <w:t xml:space="preserve">This implies that </w:t>
      </w:r>
      <w:r w:rsidRPr="009456F0">
        <w:rPr>
          <w:rFonts w:cs="Times New Roman"/>
        </w:rPr>
        <w:t xml:space="preserve">teacher professional development </w:t>
      </w:r>
      <w:r>
        <w:rPr>
          <w:rFonts w:cs="Times New Roman"/>
        </w:rPr>
        <w:t xml:space="preserve">has a </w:t>
      </w:r>
      <w:r w:rsidRPr="009456F0">
        <w:rPr>
          <w:rFonts w:cs="Times New Roman"/>
        </w:rPr>
        <w:t xml:space="preserve">significant and positive </w:t>
      </w:r>
      <w:r>
        <w:rPr>
          <w:rFonts w:cs="Times New Roman"/>
        </w:rPr>
        <w:t xml:space="preserve">effects on </w:t>
      </w:r>
      <w:r w:rsidRPr="009456F0">
        <w:rPr>
          <w:rFonts w:cs="Times New Roman"/>
        </w:rPr>
        <w:t xml:space="preserve">innovative teaching in primary schools in </w:t>
      </w:r>
      <w:proofErr w:type="spellStart"/>
      <w:r w:rsidRPr="009456F0">
        <w:rPr>
          <w:rFonts w:cs="Times New Roman"/>
        </w:rPr>
        <w:t>Sankuri</w:t>
      </w:r>
      <w:proofErr w:type="spellEnd"/>
      <w:r w:rsidRPr="009456F0">
        <w:rPr>
          <w:rFonts w:cs="Times New Roman"/>
        </w:rPr>
        <w:t xml:space="preserve"> Sub-County, Garissa County, Kenya. This finding is central to understanding how to enhance teaching quality and ultimately learner outcomes in the region.</w:t>
      </w:r>
    </w:p>
    <w:p w14:paraId="4B075EA5" w14:textId="2823DC3D" w:rsidR="005D1174" w:rsidRPr="009456F0" w:rsidRDefault="005D1174" w:rsidP="009456F0">
      <w:pPr>
        <w:spacing w:after="0" w:line="240" w:lineRule="auto"/>
        <w:rPr>
          <w:rFonts w:cs="Times New Roman"/>
        </w:rPr>
      </w:pPr>
    </w:p>
    <w:p w14:paraId="7155C146" w14:textId="610C74D8" w:rsidR="00B921A1" w:rsidRPr="009456F0" w:rsidRDefault="009456F0" w:rsidP="009456F0">
      <w:pPr>
        <w:spacing w:after="0" w:line="240" w:lineRule="auto"/>
        <w:rPr>
          <w:rFonts w:cs="Times New Roman"/>
        </w:rPr>
      </w:pPr>
      <w:r w:rsidRPr="009456F0">
        <w:rPr>
          <w:rFonts w:cs="Times New Roman"/>
        </w:rPr>
        <w:t>Th</w:t>
      </w:r>
      <w:r w:rsidR="00E05B93">
        <w:rPr>
          <w:rFonts w:cs="Times New Roman"/>
        </w:rPr>
        <w:t>e</w:t>
      </w:r>
      <w:r w:rsidRPr="009456F0">
        <w:rPr>
          <w:rFonts w:cs="Times New Roman"/>
        </w:rPr>
        <w:t xml:space="preserve"> regression coefficients were shown in in Table 5</w:t>
      </w:r>
    </w:p>
    <w:p w14:paraId="26DD130E" w14:textId="77777777" w:rsidR="009456F0" w:rsidRPr="009456F0" w:rsidRDefault="009456F0" w:rsidP="009456F0">
      <w:pPr>
        <w:pStyle w:val="Caption"/>
        <w:spacing w:after="0"/>
        <w:rPr>
          <w:rFonts w:cs="Times New Roman"/>
          <w:b/>
          <w:bCs/>
          <w:i w:val="0"/>
          <w:iCs w:val="0"/>
          <w:color w:val="000000"/>
          <w:sz w:val="24"/>
          <w:szCs w:val="24"/>
        </w:rPr>
      </w:pPr>
      <w:r w:rsidRPr="009456F0">
        <w:rPr>
          <w:rFonts w:cs="Times New Roman"/>
          <w:i w:val="0"/>
          <w:iCs w:val="0"/>
          <w:color w:val="auto"/>
          <w:sz w:val="24"/>
          <w:szCs w:val="24"/>
        </w:rPr>
        <w:t xml:space="preserve">Table </w:t>
      </w:r>
      <w:r w:rsidRPr="009456F0">
        <w:rPr>
          <w:rFonts w:cs="Times New Roman"/>
          <w:i w:val="0"/>
          <w:iCs w:val="0"/>
          <w:color w:val="auto"/>
          <w:sz w:val="24"/>
          <w:szCs w:val="24"/>
        </w:rPr>
        <w:fldChar w:fldCharType="begin"/>
      </w:r>
      <w:r w:rsidRPr="009456F0">
        <w:rPr>
          <w:rFonts w:cs="Times New Roman"/>
          <w:i w:val="0"/>
          <w:iCs w:val="0"/>
          <w:color w:val="auto"/>
          <w:sz w:val="24"/>
          <w:szCs w:val="24"/>
        </w:rPr>
        <w:instrText xml:space="preserve"> SEQ Table \* ARABIC </w:instrText>
      </w:r>
      <w:r w:rsidRPr="009456F0">
        <w:rPr>
          <w:rFonts w:cs="Times New Roman"/>
          <w:i w:val="0"/>
          <w:iCs w:val="0"/>
          <w:color w:val="auto"/>
          <w:sz w:val="24"/>
          <w:szCs w:val="24"/>
        </w:rPr>
        <w:fldChar w:fldCharType="separate"/>
      </w:r>
      <w:r w:rsidRPr="009456F0">
        <w:rPr>
          <w:rFonts w:cs="Times New Roman"/>
          <w:i w:val="0"/>
          <w:iCs w:val="0"/>
          <w:noProof/>
          <w:color w:val="auto"/>
          <w:sz w:val="24"/>
          <w:szCs w:val="24"/>
        </w:rPr>
        <w:t>5</w:t>
      </w:r>
      <w:r w:rsidRPr="009456F0">
        <w:rPr>
          <w:rFonts w:cs="Times New Roman"/>
          <w:i w:val="0"/>
          <w:iCs w:val="0"/>
          <w:color w:val="auto"/>
          <w:sz w:val="24"/>
          <w:szCs w:val="24"/>
        </w:rPr>
        <w:fldChar w:fldCharType="end"/>
      </w:r>
      <w:r w:rsidR="00967BE0" w:rsidRPr="009456F0">
        <w:rPr>
          <w:rFonts w:cs="Times New Roman"/>
          <w:b/>
          <w:bCs/>
          <w:i w:val="0"/>
          <w:iCs w:val="0"/>
          <w:color w:val="auto"/>
          <w:sz w:val="24"/>
          <w:szCs w:val="24"/>
        </w:rPr>
        <w:t>:</w:t>
      </w:r>
      <w:r w:rsidR="00967BE0" w:rsidRPr="009456F0">
        <w:rPr>
          <w:rFonts w:cs="Times New Roman"/>
          <w:i w:val="0"/>
          <w:iCs w:val="0"/>
          <w:color w:val="auto"/>
          <w:sz w:val="24"/>
          <w:szCs w:val="24"/>
        </w:rPr>
        <w:t xml:space="preserve"> Regression </w:t>
      </w:r>
      <w:r w:rsidRPr="009456F0">
        <w:rPr>
          <w:rFonts w:cs="Times New Roman"/>
          <w:i w:val="0"/>
          <w:iCs w:val="0"/>
          <w:color w:val="auto"/>
          <w:sz w:val="24"/>
          <w:szCs w:val="24"/>
        </w:rPr>
        <w:t>coefficients</w:t>
      </w:r>
    </w:p>
    <w:tbl>
      <w:tblPr>
        <w:tblW w:w="9778" w:type="dxa"/>
        <w:tblLook w:val="04A0" w:firstRow="1" w:lastRow="0" w:firstColumn="1" w:lastColumn="0" w:noHBand="0" w:noVBand="1"/>
      </w:tblPr>
      <w:tblGrid>
        <w:gridCol w:w="2552"/>
        <w:gridCol w:w="960"/>
        <w:gridCol w:w="1620"/>
        <w:gridCol w:w="1660"/>
        <w:gridCol w:w="2020"/>
        <w:gridCol w:w="960"/>
        <w:gridCol w:w="6"/>
      </w:tblGrid>
      <w:tr w:rsidR="009456F0" w:rsidRPr="009456F0" w14:paraId="1042084B" w14:textId="77777777" w:rsidTr="009456F0">
        <w:trPr>
          <w:trHeight w:val="300"/>
        </w:trPr>
        <w:tc>
          <w:tcPr>
            <w:tcW w:w="9778" w:type="dxa"/>
            <w:gridSpan w:val="7"/>
            <w:tcBorders>
              <w:top w:val="nil"/>
              <w:left w:val="nil"/>
              <w:bottom w:val="single" w:sz="4" w:space="0" w:color="auto"/>
              <w:right w:val="nil"/>
            </w:tcBorders>
            <w:vAlign w:val="center"/>
            <w:hideMark/>
          </w:tcPr>
          <w:p w14:paraId="540CF5E4" w14:textId="77777777" w:rsidR="009456F0" w:rsidRPr="009456F0" w:rsidRDefault="009456F0" w:rsidP="009456F0">
            <w:pPr>
              <w:spacing w:after="0" w:line="240" w:lineRule="auto"/>
              <w:jc w:val="center"/>
              <w:rPr>
                <w:rFonts w:eastAsia="Times New Roman" w:cs="Times New Roman"/>
                <w:b/>
                <w:bCs/>
                <w:color w:val="000000"/>
                <w:kern w:val="0"/>
                <w14:ligatures w14:val="none"/>
              </w:rPr>
            </w:pPr>
            <w:r w:rsidRPr="009456F0">
              <w:rPr>
                <w:rFonts w:eastAsia="Times New Roman" w:cs="Times New Roman"/>
                <w:b/>
                <w:bCs/>
                <w:color w:val="000000"/>
                <w:kern w:val="0"/>
                <w14:ligatures w14:val="none"/>
              </w:rPr>
              <w:t>Coefficients</w:t>
            </w:r>
            <w:r w:rsidRPr="009456F0">
              <w:rPr>
                <w:rFonts w:eastAsia="Times New Roman" w:cs="Times New Roman"/>
                <w:b/>
                <w:bCs/>
                <w:color w:val="000000"/>
                <w:kern w:val="0"/>
                <w:vertAlign w:val="superscript"/>
                <w14:ligatures w14:val="none"/>
              </w:rPr>
              <w:t>a</w:t>
            </w:r>
          </w:p>
        </w:tc>
      </w:tr>
      <w:tr w:rsidR="009456F0" w:rsidRPr="009456F0" w14:paraId="5ED43564" w14:textId="77777777" w:rsidTr="009456F0">
        <w:trPr>
          <w:gridAfter w:val="1"/>
          <w:wAfter w:w="6" w:type="dxa"/>
          <w:trHeight w:val="390"/>
        </w:trPr>
        <w:tc>
          <w:tcPr>
            <w:tcW w:w="2552" w:type="dxa"/>
            <w:tcBorders>
              <w:top w:val="nil"/>
              <w:left w:val="nil"/>
              <w:bottom w:val="nil"/>
              <w:right w:val="nil"/>
            </w:tcBorders>
            <w:vAlign w:val="bottom"/>
            <w:hideMark/>
          </w:tcPr>
          <w:p w14:paraId="5044DE44"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2580" w:type="dxa"/>
            <w:gridSpan w:val="2"/>
            <w:tcBorders>
              <w:top w:val="single" w:sz="4" w:space="0" w:color="auto"/>
              <w:left w:val="nil"/>
              <w:bottom w:val="nil"/>
              <w:right w:val="nil"/>
            </w:tcBorders>
            <w:vAlign w:val="bottom"/>
            <w:hideMark/>
          </w:tcPr>
          <w:p w14:paraId="7D0FB94E"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Unstandardized Coefficients</w:t>
            </w:r>
          </w:p>
        </w:tc>
        <w:tc>
          <w:tcPr>
            <w:tcW w:w="1660" w:type="dxa"/>
            <w:tcBorders>
              <w:top w:val="nil"/>
              <w:left w:val="nil"/>
              <w:bottom w:val="nil"/>
              <w:right w:val="nil"/>
            </w:tcBorders>
            <w:vAlign w:val="bottom"/>
            <w:hideMark/>
          </w:tcPr>
          <w:p w14:paraId="5F44E709"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Standardized Coefficients</w:t>
            </w:r>
          </w:p>
        </w:tc>
        <w:tc>
          <w:tcPr>
            <w:tcW w:w="2020" w:type="dxa"/>
            <w:vMerge w:val="restart"/>
            <w:tcBorders>
              <w:top w:val="nil"/>
              <w:left w:val="nil"/>
              <w:bottom w:val="single" w:sz="4" w:space="0" w:color="000000"/>
              <w:right w:val="nil"/>
            </w:tcBorders>
            <w:vAlign w:val="bottom"/>
            <w:hideMark/>
          </w:tcPr>
          <w:p w14:paraId="71602E4A"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t</w:t>
            </w:r>
          </w:p>
        </w:tc>
        <w:tc>
          <w:tcPr>
            <w:tcW w:w="960" w:type="dxa"/>
            <w:vMerge w:val="restart"/>
            <w:tcBorders>
              <w:top w:val="nil"/>
              <w:left w:val="nil"/>
              <w:bottom w:val="single" w:sz="4" w:space="0" w:color="000000"/>
              <w:right w:val="nil"/>
            </w:tcBorders>
            <w:vAlign w:val="bottom"/>
            <w:hideMark/>
          </w:tcPr>
          <w:p w14:paraId="11DCCDEA"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Sig.</w:t>
            </w:r>
          </w:p>
        </w:tc>
      </w:tr>
      <w:tr w:rsidR="009456F0" w:rsidRPr="009456F0" w14:paraId="0FB588E3" w14:textId="77777777" w:rsidTr="009456F0">
        <w:trPr>
          <w:gridAfter w:val="1"/>
          <w:wAfter w:w="6" w:type="dxa"/>
          <w:trHeight w:val="300"/>
        </w:trPr>
        <w:tc>
          <w:tcPr>
            <w:tcW w:w="2552" w:type="dxa"/>
            <w:tcBorders>
              <w:top w:val="nil"/>
              <w:left w:val="nil"/>
              <w:bottom w:val="single" w:sz="4" w:space="0" w:color="auto"/>
              <w:right w:val="nil"/>
            </w:tcBorders>
            <w:vAlign w:val="bottom"/>
            <w:hideMark/>
          </w:tcPr>
          <w:p w14:paraId="0E111DB0"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960" w:type="dxa"/>
            <w:tcBorders>
              <w:top w:val="nil"/>
              <w:left w:val="nil"/>
              <w:bottom w:val="single" w:sz="4" w:space="0" w:color="auto"/>
              <w:right w:val="nil"/>
            </w:tcBorders>
            <w:vAlign w:val="bottom"/>
            <w:hideMark/>
          </w:tcPr>
          <w:p w14:paraId="41ACB30B"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B</w:t>
            </w:r>
          </w:p>
        </w:tc>
        <w:tc>
          <w:tcPr>
            <w:tcW w:w="1620" w:type="dxa"/>
            <w:tcBorders>
              <w:top w:val="nil"/>
              <w:left w:val="nil"/>
              <w:bottom w:val="single" w:sz="4" w:space="0" w:color="auto"/>
              <w:right w:val="nil"/>
            </w:tcBorders>
            <w:vAlign w:val="bottom"/>
            <w:hideMark/>
          </w:tcPr>
          <w:p w14:paraId="195D7920"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Std. Error</w:t>
            </w:r>
          </w:p>
        </w:tc>
        <w:tc>
          <w:tcPr>
            <w:tcW w:w="1660" w:type="dxa"/>
            <w:tcBorders>
              <w:top w:val="nil"/>
              <w:left w:val="nil"/>
              <w:bottom w:val="single" w:sz="4" w:space="0" w:color="auto"/>
              <w:right w:val="nil"/>
            </w:tcBorders>
            <w:vAlign w:val="bottom"/>
            <w:hideMark/>
          </w:tcPr>
          <w:p w14:paraId="31FC8915" w14:textId="77777777" w:rsidR="009456F0" w:rsidRPr="009456F0" w:rsidRDefault="009456F0" w:rsidP="009456F0">
            <w:pPr>
              <w:spacing w:after="0" w:line="240" w:lineRule="auto"/>
              <w:jc w:val="center"/>
              <w:rPr>
                <w:rFonts w:eastAsia="Times New Roman" w:cs="Times New Roman"/>
                <w:color w:val="000000"/>
                <w:kern w:val="0"/>
                <w14:ligatures w14:val="none"/>
              </w:rPr>
            </w:pPr>
            <w:r w:rsidRPr="009456F0">
              <w:rPr>
                <w:rFonts w:eastAsia="Times New Roman" w:cs="Times New Roman"/>
                <w:color w:val="000000"/>
                <w:kern w:val="0"/>
                <w14:ligatures w14:val="none"/>
              </w:rPr>
              <w:t>Beta</w:t>
            </w:r>
          </w:p>
        </w:tc>
        <w:tc>
          <w:tcPr>
            <w:tcW w:w="2020" w:type="dxa"/>
            <w:vMerge/>
            <w:tcBorders>
              <w:top w:val="nil"/>
              <w:left w:val="nil"/>
              <w:bottom w:val="single" w:sz="4" w:space="0" w:color="000000"/>
              <w:right w:val="nil"/>
            </w:tcBorders>
            <w:vAlign w:val="center"/>
            <w:hideMark/>
          </w:tcPr>
          <w:p w14:paraId="4023B6E8" w14:textId="77777777" w:rsidR="009456F0" w:rsidRPr="009456F0" w:rsidRDefault="009456F0" w:rsidP="009456F0">
            <w:pPr>
              <w:spacing w:after="0" w:line="240" w:lineRule="auto"/>
              <w:jc w:val="left"/>
              <w:rPr>
                <w:rFonts w:eastAsia="Times New Roman" w:cs="Times New Roman"/>
                <w:color w:val="000000"/>
                <w:kern w:val="0"/>
                <w14:ligatures w14:val="none"/>
              </w:rPr>
            </w:pPr>
          </w:p>
        </w:tc>
        <w:tc>
          <w:tcPr>
            <w:tcW w:w="960" w:type="dxa"/>
            <w:vMerge/>
            <w:tcBorders>
              <w:top w:val="nil"/>
              <w:left w:val="nil"/>
              <w:bottom w:val="single" w:sz="4" w:space="0" w:color="000000"/>
              <w:right w:val="nil"/>
            </w:tcBorders>
            <w:vAlign w:val="center"/>
            <w:hideMark/>
          </w:tcPr>
          <w:p w14:paraId="352CB8AD" w14:textId="77777777" w:rsidR="009456F0" w:rsidRPr="009456F0" w:rsidRDefault="009456F0" w:rsidP="009456F0">
            <w:pPr>
              <w:spacing w:after="0" w:line="240" w:lineRule="auto"/>
              <w:jc w:val="left"/>
              <w:rPr>
                <w:rFonts w:eastAsia="Times New Roman" w:cs="Times New Roman"/>
                <w:color w:val="000000"/>
                <w:kern w:val="0"/>
                <w14:ligatures w14:val="none"/>
              </w:rPr>
            </w:pPr>
          </w:p>
        </w:tc>
      </w:tr>
      <w:tr w:rsidR="009456F0" w:rsidRPr="009456F0" w14:paraId="64FCF138" w14:textId="77777777" w:rsidTr="009456F0">
        <w:trPr>
          <w:gridAfter w:val="1"/>
          <w:wAfter w:w="6" w:type="dxa"/>
          <w:trHeight w:val="300"/>
        </w:trPr>
        <w:tc>
          <w:tcPr>
            <w:tcW w:w="2552" w:type="dxa"/>
            <w:tcBorders>
              <w:top w:val="nil"/>
              <w:left w:val="nil"/>
              <w:bottom w:val="nil"/>
              <w:right w:val="nil"/>
            </w:tcBorders>
            <w:hideMark/>
          </w:tcPr>
          <w:p w14:paraId="42511D3E"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(Constant)</w:t>
            </w:r>
          </w:p>
        </w:tc>
        <w:tc>
          <w:tcPr>
            <w:tcW w:w="960" w:type="dxa"/>
            <w:tcBorders>
              <w:top w:val="nil"/>
              <w:left w:val="nil"/>
              <w:bottom w:val="nil"/>
              <w:right w:val="nil"/>
            </w:tcBorders>
            <w:noWrap/>
            <w:hideMark/>
          </w:tcPr>
          <w:p w14:paraId="3CDBB6E1"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-.098</w:t>
            </w:r>
          </w:p>
        </w:tc>
        <w:tc>
          <w:tcPr>
            <w:tcW w:w="1620" w:type="dxa"/>
            <w:tcBorders>
              <w:top w:val="nil"/>
              <w:left w:val="nil"/>
              <w:bottom w:val="nil"/>
              <w:right w:val="nil"/>
            </w:tcBorders>
            <w:noWrap/>
            <w:hideMark/>
          </w:tcPr>
          <w:p w14:paraId="5403AA08"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.298</w:t>
            </w:r>
          </w:p>
        </w:tc>
        <w:tc>
          <w:tcPr>
            <w:tcW w:w="1660" w:type="dxa"/>
            <w:tcBorders>
              <w:top w:val="nil"/>
              <w:left w:val="nil"/>
              <w:bottom w:val="nil"/>
              <w:right w:val="nil"/>
            </w:tcBorders>
            <w:hideMark/>
          </w:tcPr>
          <w:p w14:paraId="2B9EDC02"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 </w:t>
            </w:r>
          </w:p>
        </w:tc>
        <w:tc>
          <w:tcPr>
            <w:tcW w:w="2020" w:type="dxa"/>
            <w:tcBorders>
              <w:top w:val="nil"/>
              <w:left w:val="nil"/>
              <w:bottom w:val="nil"/>
              <w:right w:val="nil"/>
            </w:tcBorders>
            <w:noWrap/>
            <w:hideMark/>
          </w:tcPr>
          <w:p w14:paraId="086B102C"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-.328</w:t>
            </w:r>
          </w:p>
        </w:tc>
        <w:tc>
          <w:tcPr>
            <w:tcW w:w="960" w:type="dxa"/>
            <w:tcBorders>
              <w:top w:val="nil"/>
              <w:left w:val="nil"/>
              <w:bottom w:val="nil"/>
              <w:right w:val="nil"/>
            </w:tcBorders>
            <w:noWrap/>
            <w:hideMark/>
          </w:tcPr>
          <w:p w14:paraId="0E581A7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.744</w:t>
            </w:r>
          </w:p>
        </w:tc>
      </w:tr>
      <w:tr w:rsidR="009456F0" w:rsidRPr="009456F0" w14:paraId="6A868EAB" w14:textId="77777777" w:rsidTr="009456F0">
        <w:trPr>
          <w:gridAfter w:val="1"/>
          <w:wAfter w:w="6" w:type="dxa"/>
          <w:trHeight w:val="339"/>
        </w:trPr>
        <w:tc>
          <w:tcPr>
            <w:tcW w:w="2552" w:type="dxa"/>
            <w:tcBorders>
              <w:top w:val="nil"/>
              <w:left w:val="nil"/>
              <w:bottom w:val="single" w:sz="4" w:space="0" w:color="auto"/>
              <w:right w:val="nil"/>
            </w:tcBorders>
            <w:hideMark/>
          </w:tcPr>
          <w:p w14:paraId="56BED9F1"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professional development</w:t>
            </w:r>
          </w:p>
        </w:tc>
        <w:tc>
          <w:tcPr>
            <w:tcW w:w="960" w:type="dxa"/>
            <w:tcBorders>
              <w:top w:val="nil"/>
              <w:left w:val="nil"/>
              <w:bottom w:val="single" w:sz="4" w:space="0" w:color="auto"/>
              <w:right w:val="nil"/>
            </w:tcBorders>
            <w:noWrap/>
            <w:hideMark/>
          </w:tcPr>
          <w:p w14:paraId="72BBE244"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.691</w:t>
            </w:r>
          </w:p>
        </w:tc>
        <w:tc>
          <w:tcPr>
            <w:tcW w:w="1620" w:type="dxa"/>
            <w:tcBorders>
              <w:top w:val="nil"/>
              <w:left w:val="nil"/>
              <w:bottom w:val="single" w:sz="4" w:space="0" w:color="auto"/>
              <w:right w:val="nil"/>
            </w:tcBorders>
            <w:noWrap/>
            <w:hideMark/>
          </w:tcPr>
          <w:p w14:paraId="2CE4443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.082</w:t>
            </w:r>
          </w:p>
        </w:tc>
        <w:tc>
          <w:tcPr>
            <w:tcW w:w="1660" w:type="dxa"/>
            <w:tcBorders>
              <w:top w:val="nil"/>
              <w:left w:val="nil"/>
              <w:bottom w:val="single" w:sz="4" w:space="0" w:color="auto"/>
              <w:right w:val="nil"/>
            </w:tcBorders>
            <w:noWrap/>
            <w:hideMark/>
          </w:tcPr>
          <w:p w14:paraId="4C1AA39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.701</w:t>
            </w:r>
          </w:p>
        </w:tc>
        <w:tc>
          <w:tcPr>
            <w:tcW w:w="2020" w:type="dxa"/>
            <w:tcBorders>
              <w:top w:val="nil"/>
              <w:left w:val="nil"/>
              <w:bottom w:val="single" w:sz="4" w:space="0" w:color="auto"/>
              <w:right w:val="nil"/>
            </w:tcBorders>
            <w:noWrap/>
            <w:hideMark/>
          </w:tcPr>
          <w:p w14:paraId="35039481"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8.460</w:t>
            </w:r>
          </w:p>
        </w:tc>
        <w:tc>
          <w:tcPr>
            <w:tcW w:w="960" w:type="dxa"/>
            <w:tcBorders>
              <w:top w:val="nil"/>
              <w:left w:val="nil"/>
              <w:bottom w:val="single" w:sz="4" w:space="0" w:color="auto"/>
              <w:right w:val="nil"/>
            </w:tcBorders>
            <w:noWrap/>
            <w:hideMark/>
          </w:tcPr>
          <w:p w14:paraId="6564E3DD" w14:textId="77777777" w:rsidR="009456F0" w:rsidRPr="009456F0" w:rsidRDefault="009456F0" w:rsidP="009456F0">
            <w:pPr>
              <w:spacing w:after="0" w:line="240" w:lineRule="auto"/>
              <w:jc w:val="right"/>
              <w:rPr>
                <w:rFonts w:eastAsia="Times New Roman" w:cs="Times New Roman"/>
                <w:color w:val="000000"/>
                <w:kern w:val="0"/>
                <w14:ligatures w14:val="none"/>
              </w:rPr>
            </w:pPr>
            <w:r w:rsidRPr="009456F0">
              <w:rPr>
                <w:rFonts w:eastAsia="Times New Roman" w:cs="Times New Roman"/>
                <w:color w:val="000000"/>
                <w:kern w:val="0"/>
                <w14:ligatures w14:val="none"/>
              </w:rPr>
              <w:t>.000</w:t>
            </w:r>
          </w:p>
        </w:tc>
      </w:tr>
      <w:tr w:rsidR="009456F0" w:rsidRPr="009456F0" w14:paraId="1C1890F8" w14:textId="77777777" w:rsidTr="009456F0">
        <w:trPr>
          <w:trHeight w:val="300"/>
        </w:trPr>
        <w:tc>
          <w:tcPr>
            <w:tcW w:w="9778" w:type="dxa"/>
            <w:gridSpan w:val="7"/>
            <w:tcBorders>
              <w:top w:val="single" w:sz="4" w:space="0" w:color="auto"/>
              <w:left w:val="nil"/>
              <w:bottom w:val="nil"/>
              <w:right w:val="nil"/>
            </w:tcBorders>
            <w:hideMark/>
          </w:tcPr>
          <w:p w14:paraId="471C19DA" w14:textId="77777777" w:rsidR="009456F0" w:rsidRPr="009456F0" w:rsidRDefault="009456F0" w:rsidP="009456F0">
            <w:pPr>
              <w:spacing w:after="0" w:line="240" w:lineRule="auto"/>
              <w:jc w:val="left"/>
              <w:rPr>
                <w:rFonts w:eastAsia="Times New Roman" w:cs="Times New Roman"/>
                <w:color w:val="000000"/>
                <w:kern w:val="0"/>
                <w14:ligatures w14:val="none"/>
              </w:rPr>
            </w:pPr>
            <w:r w:rsidRPr="009456F0">
              <w:rPr>
                <w:rFonts w:eastAsia="Times New Roman" w:cs="Times New Roman"/>
                <w:color w:val="000000"/>
                <w:kern w:val="0"/>
                <w14:ligatures w14:val="none"/>
              </w:rPr>
              <w:t>a. Dependent Variable: Innovative Teaching Strategies</w:t>
            </w:r>
          </w:p>
        </w:tc>
      </w:tr>
    </w:tbl>
    <w:p w14:paraId="532D6C42" w14:textId="40736B02" w:rsidR="009456F0" w:rsidRPr="009456F0" w:rsidRDefault="00106531" w:rsidP="009456F0">
      <w:pPr>
        <w:pStyle w:val="Caption"/>
        <w:spacing w:after="0"/>
        <w:rPr>
          <w:rFonts w:cs="Times New Roman"/>
          <w:sz w:val="24"/>
          <w:szCs w:val="24"/>
        </w:rPr>
      </w:pPr>
      <w:r w:rsidRPr="009456F0">
        <w:rPr>
          <w:rFonts w:cs="Times New Roman"/>
          <w:sz w:val="24"/>
          <w:szCs w:val="24"/>
        </w:rPr>
        <w:t xml:space="preserve"> </w:t>
      </w:r>
    </w:p>
    <w:p w14:paraId="3171075C" w14:textId="432D4136" w:rsidR="00CA61FA" w:rsidRDefault="00B15AE9" w:rsidP="009456F0">
      <w:pPr>
        <w:spacing w:after="0" w:line="240" w:lineRule="auto"/>
        <w:rPr>
          <w:rFonts w:cs="Times New Roman"/>
        </w:rPr>
      </w:pPr>
      <w:r w:rsidRPr="009456F0">
        <w:rPr>
          <w:rFonts w:cs="Times New Roman"/>
        </w:rPr>
        <w:t xml:space="preserve">The regression analysis revealed that the constant (intercept) was </w:t>
      </w:r>
      <w:r w:rsidRPr="009456F0">
        <w:rPr>
          <w:rStyle w:val="Emphasis"/>
          <w:rFonts w:cs="Times New Roman"/>
        </w:rPr>
        <w:t>β</w:t>
      </w:r>
      <w:r w:rsidRPr="009456F0">
        <w:rPr>
          <w:rFonts w:cs="Times New Roman"/>
        </w:rPr>
        <w:t xml:space="preserve">₀ = </w:t>
      </w:r>
      <w:r w:rsidR="00CA61FA">
        <w:rPr>
          <w:rFonts w:cs="Times New Roman"/>
        </w:rPr>
        <w:t>-0.098</w:t>
      </w:r>
      <w:r w:rsidRPr="009456F0">
        <w:rPr>
          <w:rFonts w:cs="Times New Roman"/>
        </w:rPr>
        <w:t xml:space="preserve">, indicating that when professional development is zero, the predicted level of innovative teaching strategies is </w:t>
      </w:r>
      <w:r w:rsidR="00CA61FA">
        <w:rPr>
          <w:rFonts w:cs="Times New Roman"/>
        </w:rPr>
        <w:t>-0.098</w:t>
      </w:r>
      <w:r w:rsidRPr="009456F0">
        <w:rPr>
          <w:rFonts w:cs="Times New Roman"/>
        </w:rPr>
        <w:t xml:space="preserve">. The unstandardized coefficient for professional development was </w:t>
      </w:r>
      <w:r w:rsidRPr="009456F0">
        <w:rPr>
          <w:rStyle w:val="Emphasis"/>
          <w:rFonts w:cs="Times New Roman"/>
        </w:rPr>
        <w:t>β</w:t>
      </w:r>
      <w:r w:rsidRPr="009456F0">
        <w:rPr>
          <w:rFonts w:cs="Times New Roman"/>
        </w:rPr>
        <w:t xml:space="preserve">₁ = </w:t>
      </w:r>
      <w:r w:rsidR="00CA61FA">
        <w:rPr>
          <w:rFonts w:cs="Times New Roman"/>
        </w:rPr>
        <w:t>0.691</w:t>
      </w:r>
      <w:r w:rsidRPr="009456F0">
        <w:rPr>
          <w:rFonts w:cs="Times New Roman"/>
        </w:rPr>
        <w:t xml:space="preserve">, suggesting that for every one-unit increase in professional development, the level of innovative teaching strategies increases by </w:t>
      </w:r>
      <w:r w:rsidR="00CA61FA">
        <w:rPr>
          <w:rFonts w:cs="Times New Roman"/>
        </w:rPr>
        <w:t>rate of 0.691</w:t>
      </w:r>
      <w:r w:rsidRPr="009456F0">
        <w:rPr>
          <w:rFonts w:cs="Times New Roman"/>
        </w:rPr>
        <w:t xml:space="preserve"> units. This relationship was statistically significant,</w:t>
      </w:r>
      <w:r w:rsidR="00CA61FA">
        <w:rPr>
          <w:rFonts w:cs="Times New Roman"/>
        </w:rPr>
        <w:t xml:space="preserve"> given than the p-value (0.000) was less than 0.05. Moreover,</w:t>
      </w:r>
      <w:r w:rsidRPr="009456F0">
        <w:rPr>
          <w:rFonts w:cs="Times New Roman"/>
        </w:rPr>
        <w:t xml:space="preserve"> </w:t>
      </w:r>
      <w:proofErr w:type="gramStart"/>
      <w:r w:rsidRPr="009456F0">
        <w:rPr>
          <w:rStyle w:val="Emphasis"/>
          <w:rFonts w:cs="Times New Roman"/>
        </w:rPr>
        <w:t>t</w:t>
      </w:r>
      <w:r w:rsidRPr="009456F0">
        <w:rPr>
          <w:rFonts w:cs="Times New Roman"/>
        </w:rPr>
        <w:t>(</w:t>
      </w:r>
      <w:proofErr w:type="gramEnd"/>
      <w:r w:rsidR="00CA61FA">
        <w:rPr>
          <w:rFonts w:cs="Times New Roman"/>
        </w:rPr>
        <w:t>74</w:t>
      </w:r>
      <w:r w:rsidRPr="009456F0">
        <w:rPr>
          <w:rFonts w:cs="Times New Roman"/>
        </w:rPr>
        <w:t>) = 7.059</w:t>
      </w:r>
      <w:r w:rsidR="00CA61FA">
        <w:rPr>
          <w:rFonts w:cs="Times New Roman"/>
        </w:rPr>
        <w:t xml:space="preserve"> which was greater than T-critical of 1.666 (</w:t>
      </w:r>
      <w:r w:rsidR="00CA61FA" w:rsidRPr="00CA61FA">
        <w:rPr>
          <w:rFonts w:cs="Times New Roman"/>
        </w:rPr>
        <w:t>t</w:t>
      </w:r>
      <w:r w:rsidR="00CA61FA" w:rsidRPr="00CA61FA">
        <w:rPr>
          <w:rFonts w:cs="Times New Roman"/>
          <w:vertAlign w:val="subscript"/>
        </w:rPr>
        <w:t>0.05,75</w:t>
      </w:r>
      <w:r w:rsidR="00CA61FA">
        <w:rPr>
          <w:rFonts w:cs="Times New Roman"/>
        </w:rPr>
        <w:t xml:space="preserve"> = 1.66)</w:t>
      </w:r>
      <w:r w:rsidRPr="009456F0">
        <w:rPr>
          <w:rFonts w:cs="Times New Roman"/>
        </w:rPr>
        <w:t xml:space="preserve">, indicating that professional development significantly and positively </w:t>
      </w:r>
      <w:r w:rsidR="00CA61FA">
        <w:rPr>
          <w:rFonts w:cs="Times New Roman"/>
        </w:rPr>
        <w:t>influences</w:t>
      </w:r>
      <w:r w:rsidRPr="009456F0">
        <w:rPr>
          <w:rFonts w:cs="Times New Roman"/>
        </w:rPr>
        <w:t xml:space="preserve"> innovative teaching strategies</w:t>
      </w:r>
      <w:r w:rsidR="00CA61FA">
        <w:rPr>
          <w:rFonts w:cs="Times New Roman"/>
        </w:rPr>
        <w:t xml:space="preserve"> based on</w:t>
      </w:r>
    </w:p>
    <w:p w14:paraId="4954999A" w14:textId="5243BAFB" w:rsidR="00B15AE9" w:rsidRPr="009456F0" w:rsidRDefault="00CA61FA" w:rsidP="009456F0">
      <w:pPr>
        <w:spacing w:after="0" w:line="240" w:lineRule="auto"/>
        <w:rPr>
          <w:rFonts w:cs="Times New Roman"/>
        </w:rPr>
      </w:pPr>
      <w:r w:rsidRPr="009456F0">
        <w:rPr>
          <w:rFonts w:cs="Times New Roman"/>
        </w:rPr>
        <w:t>Innovative Teaching Strategies</w:t>
      </w:r>
      <w:r>
        <w:rPr>
          <w:rFonts w:cs="Times New Roman"/>
        </w:rPr>
        <w:t xml:space="preserve"> = -0.98+0.691</w:t>
      </w:r>
      <w:r w:rsidRPr="00CA61FA">
        <w:rPr>
          <w:rFonts w:cs="Times New Roman"/>
        </w:rPr>
        <w:t xml:space="preserve"> </w:t>
      </w:r>
      <w:r w:rsidRPr="009456F0">
        <w:rPr>
          <w:rFonts w:cs="Times New Roman"/>
        </w:rPr>
        <w:t>Professional Development</w:t>
      </w:r>
    </w:p>
    <w:p w14:paraId="169D0E8B" w14:textId="4F84832B" w:rsidR="005D1174" w:rsidRPr="009456F0" w:rsidRDefault="005D1174" w:rsidP="009456F0">
      <w:pPr>
        <w:spacing w:after="0" w:line="240" w:lineRule="auto"/>
        <w:rPr>
          <w:rFonts w:cs="Times New Roman"/>
        </w:rPr>
      </w:pPr>
      <w:r w:rsidRPr="009456F0">
        <w:rPr>
          <w:rFonts w:cs="Times New Roman"/>
          <w:b/>
          <w:bCs/>
        </w:rPr>
        <w:t>10. Discussions</w:t>
      </w:r>
    </w:p>
    <w:p w14:paraId="2243B760" w14:textId="6E26BAEA" w:rsidR="005D1174" w:rsidRPr="009456F0" w:rsidRDefault="005D1174" w:rsidP="009456F0">
      <w:pPr>
        <w:spacing w:after="0" w:line="240" w:lineRule="auto"/>
        <w:rPr>
          <w:rFonts w:cs="Times New Roman"/>
        </w:rPr>
      </w:pPr>
      <w:r w:rsidRPr="009456F0">
        <w:rPr>
          <w:rFonts w:cs="Times New Roman"/>
        </w:rPr>
        <w:t xml:space="preserve">The findings of this study reveal a significant and positive </w:t>
      </w:r>
      <w:r w:rsidR="00E05B93">
        <w:rPr>
          <w:rFonts w:cs="Times New Roman"/>
        </w:rPr>
        <w:t xml:space="preserve">effect on </w:t>
      </w:r>
      <w:r w:rsidRPr="009456F0">
        <w:rPr>
          <w:rFonts w:cs="Times New Roman"/>
        </w:rPr>
        <w:t xml:space="preserve">teacher professional development (TPD) and innovative teaching strategies (ITS) in primary schools in </w:t>
      </w:r>
      <w:proofErr w:type="spellStart"/>
      <w:r w:rsidRPr="009456F0">
        <w:rPr>
          <w:rFonts w:cs="Times New Roman"/>
        </w:rPr>
        <w:t>Sankuri</w:t>
      </w:r>
      <w:proofErr w:type="spellEnd"/>
      <w:r w:rsidRPr="009456F0">
        <w:rPr>
          <w:rFonts w:cs="Times New Roman"/>
        </w:rPr>
        <w:t xml:space="preserve"> Sub-County. This strong statistical connection underscores the vital role of continuous learning and skill enhancement for educators in fostering dynamic and effective classroom practices. The substantial portion of variance in innovative teaching explained by professional development (R² = </w:t>
      </w:r>
      <w:r w:rsidR="00205FFA">
        <w:rPr>
          <w:rFonts w:cs="Times New Roman"/>
        </w:rPr>
        <w:t>0.4917</w:t>
      </w:r>
      <w:r w:rsidRPr="009456F0">
        <w:rPr>
          <w:rFonts w:cs="Times New Roman"/>
        </w:rPr>
        <w:t>) reinforces that TPD is a primary driver of pedagogical innovation within this educational context.</w:t>
      </w:r>
    </w:p>
    <w:p w14:paraId="1ADE9F4A" w14:textId="55EC382A" w:rsidR="005D1174" w:rsidRPr="009456F0" w:rsidRDefault="005D1174" w:rsidP="009456F0">
      <w:pPr>
        <w:spacing w:after="0" w:line="240" w:lineRule="auto"/>
        <w:rPr>
          <w:rFonts w:cs="Times New Roman"/>
        </w:rPr>
      </w:pPr>
      <w:r w:rsidRPr="009456F0">
        <w:rPr>
          <w:rFonts w:cs="Times New Roman"/>
        </w:rPr>
        <w:t>However, the study also reveals a paradoxical situation concerning the implementation of TPD. While school leadership actively encourages innovative teaching methods and supports teachers in trying new strategies, and students respond positively to new teaching methods, there are significant deficiencies in the foundational support systems for professional development. The descriptive statistics for professional development indicated an overall ineffectiveness (</w:t>
      </w:r>
      <w:r w:rsidR="00E05B93">
        <w:rPr>
          <w:rFonts w:cs="Times New Roman"/>
        </w:rPr>
        <w:t>aggregate</w:t>
      </w:r>
      <w:r w:rsidR="00E05B93" w:rsidRPr="009456F0">
        <w:rPr>
          <w:rFonts w:cs="Times New Roman"/>
        </w:rPr>
        <w:t xml:space="preserve"> </w:t>
      </w:r>
      <w:r w:rsidRPr="009456F0">
        <w:rPr>
          <w:rFonts w:cs="Times New Roman"/>
        </w:rPr>
        <w:t>mean = 1.99), with critical shortcomings in providing sufficient and relevant training opportunities, access to workshops, ongoing support, and tailored programs. This suggests a disconnect between leadership intentions and institutional capacity. Schools appear to be encouraging innovation without adequately preparing or continuously supporting teachers to implement it successfully. This situation can lead to an unsustainable environment where teachers are compelled towards self-directed learning rather than systematic institutional support.</w:t>
      </w:r>
    </w:p>
    <w:p w14:paraId="6991A34F" w14:textId="0BF12B6D" w:rsidR="005D1174" w:rsidRPr="009456F0" w:rsidRDefault="005D1174" w:rsidP="009456F0">
      <w:pPr>
        <w:spacing w:after="0" w:line="240" w:lineRule="auto"/>
        <w:rPr>
          <w:rFonts w:cs="Times New Roman"/>
        </w:rPr>
      </w:pPr>
      <w:r w:rsidRPr="009456F0">
        <w:rPr>
          <w:rFonts w:cs="Times New Roman"/>
        </w:rPr>
        <w:t xml:space="preserve">Furthermore, the observed ineffectiveness in providing necessary resources, integrating technology, and fostering collaboration among teachers significantly hinders the potential for </w:t>
      </w:r>
      <w:r w:rsidRPr="009456F0">
        <w:rPr>
          <w:rFonts w:cs="Times New Roman"/>
        </w:rPr>
        <w:lastRenderedPageBreak/>
        <w:t>widespread and sustained innovative practices. These limitations persist despite the clear positive impact of professional development on innovative teaching. The study highlights that even in the absence of robust institutional support, teachers demonstrate incredible resilience and manage to apply innovative strategies (</w:t>
      </w:r>
      <w:r w:rsidR="00E05B93">
        <w:rPr>
          <w:rFonts w:cs="Times New Roman"/>
        </w:rPr>
        <w:t>aggregate</w:t>
      </w:r>
      <w:r w:rsidRPr="009456F0">
        <w:rPr>
          <w:rFonts w:cs="Times New Roman"/>
        </w:rPr>
        <w:t xml:space="preserve"> mean = 2.62). Their ability to innovate and improve practices often stems from internal motivation, direct student feedback, and self-reflection, rather than comprehensive institutional scaffolding. While commendable, this reliance on teacher self-reliance points to systemic failures in providing the necessary resources and support, thereby limiting the potential scope and depth of innovation that could be achieved with proper systematic backing.</w:t>
      </w:r>
    </w:p>
    <w:p w14:paraId="13330E34" w14:textId="00C06D53" w:rsidR="005D1174" w:rsidRPr="009456F0" w:rsidRDefault="005D1174" w:rsidP="009456F0">
      <w:pPr>
        <w:spacing w:after="0" w:line="240" w:lineRule="auto"/>
        <w:rPr>
          <w:rFonts w:cs="Times New Roman"/>
        </w:rPr>
      </w:pPr>
      <w:r w:rsidRPr="009456F0">
        <w:rPr>
          <w:rFonts w:cs="Times New Roman"/>
        </w:rPr>
        <w:t xml:space="preserve">These findings resonate with existing literature that emphasizes the importance of well-designed TPD. For instance, </w:t>
      </w:r>
      <w:r w:rsidR="005A41B1" w:rsidRPr="005A41B1">
        <w:rPr>
          <w:rFonts w:cs="Times New Roman"/>
        </w:rPr>
        <w:t>Samundeeswari</w:t>
      </w:r>
      <w:r w:rsidRPr="009456F0">
        <w:rPr>
          <w:rFonts w:cs="Times New Roman"/>
        </w:rPr>
        <w:t xml:space="preserve"> (202</w:t>
      </w:r>
      <w:r w:rsidR="005A41B1">
        <w:rPr>
          <w:rFonts w:cs="Times New Roman"/>
        </w:rPr>
        <w:t>4</w:t>
      </w:r>
      <w:r w:rsidRPr="009456F0">
        <w:rPr>
          <w:rFonts w:cs="Times New Roman"/>
        </w:rPr>
        <w:t xml:space="preserve">) and Ekinci and Acar (2019) both highlighted that professional development programs must be needs-based, relevant, and involve active learning and collaboration to be effective, which contrasts with the identified weaknesses in the current PD provision in </w:t>
      </w:r>
      <w:proofErr w:type="spellStart"/>
      <w:r w:rsidRPr="009456F0">
        <w:rPr>
          <w:rFonts w:cs="Times New Roman"/>
        </w:rPr>
        <w:t>Sankuri</w:t>
      </w:r>
      <w:proofErr w:type="spellEnd"/>
      <w:r w:rsidRPr="009456F0">
        <w:rPr>
          <w:rFonts w:cs="Times New Roman"/>
        </w:rPr>
        <w:t xml:space="preserve"> Sub-County. The positive student responses to new teaching methods observed in this study align with findings by Yawman and Kubi (2018), who reported that students taught using innovative methods significantly outperformed their peers. However, the study’s indication of ineffective technology use among teachers (Mean = 2.01) is concerning, given the emphasis on innovative teaching and learning technologies (ITLTs) in other contexts (</w:t>
      </w:r>
      <w:proofErr w:type="gramStart"/>
      <w:r w:rsidR="002635A8" w:rsidRPr="002635A8">
        <w:rPr>
          <w:rFonts w:cs="Times New Roman"/>
        </w:rPr>
        <w:t>Vali</w:t>
      </w:r>
      <w:r w:rsidR="002635A8">
        <w:rPr>
          <w:rFonts w:cs="Times New Roman"/>
        </w:rPr>
        <w:t xml:space="preserve"> </w:t>
      </w:r>
      <w:r w:rsidR="002635A8" w:rsidRPr="002635A8">
        <w:rPr>
          <w:rFonts w:cs="Times New Roman"/>
        </w:rPr>
        <w:t xml:space="preserve"> (</w:t>
      </w:r>
      <w:proofErr w:type="gramEnd"/>
      <w:r w:rsidR="002635A8" w:rsidRPr="002635A8">
        <w:rPr>
          <w:rFonts w:cs="Times New Roman"/>
        </w:rPr>
        <w:t>2023</w:t>
      </w:r>
      <w:r w:rsidR="002635A8">
        <w:rPr>
          <w:rFonts w:cs="Times New Roman"/>
        </w:rPr>
        <w:t>;</w:t>
      </w:r>
      <w:r w:rsidRPr="009456F0">
        <w:rPr>
          <w:rFonts w:cs="Times New Roman"/>
        </w:rPr>
        <w:t xml:space="preserve"> Liu et al., 2020) and their potential to enhance collaborative and student-centered learning.</w:t>
      </w:r>
    </w:p>
    <w:p w14:paraId="28B4A813" w14:textId="77777777" w:rsidR="005D1174" w:rsidRPr="009456F0" w:rsidRDefault="005D1174" w:rsidP="009456F0">
      <w:pPr>
        <w:spacing w:after="0" w:line="240" w:lineRule="auto"/>
        <w:rPr>
          <w:rFonts w:cs="Times New Roman"/>
        </w:rPr>
      </w:pPr>
      <w:r w:rsidRPr="009456F0">
        <w:rPr>
          <w:rFonts w:cs="Times New Roman"/>
        </w:rPr>
        <w:t>The inconsistent outcomes across the three variables (leadership support, professional development, and innovative teaching strategies) underscore that effective educational innovation requires systemic change rather than isolated interventions. The low scores in professional development dimensions, resource deficits, and lack of collaboration opportunities point to underlying institutional failures that waste resources and diminish teacher potential. For sustainable innovation, schools must concurrently enhance leadership practices beyond mere encouragement, restructure professional development systems to be contextual and continuous, and provide sufficient resources and collaboration opportunities. Without such a holistic approach, existing piecemeal initiatives are likely to remain ineffective, failing to achieve the full potential of innovative teaching practices and student learning outcomes.</w:t>
      </w:r>
    </w:p>
    <w:p w14:paraId="3B6FB7F0" w14:textId="28515628" w:rsidR="005D1174" w:rsidRPr="009456F0" w:rsidRDefault="005D1174" w:rsidP="009456F0">
      <w:pPr>
        <w:spacing w:after="0" w:line="240" w:lineRule="auto"/>
        <w:rPr>
          <w:rFonts w:cs="Times New Roman"/>
        </w:rPr>
      </w:pPr>
      <w:r w:rsidRPr="009456F0">
        <w:rPr>
          <w:rFonts w:cs="Times New Roman"/>
          <w:b/>
          <w:bCs/>
        </w:rPr>
        <w:t>11</w:t>
      </w:r>
      <w:r w:rsidR="001B6747">
        <w:rPr>
          <w:rFonts w:cs="Times New Roman"/>
          <w:b/>
          <w:bCs/>
        </w:rPr>
        <w:t xml:space="preserve">. </w:t>
      </w:r>
      <w:r w:rsidRPr="009456F0">
        <w:rPr>
          <w:rFonts w:cs="Times New Roman"/>
          <w:b/>
          <w:bCs/>
        </w:rPr>
        <w:t>Conclusion</w:t>
      </w:r>
    </w:p>
    <w:p w14:paraId="7A21EA83" w14:textId="141BCAC0" w:rsidR="005D1174" w:rsidRPr="009456F0" w:rsidRDefault="005D1174" w:rsidP="009456F0">
      <w:pPr>
        <w:spacing w:after="0" w:line="240" w:lineRule="auto"/>
        <w:rPr>
          <w:rFonts w:cs="Times New Roman"/>
        </w:rPr>
      </w:pPr>
      <w:r w:rsidRPr="009456F0">
        <w:rPr>
          <w:rFonts w:cs="Times New Roman"/>
        </w:rPr>
        <w:t xml:space="preserve">Based on the findings, it is concluded that teacher professional development plays a significant role in improving innovative teaching strategies in primary schools in </w:t>
      </w:r>
      <w:proofErr w:type="spellStart"/>
      <w:r w:rsidRPr="009456F0">
        <w:rPr>
          <w:rFonts w:cs="Times New Roman"/>
        </w:rPr>
        <w:t>Sankuri</w:t>
      </w:r>
      <w:proofErr w:type="spellEnd"/>
      <w:r w:rsidRPr="009456F0">
        <w:rPr>
          <w:rFonts w:cs="Times New Roman"/>
        </w:rPr>
        <w:t xml:space="preserve"> Sub-County, Garissa County. The close statistical relationship between these two variables indicates that robust and effective professional development programs directly lead to more innovative and effective classroom practices.</w:t>
      </w:r>
      <w:r w:rsidR="00E05B93">
        <w:rPr>
          <w:rFonts w:cs="Times New Roman"/>
        </w:rPr>
        <w:t xml:space="preserve"> </w:t>
      </w:r>
      <w:r w:rsidRPr="009456F0">
        <w:rPr>
          <w:rFonts w:cs="Times New Roman"/>
        </w:rPr>
        <w:t>The study firmly establishes a significant positive relationship, highlighting the interconnected nature of teacher development in driving innovation within educational settings.</w:t>
      </w:r>
    </w:p>
    <w:p w14:paraId="022E902A" w14:textId="04DDBB9E" w:rsidR="005D1174" w:rsidRPr="009456F0" w:rsidRDefault="005D1174" w:rsidP="009456F0">
      <w:pPr>
        <w:spacing w:after="0" w:line="240" w:lineRule="auto"/>
        <w:rPr>
          <w:rFonts w:cs="Times New Roman"/>
        </w:rPr>
      </w:pPr>
      <w:r w:rsidRPr="009456F0">
        <w:rPr>
          <w:rFonts w:cs="Times New Roman"/>
          <w:b/>
          <w:bCs/>
        </w:rPr>
        <w:t>1</w:t>
      </w:r>
      <w:r w:rsidR="001A5082" w:rsidRPr="009456F0">
        <w:rPr>
          <w:rFonts w:cs="Times New Roman"/>
          <w:b/>
          <w:bCs/>
        </w:rPr>
        <w:t>2</w:t>
      </w:r>
      <w:r w:rsidRPr="009456F0">
        <w:rPr>
          <w:rFonts w:cs="Times New Roman"/>
          <w:b/>
          <w:bCs/>
        </w:rPr>
        <w:t>. Recommendations for Policy and Practice</w:t>
      </w:r>
    </w:p>
    <w:p w14:paraId="4F5D5660" w14:textId="77777777" w:rsidR="005D1174" w:rsidRPr="009456F0" w:rsidRDefault="005D1174" w:rsidP="009456F0">
      <w:pPr>
        <w:spacing w:after="0" w:line="240" w:lineRule="auto"/>
        <w:rPr>
          <w:rFonts w:cs="Times New Roman"/>
        </w:rPr>
      </w:pPr>
      <w:r w:rsidRPr="009456F0">
        <w:rPr>
          <w:rFonts w:cs="Times New Roman"/>
        </w:rPr>
        <w:t>Based on the compelling findings of this study, several recommendations are put forth for education stakeholders, particularly the Ministry of Education and the Teachers Service Commission (TSC), to enhance the relationship between teacher professional development and innovative teaching:</w:t>
      </w:r>
    </w:p>
    <w:p w14:paraId="4AC786C8" w14:textId="58324A43" w:rsidR="005D1174" w:rsidRPr="009456F0" w:rsidRDefault="0079049D" w:rsidP="00E05B93">
      <w:pPr>
        <w:spacing w:after="0" w:line="240" w:lineRule="auto"/>
        <w:rPr>
          <w:rFonts w:cs="Times New Roman"/>
        </w:rPr>
      </w:pPr>
      <w:r w:rsidRPr="009456F0">
        <w:rPr>
          <w:rFonts w:cs="Times New Roman"/>
          <w:b/>
          <w:bCs/>
        </w:rPr>
        <w:t>Prioritize comprehensive and well-structured professional development programs:</w:t>
      </w:r>
      <w:r w:rsidR="00B6274F" w:rsidRPr="009456F0">
        <w:rPr>
          <w:rFonts w:cs="Times New Roman"/>
        </w:rPr>
        <w:t xml:space="preserve"> </w:t>
      </w:r>
      <w:r w:rsidR="005D1174" w:rsidRPr="009456F0">
        <w:rPr>
          <w:rFonts w:cs="Times New Roman"/>
        </w:rPr>
        <w:t xml:space="preserve">Educational administrators should prioritize continuous and well-structured professional development programs for primary school teachers. These programs must be explicitly designed not only to enhance subject knowledge and general pedagogy but also to equip teachers with new teaching strategies that specifically encourage learner engagement, creativity, and critical thinking. </w:t>
      </w:r>
      <w:r w:rsidR="005D1174" w:rsidRPr="009456F0">
        <w:rPr>
          <w:rFonts w:cs="Times New Roman"/>
        </w:rPr>
        <w:lastRenderedPageBreak/>
        <w:t>The training should be relevant and tailored to the actual needs of teachers and schools, addressing the current observed ineffectiveness in this area.</w:t>
      </w:r>
    </w:p>
    <w:p w14:paraId="51511240" w14:textId="6F30896B" w:rsidR="005D1174" w:rsidRPr="009456F0" w:rsidRDefault="00B6274F" w:rsidP="00E05B93">
      <w:pPr>
        <w:spacing w:after="0" w:line="240" w:lineRule="auto"/>
        <w:rPr>
          <w:rFonts w:cs="Times New Roman"/>
        </w:rPr>
      </w:pPr>
      <w:r w:rsidRPr="009456F0">
        <w:rPr>
          <w:rFonts w:cs="Times New Roman"/>
          <w:b/>
          <w:bCs/>
        </w:rPr>
        <w:t>Implement long-term, job-embedded learning experiences:</w:t>
      </w:r>
      <w:r w:rsidR="005D1174" w:rsidRPr="009456F0">
        <w:rPr>
          <w:rFonts w:cs="Times New Roman"/>
        </w:rPr>
        <w:t xml:space="preserve"> Instead of isolated training workshops, educational institutions must implement long-term, job-embedded learning experiences that involve hands-on practice, peer observation, and continuous follow-up support directly in the classroom. Professional development programs should include differentiated pathways based on teachers' experience levels and focus heavily on practical application and ongoing mentorship. This approach will help bridge the gap between theoretical knowledge gained in training and its practical application in diverse classroom settings.</w:t>
      </w:r>
    </w:p>
    <w:p w14:paraId="2E360641" w14:textId="2CD6BB5C" w:rsidR="005D1174" w:rsidRPr="009456F0" w:rsidRDefault="00B6274F" w:rsidP="00E05B93">
      <w:pPr>
        <w:spacing w:after="0" w:line="240" w:lineRule="auto"/>
        <w:rPr>
          <w:rFonts w:cs="Times New Roman"/>
        </w:rPr>
      </w:pPr>
      <w:r w:rsidRPr="009456F0">
        <w:rPr>
          <w:rFonts w:cs="Times New Roman"/>
          <w:b/>
          <w:bCs/>
        </w:rPr>
        <w:t>Establish robust evaluation and accountability systems</w:t>
      </w:r>
      <w:r w:rsidR="005D1174" w:rsidRPr="009456F0">
        <w:rPr>
          <w:rFonts w:cs="Times New Roman"/>
          <w:b/>
          <w:bCs/>
        </w:rPr>
        <w:t>:</w:t>
      </w:r>
      <w:r w:rsidR="005D1174" w:rsidRPr="009456F0">
        <w:rPr>
          <w:rFonts w:cs="Times New Roman"/>
        </w:rPr>
        <w:t xml:space="preserve"> Schools should implement comprehensive evaluation systems that measure the impact of professional development programs on actual teaching practices and student outcomes. This data should then be used to continuously refine and improve program effectiveness and relevance. Policymakers should also introduce accountability systems that evaluate leadership performance based on concrete support results, as opposed to mere encouragement, demanding quantifiable gains in teacher skill building and innovation implementation success rates.</w:t>
      </w:r>
    </w:p>
    <w:p w14:paraId="699ABFC1" w14:textId="6EB1CCFD" w:rsidR="005D1174" w:rsidRPr="009456F0" w:rsidRDefault="00B6274F" w:rsidP="00E05B93">
      <w:pPr>
        <w:spacing w:after="0" w:line="240" w:lineRule="auto"/>
        <w:rPr>
          <w:rFonts w:cs="Times New Roman"/>
        </w:rPr>
      </w:pPr>
      <w:r w:rsidRPr="009456F0">
        <w:rPr>
          <w:rFonts w:cs="Times New Roman"/>
          <w:b/>
          <w:bCs/>
        </w:rPr>
        <w:t>Address disparities in resource distribution</w:t>
      </w:r>
      <w:r w:rsidR="005D1174" w:rsidRPr="009456F0">
        <w:rPr>
          <w:rFonts w:cs="Times New Roman"/>
          <w:b/>
          <w:bCs/>
        </w:rPr>
        <w:t>:</w:t>
      </w:r>
      <w:r w:rsidR="005D1174" w:rsidRPr="009456F0">
        <w:rPr>
          <w:rFonts w:cs="Times New Roman"/>
        </w:rPr>
        <w:t xml:space="preserve"> Particular consideration must be paid to the equitable distribution of resources, both in terms of professional development programs and supporting infrastructure. These should be well-funded and available to all schools, especially those in under-resourced regions such as </w:t>
      </w:r>
      <w:proofErr w:type="spellStart"/>
      <w:r w:rsidR="005D1174" w:rsidRPr="009456F0">
        <w:rPr>
          <w:rFonts w:cs="Times New Roman"/>
        </w:rPr>
        <w:t>Sankuri</w:t>
      </w:r>
      <w:proofErr w:type="spellEnd"/>
      <w:r w:rsidR="005D1174" w:rsidRPr="009456F0">
        <w:rPr>
          <w:rFonts w:cs="Times New Roman"/>
        </w:rPr>
        <w:t xml:space="preserve"> Sub-County, Garissa County, to ensure equitable opportunities for teachers to engage in and implement innovative teaching.</w:t>
      </w:r>
    </w:p>
    <w:p w14:paraId="5CC4C943" w14:textId="662B48CC" w:rsidR="005D1174" w:rsidRPr="009456F0" w:rsidRDefault="005D1174" w:rsidP="009456F0">
      <w:pPr>
        <w:spacing w:after="0" w:line="240" w:lineRule="auto"/>
        <w:rPr>
          <w:rFonts w:cs="Times New Roman"/>
        </w:rPr>
      </w:pPr>
      <w:r w:rsidRPr="009456F0">
        <w:rPr>
          <w:rFonts w:cs="Times New Roman"/>
          <w:b/>
          <w:bCs/>
        </w:rPr>
        <w:t>1</w:t>
      </w:r>
      <w:r w:rsidR="001A5082" w:rsidRPr="009456F0">
        <w:rPr>
          <w:rFonts w:cs="Times New Roman"/>
          <w:b/>
          <w:bCs/>
        </w:rPr>
        <w:t>3</w:t>
      </w:r>
      <w:r w:rsidRPr="009456F0">
        <w:rPr>
          <w:rFonts w:cs="Times New Roman"/>
          <w:b/>
          <w:bCs/>
        </w:rPr>
        <w:t>. Recommendations for Further Studies</w:t>
      </w:r>
    </w:p>
    <w:p w14:paraId="0469E789" w14:textId="77777777" w:rsidR="005D1174" w:rsidRPr="009456F0" w:rsidRDefault="005D1174" w:rsidP="009456F0">
      <w:pPr>
        <w:spacing w:after="0" w:line="240" w:lineRule="auto"/>
        <w:rPr>
          <w:rFonts w:cs="Times New Roman"/>
        </w:rPr>
      </w:pPr>
      <w:r w:rsidRPr="009456F0">
        <w:rPr>
          <w:rFonts w:cs="Times New Roman"/>
        </w:rPr>
        <w:t>Based on the scope and findings of this study, the following areas are recommended for further research to deepen understanding of educational innovation in similar contexts:</w:t>
      </w:r>
    </w:p>
    <w:p w14:paraId="6DE41E3A" w14:textId="77777777" w:rsidR="005D1174" w:rsidRPr="009456F0" w:rsidRDefault="005D1174" w:rsidP="00E05B93">
      <w:pPr>
        <w:tabs>
          <w:tab w:val="num" w:pos="720"/>
        </w:tabs>
        <w:spacing w:after="0" w:line="240" w:lineRule="auto"/>
        <w:rPr>
          <w:rFonts w:cs="Times New Roman"/>
        </w:rPr>
      </w:pPr>
      <w:r w:rsidRPr="009456F0">
        <w:rPr>
          <w:rFonts w:cs="Times New Roman"/>
        </w:rPr>
        <w:t>Comparative research is recommended to assess the effectiveness of job-embedded professional learning models versus traditional workshop-based approaches in improving student performance.</w:t>
      </w:r>
    </w:p>
    <w:p w14:paraId="63687E65" w14:textId="3615ED6A" w:rsidR="005D1174" w:rsidRDefault="005D1174" w:rsidP="00E05B93">
      <w:pPr>
        <w:tabs>
          <w:tab w:val="num" w:pos="720"/>
        </w:tabs>
        <w:spacing w:after="0" w:line="240" w:lineRule="auto"/>
        <w:rPr>
          <w:rFonts w:cs="Times New Roman"/>
        </w:rPr>
      </w:pPr>
      <w:r w:rsidRPr="009456F0">
        <w:rPr>
          <w:rFonts w:cs="Times New Roman"/>
        </w:rPr>
        <w:t>Future studies ought to examine how educators create and adopt innovative practices even in the absence of institutional support, with an emphasis on strategies that facilitate effective self-directed innovation.</w:t>
      </w:r>
    </w:p>
    <w:p w14:paraId="0241DE31" w14:textId="33F5B9BF" w:rsidR="00E85F6C" w:rsidRDefault="00E85F6C" w:rsidP="00E05B93">
      <w:pPr>
        <w:tabs>
          <w:tab w:val="num" w:pos="720"/>
        </w:tabs>
        <w:spacing w:after="0" w:line="240" w:lineRule="auto"/>
        <w:rPr>
          <w:rFonts w:cs="Times New Roman"/>
        </w:rPr>
      </w:pPr>
    </w:p>
    <w:p w14:paraId="365C4AD0" w14:textId="77777777" w:rsidR="00E811A6" w:rsidRPr="001B6747" w:rsidRDefault="00E811A6" w:rsidP="00E811A6">
      <w:pPr>
        <w:spacing w:after="200" w:line="276" w:lineRule="auto"/>
        <w:jc w:val="left"/>
        <w:rPr>
          <w:rFonts w:ascii="Calibri" w:eastAsia="Calibri" w:hAnsi="Calibri" w:cs="Times New Roman"/>
          <w:b/>
          <w:sz w:val="22"/>
          <w:szCs w:val="22"/>
          <w:highlight w:val="yellow"/>
          <w14:ligatures w14:val="none"/>
        </w:rPr>
      </w:pPr>
      <w:bookmarkStart w:id="0" w:name="_Hlk197682619"/>
      <w:bookmarkStart w:id="1" w:name="_Hlk180402183"/>
      <w:bookmarkStart w:id="2" w:name="_Hlk183680988"/>
      <w:r w:rsidRPr="001B6747">
        <w:rPr>
          <w:rFonts w:ascii="Calibri" w:eastAsia="Calibri" w:hAnsi="Calibri" w:cs="Times New Roman"/>
          <w:b/>
          <w:sz w:val="22"/>
          <w:szCs w:val="22"/>
          <w:highlight w:val="yellow"/>
          <w14:ligatures w14:val="none"/>
        </w:rPr>
        <w:t>Disclaimer (Artificial intelligence)</w:t>
      </w:r>
    </w:p>
    <w:p w14:paraId="0DAEEA54" w14:textId="77777777" w:rsidR="00E811A6" w:rsidRPr="00E811A6" w:rsidRDefault="00E811A6" w:rsidP="00E811A6">
      <w:pPr>
        <w:spacing w:after="200" w:line="276" w:lineRule="auto"/>
        <w:jc w:val="left"/>
        <w:rPr>
          <w:rFonts w:ascii="Calibri" w:eastAsia="Calibri" w:hAnsi="Calibri" w:cs="Times New Roman"/>
          <w:sz w:val="22"/>
          <w:szCs w:val="22"/>
          <w:highlight w:val="yellow"/>
          <w14:ligatures w14:val="none"/>
        </w:rPr>
      </w:pPr>
      <w:r w:rsidRPr="00E811A6">
        <w:rPr>
          <w:rFonts w:ascii="Calibri" w:eastAsia="Calibri" w:hAnsi="Calibri" w:cs="Times New Roman"/>
          <w:sz w:val="22"/>
          <w:szCs w:val="22"/>
          <w:highlight w:val="yellow"/>
          <w14:ligatures w14:val="none"/>
        </w:rPr>
        <w:t xml:space="preserve">Option 1: </w:t>
      </w:r>
    </w:p>
    <w:p w14:paraId="0A60470D" w14:textId="77777777" w:rsidR="00E811A6" w:rsidRPr="00E811A6" w:rsidRDefault="00E811A6" w:rsidP="00E811A6">
      <w:pPr>
        <w:spacing w:after="200" w:line="276" w:lineRule="auto"/>
        <w:jc w:val="left"/>
        <w:rPr>
          <w:rFonts w:ascii="Calibri" w:eastAsia="Calibri" w:hAnsi="Calibri" w:cs="Times New Roman"/>
          <w:sz w:val="22"/>
          <w:szCs w:val="22"/>
          <w:highlight w:val="yellow"/>
          <w14:ligatures w14:val="none"/>
        </w:rPr>
      </w:pPr>
      <w:r w:rsidRPr="00E811A6">
        <w:rPr>
          <w:rFonts w:ascii="Calibri" w:eastAsia="Calibri" w:hAnsi="Calibri" w:cs="Times New Roman"/>
          <w:sz w:val="22"/>
          <w:szCs w:val="22"/>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p w14:paraId="2A92697B" w14:textId="77777777" w:rsidR="00E811A6" w:rsidRPr="00E811A6" w:rsidRDefault="00E811A6" w:rsidP="00E811A6">
      <w:pPr>
        <w:spacing w:after="200" w:line="276" w:lineRule="auto"/>
        <w:jc w:val="left"/>
        <w:rPr>
          <w:rFonts w:ascii="Calibri" w:eastAsia="Calibri" w:hAnsi="Calibri" w:cs="Times New Roman"/>
          <w:sz w:val="22"/>
          <w:szCs w:val="22"/>
          <w:highlight w:val="yellow"/>
          <w14:ligatures w14:val="none"/>
        </w:rPr>
      </w:pPr>
      <w:r w:rsidRPr="00E811A6">
        <w:rPr>
          <w:rFonts w:ascii="Calibri" w:eastAsia="Calibri" w:hAnsi="Calibri" w:cs="Times New Roman"/>
          <w:sz w:val="22"/>
          <w:szCs w:val="22"/>
          <w:highlight w:val="yellow"/>
          <w14:ligatures w14:val="none"/>
        </w:rPr>
        <w:t xml:space="preserve">Option 2: </w:t>
      </w:r>
    </w:p>
    <w:p w14:paraId="4DE57085" w14:textId="77777777" w:rsidR="00E811A6" w:rsidRPr="00E811A6" w:rsidRDefault="00E811A6" w:rsidP="00E811A6">
      <w:pPr>
        <w:spacing w:after="200" w:line="276" w:lineRule="auto"/>
        <w:jc w:val="left"/>
        <w:rPr>
          <w:rFonts w:ascii="Calibri" w:eastAsia="Calibri" w:hAnsi="Calibri" w:cs="Times New Roman"/>
          <w:sz w:val="22"/>
          <w:szCs w:val="22"/>
          <w:highlight w:val="yellow"/>
          <w14:ligatures w14:val="none"/>
        </w:rPr>
      </w:pPr>
      <w:r w:rsidRPr="00E811A6">
        <w:rPr>
          <w:rFonts w:ascii="Calibri" w:eastAsia="Calibri" w:hAnsi="Calibri" w:cs="Times New Roman"/>
          <w:sz w:val="22"/>
          <w:szCs w:val="22"/>
          <w:highlight w:val="yellow"/>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1A7A2D" w14:textId="77777777" w:rsidR="00E811A6" w:rsidRPr="00E811A6" w:rsidRDefault="00E811A6" w:rsidP="00E811A6">
      <w:pPr>
        <w:spacing w:after="200" w:line="276" w:lineRule="auto"/>
        <w:jc w:val="left"/>
        <w:rPr>
          <w:rFonts w:ascii="Calibri" w:eastAsia="Calibri" w:hAnsi="Calibri" w:cs="Times New Roman"/>
          <w:sz w:val="22"/>
          <w:szCs w:val="22"/>
          <w:highlight w:val="yellow"/>
          <w14:ligatures w14:val="none"/>
        </w:rPr>
      </w:pPr>
      <w:r w:rsidRPr="00E811A6">
        <w:rPr>
          <w:rFonts w:ascii="Calibri" w:eastAsia="Calibri" w:hAnsi="Calibri" w:cs="Times New Roman"/>
          <w:sz w:val="22"/>
          <w:szCs w:val="22"/>
          <w:highlight w:val="yellow"/>
          <w14:ligatures w14:val="none"/>
        </w:rPr>
        <w:t>Details of the AI usage are given below:</w:t>
      </w:r>
    </w:p>
    <w:p w14:paraId="70CE04B5" w14:textId="77777777" w:rsidR="00E811A6" w:rsidRPr="00E811A6" w:rsidRDefault="00E811A6" w:rsidP="00E811A6">
      <w:pPr>
        <w:spacing w:after="200" w:line="276" w:lineRule="auto"/>
        <w:jc w:val="left"/>
        <w:rPr>
          <w:rFonts w:ascii="Calibri" w:eastAsia="Calibri" w:hAnsi="Calibri" w:cs="Times New Roman"/>
          <w:sz w:val="22"/>
          <w:szCs w:val="22"/>
          <w:highlight w:val="yellow"/>
          <w14:ligatures w14:val="none"/>
        </w:rPr>
      </w:pPr>
      <w:r w:rsidRPr="00E811A6">
        <w:rPr>
          <w:rFonts w:ascii="Calibri" w:eastAsia="Calibri" w:hAnsi="Calibri" w:cs="Times New Roman"/>
          <w:sz w:val="22"/>
          <w:szCs w:val="22"/>
          <w:highlight w:val="yellow"/>
          <w14:ligatures w14:val="none"/>
        </w:rPr>
        <w:lastRenderedPageBreak/>
        <w:t>1.</w:t>
      </w:r>
    </w:p>
    <w:p w14:paraId="2A979768" w14:textId="77777777" w:rsidR="00E811A6" w:rsidRPr="00E811A6" w:rsidRDefault="00E811A6" w:rsidP="00E811A6">
      <w:pPr>
        <w:spacing w:after="200" w:line="276" w:lineRule="auto"/>
        <w:jc w:val="left"/>
        <w:rPr>
          <w:rFonts w:ascii="Calibri" w:eastAsia="Calibri" w:hAnsi="Calibri" w:cs="Times New Roman"/>
          <w:sz w:val="22"/>
          <w:szCs w:val="22"/>
          <w:highlight w:val="yellow"/>
          <w14:ligatures w14:val="none"/>
        </w:rPr>
      </w:pPr>
      <w:r w:rsidRPr="00E811A6">
        <w:rPr>
          <w:rFonts w:ascii="Calibri" w:eastAsia="Calibri" w:hAnsi="Calibri" w:cs="Times New Roman"/>
          <w:sz w:val="22"/>
          <w:szCs w:val="22"/>
          <w:highlight w:val="yellow"/>
          <w14:ligatures w14:val="none"/>
        </w:rPr>
        <w:t>2.</w:t>
      </w:r>
    </w:p>
    <w:p w14:paraId="149829CE" w14:textId="77777777" w:rsidR="00E811A6" w:rsidRPr="00E811A6" w:rsidRDefault="00E811A6" w:rsidP="00E811A6">
      <w:pPr>
        <w:spacing w:after="200" w:line="276" w:lineRule="auto"/>
        <w:jc w:val="left"/>
        <w:rPr>
          <w:rFonts w:ascii="Calibri" w:eastAsia="Calibri" w:hAnsi="Calibri" w:cs="Times New Roman"/>
          <w:sz w:val="22"/>
          <w:szCs w:val="22"/>
          <w14:ligatures w14:val="none"/>
        </w:rPr>
      </w:pPr>
      <w:bookmarkStart w:id="3" w:name="_Hlk197682629"/>
      <w:bookmarkEnd w:id="0"/>
      <w:r w:rsidRPr="00E811A6">
        <w:rPr>
          <w:rFonts w:ascii="Calibri" w:eastAsia="Calibri" w:hAnsi="Calibri" w:cs="Times New Roman"/>
          <w:sz w:val="22"/>
          <w:szCs w:val="22"/>
          <w:highlight w:val="yellow"/>
          <w14:ligatures w14:val="none"/>
        </w:rPr>
        <w:t>3.</w:t>
      </w:r>
    </w:p>
    <w:bookmarkEnd w:id="1"/>
    <w:bookmarkEnd w:id="2"/>
    <w:bookmarkEnd w:id="3"/>
    <w:p w14:paraId="74E393DA" w14:textId="77777777" w:rsidR="00E85F6C" w:rsidRPr="009456F0" w:rsidRDefault="00E85F6C" w:rsidP="00E05B93">
      <w:pPr>
        <w:tabs>
          <w:tab w:val="num" w:pos="720"/>
        </w:tabs>
        <w:spacing w:after="0" w:line="240" w:lineRule="auto"/>
        <w:rPr>
          <w:rFonts w:cs="Times New Roman"/>
        </w:rPr>
      </w:pPr>
    </w:p>
    <w:p w14:paraId="294699CB" w14:textId="77777777" w:rsidR="00160977" w:rsidRPr="009456F0" w:rsidRDefault="00160977" w:rsidP="009456F0">
      <w:pPr>
        <w:spacing w:after="0" w:line="240" w:lineRule="auto"/>
        <w:rPr>
          <w:rFonts w:cs="Times New Roman"/>
        </w:rPr>
      </w:pPr>
    </w:p>
    <w:p w14:paraId="70488B16" w14:textId="34472AED" w:rsidR="00160977" w:rsidRPr="009456F0" w:rsidRDefault="00160977" w:rsidP="009456F0">
      <w:pPr>
        <w:spacing w:after="0" w:line="240" w:lineRule="auto"/>
        <w:rPr>
          <w:rFonts w:cs="Times New Roman"/>
          <w:b/>
          <w:bCs/>
        </w:rPr>
      </w:pPr>
      <w:r w:rsidRPr="009456F0">
        <w:rPr>
          <w:rFonts w:cs="Times New Roman"/>
          <w:b/>
          <w:bCs/>
        </w:rPr>
        <w:t>References</w:t>
      </w:r>
    </w:p>
    <w:p w14:paraId="2A0CBDEF" w14:textId="56BEC15C" w:rsidR="00160977" w:rsidRPr="009456F0" w:rsidRDefault="00797B68" w:rsidP="009456F0">
      <w:pPr>
        <w:spacing w:after="0" w:line="240" w:lineRule="auto"/>
        <w:ind w:left="1080" w:hanging="720"/>
        <w:rPr>
          <w:rFonts w:cs="Times New Roman"/>
        </w:rPr>
      </w:pPr>
      <w:r w:rsidRPr="00797B68">
        <w:rPr>
          <w:rFonts w:cs="Times New Roman"/>
          <w:lang w:val="pl-PL"/>
        </w:rPr>
        <w:t xml:space="preserve">Akolom, I., Masibo, E., &amp; Nyongesa, B. (2021). </w:t>
      </w:r>
      <w:r w:rsidRPr="00797B68">
        <w:rPr>
          <w:rFonts w:cs="Times New Roman"/>
        </w:rPr>
        <w:t>Innovative Instructional Strategies Used in Teaching of English Subject in Public Secondary Schools in Turkana Central Sub-County. </w:t>
      </w:r>
      <w:r w:rsidRPr="00797B68">
        <w:rPr>
          <w:rFonts w:cs="Times New Roman"/>
          <w:i/>
          <w:iCs/>
        </w:rPr>
        <w:t>East African Journal of Education Studies</w:t>
      </w:r>
      <w:r w:rsidRPr="00797B68">
        <w:rPr>
          <w:rFonts w:cs="Times New Roman"/>
        </w:rPr>
        <w:t>, </w:t>
      </w:r>
      <w:r w:rsidRPr="00797B68">
        <w:rPr>
          <w:rFonts w:cs="Times New Roman"/>
          <w:i/>
          <w:iCs/>
        </w:rPr>
        <w:t>3</w:t>
      </w:r>
      <w:r w:rsidRPr="00797B68">
        <w:rPr>
          <w:rFonts w:cs="Times New Roman"/>
        </w:rPr>
        <w:t>(1), 185-198. https://doi.org/10.37284/eajes.3.1.363</w:t>
      </w:r>
      <w:r w:rsidR="00160977" w:rsidRPr="009456F0">
        <w:rPr>
          <w:rFonts w:cs="Times New Roman"/>
        </w:rPr>
        <w:t>.</w:t>
      </w:r>
    </w:p>
    <w:p w14:paraId="2E6820DB" w14:textId="77777777" w:rsidR="00797B68" w:rsidRDefault="00797B68" w:rsidP="009456F0">
      <w:pPr>
        <w:spacing w:after="0" w:line="240" w:lineRule="auto"/>
        <w:ind w:left="1080" w:hanging="720"/>
        <w:rPr>
          <w:rFonts w:cs="Times New Roman"/>
        </w:rPr>
      </w:pPr>
      <w:proofErr w:type="spellStart"/>
      <w:r w:rsidRPr="00797B68">
        <w:rPr>
          <w:rFonts w:cs="Times New Roman"/>
        </w:rPr>
        <w:t>Ventista</w:t>
      </w:r>
      <w:proofErr w:type="spellEnd"/>
      <w:r w:rsidRPr="00797B68">
        <w:rPr>
          <w:rFonts w:cs="Times New Roman"/>
        </w:rPr>
        <w:t>, O. M., &amp; Brown, C. (2023). Teachers’ professional learning and its impact on students’ learning outcomes: Findings from a systematic review. </w:t>
      </w:r>
      <w:r w:rsidRPr="00797B68">
        <w:rPr>
          <w:rFonts w:cs="Times New Roman"/>
          <w:i/>
          <w:iCs/>
        </w:rPr>
        <w:t>Social Sciences &amp; Humanities Open</w:t>
      </w:r>
      <w:r w:rsidRPr="00797B68">
        <w:rPr>
          <w:rFonts w:cs="Times New Roman"/>
        </w:rPr>
        <w:t>, </w:t>
      </w:r>
      <w:r w:rsidRPr="00797B68">
        <w:rPr>
          <w:rFonts w:cs="Times New Roman"/>
          <w:i/>
          <w:iCs/>
        </w:rPr>
        <w:t>8</w:t>
      </w:r>
      <w:r w:rsidRPr="00797B68">
        <w:rPr>
          <w:rFonts w:cs="Times New Roman"/>
        </w:rPr>
        <w:t>(1), 100565.</w:t>
      </w:r>
    </w:p>
    <w:p w14:paraId="21888A3A" w14:textId="7B499F0F" w:rsidR="00160977" w:rsidRPr="009456F0" w:rsidRDefault="002A6262" w:rsidP="009456F0">
      <w:pPr>
        <w:spacing w:after="0" w:line="240" w:lineRule="auto"/>
        <w:ind w:left="1080" w:hanging="720"/>
        <w:rPr>
          <w:rFonts w:cs="Times New Roman"/>
        </w:rPr>
      </w:pPr>
      <w:r w:rsidRPr="002A6262">
        <w:rPr>
          <w:rFonts w:cs="Times New Roman"/>
        </w:rPr>
        <w:t>Behrman, J. R., Deolalikar, A. B., &amp; Soon, L. Y. (2003). The role of decentralization in promoting effective schooling in developing Asia. </w:t>
      </w:r>
      <w:r w:rsidRPr="002A6262">
        <w:rPr>
          <w:rFonts w:cs="Times New Roman"/>
          <w:i/>
          <w:iCs/>
        </w:rPr>
        <w:t>Asian Development Review</w:t>
      </w:r>
      <w:r w:rsidRPr="002A6262">
        <w:rPr>
          <w:rFonts w:cs="Times New Roman"/>
        </w:rPr>
        <w:t>, </w:t>
      </w:r>
      <w:r w:rsidRPr="002A6262">
        <w:rPr>
          <w:rFonts w:cs="Times New Roman"/>
          <w:i/>
          <w:iCs/>
        </w:rPr>
        <w:t>20</w:t>
      </w:r>
      <w:r w:rsidRPr="002A6262">
        <w:rPr>
          <w:rFonts w:cs="Times New Roman"/>
        </w:rPr>
        <w:t>(01), 57-</w:t>
      </w:r>
      <w:proofErr w:type="gramStart"/>
      <w:r w:rsidRPr="002A6262">
        <w:rPr>
          <w:rFonts w:cs="Times New Roman"/>
        </w:rPr>
        <w:t>99.</w:t>
      </w:r>
      <w:r w:rsidR="00160977" w:rsidRPr="009456F0">
        <w:rPr>
          <w:rFonts w:cs="Times New Roman"/>
          <w:i/>
          <w:iCs/>
        </w:rPr>
        <w:t>.</w:t>
      </w:r>
      <w:proofErr w:type="gramEnd"/>
    </w:p>
    <w:p w14:paraId="0E2BA379" w14:textId="77777777" w:rsidR="00160977" w:rsidRPr="009456F0" w:rsidRDefault="00160977" w:rsidP="009456F0">
      <w:pPr>
        <w:spacing w:after="0" w:line="240" w:lineRule="auto"/>
        <w:ind w:left="1080" w:hanging="720"/>
        <w:rPr>
          <w:rFonts w:cs="Times New Roman"/>
        </w:rPr>
      </w:pPr>
      <w:r w:rsidRPr="009456F0">
        <w:rPr>
          <w:rFonts w:cs="Times New Roman"/>
        </w:rPr>
        <w:t xml:space="preserve">Desimone, L. M. (2009). Improving impact studies of teachers’ professional development: Toward better conceptualizations and measures. </w:t>
      </w:r>
      <w:r w:rsidRPr="009456F0">
        <w:rPr>
          <w:rFonts w:cs="Times New Roman"/>
          <w:i/>
          <w:iCs/>
        </w:rPr>
        <w:t>Educational Researcher, 38</w:t>
      </w:r>
      <w:r w:rsidRPr="009456F0">
        <w:rPr>
          <w:rFonts w:cs="Times New Roman"/>
        </w:rPr>
        <w:t xml:space="preserve">(3), 181–199. </w:t>
      </w:r>
      <w:hyperlink r:id="rId8" w:history="1">
        <w:r w:rsidRPr="009456F0">
          <w:rPr>
            <w:rStyle w:val="Hyperlink"/>
            <w:rFonts w:cs="Times New Roman"/>
          </w:rPr>
          <w:t>https://doi.org/10.3102/0013189X08331140</w:t>
        </w:r>
      </w:hyperlink>
    </w:p>
    <w:p w14:paraId="3B2B089D" w14:textId="56D7638E" w:rsidR="00160977" w:rsidRPr="009456F0" w:rsidRDefault="00BA775A" w:rsidP="009456F0">
      <w:pPr>
        <w:spacing w:after="0" w:line="240" w:lineRule="auto"/>
        <w:ind w:left="1080" w:hanging="720"/>
        <w:rPr>
          <w:rFonts w:cs="Times New Roman"/>
        </w:rPr>
      </w:pPr>
      <w:r w:rsidRPr="00BA775A">
        <w:rPr>
          <w:rFonts w:cs="Times New Roman"/>
        </w:rPr>
        <w:t xml:space="preserve">Ekinci, E., &amp; Evran Acar, F. (2019). Primary school teachers’ opinions on professional development (Professional development model proposal). </w:t>
      </w:r>
      <w:r w:rsidRPr="00BA775A">
        <w:rPr>
          <w:rFonts w:cs="Times New Roman"/>
          <w:i/>
          <w:iCs/>
        </w:rPr>
        <w:t>Journal of Education and Training Studies, 7</w:t>
      </w:r>
      <w:r w:rsidRPr="00BA775A">
        <w:rPr>
          <w:rFonts w:cs="Times New Roman"/>
        </w:rPr>
        <w:t>(4), 111–118</w:t>
      </w:r>
      <w:r w:rsidR="00160977" w:rsidRPr="009456F0">
        <w:rPr>
          <w:rFonts w:cs="Times New Roman"/>
        </w:rPr>
        <w:t>.</w:t>
      </w:r>
    </w:p>
    <w:p w14:paraId="7CF63697" w14:textId="77777777" w:rsidR="00160977" w:rsidRPr="009456F0" w:rsidRDefault="00160977" w:rsidP="009456F0">
      <w:pPr>
        <w:spacing w:after="0" w:line="240" w:lineRule="auto"/>
        <w:ind w:left="1080" w:hanging="720"/>
        <w:rPr>
          <w:rFonts w:cs="Times New Roman"/>
        </w:rPr>
      </w:pPr>
      <w:proofErr w:type="spellStart"/>
      <w:r w:rsidRPr="009456F0">
        <w:rPr>
          <w:rFonts w:cs="Times New Roman"/>
        </w:rPr>
        <w:t>Etikan</w:t>
      </w:r>
      <w:proofErr w:type="spellEnd"/>
      <w:r w:rsidRPr="009456F0">
        <w:rPr>
          <w:rFonts w:cs="Times New Roman"/>
        </w:rPr>
        <w:t xml:space="preserve">, I., &amp; Bala, K. (2017). Sampling and sampling methods. </w:t>
      </w:r>
      <w:r w:rsidRPr="009456F0">
        <w:rPr>
          <w:rFonts w:cs="Times New Roman"/>
          <w:i/>
          <w:iCs/>
        </w:rPr>
        <w:t>Biometrics &amp; Biostatistics International Journal, 5</w:t>
      </w:r>
      <w:r w:rsidRPr="009456F0">
        <w:rPr>
          <w:rFonts w:cs="Times New Roman"/>
        </w:rPr>
        <w:t xml:space="preserve">(6), 215–217. </w:t>
      </w:r>
      <w:hyperlink r:id="rId9" w:history="1">
        <w:r w:rsidRPr="009456F0">
          <w:rPr>
            <w:rStyle w:val="Hyperlink"/>
            <w:rFonts w:cs="Times New Roman"/>
          </w:rPr>
          <w:t>https://doi.org/10.15406/bbij.2017.05.00149</w:t>
        </w:r>
      </w:hyperlink>
    </w:p>
    <w:p w14:paraId="3412569B" w14:textId="27061954" w:rsidR="005A41B1" w:rsidRPr="009456F0" w:rsidRDefault="005A41B1" w:rsidP="009456F0">
      <w:pPr>
        <w:spacing w:after="0" w:line="240" w:lineRule="auto"/>
        <w:ind w:left="1080" w:hanging="720"/>
        <w:rPr>
          <w:rFonts w:cs="Times New Roman"/>
        </w:rPr>
      </w:pPr>
      <w:bookmarkStart w:id="4" w:name="_GoBack"/>
      <w:bookmarkEnd w:id="4"/>
      <w:r w:rsidRPr="005A41B1">
        <w:rPr>
          <w:rFonts w:cs="Times New Roman"/>
        </w:rPr>
        <w:t>Mwangi, J. (2024). Impact of Digital Learning Tools on Student Performance in Kenya. </w:t>
      </w:r>
      <w:r w:rsidRPr="005A41B1">
        <w:rPr>
          <w:rFonts w:cs="Times New Roman"/>
          <w:i/>
          <w:iCs/>
        </w:rPr>
        <w:t>African Journal of Education and Practice</w:t>
      </w:r>
      <w:r w:rsidRPr="005A41B1">
        <w:rPr>
          <w:rFonts w:cs="Times New Roman"/>
        </w:rPr>
        <w:t>, </w:t>
      </w:r>
      <w:r w:rsidRPr="005A41B1">
        <w:rPr>
          <w:rFonts w:cs="Times New Roman"/>
          <w:i/>
          <w:iCs/>
        </w:rPr>
        <w:t>10</w:t>
      </w:r>
      <w:r w:rsidRPr="005A41B1">
        <w:rPr>
          <w:rFonts w:cs="Times New Roman"/>
        </w:rPr>
        <w:t>(2), 13 – 22. https://doi.org/10.47604/ajep.2521</w:t>
      </w:r>
    </w:p>
    <w:p w14:paraId="6B043793" w14:textId="77777777" w:rsidR="00160977" w:rsidRPr="009456F0" w:rsidRDefault="00160977" w:rsidP="009456F0">
      <w:pPr>
        <w:spacing w:after="0" w:line="240" w:lineRule="auto"/>
        <w:ind w:left="1080" w:hanging="720"/>
        <w:rPr>
          <w:rFonts w:cs="Times New Roman"/>
        </w:rPr>
      </w:pPr>
      <w:r w:rsidRPr="009456F0">
        <w:rPr>
          <w:rFonts w:cs="Times New Roman"/>
        </w:rPr>
        <w:t xml:space="preserve">Gore, J., Lloyd, A., Smith, M., Bowe, J., Ellis, H., &amp; Lubans, D. (2017). Effects of professional development on student achievement: Results from a randomized controlled trial of Quality Teaching Rounds. </w:t>
      </w:r>
      <w:r w:rsidRPr="009456F0">
        <w:rPr>
          <w:rFonts w:cs="Times New Roman"/>
          <w:i/>
          <w:iCs/>
        </w:rPr>
        <w:t>Teaching and Teacher Education, 68,</w:t>
      </w:r>
      <w:r w:rsidRPr="009456F0">
        <w:rPr>
          <w:rFonts w:cs="Times New Roman"/>
        </w:rPr>
        <w:t xml:space="preserve"> 99–113. </w:t>
      </w:r>
      <w:hyperlink r:id="rId10" w:history="1">
        <w:r w:rsidRPr="009456F0">
          <w:rPr>
            <w:rStyle w:val="Hyperlink"/>
            <w:rFonts w:cs="Times New Roman"/>
          </w:rPr>
          <w:t>https://doi.org/10.1016/j.tate.2017.08.007</w:t>
        </w:r>
      </w:hyperlink>
    </w:p>
    <w:p w14:paraId="1BD4F63E" w14:textId="77777777" w:rsidR="00160977" w:rsidRPr="009456F0" w:rsidRDefault="00160977" w:rsidP="009456F0">
      <w:pPr>
        <w:spacing w:after="0" w:line="240" w:lineRule="auto"/>
        <w:ind w:left="1080" w:hanging="720"/>
        <w:rPr>
          <w:rFonts w:cs="Times New Roman"/>
        </w:rPr>
      </w:pPr>
      <w:r w:rsidRPr="009456F0">
        <w:rPr>
          <w:rFonts w:cs="Times New Roman"/>
        </w:rPr>
        <w:t xml:space="preserve">Hargreaves, A., &amp; Fullan, M. (2012). </w:t>
      </w:r>
      <w:r w:rsidRPr="009456F0">
        <w:rPr>
          <w:rFonts w:cs="Times New Roman"/>
          <w:i/>
          <w:iCs/>
        </w:rPr>
        <w:t>Professional capital: Transforming teaching in every school.</w:t>
      </w:r>
      <w:r w:rsidRPr="009456F0">
        <w:rPr>
          <w:rFonts w:cs="Times New Roman"/>
        </w:rPr>
        <w:t xml:space="preserve"> Teachers College Press.</w:t>
      </w:r>
    </w:p>
    <w:p w14:paraId="7F17F15D" w14:textId="0C97C37B" w:rsidR="005A41B1" w:rsidRPr="009456F0" w:rsidRDefault="005A41B1" w:rsidP="009456F0">
      <w:pPr>
        <w:spacing w:after="0" w:line="240" w:lineRule="auto"/>
        <w:ind w:left="1080" w:hanging="720"/>
        <w:rPr>
          <w:rFonts w:cs="Times New Roman"/>
        </w:rPr>
      </w:pPr>
      <w:r w:rsidRPr="005A41B1">
        <w:rPr>
          <w:rFonts w:cs="Times New Roman"/>
        </w:rPr>
        <w:t xml:space="preserve">Samundeeswari, D. (2024). Teacher Professional Development: Effective Strategies </w:t>
      </w:r>
      <w:proofErr w:type="gramStart"/>
      <w:r w:rsidRPr="005A41B1">
        <w:rPr>
          <w:rFonts w:cs="Times New Roman"/>
        </w:rPr>
        <w:t>And</w:t>
      </w:r>
      <w:proofErr w:type="gramEnd"/>
      <w:r w:rsidRPr="005A41B1">
        <w:rPr>
          <w:rFonts w:cs="Times New Roman"/>
        </w:rPr>
        <w:t xml:space="preserve"> Evaluation Methods. </w:t>
      </w:r>
      <w:r w:rsidRPr="005A41B1">
        <w:rPr>
          <w:rFonts w:cs="Times New Roman"/>
          <w:i/>
          <w:iCs/>
        </w:rPr>
        <w:t>Educational Administration: Theory and Practice, 30</w:t>
      </w:r>
      <w:r w:rsidRPr="005A41B1">
        <w:rPr>
          <w:rFonts w:cs="Times New Roman"/>
        </w:rPr>
        <w:t>, 1726–1733.</w:t>
      </w:r>
    </w:p>
    <w:p w14:paraId="5848875B" w14:textId="6F21C17B" w:rsidR="00160977" w:rsidRPr="009456F0" w:rsidRDefault="007640E9" w:rsidP="009456F0">
      <w:pPr>
        <w:spacing w:after="0" w:line="240" w:lineRule="auto"/>
        <w:ind w:left="1080" w:hanging="720"/>
        <w:rPr>
          <w:rFonts w:cs="Times New Roman"/>
        </w:rPr>
      </w:pPr>
      <w:r w:rsidRPr="007640E9">
        <w:rPr>
          <w:rFonts w:cs="Times New Roman"/>
          <w:lang w:val="pl-PL"/>
        </w:rPr>
        <w:t xml:space="preserve">Kirui, N., Ng’eno, V., &amp; Tabot, B. (2022). </w:t>
      </w:r>
      <w:r w:rsidRPr="007640E9">
        <w:rPr>
          <w:rFonts w:cs="Times New Roman"/>
        </w:rPr>
        <w:t>Teacher’s Professional Knowledge and Students’ Academic Performance: Evidence of TPAD Implementation in Secondary Schools in Kenya. </w:t>
      </w:r>
      <w:r w:rsidRPr="007640E9">
        <w:rPr>
          <w:rFonts w:cs="Times New Roman"/>
          <w:i/>
          <w:iCs/>
        </w:rPr>
        <w:t>East African Journal of Education Studies</w:t>
      </w:r>
      <w:r w:rsidRPr="007640E9">
        <w:rPr>
          <w:rFonts w:cs="Times New Roman"/>
        </w:rPr>
        <w:t>, </w:t>
      </w:r>
      <w:r w:rsidRPr="007640E9">
        <w:rPr>
          <w:rFonts w:cs="Times New Roman"/>
          <w:i/>
          <w:iCs/>
        </w:rPr>
        <w:t>5</w:t>
      </w:r>
      <w:r w:rsidRPr="007640E9">
        <w:rPr>
          <w:rFonts w:cs="Times New Roman"/>
        </w:rPr>
        <w:t xml:space="preserve">(4), 153-168. </w:t>
      </w:r>
      <w:hyperlink r:id="rId11" w:history="1">
        <w:r w:rsidRPr="004E4C3B">
          <w:rPr>
            <w:rStyle w:val="Hyperlink"/>
            <w:rFonts w:cs="Times New Roman"/>
          </w:rPr>
          <w:t>https://doi.org/10.37284/eajes.5.4.1012</w:t>
        </w:r>
      </w:hyperlink>
      <w:proofErr w:type="gramStart"/>
      <w:r>
        <w:rPr>
          <w:rFonts w:cs="Times New Roman"/>
        </w:rPr>
        <w:t xml:space="preserve">. </w:t>
      </w:r>
      <w:r w:rsidR="00160977" w:rsidRPr="009456F0">
        <w:rPr>
          <w:rFonts w:cs="Times New Roman"/>
        </w:rPr>
        <w:t>.</w:t>
      </w:r>
      <w:proofErr w:type="gramEnd"/>
    </w:p>
    <w:p w14:paraId="2CC7ECFB" w14:textId="208F2790" w:rsidR="0055529E" w:rsidRPr="009456F0" w:rsidRDefault="0055529E" w:rsidP="009456F0">
      <w:pPr>
        <w:spacing w:after="0" w:line="240" w:lineRule="auto"/>
        <w:ind w:left="1080" w:hanging="720"/>
        <w:rPr>
          <w:rFonts w:cs="Times New Roman"/>
        </w:rPr>
      </w:pPr>
      <w:r w:rsidRPr="0055529E">
        <w:rPr>
          <w:rFonts w:cs="Times New Roman"/>
          <w:lang w:val="pl-PL"/>
        </w:rPr>
        <w:t xml:space="preserve">Khilji, G., Jogezai, N. A., Bibi, N., &amp; Baloch, F. A. (2022). </w:t>
      </w:r>
      <w:r w:rsidRPr="0055529E">
        <w:rPr>
          <w:rFonts w:cs="Times New Roman"/>
        </w:rPr>
        <w:t>Understanding the effects of educational decentralization through the perspectives of education managers and teachers. </w:t>
      </w:r>
      <w:r w:rsidRPr="0055529E">
        <w:rPr>
          <w:rFonts w:cs="Times New Roman"/>
          <w:i/>
          <w:iCs/>
        </w:rPr>
        <w:t>International Journal of Educational Management</w:t>
      </w:r>
      <w:r w:rsidRPr="0055529E">
        <w:rPr>
          <w:rFonts w:cs="Times New Roman"/>
        </w:rPr>
        <w:t>, </w:t>
      </w:r>
      <w:r w:rsidRPr="0055529E">
        <w:rPr>
          <w:rFonts w:cs="Times New Roman"/>
          <w:i/>
          <w:iCs/>
        </w:rPr>
        <w:t>36</w:t>
      </w:r>
      <w:r w:rsidRPr="0055529E">
        <w:rPr>
          <w:rFonts w:cs="Times New Roman"/>
        </w:rPr>
        <w:t>(7), 1206-1220.</w:t>
      </w:r>
    </w:p>
    <w:p w14:paraId="132BC1AE" w14:textId="77777777" w:rsidR="00160977" w:rsidRPr="009456F0" w:rsidRDefault="00160977" w:rsidP="009456F0">
      <w:pPr>
        <w:spacing w:after="0" w:line="240" w:lineRule="auto"/>
        <w:ind w:left="1080" w:hanging="720"/>
        <w:rPr>
          <w:rFonts w:cs="Times New Roman"/>
        </w:rPr>
      </w:pPr>
      <w:r w:rsidRPr="009456F0">
        <w:rPr>
          <w:rFonts w:cs="Times New Roman"/>
        </w:rPr>
        <w:lastRenderedPageBreak/>
        <w:t xml:space="preserve">Ministry of Education. (2021). </w:t>
      </w:r>
      <w:r w:rsidRPr="009456F0">
        <w:rPr>
          <w:rFonts w:cs="Times New Roman"/>
          <w:i/>
          <w:iCs/>
        </w:rPr>
        <w:t>Kenya Certificate of Primary Education (KCPE) performance report.</w:t>
      </w:r>
      <w:r w:rsidRPr="009456F0">
        <w:rPr>
          <w:rFonts w:cs="Times New Roman"/>
        </w:rPr>
        <w:t xml:space="preserve"> Government of Kenya.</w:t>
      </w:r>
    </w:p>
    <w:p w14:paraId="10B1E5CA" w14:textId="03E994DE" w:rsidR="00160977" w:rsidRPr="009456F0" w:rsidRDefault="001B71CC" w:rsidP="009456F0">
      <w:pPr>
        <w:spacing w:after="0" w:line="240" w:lineRule="auto"/>
        <w:ind w:left="1080" w:hanging="720"/>
        <w:rPr>
          <w:rFonts w:cs="Times New Roman"/>
        </w:rPr>
      </w:pPr>
      <w:r w:rsidRPr="001B71CC">
        <w:rPr>
          <w:rFonts w:cs="Times New Roman"/>
        </w:rPr>
        <w:t>Yumba, D. (2021). </w:t>
      </w:r>
      <w:r w:rsidRPr="001B71CC">
        <w:rPr>
          <w:rFonts w:cs="Times New Roman"/>
          <w:i/>
          <w:iCs/>
        </w:rPr>
        <w:t>Decentralization and quality education in selected community schools in Mufulira and Kitwe districts on the Copper-belt province of Zambia</w:t>
      </w:r>
      <w:r w:rsidRPr="001B71CC">
        <w:rPr>
          <w:rFonts w:cs="Times New Roman"/>
        </w:rPr>
        <w:t> (Doctoral dissertation, The University of Zambia</w:t>
      </w:r>
      <w:proofErr w:type="gramStart"/>
      <w:r w:rsidRPr="001B71CC">
        <w:rPr>
          <w:rFonts w:cs="Times New Roman"/>
        </w:rPr>
        <w:t>).</w:t>
      </w:r>
      <w:r w:rsidR="00160977" w:rsidRPr="009456F0">
        <w:rPr>
          <w:rFonts w:cs="Times New Roman"/>
        </w:rPr>
        <w:t>.</w:t>
      </w:r>
      <w:proofErr w:type="gramEnd"/>
    </w:p>
    <w:p w14:paraId="377D8802" w14:textId="358C372C" w:rsidR="00A90899" w:rsidRPr="009456F0" w:rsidRDefault="00A90899" w:rsidP="009456F0">
      <w:pPr>
        <w:spacing w:after="0" w:line="240" w:lineRule="auto"/>
        <w:ind w:left="1080" w:hanging="720"/>
        <w:rPr>
          <w:rFonts w:cs="Times New Roman"/>
        </w:rPr>
      </w:pPr>
      <w:r w:rsidRPr="00A90899">
        <w:rPr>
          <w:rFonts w:cs="Times New Roman"/>
          <w:lang w:val="pl-PL"/>
        </w:rPr>
        <w:t xml:space="preserve">Omariba, A. &amp; Barasa, D. W. (2024). </w:t>
      </w:r>
      <w:r w:rsidRPr="00A90899">
        <w:rPr>
          <w:rFonts w:cs="Times New Roman"/>
        </w:rPr>
        <w:t>Navigating Leadership and Management Challenges in the Transition to Competency-Based Curriculum in Junior Secondary Education Subtheme: Education Leadership and Management. East African Journal of Education Studies, 7(4), 728-734. https://doi.org/10.37284/eajes.7.4.2465</w:t>
      </w:r>
    </w:p>
    <w:p w14:paraId="274A352A" w14:textId="77777777" w:rsidR="00A90899" w:rsidRDefault="00A90899" w:rsidP="009456F0">
      <w:pPr>
        <w:spacing w:after="0" w:line="240" w:lineRule="auto"/>
        <w:ind w:left="1080" w:hanging="720"/>
        <w:rPr>
          <w:rFonts w:cs="Times New Roman"/>
        </w:rPr>
      </w:pPr>
      <w:r w:rsidRPr="00A90899">
        <w:rPr>
          <w:rFonts w:cs="Times New Roman"/>
          <w:lang w:val="pl-PL"/>
        </w:rPr>
        <w:t xml:space="preserve">Njiru, J. I., Odundo, P. (2024). </w:t>
      </w:r>
      <w:r w:rsidRPr="00A90899">
        <w:rPr>
          <w:rFonts w:cs="Times New Roman"/>
        </w:rPr>
        <w:t>ECDE teacher preparedness and professional development for Competency -Based Curriculum (CBC) adoption in Kenyan higher education institutions. International Academic Journal of Social Sciences and Education (IAJSSE), 2(3), 327-344.</w:t>
      </w:r>
    </w:p>
    <w:p w14:paraId="382A5185" w14:textId="7A72CD9F" w:rsidR="007410F9" w:rsidRPr="009456F0" w:rsidRDefault="007410F9" w:rsidP="009456F0">
      <w:pPr>
        <w:spacing w:after="0" w:line="240" w:lineRule="auto"/>
        <w:ind w:left="1080" w:hanging="720"/>
        <w:rPr>
          <w:rFonts w:cs="Times New Roman"/>
        </w:rPr>
      </w:pPr>
      <w:proofErr w:type="spellStart"/>
      <w:r w:rsidRPr="007410F9">
        <w:rPr>
          <w:rFonts w:cs="Times New Roman"/>
        </w:rPr>
        <w:t>Ngeno</w:t>
      </w:r>
      <w:proofErr w:type="spellEnd"/>
      <w:r w:rsidRPr="007410F9">
        <w:rPr>
          <w:rFonts w:cs="Times New Roman"/>
        </w:rPr>
        <w:t>, B. (2023). The Relationship between Teacher Training and Implementation of a Competency-Based Curriculum in Public Primary Schools, a case study in Kericho county, Kenya. </w:t>
      </w:r>
      <w:r w:rsidRPr="007410F9">
        <w:rPr>
          <w:rFonts w:cs="Times New Roman"/>
          <w:i/>
          <w:iCs/>
        </w:rPr>
        <w:t>East African Journal of Education Studies</w:t>
      </w:r>
      <w:r w:rsidRPr="007410F9">
        <w:rPr>
          <w:rFonts w:cs="Times New Roman"/>
        </w:rPr>
        <w:t>, </w:t>
      </w:r>
      <w:r w:rsidRPr="007410F9">
        <w:rPr>
          <w:rFonts w:cs="Times New Roman"/>
          <w:i/>
          <w:iCs/>
        </w:rPr>
        <w:t>6</w:t>
      </w:r>
      <w:r w:rsidRPr="007410F9">
        <w:rPr>
          <w:rFonts w:cs="Times New Roman"/>
        </w:rPr>
        <w:t>(1), 280-290. https://doi.org/10.37284/eajes.6.1.1138</w:t>
      </w:r>
    </w:p>
    <w:p w14:paraId="5BC28FB7" w14:textId="1FD3F376" w:rsidR="00160977" w:rsidRPr="009456F0" w:rsidRDefault="00731350" w:rsidP="009456F0">
      <w:pPr>
        <w:spacing w:after="0" w:line="240" w:lineRule="auto"/>
        <w:ind w:left="1080" w:hanging="720"/>
        <w:rPr>
          <w:rFonts w:cs="Times New Roman"/>
        </w:rPr>
      </w:pPr>
      <w:r w:rsidRPr="00731350">
        <w:rPr>
          <w:rFonts w:cs="Times New Roman"/>
        </w:rPr>
        <w:t xml:space="preserve">Otieno, L., Swai, C. </w:t>
      </w:r>
      <w:r>
        <w:rPr>
          <w:rFonts w:cs="Times New Roman"/>
        </w:rPr>
        <w:t>&amp;</w:t>
      </w:r>
      <w:r w:rsidRPr="00731350">
        <w:rPr>
          <w:rFonts w:cs="Times New Roman"/>
        </w:rPr>
        <w:t xml:space="preserve"> Bwagilo, H.O., 2025. Determinants of instructors’ attitudes toward competency-based curriculum in Tanzanian technical education and training: a correlational study. </w:t>
      </w:r>
      <w:r w:rsidRPr="00731350">
        <w:rPr>
          <w:rFonts w:cs="Times New Roman"/>
          <w:i/>
          <w:iCs/>
        </w:rPr>
        <w:t>Educational Dimension</w:t>
      </w:r>
      <w:r w:rsidRPr="00731350">
        <w:rPr>
          <w:rFonts w:cs="Times New Roman"/>
        </w:rPr>
        <w:t> [Online]. Available from: </w:t>
      </w:r>
      <w:hyperlink r:id="rId12" w:history="1">
        <w:r w:rsidRPr="00731350">
          <w:rPr>
            <w:rStyle w:val="Hyperlink"/>
            <w:rFonts w:cs="Times New Roman"/>
          </w:rPr>
          <w:t>https://doi.org/10.55056/ed.932</w:t>
        </w:r>
      </w:hyperlink>
      <w:r w:rsidRPr="00731350">
        <w:rPr>
          <w:rFonts w:cs="Times New Roman"/>
        </w:rPr>
        <w:t> </w:t>
      </w:r>
    </w:p>
    <w:p w14:paraId="52105052" w14:textId="2F12C830" w:rsidR="00160977" w:rsidRPr="009456F0" w:rsidRDefault="009D17FC" w:rsidP="009456F0">
      <w:pPr>
        <w:spacing w:after="0" w:line="240" w:lineRule="auto"/>
        <w:ind w:left="1080" w:hanging="720"/>
        <w:rPr>
          <w:rFonts w:cs="Times New Roman"/>
        </w:rPr>
      </w:pPr>
      <w:proofErr w:type="spellStart"/>
      <w:r w:rsidRPr="009D17FC">
        <w:rPr>
          <w:rFonts w:cs="Times New Roman"/>
        </w:rPr>
        <w:t>Ramasimu</w:t>
      </w:r>
      <w:proofErr w:type="spellEnd"/>
      <w:r w:rsidRPr="009D17FC">
        <w:rPr>
          <w:rFonts w:cs="Times New Roman"/>
        </w:rPr>
        <w:t>, N. F. (2024). Innovative teaching strategies: A principal component analysis. </w:t>
      </w:r>
      <w:r w:rsidRPr="009D17FC">
        <w:rPr>
          <w:rFonts w:cs="Times New Roman"/>
          <w:i/>
          <w:iCs/>
        </w:rPr>
        <w:t>Corporate &amp; Business Strategy Review, 5</w:t>
      </w:r>
      <w:r w:rsidRPr="009D17FC">
        <w:rPr>
          <w:rFonts w:cs="Times New Roman"/>
        </w:rPr>
        <w:t>(1), 87–98. </w:t>
      </w:r>
      <w:hyperlink r:id="rId13" w:history="1">
        <w:r w:rsidRPr="009D17FC">
          <w:rPr>
            <w:rStyle w:val="Hyperlink"/>
            <w:rFonts w:cs="Times New Roman"/>
          </w:rPr>
          <w:t>https://doi.org/10.22495/cbsrv5i1art9</w:t>
        </w:r>
      </w:hyperlink>
      <w:r w:rsidR="00160977" w:rsidRPr="009456F0">
        <w:rPr>
          <w:rFonts w:cs="Times New Roman"/>
        </w:rPr>
        <w:t>.</w:t>
      </w:r>
    </w:p>
    <w:p w14:paraId="56E648C2" w14:textId="77777777" w:rsidR="00160977" w:rsidRPr="009456F0" w:rsidRDefault="00160977" w:rsidP="009456F0">
      <w:pPr>
        <w:spacing w:after="0" w:line="240" w:lineRule="auto"/>
        <w:ind w:left="1080" w:hanging="720"/>
        <w:rPr>
          <w:rFonts w:cs="Times New Roman"/>
        </w:rPr>
      </w:pPr>
      <w:proofErr w:type="spellStart"/>
      <w:r w:rsidRPr="009456F0">
        <w:rPr>
          <w:rFonts w:cs="Times New Roman"/>
        </w:rPr>
        <w:t>Taherdoost</w:t>
      </w:r>
      <w:proofErr w:type="spellEnd"/>
      <w:r w:rsidRPr="009456F0">
        <w:rPr>
          <w:rFonts w:cs="Times New Roman"/>
        </w:rPr>
        <w:t xml:space="preserve">, H. (2016). Sampling methods in research methodology: How to choose a sampling technique. </w:t>
      </w:r>
      <w:r w:rsidRPr="009456F0">
        <w:rPr>
          <w:rFonts w:cs="Times New Roman"/>
          <w:i/>
          <w:iCs/>
        </w:rPr>
        <w:t>International Journal of Academic Research in Management, 5</w:t>
      </w:r>
      <w:r w:rsidRPr="009456F0">
        <w:rPr>
          <w:rFonts w:cs="Times New Roman"/>
        </w:rPr>
        <w:t>(2), 18–27.</w:t>
      </w:r>
    </w:p>
    <w:p w14:paraId="7CDB0949" w14:textId="546BC968" w:rsidR="002635A8" w:rsidRPr="009456F0" w:rsidRDefault="002635A8" w:rsidP="009456F0">
      <w:pPr>
        <w:spacing w:after="0" w:line="240" w:lineRule="auto"/>
        <w:ind w:left="1080" w:hanging="720"/>
        <w:rPr>
          <w:rFonts w:cs="Times New Roman"/>
        </w:rPr>
      </w:pPr>
      <w:r w:rsidRPr="002635A8">
        <w:rPr>
          <w:rFonts w:cs="Times New Roman"/>
        </w:rPr>
        <w:t>Vali, I. (2023). The Impact of Technology on Collaborative Learning. In E. Soare, &amp; C. Langa (Eds.), Education Facing Contemporary World Issues - EDU WORLD 2022, vol 5. European Proceedings of Educational Sciences (pp. 126-141). European Publisher. https://doi.org/10.15405/epes.23045.13</w:t>
      </w:r>
    </w:p>
    <w:p w14:paraId="41FAE58A" w14:textId="1E764126" w:rsidR="0096318F" w:rsidRPr="0096318F" w:rsidRDefault="0096318F" w:rsidP="009456F0">
      <w:pPr>
        <w:spacing w:after="0" w:line="240" w:lineRule="auto"/>
        <w:ind w:left="1080" w:hanging="720"/>
        <w:rPr>
          <w:rFonts w:cs="Times New Roman"/>
          <w:lang w:val="pl-PL"/>
        </w:rPr>
      </w:pPr>
      <w:proofErr w:type="spellStart"/>
      <w:r w:rsidRPr="0096318F">
        <w:rPr>
          <w:rFonts w:cs="Times New Roman"/>
        </w:rPr>
        <w:t>Andafu</w:t>
      </w:r>
      <w:proofErr w:type="spellEnd"/>
      <w:r w:rsidRPr="0096318F">
        <w:rPr>
          <w:rFonts w:cs="Times New Roman"/>
        </w:rPr>
        <w:t xml:space="preserve">, E. (2023). Evaluation of the Teacher Professional Development (TPD) Programme in Kenya in the light of Knowles’ Conception of Andragogy. </w:t>
      </w:r>
      <w:proofErr w:type="spellStart"/>
      <w:r w:rsidRPr="0096318F">
        <w:rPr>
          <w:rFonts w:cs="Times New Roman"/>
        </w:rPr>
        <w:t>Msingi</w:t>
      </w:r>
      <w:proofErr w:type="spellEnd"/>
      <w:r w:rsidRPr="0096318F">
        <w:rPr>
          <w:rFonts w:cs="Times New Roman"/>
        </w:rPr>
        <w:t xml:space="preserve"> Journal, 7(1), 32-53. </w:t>
      </w:r>
      <w:hyperlink r:id="rId14" w:history="1">
        <w:r w:rsidRPr="0096318F">
          <w:rPr>
            <w:rStyle w:val="Hyperlink"/>
            <w:rFonts w:cs="Times New Roman"/>
            <w:lang w:val="pl-PL"/>
          </w:rPr>
          <w:t>https://doi.org/10.33886/mj.v7i1.432</w:t>
        </w:r>
      </w:hyperlink>
      <w:r w:rsidRPr="0096318F">
        <w:rPr>
          <w:rFonts w:cs="Times New Roman"/>
          <w:lang w:val="pl-PL"/>
        </w:rPr>
        <w:t xml:space="preserve">. </w:t>
      </w:r>
    </w:p>
    <w:p w14:paraId="0C24358F" w14:textId="6E456BD0" w:rsidR="0096318F" w:rsidRPr="009456F0" w:rsidRDefault="0096318F" w:rsidP="009456F0">
      <w:pPr>
        <w:spacing w:after="0" w:line="240" w:lineRule="auto"/>
        <w:ind w:left="1080" w:hanging="720"/>
        <w:rPr>
          <w:rFonts w:cs="Times New Roman"/>
        </w:rPr>
      </w:pPr>
      <w:r w:rsidRPr="0096318F">
        <w:rPr>
          <w:rFonts w:cs="Times New Roman"/>
          <w:lang w:val="pl-PL"/>
        </w:rPr>
        <w:t xml:space="preserve">Haji, J. R., Shiyo, R. J., &amp; Mrutu, N. (2023). </w:t>
      </w:r>
      <w:r w:rsidRPr="0096318F">
        <w:rPr>
          <w:rFonts w:cs="Times New Roman"/>
        </w:rPr>
        <w:t>Exploring Effective ICT Integration Strategies in Education: A Case of Two Public Primary Schools in Mombasa, Kenya. </w:t>
      </w:r>
      <w:r w:rsidRPr="0096318F">
        <w:rPr>
          <w:rFonts w:cs="Times New Roman"/>
          <w:i/>
          <w:iCs/>
        </w:rPr>
        <w:t>Journal of Education and Practice</w:t>
      </w:r>
      <w:r w:rsidRPr="0096318F">
        <w:rPr>
          <w:rFonts w:cs="Times New Roman"/>
        </w:rPr>
        <w:t>, </w:t>
      </w:r>
      <w:r w:rsidRPr="0096318F">
        <w:rPr>
          <w:rFonts w:cs="Times New Roman"/>
          <w:i/>
          <w:iCs/>
        </w:rPr>
        <w:t>7</w:t>
      </w:r>
      <w:r w:rsidRPr="0096318F">
        <w:rPr>
          <w:rFonts w:cs="Times New Roman"/>
        </w:rPr>
        <w:t>(7), 15.</w:t>
      </w:r>
    </w:p>
    <w:p w14:paraId="5AD77A32" w14:textId="77777777" w:rsidR="00160977" w:rsidRPr="009456F0" w:rsidRDefault="00160977" w:rsidP="009456F0">
      <w:pPr>
        <w:spacing w:after="0" w:line="240" w:lineRule="auto"/>
        <w:ind w:left="1080" w:hanging="720"/>
        <w:rPr>
          <w:rFonts w:cs="Times New Roman"/>
        </w:rPr>
      </w:pPr>
      <w:r w:rsidRPr="009456F0">
        <w:rPr>
          <w:rFonts w:cs="Times New Roman"/>
        </w:rPr>
        <w:t xml:space="preserve">World Bank. (2018). </w:t>
      </w:r>
      <w:r w:rsidRPr="009456F0">
        <w:rPr>
          <w:rFonts w:cs="Times New Roman"/>
          <w:i/>
          <w:iCs/>
        </w:rPr>
        <w:t>World development report 2018: Learning to realize education’s promise.</w:t>
      </w:r>
      <w:r w:rsidRPr="009456F0">
        <w:rPr>
          <w:rFonts w:cs="Times New Roman"/>
        </w:rPr>
        <w:t xml:space="preserve"> World Bank Group. </w:t>
      </w:r>
      <w:hyperlink r:id="rId15" w:history="1">
        <w:r w:rsidRPr="009456F0">
          <w:rPr>
            <w:rStyle w:val="Hyperlink"/>
            <w:rFonts w:cs="Times New Roman"/>
          </w:rPr>
          <w:t>https://doi.org/10.1596/978-1-4648-1096-1</w:t>
        </w:r>
      </w:hyperlink>
    </w:p>
    <w:p w14:paraId="1777B0AD" w14:textId="3E866E9D" w:rsidR="00160977" w:rsidRPr="009456F0" w:rsidRDefault="00703429" w:rsidP="009456F0">
      <w:pPr>
        <w:spacing w:after="0" w:line="240" w:lineRule="auto"/>
        <w:ind w:left="1080" w:hanging="720"/>
        <w:rPr>
          <w:rFonts w:cs="Times New Roman"/>
        </w:rPr>
      </w:pPr>
      <w:r w:rsidRPr="00703429">
        <w:rPr>
          <w:rFonts w:cs="Times New Roman"/>
        </w:rPr>
        <w:t>Yawman, M., &amp; Appiah-Kubi, J. (2018). Innovative teaching strategies and students’ achievement. </w:t>
      </w:r>
      <w:r w:rsidRPr="00703429">
        <w:rPr>
          <w:rFonts w:cs="Times New Roman"/>
          <w:i/>
          <w:iCs/>
        </w:rPr>
        <w:t xml:space="preserve">Available at SSRN </w:t>
      </w:r>
      <w:proofErr w:type="gramStart"/>
      <w:r w:rsidRPr="00703429">
        <w:rPr>
          <w:rFonts w:cs="Times New Roman"/>
          <w:i/>
          <w:iCs/>
        </w:rPr>
        <w:t>3161988</w:t>
      </w:r>
      <w:r w:rsidRPr="00703429">
        <w:rPr>
          <w:rFonts w:cs="Times New Roman"/>
        </w:rPr>
        <w:t>.</w:t>
      </w:r>
      <w:r w:rsidR="00160977" w:rsidRPr="009456F0">
        <w:rPr>
          <w:rFonts w:cs="Times New Roman"/>
        </w:rPr>
        <w:t>.</w:t>
      </w:r>
      <w:proofErr w:type="gramEnd"/>
    </w:p>
    <w:p w14:paraId="1B67468B" w14:textId="18AF37AB" w:rsidR="005D1174" w:rsidRPr="009456F0" w:rsidRDefault="005D1174" w:rsidP="009456F0">
      <w:pPr>
        <w:spacing w:after="0" w:line="240" w:lineRule="auto"/>
        <w:ind w:left="720"/>
        <w:rPr>
          <w:rFonts w:cs="Times New Roman"/>
        </w:rPr>
      </w:pPr>
    </w:p>
    <w:p w14:paraId="3356A2FE" w14:textId="77777777" w:rsidR="004E44AD" w:rsidRPr="009456F0" w:rsidRDefault="004E44AD" w:rsidP="009456F0">
      <w:pPr>
        <w:spacing w:after="0" w:line="240" w:lineRule="auto"/>
        <w:rPr>
          <w:rFonts w:cs="Times New Roman"/>
        </w:rPr>
      </w:pPr>
    </w:p>
    <w:sectPr w:rsidR="004E44AD" w:rsidRPr="009456F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4D211" w14:textId="77777777" w:rsidR="00964B13" w:rsidRDefault="00964B13" w:rsidP="00E36906">
      <w:pPr>
        <w:spacing w:after="0" w:line="240" w:lineRule="auto"/>
      </w:pPr>
      <w:r>
        <w:separator/>
      </w:r>
    </w:p>
  </w:endnote>
  <w:endnote w:type="continuationSeparator" w:id="0">
    <w:p w14:paraId="65C570F6" w14:textId="77777777" w:rsidR="00964B13" w:rsidRDefault="00964B13" w:rsidP="00E3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70C2C" w14:textId="77777777" w:rsidR="00E36906" w:rsidRDefault="00E36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A3D5" w14:textId="77777777" w:rsidR="00E36906" w:rsidRDefault="00E36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E185" w14:textId="77777777" w:rsidR="00E36906" w:rsidRDefault="00E3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6B286" w14:textId="77777777" w:rsidR="00964B13" w:rsidRDefault="00964B13" w:rsidP="00E36906">
      <w:pPr>
        <w:spacing w:after="0" w:line="240" w:lineRule="auto"/>
      </w:pPr>
      <w:r>
        <w:separator/>
      </w:r>
    </w:p>
  </w:footnote>
  <w:footnote w:type="continuationSeparator" w:id="0">
    <w:p w14:paraId="6220AB50" w14:textId="77777777" w:rsidR="00964B13" w:rsidRDefault="00964B13" w:rsidP="00E36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6BFD" w14:textId="70460544" w:rsidR="00E36906" w:rsidRDefault="00964B13">
    <w:pPr>
      <w:pStyle w:val="Header"/>
    </w:pPr>
    <w:r>
      <w:rPr>
        <w:noProof/>
      </w:rPr>
      <w:pict w14:anchorId="3FE28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87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99D5" w14:textId="51EE7BDD" w:rsidR="00E36906" w:rsidRDefault="00964B13">
    <w:pPr>
      <w:pStyle w:val="Header"/>
    </w:pPr>
    <w:r>
      <w:rPr>
        <w:noProof/>
      </w:rPr>
      <w:pict w14:anchorId="72340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87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DF28" w14:textId="5736AB61" w:rsidR="00E36906" w:rsidRDefault="00964B13">
    <w:pPr>
      <w:pStyle w:val="Header"/>
    </w:pPr>
    <w:r>
      <w:rPr>
        <w:noProof/>
      </w:rPr>
      <w:pict w14:anchorId="56D57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87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83F61"/>
    <w:multiLevelType w:val="multilevel"/>
    <w:tmpl w:val="4D64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B104B"/>
    <w:multiLevelType w:val="multilevel"/>
    <w:tmpl w:val="6678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1594C"/>
    <w:multiLevelType w:val="multilevel"/>
    <w:tmpl w:val="1018BDF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74"/>
    <w:rsid w:val="00097884"/>
    <w:rsid w:val="00103B8A"/>
    <w:rsid w:val="00106531"/>
    <w:rsid w:val="00160977"/>
    <w:rsid w:val="001A5082"/>
    <w:rsid w:val="001B6747"/>
    <w:rsid w:val="001B71CC"/>
    <w:rsid w:val="00202868"/>
    <w:rsid w:val="00205FFA"/>
    <w:rsid w:val="00211D32"/>
    <w:rsid w:val="00255994"/>
    <w:rsid w:val="002635A8"/>
    <w:rsid w:val="00271880"/>
    <w:rsid w:val="002A6262"/>
    <w:rsid w:val="002F0BB9"/>
    <w:rsid w:val="002F7979"/>
    <w:rsid w:val="00303ADD"/>
    <w:rsid w:val="00316CB4"/>
    <w:rsid w:val="00375AB8"/>
    <w:rsid w:val="00376374"/>
    <w:rsid w:val="0037714B"/>
    <w:rsid w:val="003F5BF0"/>
    <w:rsid w:val="00404E6D"/>
    <w:rsid w:val="0044394E"/>
    <w:rsid w:val="00472E27"/>
    <w:rsid w:val="004E44AD"/>
    <w:rsid w:val="0055529E"/>
    <w:rsid w:val="005962E2"/>
    <w:rsid w:val="005A41B1"/>
    <w:rsid w:val="005D1174"/>
    <w:rsid w:val="005D345D"/>
    <w:rsid w:val="005F555A"/>
    <w:rsid w:val="00650406"/>
    <w:rsid w:val="00676F9F"/>
    <w:rsid w:val="006E3B2B"/>
    <w:rsid w:val="006E3F86"/>
    <w:rsid w:val="00703429"/>
    <w:rsid w:val="00731350"/>
    <w:rsid w:val="007410F9"/>
    <w:rsid w:val="007640E9"/>
    <w:rsid w:val="00772C35"/>
    <w:rsid w:val="00776AC3"/>
    <w:rsid w:val="0079049D"/>
    <w:rsid w:val="00797B68"/>
    <w:rsid w:val="007B6C5F"/>
    <w:rsid w:val="007D0C26"/>
    <w:rsid w:val="007F75EF"/>
    <w:rsid w:val="00833C68"/>
    <w:rsid w:val="00840BEA"/>
    <w:rsid w:val="00876263"/>
    <w:rsid w:val="00890D50"/>
    <w:rsid w:val="008A1F75"/>
    <w:rsid w:val="008D45AC"/>
    <w:rsid w:val="008F5702"/>
    <w:rsid w:val="00903376"/>
    <w:rsid w:val="009456F0"/>
    <w:rsid w:val="0096318F"/>
    <w:rsid w:val="00964B13"/>
    <w:rsid w:val="00967BE0"/>
    <w:rsid w:val="009D17FC"/>
    <w:rsid w:val="00A7428C"/>
    <w:rsid w:val="00A90899"/>
    <w:rsid w:val="00AF6C18"/>
    <w:rsid w:val="00B15AE9"/>
    <w:rsid w:val="00B6274F"/>
    <w:rsid w:val="00B921A1"/>
    <w:rsid w:val="00BA775A"/>
    <w:rsid w:val="00BC4559"/>
    <w:rsid w:val="00C049DD"/>
    <w:rsid w:val="00C341FA"/>
    <w:rsid w:val="00CA61FA"/>
    <w:rsid w:val="00CA725B"/>
    <w:rsid w:val="00CE59B5"/>
    <w:rsid w:val="00CF08F8"/>
    <w:rsid w:val="00CF5A56"/>
    <w:rsid w:val="00D131F6"/>
    <w:rsid w:val="00D41716"/>
    <w:rsid w:val="00D845B1"/>
    <w:rsid w:val="00DC2838"/>
    <w:rsid w:val="00DF6C1C"/>
    <w:rsid w:val="00E05B93"/>
    <w:rsid w:val="00E27C36"/>
    <w:rsid w:val="00E36906"/>
    <w:rsid w:val="00E40923"/>
    <w:rsid w:val="00E47A9E"/>
    <w:rsid w:val="00E811A6"/>
    <w:rsid w:val="00E85F6C"/>
    <w:rsid w:val="00EB7550"/>
    <w:rsid w:val="00ED3B1B"/>
    <w:rsid w:val="00FD33FF"/>
    <w:rsid w:val="00FE061C"/>
    <w:rsid w:val="00FE15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0A0A0"/>
  <w15:chartTrackingRefBased/>
  <w15:docId w15:val="{A23940BC-3D00-4094-B230-B585ECD8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C68"/>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5D11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1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11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1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11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D11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11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11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11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1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1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1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1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1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74"/>
    <w:rPr>
      <w:rFonts w:eastAsiaTheme="majorEastAsia" w:cstheme="majorBidi"/>
      <w:color w:val="272727" w:themeColor="text1" w:themeTint="D8"/>
    </w:rPr>
  </w:style>
  <w:style w:type="paragraph" w:styleId="Title">
    <w:name w:val="Title"/>
    <w:basedOn w:val="Normal"/>
    <w:next w:val="Normal"/>
    <w:link w:val="TitleChar"/>
    <w:uiPriority w:val="10"/>
    <w:qFormat/>
    <w:rsid w:val="005D1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74"/>
    <w:pPr>
      <w:spacing w:before="160"/>
      <w:jc w:val="center"/>
    </w:pPr>
    <w:rPr>
      <w:i/>
      <w:iCs/>
      <w:color w:val="404040" w:themeColor="text1" w:themeTint="BF"/>
    </w:rPr>
  </w:style>
  <w:style w:type="character" w:customStyle="1" w:styleId="QuoteChar">
    <w:name w:val="Quote Char"/>
    <w:basedOn w:val="DefaultParagraphFont"/>
    <w:link w:val="Quote"/>
    <w:uiPriority w:val="29"/>
    <w:rsid w:val="005D1174"/>
    <w:rPr>
      <w:rFonts w:ascii="Times New Roman" w:hAnsi="Times New Roman"/>
      <w:i/>
      <w:iCs/>
      <w:color w:val="404040" w:themeColor="text1" w:themeTint="BF"/>
    </w:rPr>
  </w:style>
  <w:style w:type="paragraph" w:styleId="ListParagraph">
    <w:name w:val="List Paragraph"/>
    <w:basedOn w:val="Normal"/>
    <w:uiPriority w:val="34"/>
    <w:qFormat/>
    <w:rsid w:val="005D1174"/>
    <w:pPr>
      <w:ind w:left="720"/>
      <w:contextualSpacing/>
    </w:pPr>
  </w:style>
  <w:style w:type="character" w:styleId="IntenseEmphasis">
    <w:name w:val="Intense Emphasis"/>
    <w:basedOn w:val="DefaultParagraphFont"/>
    <w:uiPriority w:val="21"/>
    <w:qFormat/>
    <w:rsid w:val="005D1174"/>
    <w:rPr>
      <w:i/>
      <w:iCs/>
      <w:color w:val="2F5496" w:themeColor="accent1" w:themeShade="BF"/>
    </w:rPr>
  </w:style>
  <w:style w:type="paragraph" w:styleId="IntenseQuote">
    <w:name w:val="Intense Quote"/>
    <w:basedOn w:val="Normal"/>
    <w:next w:val="Normal"/>
    <w:link w:val="IntenseQuoteChar"/>
    <w:uiPriority w:val="30"/>
    <w:qFormat/>
    <w:rsid w:val="005D1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174"/>
    <w:rPr>
      <w:rFonts w:ascii="Times New Roman" w:hAnsi="Times New Roman"/>
      <w:i/>
      <w:iCs/>
      <w:color w:val="2F5496" w:themeColor="accent1" w:themeShade="BF"/>
    </w:rPr>
  </w:style>
  <w:style w:type="character" w:styleId="IntenseReference">
    <w:name w:val="Intense Reference"/>
    <w:basedOn w:val="DefaultParagraphFont"/>
    <w:uiPriority w:val="32"/>
    <w:qFormat/>
    <w:rsid w:val="005D1174"/>
    <w:rPr>
      <w:b/>
      <w:bCs/>
      <w:smallCaps/>
      <w:color w:val="2F5496" w:themeColor="accent1" w:themeShade="BF"/>
      <w:spacing w:val="5"/>
    </w:rPr>
  </w:style>
  <w:style w:type="paragraph" w:styleId="NormalWeb">
    <w:name w:val="Normal (Web)"/>
    <w:basedOn w:val="Normal"/>
    <w:uiPriority w:val="99"/>
    <w:semiHidden/>
    <w:unhideWhenUsed/>
    <w:rsid w:val="00160977"/>
    <w:rPr>
      <w:rFonts w:cs="Times New Roman"/>
    </w:rPr>
  </w:style>
  <w:style w:type="character" w:styleId="Hyperlink">
    <w:name w:val="Hyperlink"/>
    <w:basedOn w:val="DefaultParagraphFont"/>
    <w:uiPriority w:val="99"/>
    <w:unhideWhenUsed/>
    <w:rsid w:val="00160977"/>
    <w:rPr>
      <w:color w:val="0563C1" w:themeColor="hyperlink"/>
      <w:u w:val="single"/>
    </w:rPr>
  </w:style>
  <w:style w:type="character" w:styleId="UnresolvedMention">
    <w:name w:val="Unresolved Mention"/>
    <w:basedOn w:val="DefaultParagraphFont"/>
    <w:uiPriority w:val="99"/>
    <w:semiHidden/>
    <w:unhideWhenUsed/>
    <w:rsid w:val="00160977"/>
    <w:rPr>
      <w:color w:val="605E5C"/>
      <w:shd w:val="clear" w:color="auto" w:fill="E1DFDD"/>
    </w:rPr>
  </w:style>
  <w:style w:type="character" w:styleId="Emphasis">
    <w:name w:val="Emphasis"/>
    <w:basedOn w:val="DefaultParagraphFont"/>
    <w:uiPriority w:val="20"/>
    <w:qFormat/>
    <w:rsid w:val="0037714B"/>
    <w:rPr>
      <w:i/>
      <w:iCs/>
    </w:rPr>
  </w:style>
  <w:style w:type="paragraph" w:styleId="Caption">
    <w:name w:val="caption"/>
    <w:basedOn w:val="Normal"/>
    <w:next w:val="Normal"/>
    <w:uiPriority w:val="35"/>
    <w:unhideWhenUsed/>
    <w:qFormat/>
    <w:rsid w:val="00103B8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3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06"/>
    <w:rPr>
      <w:rFonts w:ascii="Times New Roman" w:hAnsi="Times New Roman"/>
    </w:rPr>
  </w:style>
  <w:style w:type="paragraph" w:styleId="Footer">
    <w:name w:val="footer"/>
    <w:basedOn w:val="Normal"/>
    <w:link w:val="FooterChar"/>
    <w:uiPriority w:val="99"/>
    <w:unhideWhenUsed/>
    <w:rsid w:val="00E3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06"/>
    <w:rPr>
      <w:rFonts w:ascii="Times New Roman" w:hAnsi="Times New Roman"/>
    </w:rPr>
  </w:style>
  <w:style w:type="character" w:styleId="FollowedHyperlink">
    <w:name w:val="FollowedHyperlink"/>
    <w:basedOn w:val="DefaultParagraphFont"/>
    <w:uiPriority w:val="99"/>
    <w:semiHidden/>
    <w:unhideWhenUsed/>
    <w:rsid w:val="00797B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270">
      <w:bodyDiv w:val="1"/>
      <w:marLeft w:val="0"/>
      <w:marRight w:val="0"/>
      <w:marTop w:val="0"/>
      <w:marBottom w:val="0"/>
      <w:divBdr>
        <w:top w:val="none" w:sz="0" w:space="0" w:color="auto"/>
        <w:left w:val="none" w:sz="0" w:space="0" w:color="auto"/>
        <w:bottom w:val="none" w:sz="0" w:space="0" w:color="auto"/>
        <w:right w:val="none" w:sz="0" w:space="0" w:color="auto"/>
      </w:divBdr>
    </w:div>
    <w:div w:id="30351613">
      <w:bodyDiv w:val="1"/>
      <w:marLeft w:val="0"/>
      <w:marRight w:val="0"/>
      <w:marTop w:val="0"/>
      <w:marBottom w:val="0"/>
      <w:divBdr>
        <w:top w:val="none" w:sz="0" w:space="0" w:color="auto"/>
        <w:left w:val="none" w:sz="0" w:space="0" w:color="auto"/>
        <w:bottom w:val="none" w:sz="0" w:space="0" w:color="auto"/>
        <w:right w:val="none" w:sz="0" w:space="0" w:color="auto"/>
      </w:divBdr>
    </w:div>
    <w:div w:id="70321089">
      <w:bodyDiv w:val="1"/>
      <w:marLeft w:val="0"/>
      <w:marRight w:val="0"/>
      <w:marTop w:val="0"/>
      <w:marBottom w:val="0"/>
      <w:divBdr>
        <w:top w:val="none" w:sz="0" w:space="0" w:color="auto"/>
        <w:left w:val="none" w:sz="0" w:space="0" w:color="auto"/>
        <w:bottom w:val="none" w:sz="0" w:space="0" w:color="auto"/>
        <w:right w:val="none" w:sz="0" w:space="0" w:color="auto"/>
      </w:divBdr>
    </w:div>
    <w:div w:id="585307831">
      <w:bodyDiv w:val="1"/>
      <w:marLeft w:val="0"/>
      <w:marRight w:val="0"/>
      <w:marTop w:val="0"/>
      <w:marBottom w:val="0"/>
      <w:divBdr>
        <w:top w:val="none" w:sz="0" w:space="0" w:color="auto"/>
        <w:left w:val="none" w:sz="0" w:space="0" w:color="auto"/>
        <w:bottom w:val="none" w:sz="0" w:space="0" w:color="auto"/>
        <w:right w:val="none" w:sz="0" w:space="0" w:color="auto"/>
      </w:divBdr>
    </w:div>
    <w:div w:id="686516416">
      <w:bodyDiv w:val="1"/>
      <w:marLeft w:val="0"/>
      <w:marRight w:val="0"/>
      <w:marTop w:val="0"/>
      <w:marBottom w:val="0"/>
      <w:divBdr>
        <w:top w:val="none" w:sz="0" w:space="0" w:color="auto"/>
        <w:left w:val="none" w:sz="0" w:space="0" w:color="auto"/>
        <w:bottom w:val="none" w:sz="0" w:space="0" w:color="auto"/>
        <w:right w:val="none" w:sz="0" w:space="0" w:color="auto"/>
      </w:divBdr>
    </w:div>
    <w:div w:id="756680563">
      <w:bodyDiv w:val="1"/>
      <w:marLeft w:val="0"/>
      <w:marRight w:val="0"/>
      <w:marTop w:val="0"/>
      <w:marBottom w:val="0"/>
      <w:divBdr>
        <w:top w:val="none" w:sz="0" w:space="0" w:color="auto"/>
        <w:left w:val="none" w:sz="0" w:space="0" w:color="auto"/>
        <w:bottom w:val="none" w:sz="0" w:space="0" w:color="auto"/>
        <w:right w:val="none" w:sz="0" w:space="0" w:color="auto"/>
      </w:divBdr>
    </w:div>
    <w:div w:id="1247835959">
      <w:bodyDiv w:val="1"/>
      <w:marLeft w:val="0"/>
      <w:marRight w:val="0"/>
      <w:marTop w:val="0"/>
      <w:marBottom w:val="0"/>
      <w:divBdr>
        <w:top w:val="none" w:sz="0" w:space="0" w:color="auto"/>
        <w:left w:val="none" w:sz="0" w:space="0" w:color="auto"/>
        <w:bottom w:val="none" w:sz="0" w:space="0" w:color="auto"/>
        <w:right w:val="none" w:sz="0" w:space="0" w:color="auto"/>
      </w:divBdr>
    </w:div>
    <w:div w:id="1293444301">
      <w:bodyDiv w:val="1"/>
      <w:marLeft w:val="0"/>
      <w:marRight w:val="0"/>
      <w:marTop w:val="0"/>
      <w:marBottom w:val="0"/>
      <w:divBdr>
        <w:top w:val="none" w:sz="0" w:space="0" w:color="auto"/>
        <w:left w:val="none" w:sz="0" w:space="0" w:color="auto"/>
        <w:bottom w:val="none" w:sz="0" w:space="0" w:color="auto"/>
        <w:right w:val="none" w:sz="0" w:space="0" w:color="auto"/>
      </w:divBdr>
    </w:div>
    <w:div w:id="1412582957">
      <w:bodyDiv w:val="1"/>
      <w:marLeft w:val="0"/>
      <w:marRight w:val="0"/>
      <w:marTop w:val="0"/>
      <w:marBottom w:val="0"/>
      <w:divBdr>
        <w:top w:val="none" w:sz="0" w:space="0" w:color="auto"/>
        <w:left w:val="none" w:sz="0" w:space="0" w:color="auto"/>
        <w:bottom w:val="none" w:sz="0" w:space="0" w:color="auto"/>
        <w:right w:val="none" w:sz="0" w:space="0" w:color="auto"/>
      </w:divBdr>
    </w:div>
    <w:div w:id="1455978779">
      <w:bodyDiv w:val="1"/>
      <w:marLeft w:val="0"/>
      <w:marRight w:val="0"/>
      <w:marTop w:val="0"/>
      <w:marBottom w:val="0"/>
      <w:divBdr>
        <w:top w:val="none" w:sz="0" w:space="0" w:color="auto"/>
        <w:left w:val="none" w:sz="0" w:space="0" w:color="auto"/>
        <w:bottom w:val="none" w:sz="0" w:space="0" w:color="auto"/>
        <w:right w:val="none" w:sz="0" w:space="0" w:color="auto"/>
      </w:divBdr>
    </w:div>
    <w:div w:id="1473016295">
      <w:bodyDiv w:val="1"/>
      <w:marLeft w:val="0"/>
      <w:marRight w:val="0"/>
      <w:marTop w:val="0"/>
      <w:marBottom w:val="0"/>
      <w:divBdr>
        <w:top w:val="none" w:sz="0" w:space="0" w:color="auto"/>
        <w:left w:val="none" w:sz="0" w:space="0" w:color="auto"/>
        <w:bottom w:val="none" w:sz="0" w:space="0" w:color="auto"/>
        <w:right w:val="none" w:sz="0" w:space="0" w:color="auto"/>
      </w:divBdr>
    </w:div>
    <w:div w:id="16445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2/0013189X08331140" TargetMode="External"/><Relationship Id="rId13" Type="http://schemas.openxmlformats.org/officeDocument/2006/relationships/hyperlink" Target="https://doi.org/10.22495/cbsrv5i1art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55056/ed.93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284/eajes.5.4.1012" TargetMode="External"/><Relationship Id="rId5" Type="http://schemas.openxmlformats.org/officeDocument/2006/relationships/webSettings" Target="webSettings.xml"/><Relationship Id="rId15" Type="http://schemas.openxmlformats.org/officeDocument/2006/relationships/hyperlink" Target="https://doi.org/10.1596/978-1-4648-1096-1" TargetMode="External"/><Relationship Id="rId23" Type="http://schemas.openxmlformats.org/officeDocument/2006/relationships/theme" Target="theme/theme1.xml"/><Relationship Id="rId10" Type="http://schemas.openxmlformats.org/officeDocument/2006/relationships/hyperlink" Target="https://doi.org/10.1016/j.tate.2017.08.00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5406/bbij.2017.05.00149" TargetMode="External"/><Relationship Id="rId14" Type="http://schemas.openxmlformats.org/officeDocument/2006/relationships/hyperlink" Target="https://doi.org/10.33886/mj.v7i1.43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A2968-5653-488F-A781-824B306D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6145</Words>
  <Characters>35033</Characters>
  <Application>Microsoft Office Word</Application>
  <DocSecurity>0</DocSecurity>
  <Lines>291</Lines>
  <Paragraphs>82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8.4 Inferential Statistics</vt:lpstr>
    </vt:vector>
  </TitlesOfParts>
  <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18</cp:revision>
  <dcterms:created xsi:type="dcterms:W3CDTF">2025-08-18T14:01:00Z</dcterms:created>
  <dcterms:modified xsi:type="dcterms:W3CDTF">2025-08-25T07:55:00Z</dcterms:modified>
</cp:coreProperties>
</file>