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C9189" w14:textId="77777777" w:rsidR="00754C9A" w:rsidRPr="00F92ECC" w:rsidRDefault="00754C9A" w:rsidP="00441B6F">
      <w:pPr>
        <w:pStyle w:val="Title"/>
        <w:spacing w:after="0"/>
        <w:jc w:val="both"/>
        <w:rPr>
          <w:rFonts w:ascii="Arial" w:hAnsi="Arial" w:cs="Arial"/>
          <w:sz w:val="56"/>
          <w:szCs w:val="56"/>
        </w:rPr>
      </w:pPr>
    </w:p>
    <w:p w14:paraId="1118329F" w14:textId="2AF25AAF" w:rsidR="00A258C3" w:rsidRDefault="00794FCD" w:rsidP="00441B6F">
      <w:pPr>
        <w:pStyle w:val="Author"/>
        <w:spacing w:line="240" w:lineRule="auto"/>
        <w:jc w:val="both"/>
        <w:rPr>
          <w:rFonts w:ascii="Arial" w:hAnsi="Arial" w:cs="Arial"/>
          <w:bCs/>
          <w:iCs/>
          <w:kern w:val="28"/>
          <w:sz w:val="36"/>
        </w:rPr>
      </w:pPr>
      <w:r w:rsidRPr="00794FCD">
        <w:rPr>
          <w:rFonts w:ascii="Arial" w:hAnsi="Arial" w:cs="Arial"/>
          <w:bCs/>
          <w:iCs/>
          <w:kern w:val="28"/>
          <w:sz w:val="36"/>
        </w:rPr>
        <w:t>Determinants of Instruction Mode Choice in TVET: A Conditional Logit Analysis of Instructor Assessment Competence, Class Size</w:t>
      </w:r>
      <w:r w:rsidR="004532FD">
        <w:rPr>
          <w:rFonts w:ascii="Arial" w:hAnsi="Arial" w:cs="Arial"/>
          <w:bCs/>
          <w:iCs/>
          <w:kern w:val="28"/>
          <w:sz w:val="36"/>
        </w:rPr>
        <w:t xml:space="preserve"> </w:t>
      </w:r>
      <w:r w:rsidRPr="00794FCD">
        <w:rPr>
          <w:rFonts w:ascii="Arial" w:hAnsi="Arial" w:cs="Arial"/>
          <w:bCs/>
          <w:iCs/>
          <w:kern w:val="28"/>
          <w:sz w:val="36"/>
        </w:rPr>
        <w:t>and Institutional Capacity</w:t>
      </w:r>
      <w:r w:rsidR="000E7CCF">
        <w:rPr>
          <w:rFonts w:ascii="Arial" w:hAnsi="Arial" w:cs="Arial"/>
          <w:bCs/>
          <w:iCs/>
          <w:kern w:val="28"/>
          <w:sz w:val="36"/>
        </w:rPr>
        <w:t xml:space="preserve"> </w:t>
      </w:r>
    </w:p>
    <w:p w14:paraId="250DF306" w14:textId="78810099" w:rsidR="00CA1FAC" w:rsidRDefault="00CA1FAC" w:rsidP="00794FCD">
      <w:pPr>
        <w:pStyle w:val="Affiliation"/>
        <w:spacing w:after="0" w:line="240" w:lineRule="auto"/>
        <w:jc w:val="both"/>
        <w:rPr>
          <w:rFonts w:ascii="Arial" w:hAnsi="Arial" w:cs="Arial"/>
        </w:rPr>
      </w:pPr>
    </w:p>
    <w:p w14:paraId="0800E300" w14:textId="77777777" w:rsidR="002771F6" w:rsidRDefault="002771F6" w:rsidP="00794FCD">
      <w:pPr>
        <w:pStyle w:val="Affiliation"/>
        <w:spacing w:after="0" w:line="240" w:lineRule="auto"/>
        <w:jc w:val="both"/>
        <w:rPr>
          <w:rFonts w:ascii="Arial" w:hAnsi="Arial" w:cs="Arial"/>
        </w:rPr>
      </w:pPr>
    </w:p>
    <w:p w14:paraId="543EB2C5" w14:textId="77777777" w:rsidR="002C57D2" w:rsidRPr="00FB3A86" w:rsidRDefault="002C57D2" w:rsidP="00441B6F">
      <w:pPr>
        <w:pStyle w:val="Affiliation"/>
        <w:spacing w:after="0" w:line="240" w:lineRule="auto"/>
        <w:jc w:val="both"/>
        <w:rPr>
          <w:rFonts w:ascii="Arial" w:hAnsi="Arial" w:cs="Arial"/>
        </w:rPr>
      </w:pPr>
    </w:p>
    <w:p w14:paraId="6354E15A" w14:textId="6BF398C5" w:rsidR="00790ADA" w:rsidRPr="00447AC7" w:rsidRDefault="000E7E1F" w:rsidP="00447AC7">
      <w:pPr>
        <w:pStyle w:val="Copyright"/>
        <w:spacing w:after="0" w:line="240" w:lineRule="auto"/>
        <w:jc w:val="both"/>
        <w:rPr>
          <w:rFonts w:ascii="Arial" w:hAnsi="Arial" w:cs="Arial"/>
          <w:sz w:val="20"/>
          <w:szCs w:val="18"/>
        </w:rPr>
      </w:pPr>
      <w:r>
        <w:rPr>
          <w:rFonts w:ascii="Arial" w:hAnsi="Arial" w:cs="Arial"/>
          <w:noProof/>
        </w:rPr>
        <mc:AlternateContent>
          <mc:Choice Requires="wps">
            <w:drawing>
              <wp:inline distT="0" distB="0" distL="0" distR="0" wp14:anchorId="7977E532" wp14:editId="4E24156C">
                <wp:extent cx="5303520" cy="635"/>
                <wp:effectExtent l="13335" t="13335" r="17145" b="15240"/>
                <wp:docPr id="410508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71EDF1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roofErr w:type="gramStart"/>
      <w:r w:rsidR="00FB3A86">
        <w:rPr>
          <w:rFonts w:ascii="Arial" w:hAnsi="Arial" w:cs="Arial"/>
        </w:rPr>
        <w:t>.</w:t>
      </w:r>
      <w:r w:rsidR="00B01FCD" w:rsidRPr="00447AC7">
        <w:rPr>
          <w:rFonts w:ascii="Arial" w:hAnsi="Arial" w:cs="Arial"/>
          <w:sz w:val="20"/>
          <w:szCs w:val="18"/>
        </w:rPr>
        <w:t>ABSTRACT</w:t>
      </w:r>
      <w:proofErr w:type="gramEnd"/>
      <w:r w:rsidR="0066510A" w:rsidRPr="00447AC7">
        <w:rPr>
          <w:rFonts w:ascii="Arial" w:hAnsi="Arial" w:cs="Arial"/>
          <w:sz w:val="20"/>
          <w:szCs w:val="1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746"/>
      </w:tblGrid>
      <w:tr w:rsidR="00296529" w:rsidRPr="00447AC7" w14:paraId="460991BE" w14:textId="77777777" w:rsidTr="00447AC7">
        <w:trPr>
          <w:trHeight w:val="6287"/>
        </w:trPr>
        <w:tc>
          <w:tcPr>
            <w:tcW w:w="8746" w:type="dxa"/>
            <w:shd w:val="clear" w:color="auto" w:fill="F2F2F2"/>
          </w:tcPr>
          <w:p w14:paraId="4DCD2F08" w14:textId="77AD7255" w:rsidR="00BA1B01" w:rsidRPr="00447AC7" w:rsidRDefault="00BA1B01" w:rsidP="00447AC7">
            <w:pPr>
              <w:pStyle w:val="Body"/>
              <w:spacing w:after="0"/>
              <w:rPr>
                <w:rFonts w:ascii="Arial" w:eastAsia="Calibri" w:hAnsi="Arial" w:cs="Arial"/>
                <w:sz w:val="18"/>
              </w:rPr>
            </w:pPr>
            <w:r w:rsidRPr="00447AC7">
              <w:rPr>
                <w:rFonts w:ascii="Arial" w:eastAsia="Calibri" w:hAnsi="Arial" w:cs="Arial"/>
                <w:b/>
                <w:sz w:val="18"/>
              </w:rPr>
              <w:t xml:space="preserve">Aims: </w:t>
            </w:r>
            <w:r w:rsidR="00794FCD" w:rsidRPr="00447AC7">
              <w:rPr>
                <w:rFonts w:ascii="Arial" w:eastAsia="Calibri" w:hAnsi="Arial" w:cs="Arial"/>
                <w:sz w:val="18"/>
              </w:rPr>
              <w:t>The main purpose of this paper was to examine the role of instructor assessment competence, class size, and institutional capacity in influencing the choice of instruction mode among TVET institutions in Uganda.</w:t>
            </w:r>
          </w:p>
          <w:p w14:paraId="53921FAB" w14:textId="4C8F43B8" w:rsidR="00BA1B01" w:rsidRPr="00447AC7" w:rsidRDefault="00BA1B01" w:rsidP="00447AC7">
            <w:pPr>
              <w:pStyle w:val="Body"/>
              <w:spacing w:after="0"/>
              <w:rPr>
                <w:rFonts w:ascii="Arial" w:eastAsia="Calibri" w:hAnsi="Arial" w:cs="Arial"/>
                <w:sz w:val="18"/>
              </w:rPr>
            </w:pPr>
            <w:r w:rsidRPr="00447AC7">
              <w:rPr>
                <w:rFonts w:ascii="Arial" w:eastAsia="Calibri" w:hAnsi="Arial" w:cs="Arial"/>
                <w:b/>
                <w:sz w:val="18"/>
              </w:rPr>
              <w:t>Study design:</w:t>
            </w:r>
            <w:r w:rsidRPr="00447AC7">
              <w:rPr>
                <w:rFonts w:ascii="Arial" w:eastAsia="Calibri" w:hAnsi="Arial" w:cs="Arial"/>
                <w:sz w:val="18"/>
              </w:rPr>
              <w:t xml:space="preserve">  </w:t>
            </w:r>
            <w:r w:rsidR="00794FCD" w:rsidRPr="00447AC7">
              <w:rPr>
                <w:rFonts w:ascii="Arial" w:eastAsia="Calibri" w:hAnsi="Arial" w:cs="Arial"/>
                <w:sz w:val="18"/>
              </w:rPr>
              <w:t xml:space="preserve">A </w:t>
            </w:r>
            <w:r w:rsidR="003B16C8" w:rsidRPr="00447AC7">
              <w:rPr>
                <w:rFonts w:ascii="Arial" w:eastAsia="Calibri" w:hAnsi="Arial" w:cs="Arial"/>
                <w:sz w:val="18"/>
              </w:rPr>
              <w:t>mixed-methods</w:t>
            </w:r>
            <w:r w:rsidR="00794FCD" w:rsidRPr="00447AC7">
              <w:rPr>
                <w:rFonts w:ascii="Arial" w:eastAsia="Calibri" w:hAnsi="Arial" w:cs="Arial"/>
                <w:sz w:val="18"/>
              </w:rPr>
              <w:t xml:space="preserve"> survey design was employed</w:t>
            </w:r>
            <w:r w:rsidRPr="00447AC7">
              <w:rPr>
                <w:rFonts w:ascii="Arial" w:eastAsia="Calibri" w:hAnsi="Arial" w:cs="Arial"/>
                <w:sz w:val="18"/>
              </w:rPr>
              <w:t>.</w:t>
            </w:r>
          </w:p>
          <w:p w14:paraId="27D5D431" w14:textId="3F52BE41" w:rsidR="00BA1B01" w:rsidRPr="00447AC7" w:rsidRDefault="00BA1B01" w:rsidP="00447AC7">
            <w:pPr>
              <w:pStyle w:val="Body"/>
              <w:spacing w:after="0"/>
              <w:rPr>
                <w:rFonts w:ascii="Arial" w:eastAsia="Calibri" w:hAnsi="Arial" w:cs="Arial"/>
                <w:sz w:val="18"/>
              </w:rPr>
            </w:pPr>
            <w:r w:rsidRPr="00447AC7">
              <w:rPr>
                <w:rFonts w:ascii="Arial" w:eastAsia="Calibri" w:hAnsi="Arial" w:cs="Arial"/>
                <w:b/>
                <w:sz w:val="18"/>
              </w:rPr>
              <w:t>Place and Duration of Study:</w:t>
            </w:r>
            <w:r w:rsidRPr="00447AC7">
              <w:rPr>
                <w:rFonts w:ascii="Arial" w:eastAsia="Calibri" w:hAnsi="Arial" w:cs="Arial"/>
                <w:sz w:val="18"/>
              </w:rPr>
              <w:t xml:space="preserve"> </w:t>
            </w:r>
            <w:r w:rsidR="00794FCD" w:rsidRPr="00447AC7">
              <w:rPr>
                <w:sz w:val="18"/>
                <w:szCs w:val="18"/>
              </w:rPr>
              <w:t>This study was conducted across seven Technical and Vocational Education and Training (TVET) institutions in Uganda across all four regions that make up Uganda</w:t>
            </w:r>
            <w:r w:rsidRPr="00447AC7">
              <w:rPr>
                <w:rFonts w:ascii="Arial" w:eastAsia="Calibri" w:hAnsi="Arial" w:cs="Arial"/>
                <w:sz w:val="18"/>
              </w:rPr>
              <w:t xml:space="preserve">, between </w:t>
            </w:r>
            <w:r w:rsidR="00794FCD" w:rsidRPr="00447AC7">
              <w:rPr>
                <w:rFonts w:ascii="Arial" w:eastAsia="Calibri" w:hAnsi="Arial" w:cs="Arial"/>
                <w:sz w:val="18"/>
              </w:rPr>
              <w:t>February</w:t>
            </w:r>
            <w:r w:rsidRPr="00447AC7">
              <w:rPr>
                <w:rFonts w:ascii="Arial" w:eastAsia="Calibri" w:hAnsi="Arial" w:cs="Arial"/>
                <w:sz w:val="18"/>
              </w:rPr>
              <w:t xml:space="preserve"> 20</w:t>
            </w:r>
            <w:r w:rsidR="00794FCD" w:rsidRPr="00447AC7">
              <w:rPr>
                <w:rFonts w:ascii="Arial" w:eastAsia="Calibri" w:hAnsi="Arial" w:cs="Arial"/>
                <w:sz w:val="18"/>
              </w:rPr>
              <w:t>24</w:t>
            </w:r>
            <w:r w:rsidRPr="00447AC7">
              <w:rPr>
                <w:rFonts w:ascii="Arial" w:eastAsia="Calibri" w:hAnsi="Arial" w:cs="Arial"/>
                <w:sz w:val="18"/>
              </w:rPr>
              <w:t xml:space="preserve"> and </w:t>
            </w:r>
            <w:r w:rsidR="00794FCD" w:rsidRPr="00447AC7">
              <w:rPr>
                <w:rFonts w:ascii="Arial" w:eastAsia="Calibri" w:hAnsi="Arial" w:cs="Arial"/>
                <w:sz w:val="18"/>
              </w:rPr>
              <w:t>April</w:t>
            </w:r>
            <w:r w:rsidRPr="00447AC7">
              <w:rPr>
                <w:rFonts w:ascii="Arial" w:eastAsia="Calibri" w:hAnsi="Arial" w:cs="Arial"/>
                <w:sz w:val="18"/>
              </w:rPr>
              <w:t xml:space="preserve"> 20</w:t>
            </w:r>
            <w:r w:rsidR="00794FCD" w:rsidRPr="00447AC7">
              <w:rPr>
                <w:rFonts w:ascii="Arial" w:eastAsia="Calibri" w:hAnsi="Arial" w:cs="Arial"/>
                <w:sz w:val="18"/>
              </w:rPr>
              <w:t>24</w:t>
            </w:r>
            <w:r w:rsidRPr="00447AC7">
              <w:rPr>
                <w:rFonts w:ascii="Arial" w:eastAsia="Calibri" w:hAnsi="Arial" w:cs="Arial"/>
                <w:sz w:val="18"/>
              </w:rPr>
              <w:t>.</w:t>
            </w:r>
          </w:p>
          <w:p w14:paraId="513A12F3" w14:textId="4A967FFE" w:rsidR="00BA1B01" w:rsidRPr="00447AC7" w:rsidRDefault="00BA1B01" w:rsidP="00447AC7">
            <w:pPr>
              <w:pStyle w:val="Body"/>
              <w:spacing w:after="0"/>
              <w:rPr>
                <w:rFonts w:ascii="Arial" w:eastAsia="Calibri" w:hAnsi="Arial" w:cs="Arial"/>
                <w:sz w:val="18"/>
              </w:rPr>
            </w:pPr>
            <w:r w:rsidRPr="00447AC7">
              <w:rPr>
                <w:rFonts w:ascii="Arial" w:eastAsia="Calibri" w:hAnsi="Arial" w:cs="Arial"/>
                <w:b/>
                <w:bCs/>
                <w:sz w:val="18"/>
              </w:rPr>
              <w:t>Methodology:</w:t>
            </w:r>
            <w:r w:rsidRPr="00447AC7">
              <w:rPr>
                <w:rFonts w:ascii="Arial" w:eastAsia="Calibri" w:hAnsi="Arial" w:cs="Arial"/>
                <w:sz w:val="18"/>
              </w:rPr>
              <w:t xml:space="preserve"> </w:t>
            </w:r>
            <w:r w:rsidR="004D413F" w:rsidRPr="00447AC7">
              <w:rPr>
                <w:rFonts w:eastAsia="Calibri" w:cs="Arial"/>
                <w:sz w:val="18"/>
              </w:rPr>
              <w:t>A</w:t>
            </w:r>
            <w:r w:rsidR="004D413F" w:rsidRPr="00447AC7">
              <w:rPr>
                <w:sz w:val="18"/>
                <w:szCs w:val="18"/>
              </w:rPr>
              <w:t xml:space="preserve"> conditional logit choice model developed by McFadden (1974) was employed to investigate how various factors influence the probability of selecting among four different teaching modes: projects (used as the base alternative), face-to-face, blended, and online. </w:t>
            </w:r>
            <w:r w:rsidR="003B16C8" w:rsidRPr="00447AC7">
              <w:rPr>
                <w:sz w:val="18"/>
                <w:szCs w:val="18"/>
              </w:rPr>
              <w:t>This study comprised 184 instructors, 406 trainees, and 36 administrators</w:t>
            </w:r>
            <w:r w:rsidRPr="00447AC7">
              <w:rPr>
                <w:rFonts w:ascii="Arial" w:eastAsia="Calibri" w:hAnsi="Arial" w:cs="Arial"/>
                <w:sz w:val="18"/>
              </w:rPr>
              <w:t>.</w:t>
            </w:r>
            <w:r w:rsidR="003B16C8" w:rsidRPr="00447AC7">
              <w:rPr>
                <w:rFonts w:ascii="Arial" w:eastAsia="Calibri" w:hAnsi="Arial" w:cs="Arial"/>
                <w:sz w:val="18"/>
              </w:rPr>
              <w:t xml:space="preserve"> Instructors and trainees were interviewed using a structured questionnaire deployed on the Kobo Collect online tool, while an interview guide was used with the administrators of the TVET institutions. The administrators included </w:t>
            </w:r>
            <w:r w:rsidR="003B16C8" w:rsidRPr="00447AC7">
              <w:rPr>
                <w:rFonts w:eastAsia="Calibri" w:cs="Arial"/>
                <w:sz w:val="18"/>
              </w:rPr>
              <w:t>the</w:t>
            </w:r>
            <w:r w:rsidR="003B16C8" w:rsidRPr="00447AC7">
              <w:rPr>
                <w:sz w:val="18"/>
                <w:szCs w:val="18"/>
              </w:rPr>
              <w:t xml:space="preserve"> Principals, Deputy Principals, Academic Registrars, Deans of Students, and Procurement Officers. </w:t>
            </w:r>
            <w:r w:rsidR="009E6E21" w:rsidRPr="00447AC7">
              <w:rPr>
                <w:sz w:val="18"/>
                <w:szCs w:val="18"/>
              </w:rPr>
              <w:t xml:space="preserve">The </w:t>
            </w:r>
            <w:r w:rsidR="003B16C8" w:rsidRPr="00447AC7">
              <w:rPr>
                <w:sz w:val="18"/>
                <w:szCs w:val="18"/>
              </w:rPr>
              <w:t xml:space="preserve">5-point Likert nature of </w:t>
            </w:r>
            <w:r w:rsidR="009E6E21" w:rsidRPr="00447AC7">
              <w:rPr>
                <w:sz w:val="18"/>
                <w:szCs w:val="18"/>
              </w:rPr>
              <w:t xml:space="preserve">the </w:t>
            </w:r>
            <w:r w:rsidR="003B16C8" w:rsidRPr="00447AC7">
              <w:rPr>
                <w:sz w:val="18"/>
                <w:szCs w:val="18"/>
              </w:rPr>
              <w:t xml:space="preserve">data enabled </w:t>
            </w:r>
            <w:r w:rsidR="009E6E21" w:rsidRPr="00447AC7">
              <w:rPr>
                <w:sz w:val="18"/>
                <w:szCs w:val="18"/>
              </w:rPr>
              <w:t>quantitative data analysis using T-tests for estimating differences in mean online teaching scores across assessment and evaluation constructs. Furthermore, the conditional logit (McFadden’s choice) model was employed to evaluate the choice of instruction in TVET based on instructor competence in the assessment of online modules.</w:t>
            </w:r>
          </w:p>
          <w:p w14:paraId="3BF5C221" w14:textId="34503306" w:rsidR="00BA1B01" w:rsidRPr="00447AC7" w:rsidRDefault="00BA1B01" w:rsidP="00447AC7">
            <w:pPr>
              <w:pStyle w:val="Body"/>
              <w:spacing w:after="0"/>
              <w:rPr>
                <w:rFonts w:ascii="Arial" w:eastAsia="Calibri" w:hAnsi="Arial" w:cs="Arial"/>
                <w:b/>
                <w:bCs/>
                <w:sz w:val="18"/>
              </w:rPr>
            </w:pPr>
            <w:r w:rsidRPr="00447AC7">
              <w:rPr>
                <w:rFonts w:ascii="Arial" w:eastAsia="Calibri" w:hAnsi="Arial" w:cs="Arial"/>
                <w:b/>
                <w:bCs/>
                <w:sz w:val="18"/>
              </w:rPr>
              <w:t>Results:</w:t>
            </w:r>
            <w:r w:rsidRPr="00447AC7">
              <w:rPr>
                <w:rFonts w:ascii="Arial" w:eastAsia="Calibri" w:hAnsi="Arial" w:cs="Arial"/>
                <w:sz w:val="18"/>
              </w:rPr>
              <w:t xml:space="preserve"> </w:t>
            </w:r>
            <w:r w:rsidR="005B4267" w:rsidRPr="00447AC7">
              <w:rPr>
                <w:rFonts w:ascii="Arial" w:eastAsia="Calibri" w:hAnsi="Arial" w:cs="Arial"/>
                <w:sz w:val="18"/>
              </w:rPr>
              <w:t xml:space="preserve">The t-test results showed statistically significant differences between respondents who conducted online teaching and those who did not, with online instructors consistently reporting higher scores across all assessment and evaluation measures (e.g., overall score difference = 6.93, t = 5.76 ***). The choice model results showed that higher instructor assessment and evaluation competence reduced the likelihood of selecting a teaching mode (coef = -0.0030071; </w:t>
            </w:r>
            <w:r w:rsidR="005B4267" w:rsidRPr="00447AC7">
              <w:rPr>
                <w:rFonts w:ascii="Arial" w:eastAsia="Calibri" w:hAnsi="Arial" w:cs="Arial"/>
                <w:i/>
                <w:iCs/>
                <w:sz w:val="18"/>
              </w:rPr>
              <w:t>p</w:t>
            </w:r>
            <w:r w:rsidR="005B4267" w:rsidRPr="00447AC7">
              <w:rPr>
                <w:rFonts w:ascii="Arial" w:eastAsia="Calibri" w:hAnsi="Arial" w:cs="Arial"/>
                <w:sz w:val="18"/>
              </w:rPr>
              <w:t xml:space="preserve">-value = 0.001). For face-to-face learning, larger class sizes decreased preference (coef = -0.0553527, </w:t>
            </w:r>
            <w:r w:rsidR="005B4267" w:rsidRPr="00447AC7">
              <w:rPr>
                <w:rFonts w:ascii="Arial" w:eastAsia="Calibri" w:hAnsi="Arial" w:cs="Arial"/>
                <w:i/>
                <w:iCs/>
                <w:sz w:val="18"/>
              </w:rPr>
              <w:t>p</w:t>
            </w:r>
            <w:r w:rsidR="005B4267" w:rsidRPr="00447AC7">
              <w:rPr>
                <w:rFonts w:ascii="Arial" w:eastAsia="Calibri" w:hAnsi="Arial" w:cs="Arial"/>
                <w:sz w:val="18"/>
              </w:rPr>
              <w:t xml:space="preserve">-value = 0.000), while for online learning, larger institutional size increased preference (coef = 1.038766, </w:t>
            </w:r>
            <w:r w:rsidR="005B4267" w:rsidRPr="00447AC7">
              <w:rPr>
                <w:rFonts w:ascii="Arial" w:eastAsia="Calibri" w:hAnsi="Arial" w:cs="Arial"/>
                <w:i/>
                <w:iCs/>
                <w:sz w:val="18"/>
              </w:rPr>
              <w:t>p</w:t>
            </w:r>
            <w:r w:rsidR="005B4267" w:rsidRPr="00447AC7">
              <w:rPr>
                <w:rFonts w:ascii="Arial" w:eastAsia="Calibri" w:hAnsi="Arial" w:cs="Arial"/>
                <w:sz w:val="18"/>
              </w:rPr>
              <w:t>-value = 0.001). Institutional size significantly influenced online teaching adoption, aligning with Munene et al. (2023) and Kahiga et al. (2024), who found that larger TVET institutions were better equipped for robust ICT infrastructure and technological resource acquisition.</w:t>
            </w:r>
          </w:p>
          <w:p w14:paraId="5E253B43" w14:textId="1ADE9195" w:rsidR="00636EB2" w:rsidRPr="00447AC7" w:rsidRDefault="00BA1B01" w:rsidP="00447AC7">
            <w:pPr>
              <w:pStyle w:val="Body"/>
              <w:spacing w:after="0"/>
              <w:rPr>
                <w:rFonts w:ascii="Arial" w:eastAsia="Calibri" w:hAnsi="Arial" w:cs="Arial"/>
                <w:sz w:val="18"/>
              </w:rPr>
            </w:pPr>
            <w:r w:rsidRPr="00447AC7">
              <w:rPr>
                <w:rFonts w:ascii="Arial" w:eastAsia="Calibri" w:hAnsi="Arial" w:cs="Arial"/>
                <w:b/>
                <w:bCs/>
                <w:sz w:val="18"/>
              </w:rPr>
              <w:t>Conclusion:</w:t>
            </w:r>
            <w:r w:rsidRPr="00447AC7">
              <w:rPr>
                <w:rFonts w:ascii="Arial" w:eastAsia="Calibri" w:hAnsi="Arial" w:cs="Arial"/>
                <w:sz w:val="18"/>
              </w:rPr>
              <w:t xml:space="preserve"> </w:t>
            </w:r>
            <w:r w:rsidR="005B4267" w:rsidRPr="00447AC7">
              <w:rPr>
                <w:rFonts w:ascii="Arial" w:eastAsia="Calibri" w:hAnsi="Arial" w:cs="Arial"/>
                <w:sz w:val="18"/>
              </w:rPr>
              <w:t>As TVET institutions expand, online teaching is preferred as a mode of instruction, especially in this digital era</w:t>
            </w:r>
            <w:r w:rsidRPr="00447AC7">
              <w:rPr>
                <w:rFonts w:ascii="Arial" w:eastAsia="Calibri" w:hAnsi="Arial" w:cs="Arial"/>
                <w:sz w:val="18"/>
              </w:rPr>
              <w:t>.</w:t>
            </w:r>
            <w:r w:rsidR="005B4267" w:rsidRPr="00447AC7">
              <w:rPr>
                <w:rFonts w:ascii="Arial" w:eastAsia="Calibri" w:hAnsi="Arial" w:cs="Arial"/>
                <w:sz w:val="18"/>
              </w:rPr>
              <w:t xml:space="preserve"> Therefore, TVET institutions should develop the capacity for expansion in both infrastructure, assessment competences and the modules taught.</w:t>
            </w:r>
          </w:p>
          <w:p w14:paraId="555F59EC" w14:textId="071133B7" w:rsidR="00505F06" w:rsidRPr="00447AC7" w:rsidRDefault="00505F06" w:rsidP="00447AC7">
            <w:pPr>
              <w:pStyle w:val="Body"/>
              <w:spacing w:after="0"/>
              <w:rPr>
                <w:rFonts w:ascii="Arial" w:eastAsia="Calibri" w:hAnsi="Arial" w:cs="Arial"/>
                <w:sz w:val="18"/>
              </w:rPr>
            </w:pPr>
          </w:p>
        </w:tc>
      </w:tr>
    </w:tbl>
    <w:p w14:paraId="78290C26" w14:textId="77777777" w:rsidR="00636EB2" w:rsidRDefault="00636EB2" w:rsidP="00441B6F">
      <w:pPr>
        <w:pStyle w:val="Body"/>
        <w:spacing w:after="0"/>
        <w:rPr>
          <w:rFonts w:ascii="Arial" w:hAnsi="Arial" w:cs="Arial"/>
          <w:i/>
        </w:rPr>
      </w:pPr>
    </w:p>
    <w:p w14:paraId="66A03DCE" w14:textId="752850D7" w:rsidR="00260B9C" w:rsidRDefault="00A24E7E" w:rsidP="00260B9C">
      <w:r>
        <w:rPr>
          <w:rFonts w:ascii="Arial" w:hAnsi="Arial" w:cs="Arial"/>
          <w:i/>
        </w:rPr>
        <w:t xml:space="preserve">Keywords: </w:t>
      </w:r>
      <w:r w:rsidR="00260B9C">
        <w:t>Choice</w:t>
      </w:r>
      <w:r w:rsidR="003971DA">
        <w:t xml:space="preserve"> models, Assessment/Evaluation competence</w:t>
      </w:r>
      <w:r w:rsidR="00260B9C">
        <w:t xml:space="preserve">, Instruction </w:t>
      </w:r>
      <w:r w:rsidR="003971DA">
        <w:t>choice model</w:t>
      </w:r>
      <w:r w:rsidR="00260B9C">
        <w:t>, TVET, TVET Institutions, T-test, C</w:t>
      </w:r>
      <w:r w:rsidR="00260B9C" w:rsidRPr="007D618B">
        <w:t>onditional logit (McFadden) choice model</w:t>
      </w:r>
    </w:p>
    <w:p w14:paraId="4EEA709D" w14:textId="2C6FE99E" w:rsidR="00790ADA" w:rsidRDefault="00790ADA" w:rsidP="00441B6F">
      <w:pPr>
        <w:pStyle w:val="Body"/>
        <w:spacing w:after="0"/>
        <w:rPr>
          <w:rFonts w:ascii="Arial" w:hAnsi="Arial" w:cs="Arial"/>
          <w:i/>
        </w:rPr>
      </w:pPr>
    </w:p>
    <w:p w14:paraId="28155CE6" w14:textId="77777777" w:rsidR="0024282C" w:rsidRDefault="0024282C" w:rsidP="00441B6F">
      <w:pPr>
        <w:pStyle w:val="Body"/>
        <w:spacing w:after="0"/>
        <w:rPr>
          <w:rFonts w:ascii="Arial" w:hAnsi="Arial" w:cs="Arial"/>
          <w:i/>
          <w:sz w:val="18"/>
        </w:rPr>
      </w:pPr>
    </w:p>
    <w:p w14:paraId="5699AABC" w14:textId="77777777" w:rsidR="00505F06" w:rsidRPr="00A24E7E" w:rsidRDefault="00505F06" w:rsidP="00441B6F">
      <w:pPr>
        <w:pStyle w:val="Body"/>
        <w:spacing w:after="0"/>
        <w:rPr>
          <w:rFonts w:ascii="Arial" w:hAnsi="Arial" w:cs="Arial"/>
          <w:i/>
        </w:rPr>
      </w:pPr>
    </w:p>
    <w:p w14:paraId="6037DD90" w14:textId="383279E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A3BD366" w14:textId="77777777" w:rsidR="00790ADA" w:rsidRPr="00FB3A86" w:rsidRDefault="00790ADA" w:rsidP="00441B6F">
      <w:pPr>
        <w:pStyle w:val="AbstHead"/>
        <w:spacing w:after="0"/>
        <w:jc w:val="both"/>
        <w:rPr>
          <w:rFonts w:ascii="Arial" w:hAnsi="Arial" w:cs="Arial"/>
        </w:rPr>
      </w:pPr>
    </w:p>
    <w:p w14:paraId="35CDB3E2" w14:textId="77777777" w:rsidR="00ED2150" w:rsidRPr="00A21762" w:rsidRDefault="00ED2150" w:rsidP="00ED2150">
      <w:pPr>
        <w:jc w:val="both"/>
      </w:pPr>
      <w:r w:rsidRPr="00A21762">
        <w:t xml:space="preserve">It is commonly assumed that TVET institutions offer a one-sided mode of learning and teaching. </w:t>
      </w:r>
      <w:r w:rsidRPr="00A21762">
        <w:fldChar w:fldCharType="begin"/>
      </w:r>
      <w:r w:rsidRPr="00A21762">
        <w:instrText xml:space="preserve"> ADDIN EN.CITE &lt;EndNote&gt;&lt;Cite AuthorYear="1"&gt;&lt;Author&gt;Chukwunwendu&lt;/Author&gt;&lt;Year&gt;2015&lt;/Year&gt;&lt;RecNum&gt;1&lt;/RecNum&gt;&lt;DisplayText&gt;Chukwunwendu (2015)&lt;/DisplayText&gt;&lt;record&gt;&lt;rec-number&gt;1&lt;/rec-number&gt;&lt;foreign-keys&gt;&lt;key app="EN" db-id="9sd9xtv5kw92dre92z55rwvaxv9sfxvwtpvt" timestamp="1744965629"&gt;1&lt;/key&gt;&lt;/foreign-keys&gt;&lt;ref-type name="Journal Article"&gt;17&lt;/ref-type&gt;&lt;contributors&gt;&lt;authors&gt;&lt;author&gt;Chukwunwendu, Akpotohwo Festus&lt;/author&gt;&lt;/authors&gt;&lt;/contributors&gt;&lt;titles&gt;&lt;title&gt;New dimensions in sourcing and utilization of resource materials for effective teaching and instruction in technical vocational education and training (TVET) in Nigeria&lt;/title&gt;&lt;secondary-title&gt;Education Journal&lt;/secondary-title&gt;&lt;/titles&gt;&lt;periodical&gt;&lt;full-title&gt;Education Journal&lt;/full-title&gt;&lt;/periodical&gt;&lt;pages&gt;24-30&lt;/pages&gt;&lt;volume&gt;4&lt;/volume&gt;&lt;number&gt;6-1&lt;/number&gt;&lt;dates&gt;&lt;year&gt;2015&lt;/year&gt;&lt;/dates&gt;&lt;urls&gt;&lt;/urls&gt;&lt;/record&gt;&lt;/Cite&gt;&lt;/EndNote&gt;</w:instrText>
      </w:r>
      <w:r w:rsidRPr="00A21762">
        <w:fldChar w:fldCharType="separate"/>
      </w:r>
      <w:r w:rsidRPr="00A21762">
        <w:rPr>
          <w:noProof/>
        </w:rPr>
        <w:t>Chukwunwendu (2015)</w:t>
      </w:r>
      <w:r w:rsidRPr="00A21762">
        <w:fldChar w:fldCharType="end"/>
      </w:r>
      <w:r w:rsidRPr="00A21762">
        <w:t xml:space="preserve"> holds that well-developed conventional classrooms are the most appropriate learning modes in TVET institutions. It is believed that much of the teaching in TVET institutions is practical and is aimed at imparting skills that can be obtained physically in workshops and laboratories. Nonetheless, </w:t>
      </w:r>
      <w:r w:rsidRPr="00A21762">
        <w:fldChar w:fldCharType="begin"/>
      </w:r>
      <w:r w:rsidRPr="00A21762">
        <w:instrText xml:space="preserve"> ADDIN EN.CITE &lt;EndNote&gt;&lt;Cite AuthorYear="1"&gt;&lt;Author&gt;Mutebi&lt;/Author&gt;&lt;Year&gt;2023&lt;/Year&gt;&lt;RecNum&gt;8&lt;/RecNum&gt;&lt;DisplayText&gt;Mutebi et al. (2023b)&lt;/DisplayText&gt;&lt;record&gt;&lt;rec-number&gt;8&lt;/rec-number&gt;&lt;foreign-keys&gt;&lt;key app="EN" db-id="9sd9xtv5kw92dre92z55rwvaxv9sfxvwtpvt" timestamp="1744967729"&gt;8&lt;/key&gt;&lt;/foreign-keys&gt;&lt;ref-type name="Journal Article"&gt;17&lt;/ref-type&gt;&lt;contributors&gt;&lt;authors&gt;&lt;author&gt;Mutebi, Ronald&lt;/author&gt;&lt;author&gt;Kerre, Bonaventure Wanjala&lt;/author&gt;&lt;author&gt;Mubichakani, Joseph&lt;/author&gt;&lt;/authors&gt;&lt;/contributors&gt;&lt;titles&gt;&lt;title&gt;Efficacy of an Online Pedagogy on TVET Practical Skills Training Delivery: A Quasi-Experimental Study&lt;/title&gt;&lt;/titles&gt;&lt;dates&gt;&lt;year&gt;2023&lt;/year&gt;&lt;/dates&gt;&lt;isbn&gt;2469-8199&lt;/isbn&gt;&lt;urls&gt;&lt;/urls&gt;&lt;/record&gt;&lt;/Cite&gt;&lt;/EndNote&gt;</w:instrText>
      </w:r>
      <w:r w:rsidRPr="00A21762">
        <w:fldChar w:fldCharType="separate"/>
      </w:r>
      <w:r w:rsidRPr="00A21762">
        <w:rPr>
          <w:noProof/>
        </w:rPr>
        <w:t>Mutebi et al. (2023b)</w:t>
      </w:r>
      <w:r w:rsidRPr="00A21762">
        <w:fldChar w:fldCharType="end"/>
      </w:r>
      <w:r w:rsidRPr="00A21762">
        <w:t xml:space="preserve"> revealed that delivering practical skills training online was just as effective as providing the same training through face-to-face methods. Furthermore</w:t>
      </w:r>
      <w:r>
        <w:t>,</w:t>
      </w:r>
      <w:r w:rsidRPr="00A21762">
        <w:t xml:space="preserve"> </w:t>
      </w:r>
      <w:r w:rsidRPr="00A21762">
        <w:fldChar w:fldCharType="begin"/>
      </w:r>
      <w:r w:rsidRPr="00A21762">
        <w:instrText xml:space="preserve"> ADDIN EN.CITE &lt;EndNote&gt;&lt;Cite AuthorYear="1"&gt;&lt;Author&gt;Mutebi&lt;/Author&gt;&lt;Year&gt;2023&lt;/Year&gt;&lt;RecNum&gt;10&lt;/RecNum&gt;&lt;DisplayText&gt;Mutebi et al. (2023a)&lt;/DisplayText&gt;&lt;record&gt;&lt;rec-number&gt;10&lt;/rec-number&gt;&lt;foreign-keys&gt;&lt;key app="EN" db-id="9sd9xtv5kw92dre92z55rwvaxv9sfxvwtpvt" timestamp="1744968623"&gt;10&lt;/key&gt;&lt;/foreign-keys&gt;&lt;ref-type name="Journal Article"&gt;17&lt;/ref-type&gt;&lt;contributors&gt;&lt;authors&gt;&lt;author&gt;Mutebi, Ronald&lt;/author&gt;&lt;author&gt;Kerre, Bonaventure W&lt;/author&gt;&lt;author&gt;Mubichakani, Joseph&lt;/author&gt;&lt;/authors&gt;&lt;/contributors&gt;&lt;titles&gt;&lt;title&gt;Challenges of an Online Pedagogy as a Method for TVET Practical Skills Training Delivery and Assessment&lt;/title&gt;&lt;secondary-title&gt;East African Journal of Education Studies&lt;/secondary-title&gt;&lt;/titles&gt;&lt;periodical&gt;&lt;full-title&gt;East African Journal of Education Studies&lt;/full-title&gt;&lt;/periodical&gt;&lt;pages&gt;396-405&lt;/pages&gt;&lt;volume&gt;6&lt;/volume&gt;&lt;number&gt;2&lt;/number&gt;&lt;dates&gt;&lt;year&gt;2023&lt;/year&gt;&lt;/dates&gt;&lt;isbn&gt;2707-3947&lt;/isbn&gt;&lt;urls&gt;&lt;/urls&gt;&lt;/record&gt;&lt;/Cite&gt;&lt;/EndNote&gt;</w:instrText>
      </w:r>
      <w:r w:rsidRPr="00A21762">
        <w:fldChar w:fldCharType="separate"/>
      </w:r>
      <w:r w:rsidRPr="00A21762">
        <w:rPr>
          <w:noProof/>
        </w:rPr>
        <w:t>Mutebi et al. (2023a)</w:t>
      </w:r>
      <w:r w:rsidRPr="00A21762">
        <w:fldChar w:fldCharType="end"/>
      </w:r>
      <w:r w:rsidRPr="00A21762">
        <w:t xml:space="preserve"> identified the top challenges faced in online pedagogy for TVET practical skills training delivery and assessment, including lack of ICT equipment, poor internet connectivity, feedback, poor course design, and electricity outages. The COVID-19 pandemic has prompted numerous educational institutions to swiftly transition to virtual classrooms; despite the challenges they face. However, among </w:t>
      </w:r>
      <w:r w:rsidRPr="00A21762">
        <w:lastRenderedPageBreak/>
        <w:t xml:space="preserve">the barriers to this transition are the insufficient infrastructure, poor internet connectivity, and the lack of well-defined policies and frameworks for implementing virtual learning </w:t>
      </w:r>
      <w:r w:rsidRPr="00A21762">
        <w:fldChar w:fldCharType="begin"/>
      </w:r>
      <w:r w:rsidRPr="00A21762">
        <w:instrText xml:space="preserve"> ADDIN EN.CITE &lt;EndNote&gt;&lt;Cite&gt;&lt;Author&gt;Aina&lt;/Author&gt;&lt;Year&gt;2022&lt;/Year&gt;&lt;RecNum&gt;11&lt;/RecNum&gt;&lt;DisplayText&gt;(Aina &amp;amp; Ogegbo, 2022)&lt;/DisplayText&gt;&lt;record&gt;&lt;rec-number&gt;11&lt;/rec-number&gt;&lt;foreign-keys&gt;&lt;key app="EN" db-id="9sd9xtv5kw92dre92z55rwvaxv9sfxvwtpvt" timestamp="1744968955"&gt;11&lt;/key&gt;&lt;/foreign-keys&gt;&lt;ref-type name="Journal Article"&gt;17&lt;/ref-type&gt;&lt;contributors&gt;&lt;authors&gt;&lt;author&gt;Aina, Adebunmi Yetunde&lt;/author&gt;&lt;author&gt;Ogegbo, Ayodele Abosede&lt;/author&gt;&lt;/authors&gt;&lt;/contributors&gt;&lt;titles&gt;&lt;title&gt;Investigating TVET college educators’ experiences while transitioning from the traditional classroom to the virtual classroom during the COVID-19 pandemic&lt;/title&gt;&lt;secondary-title&gt;Perspectives in Education&lt;/secondary-title&gt;&lt;/titles&gt;&lt;periodical&gt;&lt;full-title&gt;Perspectives in Education&lt;/full-title&gt;&lt;/periodical&gt;&lt;pages&gt;129-142&lt;/pages&gt;&lt;volume&gt;40&lt;/volume&gt;&lt;number&gt;1&lt;/number&gt;&lt;dates&gt;&lt;year&gt;2022&lt;/year&gt;&lt;/dates&gt;&lt;isbn&gt;2519-593X&lt;/isbn&gt;&lt;urls&gt;&lt;/urls&gt;&lt;/record&gt;&lt;/Cite&gt;&lt;/EndNote&gt;</w:instrText>
      </w:r>
      <w:r w:rsidRPr="00A21762">
        <w:fldChar w:fldCharType="separate"/>
      </w:r>
      <w:r w:rsidRPr="00A21762">
        <w:rPr>
          <w:noProof/>
        </w:rPr>
        <w:t>(Aina &amp; Ogegbo, 2022)</w:t>
      </w:r>
      <w:r w:rsidRPr="00A21762">
        <w:fldChar w:fldCharType="end"/>
      </w:r>
      <w:r w:rsidRPr="00A21762">
        <w:t>.</w:t>
      </w:r>
    </w:p>
    <w:p w14:paraId="2F7AA46B" w14:textId="77777777" w:rsidR="00ED2150" w:rsidRPr="00A21762" w:rsidRDefault="00ED2150" w:rsidP="00ED2150">
      <w:pPr>
        <w:jc w:val="both"/>
      </w:pPr>
      <w:r w:rsidRPr="00A21762">
        <w:t xml:space="preserve">Differently, </w:t>
      </w:r>
      <w:r>
        <w:t>other scholars have noted</w:t>
      </w:r>
      <w:r w:rsidRPr="00A21762">
        <w:t xml:space="preserve"> the significance of introducing innovatively active pedagogies in creating a sustainable, equitable, and learner-centered learning environment</w:t>
      </w:r>
      <w:r>
        <w:t xml:space="preserve"> (</w:t>
      </w:r>
      <w:r w:rsidRPr="00A21762">
        <w:fldChar w:fldCharType="begin"/>
      </w:r>
      <w:r w:rsidRPr="00A21762">
        <w:instrText xml:space="preserve"> ADDIN EN.CITE &lt;EndNote&gt;&lt;Cite AuthorYear="1"&gt;&lt;Author&gt;Doherty&lt;/Author&gt;&lt;Year&gt;2019&lt;/Year&gt;&lt;RecNum&gt;2&lt;/RecNum&gt;&lt;DisplayText&gt;Doherty and Olelewe (2019)&lt;/DisplayText&gt;&lt;record&gt;&lt;rec-number&gt;2&lt;/rec-number&gt;&lt;foreign-keys&gt;&lt;key app="EN" db-id="9sd9xtv5kw92dre92z55rwvaxv9sfxvwtpvt" timestamp="1744966001"&gt;2&lt;/key&gt;&lt;/foreign-keys&gt;&lt;ref-type name="Generic"&gt;13&lt;/ref-type&gt;&lt;contributors&gt;&lt;authors&gt;&lt;author&gt;Doherty, Funmilayo&lt;/author&gt;&lt;author&gt;Olelewe, Chijioke J&lt;/author&gt;&lt;/authors&gt;&lt;/contributors&gt;&lt;titles&gt;&lt;title&gt;A Guide for TVET Teachers in Utilizing Innovative Pedagogy&lt;/title&gt;&lt;/titles&gt;&lt;dates&gt;&lt;year&gt;2019&lt;/year&gt;&lt;/dates&gt;&lt;publisher&gt;Lagos Oct&lt;/publisher&gt;&lt;urls&gt;&lt;/urls&gt;&lt;/record&gt;&lt;/Cite&gt;&lt;/EndNote&gt;</w:instrText>
      </w:r>
      <w:r w:rsidRPr="00A21762">
        <w:fldChar w:fldCharType="separate"/>
      </w:r>
      <w:r>
        <w:rPr>
          <w:noProof/>
        </w:rPr>
        <w:t xml:space="preserve">Doherty and Olelewe, </w:t>
      </w:r>
      <w:r w:rsidRPr="00A21762">
        <w:rPr>
          <w:noProof/>
        </w:rPr>
        <w:t>2019</w:t>
      </w:r>
      <w:r>
        <w:rPr>
          <w:noProof/>
        </w:rPr>
        <w:fldChar w:fldCharType="begin"/>
      </w:r>
      <w:r>
        <w:rPr>
          <w:noProof/>
        </w:rPr>
        <w:instrText xml:space="preserve"> ADDIN ZOTERO_ITEM CSL_CITATION {"citationID":"1tDhffPp","properties":{"formattedCitation":"(Miyawa et al., 2023)","plainCitation":"(Miyawa et al., 2023)","noteIndex":0},"citationItems":[{"id":522,"uris":["http://zotero.org/users/local/XcwrnI1q/items/AB9TCPA3"],"itemData":{"id":522,"type":"article-journal","abstract":"Trainers are most important in National Polytechnics, in the technical vocational education and training (TVET) system as they are fulcrums upon which wheels of the education rotate in delivering competence needed to convert global labour-oriented economy to a knowledge and innovation-based economy. This paper was guided by four trainer pedagogical competence objectives, which included assessing training techniques, training tools, instructional media, and communication skills as they affected the diploma courses of the Science, engineering and technological (SET) courses of students’ academic performance in the National Polytechnics in western Kenya. A descriptive survey design was used to collect both quantitative and qualitative data from the three national polytechnics in western Kenya. A finite sample of 112 trainers' fraternity respondents were chosen using stratified selection and simple random sampling methods from a population of 650 trainers. Utilizing questionnaires and interview schedules, data was gathered. Data collecting tools were tested for reliability and were subjected to test-retest procedures, which gave 0.782, and was within the acceptable range as suggested by Mugenda &amp; Mugenda. The primary questionnaire's items were arranged in accordance with the specific goals of the study. Descriptive statistics and Pearson correlations were used to analyse the data. The study found that the trainer's pedagogical competencies of instructional media had the strongest statistically significant relationship with students' academic performance in national Polytechnics (r=.780, p.05), followed by communication skills (r=.618, p.05), and training methods and use of training tools (r=.599, p.05) respectively.","container-title":"Asian Journal of Education and Social Studies","DOI":"10.9734/ajess/2023/v48i11035","ISSN":"2581-6268","issue":"1","journalAbbreviation":"AJESS","page":"15-27","source":"DOI.org (Crossref)","title":"Effect of Trainer Pedagogical Competences on Students’ Academic Performance in Diploma Set Courses: A Case of National Polytechnics in Western Kenya","title-short":"Effect of Trainer Pedagogical Competences on Students’ Academic Performance in Diploma Set Courses","volume":"48","author":[{"family":"Miyawa","given":"Caleb Jotham"},{"family":"Ferej","given":"Ahmed"},{"family":"Muyaka","given":"Jafred"}],"issued":{"date-parts":[["2023",7,31]]}}}],"schema":"https://github.com/citation-style-language/schema/raw/master/csl-citation.json"} </w:instrText>
      </w:r>
      <w:r>
        <w:rPr>
          <w:noProof/>
        </w:rPr>
        <w:fldChar w:fldCharType="separate"/>
      </w:r>
      <w:r>
        <w:rPr>
          <w:noProof/>
        </w:rPr>
        <w:t xml:space="preserve">; </w:t>
      </w:r>
      <w:r w:rsidRPr="00A46879">
        <w:t>Miyawa et al., 2023</w:t>
      </w:r>
      <w:r>
        <w:rPr>
          <w:noProof/>
        </w:rPr>
        <w:fldChar w:fldCharType="end"/>
      </w:r>
      <w:r w:rsidRPr="00A21762">
        <w:rPr>
          <w:noProof/>
        </w:rPr>
        <w:t>)</w:t>
      </w:r>
      <w:r w:rsidRPr="00A21762">
        <w:fldChar w:fldCharType="end"/>
      </w:r>
      <w:r w:rsidRPr="00A21762">
        <w:t xml:space="preserve">. </w:t>
      </w:r>
      <w:r w:rsidRPr="00A21762">
        <w:fldChar w:fldCharType="begin"/>
      </w:r>
      <w:r w:rsidRPr="00A21762">
        <w:instrText xml:space="preserve"> ADDIN EN.CITE &lt;EndNote&gt;&lt;Cite AuthorYear="1"&gt;&lt;Author&gt;Okolie&lt;/Author&gt;&lt;Year&gt;2023&lt;/Year&gt;&lt;RecNum&gt;5&lt;/RecNum&gt;&lt;DisplayText&gt;Okolie et al. (2023)&lt;/DisplayText&gt;&lt;record&gt;&lt;rec-number&gt;5&lt;/rec-number&gt;&lt;foreign-keys&gt;&lt;key app="EN" db-id="9sd9xtv5kw92dre92z55rwvaxv9sfxvwtpvt" timestamp="1744967013"&gt;5&lt;/key&gt;&lt;/foreign-keys&gt;&lt;ref-type name="Journal Article"&gt;17&lt;/ref-type&gt;&lt;contributors&gt;&lt;authors&gt;&lt;author&gt;Okolie, Ugochukwu Chinonso&lt;/author&gt;&lt;author&gt;Ogwu, Edna N&lt;/author&gt;&lt;author&gt;Osuji, Catherine U&lt;/author&gt;&lt;author&gt;Ogba, Francisca Ngozi&lt;/author&gt;&lt;author&gt;Igwe, Paul Agu&lt;/author&gt;&lt;author&gt;Obih, Solomon O&lt;/author&gt;&lt;/authors&gt;&lt;/contributors&gt;&lt;titles&gt;&lt;title&gt;A critical perspective on TVET teachers’ pedagogical practices: insights into the guiding pedagogical principles in practice&lt;/title&gt;&lt;secondary-title&gt;Journal of Vocational Education &amp;amp; Training&lt;/secondary-title&gt;&lt;/titles&gt;&lt;periodical&gt;&lt;full-title&gt;Journal of Vocational Education &amp;amp; Training&lt;/full-title&gt;&lt;/periodical&gt;&lt;pages&gt;439-458&lt;/pages&gt;&lt;volume&gt;75&lt;/volume&gt;&lt;number&gt;3&lt;/number&gt;&lt;dates&gt;&lt;year&gt;2023&lt;/year&gt;&lt;/dates&gt;&lt;isbn&gt;1363-6820&lt;/isbn&gt;&lt;urls&gt;&lt;/urls&gt;&lt;/record&gt;&lt;/Cite&gt;&lt;/EndNote&gt;</w:instrText>
      </w:r>
      <w:r w:rsidRPr="00A21762">
        <w:fldChar w:fldCharType="separate"/>
      </w:r>
      <w:r w:rsidRPr="00A21762">
        <w:rPr>
          <w:noProof/>
        </w:rPr>
        <w:t>Okolie et al. (2023)</w:t>
      </w:r>
      <w:r w:rsidRPr="00A21762">
        <w:fldChar w:fldCharType="end"/>
      </w:r>
      <w:r w:rsidRPr="00A21762">
        <w:t xml:space="preserve"> </w:t>
      </w:r>
      <w:r>
        <w:t xml:space="preserve">and </w:t>
      </w:r>
      <w:r>
        <w:fldChar w:fldCharType="begin"/>
      </w:r>
      <w:r>
        <w:instrText xml:space="preserve"> ADDIN ZOTERO_ITEM CSL_CITATION {"citationID":"yfT5PIQG","properties":{"formattedCitation":"(Muyaka &amp; Kitainge, 2021)","plainCitation":"(Muyaka &amp; Kitainge, 2021)","noteIndex":0},"citationItems":[{"id":521,"uris":["http://zotero.org/users/local/XcwrnI1q/items/5V3LQJPD"],"itemData":{"id":521,"type":"article-journal","container-title":"The Kenya Journal of Technical and Vocational Education and Training","page":"63 - 80","title":"Implementation of Whole Youth Development Skills in Kenya’s TVET Institutions","author":[{"family":"Muyaka","given":"Jafred"},{"family":"Kitainge","given":"Kisilu"}],"issued":{"date-parts":[["2021"]]}}}],"schema":"https://github.com/citation-style-language/schema/raw/master/csl-citation.json"} </w:instrText>
      </w:r>
      <w:r>
        <w:fldChar w:fldCharType="separate"/>
      </w:r>
      <w:r>
        <w:t>Muyaka &amp; Kitainge</w:t>
      </w:r>
      <w:r w:rsidRPr="006F629E">
        <w:t xml:space="preserve"> </w:t>
      </w:r>
      <w:r>
        <w:t>(</w:t>
      </w:r>
      <w:r w:rsidRPr="006F629E">
        <w:t>2021)</w:t>
      </w:r>
      <w:r>
        <w:fldChar w:fldCharType="end"/>
      </w:r>
      <w:r>
        <w:t xml:space="preserve"> </w:t>
      </w:r>
      <w:r w:rsidRPr="00A21762">
        <w:t xml:space="preserve">recommended ongoing professional development for TVET teachers to strengthen their application of core pedagogical principles to enhance learning quality and graduate outcomes. In Malaysia, </w:t>
      </w:r>
      <w:r w:rsidRPr="00A21762">
        <w:fldChar w:fldCharType="begin"/>
      </w:r>
      <w:r w:rsidRPr="00A21762">
        <w:instrText xml:space="preserve"> ADDIN EN.CITE &lt;EndNote&gt;&lt;Cite AuthorYear="1"&gt;&lt;Author&gt;Nashir&lt;/Author&gt;&lt;Year&gt;2017&lt;/Year&gt;&lt;RecNum&gt;3&lt;/RecNum&gt;&lt;DisplayText&gt;Nashir and Mustapha (2017)&lt;/DisplayText&gt;&lt;record&gt;&lt;rec-number&gt;3&lt;/rec-number&gt;&lt;foreign-keys&gt;&lt;key app="EN" db-id="9sd9xtv5kw92dre92z55rwvaxv9sfxvwtpvt" timestamp="1744966203"&gt;3&lt;/key&gt;&lt;/foreign-keys&gt;&lt;ref-type name="Journal Article"&gt;17&lt;/ref-type&gt;&lt;contributors&gt;&lt;authors&gt;&lt;author&gt;Nashir, Irdayanti Mat&lt;/author&gt;&lt;author&gt;Mustapha, Ramlee&lt;/author&gt;&lt;/authors&gt;&lt;/contributors&gt;&lt;titles&gt;&lt;title&gt;A new TVET leadership model: Combination of innovative and instructional paradigms&lt;/title&gt;&lt;secondary-title&gt;Journal of Asian Vocational Education and Training&lt;/secondary-title&gt;&lt;/titles&gt;&lt;periodical&gt;&lt;full-title&gt;Journal of Asian Vocational Education and Training&lt;/full-title&gt;&lt;/periodical&gt;&lt;pages&gt;1-16&lt;/pages&gt;&lt;volume&gt;10&lt;/volume&gt;&lt;number&gt;1&lt;/number&gt;&lt;dates&gt;&lt;year&gt;2017&lt;/year&gt;&lt;/dates&gt;&lt;urls&gt;&lt;/urls&gt;&lt;/record&gt;&lt;/Cite&gt;&lt;/EndNote&gt;</w:instrText>
      </w:r>
      <w:r w:rsidRPr="00A21762">
        <w:fldChar w:fldCharType="separate"/>
      </w:r>
      <w:r w:rsidRPr="00A21762">
        <w:rPr>
          <w:noProof/>
        </w:rPr>
        <w:t>Nashir and Mustapha (2017)</w:t>
      </w:r>
      <w:r w:rsidRPr="00A21762">
        <w:fldChar w:fldCharType="end"/>
      </w:r>
      <w:r w:rsidRPr="00A21762">
        <w:t xml:space="preserve"> pointed out the importance of utilizing a combination of innovative and instructional paradigms in transmitting knowledge to the learners. Some scholars believe in theorizing TVET pedagogy education. For instance, </w:t>
      </w:r>
      <w:r w:rsidRPr="00A21762">
        <w:fldChar w:fldCharType="begin"/>
      </w:r>
      <w:r w:rsidRPr="00A21762">
        <w:instrText xml:space="preserve"> ADDIN EN.CITE &lt;EndNote&gt;&lt;Cite AuthorYear="1"&gt;&lt;Author&gt;Moll&lt;/Author&gt;&lt;Year&gt;2024&lt;/Year&gt;&lt;RecNum&gt;7&lt;/RecNum&gt;&lt;DisplayText&gt;Moll and Naiker (2024)&lt;/DisplayText&gt;&lt;record&gt;&lt;rec-number&gt;7&lt;/rec-number&gt;&lt;foreign-keys&gt;&lt;key app="EN" db-id="9sd9xtv5kw92dre92z55rwvaxv9sfxvwtpvt" timestamp="1744967554"&gt;7&lt;/key&gt;&lt;/foreign-keys&gt;&lt;ref-type name="Book Section"&gt;5&lt;/ref-type&gt;&lt;contributors&gt;&lt;authors&gt;&lt;author&gt;Moll, Ian&lt;/author&gt;&lt;author&gt;Naiker, Vasidevan&lt;/author&gt;&lt;/authors&gt;&lt;/contributors&gt;&lt;titles&gt;&lt;title&gt;Learning Theories in TVET Pedagogy&lt;/title&gt;&lt;secondary-title&gt;Technical and Vocational Teaching in South Africa: Practice, Pedagogy and Digitalisation&lt;/secondary-title&gt;&lt;/titles&gt;&lt;pages&gt;163-198&lt;/pages&gt;&lt;dates&gt;&lt;year&gt;2024&lt;/year&gt;&lt;/dates&gt;&lt;publisher&gt;Springer&lt;/publisher&gt;&lt;urls&gt;&lt;/urls&gt;&lt;/record&gt;&lt;/Cite&gt;&lt;/EndNote&gt;</w:instrText>
      </w:r>
      <w:r w:rsidRPr="00A21762">
        <w:fldChar w:fldCharType="separate"/>
      </w:r>
      <w:r w:rsidRPr="00A21762">
        <w:rPr>
          <w:noProof/>
        </w:rPr>
        <w:t>Moll and Naiker (2024)</w:t>
      </w:r>
      <w:r w:rsidRPr="00A21762">
        <w:fldChar w:fldCharType="end"/>
      </w:r>
      <w:r w:rsidRPr="00A21762">
        <w:t xml:space="preserve"> explored the impact of five key psychological theories, including behaviorism, cognitivism, constructivism, socioculturalism, and embodied cognition theory, on TVET. This is also exemplified in the work undertaken by </w:t>
      </w:r>
      <w:r w:rsidRPr="00A21762">
        <w:fldChar w:fldCharType="begin"/>
      </w:r>
      <w:r w:rsidRPr="00A21762">
        <w:instrText xml:space="preserve"> ADDIN EN.CITE &lt;EndNote&gt;&lt;Cite AuthorYear="1"&gt;&lt;Author&gt;Chen&lt;/Author&gt;&lt;Year&gt;2024&lt;/Year&gt;&lt;RecNum&gt;9&lt;/RecNum&gt;&lt;DisplayText&gt;Chen and Chan (2024)&lt;/DisplayText&gt;&lt;record&gt;&lt;rec-number&gt;9&lt;/rec-number&gt;&lt;foreign-keys&gt;&lt;key app="EN" db-id="9sd9xtv5kw92dre92z55rwvaxv9sfxvwtpvt" timestamp="1744968408"&gt;9&lt;/key&gt;&lt;/foreign-keys&gt;&lt;ref-type name="Journal Article"&gt;17&lt;/ref-type&gt;&lt;contributors&gt;&lt;authors&gt;&lt;author&gt;Chen, Xueying&lt;/author&gt;&lt;author&gt;Chan, Sokmeng&lt;/author&gt;&lt;/authors&gt;&lt;/contributors&gt;&lt;titles&gt;&lt;title&gt;Implementing digital pedagogy in TVET: A Connectivist perspective&lt;/title&gt;&lt;secondary-title&gt;Vocation, Technology &amp;amp; Education&lt;/secondary-title&gt;&lt;/titles&gt;&lt;periodical&gt;&lt;full-title&gt;Vocation, Technology &amp;amp; Education&lt;/full-title&gt;&lt;/periodical&gt;&lt;volume&gt;1&lt;/volume&gt;&lt;number&gt;2&lt;/number&gt;&lt;dates&gt;&lt;year&gt;2024&lt;/year&gt;&lt;/dates&gt;&lt;isbn&gt;3005-2157&lt;/isbn&gt;&lt;urls&gt;&lt;/urls&gt;&lt;/record&gt;&lt;/Cite&gt;&lt;/EndNote&gt;</w:instrText>
      </w:r>
      <w:r w:rsidRPr="00A21762">
        <w:fldChar w:fldCharType="separate"/>
      </w:r>
      <w:r w:rsidRPr="00A21762">
        <w:rPr>
          <w:noProof/>
        </w:rPr>
        <w:t>Chen and Chan (2024)</w:t>
      </w:r>
      <w:r w:rsidRPr="00A21762">
        <w:fldChar w:fldCharType="end"/>
      </w:r>
      <w:r w:rsidRPr="00A21762">
        <w:t xml:space="preserve"> who maintained that within the framework of Connectivism, digital pedagogies greatly improve the flexibility and effectiveness of TVET by enabling more personalized and enriched learning experiences. Nonetheless, challenges remain, including unequal access to technology, fragmented knowledge delivery. Contrary, </w:t>
      </w:r>
      <w:r w:rsidRPr="00A21762">
        <w:fldChar w:fldCharType="begin"/>
      </w:r>
      <w:r w:rsidRPr="00A21762">
        <w:instrText xml:space="preserve"> ADDIN EN.CITE &lt;EndNote&gt;&lt;Cite AuthorYear="1"&gt;&lt;Author&gt;Tahir&lt;/Author&gt;&lt;Year&gt;2023&lt;/Year&gt;&lt;RecNum&gt;4&lt;/RecNum&gt;&lt;DisplayText&gt;Tahir and Abdullah (2023)&lt;/DisplayText&gt;&lt;record&gt;&lt;rec-number&gt;4&lt;/rec-number&gt;&lt;foreign-keys&gt;&lt;key app="EN" db-id="9sd9xtv5kw92dre92z55rwvaxv9sfxvwtpvt" timestamp="1744966617"&gt;4&lt;/key&gt;&lt;/foreign-keys&gt;&lt;ref-type name="Journal Article"&gt;17&lt;/ref-type&gt;&lt;contributors&gt;&lt;authors&gt;&lt;author&gt;Tahir, Raihan&lt;/author&gt;&lt;author&gt;Abdullah, Zuraidah&lt;/author&gt;&lt;/authors&gt;&lt;/contributors&gt;&lt;titles&gt;&lt;title&gt;Revolutionising Delivery in TVET for Industry 4.0: Strategies from the Field–NGT and ISM Approach&lt;/title&gt;&lt;secondary-title&gt;Journal of Current Science and Research Review&lt;/secondary-title&gt;&lt;/titles&gt;&lt;periodical&gt;&lt;full-title&gt;Journal of Current Science and Research Review&lt;/full-title&gt;&lt;/periodical&gt;&lt;pages&gt;139-157&lt;/pages&gt;&lt;volume&gt;1&lt;/volume&gt;&lt;number&gt;05&lt;/number&gt;&lt;dates&gt;&lt;year&gt;2023&lt;/year&gt;&lt;/dates&gt;&lt;isbn&gt;2961-0869&lt;/isbn&gt;&lt;urls&gt;&lt;/urls&gt;&lt;/record&gt;&lt;/Cite&gt;&lt;/EndNote&gt;</w:instrText>
      </w:r>
      <w:r w:rsidRPr="00A21762">
        <w:fldChar w:fldCharType="separate"/>
      </w:r>
      <w:r w:rsidRPr="00A21762">
        <w:rPr>
          <w:noProof/>
        </w:rPr>
        <w:t>Tahir and Abdullah (2023)</w:t>
      </w:r>
      <w:r w:rsidRPr="00A21762">
        <w:fldChar w:fldCharType="end"/>
      </w:r>
      <w:r w:rsidRPr="00A21762">
        <w:t xml:space="preserve"> suggested that in a bid to revolutionize TVET teaching and learning, there is a need to enhance the roles of TVET instructors, who require skills in digital content curating, learning architecture, assessment ability, and strategic partnership promotion. This was supported by </w:t>
      </w:r>
      <w:r w:rsidRPr="00A21762">
        <w:fldChar w:fldCharType="begin"/>
      </w:r>
      <w:r w:rsidRPr="00A21762">
        <w:instrText xml:space="preserve"> ADDIN EN.CITE &lt;EndNote&gt;&lt;Cite AuthorYear="1"&gt;&lt;Author&gt;Pangeni&lt;/Author&gt;&lt;Year&gt;2021&lt;/Year&gt;&lt;RecNum&gt;6&lt;/RecNum&gt;&lt;DisplayText&gt;Pangeni and Karki (2021)&lt;/DisplayText&gt;&lt;record&gt;&lt;rec-number&gt;6&lt;/rec-number&gt;&lt;foreign-keys&gt;&lt;key app="EN" db-id="9sd9xtv5kw92dre92z55rwvaxv9sfxvwtpvt" timestamp="1744967101"&gt;6&lt;/key&gt;&lt;/foreign-keys&gt;&lt;ref-type name="Journal Article"&gt;17&lt;/ref-type&gt;&lt;contributors&gt;&lt;authors&gt;&lt;author&gt;Pangeni, Shesha Kanta&lt;/author&gt;&lt;author&gt;Karki, Gehendra&lt;/author&gt;&lt;/authors&gt;&lt;/contributors&gt;&lt;titles&gt;&lt;title&gt;E-learning initiatives at CTEVT: An attempt at innovation and paradigm shift in TVET pedagogy&lt;/title&gt;&lt;secondary-title&gt;Journal of Technical and Vocational Education and Training&lt;/secondary-title&gt;&lt;/titles&gt;&lt;periodical&gt;&lt;full-title&gt;Journal of Technical and Vocational Education and Training&lt;/full-title&gt;&lt;/periodical&gt;&lt;pages&gt;134-147&lt;/pages&gt;&lt;volume&gt;1&lt;/volume&gt;&lt;number&gt;15&lt;/number&gt;&lt;dates&gt;&lt;year&gt;2021&lt;/year&gt;&lt;/dates&gt;&lt;isbn&gt;3021-9221&lt;/isbn&gt;&lt;urls&gt;&lt;/urls&gt;&lt;/record&gt;&lt;/Cite&gt;&lt;/EndNote&gt;</w:instrText>
      </w:r>
      <w:r w:rsidRPr="00A21762">
        <w:fldChar w:fldCharType="separate"/>
      </w:r>
      <w:r w:rsidRPr="00A21762">
        <w:rPr>
          <w:noProof/>
        </w:rPr>
        <w:t>Pangeni and Karki (2021)</w:t>
      </w:r>
      <w:r w:rsidRPr="00A21762">
        <w:fldChar w:fldCharType="end"/>
      </w:r>
      <w:r w:rsidRPr="00A21762">
        <w:t xml:space="preserve"> who found that e-learning is a promising and innovative ICT-integrated pedagogical alternative for the TVET sector, offering new avenues for delivering instruction and enhancing accessibility to technical and vocational education.</w:t>
      </w:r>
    </w:p>
    <w:p w14:paraId="0F026302" w14:textId="77777777" w:rsidR="00ED2150" w:rsidRDefault="00ED2150" w:rsidP="00ED2150">
      <w:pPr>
        <w:jc w:val="both"/>
      </w:pPr>
      <w:r w:rsidRPr="00A21762">
        <w:t xml:space="preserve">The transition from face-to-face to online teaching requires instructors to develop specific competences to effectively deliver education in a digital environment </w:t>
      </w:r>
      <w:r w:rsidRPr="00A21762">
        <w:fldChar w:fldCharType="begin">
          <w:fldData xml:space="preserve">PEVuZE5vdGU+PENpdGU+PEF1dGhvcj5BZG5hbjwvQXV0aG9yPjxZZWFyPjIwMTc8L1llYXI+PFJl
Y051bT4xNjwvUmVjTnVtPjxEaXNwbGF5VGV4dD4oQWRuYW4sIDIwMTc7IENvbnJhZCAmYW1wOyBX
aXR0aGF1cywgMjAyMTsgR2F5LCAyMDE2KTwvRGlzcGxheVRleHQ+PHJlY29yZD48cmVjLW51bWJl
cj4xNjwvcmVjLW51bWJlcj48Zm9yZWlnbi1rZXlzPjxrZXkgYXBwPSJFTiIgZGItaWQ9IjlzZDl4
dHY1a3c5MmRyZTkyejU1cnd2YXh2OXNmeHZ3dHB2dCIgdGltZXN0YW1wPSIxNzQ0OTY5Njg2Ij4x
Njwva2V5PjwvZm9yZWlnbi1rZXlzPjxyZWYtdHlwZSBuYW1lPSJKb3VybmFsIEFydGljbGUiPjE3
PC9yZWYtdHlwZT48Y29udHJpYnV0b3JzPjxhdXRob3JzPjxhdXRob3I+QWRuYW4sIE0uPC9hdXRo
b3I+PC9hdXRob3JzPjwvY29udHJpYnV0b3JzPjx0aXRsZXM+PHRpdGxlPlByb2Zlc3Npb25hbCBk
ZXZlbG9wbWVudCBpbiB0aGUgdHJhbnNpdGlvbiB0byBvbmxpbmUgdGVhY2hpbmc6IFRoZSB2b2lj
ZSBvZiBlbnRyYW50IG9ubGluZSBpbnN0cnVjdG9yczwvdGl0bGU+PHNlY29uZGFyeS10aXRsZT5S
ZUNBTEw8L3NlY29uZGFyeS10aXRsZT48L3RpdGxlcz48cGVyaW9kaWNhbD48ZnVsbC10aXRsZT5S
ZUNBTEw8L2Z1bGwtdGl0bGU+PC9wZXJpb2RpY2FsPjxwYWdlcz44OC0xMTE8L3BhZ2VzPjx2b2x1
bWU+MzA8L3ZvbHVtZT48ZGF0ZXM+PHllYXI+MjAxNzwveWVhcj48cHViLWRhdGVzPjxkYXRlPjIw
MTctMDctMjA8L2RhdGU+PC9wdWItZGF0ZXM+PC9kYXRlcz48dXJscz48cmVsYXRlZC11cmxzPjx1
cmw+aHR0cHM6Ly9jb25zZW5zdXMuYXBwL3BhcGVycy9wcm9mZXNzaW9uYWwtZGV2ZWxvcG1lbnQt
aW4tdGhlLXRyYW5zaXRpb24tdG8tb25saW5lLWFkbmFuLzZmOTQ4NGE1ZTVlMzU4ZDBiMjI1Yzkw
MWVlZjEyMzk2LzwvdXJsPjwvcmVsYXRlZC11cmxzPjwvdXJscz48ZWxlY3Ryb25pYy1yZXNvdXJj
ZS1udW0+MTAuMTAxNy9TMDk1ODM0NDAxNzAwMDEwNjwvZWxlY3Ryb25pYy1yZXNvdXJjZS1udW0+
PC9yZWNvcmQ+PC9DaXRlPjxDaXRlPjxBdXRob3I+Q29ucmFkPC9BdXRob3I+PFllYXI+MjAyMTwv
WWVhcj48UmVjTnVtPjE4PC9SZWNOdW0+PHJlY29yZD48cmVjLW51bWJlcj4xODwvcmVjLW51bWJl
cj48Zm9yZWlnbi1rZXlzPjxrZXkgYXBwPSJFTiIgZGItaWQ9IjlzZDl4dHY1a3c5MmRyZTkyejU1
cnd2YXh2OXNmeHZ3dHB2dCIgdGltZXN0YW1wPSIxNzQ0OTY5Njg2Ij4xODwva2V5PjwvZm9yZWln
bi1rZXlzPjxyZWYtdHlwZSBuYW1lPSJKb3VybmFsIEFydGljbGUiPjE3PC9yZWYtdHlwZT48Y29u
dHJpYnV0b3JzPjxhdXRob3JzPjxhdXRob3I+Q29ucmFkLCBEaWFubmU8L2F1dGhvcj48YXV0aG9y
PldpdHRoYXVzLCBHYWJpPC9hdXRob3I+PC9hdXRob3JzPjwvY29udHJpYnV0b3JzPjx0aXRsZXM+
PHRpdGxlPlJlaW1hZ2luaW5nIGFuZCByZWV4YW1pbmluZyBhc3Nlc3NtZW50IGluIG9ubGluZSBs
ZWFybmluZzwvdGl0bGU+PHNlY29uZGFyeS10aXRsZT5EaXN0YW5jZSBFZHVjYXRpb248L3NlY29u
ZGFyeS10aXRsZT48L3RpdGxlcz48cGVyaW9kaWNhbD48ZnVsbC10aXRsZT5EaXN0YW5jZSBFZHVj
YXRpb248L2Z1bGwtdGl0bGU+PC9wZXJpb2RpY2FsPjxwYWdlcz4xNzktMTgzPC9wYWdlcz48dm9s
dW1lPjQyPC92b2x1bWU+PGRhdGVzPjx5ZWFyPjIwMjE8L3llYXI+PHB1Yi1kYXRlcz48ZGF0ZT4y
MDIxLTA0LTAzPC9kYXRlPjwvcHViLWRhdGVzPjwvZGF0ZXM+PHVybHM+PHJlbGF0ZWQtdXJscz48
dXJsPmh0dHBzOi8vY29uc2Vuc3VzLmFwcC9wYXBlcnMvcmVpbWFnaW5pbmctYW5kLXJlZXhhbWlu
aW5nLWFzc2Vzc21lbnQtaW4tb25saW5lLWNvbnJhZC13aXR0aGF1cy9lMmRhZDRkNTU3Njg1NzQz
YjMxYjljMGU4ZTQ3MDk4ZS88L3VybD48L3JlbGF0ZWQtdXJscz48L3VybHM+PGVsZWN0cm9uaWMt
cmVzb3VyY2UtbnVtPjEwLjEwODAvMDE1ODc5MTkuMjAyMS4xOTE1MTE3PC9lbGVjdHJvbmljLXJl
c291cmNlLW51bT48L3JlY29yZD48L0NpdGU+PENpdGU+PEF1dGhvcj5HYXk8L0F1dGhvcj48WWVh
cj4yMDE2PC9ZZWFyPjxSZWNOdW0+MTM8L1JlY051bT48cmVjb3JkPjxyZWMtbnVtYmVyPjEzPC9y
ZWMtbnVtYmVyPjxmb3JlaWduLWtleXM+PGtleSBhcHA9IkVOIiBkYi1pZD0iOXNkOXh0djVrdzky
ZHJlOTJ6NTVyd3ZheHY5c2Z4dnd0cHZ0IiB0aW1lc3RhbXA9IjE3NDQ5Njk2ODYiPjEzPC9rZXk+
PC9mb3JlaWduLWtleXM+PHJlZi10eXBlIG5hbWU9IkpvdXJuYWwgQXJ0aWNsZSI+MTc8L3JlZi10
eXBlPjxjb250cmlidXRvcnM+PGF1dGhvcnM+PGF1dGhvcj5HYXksIEdsZW5kYTwvYXV0aG9yPjwv
YXV0aG9ycz48L2NvbnRyaWJ1dG9ycz48dGl0bGVzPjx0aXRsZT5BbiBhc3Nlc3NtZW50IG9mIG9u
bGluZSBpbnN0cnVjdG9yIGUtbGVhcm5pbmcgcmVhZGluZXNzIGJlZm9yZSwgZHVyaW5nLCBhbmQg
YWZ0ZXIgY291cnNlIGRlbGl2ZXJ5PC90aXRsZT48c2Vjb25kYXJ5LXRpdGxlPkpvdXJuYWwgb2Yg
Q29tcHV0aW5nIGluIEhpZ2hlciBFZHVjYXRpb248L3NlY29uZGFyeS10aXRsZT48L3RpdGxlcz48
cGVyaW9kaWNhbD48ZnVsbC10aXRsZT5Kb3VybmFsIG9mIENvbXB1dGluZyBpbiBIaWdoZXIgRWR1
Y2F0aW9uPC9mdWxsLXRpdGxlPjwvcGVyaW9kaWNhbD48cGFnZXM+MTk5LTIyMDwvcGFnZXM+PHZv
bHVtZT4yODwvdm9sdW1lPjxkYXRlcz48eWVhcj4yMDE2PC95ZWFyPjxwdWItZGF0ZXM+PGRhdGU+
MjAxNi0wNi0xODwvZGF0ZT48L3B1Yi1kYXRlcz48L2RhdGVzPjx1cmxzPjxyZWxhdGVkLXVybHM+
PHVybD5odHRwczovL2NvbnNlbnN1cy5hcHAvcGFwZXJzL2FuLWFzc2Vzc21lbnQtb2Ytb25saW5l
LWluc3RydWN0b3ItZWxlYXJuaW5nLXJlYWRpbmVzcy1nYXkvMjYxYWJmMjFhNGE2NTVlODgwMjky
NTRlY2RmMjBhMGUvPC91cmw+PC9yZWxhdGVkLXVybHM+PC91cmxzPjxlbGVjdHJvbmljLXJlc291
cmNlLW51bT4xMC4xMDA3L3MxMjUyOC0wMTYtOTExNS16PC9lbGVjdHJvbmljLXJlc291cmNlLW51
bT48L3JlY29yZD48L0NpdGU+PC9FbmROb3RlPgB=
</w:fldData>
        </w:fldChar>
      </w:r>
      <w:r w:rsidRPr="00A21762">
        <w:instrText xml:space="preserve"> ADDIN EN.CITE </w:instrText>
      </w:r>
      <w:r w:rsidRPr="00A21762">
        <w:fldChar w:fldCharType="begin">
          <w:fldData xml:space="preserve">PEVuZE5vdGU+PENpdGU+PEF1dGhvcj5BZG5hbjwvQXV0aG9yPjxZZWFyPjIwMTc8L1llYXI+PFJl
Y051bT4xNjwvUmVjTnVtPjxEaXNwbGF5VGV4dD4oQWRuYW4sIDIwMTc7IENvbnJhZCAmYW1wOyBX
aXR0aGF1cywgMjAyMTsgR2F5LCAyMDE2KTwvRGlzcGxheVRleHQ+PHJlY29yZD48cmVjLW51bWJl
cj4xNjwvcmVjLW51bWJlcj48Zm9yZWlnbi1rZXlzPjxrZXkgYXBwPSJFTiIgZGItaWQ9IjlzZDl4
dHY1a3c5MmRyZTkyejU1cnd2YXh2OXNmeHZ3dHB2dCIgdGltZXN0YW1wPSIxNzQ0OTY5Njg2Ij4x
Njwva2V5PjwvZm9yZWlnbi1rZXlzPjxyZWYtdHlwZSBuYW1lPSJKb3VybmFsIEFydGljbGUiPjE3
PC9yZWYtdHlwZT48Y29udHJpYnV0b3JzPjxhdXRob3JzPjxhdXRob3I+QWRuYW4sIE0uPC9hdXRo
b3I+PC9hdXRob3JzPjwvY29udHJpYnV0b3JzPjx0aXRsZXM+PHRpdGxlPlByb2Zlc3Npb25hbCBk
ZXZlbG9wbWVudCBpbiB0aGUgdHJhbnNpdGlvbiB0byBvbmxpbmUgdGVhY2hpbmc6IFRoZSB2b2lj
ZSBvZiBlbnRyYW50IG9ubGluZSBpbnN0cnVjdG9yczwvdGl0bGU+PHNlY29uZGFyeS10aXRsZT5S
ZUNBTEw8L3NlY29uZGFyeS10aXRsZT48L3RpdGxlcz48cGVyaW9kaWNhbD48ZnVsbC10aXRsZT5S
ZUNBTEw8L2Z1bGwtdGl0bGU+PC9wZXJpb2RpY2FsPjxwYWdlcz44OC0xMTE8L3BhZ2VzPjx2b2x1
bWU+MzA8L3ZvbHVtZT48ZGF0ZXM+PHllYXI+MjAxNzwveWVhcj48cHViLWRhdGVzPjxkYXRlPjIw
MTctMDctMjA8L2RhdGU+PC9wdWItZGF0ZXM+PC9kYXRlcz48dXJscz48cmVsYXRlZC11cmxzPjx1
cmw+aHR0cHM6Ly9jb25zZW5zdXMuYXBwL3BhcGVycy9wcm9mZXNzaW9uYWwtZGV2ZWxvcG1lbnQt
aW4tdGhlLXRyYW5zaXRpb24tdG8tb25saW5lLWFkbmFuLzZmOTQ4NGE1ZTVlMzU4ZDBiMjI1Yzkw
MWVlZjEyMzk2LzwvdXJsPjwvcmVsYXRlZC11cmxzPjwvdXJscz48ZWxlY3Ryb25pYy1yZXNvdXJj
ZS1udW0+MTAuMTAxNy9TMDk1ODM0NDAxNzAwMDEwNjwvZWxlY3Ryb25pYy1yZXNvdXJjZS1udW0+
PC9yZWNvcmQ+PC9DaXRlPjxDaXRlPjxBdXRob3I+Q29ucmFkPC9BdXRob3I+PFllYXI+MjAyMTwv
WWVhcj48UmVjTnVtPjE4PC9SZWNOdW0+PHJlY29yZD48cmVjLW51bWJlcj4xODwvcmVjLW51bWJl
cj48Zm9yZWlnbi1rZXlzPjxrZXkgYXBwPSJFTiIgZGItaWQ9IjlzZDl4dHY1a3c5MmRyZTkyejU1
cnd2YXh2OXNmeHZ3dHB2dCIgdGltZXN0YW1wPSIxNzQ0OTY5Njg2Ij4xODwva2V5PjwvZm9yZWln
bi1rZXlzPjxyZWYtdHlwZSBuYW1lPSJKb3VybmFsIEFydGljbGUiPjE3PC9yZWYtdHlwZT48Y29u
dHJpYnV0b3JzPjxhdXRob3JzPjxhdXRob3I+Q29ucmFkLCBEaWFubmU8L2F1dGhvcj48YXV0aG9y
PldpdHRoYXVzLCBHYWJpPC9hdXRob3I+PC9hdXRob3JzPjwvY29udHJpYnV0b3JzPjx0aXRsZXM+
PHRpdGxlPlJlaW1hZ2luaW5nIGFuZCByZWV4YW1pbmluZyBhc3Nlc3NtZW50IGluIG9ubGluZSBs
ZWFybmluZzwvdGl0bGU+PHNlY29uZGFyeS10aXRsZT5EaXN0YW5jZSBFZHVjYXRpb248L3NlY29u
ZGFyeS10aXRsZT48L3RpdGxlcz48cGVyaW9kaWNhbD48ZnVsbC10aXRsZT5EaXN0YW5jZSBFZHVj
YXRpb248L2Z1bGwtdGl0bGU+PC9wZXJpb2RpY2FsPjxwYWdlcz4xNzktMTgzPC9wYWdlcz48dm9s
dW1lPjQyPC92b2x1bWU+PGRhdGVzPjx5ZWFyPjIwMjE8L3llYXI+PHB1Yi1kYXRlcz48ZGF0ZT4y
MDIxLTA0LTAzPC9kYXRlPjwvcHViLWRhdGVzPjwvZGF0ZXM+PHVybHM+PHJlbGF0ZWQtdXJscz48
dXJsPmh0dHBzOi8vY29uc2Vuc3VzLmFwcC9wYXBlcnMvcmVpbWFnaW5pbmctYW5kLXJlZXhhbWlu
aW5nLWFzc2Vzc21lbnQtaW4tb25saW5lLWNvbnJhZC13aXR0aGF1cy9lMmRhZDRkNTU3Njg1NzQz
YjMxYjljMGU4ZTQ3MDk4ZS88L3VybD48L3JlbGF0ZWQtdXJscz48L3VybHM+PGVsZWN0cm9uaWMt
cmVzb3VyY2UtbnVtPjEwLjEwODAvMDE1ODc5MTkuMjAyMS4xOTE1MTE3PC9lbGVjdHJvbmljLXJl
c291cmNlLW51bT48L3JlY29yZD48L0NpdGU+PENpdGU+PEF1dGhvcj5HYXk8L0F1dGhvcj48WWVh
cj4yMDE2PC9ZZWFyPjxSZWNOdW0+MTM8L1JlY051bT48cmVjb3JkPjxyZWMtbnVtYmVyPjEzPC9y
ZWMtbnVtYmVyPjxmb3JlaWduLWtleXM+PGtleSBhcHA9IkVOIiBkYi1pZD0iOXNkOXh0djVrdzky
ZHJlOTJ6NTVyd3ZheHY5c2Z4dnd0cHZ0IiB0aW1lc3RhbXA9IjE3NDQ5Njk2ODYiPjEzPC9rZXk+
PC9mb3JlaWduLWtleXM+PHJlZi10eXBlIG5hbWU9IkpvdXJuYWwgQXJ0aWNsZSI+MTc8L3JlZi10
eXBlPjxjb250cmlidXRvcnM+PGF1dGhvcnM+PGF1dGhvcj5HYXksIEdsZW5kYTwvYXV0aG9yPjwv
YXV0aG9ycz48L2NvbnRyaWJ1dG9ycz48dGl0bGVzPjx0aXRsZT5BbiBhc3Nlc3NtZW50IG9mIG9u
bGluZSBpbnN0cnVjdG9yIGUtbGVhcm5pbmcgcmVhZGluZXNzIGJlZm9yZSwgZHVyaW5nLCBhbmQg
YWZ0ZXIgY291cnNlIGRlbGl2ZXJ5PC90aXRsZT48c2Vjb25kYXJ5LXRpdGxlPkpvdXJuYWwgb2Yg
Q29tcHV0aW5nIGluIEhpZ2hlciBFZHVjYXRpb248L3NlY29uZGFyeS10aXRsZT48L3RpdGxlcz48
cGVyaW9kaWNhbD48ZnVsbC10aXRsZT5Kb3VybmFsIG9mIENvbXB1dGluZyBpbiBIaWdoZXIgRWR1
Y2F0aW9uPC9mdWxsLXRpdGxlPjwvcGVyaW9kaWNhbD48cGFnZXM+MTk5LTIyMDwvcGFnZXM+PHZv
bHVtZT4yODwvdm9sdW1lPjxkYXRlcz48eWVhcj4yMDE2PC95ZWFyPjxwdWItZGF0ZXM+PGRhdGU+
MjAxNi0wNi0xODwvZGF0ZT48L3B1Yi1kYXRlcz48L2RhdGVzPjx1cmxzPjxyZWxhdGVkLXVybHM+
PHVybD5odHRwczovL2NvbnNlbnN1cy5hcHAvcGFwZXJzL2FuLWFzc2Vzc21lbnQtb2Ytb25saW5l
LWluc3RydWN0b3ItZWxlYXJuaW5nLXJlYWRpbmVzcy1nYXkvMjYxYWJmMjFhNGE2NTVlODgwMjky
NTRlY2RmMjBhMGUvPC91cmw+PC9yZWxhdGVkLXVybHM+PC91cmxzPjxlbGVjdHJvbmljLXJlc291
cmNlLW51bT4xMC4xMDA3L3MxMjUyOC0wMTYtOTExNS16PC9lbGVjdHJvbmljLXJlc291cmNlLW51
bT48L3JlY29yZD48L0NpdGU+PC9FbmROb3RlPgB=
</w:fldData>
        </w:fldChar>
      </w:r>
      <w:r w:rsidRPr="00A21762">
        <w:instrText xml:space="preserve"> ADDIN EN.CITE.DATA </w:instrText>
      </w:r>
      <w:r w:rsidRPr="00A21762">
        <w:fldChar w:fldCharType="end"/>
      </w:r>
      <w:r w:rsidRPr="00A21762">
        <w:fldChar w:fldCharType="separate"/>
      </w:r>
      <w:r w:rsidRPr="00A21762">
        <w:rPr>
          <w:noProof/>
        </w:rPr>
        <w:t>(Adnan, 2017; Conrad &amp; Witthaus, 2021; Gay, 2016)</w:t>
      </w:r>
      <w:r w:rsidRPr="00A21762">
        <w:fldChar w:fldCharType="end"/>
      </w:r>
      <w:r w:rsidRPr="00A21762">
        <w:t xml:space="preserve">. This shift has been accelerated by the COVID-19 pandemic, necessitating a rapid adaptation to online teaching methods </w:t>
      </w:r>
      <w:r w:rsidRPr="00A21762">
        <w:fldChar w:fldCharType="begin">
          <w:fldData xml:space="preserve">PEVuZE5vdGU+PENpdGU+PEF1dGhvcj5Hb29keWVhcjwvQXV0aG9yPjxZZWFyPjIwMDE8L1llYXI+
PFJlY051bT4yMDwvUmVjTnVtPjxEaXNwbGF5VGV4dD4oR29vZHllYXIgZXQgYWwuLCAyMDAxOyBM
b3MgZXQgYWwuLCAyMDIxOyBNYXJ0aW4gZXQgYWwuLCAyMDE5OyBNb3RvZ25hIGV0IGFsLiwgMjAy
MDsgV2FuZyBldCBhbC4sIDIwMTkpPC9EaXNwbGF5VGV4dD48cmVjb3JkPjxyZWMtbnVtYmVyPjIw
PC9yZWMtbnVtYmVyPjxmb3JlaWduLWtleXM+PGtleSBhcHA9IkVOIiBkYi1pZD0iOXNkOXh0djVr
dzkyZHJlOTJ6NTVyd3ZheHY5c2Z4dnd0cHZ0IiB0aW1lc3RhbXA9IjE3NDQ5Njk2ODYiPjIwPC9r
ZXk+PC9mb3JlaWduLWtleXM+PHJlZi10eXBlIG5hbWU9IkpvdXJuYWwgQXJ0aWNsZSI+MTc8L3Jl
Zi10eXBlPjxjb250cmlidXRvcnM+PGF1dGhvcnM+PGF1dGhvcj5Hb29keWVhciwgUC48L2F1dGhv
cj48YXV0aG9yPlNhbG1vbiwgRy48L2F1dGhvcj48YXV0aG9yPlNwZWN0b3IsIEouPC9hdXRob3I+
PGF1dGhvcj5TdGVlcGxlcywgQy48L2F1dGhvcj48YXV0aG9yPlRpY2tuZXIsIFMuPC9hdXRob3I+
PC9hdXRob3JzPjwvY29udHJpYnV0b3JzPjx0aXRsZXM+PHRpdGxlPkNvbXBldGVuY2VzIGZvciBv
bmxpbmUgdGVhY2hpbmc6IEEgc3BlY2lhbCByZXBvcnQ8L3RpdGxlPjxzZWNvbmRhcnktdGl0bGU+
RWR1Y2F0aW9uYWwgVGVjaG5vbG9neSBSZXNlYXJjaCBhbmQgRGV2ZWxvcG1lbnQ8L3NlY29uZGFy
eS10aXRsZT48L3RpdGxlcz48cGVyaW9kaWNhbD48ZnVsbC10aXRsZT5FZHVjYXRpb25hbCBUZWNo
bm9sb2d5IFJlc2VhcmNoIGFuZCBEZXZlbG9wbWVudDwvZnVsbC10aXRsZT48L3BlcmlvZGljYWw+
PHBhZ2VzPjY1LTcyPC9wYWdlcz48dm9sdW1lPjQ5PC92b2x1bWU+PGRhdGVzPjx5ZWFyPjIwMDE8
L3llYXI+PHB1Yi1kYXRlcz48ZGF0ZT4yMDAxLTAzLTAxPC9kYXRlPjwvcHViLWRhdGVzPjwvZGF0
ZXM+PHVybHM+PHJlbGF0ZWQtdXJscz48dXJsPmh0dHBzOi8vY29uc2Vuc3VzLmFwcC9wYXBlcnMv
Y29tcGV0ZW5jZXMtZm9yLW9ubGluZS10ZWFjaGluZy1hLXNwZWNpYWwtcmVwb3J0LWdvb2R5ZWFy
LXNhbG1vbi9hOWEzYTE1MzFhZDY1MDU0YjQwYmIyNjdkM2Y2ODJkMy88L3VybD48L3JlbGF0ZWQt
dXJscz48L3VybHM+PGVsZWN0cm9uaWMtcmVzb3VyY2UtbnVtPjEwLjEwMDcvQkYwMjUwNDUwODwv
ZWxlY3Ryb25pYy1yZXNvdXJjZS1udW0+PC9yZWNvcmQ+PC9DaXRlPjxDaXRlPjxBdXRob3I+TG9z
PC9BdXRob3I+PFllYXI+MjAyMTwvWWVhcj48UmVjTnVtPjEyPC9SZWNOdW0+PHJlY29yZD48cmVj
LW51bWJlcj4xMjwvcmVjLW51bWJlcj48Zm9yZWlnbi1rZXlzPjxrZXkgYXBwPSJFTiIgZGItaWQ9
IjlzZDl4dHY1a3c5MmRyZTkyejU1cnd2YXh2OXNmeHZ3dHB2dCIgdGltZXN0YW1wPSIxNzQ0OTY5
Njg2Ij4xMjwva2V5PjwvZm9yZWlnbi1rZXlzPjxyZWYtdHlwZSBuYW1lPSJKb3VybmFsIEFydGlj
bGUiPjE3PC9yZWYtdHlwZT48Y29udHJpYnV0b3JzPjxhdXRob3JzPjxhdXRob3I+TG9zLCBSeWFu
PC9hdXRob3I+PGF1dGhvcj5EZSBKYWVnZXIsIEEuPC9hdXRob3I+PGF1dGhvcj5TdG9lc3osIEIu
PC9hdXRob3I+PC9hdXRob3JzPjwvY29udHJpYnV0b3JzPjx0aXRsZXM+PHRpdGxlPk9ubGluZSBh
bmQgQmxlbmRlZCBUZWFjaGluZyBSZWFkaW5lc3MgQXNzZXNzbWVudCAoT0JUUkEpPC90aXRsZT48
L3RpdGxlcz48dm9sdW1lPjY8L3ZvbHVtZT48ZGF0ZXM+PHllYXI+MjAyMTwveWVhcj48cHViLWRh
dGVzPjxkYXRlPjIwMjEtMTAtMTU8L2RhdGU+PC9wdWItZGF0ZXM+PC9kYXRlcz48dXJscz48cmVs
YXRlZC11cmxzPjx1cmw+aHR0cHM6Ly9jb25zZW5zdXMuYXBwL3BhcGVycy9vbmxpbmUtYW5kLWJs
ZW5kZWQtdGVhY2hpbmctcmVhZGluZXNzLWFzc2Vzc21lbnQtb2J0cmEtbG9zLWphZWdlci9mMjRk
NmNjOTE3ZDE1MTY2ODI1NmVhMjUxYjViYzZhMC88L3VybD48L3JlbGF0ZWQtdXJscz48L3VybHM+
PGVsZWN0cm9uaWMtcmVzb3VyY2UtbnVtPjEwLjMzODkvZmVkdWMuMjAyMS42NzM1OTQ8L2VsZWN0
cm9uaWMtcmVzb3VyY2UtbnVtPjwvcmVjb3JkPjwvQ2l0ZT48Q2l0ZT48QXV0aG9yPk1hcnRpbjwv
QXV0aG9yPjxZZWFyPjIwMTk8L1llYXI+PFJlY051bT4xNzwvUmVjTnVtPjxyZWNvcmQ+PHJlYy1u
dW1iZXI+MTc8L3JlYy1udW1iZXI+PGZvcmVpZ24ta2V5cz48a2V5IGFwcD0iRU4iIGRiLWlkPSI5
c2Q5eHR2NWt3OTJkcmU5Mno1NXJ3dmF4djlzZnh2d3RwdnQiIHRpbWVzdGFtcD0iMTc0NDk2OTY4
NiI+MTc8L2tleT48L2ZvcmVpZ24ta2V5cz48cmVmLXR5cGUgbmFtZT0iSm91cm5hbCBBcnRpY2xl
Ij4xNzwvcmVmLXR5cGU+PGNvbnRyaWJ1dG9ycz48YXV0aG9ycz48YXV0aG9yPk1hcnRpbiwgRmxv
cmVuY2U8L2F1dGhvcj48YXV0aG9yPkJ1ZGhyYW5pLCBLaXJhbjwvYXV0aG9yPjxhdXRob3I+V2Fu
ZywgQ2h1YW5nPC9hdXRob3I+PC9hdXRob3JzPjwvY29udHJpYnV0b3JzPjx0aXRsZXM+PHRpdGxl
PkV4YW1pbmluZyBGYWN1bHR5IFBlcmNlcHRpb24gb2YgVGhlaXIgUmVhZGluZXNzIHRvIFRlYWNo
IE9ubGluZTwvdGl0bGU+PHNlY29uZGFyeS10aXRsZT5PbmxpbmUgTGVhcm5pbmc8L3NlY29uZGFy
eS10aXRsZT48L3RpdGxlcz48cGVyaW9kaWNhbD48ZnVsbC10aXRsZT5PbmxpbmUgTGVhcm5pbmc8
L2Z1bGwtdGl0bGU+PC9wZXJpb2RpY2FsPjxkYXRlcz48eWVhcj4yMDE5PC95ZWFyPjxwdWItZGF0
ZXM+PGRhdGU+MjAxOS0wOS0wMTwvZGF0ZT48L3B1Yi1kYXRlcz48L2RhdGVzPjx1cmxzPjxyZWxh
dGVkLXVybHM+PHVybD5odHRwczovL2NvbnNlbnN1cy5hcHAvcGFwZXJzL2V4YW1pbmluZy1mYWN1
bHR5LXBlcmNlcHRpb24tb2YtdGhlaXItcmVhZGluZXNzLXRvLXRlYWNoLW1hcnRpbi1idWRocmFu
aS8xZDFiOTU5NDgyNjU1ZjFhYmRkMDE1ZDkxMTc5ZWEwNS88L3VybD48L3JlbGF0ZWQtdXJscz48
L3VybHM+PGVsZWN0cm9uaWMtcmVzb3VyY2UtbnVtPjEwLjI0MDU5L29sai52MjNpMy4xNTU1PC9l
bGVjdHJvbmljLXJlc291cmNlLW51bT48L3JlY29yZD48L0NpdGU+PENpdGU+PEF1dGhvcj5Nb3Rv
Z25hPC9BdXRob3I+PFllYXI+MjAyMDwvWWVhcj48UmVjTnVtPjE0PC9SZWNOdW0+PHJlY29yZD48
cmVjLW51bWJlcj4xNDwvcmVjLW51bWJlcj48Zm9yZWlnbi1rZXlzPjxrZXkgYXBwPSJFTiIgZGIt
aWQ9IjlzZDl4dHY1a3c5MmRyZTkyejU1cnd2YXh2OXNmeHZ3dHB2dCIgdGltZXN0YW1wPSIxNzQ0
OTY5Njg2Ij4xNDwva2V5PjwvZm9yZWlnbi1rZXlzPjxyZWYtdHlwZSBuYW1lPSJKb3VybmFsIEFy
dGljbGUiPjE3PC9yZWYtdHlwZT48Y29udHJpYnV0b3JzPjxhdXRob3JzPjxhdXRob3I+TW90b2du
YSwgUy48L2F1dGhvcj48YXV0aG9yPk1hcmN1cywgQW5kcmlhbjwvYXV0aG9yPjxhdXRob3I+TW9s
bmFyLCBBLjwvYXV0aG9yPjwvYXV0aG9ycz48L2NvbnRyaWJ1dG9ycz48dGl0bGVzPjx0aXRsZT5B
ZGFwdGluZyB0byBvbmxpbmUgdGVhY2hpbmcgaW4gc29mdHdhcmUgZW5naW5lZXJpbmcgY291cnNl
czwvdGl0bGU+PHNlY29uZGFyeS10aXRsZT5Qcm9jZWVkaW5ncyBvZiB0aGUgMm5kIEFDTSBTSUdT
T0ZUIEludGVybmF0aW9uYWwgV29ya3Nob3Agb24gRWR1Y2F0aW9uIHRocm91Z2ggQWR2YW5jZWQg
U29mdHdhcmUgRW5naW5lZXJpbmcgYW5kIEFydGlmaWNpYWwgSW50ZWxsaWdlbmNlPC9zZWNvbmRh
cnktdGl0bGU+PC90aXRsZXM+PHBlcmlvZGljYWw+PGZ1bGwtdGl0bGU+UHJvY2VlZGluZ3Mgb2Yg
dGhlIDJuZCBBQ00gU0lHU09GVCBJbnRlcm5hdGlvbmFsIFdvcmtzaG9wIG9uIEVkdWNhdGlvbiB0
aHJvdWdoIEFkdmFuY2VkIFNvZnR3YXJlIEVuZ2luZWVyaW5nIGFuZCBBcnRpZmljaWFsIEludGVs
bGlnZW5jZTwvZnVsbC10aXRsZT48L3BlcmlvZGljYWw+PGRhdGVzPjx5ZWFyPjIwMjA8L3llYXI+
PHB1Yi1kYXRlcz48ZGF0ZT4yMDIwLTExLTA2PC9kYXRlPjwvcHViLWRhdGVzPjwvZGF0ZXM+PHVy
bHM+PHJlbGF0ZWQtdXJscz48dXJsPmh0dHBzOi8vY29uc2Vuc3VzLmFwcC9wYXBlcnMvYWRhcHRp
bmctdG8tb25saW5lLXRlYWNoaW5nLWluLXNvZnR3YXJlLWVuZ2luZWVyaW5nLW1vdG9nbmEtbWFy
Y3VzL2FlMTBhMTkwMmY0NjVkOTJiMTgzYmEzZDE0MjQzOTQxLzwvdXJsPjwvcmVsYXRlZC11cmxz
PjwvdXJscz48ZWxlY3Ryb25pYy1yZXNvdXJjZS1udW0+MTAuMTE0NS8zNDEyNDUzLjM0MjMxOTQ8
L2VsZWN0cm9uaWMtcmVzb3VyY2UtbnVtPjwvcmVjb3JkPjwvQ2l0ZT48Q2l0ZT48QXV0aG9yPldh
bmc8L0F1dGhvcj48WWVhcj4yMDE5PC9ZZWFyPjxSZWNOdW0+MTk8L1JlY051bT48cmVjb3JkPjxy
ZWMtbnVtYmVyPjE5PC9yZWMtbnVtYmVyPjxmb3JlaWduLWtleXM+PGtleSBhcHA9IkVOIiBkYi1p
ZD0iOXNkOXh0djVrdzkyZHJlOTJ6NTVyd3ZheHY5c2Z4dnd0cHZ0IiB0aW1lc3RhbXA9IjE3NDQ5
Njk2ODYiPjE5PC9rZXk+PC9mb3JlaWduLWtleXM+PHJlZi10eXBlIG5hbWU9IkpvdXJuYWwgQXJ0
aWNsZSI+MTc8L3JlZi10eXBlPjxjb250cmlidXRvcnM+PGF1dGhvcnM+PGF1dGhvcj5XYW5nLCBZ
YW5nPC9hdXRob3I+PGF1dGhvcj5XYW5nLCBZaXhpYW48L2F1dGhvcj48YXV0aG9yPlN0ZWluLCBE
LjwvYXV0aG9yPjxhdXRob3I+TGl1LCBRaW5ndGFuZzwvYXV0aG9yPjxhdXRob3I+Q2hlbiwgV2Vu
bGk8L2F1dGhvcj48L2F1dGhvcnM+PC9jb250cmlidXRvcnM+PHRpdGxlcz48dGl0bGU+RXhhbWlu
aW5nIENoaW5lc2UgYmVnaW5uaW5nIG9ubGluZSBpbnN0cnVjdG9yc+KAmSBjb21wZXRlbmNpZXMg
aW4gdGVhY2hpbmcgb25saW5lIGJhc2VkIG9uIHRoZSBBY3Rpdml0eSB0aGVvcnk8L3RpdGxlPjxz
ZWNvbmRhcnktdGl0bGU+Sm91cm5hbCBvZiBDb21wdXRlcnMgaW4gRWR1Y2F0aW9uPC9zZWNvbmRh
cnktdGl0bGU+PC90aXRsZXM+PHBlcmlvZGljYWw+PGZ1bGwtdGl0bGU+Sm91cm5hbCBvZiBDb21w
dXRlcnMgaW4gRWR1Y2F0aW9uPC9mdWxsLXRpdGxlPjwvcGVyaW9kaWNhbD48cGFnZXM+MzYzLTM4
NDwvcGFnZXM+PHZvbHVtZT42PC92b2x1bWU+PGRhdGVzPjx5ZWFyPjIwMTk8L3llYXI+PHB1Yi1k
YXRlcz48ZGF0ZT4yMDE5LTA1LTIwPC9kYXRlPjwvcHViLWRhdGVzPjwvZGF0ZXM+PHVybHM+PHJl
bGF0ZWQtdXJscz48dXJsPmh0dHBzOi8vY29uc2Vuc3VzLmFwcC9wYXBlcnMvZXhhbWluaW5nLWNo
aW5lc2UtYmVnaW5uaW5nLW9ubGluZS1pbnN0cnVjdG9ycy0lRTIlODAlOTktd2FuZy13YW5nL2Y0
YmE4M2EyMGUyMjU5Njk5ZTllODE5OThkMjY5NWJhLzwvdXJsPjwvcmVsYXRlZC11cmxzPjwvdXJs
cz48ZWxlY3Ryb25pYy1yZXNvdXJjZS1udW0+MTAuMTAwNy9zNDA2OTItMDE5LTAwMTQwLXc8L2Vs
ZWN0cm9uaWMtcmVzb3VyY2UtbnVtPjwvcmVjb3JkPjwvQ2l0ZT48L0VuZE5vdGU+
</w:fldData>
        </w:fldChar>
      </w:r>
      <w:r w:rsidRPr="00A21762">
        <w:instrText xml:space="preserve"> ADDIN EN.CITE </w:instrText>
      </w:r>
      <w:r w:rsidRPr="00A21762">
        <w:fldChar w:fldCharType="begin">
          <w:fldData xml:space="preserve">PEVuZE5vdGU+PENpdGU+PEF1dGhvcj5Hb29keWVhcjwvQXV0aG9yPjxZZWFyPjIwMDE8L1llYXI+
PFJlY051bT4yMDwvUmVjTnVtPjxEaXNwbGF5VGV4dD4oR29vZHllYXIgZXQgYWwuLCAyMDAxOyBM
b3MgZXQgYWwuLCAyMDIxOyBNYXJ0aW4gZXQgYWwuLCAyMDE5OyBNb3RvZ25hIGV0IGFsLiwgMjAy
MDsgV2FuZyBldCBhbC4sIDIwMTkpPC9EaXNwbGF5VGV4dD48cmVjb3JkPjxyZWMtbnVtYmVyPjIw
PC9yZWMtbnVtYmVyPjxmb3JlaWduLWtleXM+PGtleSBhcHA9IkVOIiBkYi1pZD0iOXNkOXh0djVr
dzkyZHJlOTJ6NTVyd3ZheHY5c2Z4dnd0cHZ0IiB0aW1lc3RhbXA9IjE3NDQ5Njk2ODYiPjIwPC9r
ZXk+PC9mb3JlaWduLWtleXM+PHJlZi10eXBlIG5hbWU9IkpvdXJuYWwgQXJ0aWNsZSI+MTc8L3Jl
Zi10eXBlPjxjb250cmlidXRvcnM+PGF1dGhvcnM+PGF1dGhvcj5Hb29keWVhciwgUC48L2F1dGhv
cj48YXV0aG9yPlNhbG1vbiwgRy48L2F1dGhvcj48YXV0aG9yPlNwZWN0b3IsIEouPC9hdXRob3I+
PGF1dGhvcj5TdGVlcGxlcywgQy48L2F1dGhvcj48YXV0aG9yPlRpY2tuZXIsIFMuPC9hdXRob3I+
PC9hdXRob3JzPjwvY29udHJpYnV0b3JzPjx0aXRsZXM+PHRpdGxlPkNvbXBldGVuY2VzIGZvciBv
bmxpbmUgdGVhY2hpbmc6IEEgc3BlY2lhbCByZXBvcnQ8L3RpdGxlPjxzZWNvbmRhcnktdGl0bGU+
RWR1Y2F0aW9uYWwgVGVjaG5vbG9neSBSZXNlYXJjaCBhbmQgRGV2ZWxvcG1lbnQ8L3NlY29uZGFy
eS10aXRsZT48L3RpdGxlcz48cGVyaW9kaWNhbD48ZnVsbC10aXRsZT5FZHVjYXRpb25hbCBUZWNo
bm9sb2d5IFJlc2VhcmNoIGFuZCBEZXZlbG9wbWVudDwvZnVsbC10aXRsZT48L3BlcmlvZGljYWw+
PHBhZ2VzPjY1LTcyPC9wYWdlcz48dm9sdW1lPjQ5PC92b2x1bWU+PGRhdGVzPjx5ZWFyPjIwMDE8
L3llYXI+PHB1Yi1kYXRlcz48ZGF0ZT4yMDAxLTAzLTAxPC9kYXRlPjwvcHViLWRhdGVzPjwvZGF0
ZXM+PHVybHM+PHJlbGF0ZWQtdXJscz48dXJsPmh0dHBzOi8vY29uc2Vuc3VzLmFwcC9wYXBlcnMv
Y29tcGV0ZW5jZXMtZm9yLW9ubGluZS10ZWFjaGluZy1hLXNwZWNpYWwtcmVwb3J0LWdvb2R5ZWFy
LXNhbG1vbi9hOWEzYTE1MzFhZDY1MDU0YjQwYmIyNjdkM2Y2ODJkMy88L3VybD48L3JlbGF0ZWQt
dXJscz48L3VybHM+PGVsZWN0cm9uaWMtcmVzb3VyY2UtbnVtPjEwLjEwMDcvQkYwMjUwNDUwODwv
ZWxlY3Ryb25pYy1yZXNvdXJjZS1udW0+PC9yZWNvcmQ+PC9DaXRlPjxDaXRlPjxBdXRob3I+TG9z
PC9BdXRob3I+PFllYXI+MjAyMTwvWWVhcj48UmVjTnVtPjEyPC9SZWNOdW0+PHJlY29yZD48cmVj
LW51bWJlcj4xMjwvcmVjLW51bWJlcj48Zm9yZWlnbi1rZXlzPjxrZXkgYXBwPSJFTiIgZGItaWQ9
IjlzZDl4dHY1a3c5MmRyZTkyejU1cnd2YXh2OXNmeHZ3dHB2dCIgdGltZXN0YW1wPSIxNzQ0OTY5
Njg2Ij4xMjwva2V5PjwvZm9yZWlnbi1rZXlzPjxyZWYtdHlwZSBuYW1lPSJKb3VybmFsIEFydGlj
bGUiPjE3PC9yZWYtdHlwZT48Y29udHJpYnV0b3JzPjxhdXRob3JzPjxhdXRob3I+TG9zLCBSeWFu
PC9hdXRob3I+PGF1dGhvcj5EZSBKYWVnZXIsIEEuPC9hdXRob3I+PGF1dGhvcj5TdG9lc3osIEIu
PC9hdXRob3I+PC9hdXRob3JzPjwvY29udHJpYnV0b3JzPjx0aXRsZXM+PHRpdGxlPk9ubGluZSBh
bmQgQmxlbmRlZCBUZWFjaGluZyBSZWFkaW5lc3MgQXNzZXNzbWVudCAoT0JUUkEpPC90aXRsZT48
L3RpdGxlcz48dm9sdW1lPjY8L3ZvbHVtZT48ZGF0ZXM+PHllYXI+MjAyMTwveWVhcj48cHViLWRh
dGVzPjxkYXRlPjIwMjEtMTAtMTU8L2RhdGU+PC9wdWItZGF0ZXM+PC9kYXRlcz48dXJscz48cmVs
YXRlZC11cmxzPjx1cmw+aHR0cHM6Ly9jb25zZW5zdXMuYXBwL3BhcGVycy9vbmxpbmUtYW5kLWJs
ZW5kZWQtdGVhY2hpbmctcmVhZGluZXNzLWFzc2Vzc21lbnQtb2J0cmEtbG9zLWphZWdlci9mMjRk
NmNjOTE3ZDE1MTY2ODI1NmVhMjUxYjViYzZhMC88L3VybD48L3JlbGF0ZWQtdXJscz48L3VybHM+
PGVsZWN0cm9uaWMtcmVzb3VyY2UtbnVtPjEwLjMzODkvZmVkdWMuMjAyMS42NzM1OTQ8L2VsZWN0
cm9uaWMtcmVzb3VyY2UtbnVtPjwvcmVjb3JkPjwvQ2l0ZT48Q2l0ZT48QXV0aG9yPk1hcnRpbjwv
QXV0aG9yPjxZZWFyPjIwMTk8L1llYXI+PFJlY051bT4xNzwvUmVjTnVtPjxyZWNvcmQ+PHJlYy1u
dW1iZXI+MTc8L3JlYy1udW1iZXI+PGZvcmVpZ24ta2V5cz48a2V5IGFwcD0iRU4iIGRiLWlkPSI5
c2Q5eHR2NWt3OTJkcmU5Mno1NXJ3dmF4djlzZnh2d3RwdnQiIHRpbWVzdGFtcD0iMTc0NDk2OTY4
NiI+MTc8L2tleT48L2ZvcmVpZ24ta2V5cz48cmVmLXR5cGUgbmFtZT0iSm91cm5hbCBBcnRpY2xl
Ij4xNzwvcmVmLXR5cGU+PGNvbnRyaWJ1dG9ycz48YXV0aG9ycz48YXV0aG9yPk1hcnRpbiwgRmxv
cmVuY2U8L2F1dGhvcj48YXV0aG9yPkJ1ZGhyYW5pLCBLaXJhbjwvYXV0aG9yPjxhdXRob3I+V2Fu
ZywgQ2h1YW5nPC9hdXRob3I+PC9hdXRob3JzPjwvY29udHJpYnV0b3JzPjx0aXRsZXM+PHRpdGxl
PkV4YW1pbmluZyBGYWN1bHR5IFBlcmNlcHRpb24gb2YgVGhlaXIgUmVhZGluZXNzIHRvIFRlYWNo
IE9ubGluZTwvdGl0bGU+PHNlY29uZGFyeS10aXRsZT5PbmxpbmUgTGVhcm5pbmc8L3NlY29uZGFy
eS10aXRsZT48L3RpdGxlcz48cGVyaW9kaWNhbD48ZnVsbC10aXRsZT5PbmxpbmUgTGVhcm5pbmc8
L2Z1bGwtdGl0bGU+PC9wZXJpb2RpY2FsPjxkYXRlcz48eWVhcj4yMDE5PC95ZWFyPjxwdWItZGF0
ZXM+PGRhdGU+MjAxOS0wOS0wMTwvZGF0ZT48L3B1Yi1kYXRlcz48L2RhdGVzPjx1cmxzPjxyZWxh
dGVkLXVybHM+PHVybD5odHRwczovL2NvbnNlbnN1cy5hcHAvcGFwZXJzL2V4YW1pbmluZy1mYWN1
bHR5LXBlcmNlcHRpb24tb2YtdGhlaXItcmVhZGluZXNzLXRvLXRlYWNoLW1hcnRpbi1idWRocmFu
aS8xZDFiOTU5NDgyNjU1ZjFhYmRkMDE1ZDkxMTc5ZWEwNS88L3VybD48L3JlbGF0ZWQtdXJscz48
L3VybHM+PGVsZWN0cm9uaWMtcmVzb3VyY2UtbnVtPjEwLjI0MDU5L29sai52MjNpMy4xNTU1PC9l
bGVjdHJvbmljLXJlc291cmNlLW51bT48L3JlY29yZD48L0NpdGU+PENpdGU+PEF1dGhvcj5Nb3Rv
Z25hPC9BdXRob3I+PFllYXI+MjAyMDwvWWVhcj48UmVjTnVtPjE0PC9SZWNOdW0+PHJlY29yZD48
cmVjLW51bWJlcj4xNDwvcmVjLW51bWJlcj48Zm9yZWlnbi1rZXlzPjxrZXkgYXBwPSJFTiIgZGIt
aWQ9IjlzZDl4dHY1a3c5MmRyZTkyejU1cnd2YXh2OXNmeHZ3dHB2dCIgdGltZXN0YW1wPSIxNzQ0
OTY5Njg2Ij4xNDwva2V5PjwvZm9yZWlnbi1rZXlzPjxyZWYtdHlwZSBuYW1lPSJKb3VybmFsIEFy
dGljbGUiPjE3PC9yZWYtdHlwZT48Y29udHJpYnV0b3JzPjxhdXRob3JzPjxhdXRob3I+TW90b2du
YSwgUy48L2F1dGhvcj48YXV0aG9yPk1hcmN1cywgQW5kcmlhbjwvYXV0aG9yPjxhdXRob3I+TW9s
bmFyLCBBLjwvYXV0aG9yPjwvYXV0aG9ycz48L2NvbnRyaWJ1dG9ycz48dGl0bGVzPjx0aXRsZT5B
ZGFwdGluZyB0byBvbmxpbmUgdGVhY2hpbmcgaW4gc29mdHdhcmUgZW5naW5lZXJpbmcgY291cnNl
czwvdGl0bGU+PHNlY29uZGFyeS10aXRsZT5Qcm9jZWVkaW5ncyBvZiB0aGUgMm5kIEFDTSBTSUdT
T0ZUIEludGVybmF0aW9uYWwgV29ya3Nob3Agb24gRWR1Y2F0aW9uIHRocm91Z2ggQWR2YW5jZWQg
U29mdHdhcmUgRW5naW5lZXJpbmcgYW5kIEFydGlmaWNpYWwgSW50ZWxsaWdlbmNlPC9zZWNvbmRh
cnktdGl0bGU+PC90aXRsZXM+PHBlcmlvZGljYWw+PGZ1bGwtdGl0bGU+UHJvY2VlZGluZ3Mgb2Yg
dGhlIDJuZCBBQ00gU0lHU09GVCBJbnRlcm5hdGlvbmFsIFdvcmtzaG9wIG9uIEVkdWNhdGlvbiB0
aHJvdWdoIEFkdmFuY2VkIFNvZnR3YXJlIEVuZ2luZWVyaW5nIGFuZCBBcnRpZmljaWFsIEludGVs
bGlnZW5jZTwvZnVsbC10aXRsZT48L3BlcmlvZGljYWw+PGRhdGVzPjx5ZWFyPjIwMjA8L3llYXI+
PHB1Yi1kYXRlcz48ZGF0ZT4yMDIwLTExLTA2PC9kYXRlPjwvcHViLWRhdGVzPjwvZGF0ZXM+PHVy
bHM+PHJlbGF0ZWQtdXJscz48dXJsPmh0dHBzOi8vY29uc2Vuc3VzLmFwcC9wYXBlcnMvYWRhcHRp
bmctdG8tb25saW5lLXRlYWNoaW5nLWluLXNvZnR3YXJlLWVuZ2luZWVyaW5nLW1vdG9nbmEtbWFy
Y3VzL2FlMTBhMTkwMmY0NjVkOTJiMTgzYmEzZDE0MjQzOTQxLzwvdXJsPjwvcmVsYXRlZC11cmxz
PjwvdXJscz48ZWxlY3Ryb25pYy1yZXNvdXJjZS1udW0+MTAuMTE0NS8zNDEyNDUzLjM0MjMxOTQ8
L2VsZWN0cm9uaWMtcmVzb3VyY2UtbnVtPjwvcmVjb3JkPjwvQ2l0ZT48Q2l0ZT48QXV0aG9yPldh
bmc8L0F1dGhvcj48WWVhcj4yMDE5PC9ZZWFyPjxSZWNOdW0+MTk8L1JlY051bT48cmVjb3JkPjxy
ZWMtbnVtYmVyPjE5PC9yZWMtbnVtYmVyPjxmb3JlaWduLWtleXM+PGtleSBhcHA9IkVOIiBkYi1p
ZD0iOXNkOXh0djVrdzkyZHJlOTJ6NTVyd3ZheHY5c2Z4dnd0cHZ0IiB0aW1lc3RhbXA9IjE3NDQ5
Njk2ODYiPjE5PC9rZXk+PC9mb3JlaWduLWtleXM+PHJlZi10eXBlIG5hbWU9IkpvdXJuYWwgQXJ0
aWNsZSI+MTc8L3JlZi10eXBlPjxjb250cmlidXRvcnM+PGF1dGhvcnM+PGF1dGhvcj5XYW5nLCBZ
YW5nPC9hdXRob3I+PGF1dGhvcj5XYW5nLCBZaXhpYW48L2F1dGhvcj48YXV0aG9yPlN0ZWluLCBE
LjwvYXV0aG9yPjxhdXRob3I+TGl1LCBRaW5ndGFuZzwvYXV0aG9yPjxhdXRob3I+Q2hlbiwgV2Vu
bGk8L2F1dGhvcj48L2F1dGhvcnM+PC9jb250cmlidXRvcnM+PHRpdGxlcz48dGl0bGU+RXhhbWlu
aW5nIENoaW5lc2UgYmVnaW5uaW5nIG9ubGluZSBpbnN0cnVjdG9yc+KAmSBjb21wZXRlbmNpZXMg
aW4gdGVhY2hpbmcgb25saW5lIGJhc2VkIG9uIHRoZSBBY3Rpdml0eSB0aGVvcnk8L3RpdGxlPjxz
ZWNvbmRhcnktdGl0bGU+Sm91cm5hbCBvZiBDb21wdXRlcnMgaW4gRWR1Y2F0aW9uPC9zZWNvbmRh
cnktdGl0bGU+PC90aXRsZXM+PHBlcmlvZGljYWw+PGZ1bGwtdGl0bGU+Sm91cm5hbCBvZiBDb21w
dXRlcnMgaW4gRWR1Y2F0aW9uPC9mdWxsLXRpdGxlPjwvcGVyaW9kaWNhbD48cGFnZXM+MzYzLTM4
NDwvcGFnZXM+PHZvbHVtZT42PC92b2x1bWU+PGRhdGVzPjx5ZWFyPjIwMTk8L3llYXI+PHB1Yi1k
YXRlcz48ZGF0ZT4yMDE5LTA1LTIwPC9kYXRlPjwvcHViLWRhdGVzPjwvZGF0ZXM+PHVybHM+PHJl
bGF0ZWQtdXJscz48dXJsPmh0dHBzOi8vY29uc2Vuc3VzLmFwcC9wYXBlcnMvZXhhbWluaW5nLWNo
aW5lc2UtYmVnaW5uaW5nLW9ubGluZS1pbnN0cnVjdG9ycy0lRTIlODAlOTktd2FuZy13YW5nL2Y0
YmE4M2EyMGUyMjU5Njk5ZTllODE5OThkMjY5NWJhLzwvdXJsPjwvcmVsYXRlZC11cmxzPjwvdXJs
cz48ZWxlY3Ryb25pYy1yZXNvdXJjZS1udW0+MTAuMTAwNy9zNDA2OTItMDE5LTAwMTQwLXc8L2Vs
ZWN0cm9uaWMtcmVzb3VyY2UtbnVtPjwvcmVjb3JkPjwvQ2l0ZT48L0VuZE5vdGU+
</w:fldData>
        </w:fldChar>
      </w:r>
      <w:r w:rsidRPr="00A21762">
        <w:instrText xml:space="preserve"> ADDIN EN.CITE.DATA </w:instrText>
      </w:r>
      <w:r w:rsidRPr="00A21762">
        <w:fldChar w:fldCharType="end"/>
      </w:r>
      <w:r w:rsidRPr="00A21762">
        <w:fldChar w:fldCharType="separate"/>
      </w:r>
      <w:r w:rsidRPr="00A21762">
        <w:rPr>
          <w:noProof/>
        </w:rPr>
        <w:t>(Goodyear et al., 2001; Los et al., 2021; Martin et al., 2019; Motogna et al., 2020; Wang et al., 2019)</w:t>
      </w:r>
      <w:r w:rsidRPr="00A21762">
        <w:fldChar w:fldCharType="end"/>
      </w:r>
      <w:r w:rsidRPr="00A21762">
        <w:t xml:space="preserve">. According to </w:t>
      </w:r>
      <w:r w:rsidRPr="00A21762">
        <w:fldChar w:fldCharType="begin">
          <w:fldData xml:space="preserve">PEVuZE5vdGU+PENpdGUgQXV0aG9yWWVhcj0iMSI+PEF1dGhvcj5Mb3M8L0F1dGhvcj48WWVhcj4y
MDIxPC9ZZWFyPjxSZWNOdW0+MTI8L1JlY051bT48RGlzcGxheVRleHQ+R2F5ICgyMDE2KTsgTG9z
IGV0IGFsLiAoMjAyMSk7IFNpbXNlayBldCBhbC4gKDIwMjEpPC9EaXNwbGF5VGV4dD48cmVjb3Jk
PjxyZWMtbnVtYmVyPjEyPC9yZWMtbnVtYmVyPjxmb3JlaWduLWtleXM+PGtleSBhcHA9IkVOIiBk
Yi1pZD0iOXNkOXh0djVrdzkyZHJlOTJ6NTVyd3ZheHY5c2Z4dnd0cHZ0IiB0aW1lc3RhbXA9IjE3
NDQ5Njk2ODYiPjEyPC9rZXk+PC9mb3JlaWduLWtleXM+PHJlZi10eXBlIG5hbWU9IkpvdXJuYWwg
QXJ0aWNsZSI+MTc8L3JlZi10eXBlPjxjb250cmlidXRvcnM+PGF1dGhvcnM+PGF1dGhvcj5Mb3Ms
IFJ5YW48L2F1dGhvcj48YXV0aG9yPkRlIEphZWdlciwgQS48L2F1dGhvcj48YXV0aG9yPlN0b2Vz
eiwgQi48L2F1dGhvcj48L2F1dGhvcnM+PC9jb250cmlidXRvcnM+PHRpdGxlcz48dGl0bGU+T25s
aW5lIGFuZCBCbGVuZGVkIFRlYWNoaW5nIFJlYWRpbmVzcyBBc3Nlc3NtZW50IChPQlRSQSk8L3Rp
dGxlPjwvdGl0bGVzPjx2b2x1bWU+Njwvdm9sdW1lPjxkYXRlcz48eWVhcj4yMDIxPC95ZWFyPjxw
dWItZGF0ZXM+PGRhdGU+MjAyMS0xMC0xNTwvZGF0ZT48L3B1Yi1kYXRlcz48L2RhdGVzPjx1cmxz
PjxyZWxhdGVkLXVybHM+PHVybD5odHRwczovL2NvbnNlbnN1cy5hcHAvcGFwZXJzL29ubGluZS1h
bmQtYmxlbmRlZC10ZWFjaGluZy1yZWFkaW5lc3MtYXNzZXNzbWVudC1vYnRyYS1sb3MtamFlZ2Vy
L2YyNGQ2Y2M5MTdkMTUxNjY4MjU2ZWEyNTFiNWJjNmEwLzwvdXJsPjwvcmVsYXRlZC11cmxzPjwv
dXJscz48ZWxlY3Ryb25pYy1yZXNvdXJjZS1udW0+MTAuMzM4OS9mZWR1Yy4yMDIxLjY3MzU5NDwv
ZWxlY3Ryb25pYy1yZXNvdXJjZS1udW0+PC9yZWNvcmQ+PC9DaXRlPjxDaXRlIEF1dGhvclllYXI9
IjEiPjxBdXRob3I+R2F5PC9BdXRob3I+PFllYXI+MjAxNjwvWWVhcj48UmVjTnVtPjEzPC9SZWNO
dW0+PHJlY29yZD48cmVjLW51bWJlcj4xMzwvcmVjLW51bWJlcj48Zm9yZWlnbi1rZXlzPjxrZXkg
YXBwPSJFTiIgZGItaWQ9IjlzZDl4dHY1a3c5MmRyZTkyejU1cnd2YXh2OXNmeHZ3dHB2dCIgdGlt
ZXN0YW1wPSIxNzQ0OTY5Njg2Ij4xMzwva2V5PjwvZm9yZWlnbi1rZXlzPjxyZWYtdHlwZSBuYW1l
PSJKb3VybmFsIEFydGljbGUiPjE3PC9yZWYtdHlwZT48Y29udHJpYnV0b3JzPjxhdXRob3JzPjxh
dXRob3I+R2F5LCBHbGVuZGE8L2F1dGhvcj48L2F1dGhvcnM+PC9jb250cmlidXRvcnM+PHRpdGxl
cz48dGl0bGU+QW4gYXNzZXNzbWVudCBvZiBvbmxpbmUgaW5zdHJ1Y3RvciBlLWxlYXJuaW5nIHJl
YWRpbmVzcyBiZWZvcmUsIGR1cmluZywgYW5kIGFmdGVyIGNvdXJzZSBkZWxpdmVyeTwvdGl0bGU+
PHNlY29uZGFyeS10aXRsZT5Kb3VybmFsIG9mIENvbXB1dGluZyBpbiBIaWdoZXIgRWR1Y2F0aW9u
PC9zZWNvbmRhcnktdGl0bGU+PC90aXRsZXM+PHBlcmlvZGljYWw+PGZ1bGwtdGl0bGU+Sm91cm5h
bCBvZiBDb21wdXRpbmcgaW4gSGlnaGVyIEVkdWNhdGlvbjwvZnVsbC10aXRsZT48L3BlcmlvZGlj
YWw+PHBhZ2VzPjE5OS0yMjA8L3BhZ2VzPjx2b2x1bWU+Mjg8L3ZvbHVtZT48ZGF0ZXM+PHllYXI+
MjAxNjwveWVhcj48cHViLWRhdGVzPjxkYXRlPjIwMTYtMDYtMTg8L2RhdGU+PC9wdWItZGF0ZXM+
PC9kYXRlcz48dXJscz48cmVsYXRlZC11cmxzPjx1cmw+aHR0cHM6Ly9jb25zZW5zdXMuYXBwL3Bh
cGVycy9hbi1hc3Nlc3NtZW50LW9mLW9ubGluZS1pbnN0cnVjdG9yLWVsZWFybmluZy1yZWFkaW5l
c3MtZ2F5LzI2MWFiZjIxYTRhNjU1ZTg4MDI5MjU0ZWNkZjIwYTBlLzwvdXJsPjwvcmVsYXRlZC11
cmxzPjwvdXJscz48ZWxlY3Ryb25pYy1yZXNvdXJjZS1udW0+MTAuMTAwNy9zMTI1MjgtMDE2LTkx
MTUtejwvZWxlY3Ryb25pYy1yZXNvdXJjZS1udW0+PC9yZWNvcmQ+PC9DaXRlPjxDaXRlIEF1dGhv
clllYXI9IjEiPjxBdXRob3I+U2ltc2VrPC9BdXRob3I+PFllYXI+MjAyMTwvWWVhcj48UmVjTnVt
PjE1PC9SZWNOdW0+PHJlY29yZD48cmVjLW51bWJlcj4xNTwvcmVjLW51bWJlcj48Zm9yZWlnbi1r
ZXlzPjxrZXkgYXBwPSJFTiIgZGItaWQ9IjlzZDl4dHY1a3c5MmRyZTkyejU1cnd2YXh2OXNmeHZ3
dHB2dCIgdGltZXN0YW1wPSIxNzQ0OTY5Njg2Ij4xNTwva2V5PjwvZm9yZWlnbi1rZXlzPjxyZWYt
dHlwZSBuYW1lPSJKb3VybmFsIEFydGljbGUiPjE3PC9yZWYtdHlwZT48Y29udHJpYnV0b3JzPjxh
dXRob3JzPjxhdXRob3I+U2ltc2VrLCBJcmZhbjwvYXV0aG9yPjxhdXRob3I+S3VjdWssIFNldmRh
PC9hdXRob3I+PGF1dGhvcj5CaWJlciwgU2V6ZXIgS8O2c2U8L2F1dGhvcj48YXV0aG9yPkNhbiwg
VHVuY2VyPC9hdXRob3I+PC9hdXRob3JzPjwvY29udHJpYnV0b3JzPjx0aXRsZXM+PHRpdGxlPkRl
dmVsb3BtZW50IG9mIGFuIE9ubGluZSBUZWFjaGluZyBDb21wZXRlbmN5IFNjYWxlIGZvciBVbml2
ZXJzaXR5IEluc3RydWN0b3JzPC90aXRsZT48c2Vjb25kYXJ5LXRpdGxlPk9wZW4gUHJheGlzPC9z
ZWNvbmRhcnktdGl0bGU+PC90aXRsZXM+PHBlcmlvZGljYWw+PGZ1bGwtdGl0bGU+T3BlbiBQcmF4
aXM8L2Z1bGwtdGl0bGU+PC9wZXJpb2RpY2FsPjx2b2x1bWU+MTM8L3ZvbHVtZT48ZGF0ZXM+PHll
YXI+MjAyMTwveWVhcj48cHViLWRhdGVzPjxkYXRlPjIwMjEtMTAtMjA8L2RhdGU+PC9wdWItZGF0
ZXM+PC9kYXRlcz48dXJscz48cmVsYXRlZC11cmxzPjx1cmw+aHR0cHM6Ly9jb25zZW5zdXMuYXBw
L3BhcGVycy9kZXZlbG9wbWVudC1vZi1hbi1vbmxpbmUtdGVhY2hpbmctY29tcGV0ZW5jeS1zY2Fs
ZS1mb3Itc2ltc2VrLWt1Y3VrL2MyMmU0MGI5YjYzZjU4OWJiN2Y0NGY3MTIwYjBkMDE5LzwvdXJs
PjwvcmVsYXRlZC11cmxzPjwvdXJscz48ZWxlY3Ryb25pYy1yZXNvdXJjZS1udW0+MTAuNTk0NC9P
UEVOUFJBWElTLjEzLjIuMTM3PC9lbGVjdHJvbmljLXJlc291cmNlLW51bT48L3JlY29yZD48L0Np
dGU+PC9FbmROb3RlPn==
</w:fldData>
        </w:fldChar>
      </w:r>
      <w:r w:rsidRPr="00A21762">
        <w:instrText xml:space="preserve"> ADDIN EN.CITE </w:instrText>
      </w:r>
      <w:r w:rsidRPr="00A21762">
        <w:fldChar w:fldCharType="begin">
          <w:fldData xml:space="preserve">PEVuZE5vdGU+PENpdGUgQXV0aG9yWWVhcj0iMSI+PEF1dGhvcj5Mb3M8L0F1dGhvcj48WWVhcj4y
MDIxPC9ZZWFyPjxSZWNOdW0+MTI8L1JlY051bT48RGlzcGxheVRleHQ+R2F5ICgyMDE2KTsgTG9z
IGV0IGFsLiAoMjAyMSk7IFNpbXNlayBldCBhbC4gKDIwMjEpPC9EaXNwbGF5VGV4dD48cmVjb3Jk
PjxyZWMtbnVtYmVyPjEyPC9yZWMtbnVtYmVyPjxmb3JlaWduLWtleXM+PGtleSBhcHA9IkVOIiBk
Yi1pZD0iOXNkOXh0djVrdzkyZHJlOTJ6NTVyd3ZheHY5c2Z4dnd0cHZ0IiB0aW1lc3RhbXA9IjE3
NDQ5Njk2ODYiPjEyPC9rZXk+PC9mb3JlaWduLWtleXM+PHJlZi10eXBlIG5hbWU9IkpvdXJuYWwg
QXJ0aWNsZSI+MTc8L3JlZi10eXBlPjxjb250cmlidXRvcnM+PGF1dGhvcnM+PGF1dGhvcj5Mb3Ms
IFJ5YW48L2F1dGhvcj48YXV0aG9yPkRlIEphZWdlciwgQS48L2F1dGhvcj48YXV0aG9yPlN0b2Vz
eiwgQi48L2F1dGhvcj48L2F1dGhvcnM+PC9jb250cmlidXRvcnM+PHRpdGxlcz48dGl0bGU+T25s
aW5lIGFuZCBCbGVuZGVkIFRlYWNoaW5nIFJlYWRpbmVzcyBBc3Nlc3NtZW50IChPQlRSQSk8L3Rp
dGxlPjwvdGl0bGVzPjx2b2x1bWU+Njwvdm9sdW1lPjxkYXRlcz48eWVhcj4yMDIxPC95ZWFyPjxw
dWItZGF0ZXM+PGRhdGU+MjAyMS0xMC0xNTwvZGF0ZT48L3B1Yi1kYXRlcz48L2RhdGVzPjx1cmxz
PjxyZWxhdGVkLXVybHM+PHVybD5odHRwczovL2NvbnNlbnN1cy5hcHAvcGFwZXJzL29ubGluZS1h
bmQtYmxlbmRlZC10ZWFjaGluZy1yZWFkaW5lc3MtYXNzZXNzbWVudC1vYnRyYS1sb3MtamFlZ2Vy
L2YyNGQ2Y2M5MTdkMTUxNjY4MjU2ZWEyNTFiNWJjNmEwLzwvdXJsPjwvcmVsYXRlZC11cmxzPjwv
dXJscz48ZWxlY3Ryb25pYy1yZXNvdXJjZS1udW0+MTAuMzM4OS9mZWR1Yy4yMDIxLjY3MzU5NDwv
ZWxlY3Ryb25pYy1yZXNvdXJjZS1udW0+PC9yZWNvcmQ+PC9DaXRlPjxDaXRlIEF1dGhvclllYXI9
IjEiPjxBdXRob3I+R2F5PC9BdXRob3I+PFllYXI+MjAxNjwvWWVhcj48UmVjTnVtPjEzPC9SZWNO
dW0+PHJlY29yZD48cmVjLW51bWJlcj4xMzwvcmVjLW51bWJlcj48Zm9yZWlnbi1rZXlzPjxrZXkg
YXBwPSJFTiIgZGItaWQ9IjlzZDl4dHY1a3c5MmRyZTkyejU1cnd2YXh2OXNmeHZ3dHB2dCIgdGlt
ZXN0YW1wPSIxNzQ0OTY5Njg2Ij4xMzwva2V5PjwvZm9yZWlnbi1rZXlzPjxyZWYtdHlwZSBuYW1l
PSJKb3VybmFsIEFydGljbGUiPjE3PC9yZWYtdHlwZT48Y29udHJpYnV0b3JzPjxhdXRob3JzPjxh
dXRob3I+R2F5LCBHbGVuZGE8L2F1dGhvcj48L2F1dGhvcnM+PC9jb250cmlidXRvcnM+PHRpdGxl
cz48dGl0bGU+QW4gYXNzZXNzbWVudCBvZiBvbmxpbmUgaW5zdHJ1Y3RvciBlLWxlYXJuaW5nIHJl
YWRpbmVzcyBiZWZvcmUsIGR1cmluZywgYW5kIGFmdGVyIGNvdXJzZSBkZWxpdmVyeTwvdGl0bGU+
PHNlY29uZGFyeS10aXRsZT5Kb3VybmFsIG9mIENvbXB1dGluZyBpbiBIaWdoZXIgRWR1Y2F0aW9u
PC9zZWNvbmRhcnktdGl0bGU+PC90aXRsZXM+PHBlcmlvZGljYWw+PGZ1bGwtdGl0bGU+Sm91cm5h
bCBvZiBDb21wdXRpbmcgaW4gSGlnaGVyIEVkdWNhdGlvbjwvZnVsbC10aXRsZT48L3BlcmlvZGlj
YWw+PHBhZ2VzPjE5OS0yMjA8L3BhZ2VzPjx2b2x1bWU+Mjg8L3ZvbHVtZT48ZGF0ZXM+PHllYXI+
MjAxNjwveWVhcj48cHViLWRhdGVzPjxkYXRlPjIwMTYtMDYtMTg8L2RhdGU+PC9wdWItZGF0ZXM+
PC9kYXRlcz48dXJscz48cmVsYXRlZC11cmxzPjx1cmw+aHR0cHM6Ly9jb25zZW5zdXMuYXBwL3Bh
cGVycy9hbi1hc3Nlc3NtZW50LW9mLW9ubGluZS1pbnN0cnVjdG9yLWVsZWFybmluZy1yZWFkaW5l
c3MtZ2F5LzI2MWFiZjIxYTRhNjU1ZTg4MDI5MjU0ZWNkZjIwYTBlLzwvdXJsPjwvcmVsYXRlZC11
cmxzPjwvdXJscz48ZWxlY3Ryb25pYy1yZXNvdXJjZS1udW0+MTAuMTAwNy9zMTI1MjgtMDE2LTkx
MTUtejwvZWxlY3Ryb25pYy1yZXNvdXJjZS1udW0+PC9yZWNvcmQ+PC9DaXRlPjxDaXRlIEF1dGhv
clllYXI9IjEiPjxBdXRob3I+U2ltc2VrPC9BdXRob3I+PFllYXI+MjAyMTwvWWVhcj48UmVjTnVt
PjE1PC9SZWNOdW0+PHJlY29yZD48cmVjLW51bWJlcj4xNTwvcmVjLW51bWJlcj48Zm9yZWlnbi1r
ZXlzPjxrZXkgYXBwPSJFTiIgZGItaWQ9IjlzZDl4dHY1a3c5MmRyZTkyejU1cnd2YXh2OXNmeHZ3
dHB2dCIgdGltZXN0YW1wPSIxNzQ0OTY5Njg2Ij4xNTwva2V5PjwvZm9yZWlnbi1rZXlzPjxyZWYt
dHlwZSBuYW1lPSJKb3VybmFsIEFydGljbGUiPjE3PC9yZWYtdHlwZT48Y29udHJpYnV0b3JzPjxh
dXRob3JzPjxhdXRob3I+U2ltc2VrLCBJcmZhbjwvYXV0aG9yPjxhdXRob3I+S3VjdWssIFNldmRh
PC9hdXRob3I+PGF1dGhvcj5CaWJlciwgU2V6ZXIgS8O2c2U8L2F1dGhvcj48YXV0aG9yPkNhbiwg
VHVuY2VyPC9hdXRob3I+PC9hdXRob3JzPjwvY29udHJpYnV0b3JzPjx0aXRsZXM+PHRpdGxlPkRl
dmVsb3BtZW50IG9mIGFuIE9ubGluZSBUZWFjaGluZyBDb21wZXRlbmN5IFNjYWxlIGZvciBVbml2
ZXJzaXR5IEluc3RydWN0b3JzPC90aXRsZT48c2Vjb25kYXJ5LXRpdGxlPk9wZW4gUHJheGlzPC9z
ZWNvbmRhcnktdGl0bGU+PC90aXRsZXM+PHBlcmlvZGljYWw+PGZ1bGwtdGl0bGU+T3BlbiBQcmF4
aXM8L2Z1bGwtdGl0bGU+PC9wZXJpb2RpY2FsPjx2b2x1bWU+MTM8L3ZvbHVtZT48ZGF0ZXM+PHll
YXI+MjAyMTwveWVhcj48cHViLWRhdGVzPjxkYXRlPjIwMjEtMTAtMjA8L2RhdGU+PC9wdWItZGF0
ZXM+PC9kYXRlcz48dXJscz48cmVsYXRlZC11cmxzPjx1cmw+aHR0cHM6Ly9jb25zZW5zdXMuYXBw
L3BhcGVycy9kZXZlbG9wbWVudC1vZi1hbi1vbmxpbmUtdGVhY2hpbmctY29tcGV0ZW5jeS1zY2Fs
ZS1mb3Itc2ltc2VrLWt1Y3VrL2MyMmU0MGI5YjYzZjU4OWJiN2Y0NGY3MTIwYjBkMDE5LzwvdXJs
PjwvcmVsYXRlZC11cmxzPjwvdXJscz48ZWxlY3Ryb25pYy1yZXNvdXJjZS1udW0+MTAuNTk0NC9P
UEVOUFJBWElTLjEzLjIuMTM3PC9lbGVjdHJvbmljLXJlc291cmNlLW51bT48L3JlY29yZD48L0Np
dGU+PC9FbmROb3RlPn==
</w:fldData>
        </w:fldChar>
      </w:r>
      <w:r w:rsidRPr="00A21762">
        <w:instrText xml:space="preserve"> ADDIN EN.CITE.DATA </w:instrText>
      </w:r>
      <w:r w:rsidRPr="00A21762">
        <w:fldChar w:fldCharType="end"/>
      </w:r>
      <w:r w:rsidRPr="00A21762">
        <w:fldChar w:fldCharType="separate"/>
      </w:r>
      <w:r w:rsidRPr="00A21762">
        <w:rPr>
          <w:noProof/>
        </w:rPr>
        <w:t>Gay (2016); Los et al. (2021); Simsek et al. (2021)</w:t>
      </w:r>
      <w:r w:rsidRPr="00A21762">
        <w:fldChar w:fldCharType="end"/>
      </w:r>
      <w:r w:rsidRPr="00A21762">
        <w:t xml:space="preserve">, instructors need to be adept with technology tools used in electronic learning systems (ELSs) to ensure quality information delivery and enhance system use and satisfaction. As </w:t>
      </w:r>
      <w:r w:rsidRPr="00A21762">
        <w:fldChar w:fldCharType="begin"/>
      </w:r>
      <w:r w:rsidRPr="00A21762">
        <w:instrText xml:space="preserve"> ADDIN EN.CITE &lt;EndNote&gt;&lt;Cite AuthorYear="1"&gt;&lt;Author&gt;Adnan&lt;/Author&gt;&lt;Year&gt;2017&lt;/Year&gt;&lt;RecNum&gt;16&lt;/RecNum&gt;&lt;DisplayText&gt;Adnan (2017)&lt;/DisplayText&gt;&lt;record&gt;&lt;rec-number&gt;16&lt;/rec-number&gt;&lt;foreign-keys&gt;&lt;key app="EN" db-id="9sd9xtv5kw92dre92z55rwvaxv9sfxvwtpvt" timestamp="1744969686"&gt;16&lt;/key&gt;&lt;/foreign-keys&gt;&lt;ref-type name="Journal Article"&gt;17&lt;/ref-type&gt;&lt;contributors&gt;&lt;authors&gt;&lt;author&gt;Adnan, M.&lt;/author&gt;&lt;/authors&gt;&lt;/contributors&gt;&lt;titles&gt;&lt;title&gt;Professional development in the transition to online teaching: The voice of entrant online instructors&lt;/title&gt;&lt;secondary-title&gt;ReCALL&lt;/secondary-title&gt;&lt;/titles&gt;&lt;periodical&gt;&lt;full-title&gt;ReCALL&lt;/full-title&gt;&lt;/periodical&gt;&lt;pages&gt;88-111&lt;/pages&gt;&lt;volume&gt;30&lt;/volume&gt;&lt;dates&gt;&lt;year&gt;2017&lt;/year&gt;&lt;pub-dates&gt;&lt;date&gt;2017-07-20&lt;/date&gt;&lt;/pub-dates&gt;&lt;/dates&gt;&lt;urls&gt;&lt;related-urls&gt;&lt;url&gt;https://consensus.app/papers/professional-development-in-the-transition-to-online-adnan/6f9484a5e5e358d0b225c901eef12396/&lt;/url&gt;&lt;/related-urls&gt;&lt;/urls&gt;&lt;electronic-resource-num&gt;10.1017/S0958344017000106&lt;/electronic-resource-num&gt;&lt;/record&gt;&lt;/Cite&gt;&lt;/EndNote&gt;</w:instrText>
      </w:r>
      <w:r w:rsidRPr="00A21762">
        <w:fldChar w:fldCharType="separate"/>
      </w:r>
      <w:r w:rsidRPr="00A21762">
        <w:rPr>
          <w:noProof/>
        </w:rPr>
        <w:t>Adnan (2017)</w:t>
      </w:r>
      <w:r w:rsidRPr="00A21762">
        <w:fldChar w:fldCharType="end"/>
      </w:r>
      <w:r w:rsidRPr="00A21762">
        <w:t xml:space="preserve"> puts out, effective online teaching requires a strong understanding of online pedagogy, including the ability to design and facilitate courses that engage students in a virtual environment. In addition, maintaining student engagement and effective communication are crucial in an online setting. Instructors must adapt their communication strategies to suit digital platforms </w:t>
      </w:r>
      <w:r w:rsidRPr="00A21762">
        <w:fldChar w:fldCharType="begin"/>
      </w:r>
      <w:r w:rsidRPr="00A21762">
        <w:instrText xml:space="preserve"> ADDIN EN.CITE &lt;EndNote&gt;&lt;Cite&gt;&lt;Author&gt;Simsek&lt;/Author&gt;&lt;Year&gt;2021&lt;/Year&gt;&lt;RecNum&gt;15&lt;/RecNum&gt;&lt;DisplayText&gt;(Simsek et al., 2021)&lt;/DisplayText&gt;&lt;record&gt;&lt;rec-number&gt;15&lt;/rec-number&gt;&lt;foreign-keys&gt;&lt;key app="EN" db-id="9sd9xtv5kw92dre92z55rwvaxv9sfxvwtpvt" timestamp="1744969686"&gt;15&lt;/key&gt;&lt;/foreign-keys&gt;&lt;ref-type name="Journal Article"&gt;17&lt;/ref-type&gt;&lt;contributors&gt;&lt;authors&gt;&lt;author&gt;Simsek, Irfan&lt;/author&gt;&lt;author&gt;Kucuk, Sevda&lt;/author&gt;&lt;author&gt;Biber, Sezer Köse&lt;/author&gt;&lt;author&gt;Can, Tuncer&lt;/author&gt;&lt;/authors&gt;&lt;/contributors&gt;&lt;titles&gt;&lt;title&gt;Development of an Online Teaching Competency Scale for University Instructors&lt;/title&gt;&lt;secondary-title&gt;Open Praxis&lt;/secondary-title&gt;&lt;/titles&gt;&lt;periodical&gt;&lt;full-title&gt;Open Praxis&lt;/full-title&gt;&lt;/periodical&gt;&lt;volume&gt;13&lt;/volume&gt;&lt;dates&gt;&lt;year&gt;2021&lt;/year&gt;&lt;pub-dates&gt;&lt;date&gt;2021-10-20&lt;/date&gt;&lt;/pub-dates&gt;&lt;/dates&gt;&lt;urls&gt;&lt;related-urls&gt;&lt;url&gt;https://consensus.app/papers/development-of-an-online-teaching-competency-scale-for-simsek-kucuk/c22e40b9b63f589bb7f44f7120b0d019/&lt;/url&gt;&lt;/related-urls&gt;&lt;/urls&gt;&lt;electronic-resource-num&gt;10.5944/OPENPRAXIS.13.2.137&lt;/electronic-resource-num&gt;&lt;/record&gt;&lt;/Cite&gt;&lt;/EndNote&gt;</w:instrText>
      </w:r>
      <w:r w:rsidRPr="00A21762">
        <w:fldChar w:fldCharType="separate"/>
      </w:r>
      <w:r w:rsidRPr="00A21762">
        <w:rPr>
          <w:noProof/>
        </w:rPr>
        <w:t>(Simsek et al., 2021)</w:t>
      </w:r>
      <w:r w:rsidRPr="00A21762">
        <w:fldChar w:fldCharType="end"/>
      </w:r>
      <w:r w:rsidRPr="00A21762">
        <w:t xml:space="preserve">. Furthermore, managing online courses involves organizing content, monitoring student progress, and providing timely feedback, which are essential for successful online education </w:t>
      </w:r>
      <w:r w:rsidRPr="00A21762">
        <w:fldChar w:fldCharType="begin"/>
      </w:r>
      <w:r w:rsidRPr="00A21762">
        <w:instrText xml:space="preserve"> ADDIN EN.CITE &lt;EndNote&gt;&lt;Cite&gt;&lt;Author&gt;Martin&lt;/Author&gt;&lt;Year&gt;2021&lt;/Year&gt;&lt;RecNum&gt;21&lt;/RecNum&gt;&lt;DisplayText&gt;(Martin et al., 2021)&lt;/DisplayText&gt;&lt;record&gt;&lt;rec-number&gt;21&lt;/rec-number&gt;&lt;foreign-keys&gt;&lt;key app="EN" db-id="9sd9xtv5kw92dre92z55rwvaxv9sfxvwtpvt" timestamp="1744969686"&gt;21&lt;/key&gt;&lt;/foreign-keys&gt;&lt;ref-type name="Journal Article"&gt;17&lt;/ref-type&gt;&lt;contributors&gt;&lt;authors&gt;&lt;author&gt;Martin, Florence&lt;/author&gt;&lt;author&gt;Kumar, Swapna&lt;/author&gt;&lt;author&gt;She, Liane&lt;/author&gt;&lt;/authors&gt;&lt;/contributors&gt;&lt;titles&gt;&lt;title&gt;Examining Higher Education Instructor Perceptions of Roles and Competencies in Online Teaching&lt;/title&gt;&lt;secondary-title&gt;Online Learning&lt;/secondary-title&gt;&lt;/titles&gt;&lt;periodical&gt;&lt;full-title&gt;Online Learning&lt;/full-title&gt;&lt;/periodical&gt;&lt;dates&gt;&lt;year&gt;2021&lt;/year&gt;&lt;pub-dates&gt;&lt;date&gt;2021-12-01&lt;/date&gt;&lt;/pub-dates&gt;&lt;/dates&gt;&lt;urls&gt;&lt;related-urls&gt;&lt;url&gt;https://consensus.app/papers/examining-higher-education-instructor-perceptions-of-martin-kumar/0460f6ef668254be84c745a7e77659d9/&lt;/url&gt;&lt;/related-urls&gt;&lt;/urls&gt;&lt;electronic-resource-num&gt;10.24059/olj.v25i4.2570&lt;/electronic-resource-num&gt;&lt;/record&gt;&lt;/Cite&gt;&lt;/EndNote&gt;</w:instrText>
      </w:r>
      <w:r w:rsidRPr="00A21762">
        <w:fldChar w:fldCharType="separate"/>
      </w:r>
      <w:r w:rsidRPr="00A21762">
        <w:rPr>
          <w:noProof/>
        </w:rPr>
        <w:t>(Martin et al., 2021)</w:t>
      </w:r>
      <w:r w:rsidRPr="00A21762">
        <w:fldChar w:fldCharType="end"/>
      </w:r>
      <w:r w:rsidRPr="00A21762">
        <w:t xml:space="preserve">. </w:t>
      </w:r>
    </w:p>
    <w:p w14:paraId="74B0CE87" w14:textId="40B4D941" w:rsidR="002966A2" w:rsidRDefault="002966A2" w:rsidP="00ED2150">
      <w:pPr>
        <w:jc w:val="both"/>
      </w:pPr>
      <w:r w:rsidRPr="002966A2">
        <w:t>Technical and Vocational Education and Training (TVET) research has largely examined the integration of technology-enhanced learning in terms of broad adoption drivers such as ICT infrastructure, policy frameworks, and instructor attitudes (Munene et al., 2023; Kahiga et al., 2024; UNESCO-UNEVOC, 2022). While prior studies have documented that larger TVET institutions are more likely to implement online and blended learning due to better resourcing and institutional readiness, there is limited empirical evidence on how specific instructor competencies, particularly in assessment and evaluation, interact with institutional and class size factors to shape actual instructional mode choices. Existing work has often treated teaching mode adoption as a binary decision (traditional vs. technology-based) or relied on descriptive or regression approaches that do not account for the discrete nature of instructional choice alternatives (Kiptum &amp; Chepkwony, 2021; Mbaria et al., 2020). This study addresses these gaps by applying McFadden’s (1974) conditional logit model to simultaneously evaluate the influence of instructor assessment competence, class size, and institutional capacity on the probability of selecting among four distinct teaching modes: projects, face-to-face, blended, and online, using data from 184 instructors, 406 trainees, and 36 administrators. By focusing on the interplay of trainer’s assessment/evaluation competence and institutional characteristics in a multi-alternative choice context, this study provided a novel, statistically grounded understanding of instructional decision-making in TVET, offering insights that move beyond generic technology adoption frameworks toward evidence-based mode selection strategies.</w:t>
      </w:r>
    </w:p>
    <w:p w14:paraId="005143D4" w14:textId="77777777" w:rsidR="00447AC7" w:rsidRDefault="00447AC7" w:rsidP="00ED2150">
      <w:pPr>
        <w:jc w:val="both"/>
      </w:pPr>
    </w:p>
    <w:p w14:paraId="067789BD" w14:textId="77777777" w:rsidR="002966A2" w:rsidRDefault="002966A2">
      <w:pPr>
        <w:rPr>
          <w:rFonts w:ascii="Arial" w:hAnsi="Arial"/>
          <w:b/>
          <w:kern w:val="28"/>
          <w:sz w:val="28"/>
        </w:rPr>
      </w:pPr>
      <w:r>
        <w:br w:type="page"/>
      </w:r>
    </w:p>
    <w:p w14:paraId="79D1D338" w14:textId="74FF6FF9" w:rsidR="00ED2150" w:rsidRPr="00A21762" w:rsidRDefault="00ED2150" w:rsidP="00ED2150">
      <w:pPr>
        <w:pStyle w:val="Heading1"/>
      </w:pPr>
      <w:r w:rsidRPr="00A21762">
        <w:lastRenderedPageBreak/>
        <w:t>Literature Review</w:t>
      </w:r>
    </w:p>
    <w:p w14:paraId="01A0F8AB" w14:textId="77777777" w:rsidR="00ED2150" w:rsidRPr="00A21762" w:rsidRDefault="00ED2150" w:rsidP="00ED2150">
      <w:pPr>
        <w:jc w:val="both"/>
      </w:pPr>
      <w:r w:rsidRPr="00113583">
        <w:fldChar w:fldCharType="begin"/>
      </w:r>
      <w:r w:rsidRPr="00113583">
        <w:instrText xml:space="preserve"> ADDIN EN.CITE &lt;EndNote&gt;&lt;Cite AuthorYear="1"&gt;&lt;Author&gt;Yusop&lt;/Author&gt;&lt;Year&gt;2022&lt;/Year&gt;&lt;RecNum&gt;22&lt;/RecNum&gt;&lt;DisplayText&gt;Yusop et al. (2022)&lt;/DisplayText&gt;&lt;record&gt;&lt;rec-number&gt;22&lt;/rec-number&gt;&lt;foreign-keys&gt;&lt;key app="EN" db-id="9sd9xtv5kw92dre92z55rwvaxv9sfxvwtpvt" timestamp="1744971607"&gt;22&lt;/key&gt;&lt;/foreign-keys&gt;&lt;ref-type name="Journal Article"&gt;17&lt;/ref-type&gt;&lt;contributors&gt;&lt;authors&gt;&lt;author&gt;Yusop, Siti Raudhah&lt;/author&gt;&lt;author&gt;Rasul, M.&lt;/author&gt;&lt;author&gt;Yasin, Ruhizan Mohamad&lt;/author&gt;&lt;author&gt;Hashim, H.&lt;/author&gt;&lt;author&gt;Jalaludin, N.&lt;/author&gt;&lt;/authors&gt;&lt;/contributors&gt;&lt;titles&gt;&lt;title&gt;An Assessment Approaches and Learning Outcomes in Technical and Vocational Education: A Systematic Review Using PRISMA&lt;/title&gt;&lt;secondary-title&gt;Sustainability&lt;/secondary-title&gt;&lt;/titles&gt;&lt;periodical&gt;&lt;full-title&gt;Sustainability&lt;/full-title&gt;&lt;/periodical&gt;&lt;dates&gt;&lt;year&gt;2022&lt;/year&gt;&lt;pub-dates&gt;&lt;date&gt;2022-04-26&lt;/date&gt;&lt;/pub-dates&gt;&lt;/dates&gt;&lt;urls&gt;&lt;related-urls&gt;&lt;url&gt;https://consensus.app/papers/an-assessment-approaches-and-learning-outcomes-in-yusop-rasul/0c7fb45da95c5f5db467604e9e81749d/&lt;/url&gt;&lt;/related-urls&gt;&lt;/urls&gt;&lt;electronic-resource-num&gt;10.3390/su14095225&lt;/electronic-resource-num&gt;&lt;/record&gt;&lt;/Cite&gt;&lt;/EndNote&gt;</w:instrText>
      </w:r>
      <w:r w:rsidRPr="00113583">
        <w:fldChar w:fldCharType="separate"/>
      </w:r>
      <w:r w:rsidRPr="00113583">
        <w:rPr>
          <w:noProof/>
        </w:rPr>
        <w:t>Yusop et al. (2022)</w:t>
      </w:r>
      <w:r w:rsidRPr="00113583">
        <w:fldChar w:fldCharType="end"/>
      </w:r>
      <w:r w:rsidRPr="00A21762">
        <w:rPr>
          <w:b/>
          <w:bCs/>
        </w:rPr>
        <w:t xml:space="preserve"> </w:t>
      </w:r>
      <w:r w:rsidRPr="00A21762">
        <w:t xml:space="preserve">conducted a systematic review titled </w:t>
      </w:r>
      <w:r w:rsidRPr="00A21762">
        <w:rPr>
          <w:i/>
          <w:iCs/>
        </w:rPr>
        <w:t>An Assessment Approaches and Learning Outcomes in Technical and Vocational Education: A Systematic Review Using PRISMA</w:t>
      </w:r>
      <w:r w:rsidRPr="00A21762">
        <w:t>, guided by the PRISMA (Preferred Reporting Items for Systematic Reviews and Meta-Analysis) criteria. The study focused on assessment methods in TVET and how they relate to students’ learning outcomes. The findings revealed that learning outcomes in TVET are most commonly assessed using a competency-based approach. This technique provides detailed and structured feedback on student performance, ensuring a close alignment between assessment tasks and intended educational outcomes. The discussion highlights the critical role of TVET assessment in determining whether students have achieved desired competencies, supporting precise evaluation of practical skills and knowledge acquisition.</w:t>
      </w:r>
    </w:p>
    <w:p w14:paraId="17706C33" w14:textId="77777777" w:rsidR="00ED2150" w:rsidRPr="00A21762" w:rsidRDefault="00ED2150" w:rsidP="00ED2150">
      <w:pPr>
        <w:jc w:val="both"/>
      </w:pPr>
      <w:r w:rsidRPr="00113583">
        <w:fldChar w:fldCharType="begin"/>
      </w:r>
      <w:r w:rsidRPr="00113583">
        <w:instrText xml:space="preserve"> ADDIN EN.CITE &lt;EndNote&gt;&lt;Cite AuthorYear="1"&gt;&lt;Author&gt;Yusop&lt;/Author&gt;&lt;Year&gt;2023&lt;/Year&gt;&lt;RecNum&gt;23&lt;/RecNum&gt;&lt;DisplayText&gt;Yusop et al. (2023)&lt;/DisplayText&gt;&lt;record&gt;&lt;rec-number&gt;23&lt;/rec-number&gt;&lt;foreign-keys&gt;&lt;key app="EN" db-id="9sd9xtv5kw92dre92z55rwvaxv9sfxvwtpvt" timestamp="1744971607"&gt;23&lt;/key&gt;&lt;/foreign-keys&gt;&lt;ref-type name="Journal Article"&gt;17&lt;/ref-type&gt;&lt;contributors&gt;&lt;authors&gt;&lt;author&gt;Yusop, Siti Raudhah&lt;/author&gt;&lt;author&gt;Rasul, M.&lt;/author&gt;&lt;author&gt;Yasin, Ruhizan Mohammad&lt;/author&gt;&lt;author&gt;Hashim, H.&lt;/author&gt;&lt;/authors&gt;&lt;/contributors&gt;&lt;titles&gt;&lt;title&gt;Identifying and Validating Vocational Skills Domains and Indicators in Classroom Assessment Practices in TVET&lt;/title&gt;&lt;secondary-title&gt;Sustainability&lt;/secondary-title&gt;&lt;/titles&gt;&lt;periodical&gt;&lt;full-title&gt;Sustainability&lt;/full-title&gt;&lt;/periodical&gt;&lt;dates&gt;&lt;year&gt;2023&lt;/year&gt;&lt;pub-dates&gt;&lt;date&gt;2023-03-15&lt;/date&gt;&lt;/pub-dates&gt;&lt;/dates&gt;&lt;urls&gt;&lt;related-urls&gt;&lt;url&gt;https://consensus.app/papers/identifying-and-validating-vocational-skills-domains-and-yusop-rasul/11677ec45eab5374a7b1783556e13cf4/&lt;/url&gt;&lt;/related-urls&gt;&lt;/urls&gt;&lt;electronic-resource-num&gt;10.3390/su15065195&lt;/electronic-resource-num&gt;&lt;/record&gt;&lt;/Cite&gt;&lt;/EndNote&gt;</w:instrText>
      </w:r>
      <w:r w:rsidRPr="00113583">
        <w:fldChar w:fldCharType="separate"/>
      </w:r>
      <w:r w:rsidRPr="00113583">
        <w:rPr>
          <w:noProof/>
        </w:rPr>
        <w:t>Yusop et al. (2023)</w:t>
      </w:r>
      <w:r w:rsidRPr="00113583">
        <w:fldChar w:fldCharType="end"/>
      </w:r>
      <w:r w:rsidRPr="00A21762">
        <w:t xml:space="preserve"> extended this research in their study </w:t>
      </w:r>
      <w:r w:rsidRPr="00A21762">
        <w:rPr>
          <w:i/>
          <w:iCs/>
        </w:rPr>
        <w:t>Identifying and Validating Vocational Skills Domains and Indicators in Classroom Assessment Practices in TVET</w:t>
      </w:r>
      <w:r w:rsidRPr="00A21762">
        <w:t>, employing the Modified Delphi Technique (MDT) over two phases. The study aimed to refine the domains and indicators used in TVET classroom assessment. Results emphasized that TVET assessment must incorporate not only technical skills but also IR 4.0-related generic skills and career adaptability competencies. These broader skill domains reflect the evolving demands of the modern labor market. In their discussion, the authors call attention to the need for revising existing assessment scales, especially in light of new expectations for TVET teacher competencies that align with technological and workplace developments.</w:t>
      </w:r>
    </w:p>
    <w:p w14:paraId="4EF39D38" w14:textId="77777777" w:rsidR="00ED2150" w:rsidRPr="00A21762" w:rsidRDefault="00ED2150" w:rsidP="00ED2150">
      <w:pPr>
        <w:jc w:val="both"/>
      </w:pPr>
      <w:r w:rsidRPr="00113583">
        <w:fldChar w:fldCharType="begin"/>
      </w:r>
      <w:r w:rsidRPr="00113583">
        <w:instrText xml:space="preserve"> ADDIN EN.CITE &lt;EndNote&gt;&lt;Cite AuthorYear="1"&gt;&lt;Author&gt;Diao&lt;/Author&gt;&lt;Year&gt;2022&lt;/Year&gt;&lt;RecNum&gt;24&lt;/RecNum&gt;&lt;DisplayText&gt;Diao and Hu (2022)&lt;/DisplayText&gt;&lt;record&gt;&lt;rec-number&gt;24&lt;/rec-number&gt;&lt;foreign-keys&gt;&lt;key app="EN" db-id="9sd9xtv5kw92dre92z55rwvaxv9sfxvwtpvt" timestamp="1744971607"&gt;24&lt;/key&gt;&lt;/foreign-keys&gt;&lt;ref-type name="Journal Article"&gt;17&lt;/ref-type&gt;&lt;contributors&gt;&lt;authors&gt;&lt;author&gt;Diao, Junfeng&lt;/author&gt;&lt;author&gt;Hu, Ke&lt;/author&gt;&lt;/authors&gt;&lt;/contributors&gt;&lt;titles&gt;&lt;title&gt;Preparing TVET Teachers for Sustainable Development in the Information Age: Development and Application of the TVET Teachers’ Teaching Competency Scale&lt;/title&gt;&lt;secondary-title&gt;Sustainability&lt;/secondary-title&gt;&lt;/titles&gt;&lt;periodical&gt;&lt;full-title&gt;Sustainability&lt;/full-title&gt;&lt;/periodical&gt;&lt;dates&gt;&lt;year&gt;2022&lt;/year&gt;&lt;pub-dates&gt;&lt;date&gt;2022-09-10&lt;/date&gt;&lt;/pub-dates&gt;&lt;/dates&gt;&lt;urls&gt;&lt;related-urls&gt;&lt;url&gt;https://consensus.app/papers/preparing-tvet-teachers-for-sustainable-development-in-diao-hu/b884ec5e0220545bb23754dfdf8cfbe2/&lt;/url&gt;&lt;/related-urls&gt;&lt;/urls&gt;&lt;electronic-resource-num&gt;10.3390/su141811361&lt;/electronic-resource-num&gt;&lt;/record&gt;&lt;/Cite&gt;&lt;/EndNote&gt;</w:instrText>
      </w:r>
      <w:r w:rsidRPr="00113583">
        <w:fldChar w:fldCharType="separate"/>
      </w:r>
      <w:r w:rsidRPr="00113583">
        <w:rPr>
          <w:noProof/>
        </w:rPr>
        <w:t>Diao and Hu (2022)</w:t>
      </w:r>
      <w:r w:rsidRPr="00113583">
        <w:fldChar w:fldCharType="end"/>
      </w:r>
      <w:r w:rsidRPr="00113583">
        <w:t xml:space="preserve"> </w:t>
      </w:r>
      <w:r w:rsidRPr="00A21762">
        <w:t xml:space="preserve">explored teacher readiness in their study </w:t>
      </w:r>
      <w:r w:rsidRPr="00A21762">
        <w:rPr>
          <w:i/>
          <w:iCs/>
        </w:rPr>
        <w:t>Preparing TVET Teachers for Sustainable Development in the Information Age: Development and Application of the TVET Teachers’ Teaching Competency Scale</w:t>
      </w:r>
      <w:r w:rsidRPr="00A21762">
        <w:t>. Using data from 815 TVET teachers and applying k-means clustering, the authors developed a scale to assess teaching competency. One of the key outcomes was the validation of TVET Teachers' Assessment Competence as a robust framework for designing training and professional development programs. The discussion identifies challenges in delivering blended-mode eLearning, including factors such as learner motivation and engagement, emphasizing the need for targeted strategies in enhancing teacher preparedness for digital and sustainable teaching environments.</w:t>
      </w:r>
    </w:p>
    <w:p w14:paraId="72E357A0" w14:textId="77777777" w:rsidR="00ED2150" w:rsidRPr="00A21762" w:rsidRDefault="00ED2150" w:rsidP="00ED2150">
      <w:pPr>
        <w:jc w:val="both"/>
      </w:pPr>
      <w:r w:rsidRPr="00113583">
        <w:fldChar w:fldCharType="begin"/>
      </w:r>
      <w:r w:rsidRPr="00113583">
        <w:instrText xml:space="preserve"> ADDIN EN.CITE &lt;EndNote&gt;&lt;Cite AuthorYear="1"&gt;&lt;Author&gt;Jayalath&lt;/Author&gt;&lt;Year&gt;2020&lt;/Year&gt;&lt;RecNum&gt;27&lt;/RecNum&gt;&lt;DisplayText&gt;Jayalath and Esichaikul (2020)&lt;/DisplayText&gt;&lt;record&gt;&lt;rec-number&gt;27&lt;/rec-number&gt;&lt;foreign-keys&gt;&lt;key app="EN" db-id="9sd9xtv5kw92dre92z55rwvaxv9sfxvwtpvt" timestamp="1744971607"&gt;27&lt;/key&gt;&lt;/foreign-keys&gt;&lt;ref-type name="Journal Article"&gt;17&lt;/ref-type&gt;&lt;contributors&gt;&lt;authors&gt;&lt;author&gt;Jayalath, J.&lt;/author&gt;&lt;author&gt;Esichaikul, V.&lt;/author&gt;&lt;/authors&gt;&lt;/contributors&gt;&lt;titles&gt;&lt;title&gt;Gamification to Enhance Motivation and Engagement in Blended eLearning for Technical and Vocational Education and Training&lt;/title&gt;&lt;secondary-title&gt;Technology, Knowledge and Learning&lt;/secondary-title&gt;&lt;/titles&gt;&lt;periodical&gt;&lt;full-title&gt;Technology, Knowledge and Learning&lt;/full-title&gt;&lt;/periodical&gt;&lt;pages&gt;91-118&lt;/pages&gt;&lt;volume&gt;27&lt;/volume&gt;&lt;dates&gt;&lt;year&gt;2020&lt;/year&gt;&lt;pub-dates&gt;&lt;date&gt;2020-08-31&lt;/date&gt;&lt;/pub-dates&gt;&lt;/dates&gt;&lt;urls&gt;&lt;related-urls&gt;&lt;url&gt;https://consensus.app/papers/gamification-to-enhance-motivation-and-engagement-in-jayalath-esichaikul/27e58789a1a95a92b16d3b67b7828f40/&lt;/url&gt;&lt;/related-urls&gt;&lt;/urls&gt;&lt;electronic-resource-num&gt;10.1007/s10758-020-09466-2&lt;/electronic-resource-num&gt;&lt;/record&gt;&lt;/Cite&gt;&lt;/EndNote&gt;</w:instrText>
      </w:r>
      <w:r w:rsidRPr="00113583">
        <w:fldChar w:fldCharType="separate"/>
      </w:r>
      <w:r w:rsidRPr="00113583">
        <w:rPr>
          <w:noProof/>
        </w:rPr>
        <w:t>Jayalath and Esichaikul (2020)</w:t>
      </w:r>
      <w:r w:rsidRPr="00113583">
        <w:fldChar w:fldCharType="end"/>
      </w:r>
      <w:r w:rsidRPr="00A21762">
        <w:rPr>
          <w:b/>
          <w:bCs/>
        </w:rPr>
        <w:t xml:space="preserve"> </w:t>
      </w:r>
      <w:r w:rsidRPr="00A21762">
        <w:t xml:space="preserve">addressed engagement in blended learning environments in their study titled </w:t>
      </w:r>
      <w:r w:rsidRPr="00A21762">
        <w:rPr>
          <w:i/>
          <w:iCs/>
        </w:rPr>
        <w:t>Gamification to Enhance Motivation and Engagement in Blended eLearning for Technical and Vocational Education and Training</w:t>
      </w:r>
      <w:r w:rsidRPr="00A21762">
        <w:t>. Utilizing an open-source learning management system, they implemented gamification techniques within a structured content design. The results demonstrated that gamification significantly boosts motivation and learner engagement, which, in turn, leads to improved learning outcomes in TVET. Their discussion reinforces the potential of gamified eLearning solutions to overcome common barriers in blended learning, particularly for technical and vocational students who benefit from interactive and goal-oriented learning frameworks.</w:t>
      </w:r>
    </w:p>
    <w:p w14:paraId="16A59B66" w14:textId="77777777" w:rsidR="00ED2150" w:rsidRPr="00A21762" w:rsidRDefault="00ED2150" w:rsidP="00ED2150">
      <w:pPr>
        <w:jc w:val="both"/>
      </w:pPr>
      <w:r w:rsidRPr="0096718A">
        <w:fldChar w:fldCharType="begin"/>
      </w:r>
      <w:r w:rsidRPr="0096718A">
        <w:instrText xml:space="preserve"> ADDIN EN.CITE &lt;EndNote&gt;&lt;Cite AuthorYear="1"&gt;&lt;Author&gt;Ren&lt;/Author&gt;&lt;Year&gt;2022&lt;/Year&gt;&lt;RecNum&gt;28&lt;/RecNum&gt;&lt;DisplayText&gt;Ren et al. (2022)&lt;/DisplayText&gt;&lt;record&gt;&lt;rec-number&gt;28&lt;/rec-number&gt;&lt;foreign-keys&gt;&lt;key app="EN" db-id="9sd9xtv5kw92dre92z55rwvaxv9sfxvwtpvt" timestamp="1744971607"&gt;28&lt;/key&gt;&lt;/foreign-keys&gt;&lt;ref-type name="Journal Article"&gt;17&lt;/ref-type&gt;&lt;contributors&gt;&lt;authors&gt;&lt;author&gt;Ren, W.&lt;/author&gt;&lt;author&gt;Li, Shaofeng&lt;/author&gt;&lt;author&gt;Lü, Xiaoxuan&lt;/author&gt;&lt;/authors&gt;&lt;/contributors&gt;&lt;titles&gt;&lt;title&gt;A Meta-analysis of the Effectiveness of Second Language Pragmatics Instruction&lt;/title&gt;&lt;secondary-title&gt;Applied Linguistics&lt;/secondary-title&gt;&lt;/titles&gt;&lt;periodical&gt;&lt;full-title&gt;Applied Linguistics&lt;/full-title&gt;&lt;/periodical&gt;&lt;dates&gt;&lt;year&gt;2022&lt;/year&gt;&lt;pub-dates&gt;&lt;date&gt;2022-10-19&lt;/date&gt;&lt;/pub-dates&gt;&lt;/dates&gt;&lt;urls&gt;&lt;related-urls&gt;&lt;url&gt;https://consensus.app/papers/a-metaanalysis-of-the-effectiveness-of-second-language-ren-li/e8f3d696b5b153a9bf93189585befd5c/&lt;/url&gt;&lt;/related-urls&gt;&lt;/urls&gt;&lt;electronic-resource-num&gt;10.1093/applin/amac055&lt;/electronic-resource-num&gt;&lt;/record&gt;&lt;/Cite&gt;&lt;/EndNote&gt;</w:instrText>
      </w:r>
      <w:r w:rsidRPr="0096718A">
        <w:fldChar w:fldCharType="separate"/>
      </w:r>
      <w:r w:rsidRPr="0096718A">
        <w:rPr>
          <w:noProof/>
        </w:rPr>
        <w:t>Ren et al. (2022)</w:t>
      </w:r>
      <w:r w:rsidRPr="0096718A">
        <w:fldChar w:fldCharType="end"/>
      </w:r>
      <w:r w:rsidRPr="00A21762">
        <w:rPr>
          <w:b/>
          <w:bCs/>
        </w:rPr>
        <w:t xml:space="preserve"> </w:t>
      </w:r>
      <w:r w:rsidRPr="00A21762">
        <w:t xml:space="preserve">contributed a meta-analysis in their study, </w:t>
      </w:r>
      <w:r w:rsidRPr="00A21762">
        <w:rPr>
          <w:i/>
          <w:iCs/>
        </w:rPr>
        <w:t>A Meta-analysis of the Effectiveness of Second Language Pragmatics Instruction</w:t>
      </w:r>
      <w:r w:rsidRPr="00A21762">
        <w:t>, examining the broader impacts of explicit and implicit instruction methods. Although not limited to the TVET context, the findings are relevant: explicit instruction in pragmatics was found to yield significantly better results than implicit methods, especially when the instruction was extended over longer periods and applied at the high school level. The discussion implies that, similar to language learning, competency-based and structured instructional approaches in TVET may enhance skills acquisition, reinforcing the value of intentional assessment design.</w:t>
      </w:r>
    </w:p>
    <w:p w14:paraId="6A475EB6" w14:textId="77777777" w:rsidR="00ED2150" w:rsidRPr="00A21762" w:rsidRDefault="00ED2150" w:rsidP="00ED2150">
      <w:pPr>
        <w:jc w:val="both"/>
      </w:pPr>
      <w:r w:rsidRPr="008071A3">
        <w:fldChar w:fldCharType="begin"/>
      </w:r>
      <w:r w:rsidRPr="008071A3">
        <w:instrText xml:space="preserve"> ADDIN EN.CITE &lt;EndNote&gt;&lt;Cite AuthorYear="1"&gt;&lt;Author&gt;Xin&lt;/Author&gt;&lt;Year&gt;2024&lt;/Year&gt;&lt;RecNum&gt;30&lt;/RecNum&gt;&lt;DisplayText&gt;Xin et al. (2024)&lt;/DisplayText&gt;&lt;record&gt;&lt;rec-number&gt;30&lt;/rec-number&gt;&lt;foreign-keys&gt;&lt;key app="EN" db-id="9sd9xtv5kw92dre92z55rwvaxv9sfxvwtpvt" timestamp="1744971607"&gt;30&lt;/key&gt;&lt;/foreign-keys&gt;&lt;ref-type name="Journal Article"&gt;17&lt;/ref-type&gt;&lt;contributors&gt;&lt;authors&gt;&lt;author&gt;Xin, Yu&lt;/author&gt;&lt;author&gt;Tang, Yuanbin&lt;/author&gt;&lt;author&gt;Mou, Xiangwei&lt;/author&gt;&lt;/authors&gt;&lt;/contributors&gt;&lt;titles&gt;&lt;title&gt;An empirical study on the evaluation and influencing factors of digital competence of Chinese teachers for TVET&lt;/title&gt;&lt;secondary-title&gt;PLOS ONE&lt;/secondary-title&gt;&lt;/titles&gt;&lt;periodical&gt;&lt;full-title&gt;PLOS ONE&lt;/full-title&gt;&lt;/periodical&gt;&lt;volume&gt;19&lt;/volume&gt;&lt;dates&gt;&lt;year&gt;2024&lt;/year&gt;&lt;pub-dates&gt;&lt;date&gt;2024-09-13&lt;/date&gt;&lt;/pub-dates&gt;&lt;/dates&gt;&lt;urls&gt;&lt;related-urls&gt;&lt;url&gt;https://consensus.app/papers/an-empirical-study-on-the-evaluation-and-influencing-xin-tang/6d2af51b86e452f5b9233b134fb4686a/&lt;/url&gt;&lt;/related-urls&gt;&lt;/urls&gt;&lt;electronic-resource-num&gt;10.1371/journal.pone.0310187&lt;/electronic-resource-num&gt;&lt;/record&gt;&lt;/Cite&gt;&lt;/EndNote&gt;</w:instrText>
      </w:r>
      <w:r w:rsidRPr="008071A3">
        <w:fldChar w:fldCharType="separate"/>
      </w:r>
      <w:r w:rsidRPr="008071A3">
        <w:rPr>
          <w:noProof/>
        </w:rPr>
        <w:t>Xin et al. (2024)</w:t>
      </w:r>
      <w:r w:rsidRPr="008071A3">
        <w:fldChar w:fldCharType="end"/>
      </w:r>
      <w:r w:rsidRPr="008071A3">
        <w:t xml:space="preserve"> p</w:t>
      </w:r>
      <w:r w:rsidRPr="00A21762">
        <w:t xml:space="preserve">rovided a focused evaluation of digital skills in </w:t>
      </w:r>
      <w:r w:rsidRPr="00A21762">
        <w:rPr>
          <w:i/>
          <w:iCs/>
        </w:rPr>
        <w:t>An Empirical Study on the Evaluation and Influencing Factors of Digital Competence of Chinese Teachers for TVET</w:t>
      </w:r>
      <w:r w:rsidRPr="00A21762">
        <w:t>. The study developed and applied an assessment tool to measure digital competence among 2,514 in-service TVET teachers across China. The results confirmed that digital competence can be effectively assessed through standardized systems, with multiple internal and external factors, excluding gender, impacting teacher performance. Their discussion highlights the importance of digital literacy in supporting TVET’s modernization, suggesting that improving digital competence is a central component in transitioning to digital and blended learning models in vocational education.</w:t>
      </w:r>
    </w:p>
    <w:p w14:paraId="4F0950F8" w14:textId="77777777" w:rsidR="00ED2150" w:rsidRPr="00A21762" w:rsidRDefault="00ED2150" w:rsidP="00ED2150">
      <w:pPr>
        <w:jc w:val="both"/>
      </w:pPr>
      <w:r w:rsidRPr="008071A3">
        <w:fldChar w:fldCharType="begin"/>
      </w:r>
      <w:r w:rsidRPr="008071A3">
        <w:instrText xml:space="preserve"> ADDIN EN.CITE &lt;EndNote&gt;&lt;Cite AuthorYear="1"&gt;&lt;Author&gt;Barongo&lt;/Author&gt;&lt;Year&gt;2024&lt;/Year&gt;&lt;RecNum&gt;31&lt;/RecNum&gt;&lt;DisplayText&gt;Barongo et al. (2024)&lt;/DisplayText&gt;&lt;record&gt;&lt;rec-number&gt;31&lt;/rec-number&gt;&lt;foreign-keys&gt;&lt;key app="EN" db-id="9sd9xtv5kw92dre92z55rwvaxv9sfxvwtpvt" timestamp="1744971607"&gt;31&lt;/key&gt;&lt;/foreign-keys&gt;&lt;ref-type name="Journal Article"&gt;17&lt;/ref-type&gt;&lt;contributors&gt;&lt;authors&gt;&lt;author&gt;Barongo, Anne&lt;/author&gt;&lt;author&gt;Ogada, Kennedy&lt;/author&gt;&lt;author&gt;Njagi, Dennis&lt;/author&gt;&lt;/authors&gt;&lt;/contributors&gt;&lt;titles&gt;&lt;title&gt;Electronic Assessment Framework for Competency-Based Education amongst Intellectual Disability Students in Technical and Vocational and Training (TVET) Institutions in Nairobi County&lt;/title&gt;&lt;secondary-title&gt;International Journal of Research and Innovation in Applied Science&lt;/secondary-title&gt;&lt;/titles&gt;&lt;periodical&gt;&lt;full-title&gt;International Journal of Research and Innovation in Applied Science&lt;/full-title&gt;&lt;/periodical&gt;&lt;dates&gt;&lt;year&gt;2024&lt;/year&gt;&lt;/dates&gt;&lt;urls&gt;&lt;related-urls&gt;&lt;url&gt;https://consensus.app/papers/electronic-assessment-framework-for-competencybased-barongo-ogada/3d9d453a450b58e9b527f844c1774c2c/&lt;/url&gt;&lt;/related-urls&gt;&lt;/urls&gt;&lt;electronic-resource-num&gt;10.51584/ijrias.2024.911011&lt;/electronic-resource-num&gt;&lt;/record&gt;&lt;/Cite&gt;&lt;/EndNote&gt;</w:instrText>
      </w:r>
      <w:r w:rsidRPr="008071A3">
        <w:fldChar w:fldCharType="separate"/>
      </w:r>
      <w:r w:rsidRPr="008071A3">
        <w:rPr>
          <w:noProof/>
        </w:rPr>
        <w:t>Barongo et al. (2024)</w:t>
      </w:r>
      <w:r w:rsidRPr="008071A3">
        <w:fldChar w:fldCharType="end"/>
      </w:r>
      <w:r w:rsidRPr="008071A3">
        <w:t xml:space="preserve"> </w:t>
      </w:r>
      <w:r w:rsidRPr="00A21762">
        <w:t xml:space="preserve">addressed inclusivity in their study titled </w:t>
      </w:r>
      <w:r w:rsidRPr="00A21762">
        <w:rPr>
          <w:i/>
          <w:iCs/>
        </w:rPr>
        <w:t>Electronic Assessment Framework for Competency-Based Education amongst Intellectual Disability Students in Technical and Vocational and Training (TVET) Institutions in Nairobi County</w:t>
      </w:r>
      <w:r w:rsidRPr="00A21762">
        <w:t xml:space="preserve">. Using a descriptive research design, they gathered both quantitative and qualitative data from 177 respondents. The findings highlighted a significant access gap: although 13.5% of Kenyan children have intellectual disabilities, only 6% are enrolled in schools. This discrepancy points to the failure of existing assessment frameworks to accommodate students with disabilities. The discussion emphasizes that non-inclusive assessment systems in TVET institutions </w:t>
      </w:r>
      <w:r w:rsidRPr="00A21762">
        <w:lastRenderedPageBreak/>
        <w:t>reinforce educational inequality and hinder broader societal development, underlining the urgency for inclusive and adaptive evaluation models.</w:t>
      </w:r>
    </w:p>
    <w:p w14:paraId="337426AA" w14:textId="77777777" w:rsidR="00ED2150" w:rsidRPr="00A21762" w:rsidRDefault="00ED2150" w:rsidP="00ED2150">
      <w:pPr>
        <w:jc w:val="both"/>
      </w:pPr>
      <w:r w:rsidRPr="00A21762">
        <w:t xml:space="preserve">Regarding the choice of training mode in TVET, most studies show that most instructors, even today, still employ the traditional teaching methods. For instance, </w:t>
      </w:r>
      <w:r w:rsidRPr="0068269C">
        <w:fldChar w:fldCharType="begin"/>
      </w:r>
      <w:r w:rsidRPr="0068269C">
        <w:instrText xml:space="preserve"> ADDIN EN.CITE &lt;EndNote&gt;&lt;Cite AuthorYear="1"&gt;&lt;Author&gt;Mohd&lt;/Author&gt;&lt;Year&gt;2022&lt;/Year&gt;&lt;RecNum&gt;32&lt;/RecNum&gt;&lt;DisplayText&gt;Mohd et al. (2022)&lt;/DisplayText&gt;&lt;record&gt;&lt;rec-number&gt;32&lt;/rec-number&gt;&lt;foreign-keys&gt;&lt;key app="EN" db-id="9sd9xtv5kw92dre92z55rwvaxv9sfxvwtpvt" timestamp="1745101614"&gt;32&lt;/key&gt;&lt;/foreign-keys&gt;&lt;ref-type name="Journal Article"&gt;17&lt;/ref-type&gt;&lt;contributors&gt;&lt;authors&gt;&lt;author&gt;Mohd, Zulkifli Rafeizah&lt;/author&gt;&lt;author&gt;Mohammad, Husssain Mohd Azlan&lt;/author&gt;&lt;author&gt;Abdul, Rahman Anesman Buangraya Wenge&lt;/author&gt;&lt;/authors&gt;&lt;/contributors&gt;&lt;titles&gt;&lt;title&gt;Preferences of educators and students in vocational colleges regarding teaching methods&lt;/title&gt;&lt;secondary-title&gt;Перспективы науки и образования&lt;/secondary-title&gt;&lt;/titles&gt;&lt;periodical&gt;&lt;full-title&gt;Перспективы науки и образования&lt;/full-title&gt;&lt;/periodical&gt;&lt;pages&gt;159-170&lt;/pages&gt;&lt;number&gt;1 (55)&lt;/number&gt;&lt;dates&gt;&lt;year&gt;2022&lt;/year&gt;&lt;/dates&gt;&lt;isbn&gt;2307-2334&lt;/isbn&gt;&lt;urls&gt;&lt;/urls&gt;&lt;/record&gt;&lt;/Cite&gt;&lt;/EndNote&gt;</w:instrText>
      </w:r>
      <w:r w:rsidRPr="0068269C">
        <w:fldChar w:fldCharType="separate"/>
      </w:r>
      <w:r w:rsidRPr="0068269C">
        <w:rPr>
          <w:noProof/>
        </w:rPr>
        <w:t>Mohd et al. (2022)</w:t>
      </w:r>
      <w:r w:rsidRPr="0068269C">
        <w:fldChar w:fldCharType="end"/>
      </w:r>
      <w:r w:rsidRPr="00A21762">
        <w:t xml:space="preserve"> found that industrial electronic equipment troubleshooting (IEET) course instructors still prefer using the chalk and talk method of teaching in classrooms. </w:t>
      </w:r>
      <w:r w:rsidRPr="00A21762">
        <w:fldChar w:fldCharType="begin"/>
      </w:r>
      <w:r w:rsidRPr="00A21762">
        <w:instrText xml:space="preserve"> ADDIN EN.CITE &lt;EndNote&gt;&lt;Cite AuthorYear="1"&gt;&lt;Author&gt;Mesuwini&lt;/Author&gt;&lt;Year&gt;2024&lt;/Year&gt;&lt;RecNum&gt;33&lt;/RecNum&gt;&lt;DisplayText&gt;Mesuwini (2024)&lt;/DisplayText&gt;&lt;record&gt;&lt;rec-number&gt;33&lt;/rec-number&gt;&lt;foreign-keys&gt;&lt;key app="EN" db-id="9sd9xtv5kw92dre92z55rwvaxv9sfxvwtpvt" timestamp="1745102025"&gt;33&lt;/key&gt;&lt;/foreign-keys&gt;&lt;ref-type name="Journal Article"&gt;17&lt;/ref-type&gt;&lt;contributors&gt;&lt;authors&gt;&lt;author&gt;Mesuwini, Joseph&lt;/author&gt;&lt;/authors&gt;&lt;/contributors&gt;&lt;titles&gt;&lt;title&gt;South African TVET students’ perceptions of their online learning experiences and challenges: A pilot study&lt;/title&gt;&lt;secondary-title&gt;International Journal of Learning, Teaching and Educational Research&lt;/secondary-title&gt;&lt;/titles&gt;&lt;periodical&gt;&lt;full-title&gt;International Journal of Learning, Teaching and Educational Research&lt;/full-title&gt;&lt;/periodical&gt;&lt;pages&gt;592-616&lt;/pages&gt;&lt;volume&gt;23&lt;/volume&gt;&lt;number&gt;9&lt;/number&gt;&lt;dates&gt;&lt;year&gt;2024&lt;/year&gt;&lt;/dates&gt;&lt;isbn&gt;1694-2116&lt;/isbn&gt;&lt;urls&gt;&lt;/urls&gt;&lt;/record&gt;&lt;/Cite&gt;&lt;/EndNote&gt;</w:instrText>
      </w:r>
      <w:r w:rsidRPr="00A21762">
        <w:fldChar w:fldCharType="separate"/>
      </w:r>
      <w:r w:rsidRPr="00A21762">
        <w:rPr>
          <w:noProof/>
        </w:rPr>
        <w:t>Mesuwini (2024)</w:t>
      </w:r>
      <w:r w:rsidRPr="00A21762">
        <w:fldChar w:fldCharType="end"/>
      </w:r>
      <w:r w:rsidRPr="00A21762">
        <w:t xml:space="preserve"> found that online learning complements in-person sessions and appreciated its flexibility, allowing students to participate at their convenience. The United Nation’s Commonwealth of learning report, ICTs and blended learning in transforming TVET, showed that UNESCO is striving to support ministries and institutions in various Commonwealth countries with transformation in technical and vocational skills, with a focus on three main areas: policy development, capacity building, and the effective use of new technology </w:t>
      </w:r>
      <w:r w:rsidRPr="00A21762">
        <w:fldChar w:fldCharType="begin"/>
      </w:r>
      <w:r>
        <w:instrText xml:space="preserve"> ADDIN EN.CITE &lt;EndNote&gt;&lt;Cite&gt;&lt;Author&gt;Latchem&lt;/Author&gt;&lt;Year&gt;2017&lt;/Year&gt;&lt;RecNum&gt;40&lt;/RecNum&gt;&lt;DisplayText&gt;(Latchem, 2017)&lt;/DisplayText&gt;&lt;record&gt;&lt;rec-number&gt;40&lt;/rec-number&gt;&lt;foreign-keys&gt;&lt;key app="EN" db-id="9sd9xtv5kw92dre92z55rwvaxv9sfxvwtpvt" timestamp="1745335135"&gt;40&lt;/key&gt;&lt;/foreign-keys&gt;&lt;ref-type name="Journal Article"&gt;17&lt;/ref-type&gt;&lt;contributors&gt;&lt;authors&gt;&lt;author&gt;Latchem, Colin&lt;/author&gt;&lt;/authors&gt;&lt;/contributors&gt;&lt;titles&gt;&lt;title&gt;ICTs, blended learning and TVET transformation&lt;/title&gt;&lt;secondary-title&gt;Using ICTs and blended learning in transforming TVET&lt;/secondary-title&gt;&lt;/titles&gt;&lt;periodical&gt;&lt;full-title&gt;Using ICTs and blended learning in transforming TVET&lt;/full-title&gt;&lt;/periodical&gt;&lt;volume&gt;27&lt;/volume&gt;&lt;dates&gt;&lt;year&gt;2017&lt;/year&gt;&lt;/dates&gt;&lt;urls&gt;&lt;/urls&gt;&lt;/record&gt;&lt;/Cite&gt;&lt;/EndNote&gt;</w:instrText>
      </w:r>
      <w:r w:rsidRPr="00A21762">
        <w:fldChar w:fldCharType="separate"/>
      </w:r>
      <w:r w:rsidRPr="00A21762">
        <w:rPr>
          <w:noProof/>
        </w:rPr>
        <w:t>(</w:t>
      </w:r>
      <w:r w:rsidRPr="0068269C">
        <w:rPr>
          <w:noProof/>
        </w:rPr>
        <w:t>Latchem, 2017)</w:t>
      </w:r>
      <w:r w:rsidRPr="00A21762">
        <w:fldChar w:fldCharType="end"/>
      </w:r>
      <w:r w:rsidRPr="00A21762">
        <w:t xml:space="preserve">. Moreover, </w:t>
      </w:r>
      <w:r w:rsidRPr="00A21762">
        <w:fldChar w:fldCharType="begin"/>
      </w:r>
      <w:r w:rsidRPr="00A21762">
        <w:instrText xml:space="preserve"> ADDIN EN.CITE &lt;EndNote&gt;&lt;Cite AuthorYear="1"&gt;&lt;Author&gt;Asghar&lt;/Author&gt;&lt;Year&gt;2022&lt;/Year&gt;&lt;RecNum&gt;35&lt;/RecNum&gt;&lt;DisplayText&gt;Asghar, Afzaal, Iqbal, et al. (2022)&lt;/DisplayText&gt;&lt;record&gt;&lt;rec-number&gt;35&lt;/rec-number&gt;&lt;foreign-keys&gt;&lt;key app="EN" db-id="9sd9xtv5kw92dre92z55rwvaxv9sfxvwtpvt" timestamp="1745103119"&gt;35&lt;/key&gt;&lt;/foreign-keys&gt;&lt;ref-type name="Journal Article"&gt;17&lt;/ref-type&gt;&lt;contributors&gt;&lt;authors&gt;&lt;author&gt;Asghar, Muhammad Zaheer&lt;/author&gt;&lt;author&gt;Afzaal, Muhammad Naeem&lt;/author&gt;&lt;author&gt;Iqbal, Javed&lt;/author&gt;&lt;author&gt;Waqar, Yasira&lt;/author&gt;&lt;author&gt;Seitamaa-Hakkarainen, Pirita&lt;/author&gt;&lt;/authors&gt;&lt;/contributors&gt;&lt;titles&gt;&lt;title&gt;Evaluation of in-service vocational teacher training program: A blend of face-to-face, online and offline learning approaches&lt;/title&gt;&lt;secondary-title&gt;Sustainability&lt;/secondary-title&gt;&lt;/titles&gt;&lt;periodical&gt;&lt;full-title&gt;Sustainability&lt;/full-title&gt;&lt;/periodical&gt;&lt;pages&gt;13906&lt;/pages&gt;&lt;volume&gt;14&lt;/volume&gt;&lt;number&gt;21&lt;/number&gt;&lt;dates&gt;&lt;year&gt;2022&lt;/year&gt;&lt;/dates&gt;&lt;isbn&gt;2071-1050&lt;/isbn&gt;&lt;urls&gt;&lt;/urls&gt;&lt;/record&gt;&lt;/Cite&gt;&lt;/EndNote&gt;</w:instrText>
      </w:r>
      <w:r w:rsidRPr="00A21762">
        <w:fldChar w:fldCharType="separate"/>
      </w:r>
      <w:r w:rsidRPr="00A21762">
        <w:rPr>
          <w:noProof/>
        </w:rPr>
        <w:t>Asghar, Afzaal, Iqbal, et al. (2022)</w:t>
      </w:r>
      <w:r w:rsidRPr="00A21762">
        <w:fldChar w:fldCharType="end"/>
      </w:r>
      <w:r w:rsidRPr="00A21762">
        <w:t xml:space="preserve"> maintained that transitioning from face-to-face to a blended form of teaching is possible if TVET institutions undertake an in-service training program tailored for current instructors. In Pakistan, </w:t>
      </w:r>
      <w:r w:rsidRPr="00A21762">
        <w:rPr>
          <w:b/>
          <w:bCs/>
        </w:rPr>
        <w:fldChar w:fldCharType="begin"/>
      </w:r>
      <w:r w:rsidRPr="00A21762">
        <w:rPr>
          <w:b/>
          <w:bCs/>
        </w:rPr>
        <w:instrText xml:space="preserve"> ADDIN EN.CITE &lt;EndNote&gt;&lt;Cite AuthorYear="1"&gt;&lt;Author&gt;Asghar&lt;/Author&gt;&lt;Year&gt;2022&lt;/Year&gt;&lt;RecNum&gt;36&lt;/RecNum&gt;&lt;DisplayText&gt;Asghar, Afzaal, Iqbal and Sadia (2022)&lt;/DisplayText&gt;&lt;record&gt;&lt;rec-number&gt;36&lt;/rec-number&gt;&lt;foreign-keys&gt;&lt;key app="EN" db-id="9sd9xtv5kw92dre92z55rwvaxv9sfxvwtpvt" timestamp="1745103621"&gt;36&lt;/key&gt;&lt;/foreign-keys&gt;&lt;ref-type name="Journal Article"&gt;17&lt;/ref-type&gt;&lt;contributors&gt;&lt;authors&gt;&lt;author&gt;Asghar, Muhammad Zaheer&lt;/author&gt;&lt;author&gt;Afzaal, Muhammad Naeem&lt;/author&gt;&lt;author&gt;Iqbal, Javed&lt;/author&gt;&lt;author&gt;Sadia, Hafiza Amina&lt;/author&gt;&lt;/authors&gt;&lt;/contributors&gt;&lt;titles&gt;&lt;title&gt;Analyzing an appropriate blend of face-to-face, offline and online learning approaches for the in-service vocational teacher’s training program&lt;/title&gt;&lt;secondary-title&gt;International Journal of Environmental Research and Public Health&lt;/secondary-title&gt;&lt;/titles&gt;&lt;periodical&gt;&lt;full-title&gt;International Journal of Environmental Research and Public Health&lt;/full-title&gt;&lt;/periodical&gt;&lt;pages&gt;10668&lt;/pages&gt;&lt;volume&gt;19&lt;/volume&gt;&lt;number&gt;17&lt;/number&gt;&lt;dates&gt;&lt;year&gt;2022&lt;/year&gt;&lt;/dates&gt;&lt;isbn&gt;1660-4601&lt;/isbn&gt;&lt;urls&gt;&lt;/urls&gt;&lt;/record&gt;&lt;/Cite&gt;&lt;/EndNote&gt;</w:instrText>
      </w:r>
      <w:r w:rsidRPr="00A21762">
        <w:rPr>
          <w:b/>
          <w:bCs/>
        </w:rPr>
        <w:fldChar w:fldCharType="separate"/>
      </w:r>
      <w:r w:rsidRPr="0068269C">
        <w:rPr>
          <w:noProof/>
        </w:rPr>
        <w:t>Asghar, Afzaal, Iqbal and Sadia (2022</w:t>
      </w:r>
      <w:r w:rsidRPr="00A21762">
        <w:rPr>
          <w:b/>
          <w:bCs/>
          <w:noProof/>
        </w:rPr>
        <w:t>)</w:t>
      </w:r>
      <w:r w:rsidRPr="00A21762">
        <w:rPr>
          <w:b/>
          <w:bCs/>
        </w:rPr>
        <w:fldChar w:fldCharType="end"/>
      </w:r>
      <w:r w:rsidRPr="00A21762">
        <w:rPr>
          <w:b/>
          <w:bCs/>
        </w:rPr>
        <w:t xml:space="preserve"> </w:t>
      </w:r>
      <w:r w:rsidRPr="00A21762">
        <w:t xml:space="preserve">showed that trainees had a more positive attitude toward face-to-face learning compared to online learning, and preferred online learning over offline methods. In Kenya, </w:t>
      </w:r>
      <w:r w:rsidRPr="0068269C">
        <w:fldChar w:fldCharType="begin"/>
      </w:r>
      <w:r w:rsidRPr="0068269C">
        <w:instrText xml:space="preserve"> ADDIN EN.CITE &lt;EndNote&gt;&lt;Cite AuthorYear="1"&gt;&lt;Author&gt;Okumu&lt;/Author&gt;&lt;Year&gt;2022&lt;/Year&gt;&lt;RecNum&gt;37&lt;/RecNum&gt;&lt;DisplayText&gt;Okumu and Kenei (2022)&lt;/DisplayText&gt;&lt;record&gt;&lt;rec-number&gt;37&lt;/rec-number&gt;&lt;foreign-keys&gt;&lt;key app="EN" db-id="9sd9xtv5kw92dre92z55rwvaxv9sfxvwtpvt" timestamp="1745103935"&gt;37&lt;/key&gt;&lt;/foreign-keys&gt;&lt;ref-type name="Journal Article"&gt;17&lt;/ref-type&gt;&lt;contributors&gt;&lt;authors&gt;&lt;author&gt;Okumu, GJ&lt;/author&gt;&lt;author&gt;Kenei, JK&lt;/author&gt;&lt;/authors&gt;&lt;/contributors&gt;&lt;titles&gt;&lt;title&gt;The Efficacy of Distance and On-line Learning in TVET Institutions in Kenya&lt;/title&gt;&lt;secondary-title&gt;The Kenya Journal of Technical and Vocational Education and Training&lt;/secondary-title&gt;&lt;/titles&gt;&lt;periodical&gt;&lt;full-title&gt;The Kenya Journal of Technical and Vocational Education and Training&lt;/full-title&gt;&lt;/periodical&gt;&lt;pages&gt;17-31&lt;/pages&gt;&lt;volume&gt;5&lt;/volume&gt;&lt;dates&gt;&lt;year&gt;2022&lt;/year&gt;&lt;/dates&gt;&lt;urls&gt;&lt;/urls&gt;&lt;/record&gt;&lt;/Cite&gt;&lt;/EndNote&gt;</w:instrText>
      </w:r>
      <w:r w:rsidRPr="0068269C">
        <w:fldChar w:fldCharType="separate"/>
      </w:r>
      <w:r w:rsidRPr="0068269C">
        <w:rPr>
          <w:noProof/>
        </w:rPr>
        <w:t>Okumu and Kenei (2022)</w:t>
      </w:r>
      <w:r w:rsidRPr="0068269C">
        <w:fldChar w:fldCharType="end"/>
      </w:r>
      <w:r w:rsidRPr="00A21762">
        <w:t xml:space="preserve"> revealed that although e-learning played a key role in sustaining education during the COVID-19 pandemic, its effectiveness was significantly limited. Contributing factors included poor digital infrastructure, lack of enthusiasm among both trainees and trainers, and home environments that did not support learning, all of which negatively affected the overall impact of e-learning.</w:t>
      </w:r>
    </w:p>
    <w:p w14:paraId="09FC292B" w14:textId="77777777" w:rsidR="00ED2150" w:rsidRPr="00A21762" w:rsidRDefault="00ED2150" w:rsidP="00ED2150">
      <w:pPr>
        <w:jc w:val="both"/>
      </w:pPr>
      <w:r w:rsidRPr="0068269C">
        <w:fldChar w:fldCharType="begin"/>
      </w:r>
      <w:r w:rsidRPr="0068269C">
        <w:instrText xml:space="preserve"> ADDIN EN.CITE &lt;EndNote&gt;&lt;Cite AuthorYear="1"&gt;&lt;Author&gt;Hashim&lt;/Author&gt;&lt;Year&gt;2022&lt;/Year&gt;&lt;RecNum&gt;38&lt;/RecNum&gt;&lt;DisplayText&gt;Hashim and Hamidon (2022)&lt;/DisplayText&gt;&lt;record&gt;&lt;rec-number&gt;38&lt;/rec-number&gt;&lt;foreign-keys&gt;&lt;key app="EN" db-id="9sd9xtv5kw92dre92z55rwvaxv9sfxvwtpvt" timestamp="1745335135"&gt;38&lt;/key&gt;&lt;/foreign-keys&gt;&lt;ref-type name="Journal Article"&gt;17&lt;/ref-type&gt;&lt;contributors&gt;&lt;authors&gt;&lt;author&gt;Hashim, Norliza&lt;/author&gt;&lt;author&gt;Hamidon, Zahari&lt;/author&gt;&lt;/authors&gt;&lt;/contributors&gt;&lt;titles&gt;&lt;title&gt;Blended learning in technical and vocational education and training (TVET) training institute&lt;/title&gt;&lt;secondary-title&gt;International Journal of Academic Research in Progressive Education and Development&lt;/secondary-title&gt;&lt;/titles&gt;&lt;periodical&gt;&lt;full-title&gt;International Journal of Academic Research in Progressive Education and Development&lt;/full-title&gt;&lt;/periodical&gt;&lt;pages&gt;837-860&lt;/pages&gt;&lt;volume&gt;11&lt;/volume&gt;&lt;number&gt;1&lt;/number&gt;&lt;dates&gt;&lt;year&gt;2022&lt;/year&gt;&lt;/dates&gt;&lt;urls&gt;&lt;/urls&gt;&lt;/record&gt;&lt;/Cite&gt;&lt;/EndNote&gt;</w:instrText>
      </w:r>
      <w:r w:rsidRPr="0068269C">
        <w:fldChar w:fldCharType="separate"/>
      </w:r>
      <w:r w:rsidRPr="0068269C">
        <w:rPr>
          <w:noProof/>
        </w:rPr>
        <w:t>Hashim and Hamidon (2022)</w:t>
      </w:r>
      <w:r w:rsidRPr="0068269C">
        <w:fldChar w:fldCharType="end"/>
      </w:r>
      <w:r w:rsidRPr="00A21762">
        <w:t xml:space="preserve"> looked into blended learning in TVET. They examined blended learning in TVET in three distinct models: learning in the classroom and workshop enhanced with technology, on-the-job training supplemented with classroom, distance, and online learning, as well as fully distance and online learning using the ADDIE model. Findings showed that integrating blended learning with technology-driven work models and community-based learning can significantly enhance students' employability prospects.</w:t>
      </w:r>
    </w:p>
    <w:p w14:paraId="29C40F32" w14:textId="77777777" w:rsidR="00ED2150" w:rsidRPr="00A21762" w:rsidRDefault="00ED2150" w:rsidP="00ED2150">
      <w:pPr>
        <w:jc w:val="both"/>
      </w:pPr>
      <w:r w:rsidRPr="00E66E44">
        <w:fldChar w:fldCharType="begin"/>
      </w:r>
      <w:r w:rsidRPr="00E66E44">
        <w:instrText xml:space="preserve"> ADDIN EN.CITE &lt;EndNote&gt;&lt;Cite AuthorYear="1"&gt;&lt;Author&gt;Shakeel&lt;/Author&gt;&lt;Year&gt;2023&lt;/Year&gt;&lt;RecNum&gt;54&lt;/RecNum&gt;&lt;DisplayText&gt;Shakeel et al. (2023)&lt;/DisplayText&gt;&lt;record&gt;&lt;rec-number&gt;54&lt;/rec-number&gt;&lt;foreign-keys&gt;&lt;key app="EN" db-id="9sd9xtv5kw92dre92z55rwvaxv9sfxvwtpvt" timestamp="1745346783"&gt;54&lt;/key&gt;&lt;/foreign-keys&gt;&lt;ref-type name="Journal Article"&gt;17&lt;/ref-type&gt;&lt;contributors&gt;&lt;authors&gt;&lt;author&gt;Shakeel, Shariful Islam&lt;/author&gt;&lt;author&gt;Haolader, Md Faruque A&lt;/author&gt;&lt;author&gt;Sultana, Mst Sharifa&lt;/author&gt;&lt;/authors&gt;&lt;/contributors&gt;&lt;titles&gt;&lt;title&gt;Exploring dimensions of blended learning readiness: Validation of scale and assessing blended learning readiness in the context of TVET Bangladesh&lt;/title&gt;&lt;secondary-title&gt;Heliyon&lt;/secondary-title&gt;&lt;/titles&gt;&lt;periodical&gt;&lt;full-title&gt;Heliyon&lt;/full-title&gt;&lt;/periodical&gt;&lt;volume&gt;9&lt;/volume&gt;&lt;number&gt;1&lt;/number&gt;&lt;dates&gt;&lt;year&gt;2023&lt;/year&gt;&lt;/dates&gt;&lt;isbn&gt;2405-8440&lt;/isbn&gt;&lt;urls&gt;&lt;/urls&gt;&lt;/record&gt;&lt;/Cite&gt;&lt;/EndNote&gt;</w:instrText>
      </w:r>
      <w:r w:rsidRPr="00E66E44">
        <w:fldChar w:fldCharType="separate"/>
      </w:r>
      <w:r w:rsidRPr="00E66E44">
        <w:rPr>
          <w:noProof/>
        </w:rPr>
        <w:t>Shakeel et al. (2023)</w:t>
      </w:r>
      <w:r w:rsidRPr="00E66E44">
        <w:fldChar w:fldCharType="end"/>
      </w:r>
      <w:r w:rsidRPr="00A21762">
        <w:t xml:space="preserve"> explored the dimensions of blended learning readiness in Bangladesh. The study employed the Content Validity Index (CVI), Exploratory Factor Analysis (EFA), and Confirmatory Factor Analysis (CFA) to assess and confirm the construct validity of the blended learning readiness scale. Results show that the scale helps improve blended learning in Bangladesh by addressing students' concerns and guiding key stakeholders.</w:t>
      </w:r>
    </w:p>
    <w:p w14:paraId="6187A9F5" w14:textId="77777777" w:rsidR="00ED2150" w:rsidRPr="00A21762" w:rsidRDefault="00ED2150" w:rsidP="00ED2150">
      <w:pPr>
        <w:jc w:val="both"/>
      </w:pPr>
      <w:r w:rsidRPr="00E66E44">
        <w:fldChar w:fldCharType="begin"/>
      </w:r>
      <w:r w:rsidRPr="00E66E44">
        <w:instrText xml:space="preserve"> ADDIN EN.CITE &lt;EndNote&gt;&lt;Cite AuthorYear="1"&gt;&lt;Author&gt;Chinengundu&lt;/Author&gt;&lt;Year&gt;2021&lt;/Year&gt;&lt;RecNum&gt;53&lt;/RecNum&gt;&lt;DisplayText&gt;Chinengundu (2021)&lt;/DisplayText&gt;&lt;record&gt;&lt;rec-number&gt;53&lt;/rec-number&gt;&lt;foreign-keys&gt;&lt;key app="EN" db-id="9sd9xtv5kw92dre92z55rwvaxv9sfxvwtpvt" timestamp="1745346783"&gt;53&lt;/key&gt;&lt;/foreign-keys&gt;&lt;ref-type name="Book Section"&gt;5&lt;/ref-type&gt;&lt;contributors&gt;&lt;authors&gt;&lt;author&gt;Chinengundu, Tawanda&lt;/author&gt;&lt;/authors&gt;&lt;/contributors&gt;&lt;titles&gt;&lt;title&gt;Four strategies for blended learning in TVET: A South African post-pandemic perspective&lt;/title&gt;&lt;secondary-title&gt;New models for technical and vocational education and training&lt;/secondary-title&gt;&lt;/titles&gt;&lt;pages&gt;74-90&lt;/pages&gt;&lt;dates&gt;&lt;year&gt;2021&lt;/year&gt;&lt;/dates&gt;&lt;publisher&gt;IGI Global Scientific Publishing&lt;/publisher&gt;&lt;urls&gt;&lt;/urls&gt;&lt;/record&gt;&lt;/Cite&gt;&lt;/EndNote&gt;</w:instrText>
      </w:r>
      <w:r w:rsidRPr="00E66E44">
        <w:fldChar w:fldCharType="separate"/>
      </w:r>
      <w:r w:rsidRPr="00E66E44">
        <w:rPr>
          <w:noProof/>
        </w:rPr>
        <w:t>Chinengundu (2021)</w:t>
      </w:r>
      <w:r w:rsidRPr="00E66E44">
        <w:fldChar w:fldCharType="end"/>
      </w:r>
      <w:r w:rsidRPr="00E66E44">
        <w:t xml:space="preserve"> </w:t>
      </w:r>
      <w:r w:rsidRPr="00A21762">
        <w:t>determined the benefits of blended learning in TVET, focusing on four strategies for blended learning using the South African context. Finally, four strategies for blended learning in TVET from a South African post-pandemic perspective were proposed. The systematic literature review revealed that blended learning has to be embraced as the new normal mode of teaching post-pandemic. It was established that for a smooth transition from face-to-face to online learning, careful planning, preparation, adaptation, and an appropriate learning space are required.</w:t>
      </w:r>
    </w:p>
    <w:p w14:paraId="2C901012" w14:textId="77777777" w:rsidR="00ED2150" w:rsidRPr="00A21762" w:rsidRDefault="00ED2150" w:rsidP="00ED2150">
      <w:pPr>
        <w:jc w:val="both"/>
      </w:pPr>
      <w:r w:rsidRPr="00E66E44">
        <w:fldChar w:fldCharType="begin"/>
      </w:r>
      <w:r w:rsidRPr="00E66E44">
        <w:instrText xml:space="preserve"> ADDIN EN.CITE &lt;EndNote&gt;&lt;Cite AuthorYear="1"&gt;&lt;Author&gt;Aina&lt;/Author&gt;&lt;Year&gt;2022&lt;/Year&gt;&lt;RecNum&gt;11&lt;/RecNum&gt;&lt;DisplayText&gt;Aina and Ogegbo (2022)&lt;/DisplayText&gt;&lt;record&gt;&lt;rec-number&gt;11&lt;/rec-number&gt;&lt;foreign-keys&gt;&lt;key app="EN" db-id="9sd9xtv5kw92dre92z55rwvaxv9sfxvwtpvt" timestamp="1744968955"&gt;11&lt;/key&gt;&lt;/foreign-keys&gt;&lt;ref-type name="Journal Article"&gt;17&lt;/ref-type&gt;&lt;contributors&gt;&lt;authors&gt;&lt;author&gt;Aina, Adebunmi Yetunde&lt;/author&gt;&lt;author&gt;Ogegbo, Ayodele Abosede&lt;/author&gt;&lt;/authors&gt;&lt;/contributors&gt;&lt;titles&gt;&lt;title&gt;Investigating TVET college educators’ experiences while transitioning from the traditional classroom to the virtual classroom during the COVID-19 pandemic&lt;/title&gt;&lt;secondary-title&gt;Perspectives in Education&lt;/secondary-title&gt;&lt;/titles&gt;&lt;periodical&gt;&lt;full-title&gt;Perspectives in Education&lt;/full-title&gt;&lt;/periodical&gt;&lt;pages&gt;129-142&lt;/pages&gt;&lt;volume&gt;40&lt;/volume&gt;&lt;number&gt;1&lt;/number&gt;&lt;dates&gt;&lt;year&gt;2022&lt;/year&gt;&lt;/dates&gt;&lt;isbn&gt;2519-593X&lt;/isbn&gt;&lt;urls&gt;&lt;/urls&gt;&lt;/record&gt;&lt;/Cite&gt;&lt;/EndNote&gt;</w:instrText>
      </w:r>
      <w:r w:rsidRPr="00E66E44">
        <w:fldChar w:fldCharType="separate"/>
      </w:r>
      <w:r w:rsidRPr="00E66E44">
        <w:rPr>
          <w:noProof/>
        </w:rPr>
        <w:t>Aina and Ogegbo (2022)</w:t>
      </w:r>
      <w:r w:rsidRPr="00E66E44">
        <w:fldChar w:fldCharType="end"/>
      </w:r>
      <w:r w:rsidRPr="00A21762">
        <w:t xml:space="preserve"> investigated TVET college educators’ experiences while transitioning from the traditional classroom to the virtual classroom during the COVID-19 pandemic. Seven TVET educators from urban South African colleges participated in a case study using interviews and thematic analysis, with full ethical compliance. Three educators showed a positive attitude toward virtual learning, and six used platforms like WhatsApp for teaching. However, numerous challenges, including limited support, poor infrastructure, and inadequate training, hindered a full transition to virtual education.</w:t>
      </w:r>
    </w:p>
    <w:p w14:paraId="3502B0A6" w14:textId="77777777" w:rsidR="00790ADA" w:rsidRPr="00FB3A86" w:rsidRDefault="00790ADA" w:rsidP="00441B6F">
      <w:pPr>
        <w:pStyle w:val="Body"/>
        <w:spacing w:after="0"/>
        <w:rPr>
          <w:rFonts w:ascii="Arial" w:hAnsi="Arial" w:cs="Arial"/>
        </w:rPr>
      </w:pPr>
    </w:p>
    <w:p w14:paraId="433FAFD7" w14:textId="247EB72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D499548" w14:textId="77777777" w:rsidR="00790ADA" w:rsidRPr="00FB3A86" w:rsidRDefault="00790ADA" w:rsidP="00441B6F">
      <w:pPr>
        <w:pStyle w:val="AbstHead"/>
        <w:spacing w:after="0"/>
        <w:jc w:val="both"/>
        <w:rPr>
          <w:rFonts w:ascii="Arial" w:hAnsi="Arial" w:cs="Arial"/>
        </w:rPr>
      </w:pPr>
    </w:p>
    <w:p w14:paraId="3B3B8804" w14:textId="77777777" w:rsidR="0080789B" w:rsidRDefault="0080789B" w:rsidP="006B7CC3">
      <w:pPr>
        <w:spacing w:after="100" w:afterAutospacing="1" w:line="276" w:lineRule="auto"/>
        <w:jc w:val="both"/>
      </w:pPr>
      <w:r>
        <w:t>This paper investigates the suitable mode of transmission of knowledge and skills between the instructors and their trainees. The paper sought to focus on i</w:t>
      </w:r>
      <w:r w:rsidRPr="00D0141F">
        <w:t xml:space="preserve">nstructor </w:t>
      </w:r>
      <w:r>
        <w:t>a</w:t>
      </w:r>
      <w:r w:rsidRPr="00D0141F">
        <w:t xml:space="preserve">ssessment </w:t>
      </w:r>
      <w:r>
        <w:t>c</w:t>
      </w:r>
      <w:r w:rsidRPr="00D0141F">
        <w:t xml:space="preserve">ompetence, </w:t>
      </w:r>
      <w:r>
        <w:t>c</w:t>
      </w:r>
      <w:r w:rsidRPr="00D0141F">
        <w:t xml:space="preserve">lass </w:t>
      </w:r>
      <w:r>
        <w:t>si</w:t>
      </w:r>
      <w:r w:rsidRPr="00D0141F">
        <w:t xml:space="preserve">ze, and </w:t>
      </w:r>
      <w:r>
        <w:t>i</w:t>
      </w:r>
      <w:r w:rsidRPr="00D0141F">
        <w:t xml:space="preserve">nstitutional </w:t>
      </w:r>
      <w:r>
        <w:t>c</w:t>
      </w:r>
      <w:r w:rsidRPr="00D0141F">
        <w:t>apacity</w:t>
      </w:r>
      <w:r>
        <w:t xml:space="preserve">. This study explores instructor competence, class size, and institutional capacity in conducting assessments and evaluations of the trainees using online Moodle, e-learning platforms, institutional websites, and other avenues is crucial in determining the most feasible and effective teaching method. </w:t>
      </w:r>
    </w:p>
    <w:p w14:paraId="75DDD020" w14:textId="77777777" w:rsidR="0080789B" w:rsidRPr="00AF3B70" w:rsidRDefault="0080789B" w:rsidP="006B7CC3">
      <w:pPr>
        <w:spacing w:after="100" w:afterAutospacing="1" w:line="276" w:lineRule="auto"/>
        <w:jc w:val="both"/>
        <w:rPr>
          <w:b/>
          <w:bCs/>
        </w:rPr>
      </w:pPr>
      <w:r>
        <w:rPr>
          <w:b/>
          <w:bCs/>
        </w:rPr>
        <w:t>Research D</w:t>
      </w:r>
      <w:r w:rsidRPr="00AF3B70">
        <w:rPr>
          <w:b/>
          <w:bCs/>
        </w:rPr>
        <w:t>esign</w:t>
      </w:r>
    </w:p>
    <w:p w14:paraId="59865130" w14:textId="77777777" w:rsidR="0080789B" w:rsidRDefault="0080789B" w:rsidP="006B7CC3">
      <w:pPr>
        <w:spacing w:after="100" w:afterAutospacing="1" w:line="276" w:lineRule="auto"/>
        <w:jc w:val="both"/>
      </w:pPr>
      <w:r>
        <w:fldChar w:fldCharType="begin"/>
      </w:r>
      <w:r>
        <w:instrText xml:space="preserve"> ADDIN EN.CITE &lt;EndNote&gt;&lt;Cite AuthorYear="1"&gt;&lt;Author&gt;Kothari&lt;/Author&gt;&lt;Year&gt;2017&lt;/Year&gt;&lt;RecNum&gt;55&lt;/RecNum&gt;&lt;DisplayText&gt;Kothari (2017)&lt;/DisplayText&gt;&lt;record&gt;&lt;rec-number&gt;55&lt;/rec-number&gt;&lt;foreign-keys&gt;&lt;key app="EN" db-id="9sd9xtv5kw92dre92z55rwvaxv9sfxvwtpvt" timestamp="1745346783"&gt;55&lt;/key&gt;&lt;/foreign-keys&gt;&lt;ref-type name="Journal Article"&gt;17&lt;/ref-type&gt;&lt;contributors&gt;&lt;authors&gt;&lt;author&gt;Kothari, C&lt;/author&gt;&lt;/authors&gt;&lt;/contributors&gt;&lt;titles&gt;&lt;title&gt;research methodology methods and techniques by CR Kothari&lt;/title&gt;&lt;secondary-title&gt;Published by New Age International (P) Ltd., Publishers&lt;/secondary-title&gt;&lt;/titles&gt;&lt;periodical&gt;&lt;full-title&gt;Published by New Age International (P) Ltd., Publishers&lt;/full-title&gt;&lt;/periodical&gt;&lt;volume&gt;91&lt;/volume&gt;&lt;dates&gt;&lt;year&gt;2017&lt;/year&gt;&lt;/dates&gt;&lt;urls&gt;&lt;/urls&gt;&lt;/record&gt;&lt;/Cite&gt;&lt;/EndNote&gt;</w:instrText>
      </w:r>
      <w:r>
        <w:fldChar w:fldCharType="separate"/>
      </w:r>
      <w:r>
        <w:rPr>
          <w:noProof/>
        </w:rPr>
        <w:t>Kothari (2017)</w:t>
      </w:r>
      <w:r>
        <w:fldChar w:fldCharType="end"/>
      </w:r>
      <w:r>
        <w:t xml:space="preserve"> defined </w:t>
      </w:r>
      <w:r w:rsidRPr="002D02B5">
        <w:t xml:space="preserve">a research design </w:t>
      </w:r>
      <w:r>
        <w:t>as</w:t>
      </w:r>
      <w:r w:rsidRPr="002D02B5">
        <w:t xml:space="preserve"> the structure that organizes the conditions for data collection and analysis in a way that seeks to align with the research objectives while ensuring efficiency in the process.</w:t>
      </w:r>
      <w:r>
        <w:t xml:space="preserve"> On the other hand, </w:t>
      </w:r>
      <w:r>
        <w:fldChar w:fldCharType="begin"/>
      </w:r>
      <w:r>
        <w:instrText xml:space="preserve"> ADDIN EN.CITE &lt;EndNote&gt;&lt;Cite AuthorYear="1"&gt;&lt;Author&gt;Creswell&lt;/Author&gt;&lt;Year&gt;2007&lt;/Year&gt;&lt;RecNum&gt;60&lt;/RecNum&gt;&lt;DisplayText&gt;Creswell and Clark (2007)&lt;/DisplayText&gt;&lt;record&gt;&lt;rec-number&gt;60&lt;/rec-number&gt;&lt;foreign-keys&gt;&lt;key app="EN" db-id="9sd9xtv5kw92dre92z55rwvaxv9sfxvwtpvt" timestamp="1745347331"&gt;60&lt;/key&gt;&lt;/foreign-keys&gt;&lt;ref-type name="Journal Article"&gt;17&lt;/ref-type&gt;&lt;contributors&gt;&lt;authors&gt;&lt;author&gt;Creswell, John W&lt;/author&gt;&lt;author&gt;Clark, Vickil Plano&lt;/author&gt;&lt;/authors&gt;&lt;/contributors&gt;&lt;titles&gt;&lt;title&gt;Mixed methods research&lt;/title&gt;&lt;secondary-title&gt;Thousand Oaks, CA&lt;/secondary-title&gt;&lt;/titles&gt;&lt;periodical&gt;&lt;full-title&gt;Thousand Oaks, CA&lt;/full-title&gt;&lt;/periodical&gt;&lt;dates&gt;&lt;year&gt;2007&lt;/year&gt;&lt;/dates&gt;&lt;urls&gt;&lt;/urls&gt;&lt;/record&gt;&lt;/Cite&gt;&lt;/EndNote&gt;</w:instrText>
      </w:r>
      <w:r>
        <w:fldChar w:fldCharType="separate"/>
      </w:r>
      <w:r>
        <w:rPr>
          <w:noProof/>
        </w:rPr>
        <w:t>Creswell and Clark (2007)</w:t>
      </w:r>
      <w:r>
        <w:fldChar w:fldCharType="end"/>
      </w:r>
      <w:r>
        <w:t xml:space="preserve"> refers to plans and procedures that </w:t>
      </w:r>
      <w:r>
        <w:lastRenderedPageBreak/>
        <w:t xml:space="preserve">connect broad assumptions to detailed methods of data collection and analysis. This study employed a mixed methods design. </w:t>
      </w:r>
    </w:p>
    <w:p w14:paraId="10E57821" w14:textId="77777777" w:rsidR="0080789B" w:rsidRPr="002E0A2A" w:rsidRDefault="0080789B" w:rsidP="006B7CC3">
      <w:pPr>
        <w:spacing w:after="100" w:afterAutospacing="1" w:line="276" w:lineRule="auto"/>
        <w:jc w:val="both"/>
        <w:rPr>
          <w:b/>
          <w:bCs/>
        </w:rPr>
      </w:pPr>
      <w:r w:rsidRPr="002E0A2A">
        <w:rPr>
          <w:b/>
          <w:bCs/>
        </w:rPr>
        <w:t>Area of study</w:t>
      </w:r>
    </w:p>
    <w:p w14:paraId="4E3E4DB9" w14:textId="77777777" w:rsidR="0080789B" w:rsidRDefault="0080789B" w:rsidP="006B7CC3">
      <w:pPr>
        <w:spacing w:after="100" w:afterAutospacing="1" w:line="276" w:lineRule="auto"/>
        <w:jc w:val="both"/>
      </w:pPr>
      <w:r w:rsidRPr="002E0A2A">
        <w:t>This study was conducted across seven Technical and Vocational Education and Training (TVET) institutions in Uganda. To ensure equitable regional representation, a selection process was employed. Specifically, three TVET institutions were chosen from the Central region: Lugogo Vocational Training Institute (VTI), Nakawa Vocational Training College (VTC), and Ntinda Vocational Training Institute (VTI). Two TVET institutions were tentatively selected from the Eastern region of Uganda, namely Iganga Technical Institute (TI) and Jinja Vocational Training Institute (VTI). In the Western region, Nyamitanga Technical Institute (TI) was considered for data collection due to its diverse programs and established reputation within the area, while Minakulu Technical Institute (TI) was selected from the Northern region.</w:t>
      </w:r>
    </w:p>
    <w:p w14:paraId="473893D7" w14:textId="77777777" w:rsidR="0080789B" w:rsidRPr="00D66F5E" w:rsidRDefault="0080789B" w:rsidP="006B7CC3">
      <w:pPr>
        <w:spacing w:after="100" w:afterAutospacing="1" w:line="276" w:lineRule="auto"/>
        <w:jc w:val="both"/>
        <w:rPr>
          <w:b/>
          <w:bCs/>
        </w:rPr>
      </w:pPr>
      <w:r w:rsidRPr="00D66F5E">
        <w:rPr>
          <w:b/>
          <w:bCs/>
        </w:rPr>
        <w:t>Target Population</w:t>
      </w:r>
    </w:p>
    <w:p w14:paraId="24132AA0" w14:textId="095DFF68" w:rsidR="00017503" w:rsidRPr="006B7CC3" w:rsidRDefault="0080789B" w:rsidP="006B7CC3">
      <w:pPr>
        <w:spacing w:after="100" w:afterAutospacing="1" w:line="276" w:lineRule="auto"/>
        <w:jc w:val="both"/>
      </w:pPr>
      <w:r>
        <w:t xml:space="preserve">This paper </w:t>
      </w:r>
      <w:r w:rsidRPr="00381C06">
        <w:t xml:space="preserve">targeted TVET national </w:t>
      </w:r>
      <w:r w:rsidR="00017503">
        <w:t>certificate-awarding</w:t>
      </w:r>
      <w:r w:rsidRPr="00381C06">
        <w:t xml:space="preserve"> </w:t>
      </w:r>
      <w:r>
        <w:t>government-aided</w:t>
      </w:r>
      <w:r w:rsidRPr="00381C06">
        <w:t xml:space="preserve"> institutions. Specifically, the trainees, </w:t>
      </w:r>
      <w:r>
        <w:t>instructors, and administrators formed the study population. These institutions have diverse programs undertaken by the trainees, ranging from Automotive Mechanics to Electrical</w:t>
      </w:r>
      <w:r w:rsidRPr="00381C06">
        <w:t xml:space="preserve"> Installation Systems and Maintenance, Welding and Fabrication, Fashion and Garment Design, Electronics, Building and Construction, Carpentry and Joinery, and Fitting and Machining</w:t>
      </w:r>
    </w:p>
    <w:p w14:paraId="3C95ECEC" w14:textId="4D6B2FBC" w:rsidR="0080789B" w:rsidRPr="0080789B" w:rsidRDefault="0080789B" w:rsidP="006B7CC3">
      <w:pPr>
        <w:spacing w:after="100" w:afterAutospacing="1" w:line="276" w:lineRule="auto"/>
        <w:jc w:val="both"/>
      </w:pPr>
      <w:r w:rsidRPr="00D66F5E">
        <w:rPr>
          <w:b/>
          <w:bCs/>
        </w:rPr>
        <w:t>Sample Size Determination</w:t>
      </w:r>
    </w:p>
    <w:p w14:paraId="5EAEF6DE" w14:textId="77777777" w:rsidR="0080789B" w:rsidRDefault="0080789B" w:rsidP="006B7CC3">
      <w:pPr>
        <w:spacing w:after="100" w:afterAutospacing="1" w:line="276" w:lineRule="auto"/>
        <w:jc w:val="both"/>
      </w:pPr>
      <w:r>
        <w:t xml:space="preserve">The sample size was estimated using the Taro Yamane sampling formula as shown. The Taro Yamane sample size formula was emphasized by </w:t>
      </w:r>
      <w:r>
        <w:fldChar w:fldCharType="begin"/>
      </w:r>
      <w:r>
        <w:instrText xml:space="preserve"> ADDIN EN.CITE &lt;EndNote&gt;&lt;Cite AuthorYear="1"&gt;&lt;Author&gt;Chaokromthong&lt;/Author&gt;&lt;Year&gt;2021&lt;/Year&gt;&lt;RecNum&gt;48&lt;/RecNum&gt;&lt;DisplayText&gt;Chaokromthong and Sintao (2021); Uakarn et al. (2021)&lt;/DisplayText&gt;&lt;record&gt;&lt;rec-number&gt;48&lt;/rec-number&gt;&lt;foreign-keys&gt;&lt;key app="EN" db-id="f95929dv2pv2fmeesds5attsfzw0t2wavvt9" timestamp="1741356566"&gt;48&lt;/key&gt;&lt;/foreign-keys&gt;&lt;ref-type name="Journal Article"&gt;17&lt;/ref-type&gt;&lt;contributors&gt;&lt;authors&gt;&lt;author&gt;Chaokromthong, Kajohnsak&lt;/author&gt;&lt;author&gt;Sintao, Nittaya&lt;/author&gt;&lt;/authors&gt;&lt;/contributors&gt;&lt;titles&gt;&lt;title&gt;Sample size estimation using Yamane and Cochran and Krejcie and Morgan and green formulas and Cohen statistical power analysis by G* Power and comparisions&lt;/title&gt;&lt;secondary-title&gt;APHEIT International Journal of Interdisciplinary Social Sciences and Technology&lt;/secondary-title&gt;&lt;/titles&gt;&lt;periodical&gt;&lt;full-title&gt;APHEIT International Journal of Interdisciplinary Social Sciences and Technology&lt;/full-title&gt;&lt;/periodical&gt;&lt;pages&gt;76-86&lt;/pages&gt;&lt;volume&gt;10&lt;/volume&gt;&lt;number&gt;2&lt;/number&gt;&lt;dates&gt;&lt;year&gt;2021&lt;/year&gt;&lt;/dates&gt;&lt;isbn&gt;3056-977X&lt;/isbn&gt;&lt;urls&gt;&lt;/urls&gt;&lt;/record&gt;&lt;/Cite&gt;&lt;Cite AuthorYear="1"&gt;&lt;Author&gt;Uakarn&lt;/Author&gt;&lt;Year&gt;2021&lt;/Year&gt;&lt;RecNum&gt;49&lt;/RecNum&gt;&lt;record&gt;&lt;rec-number&gt;49&lt;/rec-number&gt;&lt;foreign-keys&gt;&lt;key app="EN" db-id="f95929dv2pv2fmeesds5attsfzw0t2wavvt9" timestamp="1741356601"&gt;49&lt;/key&gt;&lt;/foreign-keys&gt;&lt;ref-type name="Journal Article"&gt;17&lt;/ref-type&gt;&lt;contributors&gt;&lt;authors&gt;&lt;author&gt;Uakarn, Chanuan&lt;/author&gt;&lt;author&gt;Chaokromthong, Kajohnsak&lt;/author&gt;&lt;author&gt;Sintao, Nittaya&lt;/author&gt;&lt;/authors&gt;&lt;/contributors&gt;&lt;titles&gt;&lt;title&gt;Sample size estimation using Yamane and Cochran and Krejcie and Morgan and Green formulas and Cohen statistical power analysis by G* power and comparisons&lt;/title&gt;&lt;secondary-title&gt;Apheit Int J&lt;/secondary-title&gt;&lt;/titles&gt;&lt;periodical&gt;&lt;full-title&gt;Apheit Int J&lt;/full-title&gt;&lt;/periodical&gt;&lt;pages&gt;76-88&lt;/pages&gt;&lt;volume&gt;10&lt;/volume&gt;&lt;number&gt;2&lt;/number&gt;&lt;dates&gt;&lt;year&gt;2021&lt;/year&gt;&lt;/dates&gt;&lt;urls&gt;&lt;/urls&gt;&lt;/record&gt;&lt;/Cite&gt;&lt;/EndNote&gt;</w:instrText>
      </w:r>
      <w:r>
        <w:fldChar w:fldCharType="separate"/>
      </w:r>
      <w:r>
        <w:rPr>
          <w:noProof/>
        </w:rPr>
        <w:t>Chaokromthong and Sintao (2021); Uakarn et al. (2021)</w:t>
      </w:r>
      <w:r>
        <w:fldChar w:fldCharType="end"/>
      </w:r>
      <w:r>
        <w:t xml:space="preserve"> as a formula with a more statistical power than the Krejcie and Morgan. The formula is as follows.</w:t>
      </w:r>
    </w:p>
    <w:p w14:paraId="79419A61" w14:textId="77777777" w:rsidR="0080789B" w:rsidRPr="00002480" w:rsidRDefault="0080789B" w:rsidP="006B7CC3">
      <w:pPr>
        <w:pStyle w:val="ListParagraph"/>
        <w:spacing w:after="100" w:afterAutospacing="1"/>
        <w:ind w:left="1440"/>
        <w:rPr>
          <w:i/>
        </w:rPr>
      </w:pPr>
      <m:oMathPara>
        <m:oMathParaPr>
          <m:jc m:val="center"/>
        </m:oMathParaPr>
        <m:oMath>
          <m:r>
            <w:rPr>
              <w:rFonts w:ascii="Cambria Math" w:hAnsi="Cambria Math"/>
            </w:rPr>
            <m:t xml:space="preserve">n= </m:t>
          </m:r>
          <m:f>
            <m:fPr>
              <m:ctrlPr>
                <w:rPr>
                  <w:rFonts w:ascii="Cambria Math" w:hAnsi="Cambria Math"/>
                  <w:i/>
                </w:rPr>
              </m:ctrlPr>
            </m:fPr>
            <m:num>
              <m:r>
                <w:rPr>
                  <w:rFonts w:ascii="Cambria Math" w:hAnsi="Cambria Math"/>
                </w:rPr>
                <m:t>N</m:t>
              </m:r>
            </m:num>
            <m:den>
              <m:r>
                <w:rPr>
                  <w:rFonts w:ascii="Cambria Math" w:hAnsi="Cambria Math"/>
                </w:rPr>
                <m:t>1+N</m:t>
              </m:r>
              <m:sSup>
                <m:sSupPr>
                  <m:ctrlPr>
                    <w:rPr>
                      <w:rFonts w:ascii="Cambria Math" w:hAnsi="Cambria Math"/>
                      <w:i/>
                    </w:rPr>
                  </m:ctrlPr>
                </m:sSupPr>
                <m:e>
                  <m:r>
                    <w:rPr>
                      <w:rFonts w:ascii="Cambria Math" w:hAnsi="Cambria Math"/>
                    </w:rPr>
                    <m:t>(e)</m:t>
                  </m:r>
                </m:e>
                <m:sup>
                  <m:r>
                    <w:rPr>
                      <w:rFonts w:ascii="Cambria Math" w:hAnsi="Cambria Math"/>
                    </w:rPr>
                    <m:t>2</m:t>
                  </m:r>
                </m:sup>
              </m:sSup>
            </m:den>
          </m:f>
          <m:r>
            <w:rPr>
              <w:rFonts w:ascii="Cambria Math" w:hAnsi="Cambria Math"/>
            </w:rPr>
            <m:t xml:space="preserve">                        </m:t>
          </m:r>
        </m:oMath>
      </m:oMathPara>
    </w:p>
    <w:p w14:paraId="64CC857B" w14:textId="77777777" w:rsidR="0080789B" w:rsidRDefault="0080789B" w:rsidP="006B7CC3">
      <w:pPr>
        <w:spacing w:after="100" w:afterAutospacing="1"/>
      </w:pPr>
      <w:r>
        <w:t>Where:</w:t>
      </w:r>
    </w:p>
    <w:p w14:paraId="15299E79" w14:textId="77777777" w:rsidR="0080789B" w:rsidRDefault="0080789B" w:rsidP="006B7CC3">
      <w:pPr>
        <w:pStyle w:val="ListParagraph"/>
        <w:numPr>
          <w:ilvl w:val="0"/>
          <w:numId w:val="31"/>
        </w:numPr>
        <w:spacing w:after="100" w:afterAutospacing="1" w:line="480" w:lineRule="auto"/>
        <w:jc w:val="both"/>
      </w:pPr>
      <w:r>
        <w:t>N is the total population size.</w:t>
      </w:r>
    </w:p>
    <w:p w14:paraId="78B132D0" w14:textId="77777777" w:rsidR="0080789B" w:rsidRDefault="0080789B" w:rsidP="006B7CC3">
      <w:pPr>
        <w:pStyle w:val="ListParagraph"/>
        <w:numPr>
          <w:ilvl w:val="0"/>
          <w:numId w:val="31"/>
        </w:numPr>
        <w:spacing w:after="100" w:afterAutospacing="1" w:line="480" w:lineRule="auto"/>
        <w:jc w:val="both"/>
      </w:pPr>
      <w:r>
        <w:t>e is the desired level of precision (expressed as a decimal).</w:t>
      </w:r>
    </w:p>
    <w:p w14:paraId="40F751DE" w14:textId="77777777" w:rsidR="0080789B" w:rsidRDefault="0080789B" w:rsidP="006B7CC3">
      <w:pPr>
        <w:spacing w:after="100" w:afterAutospacing="1" w:line="276" w:lineRule="auto"/>
      </w:pPr>
      <w:r>
        <w:t xml:space="preserve">Taking a 95% confidence level and a margin of error (e) of 5%. Using this information, the required sample sizes for instructors, students, and administrators were as follows. </w:t>
      </w:r>
    </w:p>
    <w:p w14:paraId="6B0C98AC" w14:textId="77777777" w:rsidR="0080789B" w:rsidRPr="0064424A" w:rsidRDefault="0080789B" w:rsidP="006B7CC3">
      <w:pPr>
        <w:spacing w:after="100" w:afterAutospacing="1" w:line="276" w:lineRule="auto"/>
        <w:jc w:val="both"/>
        <w:rPr>
          <w:b/>
          <w:bCs/>
        </w:rPr>
      </w:pPr>
      <w:r w:rsidRPr="0064424A">
        <w:rPr>
          <w:b/>
          <w:bCs/>
        </w:rPr>
        <w:t>Sampling procedure</w:t>
      </w:r>
    </w:p>
    <w:p w14:paraId="5D49F552" w14:textId="77777777" w:rsidR="0080789B" w:rsidRPr="0064424A" w:rsidRDefault="0080789B" w:rsidP="006B7CC3">
      <w:pPr>
        <w:spacing w:after="100" w:afterAutospacing="1" w:line="276" w:lineRule="auto"/>
        <w:jc w:val="both"/>
      </w:pPr>
      <w:r w:rsidRPr="0064424A">
        <w:t>The Taro Yamane formula was used to determine the appropriate sample size from the identified institutions. To achieve a representative sample, both random and purposive sampling methods were utilized. Administrators and instructors were selected purposively based on their expertise and relevance to the study, while trainees were chosen through simple random sampling to ensure fairness and minimize bias.</w:t>
      </w:r>
    </w:p>
    <w:p w14:paraId="2AF7A218" w14:textId="77777777" w:rsidR="006B7CC3" w:rsidRDefault="006B7CC3">
      <w:pPr>
        <w:rPr>
          <w:b/>
          <w:bCs/>
        </w:rPr>
      </w:pPr>
      <w:r>
        <w:rPr>
          <w:b/>
          <w:bCs/>
        </w:rPr>
        <w:br w:type="page"/>
      </w:r>
    </w:p>
    <w:p w14:paraId="795527EC" w14:textId="7F24344E" w:rsidR="0080789B" w:rsidRDefault="0080789B" w:rsidP="006B7CC3">
      <w:pPr>
        <w:spacing w:after="100" w:afterAutospacing="1" w:line="276" w:lineRule="auto"/>
        <w:jc w:val="both"/>
        <w:rPr>
          <w:b/>
          <w:bCs/>
        </w:rPr>
      </w:pPr>
      <w:r w:rsidRPr="0064424A">
        <w:rPr>
          <w:b/>
          <w:bCs/>
        </w:rPr>
        <w:lastRenderedPageBreak/>
        <w:t>Data Collection Methods and Tools</w:t>
      </w:r>
    </w:p>
    <w:p w14:paraId="52E98078" w14:textId="77777777" w:rsidR="0080789B" w:rsidRPr="000D4DC9" w:rsidRDefault="0080789B" w:rsidP="006B7CC3">
      <w:pPr>
        <w:spacing w:after="100" w:afterAutospacing="1" w:line="276" w:lineRule="auto"/>
        <w:jc w:val="both"/>
      </w:pPr>
      <w:r w:rsidRPr="000D4DC9">
        <w:t xml:space="preserve">This study used two data collection instruments: a structured questionnaire and an interview </w:t>
      </w:r>
      <w:r>
        <w:t>schedule</w:t>
      </w:r>
      <w:r w:rsidRPr="000D4DC9">
        <w:t>, both administered in English. The questionnaire was completed by 184 instructors and 406 trainees, with each session lasting about 40 minutes. The interview guide was used to gather data from 36 administrators across seven TVET institutions. These included Principals, Deputy Principals, Academic Registrars, Deans of Students, and Procurement Officers, with each interview lasting approximately 30 minutes.</w:t>
      </w:r>
    </w:p>
    <w:p w14:paraId="62F25F9F" w14:textId="77777777" w:rsidR="0080789B" w:rsidRPr="000D4DC9" w:rsidRDefault="0080789B" w:rsidP="006B7CC3">
      <w:pPr>
        <w:spacing w:after="100" w:afterAutospacing="1" w:line="276" w:lineRule="auto"/>
        <w:jc w:val="both"/>
        <w:rPr>
          <w:b/>
          <w:bCs/>
        </w:rPr>
      </w:pPr>
      <w:r w:rsidRPr="000D4DC9">
        <w:rPr>
          <w:b/>
          <w:bCs/>
        </w:rPr>
        <w:t>Data Analysis Techniques</w:t>
      </w:r>
    </w:p>
    <w:p w14:paraId="074B4369" w14:textId="77777777" w:rsidR="0080789B" w:rsidRDefault="0080789B" w:rsidP="006B7CC3">
      <w:pPr>
        <w:spacing w:after="100" w:afterAutospacing="1" w:line="276" w:lineRule="auto"/>
        <w:jc w:val="both"/>
      </w:pPr>
      <w:r w:rsidRPr="00C8093A">
        <w:t>This paper employed an independent samples t-test to examine whether statistically significant differences exist between instructors engaged in online teaching and those in non-online teaching across multiple indicators of assessment and evaluation competence.</w:t>
      </w:r>
      <w:r>
        <w:t xml:space="preserve"> In this study, a</w:t>
      </w:r>
      <w:r w:rsidRPr="00C8093A">
        <w:t xml:space="preserve"> total of 469 instructors participated in the study. Of these, 337 reported experiences with online teaching, while 132 did not. The dependent variables were scores related to assessment and evaluation competence, measured through a series of Likert-scale items including an overall competence score and several sub-dimensions (e.g., feedback quality, alignment with objectives, technological infrastructure).</w:t>
      </w:r>
      <w:r>
        <w:t xml:space="preserve"> </w:t>
      </w:r>
      <w:r w:rsidRPr="00C8093A">
        <w:t>The independent t-test was selected due to its suitability for comparing the means of two independent groups on continuous variables. The test evaluate</w:t>
      </w:r>
      <w:r>
        <w:t>d</w:t>
      </w:r>
      <w:r w:rsidRPr="00C8093A">
        <w:t xml:space="preserve"> whether the mean difference between the groups is significantly different from zero. The </w:t>
      </w:r>
      <w:r>
        <w:t xml:space="preserve">following </w:t>
      </w:r>
      <w:r w:rsidRPr="00C8093A">
        <w:t xml:space="preserve">formula </w:t>
      </w:r>
      <w:r>
        <w:t xml:space="preserve">was </w:t>
      </w:r>
      <w:r w:rsidRPr="00C8093A">
        <w:t>used as follows:</w:t>
      </w:r>
    </w:p>
    <w:p w14:paraId="6D65D527" w14:textId="77777777" w:rsidR="0080789B" w:rsidRDefault="0080789B" w:rsidP="006B7CC3">
      <w:pPr>
        <w:spacing w:after="100" w:afterAutospacing="1" w:line="276" w:lineRule="auto"/>
        <w:jc w:val="both"/>
      </w:pPr>
    </w:p>
    <w:p w14:paraId="76AF3A57" w14:textId="77777777" w:rsidR="0080789B" w:rsidRPr="00BA57EB" w:rsidRDefault="0080789B" w:rsidP="006B7CC3">
      <w:pPr>
        <w:spacing w:after="100" w:afterAutospacing="1" w:line="276" w:lineRule="auto"/>
        <w:jc w:val="both"/>
        <w:rPr>
          <w:rFonts w:eastAsiaTheme="minorEastAsia"/>
        </w:rPr>
      </w:pPr>
      <m:oMathPara>
        <m:oMath>
          <m:r>
            <w:rPr>
              <w:rFonts w:ascii="Cambria Math" w:hAnsi="Cambria Math"/>
            </w:rPr>
            <m:t xml:space="preserve">t= </m:t>
          </m:r>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2</m:t>
                  </m:r>
                </m:sub>
              </m:sSub>
            </m:num>
            <m:den>
              <m:rad>
                <m:radPr>
                  <m:degHide m:val="1"/>
                  <m:ctrlPr>
                    <w:rPr>
                      <w:rFonts w:ascii="Cambria Math" w:hAnsi="Cambria Math"/>
                      <w:i/>
                    </w:rPr>
                  </m:ctrlPr>
                </m:radPr>
                <m:deg/>
                <m:e>
                  <m:f>
                    <m:fPr>
                      <m:ctrlPr>
                        <w:rPr>
                          <w:rFonts w:ascii="Cambria Math" w:hAnsi="Cambria Math"/>
                          <w:i/>
                        </w:rPr>
                      </m:ctrlPr>
                    </m:fPr>
                    <m:num>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2</m:t>
                          </m:r>
                        </m:sup>
                      </m:sSubSup>
                    </m:num>
                    <m:den>
                      <m:sSub>
                        <m:sSubPr>
                          <m:ctrlPr>
                            <w:rPr>
                              <w:rFonts w:ascii="Cambria Math" w:hAnsi="Cambria Math"/>
                              <w:i/>
                            </w:rPr>
                          </m:ctrlPr>
                        </m:sSubPr>
                        <m:e>
                          <m:r>
                            <w:rPr>
                              <w:rFonts w:ascii="Cambria Math" w:hAnsi="Cambria Math"/>
                            </w:rPr>
                            <m:t>n</m:t>
                          </m:r>
                        </m:e>
                        <m:sub>
                          <m:r>
                            <w:rPr>
                              <w:rFonts w:ascii="Cambria Math" w:hAnsi="Cambria Math"/>
                            </w:rPr>
                            <m:t>1</m:t>
                          </m:r>
                        </m:sub>
                      </m:sSub>
                    </m:den>
                  </m:f>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2</m:t>
                          </m:r>
                        </m:sup>
                      </m:sSubSup>
                    </m:num>
                    <m:den>
                      <m:sSub>
                        <m:sSubPr>
                          <m:ctrlPr>
                            <w:rPr>
                              <w:rFonts w:ascii="Cambria Math" w:hAnsi="Cambria Math"/>
                              <w:i/>
                            </w:rPr>
                          </m:ctrlPr>
                        </m:sSubPr>
                        <m:e>
                          <m:r>
                            <w:rPr>
                              <w:rFonts w:ascii="Cambria Math" w:hAnsi="Cambria Math"/>
                            </w:rPr>
                            <m:t>n</m:t>
                          </m:r>
                        </m:e>
                        <m:sub>
                          <m:r>
                            <w:rPr>
                              <w:rFonts w:ascii="Cambria Math" w:hAnsi="Cambria Math"/>
                            </w:rPr>
                            <m:t>2</m:t>
                          </m:r>
                        </m:sub>
                      </m:sSub>
                    </m:den>
                  </m:f>
                </m:e>
              </m:rad>
            </m:den>
          </m:f>
        </m:oMath>
      </m:oMathPara>
    </w:p>
    <w:p w14:paraId="3B5E2181" w14:textId="77777777" w:rsidR="0080789B" w:rsidRDefault="0080789B" w:rsidP="006B7CC3">
      <w:pPr>
        <w:spacing w:after="100" w:afterAutospacing="1" w:line="276" w:lineRule="auto"/>
        <w:jc w:val="both"/>
        <w:rPr>
          <w:rFonts w:eastAsiaTheme="minorEastAsia"/>
        </w:rPr>
      </w:pPr>
      <w:r>
        <w:rPr>
          <w:rFonts w:eastAsiaTheme="minorEastAsia"/>
        </w:rPr>
        <w:t>Whereby,</w:t>
      </w:r>
    </w:p>
    <w:p w14:paraId="25381C1F" w14:textId="77777777" w:rsidR="0080789B" w:rsidRPr="00BA57EB" w:rsidRDefault="000F4FA9" w:rsidP="006B7CC3">
      <w:pPr>
        <w:pStyle w:val="ListParagraph"/>
        <w:numPr>
          <w:ilvl w:val="0"/>
          <w:numId w:val="32"/>
        </w:numPr>
        <w:spacing w:after="100" w:afterAutospacing="1" w:line="276" w:lineRule="auto"/>
        <w:jc w:val="both"/>
        <w:rPr>
          <w:rFonts w:eastAsiaTheme="minorEastAsia"/>
        </w:rPr>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1</m:t>
            </m:r>
          </m:sub>
        </m:sSub>
      </m:oMath>
      <w:r w:rsidR="0080789B" w:rsidRPr="00BA57EB">
        <w:rPr>
          <w:rFonts w:eastAsiaTheme="minorEastAsia"/>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2</m:t>
            </m:r>
          </m:sub>
        </m:sSub>
      </m:oMath>
      <w:r w:rsidR="0080789B" w:rsidRPr="00BA57EB">
        <w:rPr>
          <w:rFonts w:eastAsiaTheme="minorEastAsia"/>
        </w:rPr>
        <w:t xml:space="preserve"> are the sample means for the online and non-online teaching groups, respectively.</w:t>
      </w:r>
    </w:p>
    <w:p w14:paraId="749B84F6" w14:textId="77777777" w:rsidR="0080789B" w:rsidRPr="00BA57EB" w:rsidRDefault="000F4FA9" w:rsidP="006B7CC3">
      <w:pPr>
        <w:pStyle w:val="ListParagraph"/>
        <w:numPr>
          <w:ilvl w:val="0"/>
          <w:numId w:val="32"/>
        </w:numPr>
        <w:spacing w:after="100" w:afterAutospacing="1" w:line="276" w:lineRule="auto"/>
        <w:jc w:val="both"/>
        <w:rPr>
          <w:rFonts w:eastAsiaTheme="minorEastAsia"/>
        </w:rPr>
      </w:pPr>
      <m:oMath>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2</m:t>
            </m:r>
          </m:sup>
        </m:sSubSup>
      </m:oMath>
      <w:r w:rsidR="0080789B" w:rsidRPr="00BA57EB">
        <w:rPr>
          <w:rFonts w:eastAsiaTheme="minorEastAsia"/>
        </w:rPr>
        <w:t xml:space="preserve"> and </w:t>
      </w:r>
      <m:oMath>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2</m:t>
            </m:r>
          </m:sup>
        </m:sSubSup>
      </m:oMath>
      <w:r w:rsidR="0080789B" w:rsidRPr="00BA57EB">
        <w:rPr>
          <w:rFonts w:eastAsiaTheme="minorEastAsia"/>
        </w:rPr>
        <w:t xml:space="preserve"> are the sample variances of the two groups</w:t>
      </w:r>
    </w:p>
    <w:p w14:paraId="0D48B7F3" w14:textId="77777777" w:rsidR="0080789B" w:rsidRPr="00BA57EB" w:rsidRDefault="000F4FA9" w:rsidP="006B7CC3">
      <w:pPr>
        <w:pStyle w:val="ListParagraph"/>
        <w:numPr>
          <w:ilvl w:val="0"/>
          <w:numId w:val="32"/>
        </w:numPr>
        <w:spacing w:after="100" w:afterAutospacing="1" w:line="276" w:lineRule="auto"/>
        <w:jc w:val="both"/>
        <w:rPr>
          <w:rFonts w:eastAsiaTheme="minorEastAsia"/>
        </w:rPr>
      </w:pPr>
      <m:oMath>
        <m:sSub>
          <m:sSubPr>
            <m:ctrlPr>
              <w:rPr>
                <w:rFonts w:ascii="Cambria Math" w:hAnsi="Cambria Math"/>
                <w:i/>
              </w:rPr>
            </m:ctrlPr>
          </m:sSubPr>
          <m:e>
            <m:r>
              <w:rPr>
                <w:rFonts w:ascii="Cambria Math" w:hAnsi="Cambria Math"/>
              </w:rPr>
              <m:t>n</m:t>
            </m:r>
          </m:e>
          <m:sub>
            <m:r>
              <w:rPr>
                <w:rFonts w:ascii="Cambria Math" w:hAnsi="Cambria Math"/>
              </w:rPr>
              <m:t>1</m:t>
            </m:r>
          </m:sub>
        </m:sSub>
      </m:oMath>
      <w:r w:rsidR="0080789B" w:rsidRPr="00BA57EB">
        <w:rPr>
          <w:rFonts w:eastAsiaTheme="minorEastAsia"/>
        </w:rPr>
        <w:t xml:space="preserve"> and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0080789B" w:rsidRPr="00BA57EB">
        <w:rPr>
          <w:rFonts w:eastAsiaTheme="minorEastAsia"/>
        </w:rPr>
        <w:t xml:space="preserve"> are the sample sizes of the two groups.</w:t>
      </w:r>
    </w:p>
    <w:p w14:paraId="39C58C04" w14:textId="77777777" w:rsidR="0080789B" w:rsidRDefault="0080789B" w:rsidP="006B7CC3">
      <w:pPr>
        <w:spacing w:after="100" w:afterAutospacing="1" w:line="276" w:lineRule="auto"/>
        <w:jc w:val="both"/>
      </w:pPr>
      <w:r w:rsidRPr="00BA57EB">
        <w:t>The difference in means for each item was calculated, followed by the computation of a t-statistic to determine whether these differences were statistically significant. The results are reported in Table 1 with significance levels denoted as follows</w:t>
      </w:r>
      <w:r>
        <w:t>: *</w:t>
      </w:r>
      <w:r w:rsidRPr="00BA57EB">
        <w:rPr>
          <w:i/>
          <w:iCs/>
        </w:rPr>
        <w:t>p</w:t>
      </w:r>
      <w:r>
        <w:t xml:space="preserve"> &lt; 0.10, **</w:t>
      </w:r>
      <w:r w:rsidRPr="00BA57EB">
        <w:rPr>
          <w:i/>
          <w:iCs/>
        </w:rPr>
        <w:t>p</w:t>
      </w:r>
      <w:r>
        <w:t xml:space="preserve"> &lt; 0.05, and ***</w:t>
      </w:r>
      <w:r w:rsidRPr="00BA57EB">
        <w:rPr>
          <w:i/>
          <w:iCs/>
        </w:rPr>
        <w:t>p</w:t>
      </w:r>
      <w:r>
        <w:t xml:space="preserve"> &lt; 0.01.</w:t>
      </w:r>
    </w:p>
    <w:p w14:paraId="6A994BC5" w14:textId="77777777" w:rsidR="0080789B" w:rsidRDefault="0080789B" w:rsidP="006B7CC3">
      <w:pPr>
        <w:spacing w:after="100" w:afterAutospacing="1" w:line="276" w:lineRule="auto"/>
        <w:jc w:val="both"/>
      </w:pPr>
      <w:r w:rsidRPr="002F5D8F">
        <w:t xml:space="preserve">Secondly, this paper employed a conditional logit choice model </w:t>
      </w:r>
      <w:r>
        <w:t xml:space="preserve">developed by </w:t>
      </w:r>
      <w:r w:rsidRPr="002F5D8F">
        <w:t>McFadden (1974)</w:t>
      </w:r>
      <w:r>
        <w:t xml:space="preserve"> t</w:t>
      </w:r>
      <w:r w:rsidRPr="002F5D8F">
        <w:t xml:space="preserve">o investigate how various factors influence the probability of selecting among four different teaching modes: projects (used as the base alternative), face-to-face, blended, and online. This approach </w:t>
      </w:r>
      <w:r>
        <w:t>wa</w:t>
      </w:r>
      <w:r w:rsidRPr="002F5D8F">
        <w:t>s suitable for analyzing individual choice behavior when alternatives are mutually exclusive, and each case has multiple alternatives.</w:t>
      </w:r>
    </w:p>
    <w:p w14:paraId="15FCA800" w14:textId="77777777" w:rsidR="0080789B" w:rsidRDefault="000F4FA9" w:rsidP="006B7CC3">
      <w:pPr>
        <w:spacing w:after="100" w:afterAutospacing="1" w:line="276" w:lineRule="auto"/>
        <w:jc w:val="both"/>
      </w:pPr>
      <m:oMathPara>
        <m:oMath>
          <m:sSub>
            <m:sSubPr>
              <m:ctrlPr>
                <w:rPr>
                  <w:rFonts w:ascii="Cambria Math" w:hAnsi="Cambria Math"/>
                  <w:i/>
                </w:rPr>
              </m:ctrlPr>
            </m:sSubPr>
            <m:e>
              <m:r>
                <w:rPr>
                  <w:rFonts w:ascii="Cambria Math" w:hAnsi="Cambria Math"/>
                </w:rPr>
                <m:t>P</m:t>
              </m:r>
            </m:e>
            <m:sub>
              <m:r>
                <w:rPr>
                  <w:rFonts w:ascii="Cambria Math" w:hAnsi="Cambria Math"/>
                </w:rPr>
                <m:t>ij</m:t>
              </m:r>
            </m:sub>
          </m:sSub>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e</m:t>
                  </m:r>
                </m:e>
                <m:sup>
                  <m:sSubSup>
                    <m:sSubSupPr>
                      <m:ctrlPr>
                        <w:rPr>
                          <w:rFonts w:ascii="Cambria Math" w:hAnsi="Cambria Math"/>
                          <w:i/>
                        </w:rPr>
                      </m:ctrlPr>
                    </m:sSubSupPr>
                    <m:e>
                      <m:r>
                        <w:rPr>
                          <w:rFonts w:ascii="Cambria Math" w:hAnsi="Cambria Math"/>
                        </w:rPr>
                        <m:t>X</m:t>
                      </m:r>
                    </m:e>
                    <m:sub>
                      <m:r>
                        <w:rPr>
                          <w:rFonts w:ascii="Cambria Math" w:hAnsi="Cambria Math"/>
                        </w:rPr>
                        <m:t>ij</m:t>
                      </m:r>
                    </m:sub>
                    <m:sup>
                      <m:r>
                        <w:rPr>
                          <w:rFonts w:ascii="Cambria Math" w:hAnsi="Cambria Math"/>
                        </w:rPr>
                        <m:t>'</m:t>
                      </m:r>
                    </m:sup>
                  </m:sSubSup>
                  <m:r>
                    <w:rPr>
                      <w:rFonts w:ascii="Cambria Math" w:hAnsi="Cambria Math"/>
                    </w:rPr>
                    <m:t>β</m:t>
                  </m:r>
                </m:sup>
              </m:sSup>
            </m:num>
            <m:den>
              <m:nary>
                <m:naryPr>
                  <m:chr m:val="∑"/>
                  <m:limLoc m:val="undOvr"/>
                  <m:ctrlPr>
                    <w:rPr>
                      <w:rFonts w:ascii="Cambria Math" w:hAnsi="Cambria Math"/>
                      <w:i/>
                    </w:rPr>
                  </m:ctrlPr>
                </m:naryPr>
                <m:sub>
                  <m:r>
                    <w:rPr>
                      <w:rFonts w:ascii="Cambria Math" w:hAnsi="Cambria Math"/>
                    </w:rPr>
                    <m:t>k</m:t>
                  </m:r>
                  <m:r>
                    <w:rPr>
                      <w:rFonts w:ascii="Cambria Math" w:hAnsi="Cambria Math"/>
                    </w:rPr>
                    <m:t>=1</m:t>
                  </m:r>
                </m:sub>
                <m:sup>
                  <m:r>
                    <w:rPr>
                      <w:rFonts w:ascii="Cambria Math" w:hAnsi="Cambria Math"/>
                    </w:rPr>
                    <m:t>J</m:t>
                  </m:r>
                </m:sup>
                <m:e>
                  <m:sSubSup>
                    <m:sSubSupPr>
                      <m:ctrlPr>
                        <w:rPr>
                          <w:rFonts w:ascii="Cambria Math" w:hAnsi="Cambria Math"/>
                          <w:i/>
                        </w:rPr>
                      </m:ctrlPr>
                    </m:sSubSupPr>
                    <m:e>
                      <m:r>
                        <w:rPr>
                          <w:rFonts w:ascii="Cambria Math" w:hAnsi="Cambria Math"/>
                        </w:rPr>
                        <m:t>X</m:t>
                      </m:r>
                    </m:e>
                    <m:sub>
                      <m:r>
                        <w:rPr>
                          <w:rFonts w:ascii="Cambria Math" w:hAnsi="Cambria Math"/>
                        </w:rPr>
                        <m:t>ik</m:t>
                      </m:r>
                    </m:sub>
                    <m:sup>
                      <m:r>
                        <w:rPr>
                          <w:rFonts w:ascii="Cambria Math" w:hAnsi="Cambria Math"/>
                        </w:rPr>
                        <m:t>'</m:t>
                      </m:r>
                    </m:sup>
                  </m:sSubSup>
                  <m:r>
                    <w:rPr>
                      <w:rFonts w:ascii="Cambria Math" w:hAnsi="Cambria Math"/>
                    </w:rPr>
                    <m:t>β</m:t>
                  </m:r>
                </m:e>
              </m:nary>
            </m:den>
          </m:f>
        </m:oMath>
      </m:oMathPara>
    </w:p>
    <w:p w14:paraId="18C5BCE7" w14:textId="77777777" w:rsidR="0080789B" w:rsidRPr="00222A57" w:rsidRDefault="000F4FA9" w:rsidP="006B7CC3">
      <w:pPr>
        <w:pStyle w:val="ListParagraph"/>
        <w:numPr>
          <w:ilvl w:val="0"/>
          <w:numId w:val="33"/>
        </w:numPr>
        <w:spacing w:after="100" w:afterAutospacing="1" w:line="276" w:lineRule="auto"/>
        <w:jc w:val="both"/>
        <w:rPr>
          <w:rFonts w:eastAsiaTheme="minorEastAsia"/>
        </w:rPr>
      </w:pPr>
      <m:oMath>
        <m:sSub>
          <m:sSubPr>
            <m:ctrlPr>
              <w:rPr>
                <w:rFonts w:ascii="Cambria Math" w:hAnsi="Cambria Math"/>
                <w:i/>
              </w:rPr>
            </m:ctrlPr>
          </m:sSubPr>
          <m:e>
            <m:r>
              <w:rPr>
                <w:rFonts w:ascii="Cambria Math" w:hAnsi="Cambria Math"/>
              </w:rPr>
              <m:t>P</m:t>
            </m:r>
          </m:e>
          <m:sub>
            <m:r>
              <w:rPr>
                <w:rFonts w:ascii="Cambria Math" w:hAnsi="Cambria Math"/>
              </w:rPr>
              <m:t>ij</m:t>
            </m:r>
          </m:sub>
        </m:sSub>
      </m:oMath>
      <w:r w:rsidR="0080789B" w:rsidRPr="00222A57">
        <w:rPr>
          <w:rFonts w:eastAsiaTheme="minorEastAsia"/>
        </w:rPr>
        <w:t xml:space="preserve"> is the chance that an instructor </w:t>
      </w:r>
      <m:oMath>
        <m:r>
          <w:rPr>
            <w:rFonts w:ascii="Cambria Math" w:eastAsiaTheme="minorEastAsia" w:hAnsi="Cambria Math"/>
          </w:rPr>
          <m:t>i</m:t>
        </m:r>
      </m:oMath>
      <w:r w:rsidR="0080789B" w:rsidRPr="00222A57">
        <w:rPr>
          <w:rFonts w:eastAsiaTheme="minorEastAsia"/>
        </w:rPr>
        <w:t xml:space="preserve"> chooses alternative </w:t>
      </w:r>
      <m:oMath>
        <m:r>
          <w:rPr>
            <w:rFonts w:ascii="Cambria Math" w:eastAsiaTheme="minorEastAsia" w:hAnsi="Cambria Math"/>
          </w:rPr>
          <m:t>j</m:t>
        </m:r>
      </m:oMath>
      <w:r w:rsidR="0080789B" w:rsidRPr="00222A57">
        <w:rPr>
          <w:rFonts w:eastAsiaTheme="minorEastAsia"/>
        </w:rPr>
        <w:t>,</w:t>
      </w:r>
    </w:p>
    <w:p w14:paraId="74ECA688" w14:textId="77777777" w:rsidR="0080789B" w:rsidRPr="00222A57" w:rsidRDefault="000F4FA9" w:rsidP="006B7CC3">
      <w:pPr>
        <w:pStyle w:val="ListParagraph"/>
        <w:numPr>
          <w:ilvl w:val="0"/>
          <w:numId w:val="33"/>
        </w:numPr>
        <w:spacing w:after="100" w:afterAutospacing="1" w:line="276" w:lineRule="auto"/>
        <w:jc w:val="both"/>
        <w:rPr>
          <w:rFonts w:eastAsiaTheme="minorEastAsia"/>
        </w:rPr>
      </w:pP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80789B" w:rsidRPr="00222A57">
        <w:rPr>
          <w:rFonts w:eastAsiaTheme="minorEastAsia"/>
        </w:rPr>
        <w:t xml:space="preserve"> is a vector of explanatory variables specific to </w:t>
      </w:r>
      <w:r w:rsidR="0080789B">
        <w:rPr>
          <w:rFonts w:eastAsiaTheme="minorEastAsia"/>
        </w:rPr>
        <w:t>the instructor</w:t>
      </w:r>
      <w:r w:rsidR="0080789B" w:rsidRPr="00222A57">
        <w:rPr>
          <w:rFonts w:eastAsiaTheme="minorEastAsia"/>
        </w:rPr>
        <w:t xml:space="preserve"> </w:t>
      </w:r>
      <m:oMath>
        <m:r>
          <w:rPr>
            <w:rFonts w:ascii="Cambria Math" w:eastAsiaTheme="minorEastAsia" w:hAnsi="Cambria Math"/>
          </w:rPr>
          <m:t>i</m:t>
        </m:r>
      </m:oMath>
      <w:r w:rsidR="0080789B" w:rsidRPr="00222A57">
        <w:rPr>
          <w:rFonts w:eastAsiaTheme="minorEastAsia"/>
        </w:rPr>
        <w:t xml:space="preserve"> and </w:t>
      </w:r>
      <w:r w:rsidR="0080789B">
        <w:rPr>
          <w:rFonts w:eastAsiaTheme="minorEastAsia"/>
        </w:rPr>
        <w:t>instruction mode</w:t>
      </w:r>
      <w:r w:rsidR="0080789B" w:rsidRPr="00222A57">
        <w:rPr>
          <w:rFonts w:eastAsiaTheme="minorEastAsia"/>
        </w:rPr>
        <w:t xml:space="preserve"> </w:t>
      </w:r>
      <m:oMath>
        <m:r>
          <w:rPr>
            <w:rFonts w:ascii="Cambria Math" w:eastAsiaTheme="minorEastAsia" w:hAnsi="Cambria Math"/>
          </w:rPr>
          <m:t>j</m:t>
        </m:r>
      </m:oMath>
      <w:r w:rsidR="0080789B">
        <w:rPr>
          <w:rFonts w:eastAsiaTheme="minorEastAsia"/>
        </w:rPr>
        <w:t xml:space="preserve"> such as class size and TVET institutional size,</w:t>
      </w:r>
    </w:p>
    <w:p w14:paraId="35BDAD96" w14:textId="77777777" w:rsidR="0080789B" w:rsidRPr="00222A57" w:rsidRDefault="0080789B" w:rsidP="006B7CC3">
      <w:pPr>
        <w:pStyle w:val="ListParagraph"/>
        <w:numPr>
          <w:ilvl w:val="0"/>
          <w:numId w:val="33"/>
        </w:numPr>
        <w:spacing w:after="100" w:afterAutospacing="1" w:line="276" w:lineRule="auto"/>
        <w:jc w:val="both"/>
        <w:rPr>
          <w:rFonts w:eastAsiaTheme="minorEastAsia"/>
        </w:rPr>
      </w:pPr>
      <m:oMath>
        <m:r>
          <w:rPr>
            <w:rFonts w:ascii="Cambria Math" w:hAnsi="Cambria Math"/>
          </w:rPr>
          <m:t>β</m:t>
        </m:r>
      </m:oMath>
      <w:r w:rsidRPr="00222A57">
        <w:rPr>
          <w:rFonts w:eastAsiaTheme="minorEastAsia"/>
        </w:rPr>
        <w:t xml:space="preserve"> is a vector of coefficients to be estimated,</w:t>
      </w:r>
    </w:p>
    <w:p w14:paraId="48B928D6" w14:textId="77777777" w:rsidR="0080789B" w:rsidRPr="002F5D8F" w:rsidRDefault="0080789B" w:rsidP="006B7CC3">
      <w:pPr>
        <w:pStyle w:val="ListParagraph"/>
        <w:numPr>
          <w:ilvl w:val="0"/>
          <w:numId w:val="33"/>
        </w:numPr>
        <w:spacing w:after="100" w:afterAutospacing="1" w:line="276" w:lineRule="auto"/>
        <w:jc w:val="both"/>
      </w:pPr>
      <m:oMath>
        <m:r>
          <w:rPr>
            <w:rFonts w:ascii="Cambria Math" w:eastAsiaTheme="minorEastAsia" w:hAnsi="Cambria Math"/>
          </w:rPr>
          <m:t>J</m:t>
        </m:r>
      </m:oMath>
      <w:r w:rsidRPr="00222A57">
        <w:rPr>
          <w:rFonts w:eastAsiaTheme="minorEastAsia"/>
        </w:rPr>
        <w:t xml:space="preserve"> is the total number of alternative </w:t>
      </w:r>
      <w:r>
        <w:rPr>
          <w:rFonts w:eastAsiaTheme="minorEastAsia"/>
        </w:rPr>
        <w:t>instruction</w:t>
      </w:r>
      <w:r w:rsidRPr="00222A57">
        <w:rPr>
          <w:rFonts w:eastAsiaTheme="minorEastAsia"/>
        </w:rPr>
        <w:t xml:space="preserve"> modes (</w:t>
      </w:r>
      <w:r>
        <w:rPr>
          <w:rFonts w:eastAsiaTheme="minorEastAsia"/>
        </w:rPr>
        <w:t>face-to-face</w:t>
      </w:r>
      <w:r w:rsidRPr="00222A57">
        <w:rPr>
          <w:rFonts w:eastAsiaTheme="minorEastAsia"/>
        </w:rPr>
        <w:t>, blended</w:t>
      </w:r>
      <w:r>
        <w:rPr>
          <w:rFonts w:eastAsiaTheme="minorEastAsia"/>
        </w:rPr>
        <w:t>,</w:t>
      </w:r>
      <w:r w:rsidRPr="00222A57">
        <w:rPr>
          <w:rFonts w:eastAsiaTheme="minorEastAsia"/>
        </w:rPr>
        <w:t xml:space="preserve"> and online)</w:t>
      </w:r>
    </w:p>
    <w:p w14:paraId="02606F50" w14:textId="77777777" w:rsidR="0080789B" w:rsidRDefault="0080789B" w:rsidP="006B7CC3">
      <w:pPr>
        <w:spacing w:after="100" w:afterAutospacing="1" w:line="276" w:lineRule="auto"/>
        <w:jc w:val="both"/>
      </w:pPr>
      <w:r w:rsidRPr="00E34BB1">
        <w:t xml:space="preserve">Independent variables for McFadden’s choice model come in two forms: </w:t>
      </w:r>
      <w:r>
        <w:t>alternative-specific</w:t>
      </w:r>
      <w:r w:rsidRPr="00E34BB1">
        <w:t xml:space="preserve"> and case specific. Alternative-specific variables vary across cases and within cases by alternative. Case-specific variables are constant within cases.</w:t>
      </w:r>
      <w:r>
        <w:t xml:space="preserve"> </w:t>
      </w:r>
      <w:r w:rsidRPr="00021DDD">
        <w:t>The independent variables included assessment and evaluation competence</w:t>
      </w:r>
      <w:r>
        <w:t>,</w:t>
      </w:r>
      <w:r w:rsidRPr="00021DDD">
        <w:t xml:space="preserve"> which are alternative-specific</w:t>
      </w:r>
      <w:r>
        <w:t>,</w:t>
      </w:r>
      <w:r w:rsidRPr="00021DDD">
        <w:t xml:space="preserve"> while class and institutional size are case-specific. Therefore, </w:t>
      </w:r>
      <w:r>
        <w:t>the</w:t>
      </w:r>
      <w:r w:rsidRPr="00021DDD">
        <w:t xml:space="preserve"> model was estimated using maximum likelihood estimation. The base category was the Projects mode of teaching and comparisons.</w:t>
      </w:r>
    </w:p>
    <w:p w14:paraId="489B142C" w14:textId="77777777" w:rsidR="0080789B" w:rsidRPr="00021DDD" w:rsidRDefault="0080789B" w:rsidP="006B7CC3">
      <w:pPr>
        <w:spacing w:after="100" w:afterAutospacing="1" w:line="276" w:lineRule="auto"/>
        <w:jc w:val="both"/>
      </w:pPr>
      <w:r>
        <w:t xml:space="preserve">In this paper, we indexed the set of unordered alternatives by 1, </w:t>
      </w:r>
      <w:proofErr w:type="gramStart"/>
      <w:r>
        <w:t>2,...</w:t>
      </w:r>
      <w:proofErr w:type="gramEnd"/>
      <w:r>
        <w:t xml:space="preserve">,J. Let </w:t>
      </w:r>
      <m:oMath>
        <m:sSub>
          <m:sSubPr>
            <m:ctrlPr>
              <w:rPr>
                <w:rFonts w:ascii="Cambria Math" w:hAnsi="Cambria Math"/>
                <w:i/>
              </w:rPr>
            </m:ctrlPr>
          </m:sSubPr>
          <m:e>
            <m:r>
              <w:rPr>
                <w:rFonts w:ascii="Cambria Math" w:hAnsi="Cambria Math"/>
              </w:rPr>
              <m:t>P</m:t>
            </m:r>
          </m:e>
          <m:sub>
            <m:r>
              <w:rPr>
                <w:rFonts w:ascii="Cambria Math" w:hAnsi="Cambria Math"/>
              </w:rPr>
              <m:t>ij</m:t>
            </m:r>
          </m:sub>
        </m:sSub>
      </m:oMath>
      <w:r>
        <w:rPr>
          <w:rFonts w:eastAsiaTheme="minorEastAsia"/>
        </w:rPr>
        <w:t xml:space="preserve"> = 1 if instructor i chose alternative j, and </w:t>
      </w:r>
      <m:oMath>
        <m:sSub>
          <m:sSubPr>
            <m:ctrlPr>
              <w:rPr>
                <w:rFonts w:ascii="Cambria Math" w:hAnsi="Cambria Math"/>
                <w:i/>
              </w:rPr>
            </m:ctrlPr>
          </m:sSubPr>
          <m:e>
            <m:r>
              <w:rPr>
                <w:rFonts w:ascii="Cambria Math" w:hAnsi="Cambria Math"/>
              </w:rPr>
              <m:t>P</m:t>
            </m:r>
          </m:e>
          <m:sub>
            <m:r>
              <w:rPr>
                <w:rFonts w:ascii="Cambria Math" w:hAnsi="Cambria Math"/>
              </w:rPr>
              <m:t>ij</m:t>
            </m:r>
          </m:sub>
        </m:sSub>
      </m:oMath>
      <w:r>
        <w:rPr>
          <w:rFonts w:eastAsiaTheme="minorEastAsia"/>
        </w:rPr>
        <w:t xml:space="preserve"> = 0 otherwise. </w:t>
      </w:r>
    </w:p>
    <w:p w14:paraId="5F51F94C" w14:textId="77777777" w:rsidR="00790ADA" w:rsidRPr="00FB3A86" w:rsidRDefault="00790ADA" w:rsidP="00441B6F">
      <w:pPr>
        <w:pStyle w:val="Body"/>
        <w:spacing w:after="0"/>
        <w:rPr>
          <w:rFonts w:ascii="Arial" w:hAnsi="Arial" w:cs="Arial"/>
        </w:rPr>
      </w:pPr>
    </w:p>
    <w:p w14:paraId="4D83CBA6" w14:textId="77777777" w:rsidR="00017503" w:rsidRDefault="00017503" w:rsidP="00441B6F">
      <w:pPr>
        <w:pStyle w:val="Head1"/>
        <w:spacing w:after="0"/>
        <w:jc w:val="both"/>
        <w:rPr>
          <w:rFonts w:ascii="Arial" w:hAnsi="Arial" w:cs="Arial"/>
        </w:rPr>
      </w:pPr>
    </w:p>
    <w:p w14:paraId="465C1F2D" w14:textId="77777777" w:rsidR="00017503" w:rsidRDefault="00017503">
      <w:pPr>
        <w:rPr>
          <w:rFonts w:ascii="Arial" w:hAnsi="Arial" w:cs="Arial"/>
          <w:b/>
          <w:caps/>
          <w:sz w:val="22"/>
        </w:rPr>
      </w:pPr>
      <w:r>
        <w:rPr>
          <w:rFonts w:ascii="Arial" w:hAnsi="Arial" w:cs="Arial"/>
        </w:rPr>
        <w:br w:type="page"/>
      </w:r>
    </w:p>
    <w:p w14:paraId="0FB57FCB" w14:textId="77777777" w:rsidR="00017503" w:rsidRDefault="00017503" w:rsidP="00441B6F">
      <w:pPr>
        <w:pStyle w:val="Head1"/>
        <w:spacing w:after="0"/>
        <w:jc w:val="both"/>
        <w:rPr>
          <w:rFonts w:ascii="Arial" w:hAnsi="Arial" w:cs="Arial"/>
        </w:rPr>
        <w:sectPr w:rsidR="00017503" w:rsidSect="002771F6">
          <w:headerReference w:type="first" r:id="rId8"/>
          <w:footerReference w:type="first" r:id="rId9"/>
          <w:pgSz w:w="11906" w:h="16838"/>
          <w:pgMar w:top="1440" w:right="1440" w:bottom="1440" w:left="1440" w:header="709" w:footer="709" w:gutter="0"/>
          <w:cols w:space="708"/>
          <w:docGrid w:linePitch="360"/>
        </w:sectPr>
      </w:pPr>
    </w:p>
    <w:p w14:paraId="66D5CF12" w14:textId="4EF92062"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075A405E" w14:textId="77777777" w:rsidR="0080789B" w:rsidRPr="000C6D34" w:rsidRDefault="0080789B" w:rsidP="0080789B">
      <w:pPr>
        <w:jc w:val="both"/>
        <w:rPr>
          <w:b/>
          <w:bCs/>
        </w:rPr>
      </w:pPr>
      <w:r w:rsidRPr="000C6D34">
        <w:rPr>
          <w:b/>
          <w:bCs/>
        </w:rPr>
        <w:t>T-test for estimating differences in mean online teaching scores across the assessment and evaluation dimensions</w:t>
      </w:r>
    </w:p>
    <w:p w14:paraId="2C640DBF" w14:textId="77777777" w:rsidR="0080789B" w:rsidRPr="00302D28" w:rsidRDefault="0080789B" w:rsidP="0080789B">
      <w:pPr>
        <w:jc w:val="both"/>
        <w:rPr>
          <w:b/>
          <w:bCs/>
        </w:rPr>
      </w:pPr>
      <w:r w:rsidRPr="00302D28">
        <w:rPr>
          <w:b/>
          <w:bCs/>
        </w:rPr>
        <w:t xml:space="preserve">Table 1: </w:t>
      </w:r>
      <w:r w:rsidRPr="000C6D34">
        <w:rPr>
          <w:b/>
          <w:bCs/>
        </w:rPr>
        <w:t>T-test for estimating differences in mean online teaching scores across the assessment and evaluation dimensions</w:t>
      </w:r>
    </w:p>
    <w:tbl>
      <w:tblPr>
        <w:tblW w:w="15986" w:type="dxa"/>
        <w:jc w:val="center"/>
        <w:tblLook w:val="04A0" w:firstRow="1" w:lastRow="0" w:firstColumn="1" w:lastColumn="0" w:noHBand="0" w:noVBand="1"/>
      </w:tblPr>
      <w:tblGrid>
        <w:gridCol w:w="9904"/>
        <w:gridCol w:w="1697"/>
        <w:gridCol w:w="1052"/>
        <w:gridCol w:w="1052"/>
        <w:gridCol w:w="1052"/>
        <w:gridCol w:w="1229"/>
      </w:tblGrid>
      <w:tr w:rsidR="0080789B" w:rsidRPr="00017503" w14:paraId="4A085215" w14:textId="77777777" w:rsidTr="0040195A">
        <w:trPr>
          <w:trHeight w:val="340"/>
          <w:jc w:val="center"/>
        </w:trPr>
        <w:tc>
          <w:tcPr>
            <w:tcW w:w="9904" w:type="dxa"/>
            <w:tcBorders>
              <w:top w:val="single" w:sz="4" w:space="0" w:color="auto"/>
              <w:left w:val="nil"/>
              <w:bottom w:val="nil"/>
              <w:right w:val="nil"/>
            </w:tcBorders>
            <w:noWrap/>
            <w:vAlign w:val="bottom"/>
            <w:hideMark/>
          </w:tcPr>
          <w:p w14:paraId="157029B0" w14:textId="77777777" w:rsidR="0080789B" w:rsidRPr="00017503" w:rsidRDefault="0080789B" w:rsidP="0040195A">
            <w:pPr>
              <w:jc w:val="both"/>
            </w:pPr>
          </w:p>
        </w:tc>
        <w:tc>
          <w:tcPr>
            <w:tcW w:w="3801" w:type="dxa"/>
            <w:gridSpan w:val="3"/>
            <w:tcBorders>
              <w:top w:val="single" w:sz="4" w:space="0" w:color="auto"/>
              <w:left w:val="nil"/>
              <w:bottom w:val="single" w:sz="4" w:space="0" w:color="auto"/>
              <w:right w:val="nil"/>
            </w:tcBorders>
            <w:noWrap/>
            <w:vAlign w:val="bottom"/>
            <w:hideMark/>
          </w:tcPr>
          <w:p w14:paraId="0AFBFB7D" w14:textId="77777777" w:rsidR="0080789B" w:rsidRPr="00017503" w:rsidRDefault="0080789B" w:rsidP="0040195A">
            <w:pPr>
              <w:jc w:val="both"/>
              <w:rPr>
                <w:color w:val="000000"/>
              </w:rPr>
            </w:pPr>
            <w:r w:rsidRPr="00017503">
              <w:rPr>
                <w:color w:val="000000"/>
              </w:rPr>
              <w:t> </w:t>
            </w:r>
          </w:p>
          <w:p w14:paraId="7FEBA6E0" w14:textId="77777777" w:rsidR="0080789B" w:rsidRPr="00017503" w:rsidRDefault="0080789B" w:rsidP="0040195A">
            <w:pPr>
              <w:jc w:val="center"/>
              <w:rPr>
                <w:b/>
                <w:bCs/>
                <w:color w:val="000000"/>
              </w:rPr>
            </w:pPr>
            <w:r w:rsidRPr="00017503">
              <w:rPr>
                <w:b/>
                <w:bCs/>
                <w:color w:val="000000"/>
              </w:rPr>
              <w:t>Mean Online Teaching</w:t>
            </w:r>
          </w:p>
          <w:p w14:paraId="0E6DCF9F" w14:textId="77777777" w:rsidR="0080789B" w:rsidRPr="00017503" w:rsidRDefault="0080789B" w:rsidP="0040195A">
            <w:pPr>
              <w:jc w:val="both"/>
              <w:rPr>
                <w:color w:val="000000"/>
              </w:rPr>
            </w:pPr>
            <w:r w:rsidRPr="00017503">
              <w:rPr>
                <w:color w:val="000000"/>
              </w:rPr>
              <w:t> </w:t>
            </w:r>
          </w:p>
        </w:tc>
        <w:tc>
          <w:tcPr>
            <w:tcW w:w="1052" w:type="dxa"/>
            <w:tcBorders>
              <w:top w:val="single" w:sz="4" w:space="0" w:color="auto"/>
              <w:left w:val="nil"/>
              <w:bottom w:val="single" w:sz="4" w:space="0" w:color="auto"/>
              <w:right w:val="nil"/>
            </w:tcBorders>
            <w:noWrap/>
            <w:vAlign w:val="bottom"/>
            <w:hideMark/>
          </w:tcPr>
          <w:p w14:paraId="25C2BE23" w14:textId="77777777" w:rsidR="0080789B" w:rsidRPr="00017503" w:rsidRDefault="0080789B" w:rsidP="0040195A">
            <w:pPr>
              <w:jc w:val="both"/>
              <w:rPr>
                <w:color w:val="000000"/>
              </w:rPr>
            </w:pPr>
          </w:p>
        </w:tc>
        <w:tc>
          <w:tcPr>
            <w:tcW w:w="1229" w:type="dxa"/>
            <w:tcBorders>
              <w:top w:val="single" w:sz="4" w:space="0" w:color="auto"/>
              <w:left w:val="nil"/>
              <w:bottom w:val="single" w:sz="4" w:space="0" w:color="auto"/>
              <w:right w:val="nil"/>
            </w:tcBorders>
            <w:noWrap/>
            <w:vAlign w:val="bottom"/>
            <w:hideMark/>
          </w:tcPr>
          <w:p w14:paraId="3B05011C" w14:textId="77777777" w:rsidR="0080789B" w:rsidRPr="00017503" w:rsidRDefault="0080789B" w:rsidP="0040195A">
            <w:pPr>
              <w:jc w:val="both"/>
            </w:pPr>
          </w:p>
        </w:tc>
      </w:tr>
      <w:tr w:rsidR="0080789B" w:rsidRPr="00017503" w14:paraId="6639F9AA" w14:textId="77777777" w:rsidTr="0040195A">
        <w:trPr>
          <w:trHeight w:val="340"/>
          <w:jc w:val="center"/>
        </w:trPr>
        <w:tc>
          <w:tcPr>
            <w:tcW w:w="9904" w:type="dxa"/>
            <w:tcBorders>
              <w:top w:val="nil"/>
              <w:left w:val="nil"/>
              <w:bottom w:val="single" w:sz="4" w:space="0" w:color="auto"/>
              <w:right w:val="nil"/>
            </w:tcBorders>
            <w:noWrap/>
            <w:vAlign w:val="bottom"/>
            <w:hideMark/>
          </w:tcPr>
          <w:p w14:paraId="3C41D156" w14:textId="77777777" w:rsidR="0080789B" w:rsidRPr="00017503" w:rsidRDefault="0080789B" w:rsidP="0040195A">
            <w:pPr>
              <w:jc w:val="both"/>
              <w:rPr>
                <w:color w:val="000000"/>
              </w:rPr>
            </w:pPr>
            <w:r w:rsidRPr="00017503">
              <w:rPr>
                <w:color w:val="000000"/>
              </w:rPr>
              <w:t>Variable</w:t>
            </w:r>
          </w:p>
        </w:tc>
        <w:tc>
          <w:tcPr>
            <w:tcW w:w="1697" w:type="dxa"/>
            <w:tcBorders>
              <w:top w:val="single" w:sz="4" w:space="0" w:color="auto"/>
              <w:left w:val="nil"/>
              <w:bottom w:val="single" w:sz="4" w:space="0" w:color="auto"/>
              <w:right w:val="nil"/>
            </w:tcBorders>
            <w:noWrap/>
            <w:vAlign w:val="bottom"/>
            <w:hideMark/>
          </w:tcPr>
          <w:p w14:paraId="4408A4B0" w14:textId="77777777" w:rsidR="0080789B" w:rsidRPr="00017503" w:rsidRDefault="0080789B" w:rsidP="0040195A">
            <w:pPr>
              <w:jc w:val="both"/>
              <w:rPr>
                <w:b/>
                <w:bCs/>
                <w:color w:val="000000"/>
              </w:rPr>
            </w:pPr>
            <w:r w:rsidRPr="00017503">
              <w:rPr>
                <w:b/>
                <w:bCs/>
                <w:color w:val="000000"/>
              </w:rPr>
              <w:t>Pooled sample (469)</w:t>
            </w:r>
          </w:p>
        </w:tc>
        <w:tc>
          <w:tcPr>
            <w:tcW w:w="1052" w:type="dxa"/>
            <w:tcBorders>
              <w:top w:val="single" w:sz="4" w:space="0" w:color="auto"/>
              <w:left w:val="nil"/>
              <w:bottom w:val="single" w:sz="4" w:space="0" w:color="auto"/>
              <w:right w:val="nil"/>
            </w:tcBorders>
            <w:noWrap/>
            <w:vAlign w:val="bottom"/>
            <w:hideMark/>
          </w:tcPr>
          <w:p w14:paraId="1AA2C29D" w14:textId="77777777" w:rsidR="0080789B" w:rsidRPr="00017503" w:rsidRDefault="0080789B" w:rsidP="0040195A">
            <w:pPr>
              <w:jc w:val="both"/>
              <w:rPr>
                <w:b/>
                <w:bCs/>
                <w:color w:val="000000"/>
              </w:rPr>
            </w:pPr>
            <w:r w:rsidRPr="00017503">
              <w:rPr>
                <w:b/>
                <w:bCs/>
                <w:color w:val="000000"/>
              </w:rPr>
              <w:t>Yes</w:t>
            </w:r>
          </w:p>
          <w:p w14:paraId="7110D03B" w14:textId="77777777" w:rsidR="0080789B" w:rsidRPr="00017503" w:rsidRDefault="0080789B" w:rsidP="0040195A">
            <w:pPr>
              <w:jc w:val="both"/>
              <w:rPr>
                <w:b/>
                <w:bCs/>
                <w:color w:val="000000"/>
              </w:rPr>
            </w:pPr>
            <w:r w:rsidRPr="00017503">
              <w:rPr>
                <w:b/>
                <w:bCs/>
                <w:color w:val="000000"/>
              </w:rPr>
              <w:t xml:space="preserve"> (337)</w:t>
            </w:r>
          </w:p>
        </w:tc>
        <w:tc>
          <w:tcPr>
            <w:tcW w:w="1052" w:type="dxa"/>
            <w:tcBorders>
              <w:top w:val="single" w:sz="4" w:space="0" w:color="auto"/>
              <w:left w:val="nil"/>
              <w:bottom w:val="single" w:sz="4" w:space="0" w:color="auto"/>
              <w:right w:val="nil"/>
            </w:tcBorders>
            <w:noWrap/>
            <w:vAlign w:val="bottom"/>
            <w:hideMark/>
          </w:tcPr>
          <w:p w14:paraId="2D11676A" w14:textId="77777777" w:rsidR="0080789B" w:rsidRPr="00017503" w:rsidRDefault="0080789B" w:rsidP="0040195A">
            <w:pPr>
              <w:jc w:val="both"/>
              <w:rPr>
                <w:b/>
                <w:bCs/>
                <w:color w:val="000000"/>
              </w:rPr>
            </w:pPr>
            <w:r w:rsidRPr="00017503">
              <w:rPr>
                <w:b/>
                <w:bCs/>
                <w:color w:val="000000"/>
              </w:rPr>
              <w:t xml:space="preserve">No </w:t>
            </w:r>
          </w:p>
          <w:p w14:paraId="0FB90A47" w14:textId="77777777" w:rsidR="0080789B" w:rsidRPr="00017503" w:rsidRDefault="0080789B" w:rsidP="0040195A">
            <w:pPr>
              <w:jc w:val="both"/>
              <w:rPr>
                <w:b/>
                <w:bCs/>
                <w:color w:val="000000"/>
              </w:rPr>
            </w:pPr>
            <w:r w:rsidRPr="00017503">
              <w:rPr>
                <w:b/>
                <w:bCs/>
                <w:color w:val="000000"/>
              </w:rPr>
              <w:t>(132)</w:t>
            </w:r>
          </w:p>
        </w:tc>
        <w:tc>
          <w:tcPr>
            <w:tcW w:w="1052" w:type="dxa"/>
            <w:tcBorders>
              <w:top w:val="single" w:sz="4" w:space="0" w:color="auto"/>
              <w:left w:val="nil"/>
              <w:bottom w:val="single" w:sz="4" w:space="0" w:color="auto"/>
              <w:right w:val="nil"/>
            </w:tcBorders>
            <w:noWrap/>
            <w:vAlign w:val="bottom"/>
            <w:hideMark/>
          </w:tcPr>
          <w:p w14:paraId="48CC052F" w14:textId="77777777" w:rsidR="0080789B" w:rsidRPr="00017503" w:rsidRDefault="0080789B" w:rsidP="0040195A">
            <w:pPr>
              <w:jc w:val="both"/>
              <w:rPr>
                <w:b/>
                <w:bCs/>
                <w:color w:val="000000"/>
              </w:rPr>
            </w:pPr>
            <w:r w:rsidRPr="00017503">
              <w:rPr>
                <w:b/>
                <w:bCs/>
                <w:color w:val="000000"/>
              </w:rPr>
              <w:t>Diff</w:t>
            </w:r>
          </w:p>
        </w:tc>
        <w:tc>
          <w:tcPr>
            <w:tcW w:w="1229" w:type="dxa"/>
            <w:tcBorders>
              <w:top w:val="single" w:sz="4" w:space="0" w:color="auto"/>
              <w:left w:val="nil"/>
              <w:bottom w:val="single" w:sz="4" w:space="0" w:color="auto"/>
              <w:right w:val="nil"/>
            </w:tcBorders>
            <w:noWrap/>
            <w:vAlign w:val="bottom"/>
            <w:hideMark/>
          </w:tcPr>
          <w:p w14:paraId="55EFA92D" w14:textId="77777777" w:rsidR="0080789B" w:rsidRPr="00017503" w:rsidRDefault="0080789B" w:rsidP="0040195A">
            <w:pPr>
              <w:jc w:val="both"/>
              <w:rPr>
                <w:b/>
                <w:bCs/>
                <w:color w:val="000000"/>
              </w:rPr>
            </w:pPr>
            <w:r w:rsidRPr="00017503">
              <w:rPr>
                <w:b/>
                <w:bCs/>
                <w:color w:val="000000"/>
              </w:rPr>
              <w:t>t-test</w:t>
            </w:r>
          </w:p>
        </w:tc>
      </w:tr>
      <w:tr w:rsidR="0080789B" w:rsidRPr="00017503" w14:paraId="785195FD" w14:textId="77777777" w:rsidTr="0040195A">
        <w:trPr>
          <w:trHeight w:val="340"/>
          <w:jc w:val="center"/>
        </w:trPr>
        <w:tc>
          <w:tcPr>
            <w:tcW w:w="9904" w:type="dxa"/>
            <w:tcBorders>
              <w:top w:val="single" w:sz="4" w:space="0" w:color="auto"/>
              <w:left w:val="nil"/>
              <w:bottom w:val="nil"/>
              <w:right w:val="nil"/>
            </w:tcBorders>
            <w:noWrap/>
            <w:vAlign w:val="bottom"/>
            <w:hideMark/>
          </w:tcPr>
          <w:p w14:paraId="592BD230" w14:textId="77777777" w:rsidR="0080789B" w:rsidRPr="00017503" w:rsidRDefault="0080789B" w:rsidP="0040195A">
            <w:pPr>
              <w:jc w:val="both"/>
              <w:rPr>
                <w:color w:val="000000"/>
              </w:rPr>
            </w:pPr>
            <w:r w:rsidRPr="00017503">
              <w:rPr>
                <w:color w:val="000000"/>
              </w:rPr>
              <w:t>Overall assessment and evaluation score</w:t>
            </w:r>
          </w:p>
        </w:tc>
        <w:tc>
          <w:tcPr>
            <w:tcW w:w="1697" w:type="dxa"/>
            <w:tcBorders>
              <w:top w:val="single" w:sz="4" w:space="0" w:color="auto"/>
              <w:left w:val="nil"/>
              <w:bottom w:val="nil"/>
              <w:right w:val="nil"/>
            </w:tcBorders>
            <w:noWrap/>
            <w:vAlign w:val="bottom"/>
            <w:hideMark/>
          </w:tcPr>
          <w:p w14:paraId="012B56B4" w14:textId="77777777" w:rsidR="0080789B" w:rsidRPr="00017503" w:rsidRDefault="0080789B" w:rsidP="0040195A">
            <w:pPr>
              <w:jc w:val="both"/>
              <w:rPr>
                <w:color w:val="000000"/>
              </w:rPr>
            </w:pPr>
            <w:r w:rsidRPr="00017503">
              <w:rPr>
                <w:color w:val="000000"/>
              </w:rPr>
              <w:t>36.85714</w:t>
            </w:r>
          </w:p>
        </w:tc>
        <w:tc>
          <w:tcPr>
            <w:tcW w:w="1052" w:type="dxa"/>
            <w:tcBorders>
              <w:top w:val="single" w:sz="4" w:space="0" w:color="auto"/>
              <w:left w:val="nil"/>
              <w:bottom w:val="nil"/>
              <w:right w:val="nil"/>
            </w:tcBorders>
            <w:noWrap/>
            <w:vAlign w:val="bottom"/>
            <w:hideMark/>
          </w:tcPr>
          <w:p w14:paraId="76A9F401" w14:textId="77777777" w:rsidR="0080789B" w:rsidRPr="00017503" w:rsidRDefault="0080789B" w:rsidP="0040195A">
            <w:pPr>
              <w:jc w:val="both"/>
              <w:rPr>
                <w:color w:val="000000"/>
              </w:rPr>
            </w:pPr>
            <w:r w:rsidRPr="00017503">
              <w:rPr>
                <w:color w:val="000000"/>
              </w:rPr>
              <w:t>38.80712</w:t>
            </w:r>
          </w:p>
        </w:tc>
        <w:tc>
          <w:tcPr>
            <w:tcW w:w="1052" w:type="dxa"/>
            <w:tcBorders>
              <w:top w:val="single" w:sz="4" w:space="0" w:color="auto"/>
              <w:left w:val="nil"/>
              <w:bottom w:val="nil"/>
              <w:right w:val="nil"/>
            </w:tcBorders>
            <w:noWrap/>
            <w:vAlign w:val="bottom"/>
            <w:hideMark/>
          </w:tcPr>
          <w:p w14:paraId="7102C88B" w14:textId="77777777" w:rsidR="0080789B" w:rsidRPr="00017503" w:rsidRDefault="0080789B" w:rsidP="0040195A">
            <w:pPr>
              <w:jc w:val="both"/>
              <w:rPr>
                <w:color w:val="000000"/>
              </w:rPr>
            </w:pPr>
            <w:r w:rsidRPr="00017503">
              <w:rPr>
                <w:color w:val="000000"/>
              </w:rPr>
              <w:t>31.87879</w:t>
            </w:r>
          </w:p>
        </w:tc>
        <w:tc>
          <w:tcPr>
            <w:tcW w:w="1052" w:type="dxa"/>
            <w:tcBorders>
              <w:top w:val="single" w:sz="4" w:space="0" w:color="auto"/>
              <w:left w:val="nil"/>
              <w:bottom w:val="nil"/>
              <w:right w:val="nil"/>
            </w:tcBorders>
            <w:noWrap/>
            <w:vAlign w:val="bottom"/>
            <w:hideMark/>
          </w:tcPr>
          <w:p w14:paraId="12D45D62" w14:textId="77777777" w:rsidR="0080789B" w:rsidRPr="00017503" w:rsidRDefault="0080789B" w:rsidP="0040195A">
            <w:pPr>
              <w:jc w:val="both"/>
              <w:rPr>
                <w:color w:val="000000"/>
              </w:rPr>
            </w:pPr>
            <w:r w:rsidRPr="00017503">
              <w:rPr>
                <w:color w:val="000000"/>
              </w:rPr>
              <w:t>6.928334</w:t>
            </w:r>
          </w:p>
        </w:tc>
        <w:tc>
          <w:tcPr>
            <w:tcW w:w="1229" w:type="dxa"/>
            <w:tcBorders>
              <w:top w:val="single" w:sz="4" w:space="0" w:color="auto"/>
              <w:left w:val="nil"/>
              <w:bottom w:val="nil"/>
              <w:right w:val="nil"/>
            </w:tcBorders>
            <w:noWrap/>
            <w:vAlign w:val="bottom"/>
            <w:hideMark/>
          </w:tcPr>
          <w:p w14:paraId="780F26D4" w14:textId="77777777" w:rsidR="0080789B" w:rsidRPr="00017503" w:rsidRDefault="0080789B" w:rsidP="0040195A">
            <w:pPr>
              <w:jc w:val="both"/>
              <w:rPr>
                <w:color w:val="000000"/>
              </w:rPr>
            </w:pPr>
            <w:r w:rsidRPr="00017503">
              <w:rPr>
                <w:color w:val="000000"/>
              </w:rPr>
              <w:t>5.7578***</w:t>
            </w:r>
          </w:p>
        </w:tc>
      </w:tr>
      <w:tr w:rsidR="0080789B" w:rsidRPr="00017503" w14:paraId="215AA16F" w14:textId="77777777" w:rsidTr="0040195A">
        <w:trPr>
          <w:trHeight w:val="340"/>
          <w:jc w:val="center"/>
        </w:trPr>
        <w:tc>
          <w:tcPr>
            <w:tcW w:w="9904" w:type="dxa"/>
            <w:tcBorders>
              <w:top w:val="nil"/>
              <w:left w:val="nil"/>
              <w:bottom w:val="nil"/>
              <w:right w:val="nil"/>
            </w:tcBorders>
            <w:noWrap/>
            <w:vAlign w:val="bottom"/>
            <w:hideMark/>
          </w:tcPr>
          <w:p w14:paraId="6CF3F83A" w14:textId="77777777" w:rsidR="0080789B" w:rsidRPr="00017503" w:rsidRDefault="0080789B" w:rsidP="0040195A">
            <w:pPr>
              <w:jc w:val="both"/>
              <w:rPr>
                <w:color w:val="000000"/>
              </w:rPr>
            </w:pPr>
            <w:bookmarkStart w:id="0" w:name="_Hlk196333195"/>
            <w:r w:rsidRPr="00017503">
              <w:rPr>
                <w:color w:val="000000"/>
              </w:rPr>
              <w:t>Online A&amp;E have been designed to accurately measure student understanding.</w:t>
            </w:r>
            <w:bookmarkEnd w:id="0"/>
          </w:p>
        </w:tc>
        <w:tc>
          <w:tcPr>
            <w:tcW w:w="1697" w:type="dxa"/>
            <w:tcBorders>
              <w:top w:val="nil"/>
              <w:left w:val="nil"/>
              <w:bottom w:val="nil"/>
              <w:right w:val="nil"/>
            </w:tcBorders>
            <w:noWrap/>
            <w:vAlign w:val="bottom"/>
            <w:hideMark/>
          </w:tcPr>
          <w:p w14:paraId="6686C9DF" w14:textId="77777777" w:rsidR="0080789B" w:rsidRPr="00017503" w:rsidRDefault="0080789B" w:rsidP="0040195A">
            <w:pPr>
              <w:jc w:val="both"/>
              <w:rPr>
                <w:color w:val="000000"/>
              </w:rPr>
            </w:pPr>
            <w:r w:rsidRPr="00017503">
              <w:rPr>
                <w:color w:val="000000"/>
              </w:rPr>
              <w:t>3.411630</w:t>
            </w:r>
          </w:p>
        </w:tc>
        <w:tc>
          <w:tcPr>
            <w:tcW w:w="1052" w:type="dxa"/>
            <w:tcBorders>
              <w:top w:val="nil"/>
              <w:left w:val="nil"/>
              <w:bottom w:val="nil"/>
              <w:right w:val="nil"/>
            </w:tcBorders>
            <w:noWrap/>
            <w:vAlign w:val="bottom"/>
            <w:hideMark/>
          </w:tcPr>
          <w:p w14:paraId="5BFB5324" w14:textId="77777777" w:rsidR="0080789B" w:rsidRPr="00017503" w:rsidRDefault="0080789B" w:rsidP="0040195A">
            <w:pPr>
              <w:jc w:val="both"/>
              <w:rPr>
                <w:color w:val="000000"/>
              </w:rPr>
            </w:pPr>
            <w:r w:rsidRPr="00017503">
              <w:rPr>
                <w:color w:val="000000"/>
              </w:rPr>
              <w:t>3.555224</w:t>
            </w:r>
          </w:p>
        </w:tc>
        <w:tc>
          <w:tcPr>
            <w:tcW w:w="1052" w:type="dxa"/>
            <w:tcBorders>
              <w:top w:val="nil"/>
              <w:left w:val="nil"/>
              <w:bottom w:val="nil"/>
              <w:right w:val="nil"/>
            </w:tcBorders>
            <w:noWrap/>
            <w:vAlign w:val="bottom"/>
            <w:hideMark/>
          </w:tcPr>
          <w:p w14:paraId="53B171D4" w14:textId="77777777" w:rsidR="0080789B" w:rsidRPr="00017503" w:rsidRDefault="0080789B" w:rsidP="0040195A">
            <w:pPr>
              <w:jc w:val="both"/>
              <w:rPr>
                <w:color w:val="000000"/>
              </w:rPr>
            </w:pPr>
            <w:r w:rsidRPr="00017503">
              <w:rPr>
                <w:color w:val="000000"/>
              </w:rPr>
              <w:t>3.038760</w:t>
            </w:r>
          </w:p>
        </w:tc>
        <w:tc>
          <w:tcPr>
            <w:tcW w:w="1052" w:type="dxa"/>
            <w:tcBorders>
              <w:top w:val="nil"/>
              <w:left w:val="nil"/>
              <w:bottom w:val="nil"/>
              <w:right w:val="nil"/>
            </w:tcBorders>
            <w:noWrap/>
            <w:vAlign w:val="bottom"/>
            <w:hideMark/>
          </w:tcPr>
          <w:p w14:paraId="5968C57B" w14:textId="77777777" w:rsidR="0080789B" w:rsidRPr="00017503" w:rsidRDefault="0080789B" w:rsidP="0040195A">
            <w:pPr>
              <w:jc w:val="both"/>
              <w:rPr>
                <w:color w:val="000000"/>
              </w:rPr>
            </w:pPr>
            <w:r w:rsidRPr="00017503">
              <w:rPr>
                <w:color w:val="000000"/>
              </w:rPr>
              <w:t>.5164642</w:t>
            </w:r>
          </w:p>
        </w:tc>
        <w:tc>
          <w:tcPr>
            <w:tcW w:w="1229" w:type="dxa"/>
            <w:tcBorders>
              <w:top w:val="nil"/>
              <w:left w:val="nil"/>
              <w:bottom w:val="nil"/>
              <w:right w:val="nil"/>
            </w:tcBorders>
            <w:noWrap/>
            <w:vAlign w:val="bottom"/>
            <w:hideMark/>
          </w:tcPr>
          <w:p w14:paraId="236CD601" w14:textId="77777777" w:rsidR="0080789B" w:rsidRPr="00017503" w:rsidRDefault="0080789B" w:rsidP="0040195A">
            <w:pPr>
              <w:jc w:val="both"/>
              <w:rPr>
                <w:color w:val="000000"/>
              </w:rPr>
            </w:pPr>
            <w:r w:rsidRPr="00017503">
              <w:rPr>
                <w:color w:val="000000"/>
              </w:rPr>
              <w:t>3.5760***</w:t>
            </w:r>
          </w:p>
        </w:tc>
      </w:tr>
      <w:tr w:rsidR="0080789B" w:rsidRPr="00017503" w14:paraId="6D907133" w14:textId="77777777" w:rsidTr="0040195A">
        <w:trPr>
          <w:trHeight w:val="340"/>
          <w:jc w:val="center"/>
        </w:trPr>
        <w:tc>
          <w:tcPr>
            <w:tcW w:w="9904" w:type="dxa"/>
            <w:tcBorders>
              <w:top w:val="nil"/>
              <w:left w:val="nil"/>
              <w:bottom w:val="nil"/>
              <w:right w:val="nil"/>
            </w:tcBorders>
            <w:noWrap/>
            <w:vAlign w:val="bottom"/>
            <w:hideMark/>
          </w:tcPr>
          <w:p w14:paraId="2CEFD43A" w14:textId="77777777" w:rsidR="0080789B" w:rsidRPr="00017503" w:rsidRDefault="0080789B" w:rsidP="0040195A">
            <w:pPr>
              <w:jc w:val="both"/>
              <w:rPr>
                <w:color w:val="000000"/>
              </w:rPr>
            </w:pPr>
            <w:r w:rsidRPr="00017503">
              <w:rPr>
                <w:color w:val="000000"/>
              </w:rPr>
              <w:t>A variety of digital A&amp;E tools and strategies have been effectively utilized for online learning environments</w:t>
            </w:r>
          </w:p>
        </w:tc>
        <w:tc>
          <w:tcPr>
            <w:tcW w:w="1697" w:type="dxa"/>
            <w:tcBorders>
              <w:top w:val="nil"/>
              <w:left w:val="nil"/>
              <w:bottom w:val="nil"/>
              <w:right w:val="nil"/>
            </w:tcBorders>
            <w:noWrap/>
            <w:vAlign w:val="bottom"/>
            <w:hideMark/>
          </w:tcPr>
          <w:p w14:paraId="07AD71B1" w14:textId="77777777" w:rsidR="0080789B" w:rsidRPr="00017503" w:rsidRDefault="0080789B" w:rsidP="0040195A">
            <w:pPr>
              <w:jc w:val="both"/>
              <w:rPr>
                <w:color w:val="000000"/>
              </w:rPr>
            </w:pPr>
            <w:r w:rsidRPr="00017503">
              <w:rPr>
                <w:color w:val="000000"/>
              </w:rPr>
              <w:t>3.271552</w:t>
            </w:r>
          </w:p>
        </w:tc>
        <w:tc>
          <w:tcPr>
            <w:tcW w:w="1052" w:type="dxa"/>
            <w:tcBorders>
              <w:top w:val="nil"/>
              <w:left w:val="nil"/>
              <w:bottom w:val="nil"/>
              <w:right w:val="nil"/>
            </w:tcBorders>
            <w:noWrap/>
            <w:vAlign w:val="bottom"/>
            <w:hideMark/>
          </w:tcPr>
          <w:p w14:paraId="23EF44C1" w14:textId="77777777" w:rsidR="0080789B" w:rsidRPr="00017503" w:rsidRDefault="0080789B" w:rsidP="0040195A">
            <w:pPr>
              <w:jc w:val="both"/>
              <w:rPr>
                <w:color w:val="000000"/>
              </w:rPr>
            </w:pPr>
            <w:r w:rsidRPr="00017503">
              <w:rPr>
                <w:color w:val="000000"/>
              </w:rPr>
              <w:t>3.444776</w:t>
            </w:r>
          </w:p>
        </w:tc>
        <w:tc>
          <w:tcPr>
            <w:tcW w:w="1052" w:type="dxa"/>
            <w:tcBorders>
              <w:top w:val="nil"/>
              <w:left w:val="nil"/>
              <w:bottom w:val="nil"/>
              <w:right w:val="nil"/>
            </w:tcBorders>
            <w:noWrap/>
            <w:vAlign w:val="bottom"/>
            <w:hideMark/>
          </w:tcPr>
          <w:p w14:paraId="2D2D7575" w14:textId="77777777" w:rsidR="0080789B" w:rsidRPr="00017503" w:rsidRDefault="0080789B" w:rsidP="0040195A">
            <w:pPr>
              <w:jc w:val="both"/>
              <w:rPr>
                <w:color w:val="000000"/>
              </w:rPr>
            </w:pPr>
            <w:r w:rsidRPr="00017503">
              <w:rPr>
                <w:color w:val="000000"/>
              </w:rPr>
              <w:t>2.821705</w:t>
            </w:r>
          </w:p>
        </w:tc>
        <w:tc>
          <w:tcPr>
            <w:tcW w:w="1052" w:type="dxa"/>
            <w:tcBorders>
              <w:top w:val="nil"/>
              <w:left w:val="nil"/>
              <w:bottom w:val="nil"/>
              <w:right w:val="nil"/>
            </w:tcBorders>
            <w:noWrap/>
            <w:vAlign w:val="bottom"/>
            <w:hideMark/>
          </w:tcPr>
          <w:p w14:paraId="43FFDF12" w14:textId="77777777" w:rsidR="0080789B" w:rsidRPr="00017503" w:rsidRDefault="0080789B" w:rsidP="0040195A">
            <w:pPr>
              <w:jc w:val="both"/>
              <w:rPr>
                <w:color w:val="000000"/>
              </w:rPr>
            </w:pPr>
            <w:r w:rsidRPr="00017503">
              <w:rPr>
                <w:color w:val="000000"/>
              </w:rPr>
              <w:t>.6230707</w:t>
            </w:r>
          </w:p>
        </w:tc>
        <w:tc>
          <w:tcPr>
            <w:tcW w:w="1229" w:type="dxa"/>
            <w:tcBorders>
              <w:top w:val="nil"/>
              <w:left w:val="nil"/>
              <w:bottom w:val="nil"/>
              <w:right w:val="nil"/>
            </w:tcBorders>
            <w:noWrap/>
            <w:vAlign w:val="bottom"/>
            <w:hideMark/>
          </w:tcPr>
          <w:p w14:paraId="4A1DA003" w14:textId="77777777" w:rsidR="0080789B" w:rsidRPr="00017503" w:rsidRDefault="0080789B" w:rsidP="0040195A">
            <w:pPr>
              <w:jc w:val="both"/>
              <w:rPr>
                <w:color w:val="000000"/>
              </w:rPr>
            </w:pPr>
            <w:r w:rsidRPr="00017503">
              <w:rPr>
                <w:color w:val="000000"/>
              </w:rPr>
              <w:t>4.6111***</w:t>
            </w:r>
          </w:p>
        </w:tc>
      </w:tr>
      <w:tr w:rsidR="0080789B" w:rsidRPr="00017503" w14:paraId="712C3CB1" w14:textId="77777777" w:rsidTr="0040195A">
        <w:trPr>
          <w:trHeight w:val="340"/>
          <w:jc w:val="center"/>
        </w:trPr>
        <w:tc>
          <w:tcPr>
            <w:tcW w:w="9904" w:type="dxa"/>
            <w:tcBorders>
              <w:top w:val="nil"/>
              <w:left w:val="nil"/>
              <w:bottom w:val="nil"/>
              <w:right w:val="nil"/>
            </w:tcBorders>
            <w:noWrap/>
            <w:vAlign w:val="bottom"/>
            <w:hideMark/>
          </w:tcPr>
          <w:p w14:paraId="595390C3" w14:textId="77777777" w:rsidR="0080789B" w:rsidRPr="00017503" w:rsidRDefault="0080789B" w:rsidP="0040195A">
            <w:pPr>
              <w:jc w:val="both"/>
              <w:rPr>
                <w:color w:val="000000"/>
              </w:rPr>
            </w:pPr>
            <w:r w:rsidRPr="00017503">
              <w:rPr>
                <w:color w:val="000000"/>
              </w:rPr>
              <w:t>Online A&amp;E fairness and integrity in this institution are maintained, ensuring they are secure and unbiased</w:t>
            </w:r>
          </w:p>
        </w:tc>
        <w:tc>
          <w:tcPr>
            <w:tcW w:w="1697" w:type="dxa"/>
            <w:tcBorders>
              <w:top w:val="nil"/>
              <w:left w:val="nil"/>
              <w:bottom w:val="nil"/>
              <w:right w:val="nil"/>
            </w:tcBorders>
            <w:noWrap/>
            <w:vAlign w:val="bottom"/>
            <w:hideMark/>
          </w:tcPr>
          <w:p w14:paraId="75E55D95" w14:textId="77777777" w:rsidR="0080789B" w:rsidRPr="00017503" w:rsidRDefault="0080789B" w:rsidP="0040195A">
            <w:pPr>
              <w:jc w:val="both"/>
              <w:rPr>
                <w:color w:val="000000"/>
              </w:rPr>
            </w:pPr>
            <w:r w:rsidRPr="00017503">
              <w:rPr>
                <w:color w:val="000000"/>
              </w:rPr>
              <w:t>3.400871</w:t>
            </w:r>
          </w:p>
        </w:tc>
        <w:tc>
          <w:tcPr>
            <w:tcW w:w="1052" w:type="dxa"/>
            <w:tcBorders>
              <w:top w:val="nil"/>
              <w:left w:val="nil"/>
              <w:bottom w:val="nil"/>
              <w:right w:val="nil"/>
            </w:tcBorders>
            <w:noWrap/>
            <w:vAlign w:val="bottom"/>
            <w:hideMark/>
          </w:tcPr>
          <w:p w14:paraId="7B4407AC" w14:textId="77777777" w:rsidR="0080789B" w:rsidRPr="00017503" w:rsidRDefault="0080789B" w:rsidP="0040195A">
            <w:pPr>
              <w:jc w:val="both"/>
              <w:rPr>
                <w:color w:val="000000"/>
              </w:rPr>
            </w:pPr>
            <w:r w:rsidRPr="00017503">
              <w:rPr>
                <w:color w:val="000000"/>
              </w:rPr>
              <w:t>3.555891</w:t>
            </w:r>
          </w:p>
        </w:tc>
        <w:tc>
          <w:tcPr>
            <w:tcW w:w="1052" w:type="dxa"/>
            <w:tcBorders>
              <w:top w:val="nil"/>
              <w:left w:val="nil"/>
              <w:bottom w:val="nil"/>
              <w:right w:val="nil"/>
            </w:tcBorders>
            <w:noWrap/>
            <w:vAlign w:val="bottom"/>
            <w:hideMark/>
          </w:tcPr>
          <w:p w14:paraId="7BE75D13" w14:textId="77777777" w:rsidR="0080789B" w:rsidRPr="00017503" w:rsidRDefault="0080789B" w:rsidP="0040195A">
            <w:pPr>
              <w:jc w:val="both"/>
              <w:rPr>
                <w:color w:val="000000"/>
              </w:rPr>
            </w:pPr>
            <w:r w:rsidRPr="00017503">
              <w:rPr>
                <w:color w:val="000000"/>
              </w:rPr>
              <w:t>3.000000</w:t>
            </w:r>
          </w:p>
        </w:tc>
        <w:tc>
          <w:tcPr>
            <w:tcW w:w="1052" w:type="dxa"/>
            <w:tcBorders>
              <w:top w:val="nil"/>
              <w:left w:val="nil"/>
              <w:bottom w:val="nil"/>
              <w:right w:val="nil"/>
            </w:tcBorders>
            <w:noWrap/>
            <w:vAlign w:val="bottom"/>
            <w:hideMark/>
          </w:tcPr>
          <w:p w14:paraId="75EA8B06" w14:textId="77777777" w:rsidR="0080789B" w:rsidRPr="00017503" w:rsidRDefault="0080789B" w:rsidP="0040195A">
            <w:pPr>
              <w:jc w:val="both"/>
              <w:rPr>
                <w:color w:val="000000"/>
              </w:rPr>
            </w:pPr>
            <w:r w:rsidRPr="00017503">
              <w:rPr>
                <w:color w:val="000000"/>
              </w:rPr>
              <w:t>.5558912</w:t>
            </w:r>
          </w:p>
        </w:tc>
        <w:tc>
          <w:tcPr>
            <w:tcW w:w="1229" w:type="dxa"/>
            <w:tcBorders>
              <w:top w:val="nil"/>
              <w:left w:val="nil"/>
              <w:bottom w:val="nil"/>
              <w:right w:val="nil"/>
            </w:tcBorders>
            <w:noWrap/>
            <w:vAlign w:val="bottom"/>
            <w:hideMark/>
          </w:tcPr>
          <w:p w14:paraId="41E45F63" w14:textId="77777777" w:rsidR="0080789B" w:rsidRPr="00017503" w:rsidRDefault="0080789B" w:rsidP="0040195A">
            <w:pPr>
              <w:jc w:val="both"/>
              <w:rPr>
                <w:color w:val="000000"/>
              </w:rPr>
            </w:pPr>
            <w:r w:rsidRPr="00017503">
              <w:rPr>
                <w:color w:val="000000"/>
              </w:rPr>
              <w:t>4.0273***</w:t>
            </w:r>
          </w:p>
        </w:tc>
      </w:tr>
      <w:tr w:rsidR="0080789B" w:rsidRPr="00017503" w14:paraId="701F99F7" w14:textId="77777777" w:rsidTr="0040195A">
        <w:trPr>
          <w:trHeight w:val="340"/>
          <w:jc w:val="center"/>
        </w:trPr>
        <w:tc>
          <w:tcPr>
            <w:tcW w:w="9904" w:type="dxa"/>
            <w:tcBorders>
              <w:top w:val="nil"/>
              <w:left w:val="nil"/>
              <w:bottom w:val="nil"/>
              <w:right w:val="nil"/>
            </w:tcBorders>
            <w:noWrap/>
            <w:vAlign w:val="bottom"/>
            <w:hideMark/>
          </w:tcPr>
          <w:p w14:paraId="49214970" w14:textId="77777777" w:rsidR="0080789B" w:rsidRPr="00017503" w:rsidRDefault="0080789B" w:rsidP="0040195A">
            <w:pPr>
              <w:jc w:val="both"/>
              <w:rPr>
                <w:color w:val="000000"/>
              </w:rPr>
            </w:pPr>
            <w:r w:rsidRPr="00017503">
              <w:rPr>
                <w:color w:val="000000"/>
              </w:rPr>
              <w:t>Diverse options have been provided for students to demonstrate their learning online</w:t>
            </w:r>
          </w:p>
        </w:tc>
        <w:tc>
          <w:tcPr>
            <w:tcW w:w="1697" w:type="dxa"/>
            <w:tcBorders>
              <w:top w:val="nil"/>
              <w:left w:val="nil"/>
              <w:bottom w:val="nil"/>
              <w:right w:val="nil"/>
            </w:tcBorders>
            <w:noWrap/>
            <w:vAlign w:val="bottom"/>
            <w:hideMark/>
          </w:tcPr>
          <w:p w14:paraId="1D0B2056" w14:textId="77777777" w:rsidR="0080789B" w:rsidRPr="00017503" w:rsidRDefault="0080789B" w:rsidP="0040195A">
            <w:pPr>
              <w:jc w:val="both"/>
              <w:rPr>
                <w:color w:val="000000"/>
              </w:rPr>
            </w:pPr>
            <w:r w:rsidRPr="00017503">
              <w:rPr>
                <w:color w:val="000000"/>
              </w:rPr>
              <w:t>3.387800</w:t>
            </w:r>
          </w:p>
        </w:tc>
        <w:tc>
          <w:tcPr>
            <w:tcW w:w="1052" w:type="dxa"/>
            <w:tcBorders>
              <w:top w:val="nil"/>
              <w:left w:val="nil"/>
              <w:bottom w:val="nil"/>
              <w:right w:val="nil"/>
            </w:tcBorders>
            <w:noWrap/>
            <w:vAlign w:val="bottom"/>
            <w:hideMark/>
          </w:tcPr>
          <w:p w14:paraId="4EE44421" w14:textId="77777777" w:rsidR="0080789B" w:rsidRPr="00017503" w:rsidRDefault="0080789B" w:rsidP="0040195A">
            <w:pPr>
              <w:jc w:val="both"/>
              <w:rPr>
                <w:color w:val="000000"/>
              </w:rPr>
            </w:pPr>
            <w:r w:rsidRPr="00017503">
              <w:rPr>
                <w:color w:val="000000"/>
              </w:rPr>
              <w:t>3.528701</w:t>
            </w:r>
          </w:p>
        </w:tc>
        <w:tc>
          <w:tcPr>
            <w:tcW w:w="1052" w:type="dxa"/>
            <w:tcBorders>
              <w:top w:val="nil"/>
              <w:left w:val="nil"/>
              <w:bottom w:val="nil"/>
              <w:right w:val="nil"/>
            </w:tcBorders>
            <w:noWrap/>
            <w:vAlign w:val="bottom"/>
            <w:hideMark/>
          </w:tcPr>
          <w:p w14:paraId="26168B5E" w14:textId="77777777" w:rsidR="0080789B" w:rsidRPr="00017503" w:rsidRDefault="0080789B" w:rsidP="0040195A">
            <w:pPr>
              <w:jc w:val="both"/>
              <w:rPr>
                <w:color w:val="000000"/>
              </w:rPr>
            </w:pPr>
            <w:r w:rsidRPr="00017503">
              <w:rPr>
                <w:color w:val="000000"/>
              </w:rPr>
              <w:t>3.023438</w:t>
            </w:r>
          </w:p>
        </w:tc>
        <w:tc>
          <w:tcPr>
            <w:tcW w:w="1052" w:type="dxa"/>
            <w:tcBorders>
              <w:top w:val="nil"/>
              <w:left w:val="nil"/>
              <w:bottom w:val="nil"/>
              <w:right w:val="nil"/>
            </w:tcBorders>
            <w:noWrap/>
            <w:vAlign w:val="bottom"/>
            <w:hideMark/>
          </w:tcPr>
          <w:p w14:paraId="49ED65C5" w14:textId="77777777" w:rsidR="0080789B" w:rsidRPr="00017503" w:rsidRDefault="0080789B" w:rsidP="0040195A">
            <w:pPr>
              <w:jc w:val="both"/>
              <w:rPr>
                <w:color w:val="000000"/>
              </w:rPr>
            </w:pPr>
            <w:r w:rsidRPr="00017503">
              <w:rPr>
                <w:color w:val="000000"/>
              </w:rPr>
              <w:t>.5052634</w:t>
            </w:r>
          </w:p>
        </w:tc>
        <w:tc>
          <w:tcPr>
            <w:tcW w:w="1229" w:type="dxa"/>
            <w:tcBorders>
              <w:top w:val="nil"/>
              <w:left w:val="nil"/>
              <w:bottom w:val="nil"/>
              <w:right w:val="nil"/>
            </w:tcBorders>
            <w:noWrap/>
            <w:vAlign w:val="bottom"/>
            <w:hideMark/>
          </w:tcPr>
          <w:p w14:paraId="3366217D" w14:textId="77777777" w:rsidR="0080789B" w:rsidRPr="00017503" w:rsidRDefault="0080789B" w:rsidP="0040195A">
            <w:pPr>
              <w:jc w:val="both"/>
              <w:rPr>
                <w:color w:val="000000"/>
              </w:rPr>
            </w:pPr>
            <w:r w:rsidRPr="00017503">
              <w:rPr>
                <w:color w:val="000000"/>
              </w:rPr>
              <w:t>3.6164***</w:t>
            </w:r>
          </w:p>
        </w:tc>
      </w:tr>
      <w:tr w:rsidR="0080789B" w:rsidRPr="00017503" w14:paraId="265DC2A5" w14:textId="77777777" w:rsidTr="0040195A">
        <w:trPr>
          <w:trHeight w:val="340"/>
          <w:jc w:val="center"/>
        </w:trPr>
        <w:tc>
          <w:tcPr>
            <w:tcW w:w="9904" w:type="dxa"/>
            <w:tcBorders>
              <w:top w:val="nil"/>
              <w:left w:val="nil"/>
              <w:bottom w:val="nil"/>
              <w:right w:val="nil"/>
            </w:tcBorders>
            <w:noWrap/>
            <w:vAlign w:val="bottom"/>
            <w:hideMark/>
          </w:tcPr>
          <w:p w14:paraId="0762859B" w14:textId="77777777" w:rsidR="0080789B" w:rsidRPr="00017503" w:rsidRDefault="0080789B" w:rsidP="0040195A">
            <w:pPr>
              <w:jc w:val="both"/>
              <w:rPr>
                <w:color w:val="000000"/>
              </w:rPr>
            </w:pPr>
            <w:r w:rsidRPr="00017503">
              <w:rPr>
                <w:color w:val="000000"/>
              </w:rPr>
              <w:t>Results of online A&amp;E inform and adapt future teaching strategies</w:t>
            </w:r>
          </w:p>
        </w:tc>
        <w:tc>
          <w:tcPr>
            <w:tcW w:w="1697" w:type="dxa"/>
            <w:tcBorders>
              <w:top w:val="nil"/>
              <w:left w:val="nil"/>
              <w:bottom w:val="nil"/>
              <w:right w:val="nil"/>
            </w:tcBorders>
            <w:noWrap/>
            <w:vAlign w:val="bottom"/>
            <w:hideMark/>
          </w:tcPr>
          <w:p w14:paraId="69AC3BEF" w14:textId="77777777" w:rsidR="0080789B" w:rsidRPr="00017503" w:rsidRDefault="0080789B" w:rsidP="0040195A">
            <w:pPr>
              <w:jc w:val="both"/>
              <w:rPr>
                <w:color w:val="000000"/>
              </w:rPr>
            </w:pPr>
            <w:r w:rsidRPr="00017503">
              <w:rPr>
                <w:color w:val="000000"/>
              </w:rPr>
              <w:t>3.553611</w:t>
            </w:r>
          </w:p>
        </w:tc>
        <w:tc>
          <w:tcPr>
            <w:tcW w:w="1052" w:type="dxa"/>
            <w:tcBorders>
              <w:top w:val="nil"/>
              <w:left w:val="nil"/>
              <w:bottom w:val="nil"/>
              <w:right w:val="nil"/>
            </w:tcBorders>
            <w:noWrap/>
            <w:vAlign w:val="bottom"/>
            <w:hideMark/>
          </w:tcPr>
          <w:p w14:paraId="0F843B9C" w14:textId="77777777" w:rsidR="0080789B" w:rsidRPr="00017503" w:rsidRDefault="0080789B" w:rsidP="0040195A">
            <w:pPr>
              <w:jc w:val="both"/>
              <w:rPr>
                <w:color w:val="000000"/>
              </w:rPr>
            </w:pPr>
            <w:r w:rsidRPr="00017503">
              <w:rPr>
                <w:color w:val="000000"/>
              </w:rPr>
              <w:t>3.724242</w:t>
            </w:r>
          </w:p>
        </w:tc>
        <w:tc>
          <w:tcPr>
            <w:tcW w:w="1052" w:type="dxa"/>
            <w:tcBorders>
              <w:top w:val="nil"/>
              <w:left w:val="nil"/>
              <w:bottom w:val="nil"/>
              <w:right w:val="nil"/>
            </w:tcBorders>
            <w:noWrap/>
            <w:vAlign w:val="bottom"/>
            <w:hideMark/>
          </w:tcPr>
          <w:p w14:paraId="5EEF85D8" w14:textId="77777777" w:rsidR="0080789B" w:rsidRPr="00017503" w:rsidRDefault="0080789B" w:rsidP="0040195A">
            <w:pPr>
              <w:jc w:val="both"/>
              <w:rPr>
                <w:color w:val="000000"/>
              </w:rPr>
            </w:pPr>
            <w:r w:rsidRPr="00017503">
              <w:rPr>
                <w:color w:val="000000"/>
              </w:rPr>
              <w:t>3.110236</w:t>
            </w:r>
          </w:p>
        </w:tc>
        <w:tc>
          <w:tcPr>
            <w:tcW w:w="1052" w:type="dxa"/>
            <w:tcBorders>
              <w:top w:val="nil"/>
              <w:left w:val="nil"/>
              <w:bottom w:val="nil"/>
              <w:right w:val="nil"/>
            </w:tcBorders>
            <w:noWrap/>
            <w:vAlign w:val="bottom"/>
            <w:hideMark/>
          </w:tcPr>
          <w:p w14:paraId="25EE95D3" w14:textId="77777777" w:rsidR="0080789B" w:rsidRPr="00017503" w:rsidRDefault="0080789B" w:rsidP="0040195A">
            <w:pPr>
              <w:jc w:val="both"/>
              <w:rPr>
                <w:color w:val="000000"/>
              </w:rPr>
            </w:pPr>
            <w:r w:rsidRPr="00017503">
              <w:rPr>
                <w:color w:val="000000"/>
              </w:rPr>
              <w:t>.6140062</w:t>
            </w:r>
          </w:p>
        </w:tc>
        <w:tc>
          <w:tcPr>
            <w:tcW w:w="1229" w:type="dxa"/>
            <w:tcBorders>
              <w:top w:val="nil"/>
              <w:left w:val="nil"/>
              <w:bottom w:val="nil"/>
              <w:right w:val="nil"/>
            </w:tcBorders>
            <w:noWrap/>
            <w:vAlign w:val="bottom"/>
            <w:hideMark/>
          </w:tcPr>
          <w:p w14:paraId="4CF677C6" w14:textId="77777777" w:rsidR="0080789B" w:rsidRPr="00017503" w:rsidRDefault="0080789B" w:rsidP="0040195A">
            <w:pPr>
              <w:jc w:val="both"/>
              <w:rPr>
                <w:color w:val="000000"/>
              </w:rPr>
            </w:pPr>
            <w:r w:rsidRPr="00017503">
              <w:rPr>
                <w:color w:val="000000"/>
              </w:rPr>
              <w:t>4.4557***</w:t>
            </w:r>
          </w:p>
        </w:tc>
      </w:tr>
      <w:tr w:rsidR="0080789B" w:rsidRPr="00017503" w14:paraId="3F675A62" w14:textId="77777777" w:rsidTr="0040195A">
        <w:trPr>
          <w:trHeight w:val="340"/>
          <w:jc w:val="center"/>
        </w:trPr>
        <w:tc>
          <w:tcPr>
            <w:tcW w:w="9904" w:type="dxa"/>
            <w:tcBorders>
              <w:top w:val="nil"/>
              <w:left w:val="nil"/>
              <w:bottom w:val="nil"/>
              <w:right w:val="nil"/>
            </w:tcBorders>
            <w:noWrap/>
            <w:vAlign w:val="bottom"/>
            <w:hideMark/>
          </w:tcPr>
          <w:p w14:paraId="7600F401" w14:textId="77777777" w:rsidR="0080789B" w:rsidRPr="00017503" w:rsidRDefault="0080789B" w:rsidP="0040195A">
            <w:pPr>
              <w:jc w:val="both"/>
              <w:rPr>
                <w:color w:val="000000"/>
              </w:rPr>
            </w:pPr>
            <w:r w:rsidRPr="00017503">
              <w:rPr>
                <w:color w:val="000000"/>
              </w:rPr>
              <w:t>Timely and constructive feedback is provided on the online A&amp;E to enhance learning</w:t>
            </w:r>
          </w:p>
        </w:tc>
        <w:tc>
          <w:tcPr>
            <w:tcW w:w="1697" w:type="dxa"/>
            <w:tcBorders>
              <w:top w:val="nil"/>
              <w:left w:val="nil"/>
              <w:bottom w:val="nil"/>
              <w:right w:val="nil"/>
            </w:tcBorders>
            <w:noWrap/>
            <w:vAlign w:val="bottom"/>
            <w:hideMark/>
          </w:tcPr>
          <w:p w14:paraId="1D9DAFD2" w14:textId="77777777" w:rsidR="0080789B" w:rsidRPr="00017503" w:rsidRDefault="0080789B" w:rsidP="0040195A">
            <w:pPr>
              <w:jc w:val="both"/>
              <w:rPr>
                <w:color w:val="000000"/>
              </w:rPr>
            </w:pPr>
            <w:r w:rsidRPr="00017503">
              <w:rPr>
                <w:color w:val="000000"/>
              </w:rPr>
              <w:t>3.615721</w:t>
            </w:r>
          </w:p>
        </w:tc>
        <w:tc>
          <w:tcPr>
            <w:tcW w:w="1052" w:type="dxa"/>
            <w:tcBorders>
              <w:top w:val="nil"/>
              <w:left w:val="nil"/>
              <w:bottom w:val="nil"/>
              <w:right w:val="nil"/>
            </w:tcBorders>
            <w:noWrap/>
            <w:vAlign w:val="bottom"/>
            <w:hideMark/>
          </w:tcPr>
          <w:p w14:paraId="456EBCAB" w14:textId="77777777" w:rsidR="0080789B" w:rsidRPr="00017503" w:rsidRDefault="0080789B" w:rsidP="0040195A">
            <w:pPr>
              <w:jc w:val="both"/>
              <w:rPr>
                <w:color w:val="000000"/>
              </w:rPr>
            </w:pPr>
            <w:r w:rsidRPr="00017503">
              <w:rPr>
                <w:color w:val="000000"/>
              </w:rPr>
              <w:t>3.776435</w:t>
            </w:r>
          </w:p>
        </w:tc>
        <w:tc>
          <w:tcPr>
            <w:tcW w:w="1052" w:type="dxa"/>
            <w:tcBorders>
              <w:top w:val="nil"/>
              <w:left w:val="nil"/>
              <w:bottom w:val="nil"/>
              <w:right w:val="nil"/>
            </w:tcBorders>
            <w:noWrap/>
            <w:vAlign w:val="bottom"/>
            <w:hideMark/>
          </w:tcPr>
          <w:p w14:paraId="4448BA7F" w14:textId="77777777" w:rsidR="0080789B" w:rsidRPr="00017503" w:rsidRDefault="0080789B" w:rsidP="0040195A">
            <w:pPr>
              <w:jc w:val="both"/>
              <w:rPr>
                <w:color w:val="000000"/>
              </w:rPr>
            </w:pPr>
            <w:r w:rsidRPr="00017503">
              <w:rPr>
                <w:color w:val="000000"/>
              </w:rPr>
              <w:t>3.196850</w:t>
            </w:r>
          </w:p>
        </w:tc>
        <w:tc>
          <w:tcPr>
            <w:tcW w:w="1052" w:type="dxa"/>
            <w:tcBorders>
              <w:top w:val="nil"/>
              <w:left w:val="nil"/>
              <w:bottom w:val="nil"/>
              <w:right w:val="nil"/>
            </w:tcBorders>
            <w:noWrap/>
            <w:vAlign w:val="bottom"/>
            <w:hideMark/>
          </w:tcPr>
          <w:p w14:paraId="352773D4" w14:textId="77777777" w:rsidR="0080789B" w:rsidRPr="00017503" w:rsidRDefault="0080789B" w:rsidP="0040195A">
            <w:pPr>
              <w:jc w:val="both"/>
              <w:rPr>
                <w:color w:val="000000"/>
              </w:rPr>
            </w:pPr>
            <w:r w:rsidRPr="00017503">
              <w:rPr>
                <w:color w:val="000000"/>
              </w:rPr>
              <w:t>.5795847</w:t>
            </w:r>
          </w:p>
        </w:tc>
        <w:tc>
          <w:tcPr>
            <w:tcW w:w="1229" w:type="dxa"/>
            <w:tcBorders>
              <w:top w:val="nil"/>
              <w:left w:val="nil"/>
              <w:bottom w:val="nil"/>
              <w:right w:val="nil"/>
            </w:tcBorders>
            <w:noWrap/>
            <w:vAlign w:val="bottom"/>
            <w:hideMark/>
          </w:tcPr>
          <w:p w14:paraId="45934FC0" w14:textId="77777777" w:rsidR="0080789B" w:rsidRPr="00017503" w:rsidRDefault="0080789B" w:rsidP="0040195A">
            <w:pPr>
              <w:jc w:val="both"/>
              <w:rPr>
                <w:color w:val="000000"/>
              </w:rPr>
            </w:pPr>
            <w:r w:rsidRPr="00017503">
              <w:rPr>
                <w:color w:val="000000"/>
              </w:rPr>
              <w:t>4.2911***</w:t>
            </w:r>
          </w:p>
        </w:tc>
      </w:tr>
      <w:tr w:rsidR="0080789B" w:rsidRPr="00017503" w14:paraId="6F688408" w14:textId="77777777" w:rsidTr="0040195A">
        <w:trPr>
          <w:trHeight w:val="340"/>
          <w:jc w:val="center"/>
        </w:trPr>
        <w:tc>
          <w:tcPr>
            <w:tcW w:w="9904" w:type="dxa"/>
            <w:tcBorders>
              <w:top w:val="nil"/>
              <w:left w:val="nil"/>
              <w:bottom w:val="nil"/>
              <w:right w:val="nil"/>
            </w:tcBorders>
            <w:noWrap/>
            <w:vAlign w:val="bottom"/>
            <w:hideMark/>
          </w:tcPr>
          <w:p w14:paraId="7B032F13" w14:textId="77777777" w:rsidR="0080789B" w:rsidRPr="00017503" w:rsidRDefault="0080789B" w:rsidP="0040195A">
            <w:pPr>
              <w:jc w:val="both"/>
              <w:rPr>
                <w:color w:val="000000"/>
              </w:rPr>
            </w:pPr>
            <w:r w:rsidRPr="00017503">
              <w:rPr>
                <w:color w:val="000000"/>
              </w:rPr>
              <w:t>Online A&amp;E are directly aligned with the learning objectives of the course</w:t>
            </w:r>
          </w:p>
        </w:tc>
        <w:tc>
          <w:tcPr>
            <w:tcW w:w="1697" w:type="dxa"/>
            <w:tcBorders>
              <w:top w:val="nil"/>
              <w:left w:val="nil"/>
              <w:bottom w:val="nil"/>
              <w:right w:val="nil"/>
            </w:tcBorders>
            <w:noWrap/>
            <w:vAlign w:val="bottom"/>
            <w:hideMark/>
          </w:tcPr>
          <w:p w14:paraId="4431E510" w14:textId="77777777" w:rsidR="0080789B" w:rsidRPr="00017503" w:rsidRDefault="0080789B" w:rsidP="0040195A">
            <w:pPr>
              <w:jc w:val="both"/>
              <w:rPr>
                <w:color w:val="000000"/>
              </w:rPr>
            </w:pPr>
            <w:r w:rsidRPr="00017503">
              <w:rPr>
                <w:color w:val="000000"/>
              </w:rPr>
              <w:t>3.793478</w:t>
            </w:r>
          </w:p>
        </w:tc>
        <w:tc>
          <w:tcPr>
            <w:tcW w:w="1052" w:type="dxa"/>
            <w:tcBorders>
              <w:top w:val="nil"/>
              <w:left w:val="nil"/>
              <w:bottom w:val="nil"/>
              <w:right w:val="nil"/>
            </w:tcBorders>
            <w:noWrap/>
            <w:vAlign w:val="bottom"/>
            <w:hideMark/>
          </w:tcPr>
          <w:p w14:paraId="492D65B6" w14:textId="77777777" w:rsidR="0080789B" w:rsidRPr="00017503" w:rsidRDefault="0080789B" w:rsidP="0040195A">
            <w:pPr>
              <w:jc w:val="both"/>
              <w:rPr>
                <w:color w:val="000000"/>
              </w:rPr>
            </w:pPr>
            <w:r w:rsidRPr="00017503">
              <w:rPr>
                <w:color w:val="000000"/>
              </w:rPr>
              <w:t>4.000000</w:t>
            </w:r>
          </w:p>
        </w:tc>
        <w:tc>
          <w:tcPr>
            <w:tcW w:w="1052" w:type="dxa"/>
            <w:tcBorders>
              <w:top w:val="nil"/>
              <w:left w:val="nil"/>
              <w:bottom w:val="nil"/>
              <w:right w:val="nil"/>
            </w:tcBorders>
            <w:noWrap/>
            <w:vAlign w:val="bottom"/>
            <w:hideMark/>
          </w:tcPr>
          <w:p w14:paraId="6DA3DB38" w14:textId="77777777" w:rsidR="0080789B" w:rsidRPr="00017503" w:rsidRDefault="0080789B" w:rsidP="0040195A">
            <w:pPr>
              <w:jc w:val="both"/>
              <w:rPr>
                <w:color w:val="000000"/>
              </w:rPr>
            </w:pPr>
            <w:r w:rsidRPr="00017503">
              <w:rPr>
                <w:color w:val="000000"/>
              </w:rPr>
              <w:t>3.251969</w:t>
            </w:r>
          </w:p>
        </w:tc>
        <w:tc>
          <w:tcPr>
            <w:tcW w:w="1052" w:type="dxa"/>
            <w:tcBorders>
              <w:top w:val="nil"/>
              <w:left w:val="nil"/>
              <w:bottom w:val="nil"/>
              <w:right w:val="nil"/>
            </w:tcBorders>
            <w:noWrap/>
            <w:vAlign w:val="bottom"/>
            <w:hideMark/>
          </w:tcPr>
          <w:p w14:paraId="421DE6F5" w14:textId="77777777" w:rsidR="0080789B" w:rsidRPr="00017503" w:rsidRDefault="0080789B" w:rsidP="0040195A">
            <w:pPr>
              <w:jc w:val="both"/>
              <w:rPr>
                <w:color w:val="000000"/>
              </w:rPr>
            </w:pPr>
            <w:r w:rsidRPr="00017503">
              <w:rPr>
                <w:color w:val="000000"/>
              </w:rPr>
              <w:t>.7480315</w:t>
            </w:r>
          </w:p>
        </w:tc>
        <w:tc>
          <w:tcPr>
            <w:tcW w:w="1229" w:type="dxa"/>
            <w:tcBorders>
              <w:top w:val="nil"/>
              <w:left w:val="nil"/>
              <w:bottom w:val="nil"/>
              <w:right w:val="nil"/>
            </w:tcBorders>
            <w:noWrap/>
            <w:vAlign w:val="bottom"/>
            <w:hideMark/>
          </w:tcPr>
          <w:p w14:paraId="10322956" w14:textId="77777777" w:rsidR="0080789B" w:rsidRPr="00017503" w:rsidRDefault="0080789B" w:rsidP="0040195A">
            <w:pPr>
              <w:jc w:val="both"/>
              <w:rPr>
                <w:color w:val="000000"/>
              </w:rPr>
            </w:pPr>
            <w:r w:rsidRPr="00017503">
              <w:rPr>
                <w:color w:val="000000"/>
              </w:rPr>
              <w:t>5.6736***</w:t>
            </w:r>
          </w:p>
        </w:tc>
      </w:tr>
      <w:tr w:rsidR="0080789B" w:rsidRPr="00017503" w14:paraId="63E818AF" w14:textId="77777777" w:rsidTr="0040195A">
        <w:trPr>
          <w:trHeight w:val="340"/>
          <w:jc w:val="center"/>
        </w:trPr>
        <w:tc>
          <w:tcPr>
            <w:tcW w:w="9904" w:type="dxa"/>
            <w:tcBorders>
              <w:top w:val="nil"/>
              <w:left w:val="nil"/>
              <w:bottom w:val="nil"/>
              <w:right w:val="nil"/>
            </w:tcBorders>
            <w:noWrap/>
            <w:vAlign w:val="bottom"/>
            <w:hideMark/>
          </w:tcPr>
          <w:p w14:paraId="179E252A" w14:textId="77777777" w:rsidR="0080789B" w:rsidRPr="00017503" w:rsidRDefault="0080789B" w:rsidP="0040195A">
            <w:pPr>
              <w:jc w:val="both"/>
              <w:rPr>
                <w:color w:val="000000"/>
              </w:rPr>
            </w:pPr>
            <w:r w:rsidRPr="00017503">
              <w:rPr>
                <w:color w:val="000000"/>
              </w:rPr>
              <w:t>Students are actively involved in the online A&amp;E process</w:t>
            </w:r>
          </w:p>
        </w:tc>
        <w:tc>
          <w:tcPr>
            <w:tcW w:w="1697" w:type="dxa"/>
            <w:tcBorders>
              <w:top w:val="nil"/>
              <w:left w:val="nil"/>
              <w:bottom w:val="nil"/>
              <w:right w:val="nil"/>
            </w:tcBorders>
            <w:noWrap/>
            <w:vAlign w:val="bottom"/>
            <w:hideMark/>
          </w:tcPr>
          <w:p w14:paraId="29047248" w14:textId="77777777" w:rsidR="0080789B" w:rsidRPr="00017503" w:rsidRDefault="0080789B" w:rsidP="0040195A">
            <w:pPr>
              <w:jc w:val="both"/>
              <w:rPr>
                <w:color w:val="000000"/>
              </w:rPr>
            </w:pPr>
            <w:r w:rsidRPr="00017503">
              <w:rPr>
                <w:color w:val="000000"/>
              </w:rPr>
              <w:t>3.363239</w:t>
            </w:r>
          </w:p>
        </w:tc>
        <w:tc>
          <w:tcPr>
            <w:tcW w:w="1052" w:type="dxa"/>
            <w:tcBorders>
              <w:top w:val="nil"/>
              <w:left w:val="nil"/>
              <w:bottom w:val="nil"/>
              <w:right w:val="nil"/>
            </w:tcBorders>
            <w:noWrap/>
            <w:vAlign w:val="bottom"/>
            <w:hideMark/>
          </w:tcPr>
          <w:p w14:paraId="2AA10C93" w14:textId="77777777" w:rsidR="0080789B" w:rsidRPr="00017503" w:rsidRDefault="0080789B" w:rsidP="0040195A">
            <w:pPr>
              <w:jc w:val="both"/>
              <w:rPr>
                <w:color w:val="000000"/>
              </w:rPr>
            </w:pPr>
            <w:r w:rsidRPr="00017503">
              <w:rPr>
                <w:color w:val="000000"/>
              </w:rPr>
              <w:t>3.515060</w:t>
            </w:r>
          </w:p>
        </w:tc>
        <w:tc>
          <w:tcPr>
            <w:tcW w:w="1052" w:type="dxa"/>
            <w:tcBorders>
              <w:top w:val="nil"/>
              <w:left w:val="nil"/>
              <w:bottom w:val="nil"/>
              <w:right w:val="nil"/>
            </w:tcBorders>
            <w:noWrap/>
            <w:vAlign w:val="bottom"/>
            <w:hideMark/>
          </w:tcPr>
          <w:p w14:paraId="7F6C23C3" w14:textId="77777777" w:rsidR="0080789B" w:rsidRPr="00017503" w:rsidRDefault="0080789B" w:rsidP="0040195A">
            <w:pPr>
              <w:jc w:val="both"/>
              <w:rPr>
                <w:color w:val="000000"/>
              </w:rPr>
            </w:pPr>
            <w:r w:rsidRPr="00017503">
              <w:rPr>
                <w:color w:val="000000"/>
              </w:rPr>
              <w:t>2.960000</w:t>
            </w:r>
          </w:p>
        </w:tc>
        <w:tc>
          <w:tcPr>
            <w:tcW w:w="1052" w:type="dxa"/>
            <w:tcBorders>
              <w:top w:val="nil"/>
              <w:left w:val="nil"/>
              <w:bottom w:val="nil"/>
              <w:right w:val="nil"/>
            </w:tcBorders>
            <w:noWrap/>
            <w:vAlign w:val="bottom"/>
            <w:hideMark/>
          </w:tcPr>
          <w:p w14:paraId="72A4F12A" w14:textId="77777777" w:rsidR="0080789B" w:rsidRPr="00017503" w:rsidRDefault="0080789B" w:rsidP="0040195A">
            <w:pPr>
              <w:jc w:val="both"/>
              <w:rPr>
                <w:color w:val="000000"/>
              </w:rPr>
            </w:pPr>
            <w:r w:rsidRPr="00017503">
              <w:rPr>
                <w:color w:val="000000"/>
              </w:rPr>
              <w:t>.5550602</w:t>
            </w:r>
          </w:p>
        </w:tc>
        <w:tc>
          <w:tcPr>
            <w:tcW w:w="1229" w:type="dxa"/>
            <w:tcBorders>
              <w:top w:val="nil"/>
              <w:left w:val="nil"/>
              <w:bottom w:val="nil"/>
              <w:right w:val="nil"/>
            </w:tcBorders>
            <w:noWrap/>
            <w:vAlign w:val="bottom"/>
            <w:hideMark/>
          </w:tcPr>
          <w:p w14:paraId="3CC4C5E1" w14:textId="77777777" w:rsidR="0080789B" w:rsidRPr="00017503" w:rsidRDefault="0080789B" w:rsidP="0040195A">
            <w:pPr>
              <w:jc w:val="both"/>
              <w:rPr>
                <w:color w:val="000000"/>
              </w:rPr>
            </w:pPr>
            <w:r w:rsidRPr="00017503">
              <w:rPr>
                <w:color w:val="000000"/>
              </w:rPr>
              <w:t>3.9075***</w:t>
            </w:r>
          </w:p>
        </w:tc>
      </w:tr>
      <w:tr w:rsidR="0080789B" w:rsidRPr="00017503" w14:paraId="789185B2" w14:textId="77777777" w:rsidTr="0040195A">
        <w:trPr>
          <w:trHeight w:val="340"/>
          <w:jc w:val="center"/>
        </w:trPr>
        <w:tc>
          <w:tcPr>
            <w:tcW w:w="9904" w:type="dxa"/>
            <w:tcBorders>
              <w:top w:val="nil"/>
              <w:left w:val="nil"/>
              <w:bottom w:val="nil"/>
              <w:right w:val="nil"/>
            </w:tcBorders>
            <w:noWrap/>
            <w:vAlign w:val="bottom"/>
            <w:hideMark/>
          </w:tcPr>
          <w:p w14:paraId="5A07EA82" w14:textId="77777777" w:rsidR="0080789B" w:rsidRPr="00017503" w:rsidRDefault="0080789B" w:rsidP="0040195A">
            <w:pPr>
              <w:jc w:val="both"/>
              <w:rPr>
                <w:color w:val="000000"/>
              </w:rPr>
            </w:pPr>
            <w:r w:rsidRPr="00017503">
              <w:rPr>
                <w:color w:val="000000"/>
              </w:rPr>
              <w:t>Equal access to online A&amp;E is ensured for all students</w:t>
            </w:r>
          </w:p>
        </w:tc>
        <w:tc>
          <w:tcPr>
            <w:tcW w:w="1697" w:type="dxa"/>
            <w:tcBorders>
              <w:top w:val="nil"/>
              <w:left w:val="nil"/>
              <w:bottom w:val="nil"/>
              <w:right w:val="nil"/>
            </w:tcBorders>
            <w:noWrap/>
            <w:vAlign w:val="bottom"/>
            <w:hideMark/>
          </w:tcPr>
          <w:p w14:paraId="7CBC5D82" w14:textId="77777777" w:rsidR="0080789B" w:rsidRPr="00017503" w:rsidRDefault="0080789B" w:rsidP="0040195A">
            <w:pPr>
              <w:jc w:val="both"/>
              <w:rPr>
                <w:color w:val="000000"/>
              </w:rPr>
            </w:pPr>
            <w:r w:rsidRPr="00017503">
              <w:rPr>
                <w:color w:val="000000"/>
              </w:rPr>
              <w:t>3.139738</w:t>
            </w:r>
          </w:p>
        </w:tc>
        <w:tc>
          <w:tcPr>
            <w:tcW w:w="1052" w:type="dxa"/>
            <w:tcBorders>
              <w:top w:val="nil"/>
              <w:left w:val="nil"/>
              <w:bottom w:val="nil"/>
              <w:right w:val="nil"/>
            </w:tcBorders>
            <w:noWrap/>
            <w:vAlign w:val="bottom"/>
            <w:hideMark/>
          </w:tcPr>
          <w:p w14:paraId="615C2DB9" w14:textId="77777777" w:rsidR="0080789B" w:rsidRPr="00017503" w:rsidRDefault="0080789B" w:rsidP="0040195A">
            <w:pPr>
              <w:jc w:val="both"/>
              <w:rPr>
                <w:color w:val="000000"/>
              </w:rPr>
            </w:pPr>
            <w:r w:rsidRPr="00017503">
              <w:rPr>
                <w:color w:val="000000"/>
              </w:rPr>
              <w:t>3.283133</w:t>
            </w:r>
          </w:p>
        </w:tc>
        <w:tc>
          <w:tcPr>
            <w:tcW w:w="1052" w:type="dxa"/>
            <w:tcBorders>
              <w:top w:val="nil"/>
              <w:left w:val="nil"/>
              <w:bottom w:val="nil"/>
              <w:right w:val="nil"/>
            </w:tcBorders>
            <w:noWrap/>
            <w:vAlign w:val="bottom"/>
            <w:hideMark/>
          </w:tcPr>
          <w:p w14:paraId="285308D2" w14:textId="77777777" w:rsidR="0080789B" w:rsidRPr="00017503" w:rsidRDefault="0080789B" w:rsidP="0040195A">
            <w:pPr>
              <w:jc w:val="both"/>
              <w:rPr>
                <w:color w:val="000000"/>
              </w:rPr>
            </w:pPr>
            <w:r w:rsidRPr="00017503">
              <w:rPr>
                <w:color w:val="000000"/>
              </w:rPr>
              <w:t>2.761905</w:t>
            </w:r>
          </w:p>
        </w:tc>
        <w:tc>
          <w:tcPr>
            <w:tcW w:w="1052" w:type="dxa"/>
            <w:tcBorders>
              <w:top w:val="nil"/>
              <w:left w:val="nil"/>
              <w:bottom w:val="nil"/>
              <w:right w:val="nil"/>
            </w:tcBorders>
            <w:noWrap/>
            <w:vAlign w:val="bottom"/>
            <w:hideMark/>
          </w:tcPr>
          <w:p w14:paraId="14862860" w14:textId="77777777" w:rsidR="0080789B" w:rsidRPr="00017503" w:rsidRDefault="0080789B" w:rsidP="0040195A">
            <w:pPr>
              <w:jc w:val="both"/>
              <w:rPr>
                <w:color w:val="000000"/>
              </w:rPr>
            </w:pPr>
            <w:r w:rsidRPr="00017503">
              <w:rPr>
                <w:color w:val="000000"/>
              </w:rPr>
              <w:t>.5212278</w:t>
            </w:r>
          </w:p>
        </w:tc>
        <w:tc>
          <w:tcPr>
            <w:tcW w:w="1229" w:type="dxa"/>
            <w:tcBorders>
              <w:top w:val="nil"/>
              <w:left w:val="nil"/>
              <w:bottom w:val="nil"/>
              <w:right w:val="nil"/>
            </w:tcBorders>
            <w:noWrap/>
            <w:vAlign w:val="bottom"/>
            <w:hideMark/>
          </w:tcPr>
          <w:p w14:paraId="79C7944F" w14:textId="77777777" w:rsidR="0080789B" w:rsidRPr="00017503" w:rsidRDefault="0080789B" w:rsidP="0040195A">
            <w:pPr>
              <w:jc w:val="both"/>
              <w:rPr>
                <w:color w:val="000000"/>
              </w:rPr>
            </w:pPr>
            <w:r w:rsidRPr="00017503">
              <w:rPr>
                <w:color w:val="000000"/>
              </w:rPr>
              <w:t>3.5611***</w:t>
            </w:r>
          </w:p>
        </w:tc>
      </w:tr>
      <w:tr w:rsidR="0080789B" w:rsidRPr="00017503" w14:paraId="61C57345" w14:textId="77777777" w:rsidTr="0040195A">
        <w:trPr>
          <w:trHeight w:val="340"/>
          <w:jc w:val="center"/>
        </w:trPr>
        <w:tc>
          <w:tcPr>
            <w:tcW w:w="9904" w:type="dxa"/>
            <w:tcBorders>
              <w:top w:val="nil"/>
              <w:left w:val="nil"/>
              <w:bottom w:val="nil"/>
              <w:right w:val="nil"/>
            </w:tcBorders>
            <w:noWrap/>
            <w:vAlign w:val="bottom"/>
            <w:hideMark/>
          </w:tcPr>
          <w:p w14:paraId="01C2E631" w14:textId="77777777" w:rsidR="0080789B" w:rsidRPr="00017503" w:rsidRDefault="0080789B" w:rsidP="0040195A">
            <w:pPr>
              <w:jc w:val="both"/>
              <w:rPr>
                <w:color w:val="000000"/>
              </w:rPr>
            </w:pPr>
            <w:r w:rsidRPr="00017503">
              <w:rPr>
                <w:color w:val="000000"/>
              </w:rPr>
              <w:t xml:space="preserve">Online A&amp;E practices are regularly reviewed and updated to reflect technological </w:t>
            </w:r>
          </w:p>
        </w:tc>
        <w:tc>
          <w:tcPr>
            <w:tcW w:w="1697" w:type="dxa"/>
            <w:tcBorders>
              <w:top w:val="nil"/>
              <w:left w:val="nil"/>
              <w:bottom w:val="nil"/>
              <w:right w:val="nil"/>
            </w:tcBorders>
            <w:noWrap/>
            <w:vAlign w:val="bottom"/>
            <w:hideMark/>
          </w:tcPr>
          <w:p w14:paraId="2D05A843" w14:textId="77777777" w:rsidR="0080789B" w:rsidRPr="00017503" w:rsidRDefault="0080789B" w:rsidP="0040195A">
            <w:pPr>
              <w:jc w:val="both"/>
              <w:rPr>
                <w:color w:val="000000"/>
              </w:rPr>
            </w:pPr>
            <w:r w:rsidRPr="00017503">
              <w:rPr>
                <w:color w:val="000000"/>
              </w:rPr>
              <w:t>3.423841</w:t>
            </w:r>
          </w:p>
        </w:tc>
        <w:tc>
          <w:tcPr>
            <w:tcW w:w="1052" w:type="dxa"/>
            <w:tcBorders>
              <w:top w:val="nil"/>
              <w:left w:val="nil"/>
              <w:bottom w:val="nil"/>
              <w:right w:val="nil"/>
            </w:tcBorders>
            <w:noWrap/>
            <w:vAlign w:val="bottom"/>
            <w:hideMark/>
          </w:tcPr>
          <w:p w14:paraId="4D14F09A" w14:textId="77777777" w:rsidR="0080789B" w:rsidRPr="00017503" w:rsidRDefault="0080789B" w:rsidP="0040195A">
            <w:pPr>
              <w:jc w:val="both"/>
              <w:rPr>
                <w:color w:val="000000"/>
              </w:rPr>
            </w:pPr>
            <w:r w:rsidRPr="00017503">
              <w:rPr>
                <w:color w:val="000000"/>
              </w:rPr>
              <w:t>3.588415</w:t>
            </w:r>
          </w:p>
        </w:tc>
        <w:tc>
          <w:tcPr>
            <w:tcW w:w="1052" w:type="dxa"/>
            <w:tcBorders>
              <w:top w:val="nil"/>
              <w:left w:val="nil"/>
              <w:bottom w:val="nil"/>
              <w:right w:val="nil"/>
            </w:tcBorders>
            <w:noWrap/>
            <w:vAlign w:val="bottom"/>
            <w:hideMark/>
          </w:tcPr>
          <w:p w14:paraId="375F21C2" w14:textId="77777777" w:rsidR="0080789B" w:rsidRPr="00017503" w:rsidRDefault="0080789B" w:rsidP="0040195A">
            <w:pPr>
              <w:jc w:val="both"/>
              <w:rPr>
                <w:color w:val="000000"/>
              </w:rPr>
            </w:pPr>
            <w:r w:rsidRPr="00017503">
              <w:rPr>
                <w:color w:val="000000"/>
              </w:rPr>
              <w:t>2.992000</w:t>
            </w:r>
          </w:p>
        </w:tc>
        <w:tc>
          <w:tcPr>
            <w:tcW w:w="1052" w:type="dxa"/>
            <w:tcBorders>
              <w:top w:val="nil"/>
              <w:left w:val="nil"/>
              <w:bottom w:val="nil"/>
              <w:right w:val="nil"/>
            </w:tcBorders>
            <w:noWrap/>
            <w:vAlign w:val="bottom"/>
            <w:hideMark/>
          </w:tcPr>
          <w:p w14:paraId="579ED2D6" w14:textId="77777777" w:rsidR="0080789B" w:rsidRPr="00017503" w:rsidRDefault="0080789B" w:rsidP="0040195A">
            <w:pPr>
              <w:jc w:val="both"/>
              <w:rPr>
                <w:color w:val="000000"/>
              </w:rPr>
            </w:pPr>
            <w:r w:rsidRPr="00017503">
              <w:rPr>
                <w:color w:val="000000"/>
              </w:rPr>
              <w:t>.5964146</w:t>
            </w:r>
          </w:p>
        </w:tc>
        <w:tc>
          <w:tcPr>
            <w:tcW w:w="1229" w:type="dxa"/>
            <w:tcBorders>
              <w:top w:val="nil"/>
              <w:left w:val="nil"/>
              <w:bottom w:val="nil"/>
              <w:right w:val="nil"/>
            </w:tcBorders>
            <w:noWrap/>
            <w:vAlign w:val="bottom"/>
            <w:hideMark/>
          </w:tcPr>
          <w:p w14:paraId="030B40E6" w14:textId="77777777" w:rsidR="0080789B" w:rsidRPr="00017503" w:rsidRDefault="0080789B" w:rsidP="0040195A">
            <w:pPr>
              <w:jc w:val="both"/>
              <w:rPr>
                <w:color w:val="000000"/>
              </w:rPr>
            </w:pPr>
            <w:r w:rsidRPr="00017503">
              <w:rPr>
                <w:color w:val="000000"/>
              </w:rPr>
              <w:t>4.2805***</w:t>
            </w:r>
          </w:p>
        </w:tc>
      </w:tr>
      <w:tr w:rsidR="0080789B" w:rsidRPr="00017503" w14:paraId="3982E1C5" w14:textId="77777777" w:rsidTr="0040195A">
        <w:trPr>
          <w:trHeight w:val="340"/>
          <w:jc w:val="center"/>
        </w:trPr>
        <w:tc>
          <w:tcPr>
            <w:tcW w:w="9904" w:type="dxa"/>
            <w:tcBorders>
              <w:top w:val="nil"/>
              <w:left w:val="nil"/>
              <w:bottom w:val="single" w:sz="4" w:space="0" w:color="auto"/>
              <w:right w:val="nil"/>
            </w:tcBorders>
            <w:noWrap/>
            <w:vAlign w:val="bottom"/>
            <w:hideMark/>
          </w:tcPr>
          <w:p w14:paraId="6EE4155A" w14:textId="77777777" w:rsidR="0080789B" w:rsidRPr="00017503" w:rsidRDefault="0080789B" w:rsidP="0040195A">
            <w:pPr>
              <w:jc w:val="both"/>
              <w:rPr>
                <w:color w:val="000000"/>
              </w:rPr>
            </w:pPr>
            <w:r w:rsidRPr="00017503">
              <w:rPr>
                <w:color w:val="000000"/>
              </w:rPr>
              <w:t xml:space="preserve">Reliable access to technology and infrastructure is available to administer and monitor the online A&amp;E </w:t>
            </w:r>
          </w:p>
        </w:tc>
        <w:tc>
          <w:tcPr>
            <w:tcW w:w="1697" w:type="dxa"/>
            <w:tcBorders>
              <w:top w:val="nil"/>
              <w:left w:val="nil"/>
              <w:bottom w:val="single" w:sz="4" w:space="0" w:color="auto"/>
              <w:right w:val="nil"/>
            </w:tcBorders>
            <w:noWrap/>
            <w:vAlign w:val="bottom"/>
            <w:hideMark/>
          </w:tcPr>
          <w:p w14:paraId="3F141522" w14:textId="77777777" w:rsidR="0080789B" w:rsidRPr="00017503" w:rsidRDefault="0080789B" w:rsidP="0040195A">
            <w:pPr>
              <w:jc w:val="both"/>
              <w:rPr>
                <w:color w:val="000000"/>
              </w:rPr>
            </w:pPr>
            <w:r w:rsidRPr="00017503">
              <w:rPr>
                <w:color w:val="000000"/>
              </w:rPr>
              <w:t>3.343612</w:t>
            </w:r>
          </w:p>
        </w:tc>
        <w:tc>
          <w:tcPr>
            <w:tcW w:w="1052" w:type="dxa"/>
            <w:tcBorders>
              <w:top w:val="nil"/>
              <w:left w:val="nil"/>
              <w:bottom w:val="single" w:sz="4" w:space="0" w:color="auto"/>
              <w:right w:val="nil"/>
            </w:tcBorders>
            <w:noWrap/>
            <w:vAlign w:val="bottom"/>
            <w:hideMark/>
          </w:tcPr>
          <w:p w14:paraId="007B8183" w14:textId="77777777" w:rsidR="0080789B" w:rsidRPr="00017503" w:rsidRDefault="0080789B" w:rsidP="0040195A">
            <w:pPr>
              <w:jc w:val="both"/>
              <w:rPr>
                <w:color w:val="000000"/>
              </w:rPr>
            </w:pPr>
            <w:r w:rsidRPr="00017503">
              <w:rPr>
                <w:color w:val="000000"/>
              </w:rPr>
              <w:t>3.495413</w:t>
            </w:r>
          </w:p>
        </w:tc>
        <w:tc>
          <w:tcPr>
            <w:tcW w:w="1052" w:type="dxa"/>
            <w:tcBorders>
              <w:top w:val="nil"/>
              <w:left w:val="nil"/>
              <w:bottom w:val="single" w:sz="4" w:space="0" w:color="auto"/>
              <w:right w:val="nil"/>
            </w:tcBorders>
            <w:noWrap/>
            <w:vAlign w:val="bottom"/>
            <w:hideMark/>
          </w:tcPr>
          <w:p w14:paraId="1D242EFF" w14:textId="77777777" w:rsidR="0080789B" w:rsidRPr="00017503" w:rsidRDefault="0080789B" w:rsidP="0040195A">
            <w:pPr>
              <w:jc w:val="both"/>
              <w:rPr>
                <w:color w:val="000000"/>
              </w:rPr>
            </w:pPr>
            <w:r w:rsidRPr="00017503">
              <w:rPr>
                <w:color w:val="000000"/>
              </w:rPr>
              <w:t>2.952756</w:t>
            </w:r>
          </w:p>
        </w:tc>
        <w:tc>
          <w:tcPr>
            <w:tcW w:w="1052" w:type="dxa"/>
            <w:tcBorders>
              <w:top w:val="nil"/>
              <w:left w:val="nil"/>
              <w:bottom w:val="single" w:sz="4" w:space="0" w:color="auto"/>
              <w:right w:val="nil"/>
            </w:tcBorders>
            <w:noWrap/>
            <w:vAlign w:val="bottom"/>
            <w:hideMark/>
          </w:tcPr>
          <w:p w14:paraId="102BAD28" w14:textId="77777777" w:rsidR="0080789B" w:rsidRPr="00017503" w:rsidRDefault="0080789B" w:rsidP="0040195A">
            <w:pPr>
              <w:jc w:val="both"/>
              <w:rPr>
                <w:color w:val="000000"/>
              </w:rPr>
            </w:pPr>
            <w:r w:rsidRPr="00017503">
              <w:rPr>
                <w:color w:val="000000"/>
              </w:rPr>
              <w:t>.5426569</w:t>
            </w:r>
          </w:p>
        </w:tc>
        <w:tc>
          <w:tcPr>
            <w:tcW w:w="1229" w:type="dxa"/>
            <w:tcBorders>
              <w:top w:val="nil"/>
              <w:left w:val="nil"/>
              <w:bottom w:val="single" w:sz="4" w:space="0" w:color="auto"/>
              <w:right w:val="nil"/>
            </w:tcBorders>
            <w:noWrap/>
            <w:vAlign w:val="bottom"/>
            <w:hideMark/>
          </w:tcPr>
          <w:p w14:paraId="769E7F34" w14:textId="77777777" w:rsidR="0080789B" w:rsidRPr="00017503" w:rsidRDefault="0080789B" w:rsidP="0040195A">
            <w:pPr>
              <w:jc w:val="both"/>
              <w:rPr>
                <w:color w:val="000000"/>
              </w:rPr>
            </w:pPr>
            <w:r w:rsidRPr="00017503">
              <w:rPr>
                <w:color w:val="000000"/>
              </w:rPr>
              <w:t>3.8688***</w:t>
            </w:r>
          </w:p>
        </w:tc>
      </w:tr>
    </w:tbl>
    <w:p w14:paraId="6D1C05C6" w14:textId="77777777" w:rsidR="0080789B" w:rsidRPr="00A21762" w:rsidRDefault="0080789B" w:rsidP="0080789B">
      <w:pPr>
        <w:jc w:val="both"/>
      </w:pPr>
      <w:r w:rsidRPr="00A21762">
        <w:rPr>
          <w:i/>
          <w:iCs/>
        </w:rPr>
        <w:t>*, **, and ***, significant at 10, 5, and 1%</w:t>
      </w:r>
      <w:r>
        <w:rPr>
          <w:i/>
          <w:iCs/>
        </w:rPr>
        <w:t xml:space="preserve">. </w:t>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t>Source: Author’s Design, 2025</w:t>
      </w:r>
    </w:p>
    <w:p w14:paraId="40F440CC" w14:textId="77777777" w:rsidR="00017503" w:rsidRDefault="00017503" w:rsidP="0080789B">
      <w:pPr>
        <w:jc w:val="both"/>
        <w:rPr>
          <w:i/>
          <w:iCs/>
        </w:rPr>
        <w:sectPr w:rsidR="00017503" w:rsidSect="002771F6">
          <w:pgSz w:w="16838" w:h="11906" w:orient="landscape"/>
          <w:pgMar w:top="1440" w:right="1440" w:bottom="1440" w:left="1440" w:header="709" w:footer="709" w:gutter="0"/>
          <w:cols w:space="708"/>
          <w:docGrid w:linePitch="360"/>
        </w:sectPr>
      </w:pPr>
    </w:p>
    <w:p w14:paraId="32F7462B" w14:textId="77777777" w:rsidR="0080789B" w:rsidRPr="009D36BE" w:rsidRDefault="0080789B" w:rsidP="0080789B">
      <w:pPr>
        <w:jc w:val="both"/>
      </w:pPr>
      <w:r w:rsidRPr="009D36BE">
        <w:lastRenderedPageBreak/>
        <w:t>Table 1 presents the descriptive statistics comparing the assessment and evaluation (A&amp;E) competence scores between instructors who have experience with online teaching and those who do not. The results are based on a pooled sample of 469 instructors, with 337 indicating experience with online teaching and 132 without.</w:t>
      </w:r>
    </w:p>
    <w:p w14:paraId="534BB38A" w14:textId="77777777" w:rsidR="0080789B" w:rsidRPr="009D36BE" w:rsidRDefault="0080789B" w:rsidP="0080789B">
      <w:pPr>
        <w:jc w:val="both"/>
      </w:pPr>
      <w:r w:rsidRPr="009D36BE">
        <w:t xml:space="preserve">Across all assessed dimensions, instructors with online teaching experience consistently reported significantly higher scores than their counterparts. The study found a significant difference in overall assessment and evaluation competence between online and non‑online instructors, with mean scores of 39 and 32, respectively (t = 5.76, </w:t>
      </w:r>
      <w:r w:rsidRPr="009D36BE">
        <w:rPr>
          <w:i/>
          <w:iCs/>
        </w:rPr>
        <w:t>p</w:t>
      </w:r>
      <w:r w:rsidRPr="009D36BE">
        <w:t> &lt; 0.001). This indicates that assessment competence among TVET instructors varies markedly depending on their familiarity with online teaching. Instructors who favour the online mode typically use a diverse array of platforms such as Moodle, TEELs, institutional websites, and student portals to post assignments, which learners then download, complete, and resubmit for grading.</w:t>
      </w:r>
      <w:r>
        <w:t xml:space="preserve"> Previous findings conducted in Sub-Saharan Africa show that m</w:t>
      </w:r>
      <w:r w:rsidRPr="003B1C60">
        <w:t xml:space="preserve">any TVET instructors are not fully prepared for online teaching, with a significant portion expressing reluctance or lack of readiness to transition from traditional face-to-face methods to digital platforms. </w:t>
      </w:r>
      <w:r>
        <w:t>For instance, i</w:t>
      </w:r>
      <w:r w:rsidRPr="003B1C60">
        <w:t>n a study conducted in Kenya, it was found that 75.1% of TVET trainers were not ready to teach online, although a third had a positive perception of online teaching, and half were competent in teaching skills-based courses online</w:t>
      </w:r>
      <w:r>
        <w:t xml:space="preserve"> </w:t>
      </w:r>
      <w:r>
        <w:fldChar w:fldCharType="begin"/>
      </w:r>
      <w:r>
        <w:instrText xml:space="preserve"> ADDIN EN.CITE &lt;EndNote&gt;&lt;Cite&gt;&lt;Author&gt;Nyakundi&lt;/Author&gt;&lt;Year&gt;2023&lt;/Year&gt;&lt;RecNum&gt;62&lt;/RecNum&gt;&lt;DisplayText&gt;(Nyakundi, 2023)&lt;/DisplayText&gt;&lt;record&gt;&lt;rec-number&gt;62&lt;/rec-number&gt;&lt;foreign-keys&gt;&lt;key app="EN" db-id="9sd9xtv5kw92dre92z55rwvaxv9sfxvwtpvt" timestamp="1745484878"&gt;62&lt;/key&gt;&lt;/foreign-keys&gt;&lt;ref-type name="Journal Article"&gt;17&lt;/ref-type&gt;&lt;contributors&gt;&lt;authors&gt;&lt;author&gt;Nyakundi, Patrick Nyamemba&lt;/author&gt;&lt;/authors&gt;&lt;/contributors&gt;&lt;titles&gt;&lt;title&gt;E-Learning Readiness and Perceptions of Trainers towards Teaching Skills-Based Courses among TVET Institutions in North Imenti Constituency, Meru County, Kenya&lt;/title&gt;&lt;secondary-title&gt;Africa Journal of Technical and Vocational Education and Training&lt;/secondary-title&gt;&lt;/titles&gt;&lt;periodical&gt;&lt;full-title&gt;Africa Journal of Technical and Vocational Education and Training&lt;/full-title&gt;&lt;/periodical&gt;&lt;dates&gt;&lt;year&gt;2023&lt;/year&gt;&lt;pub-dates&gt;&lt;date&gt;2023-05-02&lt;/date&gt;&lt;/pub-dates&gt;&lt;/dates&gt;&lt;urls&gt;&lt;related-urls&gt;&lt;url&gt;https://consensus.app/papers/elearning-readiness-and-perceptions-of-trainers-towards-nyakundi/6819884e0f6452ca855c05436a7c8939/&lt;/url&gt;&lt;/related-urls&gt;&lt;/urls&gt;&lt;electronic-resource-num&gt;10.69641/afritvet.2023.81161&lt;/electronic-resource-num&gt;&lt;/record&gt;&lt;/Cite&gt;&lt;/EndNote&gt;</w:instrText>
      </w:r>
      <w:r>
        <w:fldChar w:fldCharType="separate"/>
      </w:r>
      <w:r>
        <w:rPr>
          <w:noProof/>
        </w:rPr>
        <w:t>(Nyakundi, 2023)</w:t>
      </w:r>
      <w:r>
        <w:fldChar w:fldCharType="end"/>
      </w:r>
      <w:r w:rsidRPr="003B1C60">
        <w:t>. This indicates a gap between perceived competence and actual readiness, highlighting the need for targeted training and support.</w:t>
      </w:r>
    </w:p>
    <w:p w14:paraId="1A339FC2" w14:textId="77777777" w:rsidR="0080789B" w:rsidRPr="009D36BE" w:rsidRDefault="0080789B" w:rsidP="0080789B">
      <w:pPr>
        <w:jc w:val="both"/>
      </w:pPr>
      <w:r w:rsidRPr="009D36BE">
        <w:t xml:space="preserve">The study shows a highly significant gap in the statement that online assessments and evaluations are accurately designed to measure student understanding. Particularly, instructors who teach online scored an average of 38.8 points, whereas those who do not obtained an average of 31.9 (t = 5.76, </w:t>
      </w:r>
      <w:r w:rsidRPr="009D36BE">
        <w:rPr>
          <w:i/>
          <w:iCs/>
        </w:rPr>
        <w:t>p</w:t>
      </w:r>
      <w:r w:rsidRPr="009D36BE">
        <w:t> &lt; 0.001). This study, therefore, affirms that online‑savvy instructors possess markedly stronger assessment skills.</w:t>
      </w:r>
      <w:r>
        <w:t xml:space="preserve"> In line with this finding, o</w:t>
      </w:r>
      <w:r w:rsidRPr="003B1C60">
        <w:t>nline evaluations in Technical and Vocational Education and Training (TVET) aim to accurately measure student understanding, but they face unique challenges due to the practical nature of TVET subjects. TVET assessments often use competency-based techniques</w:t>
      </w:r>
      <w:r>
        <w:t>, digital tools and e-portfolios, and natural language processing techniques</w:t>
      </w:r>
      <w:r w:rsidRPr="003B1C60">
        <w:t xml:space="preserve"> to evaluate whether students have achieved learning outcomes</w:t>
      </w:r>
      <w:r>
        <w:t xml:space="preserve"> </w:t>
      </w:r>
      <w:r>
        <w:fldChar w:fldCharType="begin">
          <w:fldData xml:space="preserve">PEVuZE5vdGU+PENpdGU+PEF1dGhvcj5FYmlsPC9BdXRob3I+PFllYXI+MjAyMDwvWWVhcj48UmVj
TnVtPjcyPC9SZWNOdW0+PERpc3BsYXlUZXh0PihFYmlsIGV0IGFsLiwgMjAyMDsgTG91ICZhbXA7
IExpLCAyMDI0OyBTb21lcnMgZXQgYWwuLCAyMDIxOyBZdXNvcCBldCBhbC4sIDIwMjM7IFl1c29w
IGV0IGFsLiwgMjAyMik8L0Rpc3BsYXlUZXh0PjxyZWNvcmQ+PHJlYy1udW1iZXI+NzI8L3JlYy1u
dW1iZXI+PGZvcmVpZ24ta2V5cz48a2V5IGFwcD0iRU4iIGRiLWlkPSI5c2Q5eHR2NWt3OTJkcmU5
Mno1NXJ3dmF4djlzZnh2d3RwdnQiIHRpbWVzdGFtcD0iMTc0NTQ4NTE0NyI+NzI8L2tleT48L2Zv
cmVpZ24ta2V5cz48cmVmLXR5cGUgbmFtZT0iSm91cm5hbCBBcnRpY2xlIj4xNzwvcmVmLXR5cGU+
PGNvbnRyaWJ1dG9ycz48YXV0aG9ycz48YXV0aG9yPkViaWwsIFN5YXphbmEgSGo8L2F1dGhvcj48
YXV0aG9yPlNhbGxlaCwgUy48L2F1dGhvcj48YXV0aG9yPlNoYWhyaWxsLCBNLjwvYXV0aG9yPjwv
YXV0aG9ycz48L2NvbnRyaWJ1dG9ycz48dGl0bGVzPjx0aXRsZT5UaGUgdXNlIG9mIEUtcG9ydGZv
bGlvIGZvciBzZWxmLXJlZmxlY3Rpb24gdG8gcHJvbW90ZSBsZWFybmluZzogYSBjYXNlIG9mIFRW
RVQgc3R1ZGVudHM8L3RpdGxlPjxzZWNvbmRhcnktdGl0bGU+RWR1Y2F0aW9uIGFuZCBJbmZvcm1h
dGlvbiBUZWNobm9sb2dpZXM8L3NlY29uZGFyeS10aXRsZT48L3RpdGxlcz48cGVyaW9kaWNhbD48
ZnVsbC10aXRsZT5FZHVjYXRpb24gYW5kIEluZm9ybWF0aW9uIFRlY2hub2xvZ2llczwvZnVsbC10
aXRsZT48L3BlcmlvZGljYWw+PHBhZ2VzPjU3OTctNTgxNDwvcGFnZXM+PHZvbHVtZT4yNTwvdm9s
dW1lPjxkYXRlcz48eWVhcj4yMDIwPC95ZWFyPjxwdWItZGF0ZXM+PGRhdGU+MjAyMC0wNi0xODwv
ZGF0ZT48L3B1Yi1kYXRlcz48L2RhdGVzPjx1cmxzPjxyZWxhdGVkLXVybHM+PHVybD5odHRwczov
L2NvbnNlbnN1cy5hcHAvcGFwZXJzL3RoZS11c2Utb2YtZXBvcnRmb2xpby1mb3Itc2VsZnJlZmxl
Y3Rpb24tdG8tcHJvbW90ZS1lYmlsLXNhbGxlaC80YzBmNzkwZThmOTA1MTY3OGRkNDBhZTk5NjJi
NzhiNy88L3VybD48L3JlbGF0ZWQtdXJscz48L3VybHM+PGVsZWN0cm9uaWMtcmVzb3VyY2UtbnVt
PjEwLjEwMDcvczEwNjM5LTAyMC0xMDI0OC03PC9lbGVjdHJvbmljLXJlc291cmNlLW51bT48L3Jl
Y29yZD48L0NpdGU+PENpdGU+PEF1dGhvcj5ZdXNvcDwvQXV0aG9yPjxZZWFyPjIwMjM8L1llYXI+
PFJlY051bT43MzwvUmVjTnVtPjxyZWNvcmQ+PHJlYy1udW1iZXI+NzM8L3JlYy1udW1iZXI+PGZv
cmVpZ24ta2V5cz48a2V5IGFwcD0iRU4iIGRiLWlkPSI5c2Q5eHR2NWt3OTJkcmU5Mno1NXJ3dmF4
djlzZnh2d3RwdnQiIHRpbWVzdGFtcD0iMTc0NTQ4NTE0NyI+NzM8L2tleT48L2ZvcmVpZ24ta2V5
cz48cmVmLXR5cGUgbmFtZT0iSm91cm5hbCBBcnRpY2xlIj4xNzwvcmVmLXR5cGU+PGNvbnRyaWJ1
dG9ycz48YXV0aG9ycz48YXV0aG9yPll1c29wLCBTaXRpIFJhdWRoYWg8L2F1dGhvcj48YXV0aG9y
PlJhc3VsLCBNLjwvYXV0aG9yPjxhdXRob3I+WWFzaW4sIFJ1aGl6YW4gTW9oYW1tYWQ8L2F1dGhv
cj48YXV0aG9yPkhhc2hpbSwgSC48L2F1dGhvcj48L2F1dGhvcnM+PC9jb250cmlidXRvcnM+PHRp
dGxlcz48dGl0bGU+SWRlbnRpZnlpbmcgYW5kIFZhbGlkYXRpbmcgVm9jYXRpb25hbCBTa2lsbHMg
RG9tYWlucyBhbmQgSW5kaWNhdG9ycyBpbiBDbGFzc3Jvb20gQXNzZXNzbWVudCBQcmFjdGljZXMg
aW4gVFZFVDwvdGl0bGU+PHNlY29uZGFyeS10aXRsZT5TdXN0YWluYWJpbGl0eTwvc2Vjb25kYXJ5
LXRpdGxlPjwvdGl0bGVzPjxwZXJpb2RpY2FsPjxmdWxsLXRpdGxlPlN1c3RhaW5hYmlsaXR5PC9m
dWxsLXRpdGxlPjwvcGVyaW9kaWNhbD48ZGF0ZXM+PHllYXI+MjAyMzwveWVhcj48cHViLWRhdGVz
PjxkYXRlPjIwMjMtMDMtMTU8L2RhdGU+PC9wdWItZGF0ZXM+PC9kYXRlcz48dXJscz48cmVsYXRl
ZC11cmxzPjx1cmw+aHR0cHM6Ly9jb25zZW5zdXMuYXBwL3BhcGVycy9pZGVudGlmeWluZy1hbmQt
dmFsaWRhdGluZy12b2NhdGlvbmFsLXNraWxscy1kb21haW5zLWFuZC15dXNvcC1yYXN1bC8xMTY3
N2VjNDVlYWI1Mzc0YTdiMTc4MzU1NmUxM2NmNC88L3VybD48L3JlbGF0ZWQtdXJscz48L3VybHM+
PGVsZWN0cm9uaWMtcmVzb3VyY2UtbnVtPjEwLjMzOTAvc3UxNTA2NTE5NTwvZWxlY3Ryb25pYy1y
ZXNvdXJjZS1udW0+PC9yZWNvcmQ+PC9DaXRlPjxDaXRlPjxBdXRob3I+WXVzb3A8L0F1dGhvcj48
WWVhcj4yMDIyPC9ZZWFyPjxSZWNOdW0+NzU8L1JlY051bT48cmVjb3JkPjxyZWMtbnVtYmVyPjc1
PC9yZWMtbnVtYmVyPjxmb3JlaWduLWtleXM+PGtleSBhcHA9IkVOIiBkYi1pZD0iOXNkOXh0djVr
dzkyZHJlOTJ6NTVyd3ZheHY5c2Z4dnd0cHZ0IiB0aW1lc3RhbXA9IjE3NDU0ODUxNDciPjc1PC9r
ZXk+PC9mb3JlaWduLWtleXM+PHJlZi10eXBlIG5hbWU9IkpvdXJuYWwgQXJ0aWNsZSI+MTc8L3Jl
Zi10eXBlPjxjb250cmlidXRvcnM+PGF1dGhvcnM+PGF1dGhvcj5ZdXNvcCwgU2l0aSBSYXVkaGFo
PC9hdXRob3I+PGF1dGhvcj5SYXN1bCwgTS48L2F1dGhvcj48YXV0aG9yPllhc2luLCBSdWhpemFu
IE1vaGFtYWQ8L2F1dGhvcj48YXV0aG9yPkhhc2hpbSwgSC48L2F1dGhvcj48YXV0aG9yPkphbGFs
dWRpbiwgTi48L2F1dGhvcj48L2F1dGhvcnM+PC9jb250cmlidXRvcnM+PHRpdGxlcz48dGl0bGU+
QW4gQXNzZXNzbWVudCBBcHByb2FjaGVzIGFuZCBMZWFybmluZyBPdXRjb21lcyBpbiBUZWNobmlj
YWwgYW5kIFZvY2F0aW9uYWwgRWR1Y2F0aW9uOiBBIFN5c3RlbWF0aWMgUmV2aWV3IFVzaW5nIFBS
SVNNQTwvdGl0bGU+PHNlY29uZGFyeS10aXRsZT5TdXN0YWluYWJpbGl0eTwvc2Vjb25kYXJ5LXRp
dGxlPjwvdGl0bGVzPjxwZXJpb2RpY2FsPjxmdWxsLXRpdGxlPlN1c3RhaW5hYmlsaXR5PC9mdWxs
LXRpdGxlPjwvcGVyaW9kaWNhbD48ZGF0ZXM+PHllYXI+MjAyMjwveWVhcj48cHViLWRhdGVzPjxk
YXRlPjIwMjItMDQtMjY8L2RhdGU+PC9wdWItZGF0ZXM+PC9kYXRlcz48dXJscz48cmVsYXRlZC11
cmxzPjx1cmw+aHR0cHM6Ly9jb25zZW5zdXMuYXBwL3BhcGVycy9hbi1hc3Nlc3NtZW50LWFwcHJv
YWNoZXMtYW5kLWxlYXJuaW5nLW91dGNvbWVzLWluLXl1c29wLXJhc3VsLzBjN2ZiNDVkYTk1YzVm
NWRiNDY3NjA0ZTllODE3NDlkLzwvdXJsPjwvcmVsYXRlZC11cmxzPjwvdXJscz48ZWxlY3Ryb25p
Yy1yZXNvdXJjZS1udW0+MTAuMzM5MC9zdTE0MDk1MjI1PC9lbGVjdHJvbmljLXJlc291cmNlLW51
bT48L3JlY29yZD48L0NpdGU+PENpdGU+PEF1dGhvcj5Tb21lcnM8L0F1dGhvcj48WWVhcj4yMDIx
PC9ZZWFyPjxSZWNOdW0+NzQ8L1JlY051bT48cmVjb3JkPjxyZWMtbnVtYmVyPjc0PC9yZWMtbnVt
YmVyPjxmb3JlaWduLWtleXM+PGtleSBhcHA9IkVOIiBkYi1pZD0iOXNkOXh0djVrdzkyZHJlOTJ6
NTVyd3ZheHY5c2Z4dnd0cHZ0IiB0aW1lc3RhbXA9IjE3NDU0ODUxNDciPjc0PC9rZXk+PC9mb3Jl
aWduLWtleXM+PHJlZi10eXBlIG5hbWU9IkpvdXJuYWwgQXJ0aWNsZSI+MTc8L3JlZi10eXBlPjxj
b250cmlidXRvcnM+PGF1dGhvcnM+PGF1dGhvcj5Tb21lcnMsIFJpY2s8L2F1dGhvcj48YXV0aG9y
PkN1bm5pbmdoYW0tTmVsc29uLCBTYW08L2F1dGhvcj48YXV0aG9yPkJvbGVzLCBXLjwvYXV0aG9y
PjwvYXV0aG9ycz48L2NvbnRyaWJ1dG9ycz48dGl0bGVzPjx0aXRsZT5BcHBseWluZyBuYXR1cmFs
IGxhbmd1YWdlIHByb2Nlc3NpbmcgdG8gYXV0b21hdGljYWxseSBhc3Nlc3Mgc3R1ZGVudCBjb25j
ZXB0dWFsIHVuZGVyc3RhbmRpbmcgZnJvbSB0ZXh0dWFsIHJlc3BvbnNlczwvdGl0bGU+PHNlY29u
ZGFyeS10aXRsZT5BdXN0cmFsYXNpYW4gSm91cm5hbCBvZiBFZHVjYXRpb25hbCBUZWNobm9sb2d5
PC9zZWNvbmRhcnktdGl0bGU+PC90aXRsZXM+PHBlcmlvZGljYWw+PGZ1bGwtdGl0bGU+QXVzdHJh
bGFzaWFuIEpvdXJuYWwgb2YgRWR1Y2F0aW9uYWwgVGVjaG5vbG9neTwvZnVsbC10aXRsZT48L3Bl
cmlvZGljYWw+PGRhdGVzPjx5ZWFyPjIwMjE8L3llYXI+PHB1Yi1kYXRlcz48ZGF0ZT4yMDIxLTEy
LTA2PC9kYXRlPjwvcHViLWRhdGVzPjwvZGF0ZXM+PHVybHM+PHJlbGF0ZWQtdXJscz48dXJsPmh0
dHBzOi8vY29uc2Vuc3VzLmFwcC9wYXBlcnMvYXBwbHlpbmctbmF0dXJhbC1sYW5ndWFnZS1wcm9j
ZXNzaW5nLXRvLWF1dG9tYXRpY2FsbHktc29tZXJzLWN1bm5pbmdoYW0tbmVsc29uL2I1MDg4MmU2
ZjA0ZDUyN2RhODY3ZDMwZjZlNzY3ODYwLzwvdXJsPjwvcmVsYXRlZC11cmxzPjwvdXJscz48ZWxl
Y3Ryb25pYy1yZXNvdXJjZS1udW0+MTAuMTQ3NDIvYWpldC43MTIxPC9lbGVjdHJvbmljLXJlc291
cmNlLW51bT48L3JlY29yZD48L0NpdGU+PENpdGU+PEF1dGhvcj5Mb3U8L0F1dGhvcj48WWVhcj4y
MDI0PC9ZZWFyPjxSZWNOdW0+NzY8L1JlY051bT48cmVjb3JkPjxyZWMtbnVtYmVyPjc2PC9yZWMt
bnVtYmVyPjxmb3JlaWduLWtleXM+PGtleSBhcHA9IkVOIiBkYi1pZD0iOXNkOXh0djVrdzkyZHJl
OTJ6NTVyd3ZheHY5c2Z4dnd0cHZ0IiB0aW1lc3RhbXA9IjE3NDU0ODUxNDciPjc2PC9rZXk+PC9m
b3JlaWduLWtleXM+PHJlZi10eXBlIG5hbWU9IkpvdXJuYWwgQXJ0aWNsZSI+MTc8L3JlZi10eXBl
Pjxjb250cmlidXRvcnM+PGF1dGhvcnM+PGF1dGhvcj5Mb3UsIFlpbmd5aW5nPC9hdXRob3I+PGF1
dGhvcj5MaSwgRmFuPC9hdXRob3I+PC9hdXRob3JzPjwvY29udHJpYnV0b3JzPjx0aXRsZXM+PHRp
dGxlPkRlc2lnbiBvZiBhbiBvbmxpbmUgZWR1Y2F0aW9uIHN0dWRlbnQgbGVhcm5pbmcgc3RhdHVz
IGV2YWx1YXRpb24gbW9kZWwgYmFzZWQgb24gZHVhbC1pbXByb3ZlZCBuZXVyYWwgbmV0d29ya3M8
L3RpdGxlPjxzZWNvbmRhcnktdGl0bGU+SW50ZWxsLiBTeXN0LiBBcHBsLjwvc2Vjb25kYXJ5LXRp
dGxlPjwvdGl0bGVzPjxwZXJpb2RpY2FsPjxmdWxsLXRpdGxlPkludGVsbC4gU3lzdC4gQXBwbC48
L2Z1bGwtdGl0bGU+PC9wZXJpb2RpY2FsPjxwYWdlcz4yMDAzNzA8L3BhZ2VzPjx2b2x1bWU+MjI8
L3ZvbHVtZT48ZGF0ZXM+PHllYXI+MjAyNDwveWVhcj48cHViLWRhdGVzPjxkYXRlPjIwMjQtMDQt
MDE8L2RhdGU+PC9wdWItZGF0ZXM+PC9kYXRlcz48dXJscz48cmVsYXRlZC11cmxzPjx1cmw+aHR0
cHM6Ly9jb25zZW5zdXMuYXBwL3BhcGVycy9kZXNpZ24tb2YtYW4tb25saW5lLWVkdWNhdGlvbi1z
dHVkZW50LWxlYXJuaW5nLXN0YXR1cy1sb3UtbGkvOGMzZDExZWIwZTZlNTg5OGI1MTZlZjY1Nzhi
NDA0MzEvPC91cmw+PC9yZWxhdGVkLXVybHM+PC91cmxzPjxlbGVjdHJvbmljLXJlc291cmNlLW51
bT4xMC4xMDE2L2ouaXN3YS4yMDI0LjIwMDM3MDwvZWxlY3Ryb25pYy1yZXNvdXJjZS1udW0+PC9y
ZWNvcmQ+PC9DaXRlPjwvRW5kTm90ZT5=
</w:fldData>
        </w:fldChar>
      </w:r>
      <w:r>
        <w:instrText xml:space="preserve"> ADDIN EN.CITE </w:instrText>
      </w:r>
      <w:r>
        <w:fldChar w:fldCharType="begin">
          <w:fldData xml:space="preserve">PEVuZE5vdGU+PENpdGU+PEF1dGhvcj5FYmlsPC9BdXRob3I+PFllYXI+MjAyMDwvWWVhcj48UmVj
TnVtPjcyPC9SZWNOdW0+PERpc3BsYXlUZXh0PihFYmlsIGV0IGFsLiwgMjAyMDsgTG91ICZhbXA7
IExpLCAyMDI0OyBTb21lcnMgZXQgYWwuLCAyMDIxOyBZdXNvcCBldCBhbC4sIDIwMjM7IFl1c29w
IGV0IGFsLiwgMjAyMik8L0Rpc3BsYXlUZXh0PjxyZWNvcmQ+PHJlYy1udW1iZXI+NzI8L3JlYy1u
dW1iZXI+PGZvcmVpZ24ta2V5cz48a2V5IGFwcD0iRU4iIGRiLWlkPSI5c2Q5eHR2NWt3OTJkcmU5
Mno1NXJ3dmF4djlzZnh2d3RwdnQiIHRpbWVzdGFtcD0iMTc0NTQ4NTE0NyI+NzI8L2tleT48L2Zv
cmVpZ24ta2V5cz48cmVmLXR5cGUgbmFtZT0iSm91cm5hbCBBcnRpY2xlIj4xNzwvcmVmLXR5cGU+
PGNvbnRyaWJ1dG9ycz48YXV0aG9ycz48YXV0aG9yPkViaWwsIFN5YXphbmEgSGo8L2F1dGhvcj48
YXV0aG9yPlNhbGxlaCwgUy48L2F1dGhvcj48YXV0aG9yPlNoYWhyaWxsLCBNLjwvYXV0aG9yPjwv
YXV0aG9ycz48L2NvbnRyaWJ1dG9ycz48dGl0bGVzPjx0aXRsZT5UaGUgdXNlIG9mIEUtcG9ydGZv
bGlvIGZvciBzZWxmLXJlZmxlY3Rpb24gdG8gcHJvbW90ZSBsZWFybmluZzogYSBjYXNlIG9mIFRW
RVQgc3R1ZGVudHM8L3RpdGxlPjxzZWNvbmRhcnktdGl0bGU+RWR1Y2F0aW9uIGFuZCBJbmZvcm1h
dGlvbiBUZWNobm9sb2dpZXM8L3NlY29uZGFyeS10aXRsZT48L3RpdGxlcz48cGVyaW9kaWNhbD48
ZnVsbC10aXRsZT5FZHVjYXRpb24gYW5kIEluZm9ybWF0aW9uIFRlY2hub2xvZ2llczwvZnVsbC10
aXRsZT48L3BlcmlvZGljYWw+PHBhZ2VzPjU3OTctNTgxNDwvcGFnZXM+PHZvbHVtZT4yNTwvdm9s
dW1lPjxkYXRlcz48eWVhcj4yMDIwPC95ZWFyPjxwdWItZGF0ZXM+PGRhdGU+MjAyMC0wNi0xODwv
ZGF0ZT48L3B1Yi1kYXRlcz48L2RhdGVzPjx1cmxzPjxyZWxhdGVkLXVybHM+PHVybD5odHRwczov
L2NvbnNlbnN1cy5hcHAvcGFwZXJzL3RoZS11c2Utb2YtZXBvcnRmb2xpby1mb3Itc2VsZnJlZmxl
Y3Rpb24tdG8tcHJvbW90ZS1lYmlsLXNhbGxlaC80YzBmNzkwZThmOTA1MTY3OGRkNDBhZTk5NjJi
NzhiNy88L3VybD48L3JlbGF0ZWQtdXJscz48L3VybHM+PGVsZWN0cm9uaWMtcmVzb3VyY2UtbnVt
PjEwLjEwMDcvczEwNjM5LTAyMC0xMDI0OC03PC9lbGVjdHJvbmljLXJlc291cmNlLW51bT48L3Jl
Y29yZD48L0NpdGU+PENpdGU+PEF1dGhvcj5ZdXNvcDwvQXV0aG9yPjxZZWFyPjIwMjM8L1llYXI+
PFJlY051bT43MzwvUmVjTnVtPjxyZWNvcmQ+PHJlYy1udW1iZXI+NzM8L3JlYy1udW1iZXI+PGZv
cmVpZ24ta2V5cz48a2V5IGFwcD0iRU4iIGRiLWlkPSI5c2Q5eHR2NWt3OTJkcmU5Mno1NXJ3dmF4
djlzZnh2d3RwdnQiIHRpbWVzdGFtcD0iMTc0NTQ4NTE0NyI+NzM8L2tleT48L2ZvcmVpZ24ta2V5
cz48cmVmLXR5cGUgbmFtZT0iSm91cm5hbCBBcnRpY2xlIj4xNzwvcmVmLXR5cGU+PGNvbnRyaWJ1
dG9ycz48YXV0aG9ycz48YXV0aG9yPll1c29wLCBTaXRpIFJhdWRoYWg8L2F1dGhvcj48YXV0aG9y
PlJhc3VsLCBNLjwvYXV0aG9yPjxhdXRob3I+WWFzaW4sIFJ1aGl6YW4gTW9oYW1tYWQ8L2F1dGhv
cj48YXV0aG9yPkhhc2hpbSwgSC48L2F1dGhvcj48L2F1dGhvcnM+PC9jb250cmlidXRvcnM+PHRp
dGxlcz48dGl0bGU+SWRlbnRpZnlpbmcgYW5kIFZhbGlkYXRpbmcgVm9jYXRpb25hbCBTa2lsbHMg
RG9tYWlucyBhbmQgSW5kaWNhdG9ycyBpbiBDbGFzc3Jvb20gQXNzZXNzbWVudCBQcmFjdGljZXMg
aW4gVFZFVDwvdGl0bGU+PHNlY29uZGFyeS10aXRsZT5TdXN0YWluYWJpbGl0eTwvc2Vjb25kYXJ5
LXRpdGxlPjwvdGl0bGVzPjxwZXJpb2RpY2FsPjxmdWxsLXRpdGxlPlN1c3RhaW5hYmlsaXR5PC9m
dWxsLXRpdGxlPjwvcGVyaW9kaWNhbD48ZGF0ZXM+PHllYXI+MjAyMzwveWVhcj48cHViLWRhdGVz
PjxkYXRlPjIwMjMtMDMtMTU8L2RhdGU+PC9wdWItZGF0ZXM+PC9kYXRlcz48dXJscz48cmVsYXRl
ZC11cmxzPjx1cmw+aHR0cHM6Ly9jb25zZW5zdXMuYXBwL3BhcGVycy9pZGVudGlmeWluZy1hbmQt
dmFsaWRhdGluZy12b2NhdGlvbmFsLXNraWxscy1kb21haW5zLWFuZC15dXNvcC1yYXN1bC8xMTY3
N2VjNDVlYWI1Mzc0YTdiMTc4MzU1NmUxM2NmNC88L3VybD48L3JlbGF0ZWQtdXJscz48L3VybHM+
PGVsZWN0cm9uaWMtcmVzb3VyY2UtbnVtPjEwLjMzOTAvc3UxNTA2NTE5NTwvZWxlY3Ryb25pYy1y
ZXNvdXJjZS1udW0+PC9yZWNvcmQ+PC9DaXRlPjxDaXRlPjxBdXRob3I+WXVzb3A8L0F1dGhvcj48
WWVhcj4yMDIyPC9ZZWFyPjxSZWNOdW0+NzU8L1JlY051bT48cmVjb3JkPjxyZWMtbnVtYmVyPjc1
PC9yZWMtbnVtYmVyPjxmb3JlaWduLWtleXM+PGtleSBhcHA9IkVOIiBkYi1pZD0iOXNkOXh0djVr
dzkyZHJlOTJ6NTVyd3ZheHY5c2Z4dnd0cHZ0IiB0aW1lc3RhbXA9IjE3NDU0ODUxNDciPjc1PC9r
ZXk+PC9mb3JlaWduLWtleXM+PHJlZi10eXBlIG5hbWU9IkpvdXJuYWwgQXJ0aWNsZSI+MTc8L3Jl
Zi10eXBlPjxjb250cmlidXRvcnM+PGF1dGhvcnM+PGF1dGhvcj5ZdXNvcCwgU2l0aSBSYXVkaGFo
PC9hdXRob3I+PGF1dGhvcj5SYXN1bCwgTS48L2F1dGhvcj48YXV0aG9yPllhc2luLCBSdWhpemFu
IE1vaGFtYWQ8L2F1dGhvcj48YXV0aG9yPkhhc2hpbSwgSC48L2F1dGhvcj48YXV0aG9yPkphbGFs
dWRpbiwgTi48L2F1dGhvcj48L2F1dGhvcnM+PC9jb250cmlidXRvcnM+PHRpdGxlcz48dGl0bGU+
QW4gQXNzZXNzbWVudCBBcHByb2FjaGVzIGFuZCBMZWFybmluZyBPdXRjb21lcyBpbiBUZWNobmlj
YWwgYW5kIFZvY2F0aW9uYWwgRWR1Y2F0aW9uOiBBIFN5c3RlbWF0aWMgUmV2aWV3IFVzaW5nIFBS
SVNNQTwvdGl0bGU+PHNlY29uZGFyeS10aXRsZT5TdXN0YWluYWJpbGl0eTwvc2Vjb25kYXJ5LXRp
dGxlPjwvdGl0bGVzPjxwZXJpb2RpY2FsPjxmdWxsLXRpdGxlPlN1c3RhaW5hYmlsaXR5PC9mdWxs
LXRpdGxlPjwvcGVyaW9kaWNhbD48ZGF0ZXM+PHllYXI+MjAyMjwveWVhcj48cHViLWRhdGVzPjxk
YXRlPjIwMjItMDQtMjY8L2RhdGU+PC9wdWItZGF0ZXM+PC9kYXRlcz48dXJscz48cmVsYXRlZC11
cmxzPjx1cmw+aHR0cHM6Ly9jb25zZW5zdXMuYXBwL3BhcGVycy9hbi1hc3Nlc3NtZW50LWFwcHJv
YWNoZXMtYW5kLWxlYXJuaW5nLW91dGNvbWVzLWluLXl1c29wLXJhc3VsLzBjN2ZiNDVkYTk1YzVm
NWRiNDY3NjA0ZTllODE3NDlkLzwvdXJsPjwvcmVsYXRlZC11cmxzPjwvdXJscz48ZWxlY3Ryb25p
Yy1yZXNvdXJjZS1udW0+MTAuMzM5MC9zdTE0MDk1MjI1PC9lbGVjdHJvbmljLXJlc291cmNlLW51
bT48L3JlY29yZD48L0NpdGU+PENpdGU+PEF1dGhvcj5Tb21lcnM8L0F1dGhvcj48WWVhcj4yMDIx
PC9ZZWFyPjxSZWNOdW0+NzQ8L1JlY051bT48cmVjb3JkPjxyZWMtbnVtYmVyPjc0PC9yZWMtbnVt
YmVyPjxmb3JlaWduLWtleXM+PGtleSBhcHA9IkVOIiBkYi1pZD0iOXNkOXh0djVrdzkyZHJlOTJ6
NTVyd3ZheHY5c2Z4dnd0cHZ0IiB0aW1lc3RhbXA9IjE3NDU0ODUxNDciPjc0PC9rZXk+PC9mb3Jl
aWduLWtleXM+PHJlZi10eXBlIG5hbWU9IkpvdXJuYWwgQXJ0aWNsZSI+MTc8L3JlZi10eXBlPjxj
b250cmlidXRvcnM+PGF1dGhvcnM+PGF1dGhvcj5Tb21lcnMsIFJpY2s8L2F1dGhvcj48YXV0aG9y
PkN1bm5pbmdoYW0tTmVsc29uLCBTYW08L2F1dGhvcj48YXV0aG9yPkJvbGVzLCBXLjwvYXV0aG9y
PjwvYXV0aG9ycz48L2NvbnRyaWJ1dG9ycz48dGl0bGVzPjx0aXRsZT5BcHBseWluZyBuYXR1cmFs
IGxhbmd1YWdlIHByb2Nlc3NpbmcgdG8gYXV0b21hdGljYWxseSBhc3Nlc3Mgc3R1ZGVudCBjb25j
ZXB0dWFsIHVuZGVyc3RhbmRpbmcgZnJvbSB0ZXh0dWFsIHJlc3BvbnNlczwvdGl0bGU+PHNlY29u
ZGFyeS10aXRsZT5BdXN0cmFsYXNpYW4gSm91cm5hbCBvZiBFZHVjYXRpb25hbCBUZWNobm9sb2d5
PC9zZWNvbmRhcnktdGl0bGU+PC90aXRsZXM+PHBlcmlvZGljYWw+PGZ1bGwtdGl0bGU+QXVzdHJh
bGFzaWFuIEpvdXJuYWwgb2YgRWR1Y2F0aW9uYWwgVGVjaG5vbG9neTwvZnVsbC10aXRsZT48L3Bl
cmlvZGljYWw+PGRhdGVzPjx5ZWFyPjIwMjE8L3llYXI+PHB1Yi1kYXRlcz48ZGF0ZT4yMDIxLTEy
LTA2PC9kYXRlPjwvcHViLWRhdGVzPjwvZGF0ZXM+PHVybHM+PHJlbGF0ZWQtdXJscz48dXJsPmh0
dHBzOi8vY29uc2Vuc3VzLmFwcC9wYXBlcnMvYXBwbHlpbmctbmF0dXJhbC1sYW5ndWFnZS1wcm9j
ZXNzaW5nLXRvLWF1dG9tYXRpY2FsbHktc29tZXJzLWN1bm5pbmdoYW0tbmVsc29uL2I1MDg4MmU2
ZjA0ZDUyN2RhODY3ZDMwZjZlNzY3ODYwLzwvdXJsPjwvcmVsYXRlZC11cmxzPjwvdXJscz48ZWxl
Y3Ryb25pYy1yZXNvdXJjZS1udW0+MTAuMTQ3NDIvYWpldC43MTIxPC9lbGVjdHJvbmljLXJlc291
cmNlLW51bT48L3JlY29yZD48L0NpdGU+PENpdGU+PEF1dGhvcj5Mb3U8L0F1dGhvcj48WWVhcj4y
MDI0PC9ZZWFyPjxSZWNOdW0+NzY8L1JlY051bT48cmVjb3JkPjxyZWMtbnVtYmVyPjc2PC9yZWMt
bnVtYmVyPjxmb3JlaWduLWtleXM+PGtleSBhcHA9IkVOIiBkYi1pZD0iOXNkOXh0djVrdzkyZHJl
OTJ6NTVyd3ZheHY5c2Z4dnd0cHZ0IiB0aW1lc3RhbXA9IjE3NDU0ODUxNDciPjc2PC9rZXk+PC9m
b3JlaWduLWtleXM+PHJlZi10eXBlIG5hbWU9IkpvdXJuYWwgQXJ0aWNsZSI+MTc8L3JlZi10eXBl
Pjxjb250cmlidXRvcnM+PGF1dGhvcnM+PGF1dGhvcj5Mb3UsIFlpbmd5aW5nPC9hdXRob3I+PGF1
dGhvcj5MaSwgRmFuPC9hdXRob3I+PC9hdXRob3JzPjwvY29udHJpYnV0b3JzPjx0aXRsZXM+PHRp
dGxlPkRlc2lnbiBvZiBhbiBvbmxpbmUgZWR1Y2F0aW9uIHN0dWRlbnQgbGVhcm5pbmcgc3RhdHVz
IGV2YWx1YXRpb24gbW9kZWwgYmFzZWQgb24gZHVhbC1pbXByb3ZlZCBuZXVyYWwgbmV0d29ya3M8
L3RpdGxlPjxzZWNvbmRhcnktdGl0bGU+SW50ZWxsLiBTeXN0LiBBcHBsLjwvc2Vjb25kYXJ5LXRp
dGxlPjwvdGl0bGVzPjxwZXJpb2RpY2FsPjxmdWxsLXRpdGxlPkludGVsbC4gU3lzdC4gQXBwbC48
L2Z1bGwtdGl0bGU+PC9wZXJpb2RpY2FsPjxwYWdlcz4yMDAzNzA8L3BhZ2VzPjx2b2x1bWU+MjI8
L3ZvbHVtZT48ZGF0ZXM+PHllYXI+MjAyNDwveWVhcj48cHViLWRhdGVzPjxkYXRlPjIwMjQtMDQt
MDE8L2RhdGU+PC9wdWItZGF0ZXM+PC9kYXRlcz48dXJscz48cmVsYXRlZC11cmxzPjx1cmw+aHR0
cHM6Ly9jb25zZW5zdXMuYXBwL3BhcGVycy9kZXNpZ24tb2YtYW4tb25saW5lLWVkdWNhdGlvbi1z
dHVkZW50LWxlYXJuaW5nLXN0YXR1cy1sb3UtbGkvOGMzZDExZWIwZTZlNTg5OGI1MTZlZjY1Nzhi
NDA0MzEvPC91cmw+PC9yZWxhdGVkLXVybHM+PC91cmxzPjxlbGVjdHJvbmljLXJlc291cmNlLW51
bT4xMC4xMDE2L2ouaXN3YS4yMDI0LjIwMDM3MDwvZWxlY3Ryb25pYy1yZXNvdXJjZS1udW0+PC9y
ZWNvcmQ+PC9DaXRlPjwvRW5kTm90ZT5=
</w:fldData>
        </w:fldChar>
      </w:r>
      <w:r>
        <w:instrText xml:space="preserve"> ADDIN EN.CITE.DATA </w:instrText>
      </w:r>
      <w:r>
        <w:fldChar w:fldCharType="end"/>
      </w:r>
      <w:r>
        <w:fldChar w:fldCharType="separate"/>
      </w:r>
      <w:r>
        <w:rPr>
          <w:noProof/>
        </w:rPr>
        <w:t>(Ebil et al., 2020; Lou &amp; Li, 2024; Somers et al., 2021; Yusop et al., 2023; Yusop et al., 2022)</w:t>
      </w:r>
      <w:r>
        <w:fldChar w:fldCharType="end"/>
      </w:r>
      <w:r w:rsidRPr="003B1C60">
        <w:t xml:space="preserve">. This approach </w:t>
      </w:r>
      <w:r>
        <w:t xml:space="preserve">requires </w:t>
      </w:r>
      <w:r w:rsidRPr="003B1C60">
        <w:t>developing technical, cognitive, and affective skills, aligning with industry needs</w:t>
      </w:r>
    </w:p>
    <w:p w14:paraId="49849B29" w14:textId="77777777" w:rsidR="0080789B" w:rsidRPr="009D36BE" w:rsidRDefault="0080789B" w:rsidP="0080789B">
      <w:pPr>
        <w:jc w:val="both"/>
      </w:pPr>
      <w:r w:rsidRPr="009D36BE">
        <w:t xml:space="preserve">The study shows a highly significant gap in the statement that a diverse range of digital tools and strategies is effectively used for assessment and evaluation; instructors who teach online scored an average of 3.44, whereas those who do not averaged 2.82 (t = 4.61, </w:t>
      </w:r>
      <w:r w:rsidRPr="009D36BE">
        <w:rPr>
          <w:i/>
          <w:iCs/>
        </w:rPr>
        <w:t>p</w:t>
      </w:r>
      <w:r w:rsidRPr="009D36BE">
        <w:t> &lt; 0.001). This study, therefore, affirms that online‑savvy instructors employ a much broader array of assessment techniques.</w:t>
      </w:r>
      <w:r>
        <w:t xml:space="preserve"> </w:t>
      </w:r>
      <w:r w:rsidRPr="003F4729">
        <w:t>Digital evaluation tools have been effectively utilized in online learning environments in Africa, as evidenced by various studies. In South Africa, Learning Management Systems (LMS) have been instrumental in fostering student engagement. A study conducted at the University of Technology in South Africa found that 90.5% of academics agreed that LMS tools, such as discussion forums, groups, Collaborate Ultra, Microsoft Teams chats, and WhatsApp, were effective in promoting student interaction and engagement</w:t>
      </w:r>
      <w:r>
        <w:t xml:space="preserve"> </w:t>
      </w:r>
      <w:r>
        <w:fldChar w:fldCharType="begin"/>
      </w:r>
      <w:r>
        <w:instrText xml:space="preserve"> ADDIN EN.CITE &lt;EndNote&gt;&lt;Cite&gt;&lt;Author&gt;Simelane-Mnisi&lt;/Author&gt;&lt;Year&gt;2023&lt;/Year&gt;&lt;RecNum&gt;82&lt;/RecNum&gt;&lt;DisplayText&gt;(Simelane-Mnisi, 2023)&lt;/DisplayText&gt;&lt;record&gt;&lt;rec-number&gt;82&lt;/rec-number&gt;&lt;foreign-keys&gt;&lt;key app="EN" db-id="9sd9xtv5kw92dre92z55rwvaxv9sfxvwtpvt" timestamp="1745485449"&gt;82&lt;/key&gt;&lt;/foreign-keys&gt;&lt;ref-type name="Journal Article"&gt;17&lt;/ref-type&gt;&lt;contributors&gt;&lt;authors&gt;&lt;author&gt;Simelane-Mnisi, Sibongile&lt;/author&gt;&lt;/authors&gt;&lt;/contributors&gt;&lt;titles&gt;&lt;title&gt;Effectiveness of LMS digital tools used by the academics to foster students’ engagement&lt;/title&gt;&lt;secondary-title&gt;Education Sciences&lt;/secondary-title&gt;&lt;/titles&gt;&lt;periodical&gt;&lt;full-title&gt;Education Sciences&lt;/full-title&gt;&lt;/periodical&gt;&lt;pages&gt;980&lt;/pages&gt;&lt;volume&gt;13&lt;/volume&gt;&lt;number&gt;10&lt;/number&gt;&lt;dates&gt;&lt;year&gt;2023&lt;/year&gt;&lt;/dates&gt;&lt;isbn&gt;2227-7102&lt;/isbn&gt;&lt;urls&gt;&lt;/urls&gt;&lt;/record&gt;&lt;/Cite&gt;&lt;/EndNote&gt;</w:instrText>
      </w:r>
      <w:r>
        <w:fldChar w:fldCharType="separate"/>
      </w:r>
      <w:r>
        <w:rPr>
          <w:noProof/>
        </w:rPr>
        <w:t>(Simelane-Mnisi, 2023)</w:t>
      </w:r>
      <w:r>
        <w:fldChar w:fldCharType="end"/>
      </w:r>
      <w:r w:rsidRPr="003F4729">
        <w:t xml:space="preserve">. This highlights the importance of instructional designers in supporting academics to select and use appropriate engagement tools </w:t>
      </w:r>
      <w:r>
        <w:t>such as the</w:t>
      </w:r>
      <w:r w:rsidRPr="003F4729">
        <w:t> LMS</w:t>
      </w:r>
      <w:r>
        <w:t xml:space="preserve"> in the TVET context in Uganda. </w:t>
      </w:r>
    </w:p>
    <w:p w14:paraId="7F414AE2" w14:textId="77777777" w:rsidR="0080789B" w:rsidRDefault="0080789B" w:rsidP="0080789B">
      <w:pPr>
        <w:jc w:val="both"/>
      </w:pPr>
      <w:r>
        <w:t xml:space="preserve">The study revealed that participants’ reactions were very non-uniform to whether </w:t>
      </w:r>
      <w:r w:rsidRPr="009D36BE">
        <w:t xml:space="preserve">online assessments at </w:t>
      </w:r>
      <w:r>
        <w:t>respective institutions</w:t>
      </w:r>
      <w:r w:rsidRPr="009D36BE">
        <w:t xml:space="preserve"> </w:t>
      </w:r>
      <w:r>
        <w:t>are</w:t>
      </w:r>
      <w:r w:rsidRPr="009D36BE">
        <w:t xml:space="preserve"> secure, unbiased, and fair</w:t>
      </w:r>
      <w:r>
        <w:t xml:space="preserve">. To this end, findings showed that </w:t>
      </w:r>
      <w:r w:rsidRPr="009D36BE">
        <w:t xml:space="preserve">online instructors averaged 3.56, while their non‑online counterparts averaged 3.00 (t = 4.03, </w:t>
      </w:r>
      <w:r w:rsidRPr="009D36BE">
        <w:rPr>
          <w:i/>
          <w:iCs/>
        </w:rPr>
        <w:t>p</w:t>
      </w:r>
      <w:r w:rsidRPr="009D36BE">
        <w:t> &lt; 0.001). This study, therefore, affirms that online‑savvy instructors perceive stronger safeguards for academic integrity.</w:t>
      </w:r>
      <w:r>
        <w:t xml:space="preserve"> Ensuring fairness and integrity in online assessment received significant support from the instructors. Previous studies have also shown that o</w:t>
      </w:r>
      <w:r w:rsidRPr="00695DA5">
        <w:t>nline assessments</w:t>
      </w:r>
      <w:r>
        <w:t>,</w:t>
      </w:r>
      <w:r w:rsidRPr="00695DA5">
        <w:t xml:space="preserve"> </w:t>
      </w:r>
      <w:r>
        <w:t>if well prepared, can deter learners from cheating and ensure</w:t>
      </w:r>
      <w:r w:rsidRPr="00695DA5">
        <w:t xml:space="preserve"> honest participation to cheating through methods like copy-pasting and unauthorized collaboration</w:t>
      </w:r>
      <w:r>
        <w:t xml:space="preserve"> </w:t>
      </w:r>
      <w:r>
        <w:fldChar w:fldCharType="begin"/>
      </w:r>
      <w:r>
        <w:instrText xml:space="preserve"> ADDIN EN.CITE &lt;EndNote&gt;&lt;Cite&gt;&lt;Author&gt;Reddy&lt;/Author&gt;&lt;Year&gt;2022&lt;/Year&gt;&lt;RecNum&gt;83&lt;/RecNum&gt;&lt;DisplayText&gt;(Reddy et al., 2022)&lt;/DisplayText&gt;&lt;record&gt;&lt;rec-number&gt;83&lt;/rec-number&gt;&lt;foreign-keys&gt;&lt;key app="EN" db-id="9sd9xtv5kw92dre92z55rwvaxv9sfxvwtpvt" timestamp="1745487604"&gt;83&lt;/key&gt;&lt;/foreign-keys&gt;&lt;ref-type name="Journal Article"&gt;17&lt;/ref-type&gt;&lt;contributors&gt;&lt;authors&gt;&lt;author&gt;Reddy, Leelakrishna&lt;/author&gt;&lt;author&gt;Letswalo, Machaba Leanyatsa&lt;/author&gt;&lt;author&gt;Sefage, Amanda Percy&lt;/author&gt;&lt;author&gt;Kheswa, Bonginkosi Vincent&lt;/author&gt;&lt;author&gt;Balakrishna, Avula&lt;/author&gt;&lt;author&gt;Changundega, Jesman Moreblessing&lt;/author&gt;&lt;author&gt;Mvelase, Mashinga Johannes&lt;/author&gt;&lt;author&gt;Kheswa, Khayelihle Allen&lt;/author&gt;&lt;author&gt;Majola, Siyabonga Ntokozo Thandoluhle&lt;/author&gt;&lt;author&gt;Mathe, Themba&lt;/author&gt;&lt;/authors&gt;&lt;/contributors&gt;&lt;titles&gt;&lt;title&gt;Integrity vs. Quality of Assessments: Are They Compromised on the Online Platform?&lt;/title&gt;&lt;secondary-title&gt;Pedagogical Research&lt;/secondary-title&gt;&lt;/titles&gt;&lt;periodical&gt;&lt;full-title&gt;Pedagogical Research&lt;/full-title&gt;&lt;/periodical&gt;&lt;volume&gt;7&lt;/volume&gt;&lt;number&gt;2&lt;/number&gt;&lt;dates&gt;&lt;year&gt;2022&lt;/year&gt;&lt;/dates&gt;&lt;urls&gt;&lt;/urls&gt;&lt;/record&gt;&lt;/Cite&gt;&lt;/EndNote&gt;</w:instrText>
      </w:r>
      <w:r>
        <w:fldChar w:fldCharType="separate"/>
      </w:r>
      <w:r>
        <w:rPr>
          <w:noProof/>
        </w:rPr>
        <w:t>(Reddy et al., 2022)</w:t>
      </w:r>
      <w:r>
        <w:fldChar w:fldCharType="end"/>
      </w:r>
      <w:r w:rsidRPr="00695DA5">
        <w:t xml:space="preserve">. </w:t>
      </w:r>
      <w:r>
        <w:t>Therefore, TVET instructors need to be competent enough to handle such</w:t>
      </w:r>
      <w:r w:rsidRPr="00695DA5">
        <w:t xml:space="preserve"> robust systems to deter dishonest practices.</w:t>
      </w:r>
      <w:r>
        <w:t xml:space="preserve"> In addition, studies reveal the implementation of tools like the </w:t>
      </w:r>
      <w:r w:rsidRPr="00053E54">
        <w:t>Invigilator Application (IA) to monitor students during assessments, contributing to academic integrity by reducing opportunities for dishonest behavior</w:t>
      </w:r>
      <w:r>
        <w:t xml:space="preserve"> </w:t>
      </w:r>
      <w:r>
        <w:fldChar w:fldCharType="begin"/>
      </w:r>
      <w:r>
        <w:instrText xml:space="preserve"> ADDIN EN.CITE &lt;EndNote&gt;&lt;Cite&gt;&lt;Author&gt;du Plessis&lt;/Author&gt;&lt;Year&gt;2022&lt;/Year&gt;&lt;RecNum&gt;84&lt;/RecNum&gt;&lt;DisplayText&gt;(du Plessis &amp;amp; van der Westhuizen, 2022)&lt;/DisplayText&gt;&lt;record&gt;&lt;rec-number&gt;84&lt;/rec-number&gt;&lt;foreign-keys&gt;&lt;key app="EN" db-id="9sd9xtv5kw92dre92z55rwvaxv9sfxvwtpvt" timestamp="1745488036"&gt;84&lt;/key&gt;&lt;/foreign-keys&gt;&lt;ref-type name="Journal Article"&gt;17&lt;/ref-type&gt;&lt;contributors&gt;&lt;authors&gt;&lt;author&gt;du Plessis, Elize&lt;/author&gt;&lt;author&gt;van der Westhuizen, Gert&lt;/author&gt;&lt;/authors&gt;&lt;/contributors&gt;&lt;titles&gt;&lt;title&gt;Building academic integrity through online assessment apps&lt;/title&gt;&lt;secondary-title&gt;Education and New Developments&lt;/secondary-title&gt;&lt;/titles&gt;&lt;periodical&gt;&lt;full-title&gt;Education and New Developments&lt;/full-title&gt;&lt;/periodical&gt;&lt;pages&gt;49-62&lt;/pages&gt;&lt;volume&gt;49&lt;/volume&gt;&lt;number&gt;1&lt;/number&gt;&lt;dates&gt;&lt;year&gt;2022&lt;/year&gt;&lt;/dates&gt;&lt;urls&gt;&lt;/urls&gt;&lt;/record&gt;&lt;/Cite&gt;&lt;/EndNote&gt;</w:instrText>
      </w:r>
      <w:r>
        <w:fldChar w:fldCharType="separate"/>
      </w:r>
      <w:r>
        <w:rPr>
          <w:noProof/>
        </w:rPr>
        <w:t>(du Plessis &amp; van der Westhuizen, 2022)</w:t>
      </w:r>
      <w:r>
        <w:fldChar w:fldCharType="end"/>
      </w:r>
      <w:r>
        <w:t xml:space="preserve">. </w:t>
      </w:r>
    </w:p>
    <w:p w14:paraId="06E2BBE3" w14:textId="77777777" w:rsidR="0080789B" w:rsidRPr="009D36BE" w:rsidRDefault="0080789B" w:rsidP="0080789B">
      <w:pPr>
        <w:jc w:val="both"/>
      </w:pPr>
      <w:r w:rsidRPr="009D36BE">
        <w:t>The study show</w:t>
      </w:r>
      <w:r>
        <w:t xml:space="preserve">ed a significant disparity </w:t>
      </w:r>
      <w:r w:rsidRPr="009D36BE">
        <w:t>in the statement that students are offered varied ways to demonstrate learning online</w:t>
      </w:r>
      <w:r>
        <w:t xml:space="preserve">. T-test results showed that </w:t>
      </w:r>
      <w:r w:rsidRPr="009D36BE">
        <w:t xml:space="preserve">online instructors scored an average of 3.53, whereas those who do not teach online scored 3.02 (t = 3.62, </w:t>
      </w:r>
      <w:r w:rsidRPr="009D36BE">
        <w:rPr>
          <w:i/>
          <w:iCs/>
        </w:rPr>
        <w:t>p</w:t>
      </w:r>
      <w:r w:rsidRPr="009D36BE">
        <w:t> &lt; 0.001). This study, therefore, affirms that online‑savvy instructors provide markedly more flexible assessment formats.</w:t>
      </w:r>
      <w:r>
        <w:t xml:space="preserve"> The study revealed that o</w:t>
      </w:r>
      <w:r w:rsidRPr="00053E54">
        <w:t>nline assessments and evaluation platforms offer diverse options for students to demonstrate their learning, providing flexibility and enhancing educational processes.</w:t>
      </w:r>
      <w:r>
        <w:t xml:space="preserve"> </w:t>
      </w:r>
      <w:r w:rsidRPr="00053E54">
        <w:t xml:space="preserve">Online assessments can be categorized into </w:t>
      </w:r>
      <w:r w:rsidRPr="00053E54">
        <w:lastRenderedPageBreak/>
        <w:t>peer, teacher, automated, and self-assessment, each offering unique benefits and challenges</w:t>
      </w:r>
      <w:r>
        <w:t xml:space="preserve"> </w:t>
      </w:r>
      <w:r>
        <w:fldChar w:fldCharType="begin"/>
      </w:r>
      <w:r>
        <w:instrText xml:space="preserve"> ADDIN EN.CITE &lt;EndNote&gt;&lt;Cite&gt;&lt;Author&gt;Heil&lt;/Author&gt;&lt;Year&gt;2023&lt;/Year&gt;&lt;RecNum&gt;85&lt;/RecNum&gt;&lt;DisplayText&gt;(Heil &amp;amp; Ifenthaler, 2023)&lt;/DisplayText&gt;&lt;record&gt;&lt;rec-number&gt;85&lt;/rec-number&gt;&lt;foreign-keys&gt;&lt;key app="EN" db-id="9sd9xtv5kw92dre92z55rwvaxv9sfxvwtpvt" timestamp="1745488305"&gt;85&lt;/key&gt;&lt;/foreign-keys&gt;&lt;ref-type name="Journal Article"&gt;17&lt;/ref-type&gt;&lt;contributors&gt;&lt;authors&gt;&lt;author&gt;Heil, Joana&lt;/author&gt;&lt;author&gt;Ifenthaler, Dirk&lt;/author&gt;&lt;/authors&gt;&lt;/contributors&gt;&lt;titles&gt;&lt;title&gt;Online Assessment in Higher Education: A Systematic Review&lt;/title&gt;&lt;secondary-title&gt;Online Learning&lt;/secondary-title&gt;&lt;/titles&gt;&lt;periodical&gt;&lt;full-title&gt;Online Learning&lt;/full-title&gt;&lt;/periodical&gt;&lt;pages&gt;187-218&lt;/pages&gt;&lt;volume&gt;27&lt;/volume&gt;&lt;number&gt;1&lt;/number&gt;&lt;dates&gt;&lt;year&gt;2023&lt;/year&gt;&lt;/dates&gt;&lt;isbn&gt;2472-5749&lt;/isbn&gt;&lt;urls&gt;&lt;/urls&gt;&lt;/record&gt;&lt;/Cite&gt;&lt;/EndNote&gt;</w:instrText>
      </w:r>
      <w:r>
        <w:fldChar w:fldCharType="separate"/>
      </w:r>
      <w:r>
        <w:rPr>
          <w:noProof/>
        </w:rPr>
        <w:t>(Heil &amp; Ifenthaler, 2023)</w:t>
      </w:r>
      <w:r>
        <w:fldChar w:fldCharType="end"/>
      </w:r>
      <w:r>
        <w:t>. Studies also present more interactive tools and platforms, such as</w:t>
      </w:r>
      <w:r w:rsidRPr="00053E54">
        <w:t xml:space="preserve"> Quizizz, Socrative, Google Forms, and Kahoot</w:t>
      </w:r>
      <w:r>
        <w:t>,</w:t>
      </w:r>
      <w:r w:rsidRPr="00053E54">
        <w:t xml:space="preserve"> </w:t>
      </w:r>
      <w:r>
        <w:t xml:space="preserve">which </w:t>
      </w:r>
      <w:r w:rsidRPr="00053E54">
        <w:t>provide functionalities such as quizzes, polls, and surveys, enhancing interactivity and engagement</w:t>
      </w:r>
      <w:r>
        <w:t xml:space="preserve"> </w:t>
      </w:r>
      <w:r>
        <w:fldChar w:fldCharType="begin"/>
      </w:r>
      <w:r>
        <w:instrText xml:space="preserve"> ADDIN EN.CITE &lt;EndNote&gt;&lt;Cite&gt;&lt;Author&gt;Fonseca&lt;/Author&gt;&lt;Year&gt;2024&lt;/Year&gt;&lt;RecNum&gt;86&lt;/RecNum&gt;&lt;DisplayText&gt;(Anđelković, 2023; Fonseca et al., 2024)&lt;/DisplayText&gt;&lt;record&gt;&lt;rec-number&gt;86&lt;/rec-number&gt;&lt;foreign-keys&gt;&lt;key app="EN" db-id="9sd9xtv5kw92dre92z55rwvaxv9sfxvwtpvt" timestamp="1745488411"&gt;86&lt;/key&gt;&lt;/foreign-keys&gt;&lt;ref-type name="Conference Proceedings"&gt;10&lt;/ref-type&gt;&lt;contributors&gt;&lt;authors&gt;&lt;author&gt;Fonseca, Inácio&lt;/author&gt;&lt;author&gt;Martins, Nuno Cid&lt;/author&gt;&lt;author&gt;Lopes, Fernando&lt;/author&gt;&lt;/authors&gt;&lt;/contributors&gt;&lt;titles&gt;&lt;title&gt;Exploring interactive tools for education and online assessment: a comparative analysis&lt;/title&gt;&lt;secondary-title&gt;2024 21st International Conference on Information Technology Based Higher Education and Training (ITHET)&lt;/secondary-title&gt;&lt;/titles&gt;&lt;pages&gt;1-6&lt;/pages&gt;&lt;dates&gt;&lt;year&gt;2024&lt;/year&gt;&lt;/dates&gt;&lt;publisher&gt;IEEE&lt;/publisher&gt;&lt;isbn&gt;9798331516635&lt;/isbn&gt;&lt;urls&gt;&lt;/urls&gt;&lt;/record&gt;&lt;/Cite&gt;&lt;Cite&gt;&lt;Author&gt;Anđelković&lt;/Author&gt;&lt;Year&gt;2023&lt;/Year&gt;&lt;RecNum&gt;87&lt;/RecNum&gt;&lt;record&gt;&lt;rec-number&gt;87&lt;/rec-number&gt;&lt;foreign-keys&gt;&lt;key app="EN" db-id="9sd9xtv5kw92dre92z55rwvaxv9sfxvwtpvt" timestamp="1745488437"&gt;87&lt;/key&gt;&lt;/foreign-keys&gt;&lt;ref-type name="Conference Proceedings"&gt;10&lt;/ref-type&gt;&lt;contributors&gt;&lt;authors&gt;&lt;author&gt;Anđelković, Jelena&lt;/author&gt;&lt;/authors&gt;&lt;/contributors&gt;&lt;titles&gt;&lt;title&gt;Testing, assessment and evaluation in an online environment: a case study of tertiary ESP courses&lt;/title&gt;&lt;secondary-title&gt;International Scientific Conference on Economy, Management and Information Technologies&lt;/secondary-title&gt;&lt;/titles&gt;&lt;pages&gt;329-334&lt;/pages&gt;&lt;volume&gt;1&lt;/volume&gt;&lt;number&gt;1&lt;/number&gt;&lt;dates&gt;&lt;year&gt;2023&lt;/year&gt;&lt;/dates&gt;&lt;urls&gt;&lt;/urls&gt;&lt;/record&gt;&lt;/Cite&gt;&lt;/EndNote&gt;</w:instrText>
      </w:r>
      <w:r>
        <w:fldChar w:fldCharType="separate"/>
      </w:r>
      <w:r>
        <w:rPr>
          <w:noProof/>
        </w:rPr>
        <w:t>(Anđelković, 2023; Fonseca et al., 2024)</w:t>
      </w:r>
      <w:r>
        <w:fldChar w:fldCharType="end"/>
      </w:r>
      <w:r>
        <w:t>. Therefore, this study found that o</w:t>
      </w:r>
      <w:r w:rsidRPr="00053E54">
        <w:t>nline assessment platforms offer a wide range of options for students to demonstrate their learning, enhancing engagement and learning outcomes</w:t>
      </w:r>
      <w:r>
        <w:t xml:space="preserve"> through</w:t>
      </w:r>
      <w:r w:rsidRPr="00053E54">
        <w:t xml:space="preserve"> real-time feedback and flexibility, although careful selection and planning are necessary to address specific educational needs and challenges.</w:t>
      </w:r>
    </w:p>
    <w:p w14:paraId="434EA9A3" w14:textId="77777777" w:rsidR="0080789B" w:rsidRPr="009D36BE" w:rsidRDefault="0080789B" w:rsidP="0080789B">
      <w:pPr>
        <w:jc w:val="both"/>
      </w:pPr>
      <w:r>
        <w:t>As regards u</w:t>
      </w:r>
      <w:r w:rsidRPr="009D36BE">
        <w:t>sing assessment results to inform teaching</w:t>
      </w:r>
      <w:r>
        <w:t>, the</w:t>
      </w:r>
      <w:r w:rsidRPr="009D36BE">
        <w:t xml:space="preserve"> study show</w:t>
      </w:r>
      <w:r>
        <w:t>ed</w:t>
      </w:r>
      <w:r w:rsidRPr="009D36BE">
        <w:t xml:space="preserve"> </w:t>
      </w:r>
      <w:r>
        <w:t>varying reactions on whether</w:t>
      </w:r>
      <w:r w:rsidRPr="009D36BE">
        <w:t xml:space="preserve"> assessment results are used to adapt future teaching strategie</w:t>
      </w:r>
      <w:r>
        <w:t xml:space="preserve">s. Statistically, findings revealed that </w:t>
      </w:r>
      <w:r w:rsidRPr="009D36BE">
        <w:t xml:space="preserve">online instructors averaged 3.72, compared with 3.11 for those who do not teach online (t = 4.46, </w:t>
      </w:r>
      <w:r w:rsidRPr="009D36BE">
        <w:rPr>
          <w:i/>
          <w:iCs/>
        </w:rPr>
        <w:t>p</w:t>
      </w:r>
      <w:r w:rsidRPr="009D36BE">
        <w:t> &lt; 0.001). This study, therefore, affirms that online‑savvy instructors rely more heavily on assessment data to refine instruction.</w:t>
      </w:r>
      <w:r>
        <w:t xml:space="preserve"> </w:t>
      </w:r>
    </w:p>
    <w:p w14:paraId="3BCEB891" w14:textId="77777777" w:rsidR="0080789B" w:rsidRDefault="0080789B" w:rsidP="0080789B">
      <w:pPr>
        <w:jc w:val="both"/>
      </w:pPr>
      <w:r>
        <w:t>Moving to t</w:t>
      </w:r>
      <w:r w:rsidRPr="009D36BE">
        <w:t>imely and constructive feedback</w:t>
      </w:r>
      <w:r>
        <w:t xml:space="preserve">, the t-test showed evidence of </w:t>
      </w:r>
      <w:r w:rsidRPr="009D36BE">
        <w:t xml:space="preserve">a highly significant gap in the statement that feedback on online assessments is timely and constructive; instructors teaching online averaged 3.78, whereas non‑online instructors averaged 3.20 (t = 4.29, </w:t>
      </w:r>
      <w:r w:rsidRPr="009D36BE">
        <w:rPr>
          <w:i/>
          <w:iCs/>
        </w:rPr>
        <w:t>p</w:t>
      </w:r>
      <w:r w:rsidRPr="009D36BE">
        <w:t> &lt; 0.001). This study, therefore, affirms that online‑savvy instructors deliver more prompt, actionable feedback.</w:t>
      </w:r>
    </w:p>
    <w:p w14:paraId="048B712A" w14:textId="77777777" w:rsidR="0080789B" w:rsidRPr="000F3039" w:rsidRDefault="0080789B" w:rsidP="0080789B">
      <w:pPr>
        <w:spacing w:before="100" w:beforeAutospacing="1" w:after="100" w:afterAutospacing="1"/>
        <w:jc w:val="both"/>
        <w:rPr>
          <w:b/>
          <w:bCs/>
        </w:rPr>
      </w:pPr>
      <w:r w:rsidRPr="000F3039">
        <w:rPr>
          <w:b/>
          <w:bCs/>
        </w:rPr>
        <w:t>Choice Modelling</w:t>
      </w:r>
    </w:p>
    <w:p w14:paraId="74810D9B" w14:textId="77777777" w:rsidR="0080789B" w:rsidRPr="000F3039" w:rsidRDefault="0080789B" w:rsidP="0080789B">
      <w:pPr>
        <w:spacing w:before="100" w:beforeAutospacing="1" w:after="100" w:afterAutospacing="1"/>
        <w:jc w:val="both"/>
      </w:pPr>
      <w:r>
        <w:t>The conditional</w:t>
      </w:r>
      <w:r w:rsidRPr="00901EDA">
        <w:t xml:space="preserve"> logit (McFadden’s choice) model</w:t>
      </w:r>
      <w:r>
        <w:t xml:space="preserve"> </w:t>
      </w:r>
      <w:r w:rsidRPr="000F3039">
        <w:t>was employed to evaluate the choice of mode of instruction between physical/face-to-face, blended, and online</w:t>
      </w:r>
      <w:r>
        <w:t xml:space="preserve"> teaching in TVET. This model provides the best possible way of statistically evaluating a model that predicts the probability of choosing one option over the other. </w:t>
      </w:r>
    </w:p>
    <w:p w14:paraId="06CA743B" w14:textId="77777777" w:rsidR="00447AC7" w:rsidRDefault="00447AC7">
      <w:pPr>
        <w:rPr>
          <w:b/>
          <w:bCs/>
        </w:rPr>
      </w:pPr>
      <w:r>
        <w:rPr>
          <w:b/>
          <w:bCs/>
        </w:rPr>
        <w:br w:type="page"/>
      </w:r>
    </w:p>
    <w:p w14:paraId="15F3D9BD" w14:textId="2F23ADAC" w:rsidR="0080789B" w:rsidRPr="00E34BB1" w:rsidRDefault="0080789B" w:rsidP="0080789B">
      <w:pPr>
        <w:jc w:val="both"/>
        <w:rPr>
          <w:b/>
          <w:bCs/>
        </w:rPr>
      </w:pPr>
      <w:r w:rsidRPr="00E34BB1">
        <w:rPr>
          <w:b/>
          <w:bCs/>
        </w:rPr>
        <w:lastRenderedPageBreak/>
        <w:t xml:space="preserve">Table 2: Conditional logit choice model </w:t>
      </w:r>
    </w:p>
    <w:tbl>
      <w:tblPr>
        <w:tblW w:w="9712" w:type="dxa"/>
        <w:jc w:val="center"/>
        <w:tblLook w:val="04A0" w:firstRow="1" w:lastRow="0" w:firstColumn="1" w:lastColumn="0" w:noHBand="0" w:noVBand="1"/>
      </w:tblPr>
      <w:tblGrid>
        <w:gridCol w:w="1400"/>
        <w:gridCol w:w="1350"/>
        <w:gridCol w:w="1820"/>
        <w:gridCol w:w="1120"/>
        <w:gridCol w:w="979"/>
        <w:gridCol w:w="980"/>
        <w:gridCol w:w="1290"/>
        <w:gridCol w:w="1142"/>
      </w:tblGrid>
      <w:tr w:rsidR="0080789B" w:rsidRPr="006B7CC3" w14:paraId="25B35448" w14:textId="77777777" w:rsidTr="006B7CC3">
        <w:trPr>
          <w:trHeight w:val="20"/>
          <w:jc w:val="center"/>
        </w:trPr>
        <w:tc>
          <w:tcPr>
            <w:tcW w:w="1400" w:type="dxa"/>
            <w:tcBorders>
              <w:top w:val="nil"/>
              <w:left w:val="nil"/>
              <w:bottom w:val="nil"/>
              <w:right w:val="nil"/>
            </w:tcBorders>
            <w:noWrap/>
            <w:vAlign w:val="bottom"/>
            <w:hideMark/>
          </w:tcPr>
          <w:p w14:paraId="46F4E6D3"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3C480B36" w14:textId="77777777" w:rsidR="0080789B" w:rsidRPr="006B7CC3" w:rsidRDefault="0080789B" w:rsidP="00447AC7">
            <w:pPr>
              <w:jc w:val="both"/>
            </w:pPr>
          </w:p>
        </w:tc>
        <w:tc>
          <w:tcPr>
            <w:tcW w:w="1820" w:type="dxa"/>
            <w:tcBorders>
              <w:top w:val="nil"/>
              <w:left w:val="nil"/>
              <w:bottom w:val="nil"/>
              <w:right w:val="nil"/>
            </w:tcBorders>
            <w:noWrap/>
            <w:vAlign w:val="bottom"/>
            <w:hideMark/>
          </w:tcPr>
          <w:p w14:paraId="32E2F94D" w14:textId="77777777" w:rsidR="0080789B" w:rsidRPr="006B7CC3" w:rsidRDefault="0080789B" w:rsidP="00447AC7">
            <w:pPr>
              <w:jc w:val="both"/>
            </w:pPr>
          </w:p>
        </w:tc>
        <w:tc>
          <w:tcPr>
            <w:tcW w:w="1120" w:type="dxa"/>
            <w:tcBorders>
              <w:top w:val="nil"/>
              <w:left w:val="nil"/>
              <w:bottom w:val="nil"/>
              <w:right w:val="nil"/>
            </w:tcBorders>
            <w:noWrap/>
            <w:vAlign w:val="bottom"/>
            <w:hideMark/>
          </w:tcPr>
          <w:p w14:paraId="4882BAEA" w14:textId="77777777" w:rsidR="0080789B" w:rsidRPr="006B7CC3" w:rsidRDefault="0080789B" w:rsidP="00447AC7">
            <w:pPr>
              <w:jc w:val="both"/>
            </w:pPr>
          </w:p>
        </w:tc>
        <w:tc>
          <w:tcPr>
            <w:tcW w:w="1959" w:type="dxa"/>
            <w:gridSpan w:val="2"/>
            <w:tcBorders>
              <w:top w:val="nil"/>
              <w:left w:val="nil"/>
              <w:bottom w:val="nil"/>
              <w:right w:val="nil"/>
            </w:tcBorders>
            <w:noWrap/>
            <w:vAlign w:val="bottom"/>
            <w:hideMark/>
          </w:tcPr>
          <w:p w14:paraId="5A4988D6" w14:textId="77777777" w:rsidR="0080789B" w:rsidRPr="006B7CC3" w:rsidRDefault="0080789B" w:rsidP="00447AC7">
            <w:pPr>
              <w:jc w:val="both"/>
              <w:rPr>
                <w:color w:val="000000"/>
              </w:rPr>
            </w:pPr>
            <w:r w:rsidRPr="006B7CC3">
              <w:rPr>
                <w:color w:val="000000"/>
              </w:rPr>
              <w:t>Number of obs</w:t>
            </w:r>
          </w:p>
        </w:tc>
        <w:tc>
          <w:tcPr>
            <w:tcW w:w="1290" w:type="dxa"/>
            <w:tcBorders>
              <w:top w:val="nil"/>
              <w:left w:val="nil"/>
              <w:bottom w:val="nil"/>
              <w:right w:val="nil"/>
            </w:tcBorders>
            <w:noWrap/>
            <w:vAlign w:val="bottom"/>
            <w:hideMark/>
          </w:tcPr>
          <w:p w14:paraId="52134DD0" w14:textId="77777777" w:rsidR="0080789B" w:rsidRPr="006B7CC3" w:rsidRDefault="0080789B" w:rsidP="00447AC7">
            <w:pPr>
              <w:jc w:val="both"/>
              <w:rPr>
                <w:color w:val="000000"/>
              </w:rPr>
            </w:pPr>
            <w:r w:rsidRPr="006B7CC3">
              <w:rPr>
                <w:color w:val="000000"/>
              </w:rPr>
              <w:t>=</w:t>
            </w:r>
          </w:p>
        </w:tc>
        <w:tc>
          <w:tcPr>
            <w:tcW w:w="1142" w:type="dxa"/>
            <w:tcBorders>
              <w:top w:val="nil"/>
              <w:left w:val="nil"/>
              <w:bottom w:val="nil"/>
              <w:right w:val="nil"/>
            </w:tcBorders>
            <w:noWrap/>
            <w:vAlign w:val="bottom"/>
            <w:hideMark/>
          </w:tcPr>
          <w:p w14:paraId="499CF6C2" w14:textId="77777777" w:rsidR="0080789B" w:rsidRPr="006B7CC3" w:rsidRDefault="0080789B" w:rsidP="00447AC7">
            <w:pPr>
              <w:jc w:val="both"/>
              <w:rPr>
                <w:color w:val="000000"/>
              </w:rPr>
            </w:pPr>
            <w:r w:rsidRPr="006B7CC3">
              <w:rPr>
                <w:color w:val="000000"/>
              </w:rPr>
              <w:t>480</w:t>
            </w:r>
          </w:p>
        </w:tc>
      </w:tr>
      <w:tr w:rsidR="0080789B" w:rsidRPr="006B7CC3" w14:paraId="737ACA8F" w14:textId="77777777" w:rsidTr="006B7CC3">
        <w:trPr>
          <w:trHeight w:val="20"/>
          <w:jc w:val="center"/>
        </w:trPr>
        <w:tc>
          <w:tcPr>
            <w:tcW w:w="1400" w:type="dxa"/>
            <w:tcBorders>
              <w:top w:val="nil"/>
              <w:left w:val="nil"/>
              <w:bottom w:val="nil"/>
              <w:right w:val="nil"/>
            </w:tcBorders>
            <w:noWrap/>
            <w:vAlign w:val="bottom"/>
            <w:hideMark/>
          </w:tcPr>
          <w:p w14:paraId="6BB525E5" w14:textId="77777777" w:rsidR="0080789B" w:rsidRPr="006B7CC3" w:rsidRDefault="0080789B" w:rsidP="00447AC7">
            <w:pPr>
              <w:jc w:val="both"/>
              <w:rPr>
                <w:color w:val="000000"/>
              </w:rPr>
            </w:pPr>
          </w:p>
        </w:tc>
        <w:tc>
          <w:tcPr>
            <w:tcW w:w="2800" w:type="dxa"/>
            <w:gridSpan w:val="2"/>
            <w:tcBorders>
              <w:top w:val="nil"/>
              <w:left w:val="nil"/>
              <w:bottom w:val="nil"/>
              <w:right w:val="nil"/>
            </w:tcBorders>
            <w:noWrap/>
            <w:vAlign w:val="bottom"/>
            <w:hideMark/>
          </w:tcPr>
          <w:p w14:paraId="1F7BB6EF" w14:textId="77777777" w:rsidR="0080789B" w:rsidRPr="006B7CC3" w:rsidRDefault="0080789B" w:rsidP="00447AC7">
            <w:pPr>
              <w:jc w:val="both"/>
              <w:rPr>
                <w:color w:val="000000"/>
              </w:rPr>
            </w:pPr>
            <w:r w:rsidRPr="006B7CC3">
              <w:rPr>
                <w:color w:val="000000"/>
              </w:rPr>
              <w:t>Case ID variable: id</w:t>
            </w:r>
          </w:p>
        </w:tc>
        <w:tc>
          <w:tcPr>
            <w:tcW w:w="1120" w:type="dxa"/>
            <w:tcBorders>
              <w:top w:val="nil"/>
              <w:left w:val="nil"/>
              <w:bottom w:val="nil"/>
              <w:right w:val="nil"/>
            </w:tcBorders>
            <w:noWrap/>
            <w:vAlign w:val="bottom"/>
            <w:hideMark/>
          </w:tcPr>
          <w:p w14:paraId="6825A24C" w14:textId="77777777" w:rsidR="0080789B" w:rsidRPr="006B7CC3" w:rsidRDefault="0080789B" w:rsidP="00447AC7">
            <w:pPr>
              <w:jc w:val="both"/>
              <w:rPr>
                <w:color w:val="000000"/>
              </w:rPr>
            </w:pPr>
          </w:p>
        </w:tc>
        <w:tc>
          <w:tcPr>
            <w:tcW w:w="1959" w:type="dxa"/>
            <w:gridSpan w:val="2"/>
            <w:tcBorders>
              <w:top w:val="nil"/>
              <w:left w:val="nil"/>
              <w:bottom w:val="nil"/>
              <w:right w:val="nil"/>
            </w:tcBorders>
            <w:noWrap/>
            <w:vAlign w:val="bottom"/>
            <w:hideMark/>
          </w:tcPr>
          <w:p w14:paraId="06D035A6" w14:textId="77777777" w:rsidR="0080789B" w:rsidRPr="006B7CC3" w:rsidRDefault="0080789B" w:rsidP="00447AC7">
            <w:pPr>
              <w:jc w:val="both"/>
              <w:rPr>
                <w:color w:val="000000"/>
              </w:rPr>
            </w:pPr>
            <w:r w:rsidRPr="006B7CC3">
              <w:rPr>
                <w:color w:val="000000"/>
              </w:rPr>
              <w:t>Number of cases</w:t>
            </w:r>
          </w:p>
        </w:tc>
        <w:tc>
          <w:tcPr>
            <w:tcW w:w="1290" w:type="dxa"/>
            <w:tcBorders>
              <w:top w:val="nil"/>
              <w:left w:val="nil"/>
              <w:bottom w:val="nil"/>
              <w:right w:val="nil"/>
            </w:tcBorders>
            <w:noWrap/>
            <w:vAlign w:val="bottom"/>
            <w:hideMark/>
          </w:tcPr>
          <w:p w14:paraId="7CA6D454" w14:textId="77777777" w:rsidR="0080789B" w:rsidRPr="006B7CC3" w:rsidRDefault="0080789B" w:rsidP="00447AC7">
            <w:pPr>
              <w:jc w:val="both"/>
              <w:rPr>
                <w:color w:val="000000"/>
              </w:rPr>
            </w:pPr>
            <w:r w:rsidRPr="006B7CC3">
              <w:rPr>
                <w:color w:val="000000"/>
              </w:rPr>
              <w:t>=</w:t>
            </w:r>
          </w:p>
        </w:tc>
        <w:tc>
          <w:tcPr>
            <w:tcW w:w="1142" w:type="dxa"/>
            <w:tcBorders>
              <w:top w:val="nil"/>
              <w:left w:val="nil"/>
              <w:bottom w:val="nil"/>
              <w:right w:val="nil"/>
            </w:tcBorders>
            <w:noWrap/>
            <w:vAlign w:val="bottom"/>
            <w:hideMark/>
          </w:tcPr>
          <w:p w14:paraId="272C8F1B" w14:textId="77777777" w:rsidR="0080789B" w:rsidRPr="006B7CC3" w:rsidRDefault="0080789B" w:rsidP="00447AC7">
            <w:pPr>
              <w:jc w:val="both"/>
              <w:rPr>
                <w:color w:val="000000"/>
              </w:rPr>
            </w:pPr>
            <w:r w:rsidRPr="006B7CC3">
              <w:rPr>
                <w:color w:val="000000"/>
              </w:rPr>
              <w:t>120</w:t>
            </w:r>
          </w:p>
        </w:tc>
      </w:tr>
      <w:tr w:rsidR="0080789B" w:rsidRPr="006B7CC3" w14:paraId="0AB4B592" w14:textId="77777777" w:rsidTr="006B7CC3">
        <w:trPr>
          <w:trHeight w:val="20"/>
          <w:jc w:val="center"/>
        </w:trPr>
        <w:tc>
          <w:tcPr>
            <w:tcW w:w="1400" w:type="dxa"/>
            <w:tcBorders>
              <w:top w:val="nil"/>
              <w:left w:val="nil"/>
              <w:bottom w:val="nil"/>
              <w:right w:val="nil"/>
            </w:tcBorders>
            <w:noWrap/>
            <w:vAlign w:val="bottom"/>
            <w:hideMark/>
          </w:tcPr>
          <w:p w14:paraId="48B9C24A" w14:textId="77777777" w:rsidR="0080789B" w:rsidRPr="006B7CC3" w:rsidRDefault="0080789B" w:rsidP="00447AC7">
            <w:pPr>
              <w:jc w:val="both"/>
              <w:rPr>
                <w:color w:val="000000"/>
              </w:rPr>
            </w:pPr>
          </w:p>
        </w:tc>
        <w:tc>
          <w:tcPr>
            <w:tcW w:w="979" w:type="dxa"/>
            <w:tcBorders>
              <w:top w:val="nil"/>
              <w:left w:val="nil"/>
              <w:bottom w:val="nil"/>
              <w:right w:val="nil"/>
            </w:tcBorders>
            <w:noWrap/>
            <w:vAlign w:val="bottom"/>
            <w:hideMark/>
          </w:tcPr>
          <w:p w14:paraId="195F71EB" w14:textId="77777777" w:rsidR="0080789B" w:rsidRPr="006B7CC3" w:rsidRDefault="0080789B" w:rsidP="00447AC7">
            <w:pPr>
              <w:jc w:val="both"/>
            </w:pPr>
          </w:p>
        </w:tc>
        <w:tc>
          <w:tcPr>
            <w:tcW w:w="1820" w:type="dxa"/>
            <w:tcBorders>
              <w:top w:val="nil"/>
              <w:left w:val="nil"/>
              <w:bottom w:val="nil"/>
              <w:right w:val="nil"/>
            </w:tcBorders>
            <w:noWrap/>
            <w:vAlign w:val="bottom"/>
            <w:hideMark/>
          </w:tcPr>
          <w:p w14:paraId="7DA20076" w14:textId="77777777" w:rsidR="0080789B" w:rsidRPr="006B7CC3" w:rsidRDefault="0080789B" w:rsidP="00447AC7">
            <w:pPr>
              <w:jc w:val="both"/>
            </w:pPr>
          </w:p>
        </w:tc>
        <w:tc>
          <w:tcPr>
            <w:tcW w:w="1120" w:type="dxa"/>
            <w:tcBorders>
              <w:top w:val="nil"/>
              <w:left w:val="nil"/>
              <w:bottom w:val="nil"/>
              <w:right w:val="nil"/>
            </w:tcBorders>
            <w:noWrap/>
            <w:vAlign w:val="bottom"/>
            <w:hideMark/>
          </w:tcPr>
          <w:p w14:paraId="4AF8A2A2"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3F83ECC1"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431E8207" w14:textId="77777777" w:rsidR="0080789B" w:rsidRPr="006B7CC3" w:rsidRDefault="0080789B" w:rsidP="00447AC7">
            <w:pPr>
              <w:jc w:val="both"/>
            </w:pPr>
          </w:p>
        </w:tc>
        <w:tc>
          <w:tcPr>
            <w:tcW w:w="1290" w:type="dxa"/>
            <w:tcBorders>
              <w:top w:val="nil"/>
              <w:left w:val="nil"/>
              <w:bottom w:val="nil"/>
              <w:right w:val="nil"/>
            </w:tcBorders>
            <w:noWrap/>
            <w:vAlign w:val="bottom"/>
            <w:hideMark/>
          </w:tcPr>
          <w:p w14:paraId="046F1F30" w14:textId="77777777" w:rsidR="0080789B" w:rsidRPr="006B7CC3" w:rsidRDefault="0080789B" w:rsidP="00447AC7">
            <w:pPr>
              <w:jc w:val="both"/>
            </w:pPr>
          </w:p>
        </w:tc>
        <w:tc>
          <w:tcPr>
            <w:tcW w:w="1142" w:type="dxa"/>
            <w:tcBorders>
              <w:top w:val="nil"/>
              <w:left w:val="nil"/>
              <w:bottom w:val="nil"/>
              <w:right w:val="nil"/>
            </w:tcBorders>
            <w:noWrap/>
            <w:vAlign w:val="bottom"/>
            <w:hideMark/>
          </w:tcPr>
          <w:p w14:paraId="360C2358" w14:textId="77777777" w:rsidR="0080789B" w:rsidRPr="006B7CC3" w:rsidRDefault="0080789B" w:rsidP="00447AC7">
            <w:pPr>
              <w:jc w:val="both"/>
            </w:pPr>
          </w:p>
        </w:tc>
      </w:tr>
      <w:tr w:rsidR="0080789B" w:rsidRPr="006B7CC3" w14:paraId="721428F1" w14:textId="77777777" w:rsidTr="006B7CC3">
        <w:trPr>
          <w:trHeight w:val="20"/>
          <w:jc w:val="center"/>
        </w:trPr>
        <w:tc>
          <w:tcPr>
            <w:tcW w:w="4201" w:type="dxa"/>
            <w:gridSpan w:val="3"/>
            <w:tcBorders>
              <w:top w:val="nil"/>
              <w:left w:val="nil"/>
              <w:bottom w:val="nil"/>
              <w:right w:val="nil"/>
            </w:tcBorders>
            <w:noWrap/>
            <w:vAlign w:val="bottom"/>
            <w:hideMark/>
          </w:tcPr>
          <w:p w14:paraId="51A66A45" w14:textId="77777777" w:rsidR="0080789B" w:rsidRPr="006B7CC3" w:rsidRDefault="0080789B" w:rsidP="00447AC7">
            <w:pPr>
              <w:jc w:val="both"/>
              <w:rPr>
                <w:color w:val="000000"/>
              </w:rPr>
            </w:pPr>
            <w:r w:rsidRPr="006B7CC3">
              <w:rPr>
                <w:color w:val="000000"/>
              </w:rPr>
              <w:t>Alternatives variable: mode</w:t>
            </w:r>
          </w:p>
        </w:tc>
        <w:tc>
          <w:tcPr>
            <w:tcW w:w="1120" w:type="dxa"/>
            <w:tcBorders>
              <w:top w:val="nil"/>
              <w:left w:val="nil"/>
              <w:bottom w:val="nil"/>
              <w:right w:val="nil"/>
            </w:tcBorders>
            <w:noWrap/>
            <w:vAlign w:val="bottom"/>
            <w:hideMark/>
          </w:tcPr>
          <w:p w14:paraId="7847B6CC" w14:textId="77777777" w:rsidR="0080789B" w:rsidRPr="006B7CC3" w:rsidRDefault="0080789B" w:rsidP="00447AC7">
            <w:pPr>
              <w:jc w:val="both"/>
              <w:rPr>
                <w:color w:val="000000"/>
              </w:rPr>
            </w:pPr>
          </w:p>
        </w:tc>
        <w:tc>
          <w:tcPr>
            <w:tcW w:w="1959" w:type="dxa"/>
            <w:gridSpan w:val="2"/>
            <w:tcBorders>
              <w:top w:val="nil"/>
              <w:left w:val="nil"/>
              <w:bottom w:val="nil"/>
              <w:right w:val="nil"/>
            </w:tcBorders>
            <w:noWrap/>
            <w:vAlign w:val="bottom"/>
            <w:hideMark/>
          </w:tcPr>
          <w:p w14:paraId="723CB93A" w14:textId="77777777" w:rsidR="0080789B" w:rsidRPr="006B7CC3" w:rsidRDefault="0080789B" w:rsidP="00447AC7">
            <w:pPr>
              <w:jc w:val="both"/>
              <w:rPr>
                <w:color w:val="000000"/>
              </w:rPr>
            </w:pPr>
            <w:r w:rsidRPr="006B7CC3">
              <w:rPr>
                <w:color w:val="000000"/>
              </w:rPr>
              <w:t>Alts per case: min</w:t>
            </w:r>
          </w:p>
        </w:tc>
        <w:tc>
          <w:tcPr>
            <w:tcW w:w="1290" w:type="dxa"/>
            <w:tcBorders>
              <w:top w:val="nil"/>
              <w:left w:val="nil"/>
              <w:bottom w:val="nil"/>
              <w:right w:val="nil"/>
            </w:tcBorders>
            <w:noWrap/>
            <w:vAlign w:val="bottom"/>
            <w:hideMark/>
          </w:tcPr>
          <w:p w14:paraId="1E9ACF7F" w14:textId="77777777" w:rsidR="0080789B" w:rsidRPr="006B7CC3" w:rsidRDefault="0080789B" w:rsidP="00447AC7">
            <w:pPr>
              <w:jc w:val="both"/>
              <w:rPr>
                <w:color w:val="000000"/>
              </w:rPr>
            </w:pPr>
            <w:r w:rsidRPr="006B7CC3">
              <w:rPr>
                <w:color w:val="000000"/>
              </w:rPr>
              <w:t>=</w:t>
            </w:r>
          </w:p>
        </w:tc>
        <w:tc>
          <w:tcPr>
            <w:tcW w:w="1142" w:type="dxa"/>
            <w:tcBorders>
              <w:top w:val="nil"/>
              <w:left w:val="nil"/>
              <w:bottom w:val="nil"/>
              <w:right w:val="nil"/>
            </w:tcBorders>
            <w:noWrap/>
            <w:vAlign w:val="bottom"/>
            <w:hideMark/>
          </w:tcPr>
          <w:p w14:paraId="3417047E" w14:textId="77777777" w:rsidR="0080789B" w:rsidRPr="006B7CC3" w:rsidRDefault="0080789B" w:rsidP="00447AC7">
            <w:pPr>
              <w:jc w:val="both"/>
              <w:rPr>
                <w:color w:val="000000"/>
              </w:rPr>
            </w:pPr>
            <w:r w:rsidRPr="006B7CC3">
              <w:rPr>
                <w:color w:val="000000"/>
              </w:rPr>
              <w:t>4</w:t>
            </w:r>
          </w:p>
        </w:tc>
      </w:tr>
      <w:tr w:rsidR="0080789B" w:rsidRPr="006B7CC3" w14:paraId="24D3DE18" w14:textId="77777777" w:rsidTr="006B7CC3">
        <w:trPr>
          <w:trHeight w:val="20"/>
          <w:jc w:val="center"/>
        </w:trPr>
        <w:tc>
          <w:tcPr>
            <w:tcW w:w="1400" w:type="dxa"/>
            <w:tcBorders>
              <w:top w:val="nil"/>
              <w:left w:val="nil"/>
              <w:bottom w:val="nil"/>
              <w:right w:val="nil"/>
            </w:tcBorders>
            <w:noWrap/>
            <w:vAlign w:val="bottom"/>
            <w:hideMark/>
          </w:tcPr>
          <w:p w14:paraId="0A739738" w14:textId="77777777" w:rsidR="0080789B" w:rsidRPr="006B7CC3" w:rsidRDefault="0080789B" w:rsidP="00447AC7">
            <w:pPr>
              <w:jc w:val="both"/>
              <w:rPr>
                <w:color w:val="000000"/>
              </w:rPr>
            </w:pPr>
          </w:p>
        </w:tc>
        <w:tc>
          <w:tcPr>
            <w:tcW w:w="979" w:type="dxa"/>
            <w:tcBorders>
              <w:top w:val="nil"/>
              <w:left w:val="nil"/>
              <w:bottom w:val="nil"/>
              <w:right w:val="nil"/>
            </w:tcBorders>
            <w:noWrap/>
            <w:vAlign w:val="bottom"/>
            <w:hideMark/>
          </w:tcPr>
          <w:p w14:paraId="0F7D07F4" w14:textId="77777777" w:rsidR="0080789B" w:rsidRPr="006B7CC3" w:rsidRDefault="0080789B" w:rsidP="00447AC7">
            <w:pPr>
              <w:jc w:val="both"/>
            </w:pPr>
          </w:p>
        </w:tc>
        <w:tc>
          <w:tcPr>
            <w:tcW w:w="1820" w:type="dxa"/>
            <w:tcBorders>
              <w:top w:val="nil"/>
              <w:left w:val="nil"/>
              <w:bottom w:val="nil"/>
              <w:right w:val="nil"/>
            </w:tcBorders>
            <w:noWrap/>
            <w:vAlign w:val="bottom"/>
            <w:hideMark/>
          </w:tcPr>
          <w:p w14:paraId="4AA6CF7E" w14:textId="77777777" w:rsidR="0080789B" w:rsidRPr="006B7CC3" w:rsidRDefault="0080789B" w:rsidP="00447AC7">
            <w:pPr>
              <w:jc w:val="both"/>
            </w:pPr>
          </w:p>
        </w:tc>
        <w:tc>
          <w:tcPr>
            <w:tcW w:w="1120" w:type="dxa"/>
            <w:tcBorders>
              <w:top w:val="nil"/>
              <w:left w:val="nil"/>
              <w:bottom w:val="nil"/>
              <w:right w:val="nil"/>
            </w:tcBorders>
            <w:noWrap/>
            <w:vAlign w:val="bottom"/>
            <w:hideMark/>
          </w:tcPr>
          <w:p w14:paraId="7C72E2EC" w14:textId="77777777" w:rsidR="0080789B" w:rsidRPr="006B7CC3" w:rsidRDefault="0080789B" w:rsidP="00447AC7">
            <w:pPr>
              <w:jc w:val="both"/>
            </w:pPr>
          </w:p>
        </w:tc>
        <w:tc>
          <w:tcPr>
            <w:tcW w:w="1959" w:type="dxa"/>
            <w:gridSpan w:val="2"/>
            <w:tcBorders>
              <w:top w:val="nil"/>
              <w:left w:val="nil"/>
              <w:bottom w:val="nil"/>
              <w:right w:val="nil"/>
            </w:tcBorders>
            <w:noWrap/>
            <w:vAlign w:val="bottom"/>
            <w:hideMark/>
          </w:tcPr>
          <w:p w14:paraId="5E7862E1" w14:textId="77777777" w:rsidR="0080789B" w:rsidRPr="006B7CC3" w:rsidRDefault="0080789B" w:rsidP="00447AC7">
            <w:pPr>
              <w:jc w:val="both"/>
              <w:rPr>
                <w:color w:val="000000"/>
              </w:rPr>
            </w:pPr>
            <w:r w:rsidRPr="006B7CC3">
              <w:rPr>
                <w:color w:val="000000"/>
              </w:rPr>
              <w:t>avg</w:t>
            </w:r>
          </w:p>
        </w:tc>
        <w:tc>
          <w:tcPr>
            <w:tcW w:w="1290" w:type="dxa"/>
            <w:tcBorders>
              <w:top w:val="nil"/>
              <w:left w:val="nil"/>
              <w:bottom w:val="nil"/>
              <w:right w:val="nil"/>
            </w:tcBorders>
            <w:noWrap/>
            <w:vAlign w:val="bottom"/>
            <w:hideMark/>
          </w:tcPr>
          <w:p w14:paraId="4B764859" w14:textId="77777777" w:rsidR="0080789B" w:rsidRPr="006B7CC3" w:rsidRDefault="0080789B" w:rsidP="00447AC7">
            <w:pPr>
              <w:jc w:val="both"/>
              <w:rPr>
                <w:color w:val="000000"/>
              </w:rPr>
            </w:pPr>
            <w:r w:rsidRPr="006B7CC3">
              <w:rPr>
                <w:color w:val="000000"/>
              </w:rPr>
              <w:t>=</w:t>
            </w:r>
          </w:p>
        </w:tc>
        <w:tc>
          <w:tcPr>
            <w:tcW w:w="1142" w:type="dxa"/>
            <w:tcBorders>
              <w:top w:val="nil"/>
              <w:left w:val="nil"/>
              <w:bottom w:val="nil"/>
              <w:right w:val="nil"/>
            </w:tcBorders>
            <w:noWrap/>
            <w:vAlign w:val="bottom"/>
            <w:hideMark/>
          </w:tcPr>
          <w:p w14:paraId="13C26CC8" w14:textId="77777777" w:rsidR="0080789B" w:rsidRPr="006B7CC3" w:rsidRDefault="0080789B" w:rsidP="00447AC7">
            <w:pPr>
              <w:jc w:val="both"/>
              <w:rPr>
                <w:color w:val="000000"/>
              </w:rPr>
            </w:pPr>
            <w:r w:rsidRPr="006B7CC3">
              <w:rPr>
                <w:color w:val="000000"/>
              </w:rPr>
              <w:t>4.0</w:t>
            </w:r>
          </w:p>
        </w:tc>
      </w:tr>
      <w:tr w:rsidR="0080789B" w:rsidRPr="006B7CC3" w14:paraId="566895BA" w14:textId="77777777" w:rsidTr="006B7CC3">
        <w:trPr>
          <w:trHeight w:val="20"/>
          <w:jc w:val="center"/>
        </w:trPr>
        <w:tc>
          <w:tcPr>
            <w:tcW w:w="1400" w:type="dxa"/>
            <w:tcBorders>
              <w:top w:val="nil"/>
              <w:left w:val="nil"/>
              <w:bottom w:val="nil"/>
              <w:right w:val="nil"/>
            </w:tcBorders>
            <w:noWrap/>
            <w:vAlign w:val="bottom"/>
            <w:hideMark/>
          </w:tcPr>
          <w:p w14:paraId="6EFC035A" w14:textId="77777777" w:rsidR="0080789B" w:rsidRPr="006B7CC3" w:rsidRDefault="0080789B" w:rsidP="00447AC7">
            <w:pPr>
              <w:jc w:val="both"/>
              <w:rPr>
                <w:color w:val="000000"/>
              </w:rPr>
            </w:pPr>
          </w:p>
        </w:tc>
        <w:tc>
          <w:tcPr>
            <w:tcW w:w="979" w:type="dxa"/>
            <w:tcBorders>
              <w:top w:val="nil"/>
              <w:left w:val="nil"/>
              <w:bottom w:val="nil"/>
              <w:right w:val="nil"/>
            </w:tcBorders>
            <w:noWrap/>
            <w:vAlign w:val="bottom"/>
            <w:hideMark/>
          </w:tcPr>
          <w:p w14:paraId="55197C38" w14:textId="77777777" w:rsidR="0080789B" w:rsidRPr="006B7CC3" w:rsidRDefault="0080789B" w:rsidP="00447AC7">
            <w:pPr>
              <w:jc w:val="both"/>
            </w:pPr>
          </w:p>
        </w:tc>
        <w:tc>
          <w:tcPr>
            <w:tcW w:w="1820" w:type="dxa"/>
            <w:tcBorders>
              <w:top w:val="nil"/>
              <w:left w:val="nil"/>
              <w:bottom w:val="nil"/>
              <w:right w:val="nil"/>
            </w:tcBorders>
            <w:noWrap/>
            <w:vAlign w:val="bottom"/>
            <w:hideMark/>
          </w:tcPr>
          <w:p w14:paraId="4DBF592B" w14:textId="77777777" w:rsidR="0080789B" w:rsidRPr="006B7CC3" w:rsidRDefault="0080789B" w:rsidP="00447AC7">
            <w:pPr>
              <w:jc w:val="both"/>
            </w:pPr>
          </w:p>
        </w:tc>
        <w:tc>
          <w:tcPr>
            <w:tcW w:w="1120" w:type="dxa"/>
            <w:tcBorders>
              <w:top w:val="nil"/>
              <w:left w:val="nil"/>
              <w:bottom w:val="nil"/>
              <w:right w:val="nil"/>
            </w:tcBorders>
            <w:noWrap/>
            <w:vAlign w:val="bottom"/>
            <w:hideMark/>
          </w:tcPr>
          <w:p w14:paraId="40CCA4E2"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05DE38EA"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393A0F12" w14:textId="77777777" w:rsidR="0080789B" w:rsidRPr="006B7CC3" w:rsidRDefault="0080789B" w:rsidP="00447AC7">
            <w:pPr>
              <w:jc w:val="both"/>
              <w:rPr>
                <w:color w:val="000000"/>
              </w:rPr>
            </w:pPr>
            <w:r w:rsidRPr="006B7CC3">
              <w:rPr>
                <w:color w:val="000000"/>
              </w:rPr>
              <w:t>max</w:t>
            </w:r>
          </w:p>
        </w:tc>
        <w:tc>
          <w:tcPr>
            <w:tcW w:w="1290" w:type="dxa"/>
            <w:tcBorders>
              <w:top w:val="nil"/>
              <w:left w:val="nil"/>
              <w:bottom w:val="nil"/>
              <w:right w:val="nil"/>
            </w:tcBorders>
            <w:noWrap/>
            <w:vAlign w:val="bottom"/>
            <w:hideMark/>
          </w:tcPr>
          <w:p w14:paraId="036109DF" w14:textId="77777777" w:rsidR="0080789B" w:rsidRPr="006B7CC3" w:rsidRDefault="0080789B" w:rsidP="00447AC7">
            <w:pPr>
              <w:jc w:val="both"/>
              <w:rPr>
                <w:color w:val="000000"/>
              </w:rPr>
            </w:pPr>
            <w:r w:rsidRPr="006B7CC3">
              <w:rPr>
                <w:color w:val="000000"/>
              </w:rPr>
              <w:t>=</w:t>
            </w:r>
          </w:p>
        </w:tc>
        <w:tc>
          <w:tcPr>
            <w:tcW w:w="1142" w:type="dxa"/>
            <w:tcBorders>
              <w:top w:val="nil"/>
              <w:left w:val="nil"/>
              <w:bottom w:val="nil"/>
              <w:right w:val="nil"/>
            </w:tcBorders>
            <w:noWrap/>
            <w:vAlign w:val="bottom"/>
            <w:hideMark/>
          </w:tcPr>
          <w:p w14:paraId="3CC46BCE" w14:textId="77777777" w:rsidR="0080789B" w:rsidRPr="006B7CC3" w:rsidRDefault="0080789B" w:rsidP="00447AC7">
            <w:pPr>
              <w:jc w:val="both"/>
              <w:rPr>
                <w:color w:val="000000"/>
              </w:rPr>
            </w:pPr>
            <w:r w:rsidRPr="006B7CC3">
              <w:rPr>
                <w:color w:val="000000"/>
              </w:rPr>
              <w:t>4</w:t>
            </w:r>
          </w:p>
        </w:tc>
      </w:tr>
      <w:tr w:rsidR="0080789B" w:rsidRPr="006B7CC3" w14:paraId="201B57CA" w14:textId="77777777" w:rsidTr="006B7CC3">
        <w:trPr>
          <w:trHeight w:val="20"/>
          <w:jc w:val="center"/>
        </w:trPr>
        <w:tc>
          <w:tcPr>
            <w:tcW w:w="1400" w:type="dxa"/>
            <w:tcBorders>
              <w:top w:val="nil"/>
              <w:left w:val="nil"/>
              <w:bottom w:val="nil"/>
              <w:right w:val="nil"/>
            </w:tcBorders>
            <w:noWrap/>
            <w:vAlign w:val="bottom"/>
            <w:hideMark/>
          </w:tcPr>
          <w:p w14:paraId="0544DCE3" w14:textId="77777777" w:rsidR="0080789B" w:rsidRPr="006B7CC3" w:rsidRDefault="0080789B" w:rsidP="00447AC7">
            <w:pPr>
              <w:jc w:val="both"/>
              <w:rPr>
                <w:color w:val="000000"/>
              </w:rPr>
            </w:pPr>
          </w:p>
        </w:tc>
        <w:tc>
          <w:tcPr>
            <w:tcW w:w="979" w:type="dxa"/>
            <w:tcBorders>
              <w:top w:val="nil"/>
              <w:left w:val="nil"/>
              <w:bottom w:val="nil"/>
              <w:right w:val="nil"/>
            </w:tcBorders>
            <w:noWrap/>
            <w:vAlign w:val="bottom"/>
            <w:hideMark/>
          </w:tcPr>
          <w:p w14:paraId="3DDA9B8D" w14:textId="77777777" w:rsidR="0080789B" w:rsidRPr="006B7CC3" w:rsidRDefault="0080789B" w:rsidP="00447AC7">
            <w:pPr>
              <w:jc w:val="both"/>
            </w:pPr>
          </w:p>
        </w:tc>
        <w:tc>
          <w:tcPr>
            <w:tcW w:w="1820" w:type="dxa"/>
            <w:tcBorders>
              <w:top w:val="nil"/>
              <w:left w:val="nil"/>
              <w:bottom w:val="nil"/>
              <w:right w:val="nil"/>
            </w:tcBorders>
            <w:noWrap/>
            <w:vAlign w:val="bottom"/>
            <w:hideMark/>
          </w:tcPr>
          <w:p w14:paraId="068E34B6" w14:textId="77777777" w:rsidR="0080789B" w:rsidRPr="006B7CC3" w:rsidRDefault="0080789B" w:rsidP="00447AC7">
            <w:pPr>
              <w:jc w:val="both"/>
            </w:pPr>
          </w:p>
        </w:tc>
        <w:tc>
          <w:tcPr>
            <w:tcW w:w="1120" w:type="dxa"/>
            <w:tcBorders>
              <w:top w:val="nil"/>
              <w:left w:val="nil"/>
              <w:bottom w:val="nil"/>
              <w:right w:val="nil"/>
            </w:tcBorders>
            <w:noWrap/>
            <w:vAlign w:val="bottom"/>
            <w:hideMark/>
          </w:tcPr>
          <w:p w14:paraId="1888DE58"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55C6A099"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400BE420" w14:textId="77777777" w:rsidR="0080789B" w:rsidRPr="006B7CC3" w:rsidRDefault="0080789B" w:rsidP="00447AC7">
            <w:pPr>
              <w:jc w:val="both"/>
            </w:pPr>
          </w:p>
        </w:tc>
        <w:tc>
          <w:tcPr>
            <w:tcW w:w="1290" w:type="dxa"/>
            <w:tcBorders>
              <w:top w:val="nil"/>
              <w:left w:val="nil"/>
              <w:bottom w:val="nil"/>
              <w:right w:val="nil"/>
            </w:tcBorders>
            <w:noWrap/>
            <w:vAlign w:val="bottom"/>
            <w:hideMark/>
          </w:tcPr>
          <w:p w14:paraId="233B7199" w14:textId="77777777" w:rsidR="0080789B" w:rsidRPr="006B7CC3" w:rsidRDefault="0080789B" w:rsidP="00447AC7">
            <w:pPr>
              <w:jc w:val="both"/>
            </w:pPr>
          </w:p>
        </w:tc>
        <w:tc>
          <w:tcPr>
            <w:tcW w:w="1142" w:type="dxa"/>
            <w:tcBorders>
              <w:top w:val="nil"/>
              <w:left w:val="nil"/>
              <w:bottom w:val="nil"/>
              <w:right w:val="nil"/>
            </w:tcBorders>
            <w:noWrap/>
            <w:vAlign w:val="bottom"/>
            <w:hideMark/>
          </w:tcPr>
          <w:p w14:paraId="3A81C97B" w14:textId="77777777" w:rsidR="0080789B" w:rsidRPr="006B7CC3" w:rsidRDefault="0080789B" w:rsidP="00447AC7">
            <w:pPr>
              <w:jc w:val="both"/>
            </w:pPr>
          </w:p>
        </w:tc>
      </w:tr>
      <w:tr w:rsidR="0080789B" w:rsidRPr="006B7CC3" w14:paraId="5FEC9000" w14:textId="77777777" w:rsidTr="006B7CC3">
        <w:trPr>
          <w:trHeight w:val="20"/>
          <w:jc w:val="center"/>
        </w:trPr>
        <w:tc>
          <w:tcPr>
            <w:tcW w:w="1400" w:type="dxa"/>
            <w:tcBorders>
              <w:top w:val="nil"/>
              <w:left w:val="nil"/>
              <w:bottom w:val="nil"/>
              <w:right w:val="nil"/>
            </w:tcBorders>
            <w:noWrap/>
            <w:vAlign w:val="bottom"/>
            <w:hideMark/>
          </w:tcPr>
          <w:p w14:paraId="5403ADA2"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2C29041B" w14:textId="77777777" w:rsidR="0080789B" w:rsidRPr="006B7CC3" w:rsidRDefault="0080789B" w:rsidP="00447AC7">
            <w:pPr>
              <w:jc w:val="both"/>
            </w:pPr>
          </w:p>
        </w:tc>
        <w:tc>
          <w:tcPr>
            <w:tcW w:w="1820" w:type="dxa"/>
            <w:tcBorders>
              <w:top w:val="nil"/>
              <w:left w:val="nil"/>
              <w:bottom w:val="nil"/>
              <w:right w:val="nil"/>
            </w:tcBorders>
            <w:noWrap/>
            <w:vAlign w:val="bottom"/>
            <w:hideMark/>
          </w:tcPr>
          <w:p w14:paraId="3C8F5AFF" w14:textId="77777777" w:rsidR="0080789B" w:rsidRPr="006B7CC3" w:rsidRDefault="0080789B" w:rsidP="00447AC7">
            <w:pPr>
              <w:jc w:val="both"/>
            </w:pPr>
          </w:p>
        </w:tc>
        <w:tc>
          <w:tcPr>
            <w:tcW w:w="1120" w:type="dxa"/>
            <w:tcBorders>
              <w:top w:val="nil"/>
              <w:left w:val="nil"/>
              <w:bottom w:val="nil"/>
              <w:right w:val="nil"/>
            </w:tcBorders>
            <w:noWrap/>
            <w:vAlign w:val="bottom"/>
            <w:hideMark/>
          </w:tcPr>
          <w:p w14:paraId="62A2C4A6" w14:textId="77777777" w:rsidR="0080789B" w:rsidRPr="006B7CC3" w:rsidRDefault="0080789B" w:rsidP="00447AC7">
            <w:pPr>
              <w:jc w:val="both"/>
            </w:pPr>
          </w:p>
        </w:tc>
        <w:tc>
          <w:tcPr>
            <w:tcW w:w="1959" w:type="dxa"/>
            <w:gridSpan w:val="2"/>
            <w:tcBorders>
              <w:top w:val="nil"/>
              <w:left w:val="nil"/>
              <w:bottom w:val="nil"/>
              <w:right w:val="nil"/>
            </w:tcBorders>
            <w:noWrap/>
            <w:vAlign w:val="bottom"/>
            <w:hideMark/>
          </w:tcPr>
          <w:p w14:paraId="195EF03F" w14:textId="77777777" w:rsidR="0080789B" w:rsidRPr="006B7CC3" w:rsidRDefault="0080789B" w:rsidP="00447AC7">
            <w:pPr>
              <w:jc w:val="both"/>
              <w:rPr>
                <w:color w:val="000000"/>
              </w:rPr>
            </w:pPr>
            <w:r w:rsidRPr="006B7CC3">
              <w:rPr>
                <w:color w:val="000000"/>
              </w:rPr>
              <w:t>Wald Chi2 (7)</w:t>
            </w:r>
          </w:p>
        </w:tc>
        <w:tc>
          <w:tcPr>
            <w:tcW w:w="1290" w:type="dxa"/>
            <w:tcBorders>
              <w:top w:val="nil"/>
              <w:left w:val="nil"/>
              <w:bottom w:val="nil"/>
              <w:right w:val="nil"/>
            </w:tcBorders>
            <w:noWrap/>
            <w:vAlign w:val="bottom"/>
            <w:hideMark/>
          </w:tcPr>
          <w:p w14:paraId="6A334F7D" w14:textId="77777777" w:rsidR="0080789B" w:rsidRPr="006B7CC3" w:rsidRDefault="0080789B" w:rsidP="00447AC7">
            <w:pPr>
              <w:jc w:val="both"/>
              <w:rPr>
                <w:color w:val="000000"/>
              </w:rPr>
            </w:pPr>
            <w:r w:rsidRPr="006B7CC3">
              <w:rPr>
                <w:color w:val="000000"/>
              </w:rPr>
              <w:t>=</w:t>
            </w:r>
          </w:p>
        </w:tc>
        <w:tc>
          <w:tcPr>
            <w:tcW w:w="1142" w:type="dxa"/>
            <w:tcBorders>
              <w:top w:val="nil"/>
              <w:left w:val="nil"/>
              <w:bottom w:val="nil"/>
              <w:right w:val="nil"/>
            </w:tcBorders>
            <w:noWrap/>
            <w:vAlign w:val="bottom"/>
            <w:hideMark/>
          </w:tcPr>
          <w:p w14:paraId="4D7D6DDD" w14:textId="77777777" w:rsidR="0080789B" w:rsidRPr="006B7CC3" w:rsidRDefault="0080789B" w:rsidP="00447AC7">
            <w:pPr>
              <w:jc w:val="both"/>
              <w:rPr>
                <w:color w:val="000000"/>
              </w:rPr>
            </w:pPr>
            <w:r w:rsidRPr="006B7CC3">
              <w:rPr>
                <w:color w:val="000000"/>
              </w:rPr>
              <w:t>36.85</w:t>
            </w:r>
          </w:p>
        </w:tc>
      </w:tr>
      <w:tr w:rsidR="0080789B" w:rsidRPr="006B7CC3" w14:paraId="0338B322" w14:textId="77777777" w:rsidTr="006B7CC3">
        <w:trPr>
          <w:trHeight w:val="20"/>
          <w:jc w:val="center"/>
        </w:trPr>
        <w:tc>
          <w:tcPr>
            <w:tcW w:w="4201" w:type="dxa"/>
            <w:gridSpan w:val="3"/>
            <w:tcBorders>
              <w:top w:val="nil"/>
              <w:left w:val="nil"/>
              <w:bottom w:val="nil"/>
              <w:right w:val="nil"/>
            </w:tcBorders>
            <w:noWrap/>
            <w:vAlign w:val="bottom"/>
            <w:hideMark/>
          </w:tcPr>
          <w:p w14:paraId="115D2C3D" w14:textId="77777777" w:rsidR="0080789B" w:rsidRPr="006B7CC3" w:rsidRDefault="0080789B" w:rsidP="00447AC7">
            <w:pPr>
              <w:jc w:val="both"/>
              <w:rPr>
                <w:color w:val="000000"/>
              </w:rPr>
            </w:pPr>
            <w:r w:rsidRPr="006B7CC3">
              <w:rPr>
                <w:color w:val="000000"/>
              </w:rPr>
              <w:t>Log likelihood = -127.21032</w:t>
            </w:r>
          </w:p>
        </w:tc>
        <w:tc>
          <w:tcPr>
            <w:tcW w:w="1120" w:type="dxa"/>
            <w:tcBorders>
              <w:top w:val="nil"/>
              <w:left w:val="nil"/>
              <w:bottom w:val="nil"/>
              <w:right w:val="nil"/>
            </w:tcBorders>
            <w:noWrap/>
            <w:vAlign w:val="bottom"/>
            <w:hideMark/>
          </w:tcPr>
          <w:p w14:paraId="3E76EAA4" w14:textId="77777777" w:rsidR="0080789B" w:rsidRPr="006B7CC3" w:rsidRDefault="0080789B" w:rsidP="00447AC7">
            <w:pPr>
              <w:jc w:val="both"/>
              <w:rPr>
                <w:color w:val="000000"/>
              </w:rPr>
            </w:pPr>
          </w:p>
        </w:tc>
        <w:tc>
          <w:tcPr>
            <w:tcW w:w="979" w:type="dxa"/>
            <w:tcBorders>
              <w:top w:val="nil"/>
              <w:left w:val="nil"/>
              <w:bottom w:val="nil"/>
              <w:right w:val="nil"/>
            </w:tcBorders>
            <w:noWrap/>
            <w:vAlign w:val="bottom"/>
            <w:hideMark/>
          </w:tcPr>
          <w:p w14:paraId="73145E2E"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6F6E0B49" w14:textId="77777777" w:rsidR="0080789B" w:rsidRPr="006B7CC3" w:rsidRDefault="0080789B" w:rsidP="00447AC7">
            <w:pPr>
              <w:jc w:val="both"/>
              <w:rPr>
                <w:color w:val="000000"/>
              </w:rPr>
            </w:pPr>
            <w:r w:rsidRPr="006B7CC3">
              <w:rPr>
                <w:color w:val="000000"/>
              </w:rPr>
              <w:t>Prob &gt; chi2</w:t>
            </w:r>
          </w:p>
        </w:tc>
        <w:tc>
          <w:tcPr>
            <w:tcW w:w="1290" w:type="dxa"/>
            <w:tcBorders>
              <w:top w:val="nil"/>
              <w:left w:val="nil"/>
              <w:bottom w:val="nil"/>
              <w:right w:val="nil"/>
            </w:tcBorders>
            <w:noWrap/>
            <w:vAlign w:val="bottom"/>
            <w:hideMark/>
          </w:tcPr>
          <w:p w14:paraId="6BB3E408" w14:textId="77777777" w:rsidR="0080789B" w:rsidRPr="006B7CC3" w:rsidRDefault="0080789B" w:rsidP="00447AC7">
            <w:pPr>
              <w:jc w:val="both"/>
              <w:rPr>
                <w:color w:val="000000"/>
              </w:rPr>
            </w:pPr>
            <w:r w:rsidRPr="006B7CC3">
              <w:rPr>
                <w:color w:val="000000"/>
              </w:rPr>
              <w:t>=</w:t>
            </w:r>
          </w:p>
        </w:tc>
        <w:tc>
          <w:tcPr>
            <w:tcW w:w="1142" w:type="dxa"/>
            <w:tcBorders>
              <w:top w:val="nil"/>
              <w:left w:val="nil"/>
              <w:bottom w:val="nil"/>
              <w:right w:val="nil"/>
            </w:tcBorders>
            <w:noWrap/>
            <w:vAlign w:val="bottom"/>
            <w:hideMark/>
          </w:tcPr>
          <w:p w14:paraId="6F3FF220" w14:textId="77777777" w:rsidR="0080789B" w:rsidRPr="006B7CC3" w:rsidRDefault="0080789B" w:rsidP="00447AC7">
            <w:pPr>
              <w:jc w:val="both"/>
              <w:rPr>
                <w:color w:val="000000"/>
              </w:rPr>
            </w:pPr>
            <w:r w:rsidRPr="006B7CC3">
              <w:rPr>
                <w:color w:val="000000"/>
              </w:rPr>
              <w:t>0.0000</w:t>
            </w:r>
          </w:p>
        </w:tc>
      </w:tr>
      <w:tr w:rsidR="0080789B" w:rsidRPr="006B7CC3" w14:paraId="5A653C71" w14:textId="77777777" w:rsidTr="006B7CC3">
        <w:trPr>
          <w:trHeight w:val="20"/>
          <w:jc w:val="center"/>
        </w:trPr>
        <w:tc>
          <w:tcPr>
            <w:tcW w:w="1400" w:type="dxa"/>
            <w:tcBorders>
              <w:top w:val="nil"/>
              <w:left w:val="nil"/>
              <w:bottom w:val="nil"/>
              <w:right w:val="nil"/>
            </w:tcBorders>
            <w:noWrap/>
            <w:vAlign w:val="bottom"/>
            <w:hideMark/>
          </w:tcPr>
          <w:p w14:paraId="313CDC6B" w14:textId="77777777" w:rsidR="0080789B" w:rsidRPr="006B7CC3" w:rsidRDefault="0080789B" w:rsidP="00447AC7">
            <w:pPr>
              <w:jc w:val="both"/>
              <w:rPr>
                <w:color w:val="000000"/>
              </w:rPr>
            </w:pPr>
          </w:p>
        </w:tc>
        <w:tc>
          <w:tcPr>
            <w:tcW w:w="979" w:type="dxa"/>
            <w:tcBorders>
              <w:top w:val="nil"/>
              <w:left w:val="nil"/>
              <w:bottom w:val="nil"/>
              <w:right w:val="nil"/>
            </w:tcBorders>
            <w:noWrap/>
            <w:vAlign w:val="bottom"/>
            <w:hideMark/>
          </w:tcPr>
          <w:p w14:paraId="06E0D024" w14:textId="77777777" w:rsidR="0080789B" w:rsidRPr="006B7CC3" w:rsidRDefault="0080789B" w:rsidP="00447AC7">
            <w:pPr>
              <w:jc w:val="both"/>
            </w:pPr>
          </w:p>
        </w:tc>
        <w:tc>
          <w:tcPr>
            <w:tcW w:w="1820" w:type="dxa"/>
            <w:tcBorders>
              <w:top w:val="nil"/>
              <w:left w:val="nil"/>
              <w:bottom w:val="nil"/>
              <w:right w:val="nil"/>
            </w:tcBorders>
            <w:noWrap/>
            <w:vAlign w:val="bottom"/>
            <w:hideMark/>
          </w:tcPr>
          <w:p w14:paraId="799DA255" w14:textId="77777777" w:rsidR="0080789B" w:rsidRPr="006B7CC3" w:rsidRDefault="0080789B" w:rsidP="00447AC7">
            <w:pPr>
              <w:jc w:val="both"/>
            </w:pPr>
          </w:p>
        </w:tc>
        <w:tc>
          <w:tcPr>
            <w:tcW w:w="1120" w:type="dxa"/>
            <w:tcBorders>
              <w:top w:val="nil"/>
              <w:left w:val="nil"/>
              <w:bottom w:val="nil"/>
              <w:right w:val="nil"/>
            </w:tcBorders>
            <w:noWrap/>
            <w:vAlign w:val="bottom"/>
            <w:hideMark/>
          </w:tcPr>
          <w:p w14:paraId="2F698BFE"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7F2C6583"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653F556A" w14:textId="77777777" w:rsidR="0080789B" w:rsidRPr="006B7CC3" w:rsidRDefault="0080789B" w:rsidP="00447AC7">
            <w:pPr>
              <w:jc w:val="both"/>
            </w:pPr>
          </w:p>
        </w:tc>
        <w:tc>
          <w:tcPr>
            <w:tcW w:w="1290" w:type="dxa"/>
            <w:tcBorders>
              <w:top w:val="nil"/>
              <w:left w:val="nil"/>
              <w:bottom w:val="nil"/>
              <w:right w:val="nil"/>
            </w:tcBorders>
            <w:noWrap/>
            <w:vAlign w:val="bottom"/>
            <w:hideMark/>
          </w:tcPr>
          <w:p w14:paraId="49BCA30B" w14:textId="77777777" w:rsidR="0080789B" w:rsidRPr="006B7CC3" w:rsidRDefault="0080789B" w:rsidP="00447AC7">
            <w:pPr>
              <w:jc w:val="both"/>
            </w:pPr>
          </w:p>
        </w:tc>
        <w:tc>
          <w:tcPr>
            <w:tcW w:w="1142" w:type="dxa"/>
            <w:tcBorders>
              <w:top w:val="nil"/>
              <w:left w:val="nil"/>
              <w:bottom w:val="nil"/>
              <w:right w:val="nil"/>
            </w:tcBorders>
            <w:noWrap/>
            <w:vAlign w:val="bottom"/>
            <w:hideMark/>
          </w:tcPr>
          <w:p w14:paraId="64C7A72C" w14:textId="77777777" w:rsidR="0080789B" w:rsidRPr="006B7CC3" w:rsidRDefault="0080789B" w:rsidP="00447AC7">
            <w:pPr>
              <w:jc w:val="both"/>
            </w:pPr>
          </w:p>
        </w:tc>
      </w:tr>
      <w:tr w:rsidR="0080789B" w:rsidRPr="006B7CC3" w14:paraId="485380A1" w14:textId="77777777" w:rsidTr="006B7CC3">
        <w:trPr>
          <w:trHeight w:val="20"/>
          <w:jc w:val="center"/>
        </w:trPr>
        <w:tc>
          <w:tcPr>
            <w:tcW w:w="1400" w:type="dxa"/>
            <w:tcBorders>
              <w:top w:val="single" w:sz="4" w:space="0" w:color="auto"/>
              <w:left w:val="nil"/>
              <w:bottom w:val="single" w:sz="4" w:space="0" w:color="auto"/>
              <w:right w:val="single" w:sz="4" w:space="0" w:color="auto"/>
            </w:tcBorders>
            <w:noWrap/>
            <w:vAlign w:val="bottom"/>
            <w:hideMark/>
          </w:tcPr>
          <w:p w14:paraId="78CCA5BF" w14:textId="77777777" w:rsidR="0080789B" w:rsidRPr="006B7CC3" w:rsidRDefault="0080789B" w:rsidP="00447AC7">
            <w:pPr>
              <w:jc w:val="both"/>
              <w:rPr>
                <w:color w:val="000000"/>
              </w:rPr>
            </w:pPr>
            <w:r w:rsidRPr="006B7CC3">
              <w:rPr>
                <w:color w:val="000000"/>
              </w:rPr>
              <w:t> </w:t>
            </w:r>
          </w:p>
        </w:tc>
        <w:tc>
          <w:tcPr>
            <w:tcW w:w="979" w:type="dxa"/>
            <w:tcBorders>
              <w:top w:val="single" w:sz="4" w:space="0" w:color="auto"/>
              <w:left w:val="nil"/>
              <w:bottom w:val="single" w:sz="4" w:space="0" w:color="auto"/>
              <w:right w:val="nil"/>
            </w:tcBorders>
            <w:noWrap/>
            <w:vAlign w:val="bottom"/>
            <w:hideMark/>
          </w:tcPr>
          <w:p w14:paraId="5DFF8366" w14:textId="77777777" w:rsidR="0080789B" w:rsidRPr="006B7CC3" w:rsidRDefault="0080789B" w:rsidP="00447AC7">
            <w:pPr>
              <w:jc w:val="both"/>
              <w:rPr>
                <w:color w:val="000000"/>
              </w:rPr>
            </w:pPr>
            <w:r w:rsidRPr="006B7CC3">
              <w:rPr>
                <w:color w:val="000000"/>
              </w:rPr>
              <w:t>choice</w:t>
            </w:r>
          </w:p>
        </w:tc>
        <w:tc>
          <w:tcPr>
            <w:tcW w:w="1820" w:type="dxa"/>
            <w:tcBorders>
              <w:top w:val="single" w:sz="4" w:space="0" w:color="auto"/>
              <w:left w:val="nil"/>
              <w:bottom w:val="single" w:sz="4" w:space="0" w:color="auto"/>
              <w:right w:val="nil"/>
            </w:tcBorders>
            <w:noWrap/>
            <w:vAlign w:val="bottom"/>
            <w:hideMark/>
          </w:tcPr>
          <w:p w14:paraId="2E60D95D" w14:textId="77777777" w:rsidR="0080789B" w:rsidRPr="006B7CC3" w:rsidRDefault="0080789B" w:rsidP="00447AC7">
            <w:pPr>
              <w:jc w:val="both"/>
              <w:rPr>
                <w:color w:val="000000"/>
              </w:rPr>
            </w:pPr>
            <w:r w:rsidRPr="006B7CC3">
              <w:rPr>
                <w:color w:val="000000"/>
              </w:rPr>
              <w:t>Coefficient</w:t>
            </w:r>
          </w:p>
        </w:tc>
        <w:tc>
          <w:tcPr>
            <w:tcW w:w="1120" w:type="dxa"/>
            <w:tcBorders>
              <w:top w:val="single" w:sz="4" w:space="0" w:color="auto"/>
              <w:left w:val="nil"/>
              <w:bottom w:val="single" w:sz="4" w:space="0" w:color="auto"/>
              <w:right w:val="nil"/>
            </w:tcBorders>
            <w:noWrap/>
            <w:vAlign w:val="bottom"/>
            <w:hideMark/>
          </w:tcPr>
          <w:p w14:paraId="547FA18C" w14:textId="77777777" w:rsidR="0080789B" w:rsidRPr="006B7CC3" w:rsidRDefault="0080789B" w:rsidP="00447AC7">
            <w:pPr>
              <w:jc w:val="both"/>
              <w:rPr>
                <w:color w:val="000000"/>
              </w:rPr>
            </w:pPr>
            <w:r w:rsidRPr="006B7CC3">
              <w:rPr>
                <w:color w:val="000000"/>
              </w:rPr>
              <w:t>Std.err.</w:t>
            </w:r>
          </w:p>
        </w:tc>
        <w:tc>
          <w:tcPr>
            <w:tcW w:w="979" w:type="dxa"/>
            <w:tcBorders>
              <w:top w:val="single" w:sz="4" w:space="0" w:color="auto"/>
              <w:left w:val="nil"/>
              <w:bottom w:val="single" w:sz="4" w:space="0" w:color="auto"/>
              <w:right w:val="nil"/>
            </w:tcBorders>
            <w:noWrap/>
            <w:vAlign w:val="bottom"/>
            <w:hideMark/>
          </w:tcPr>
          <w:p w14:paraId="3F654CC1" w14:textId="77777777" w:rsidR="0080789B" w:rsidRPr="006B7CC3" w:rsidRDefault="0080789B" w:rsidP="00447AC7">
            <w:pPr>
              <w:jc w:val="both"/>
              <w:rPr>
                <w:color w:val="000000"/>
              </w:rPr>
            </w:pPr>
            <w:r w:rsidRPr="006B7CC3">
              <w:rPr>
                <w:color w:val="000000"/>
              </w:rPr>
              <w:t>z</w:t>
            </w:r>
          </w:p>
        </w:tc>
        <w:tc>
          <w:tcPr>
            <w:tcW w:w="979" w:type="dxa"/>
            <w:tcBorders>
              <w:top w:val="single" w:sz="4" w:space="0" w:color="auto"/>
              <w:left w:val="nil"/>
              <w:bottom w:val="single" w:sz="4" w:space="0" w:color="auto"/>
              <w:right w:val="nil"/>
            </w:tcBorders>
            <w:noWrap/>
            <w:vAlign w:val="bottom"/>
            <w:hideMark/>
          </w:tcPr>
          <w:p w14:paraId="2C3E5A3C" w14:textId="77777777" w:rsidR="0080789B" w:rsidRPr="006B7CC3" w:rsidRDefault="0080789B" w:rsidP="00447AC7">
            <w:pPr>
              <w:jc w:val="both"/>
              <w:rPr>
                <w:color w:val="000000"/>
              </w:rPr>
            </w:pPr>
            <w:r w:rsidRPr="006B7CC3">
              <w:rPr>
                <w:color w:val="000000"/>
              </w:rPr>
              <w:t>P&gt;|z|</w:t>
            </w:r>
          </w:p>
        </w:tc>
        <w:tc>
          <w:tcPr>
            <w:tcW w:w="1290" w:type="dxa"/>
            <w:tcBorders>
              <w:top w:val="single" w:sz="4" w:space="0" w:color="auto"/>
              <w:left w:val="nil"/>
              <w:bottom w:val="single" w:sz="4" w:space="0" w:color="auto"/>
              <w:right w:val="nil"/>
            </w:tcBorders>
            <w:noWrap/>
            <w:vAlign w:val="bottom"/>
            <w:hideMark/>
          </w:tcPr>
          <w:p w14:paraId="6F188CA1" w14:textId="77777777" w:rsidR="0080789B" w:rsidRPr="006B7CC3" w:rsidRDefault="0080789B" w:rsidP="00447AC7">
            <w:pPr>
              <w:jc w:val="both"/>
              <w:rPr>
                <w:color w:val="000000"/>
              </w:rPr>
            </w:pPr>
            <w:r w:rsidRPr="006B7CC3">
              <w:rPr>
                <w:color w:val="000000"/>
              </w:rPr>
              <w:t>[95% conf.</w:t>
            </w:r>
          </w:p>
        </w:tc>
        <w:tc>
          <w:tcPr>
            <w:tcW w:w="1142" w:type="dxa"/>
            <w:tcBorders>
              <w:top w:val="single" w:sz="4" w:space="0" w:color="auto"/>
              <w:left w:val="nil"/>
              <w:bottom w:val="single" w:sz="4" w:space="0" w:color="auto"/>
              <w:right w:val="nil"/>
            </w:tcBorders>
            <w:noWrap/>
            <w:vAlign w:val="bottom"/>
            <w:hideMark/>
          </w:tcPr>
          <w:p w14:paraId="1BD7FEB7" w14:textId="77777777" w:rsidR="0080789B" w:rsidRPr="006B7CC3" w:rsidRDefault="0080789B" w:rsidP="00447AC7">
            <w:pPr>
              <w:jc w:val="both"/>
              <w:rPr>
                <w:color w:val="000000"/>
              </w:rPr>
            </w:pPr>
            <w:r w:rsidRPr="006B7CC3">
              <w:rPr>
                <w:color w:val="000000"/>
              </w:rPr>
              <w:t>interval]</w:t>
            </w:r>
          </w:p>
        </w:tc>
      </w:tr>
      <w:tr w:rsidR="0080789B" w:rsidRPr="006B7CC3" w14:paraId="3BD41CCD" w14:textId="77777777" w:rsidTr="006B7CC3">
        <w:trPr>
          <w:trHeight w:val="20"/>
          <w:jc w:val="center"/>
        </w:trPr>
        <w:tc>
          <w:tcPr>
            <w:tcW w:w="1400" w:type="dxa"/>
            <w:tcBorders>
              <w:top w:val="nil"/>
              <w:left w:val="nil"/>
              <w:bottom w:val="nil"/>
              <w:right w:val="single" w:sz="4" w:space="0" w:color="auto"/>
            </w:tcBorders>
            <w:noWrap/>
            <w:vAlign w:val="bottom"/>
            <w:hideMark/>
          </w:tcPr>
          <w:p w14:paraId="467A8BA3" w14:textId="77777777" w:rsidR="0080789B" w:rsidRPr="006B7CC3" w:rsidRDefault="0080789B" w:rsidP="00447AC7">
            <w:pPr>
              <w:jc w:val="both"/>
              <w:rPr>
                <w:color w:val="000000"/>
              </w:rPr>
            </w:pPr>
            <w:r w:rsidRPr="006B7CC3">
              <w:rPr>
                <w:color w:val="000000"/>
              </w:rPr>
              <w:t>mode</w:t>
            </w:r>
          </w:p>
        </w:tc>
        <w:tc>
          <w:tcPr>
            <w:tcW w:w="979" w:type="dxa"/>
            <w:tcBorders>
              <w:top w:val="nil"/>
              <w:left w:val="nil"/>
              <w:bottom w:val="nil"/>
              <w:right w:val="nil"/>
            </w:tcBorders>
            <w:noWrap/>
            <w:vAlign w:val="bottom"/>
            <w:hideMark/>
          </w:tcPr>
          <w:p w14:paraId="664BBC50" w14:textId="77777777" w:rsidR="0080789B" w:rsidRPr="006B7CC3" w:rsidRDefault="0080789B" w:rsidP="00447AC7">
            <w:pPr>
              <w:jc w:val="both"/>
              <w:rPr>
                <w:color w:val="000000"/>
              </w:rPr>
            </w:pPr>
          </w:p>
        </w:tc>
        <w:tc>
          <w:tcPr>
            <w:tcW w:w="1820" w:type="dxa"/>
            <w:tcBorders>
              <w:top w:val="nil"/>
              <w:left w:val="nil"/>
              <w:bottom w:val="nil"/>
              <w:right w:val="nil"/>
            </w:tcBorders>
            <w:noWrap/>
            <w:vAlign w:val="bottom"/>
            <w:hideMark/>
          </w:tcPr>
          <w:p w14:paraId="02842993" w14:textId="77777777" w:rsidR="0080789B" w:rsidRPr="006B7CC3" w:rsidRDefault="0080789B" w:rsidP="00447AC7">
            <w:pPr>
              <w:jc w:val="both"/>
            </w:pPr>
          </w:p>
        </w:tc>
        <w:tc>
          <w:tcPr>
            <w:tcW w:w="1120" w:type="dxa"/>
            <w:tcBorders>
              <w:top w:val="nil"/>
              <w:left w:val="nil"/>
              <w:bottom w:val="nil"/>
              <w:right w:val="nil"/>
            </w:tcBorders>
            <w:noWrap/>
            <w:vAlign w:val="bottom"/>
            <w:hideMark/>
          </w:tcPr>
          <w:p w14:paraId="233B9E15"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412C4F84"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5BF35B29" w14:textId="77777777" w:rsidR="0080789B" w:rsidRPr="006B7CC3" w:rsidRDefault="0080789B" w:rsidP="00447AC7">
            <w:pPr>
              <w:jc w:val="both"/>
            </w:pPr>
          </w:p>
        </w:tc>
        <w:tc>
          <w:tcPr>
            <w:tcW w:w="1290" w:type="dxa"/>
            <w:tcBorders>
              <w:top w:val="nil"/>
              <w:left w:val="nil"/>
              <w:bottom w:val="nil"/>
              <w:right w:val="nil"/>
            </w:tcBorders>
            <w:noWrap/>
            <w:vAlign w:val="bottom"/>
            <w:hideMark/>
          </w:tcPr>
          <w:p w14:paraId="21FD166D" w14:textId="77777777" w:rsidR="0080789B" w:rsidRPr="006B7CC3" w:rsidRDefault="0080789B" w:rsidP="00447AC7">
            <w:pPr>
              <w:jc w:val="both"/>
            </w:pPr>
          </w:p>
        </w:tc>
        <w:tc>
          <w:tcPr>
            <w:tcW w:w="1142" w:type="dxa"/>
            <w:tcBorders>
              <w:top w:val="nil"/>
              <w:left w:val="nil"/>
              <w:bottom w:val="nil"/>
              <w:right w:val="nil"/>
            </w:tcBorders>
            <w:noWrap/>
            <w:vAlign w:val="bottom"/>
            <w:hideMark/>
          </w:tcPr>
          <w:p w14:paraId="055227F9" w14:textId="77777777" w:rsidR="0080789B" w:rsidRPr="006B7CC3" w:rsidRDefault="0080789B" w:rsidP="00447AC7">
            <w:pPr>
              <w:jc w:val="both"/>
            </w:pPr>
          </w:p>
        </w:tc>
      </w:tr>
      <w:tr w:rsidR="0080789B" w:rsidRPr="006B7CC3" w14:paraId="6954DC53" w14:textId="77777777" w:rsidTr="006B7CC3">
        <w:trPr>
          <w:trHeight w:val="20"/>
          <w:jc w:val="center"/>
        </w:trPr>
        <w:tc>
          <w:tcPr>
            <w:tcW w:w="1400" w:type="dxa"/>
            <w:tcBorders>
              <w:top w:val="nil"/>
              <w:left w:val="nil"/>
              <w:bottom w:val="nil"/>
              <w:right w:val="single" w:sz="4" w:space="0" w:color="auto"/>
            </w:tcBorders>
            <w:noWrap/>
            <w:vAlign w:val="bottom"/>
            <w:hideMark/>
          </w:tcPr>
          <w:p w14:paraId="5361B7CB" w14:textId="77777777" w:rsidR="0080789B" w:rsidRPr="006B7CC3" w:rsidRDefault="0080789B" w:rsidP="00447AC7">
            <w:pPr>
              <w:jc w:val="both"/>
              <w:rPr>
                <w:color w:val="000000"/>
              </w:rPr>
            </w:pPr>
            <w:r w:rsidRPr="006B7CC3">
              <w:rPr>
                <w:color w:val="000000"/>
              </w:rPr>
              <w:t> </w:t>
            </w:r>
          </w:p>
        </w:tc>
        <w:tc>
          <w:tcPr>
            <w:tcW w:w="979" w:type="dxa"/>
            <w:tcBorders>
              <w:top w:val="nil"/>
              <w:left w:val="nil"/>
              <w:bottom w:val="nil"/>
              <w:right w:val="nil"/>
            </w:tcBorders>
            <w:noWrap/>
            <w:vAlign w:val="bottom"/>
            <w:hideMark/>
          </w:tcPr>
          <w:p w14:paraId="66D4BFFC" w14:textId="77777777" w:rsidR="0080789B" w:rsidRPr="006B7CC3" w:rsidRDefault="0080789B" w:rsidP="00447AC7">
            <w:pPr>
              <w:jc w:val="both"/>
              <w:rPr>
                <w:color w:val="000000"/>
              </w:rPr>
            </w:pPr>
            <w:r w:rsidRPr="006B7CC3">
              <w:rPr>
                <w:color w:val="000000"/>
              </w:rPr>
              <w:t>Assessment and Evaluation Competence</w:t>
            </w:r>
          </w:p>
        </w:tc>
        <w:tc>
          <w:tcPr>
            <w:tcW w:w="1820" w:type="dxa"/>
            <w:tcBorders>
              <w:top w:val="nil"/>
              <w:left w:val="nil"/>
              <w:bottom w:val="nil"/>
              <w:right w:val="nil"/>
            </w:tcBorders>
            <w:noWrap/>
            <w:vAlign w:val="bottom"/>
            <w:hideMark/>
          </w:tcPr>
          <w:p w14:paraId="0AD60D34" w14:textId="77777777" w:rsidR="0080789B" w:rsidRPr="006B7CC3" w:rsidRDefault="0080789B" w:rsidP="00447AC7">
            <w:pPr>
              <w:jc w:val="both"/>
              <w:rPr>
                <w:color w:val="000000"/>
              </w:rPr>
            </w:pPr>
            <w:r w:rsidRPr="006B7CC3">
              <w:rPr>
                <w:color w:val="000000"/>
              </w:rPr>
              <w:t>-0.0030071</w:t>
            </w:r>
          </w:p>
        </w:tc>
        <w:tc>
          <w:tcPr>
            <w:tcW w:w="1120" w:type="dxa"/>
            <w:tcBorders>
              <w:top w:val="nil"/>
              <w:left w:val="nil"/>
              <w:bottom w:val="nil"/>
              <w:right w:val="nil"/>
            </w:tcBorders>
            <w:noWrap/>
            <w:vAlign w:val="bottom"/>
            <w:hideMark/>
          </w:tcPr>
          <w:p w14:paraId="50C53185" w14:textId="77777777" w:rsidR="0080789B" w:rsidRPr="006B7CC3" w:rsidRDefault="0080789B" w:rsidP="00447AC7">
            <w:pPr>
              <w:jc w:val="both"/>
              <w:rPr>
                <w:color w:val="000000"/>
              </w:rPr>
            </w:pPr>
            <w:r w:rsidRPr="006B7CC3">
              <w:rPr>
                <w:color w:val="000000"/>
              </w:rPr>
              <w:t>0.000944</w:t>
            </w:r>
          </w:p>
        </w:tc>
        <w:tc>
          <w:tcPr>
            <w:tcW w:w="979" w:type="dxa"/>
            <w:tcBorders>
              <w:top w:val="nil"/>
              <w:left w:val="nil"/>
              <w:bottom w:val="nil"/>
              <w:right w:val="nil"/>
            </w:tcBorders>
            <w:noWrap/>
            <w:vAlign w:val="bottom"/>
            <w:hideMark/>
          </w:tcPr>
          <w:p w14:paraId="3809ACE9" w14:textId="77777777" w:rsidR="0080789B" w:rsidRPr="006B7CC3" w:rsidRDefault="0080789B" w:rsidP="00447AC7">
            <w:pPr>
              <w:jc w:val="both"/>
              <w:rPr>
                <w:color w:val="000000"/>
              </w:rPr>
            </w:pPr>
            <w:r w:rsidRPr="006B7CC3">
              <w:rPr>
                <w:color w:val="000000"/>
              </w:rPr>
              <w:t>-3.19</w:t>
            </w:r>
          </w:p>
        </w:tc>
        <w:tc>
          <w:tcPr>
            <w:tcW w:w="979" w:type="dxa"/>
            <w:tcBorders>
              <w:top w:val="nil"/>
              <w:left w:val="nil"/>
              <w:bottom w:val="nil"/>
              <w:right w:val="nil"/>
            </w:tcBorders>
            <w:noWrap/>
            <w:vAlign w:val="bottom"/>
            <w:hideMark/>
          </w:tcPr>
          <w:p w14:paraId="663B2834" w14:textId="77777777" w:rsidR="0080789B" w:rsidRPr="006B7CC3" w:rsidRDefault="0080789B" w:rsidP="00447AC7">
            <w:pPr>
              <w:jc w:val="both"/>
              <w:rPr>
                <w:color w:val="000000"/>
              </w:rPr>
            </w:pPr>
            <w:r w:rsidRPr="006B7CC3">
              <w:rPr>
                <w:color w:val="000000"/>
              </w:rPr>
              <w:t>0.001</w:t>
            </w:r>
          </w:p>
        </w:tc>
        <w:tc>
          <w:tcPr>
            <w:tcW w:w="1290" w:type="dxa"/>
            <w:tcBorders>
              <w:top w:val="nil"/>
              <w:left w:val="nil"/>
              <w:bottom w:val="nil"/>
              <w:right w:val="nil"/>
            </w:tcBorders>
            <w:noWrap/>
            <w:vAlign w:val="bottom"/>
            <w:hideMark/>
          </w:tcPr>
          <w:p w14:paraId="068250A0" w14:textId="77777777" w:rsidR="0080789B" w:rsidRPr="006B7CC3" w:rsidRDefault="0080789B" w:rsidP="00447AC7">
            <w:pPr>
              <w:jc w:val="both"/>
              <w:rPr>
                <w:color w:val="000000"/>
              </w:rPr>
            </w:pPr>
            <w:r w:rsidRPr="006B7CC3">
              <w:rPr>
                <w:color w:val="000000"/>
              </w:rPr>
              <w:t>-0.00486</w:t>
            </w:r>
          </w:p>
        </w:tc>
        <w:tc>
          <w:tcPr>
            <w:tcW w:w="1142" w:type="dxa"/>
            <w:tcBorders>
              <w:top w:val="nil"/>
              <w:left w:val="nil"/>
              <w:bottom w:val="nil"/>
              <w:right w:val="nil"/>
            </w:tcBorders>
            <w:noWrap/>
            <w:vAlign w:val="bottom"/>
            <w:hideMark/>
          </w:tcPr>
          <w:p w14:paraId="505BB5A8" w14:textId="77777777" w:rsidR="0080789B" w:rsidRPr="006B7CC3" w:rsidRDefault="0080789B" w:rsidP="00447AC7">
            <w:pPr>
              <w:jc w:val="both"/>
              <w:rPr>
                <w:color w:val="000000"/>
              </w:rPr>
            </w:pPr>
            <w:r w:rsidRPr="006B7CC3">
              <w:rPr>
                <w:color w:val="000000"/>
              </w:rPr>
              <w:t>-0.00116</w:t>
            </w:r>
          </w:p>
        </w:tc>
      </w:tr>
      <w:tr w:rsidR="0080789B" w:rsidRPr="006B7CC3" w14:paraId="4B93E2A8" w14:textId="77777777" w:rsidTr="006B7CC3">
        <w:trPr>
          <w:trHeight w:val="20"/>
          <w:jc w:val="center"/>
        </w:trPr>
        <w:tc>
          <w:tcPr>
            <w:tcW w:w="1400" w:type="dxa"/>
            <w:tcBorders>
              <w:top w:val="single" w:sz="4" w:space="0" w:color="auto"/>
              <w:left w:val="nil"/>
              <w:bottom w:val="single" w:sz="4" w:space="0" w:color="auto"/>
              <w:right w:val="single" w:sz="4" w:space="0" w:color="auto"/>
            </w:tcBorders>
            <w:noWrap/>
            <w:vAlign w:val="bottom"/>
            <w:hideMark/>
          </w:tcPr>
          <w:p w14:paraId="77954460" w14:textId="77777777" w:rsidR="0080789B" w:rsidRPr="006B7CC3" w:rsidRDefault="0080789B" w:rsidP="00447AC7">
            <w:pPr>
              <w:jc w:val="both"/>
              <w:rPr>
                <w:color w:val="000000"/>
              </w:rPr>
            </w:pPr>
            <w:r w:rsidRPr="006B7CC3">
              <w:rPr>
                <w:color w:val="000000"/>
              </w:rPr>
              <w:t>Projects</w:t>
            </w:r>
          </w:p>
        </w:tc>
        <w:tc>
          <w:tcPr>
            <w:tcW w:w="979" w:type="dxa"/>
            <w:tcBorders>
              <w:top w:val="single" w:sz="4" w:space="0" w:color="auto"/>
              <w:left w:val="nil"/>
              <w:bottom w:val="single" w:sz="4" w:space="0" w:color="auto"/>
              <w:right w:val="nil"/>
            </w:tcBorders>
            <w:noWrap/>
            <w:vAlign w:val="bottom"/>
            <w:hideMark/>
          </w:tcPr>
          <w:p w14:paraId="346D0A1E" w14:textId="77777777" w:rsidR="0080789B" w:rsidRPr="006B7CC3" w:rsidRDefault="0080789B" w:rsidP="00447AC7">
            <w:pPr>
              <w:jc w:val="both"/>
              <w:rPr>
                <w:color w:val="000000"/>
              </w:rPr>
            </w:pPr>
            <w:r w:rsidRPr="006B7CC3">
              <w:rPr>
                <w:color w:val="000000"/>
              </w:rPr>
              <w:t> </w:t>
            </w:r>
          </w:p>
        </w:tc>
        <w:tc>
          <w:tcPr>
            <w:tcW w:w="1820" w:type="dxa"/>
            <w:tcBorders>
              <w:top w:val="single" w:sz="4" w:space="0" w:color="auto"/>
              <w:left w:val="nil"/>
              <w:bottom w:val="single" w:sz="4" w:space="0" w:color="auto"/>
              <w:right w:val="nil"/>
            </w:tcBorders>
            <w:noWrap/>
            <w:vAlign w:val="bottom"/>
            <w:hideMark/>
          </w:tcPr>
          <w:p w14:paraId="5629E276" w14:textId="77777777" w:rsidR="0080789B" w:rsidRPr="006B7CC3" w:rsidRDefault="0080789B" w:rsidP="00447AC7">
            <w:pPr>
              <w:jc w:val="both"/>
              <w:rPr>
                <w:color w:val="000000"/>
              </w:rPr>
            </w:pPr>
            <w:r w:rsidRPr="006B7CC3">
              <w:rPr>
                <w:color w:val="000000"/>
              </w:rPr>
              <w:t>(base alternative)</w:t>
            </w:r>
          </w:p>
        </w:tc>
        <w:tc>
          <w:tcPr>
            <w:tcW w:w="1120" w:type="dxa"/>
            <w:tcBorders>
              <w:top w:val="single" w:sz="4" w:space="0" w:color="auto"/>
              <w:left w:val="nil"/>
              <w:bottom w:val="single" w:sz="4" w:space="0" w:color="auto"/>
              <w:right w:val="nil"/>
            </w:tcBorders>
            <w:noWrap/>
            <w:vAlign w:val="bottom"/>
            <w:hideMark/>
          </w:tcPr>
          <w:p w14:paraId="1FE1A03C" w14:textId="77777777" w:rsidR="0080789B" w:rsidRPr="006B7CC3" w:rsidRDefault="0080789B" w:rsidP="00447AC7">
            <w:pPr>
              <w:jc w:val="both"/>
              <w:rPr>
                <w:color w:val="000000"/>
              </w:rPr>
            </w:pPr>
            <w:r w:rsidRPr="006B7CC3">
              <w:rPr>
                <w:color w:val="000000"/>
              </w:rPr>
              <w:t> </w:t>
            </w:r>
          </w:p>
        </w:tc>
        <w:tc>
          <w:tcPr>
            <w:tcW w:w="979" w:type="dxa"/>
            <w:tcBorders>
              <w:top w:val="single" w:sz="4" w:space="0" w:color="auto"/>
              <w:left w:val="nil"/>
              <w:bottom w:val="single" w:sz="4" w:space="0" w:color="auto"/>
              <w:right w:val="nil"/>
            </w:tcBorders>
            <w:noWrap/>
            <w:vAlign w:val="bottom"/>
            <w:hideMark/>
          </w:tcPr>
          <w:p w14:paraId="2DCCEFB2" w14:textId="77777777" w:rsidR="0080789B" w:rsidRPr="006B7CC3" w:rsidRDefault="0080789B" w:rsidP="00447AC7">
            <w:pPr>
              <w:jc w:val="both"/>
              <w:rPr>
                <w:color w:val="000000"/>
              </w:rPr>
            </w:pPr>
            <w:r w:rsidRPr="006B7CC3">
              <w:rPr>
                <w:color w:val="000000"/>
              </w:rPr>
              <w:t> </w:t>
            </w:r>
          </w:p>
        </w:tc>
        <w:tc>
          <w:tcPr>
            <w:tcW w:w="979" w:type="dxa"/>
            <w:tcBorders>
              <w:top w:val="single" w:sz="4" w:space="0" w:color="auto"/>
              <w:left w:val="nil"/>
              <w:bottom w:val="single" w:sz="4" w:space="0" w:color="auto"/>
              <w:right w:val="nil"/>
            </w:tcBorders>
            <w:noWrap/>
            <w:vAlign w:val="bottom"/>
            <w:hideMark/>
          </w:tcPr>
          <w:p w14:paraId="2A144799" w14:textId="77777777" w:rsidR="0080789B" w:rsidRPr="006B7CC3" w:rsidRDefault="0080789B" w:rsidP="00447AC7">
            <w:pPr>
              <w:jc w:val="both"/>
              <w:rPr>
                <w:color w:val="000000"/>
              </w:rPr>
            </w:pPr>
            <w:r w:rsidRPr="006B7CC3">
              <w:rPr>
                <w:color w:val="000000"/>
              </w:rPr>
              <w:t> </w:t>
            </w:r>
          </w:p>
        </w:tc>
        <w:tc>
          <w:tcPr>
            <w:tcW w:w="1290" w:type="dxa"/>
            <w:tcBorders>
              <w:top w:val="single" w:sz="4" w:space="0" w:color="auto"/>
              <w:left w:val="nil"/>
              <w:bottom w:val="single" w:sz="4" w:space="0" w:color="auto"/>
              <w:right w:val="nil"/>
            </w:tcBorders>
            <w:noWrap/>
            <w:vAlign w:val="bottom"/>
            <w:hideMark/>
          </w:tcPr>
          <w:p w14:paraId="670B7A71" w14:textId="77777777" w:rsidR="0080789B" w:rsidRPr="006B7CC3" w:rsidRDefault="0080789B" w:rsidP="00447AC7">
            <w:pPr>
              <w:jc w:val="both"/>
              <w:rPr>
                <w:color w:val="000000"/>
              </w:rPr>
            </w:pPr>
            <w:r w:rsidRPr="006B7CC3">
              <w:rPr>
                <w:color w:val="000000"/>
              </w:rPr>
              <w:t> </w:t>
            </w:r>
          </w:p>
        </w:tc>
        <w:tc>
          <w:tcPr>
            <w:tcW w:w="1142" w:type="dxa"/>
            <w:tcBorders>
              <w:top w:val="single" w:sz="4" w:space="0" w:color="auto"/>
              <w:left w:val="nil"/>
              <w:bottom w:val="single" w:sz="4" w:space="0" w:color="auto"/>
              <w:right w:val="nil"/>
            </w:tcBorders>
            <w:noWrap/>
            <w:vAlign w:val="bottom"/>
            <w:hideMark/>
          </w:tcPr>
          <w:p w14:paraId="3E65344A" w14:textId="77777777" w:rsidR="0080789B" w:rsidRPr="006B7CC3" w:rsidRDefault="0080789B" w:rsidP="00447AC7">
            <w:pPr>
              <w:jc w:val="both"/>
              <w:rPr>
                <w:color w:val="000000"/>
              </w:rPr>
            </w:pPr>
            <w:r w:rsidRPr="006B7CC3">
              <w:rPr>
                <w:color w:val="000000"/>
              </w:rPr>
              <w:t> </w:t>
            </w:r>
          </w:p>
        </w:tc>
      </w:tr>
      <w:tr w:rsidR="0080789B" w:rsidRPr="006B7CC3" w14:paraId="49009B6F" w14:textId="77777777" w:rsidTr="006B7CC3">
        <w:trPr>
          <w:trHeight w:val="20"/>
          <w:jc w:val="center"/>
        </w:trPr>
        <w:tc>
          <w:tcPr>
            <w:tcW w:w="1400" w:type="dxa"/>
            <w:tcBorders>
              <w:top w:val="nil"/>
              <w:left w:val="nil"/>
              <w:bottom w:val="nil"/>
              <w:right w:val="single" w:sz="4" w:space="0" w:color="auto"/>
            </w:tcBorders>
            <w:noWrap/>
            <w:vAlign w:val="bottom"/>
            <w:hideMark/>
          </w:tcPr>
          <w:p w14:paraId="036B36D4" w14:textId="77777777" w:rsidR="0080789B" w:rsidRPr="006B7CC3" w:rsidRDefault="0080789B" w:rsidP="00447AC7">
            <w:pPr>
              <w:jc w:val="both"/>
              <w:rPr>
                <w:color w:val="000000"/>
              </w:rPr>
            </w:pPr>
            <w:r w:rsidRPr="006B7CC3">
              <w:rPr>
                <w:color w:val="000000"/>
              </w:rPr>
              <w:t>Face to face</w:t>
            </w:r>
          </w:p>
        </w:tc>
        <w:tc>
          <w:tcPr>
            <w:tcW w:w="979" w:type="dxa"/>
            <w:tcBorders>
              <w:top w:val="nil"/>
              <w:left w:val="nil"/>
              <w:bottom w:val="nil"/>
              <w:right w:val="nil"/>
            </w:tcBorders>
            <w:noWrap/>
            <w:vAlign w:val="bottom"/>
            <w:hideMark/>
          </w:tcPr>
          <w:p w14:paraId="432316CB" w14:textId="77777777" w:rsidR="0080789B" w:rsidRPr="006B7CC3" w:rsidRDefault="0080789B" w:rsidP="00447AC7">
            <w:pPr>
              <w:jc w:val="both"/>
              <w:rPr>
                <w:color w:val="000000"/>
              </w:rPr>
            </w:pPr>
          </w:p>
        </w:tc>
        <w:tc>
          <w:tcPr>
            <w:tcW w:w="1820" w:type="dxa"/>
            <w:tcBorders>
              <w:top w:val="nil"/>
              <w:left w:val="nil"/>
              <w:bottom w:val="nil"/>
              <w:right w:val="nil"/>
            </w:tcBorders>
            <w:noWrap/>
            <w:vAlign w:val="bottom"/>
            <w:hideMark/>
          </w:tcPr>
          <w:p w14:paraId="342E30EE" w14:textId="77777777" w:rsidR="0080789B" w:rsidRPr="006B7CC3" w:rsidRDefault="0080789B" w:rsidP="00447AC7">
            <w:pPr>
              <w:jc w:val="both"/>
            </w:pPr>
          </w:p>
        </w:tc>
        <w:tc>
          <w:tcPr>
            <w:tcW w:w="1120" w:type="dxa"/>
            <w:tcBorders>
              <w:top w:val="nil"/>
              <w:left w:val="nil"/>
              <w:bottom w:val="nil"/>
              <w:right w:val="nil"/>
            </w:tcBorders>
            <w:noWrap/>
            <w:vAlign w:val="bottom"/>
            <w:hideMark/>
          </w:tcPr>
          <w:p w14:paraId="6B17E35D"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0E7A5CE0" w14:textId="77777777" w:rsidR="0080789B" w:rsidRPr="006B7CC3" w:rsidRDefault="0080789B" w:rsidP="00447AC7">
            <w:pPr>
              <w:jc w:val="both"/>
            </w:pPr>
          </w:p>
        </w:tc>
        <w:tc>
          <w:tcPr>
            <w:tcW w:w="979" w:type="dxa"/>
            <w:tcBorders>
              <w:top w:val="nil"/>
              <w:left w:val="nil"/>
              <w:bottom w:val="nil"/>
              <w:right w:val="nil"/>
            </w:tcBorders>
            <w:noWrap/>
            <w:vAlign w:val="bottom"/>
            <w:hideMark/>
          </w:tcPr>
          <w:p w14:paraId="0749BB0B" w14:textId="77777777" w:rsidR="0080789B" w:rsidRPr="006B7CC3" w:rsidRDefault="0080789B" w:rsidP="00447AC7">
            <w:pPr>
              <w:jc w:val="both"/>
            </w:pPr>
          </w:p>
        </w:tc>
        <w:tc>
          <w:tcPr>
            <w:tcW w:w="1290" w:type="dxa"/>
            <w:tcBorders>
              <w:top w:val="nil"/>
              <w:left w:val="nil"/>
              <w:bottom w:val="nil"/>
              <w:right w:val="nil"/>
            </w:tcBorders>
            <w:noWrap/>
            <w:vAlign w:val="bottom"/>
            <w:hideMark/>
          </w:tcPr>
          <w:p w14:paraId="32995B48" w14:textId="77777777" w:rsidR="0080789B" w:rsidRPr="006B7CC3" w:rsidRDefault="0080789B" w:rsidP="00447AC7">
            <w:pPr>
              <w:jc w:val="both"/>
            </w:pPr>
          </w:p>
        </w:tc>
        <w:tc>
          <w:tcPr>
            <w:tcW w:w="1142" w:type="dxa"/>
            <w:tcBorders>
              <w:top w:val="nil"/>
              <w:left w:val="nil"/>
              <w:bottom w:val="nil"/>
              <w:right w:val="nil"/>
            </w:tcBorders>
            <w:noWrap/>
            <w:vAlign w:val="bottom"/>
            <w:hideMark/>
          </w:tcPr>
          <w:p w14:paraId="404F9B2B" w14:textId="77777777" w:rsidR="0080789B" w:rsidRPr="006B7CC3" w:rsidRDefault="0080789B" w:rsidP="00447AC7">
            <w:pPr>
              <w:jc w:val="both"/>
            </w:pPr>
          </w:p>
        </w:tc>
      </w:tr>
      <w:tr w:rsidR="0080789B" w:rsidRPr="006B7CC3" w14:paraId="42DB3279" w14:textId="77777777" w:rsidTr="006B7CC3">
        <w:trPr>
          <w:trHeight w:val="20"/>
          <w:jc w:val="center"/>
        </w:trPr>
        <w:tc>
          <w:tcPr>
            <w:tcW w:w="1400" w:type="dxa"/>
            <w:tcBorders>
              <w:top w:val="nil"/>
              <w:left w:val="nil"/>
              <w:bottom w:val="nil"/>
              <w:right w:val="single" w:sz="4" w:space="0" w:color="auto"/>
            </w:tcBorders>
            <w:noWrap/>
            <w:vAlign w:val="bottom"/>
            <w:hideMark/>
          </w:tcPr>
          <w:p w14:paraId="3757D0DC" w14:textId="77777777" w:rsidR="0080789B" w:rsidRPr="006B7CC3" w:rsidRDefault="0080789B" w:rsidP="00447AC7">
            <w:pPr>
              <w:jc w:val="both"/>
              <w:rPr>
                <w:color w:val="000000"/>
              </w:rPr>
            </w:pPr>
            <w:r w:rsidRPr="006B7CC3">
              <w:rPr>
                <w:color w:val="000000"/>
              </w:rPr>
              <w:t> </w:t>
            </w:r>
          </w:p>
        </w:tc>
        <w:tc>
          <w:tcPr>
            <w:tcW w:w="979" w:type="dxa"/>
            <w:tcBorders>
              <w:top w:val="nil"/>
              <w:left w:val="nil"/>
              <w:bottom w:val="nil"/>
              <w:right w:val="nil"/>
            </w:tcBorders>
            <w:noWrap/>
            <w:vAlign w:val="bottom"/>
            <w:hideMark/>
          </w:tcPr>
          <w:p w14:paraId="3EF4521A" w14:textId="77777777" w:rsidR="0080789B" w:rsidRPr="006B7CC3" w:rsidRDefault="0080789B" w:rsidP="00447AC7">
            <w:pPr>
              <w:jc w:val="both"/>
              <w:rPr>
                <w:color w:val="000000"/>
              </w:rPr>
            </w:pPr>
            <w:r w:rsidRPr="006B7CC3">
              <w:rPr>
                <w:color w:val="000000"/>
              </w:rPr>
              <w:t>class</w:t>
            </w:r>
          </w:p>
        </w:tc>
        <w:tc>
          <w:tcPr>
            <w:tcW w:w="1820" w:type="dxa"/>
            <w:tcBorders>
              <w:top w:val="nil"/>
              <w:left w:val="nil"/>
              <w:bottom w:val="nil"/>
              <w:right w:val="nil"/>
            </w:tcBorders>
            <w:noWrap/>
            <w:vAlign w:val="bottom"/>
            <w:hideMark/>
          </w:tcPr>
          <w:p w14:paraId="3DFE828B" w14:textId="77777777" w:rsidR="0080789B" w:rsidRPr="006B7CC3" w:rsidRDefault="0080789B" w:rsidP="00447AC7">
            <w:pPr>
              <w:jc w:val="both"/>
              <w:rPr>
                <w:color w:val="000000"/>
              </w:rPr>
            </w:pPr>
            <w:r w:rsidRPr="006B7CC3">
              <w:rPr>
                <w:color w:val="000000"/>
              </w:rPr>
              <w:t>-0.0553527</w:t>
            </w:r>
          </w:p>
        </w:tc>
        <w:tc>
          <w:tcPr>
            <w:tcW w:w="1120" w:type="dxa"/>
            <w:tcBorders>
              <w:top w:val="nil"/>
              <w:left w:val="nil"/>
              <w:bottom w:val="nil"/>
              <w:right w:val="nil"/>
            </w:tcBorders>
            <w:noWrap/>
            <w:vAlign w:val="bottom"/>
            <w:hideMark/>
          </w:tcPr>
          <w:p w14:paraId="67E2D2D4" w14:textId="77777777" w:rsidR="0080789B" w:rsidRPr="006B7CC3" w:rsidRDefault="0080789B" w:rsidP="00447AC7">
            <w:pPr>
              <w:jc w:val="both"/>
              <w:rPr>
                <w:color w:val="000000"/>
              </w:rPr>
            </w:pPr>
            <w:r w:rsidRPr="006B7CC3">
              <w:rPr>
                <w:color w:val="000000"/>
              </w:rPr>
              <w:t>0.014469</w:t>
            </w:r>
          </w:p>
        </w:tc>
        <w:tc>
          <w:tcPr>
            <w:tcW w:w="979" w:type="dxa"/>
            <w:tcBorders>
              <w:top w:val="nil"/>
              <w:left w:val="nil"/>
              <w:bottom w:val="nil"/>
              <w:right w:val="nil"/>
            </w:tcBorders>
            <w:noWrap/>
            <w:vAlign w:val="bottom"/>
            <w:hideMark/>
          </w:tcPr>
          <w:p w14:paraId="03BF0209" w14:textId="77777777" w:rsidR="0080789B" w:rsidRPr="006B7CC3" w:rsidRDefault="0080789B" w:rsidP="00447AC7">
            <w:pPr>
              <w:jc w:val="both"/>
              <w:rPr>
                <w:color w:val="000000"/>
              </w:rPr>
            </w:pPr>
            <w:r w:rsidRPr="006B7CC3">
              <w:rPr>
                <w:color w:val="000000"/>
              </w:rPr>
              <w:t>-3.83</w:t>
            </w:r>
          </w:p>
        </w:tc>
        <w:tc>
          <w:tcPr>
            <w:tcW w:w="979" w:type="dxa"/>
            <w:tcBorders>
              <w:top w:val="nil"/>
              <w:left w:val="nil"/>
              <w:bottom w:val="nil"/>
              <w:right w:val="nil"/>
            </w:tcBorders>
            <w:noWrap/>
            <w:vAlign w:val="bottom"/>
            <w:hideMark/>
          </w:tcPr>
          <w:p w14:paraId="51BDBFC7" w14:textId="77777777" w:rsidR="0080789B" w:rsidRPr="006B7CC3" w:rsidRDefault="0080789B" w:rsidP="00447AC7">
            <w:pPr>
              <w:jc w:val="both"/>
              <w:rPr>
                <w:color w:val="000000"/>
              </w:rPr>
            </w:pPr>
            <w:r w:rsidRPr="006B7CC3">
              <w:rPr>
                <w:color w:val="000000"/>
              </w:rPr>
              <w:t>0.000</w:t>
            </w:r>
          </w:p>
        </w:tc>
        <w:tc>
          <w:tcPr>
            <w:tcW w:w="1290" w:type="dxa"/>
            <w:tcBorders>
              <w:top w:val="nil"/>
              <w:left w:val="nil"/>
              <w:bottom w:val="nil"/>
              <w:right w:val="nil"/>
            </w:tcBorders>
            <w:noWrap/>
            <w:vAlign w:val="bottom"/>
            <w:hideMark/>
          </w:tcPr>
          <w:p w14:paraId="77730B15" w14:textId="77777777" w:rsidR="0080789B" w:rsidRPr="006B7CC3" w:rsidRDefault="0080789B" w:rsidP="00447AC7">
            <w:pPr>
              <w:jc w:val="both"/>
              <w:rPr>
                <w:color w:val="000000"/>
              </w:rPr>
            </w:pPr>
            <w:r w:rsidRPr="006B7CC3">
              <w:rPr>
                <w:color w:val="000000"/>
              </w:rPr>
              <w:t>-0.08371</w:t>
            </w:r>
          </w:p>
        </w:tc>
        <w:tc>
          <w:tcPr>
            <w:tcW w:w="1142" w:type="dxa"/>
            <w:tcBorders>
              <w:top w:val="nil"/>
              <w:left w:val="nil"/>
              <w:bottom w:val="nil"/>
              <w:right w:val="nil"/>
            </w:tcBorders>
            <w:noWrap/>
            <w:vAlign w:val="bottom"/>
            <w:hideMark/>
          </w:tcPr>
          <w:p w14:paraId="137D2403" w14:textId="77777777" w:rsidR="0080789B" w:rsidRPr="006B7CC3" w:rsidRDefault="0080789B" w:rsidP="00447AC7">
            <w:pPr>
              <w:jc w:val="both"/>
              <w:rPr>
                <w:color w:val="000000"/>
              </w:rPr>
            </w:pPr>
            <w:r w:rsidRPr="006B7CC3">
              <w:rPr>
                <w:color w:val="000000"/>
              </w:rPr>
              <w:t>-0.02699</w:t>
            </w:r>
          </w:p>
        </w:tc>
      </w:tr>
      <w:tr w:rsidR="0080789B" w:rsidRPr="006B7CC3" w14:paraId="1245824A" w14:textId="77777777" w:rsidTr="006B7CC3">
        <w:trPr>
          <w:trHeight w:val="20"/>
          <w:jc w:val="center"/>
        </w:trPr>
        <w:tc>
          <w:tcPr>
            <w:tcW w:w="1400" w:type="dxa"/>
            <w:tcBorders>
              <w:top w:val="nil"/>
              <w:left w:val="nil"/>
              <w:bottom w:val="nil"/>
              <w:right w:val="single" w:sz="4" w:space="0" w:color="auto"/>
            </w:tcBorders>
            <w:noWrap/>
            <w:vAlign w:val="bottom"/>
            <w:hideMark/>
          </w:tcPr>
          <w:p w14:paraId="6E2C2C50" w14:textId="77777777" w:rsidR="0080789B" w:rsidRPr="006B7CC3" w:rsidRDefault="0080789B" w:rsidP="00447AC7">
            <w:pPr>
              <w:jc w:val="both"/>
              <w:rPr>
                <w:color w:val="000000"/>
              </w:rPr>
            </w:pPr>
            <w:r w:rsidRPr="006B7CC3">
              <w:rPr>
                <w:color w:val="000000"/>
              </w:rPr>
              <w:t> </w:t>
            </w:r>
          </w:p>
        </w:tc>
        <w:tc>
          <w:tcPr>
            <w:tcW w:w="979" w:type="dxa"/>
            <w:tcBorders>
              <w:top w:val="nil"/>
              <w:left w:val="nil"/>
              <w:bottom w:val="nil"/>
              <w:right w:val="nil"/>
            </w:tcBorders>
            <w:noWrap/>
            <w:vAlign w:val="bottom"/>
            <w:hideMark/>
          </w:tcPr>
          <w:p w14:paraId="2FACE988" w14:textId="77777777" w:rsidR="0080789B" w:rsidRPr="006B7CC3" w:rsidRDefault="0080789B" w:rsidP="00447AC7">
            <w:pPr>
              <w:jc w:val="both"/>
              <w:rPr>
                <w:color w:val="000000"/>
              </w:rPr>
            </w:pPr>
            <w:r w:rsidRPr="006B7CC3">
              <w:rPr>
                <w:color w:val="000000"/>
              </w:rPr>
              <w:t>Inst. size</w:t>
            </w:r>
          </w:p>
        </w:tc>
        <w:tc>
          <w:tcPr>
            <w:tcW w:w="1820" w:type="dxa"/>
            <w:tcBorders>
              <w:top w:val="nil"/>
              <w:left w:val="nil"/>
              <w:bottom w:val="nil"/>
              <w:right w:val="nil"/>
            </w:tcBorders>
            <w:noWrap/>
            <w:vAlign w:val="bottom"/>
            <w:hideMark/>
          </w:tcPr>
          <w:p w14:paraId="1787D29C" w14:textId="77777777" w:rsidR="0080789B" w:rsidRPr="006B7CC3" w:rsidRDefault="0080789B" w:rsidP="00447AC7">
            <w:pPr>
              <w:jc w:val="both"/>
              <w:rPr>
                <w:color w:val="000000"/>
              </w:rPr>
            </w:pPr>
            <w:r w:rsidRPr="006B7CC3">
              <w:rPr>
                <w:color w:val="000000"/>
              </w:rPr>
              <w:t>0.4020081</w:t>
            </w:r>
          </w:p>
        </w:tc>
        <w:tc>
          <w:tcPr>
            <w:tcW w:w="1120" w:type="dxa"/>
            <w:tcBorders>
              <w:top w:val="nil"/>
              <w:left w:val="nil"/>
              <w:bottom w:val="nil"/>
              <w:right w:val="nil"/>
            </w:tcBorders>
            <w:noWrap/>
            <w:vAlign w:val="bottom"/>
            <w:hideMark/>
          </w:tcPr>
          <w:p w14:paraId="50A77A18" w14:textId="77777777" w:rsidR="0080789B" w:rsidRPr="006B7CC3" w:rsidRDefault="0080789B" w:rsidP="00447AC7">
            <w:pPr>
              <w:jc w:val="both"/>
              <w:rPr>
                <w:color w:val="000000"/>
              </w:rPr>
            </w:pPr>
            <w:r w:rsidRPr="006B7CC3">
              <w:rPr>
                <w:color w:val="000000"/>
              </w:rPr>
              <w:t>0.331978</w:t>
            </w:r>
          </w:p>
        </w:tc>
        <w:tc>
          <w:tcPr>
            <w:tcW w:w="979" w:type="dxa"/>
            <w:tcBorders>
              <w:top w:val="nil"/>
              <w:left w:val="nil"/>
              <w:bottom w:val="nil"/>
              <w:right w:val="nil"/>
            </w:tcBorders>
            <w:noWrap/>
            <w:vAlign w:val="bottom"/>
            <w:hideMark/>
          </w:tcPr>
          <w:p w14:paraId="4403D93D" w14:textId="77777777" w:rsidR="0080789B" w:rsidRPr="006B7CC3" w:rsidRDefault="0080789B" w:rsidP="00447AC7">
            <w:pPr>
              <w:jc w:val="both"/>
              <w:rPr>
                <w:color w:val="000000"/>
              </w:rPr>
            </w:pPr>
            <w:r w:rsidRPr="006B7CC3">
              <w:rPr>
                <w:color w:val="000000"/>
              </w:rPr>
              <w:t>1.21</w:t>
            </w:r>
          </w:p>
        </w:tc>
        <w:tc>
          <w:tcPr>
            <w:tcW w:w="979" w:type="dxa"/>
            <w:tcBorders>
              <w:top w:val="nil"/>
              <w:left w:val="nil"/>
              <w:bottom w:val="nil"/>
              <w:right w:val="nil"/>
            </w:tcBorders>
            <w:noWrap/>
            <w:vAlign w:val="bottom"/>
            <w:hideMark/>
          </w:tcPr>
          <w:p w14:paraId="62B1CFED" w14:textId="77777777" w:rsidR="0080789B" w:rsidRPr="006B7CC3" w:rsidRDefault="0080789B" w:rsidP="00447AC7">
            <w:pPr>
              <w:jc w:val="both"/>
              <w:rPr>
                <w:color w:val="000000"/>
              </w:rPr>
            </w:pPr>
            <w:r w:rsidRPr="006B7CC3">
              <w:rPr>
                <w:color w:val="000000"/>
              </w:rPr>
              <w:t>0.226</w:t>
            </w:r>
          </w:p>
        </w:tc>
        <w:tc>
          <w:tcPr>
            <w:tcW w:w="1290" w:type="dxa"/>
            <w:tcBorders>
              <w:top w:val="nil"/>
              <w:left w:val="nil"/>
              <w:bottom w:val="nil"/>
              <w:right w:val="nil"/>
            </w:tcBorders>
            <w:noWrap/>
            <w:vAlign w:val="bottom"/>
            <w:hideMark/>
          </w:tcPr>
          <w:p w14:paraId="5A829DF9" w14:textId="77777777" w:rsidR="0080789B" w:rsidRPr="006B7CC3" w:rsidRDefault="0080789B" w:rsidP="00447AC7">
            <w:pPr>
              <w:jc w:val="both"/>
              <w:rPr>
                <w:color w:val="000000"/>
              </w:rPr>
            </w:pPr>
            <w:r w:rsidRPr="006B7CC3">
              <w:rPr>
                <w:color w:val="000000"/>
              </w:rPr>
              <w:t>-0.24866</w:t>
            </w:r>
          </w:p>
        </w:tc>
        <w:tc>
          <w:tcPr>
            <w:tcW w:w="1142" w:type="dxa"/>
            <w:tcBorders>
              <w:top w:val="nil"/>
              <w:left w:val="nil"/>
              <w:bottom w:val="nil"/>
              <w:right w:val="nil"/>
            </w:tcBorders>
            <w:noWrap/>
            <w:vAlign w:val="bottom"/>
            <w:hideMark/>
          </w:tcPr>
          <w:p w14:paraId="5FF3425B" w14:textId="77777777" w:rsidR="0080789B" w:rsidRPr="006B7CC3" w:rsidRDefault="0080789B" w:rsidP="00447AC7">
            <w:pPr>
              <w:jc w:val="both"/>
              <w:rPr>
                <w:color w:val="000000"/>
              </w:rPr>
            </w:pPr>
            <w:r w:rsidRPr="006B7CC3">
              <w:rPr>
                <w:color w:val="000000"/>
              </w:rPr>
              <w:t>1.052673</w:t>
            </w:r>
          </w:p>
        </w:tc>
      </w:tr>
      <w:tr w:rsidR="0080789B" w:rsidRPr="006B7CC3" w14:paraId="0FCBC523" w14:textId="77777777" w:rsidTr="006B7CC3">
        <w:trPr>
          <w:trHeight w:val="20"/>
          <w:jc w:val="center"/>
        </w:trPr>
        <w:tc>
          <w:tcPr>
            <w:tcW w:w="1400" w:type="dxa"/>
            <w:tcBorders>
              <w:top w:val="nil"/>
              <w:left w:val="nil"/>
              <w:bottom w:val="nil"/>
              <w:right w:val="single" w:sz="4" w:space="0" w:color="auto"/>
            </w:tcBorders>
            <w:noWrap/>
            <w:vAlign w:val="bottom"/>
            <w:hideMark/>
          </w:tcPr>
          <w:p w14:paraId="0FA41393" w14:textId="77777777" w:rsidR="0080789B" w:rsidRPr="006B7CC3" w:rsidRDefault="0080789B" w:rsidP="00447AC7">
            <w:pPr>
              <w:jc w:val="both"/>
              <w:rPr>
                <w:color w:val="000000"/>
              </w:rPr>
            </w:pPr>
            <w:r w:rsidRPr="006B7CC3">
              <w:rPr>
                <w:color w:val="000000"/>
              </w:rPr>
              <w:t> </w:t>
            </w:r>
          </w:p>
        </w:tc>
        <w:tc>
          <w:tcPr>
            <w:tcW w:w="979" w:type="dxa"/>
            <w:tcBorders>
              <w:top w:val="nil"/>
              <w:left w:val="nil"/>
              <w:bottom w:val="nil"/>
              <w:right w:val="nil"/>
            </w:tcBorders>
            <w:noWrap/>
            <w:vAlign w:val="bottom"/>
            <w:hideMark/>
          </w:tcPr>
          <w:p w14:paraId="248F94D8" w14:textId="77777777" w:rsidR="0080789B" w:rsidRPr="006B7CC3" w:rsidRDefault="0080789B" w:rsidP="00447AC7">
            <w:pPr>
              <w:jc w:val="both"/>
              <w:rPr>
                <w:color w:val="000000"/>
              </w:rPr>
            </w:pPr>
            <w:r w:rsidRPr="006B7CC3">
              <w:rPr>
                <w:color w:val="000000"/>
              </w:rPr>
              <w:t>_cons</w:t>
            </w:r>
          </w:p>
        </w:tc>
        <w:tc>
          <w:tcPr>
            <w:tcW w:w="1820" w:type="dxa"/>
            <w:tcBorders>
              <w:top w:val="nil"/>
              <w:left w:val="nil"/>
              <w:bottom w:val="nil"/>
              <w:right w:val="nil"/>
            </w:tcBorders>
            <w:noWrap/>
            <w:vAlign w:val="bottom"/>
            <w:hideMark/>
          </w:tcPr>
          <w:p w14:paraId="334DDCEA" w14:textId="77777777" w:rsidR="0080789B" w:rsidRPr="006B7CC3" w:rsidRDefault="0080789B" w:rsidP="00447AC7">
            <w:pPr>
              <w:jc w:val="both"/>
              <w:rPr>
                <w:color w:val="000000"/>
              </w:rPr>
            </w:pPr>
            <w:r w:rsidRPr="006B7CC3">
              <w:rPr>
                <w:color w:val="000000"/>
              </w:rPr>
              <w:t>3.073227</w:t>
            </w:r>
          </w:p>
        </w:tc>
        <w:tc>
          <w:tcPr>
            <w:tcW w:w="1120" w:type="dxa"/>
            <w:tcBorders>
              <w:top w:val="nil"/>
              <w:left w:val="nil"/>
              <w:bottom w:val="nil"/>
              <w:right w:val="nil"/>
            </w:tcBorders>
            <w:noWrap/>
            <w:vAlign w:val="bottom"/>
            <w:hideMark/>
          </w:tcPr>
          <w:p w14:paraId="4D20CA8F" w14:textId="77777777" w:rsidR="0080789B" w:rsidRPr="006B7CC3" w:rsidRDefault="0080789B" w:rsidP="00447AC7">
            <w:pPr>
              <w:jc w:val="both"/>
              <w:rPr>
                <w:color w:val="000000"/>
              </w:rPr>
            </w:pPr>
            <w:r w:rsidRPr="006B7CC3">
              <w:rPr>
                <w:color w:val="000000"/>
              </w:rPr>
              <w:t>0.815666</w:t>
            </w:r>
          </w:p>
        </w:tc>
        <w:tc>
          <w:tcPr>
            <w:tcW w:w="979" w:type="dxa"/>
            <w:tcBorders>
              <w:top w:val="nil"/>
              <w:left w:val="nil"/>
              <w:bottom w:val="nil"/>
              <w:right w:val="nil"/>
            </w:tcBorders>
            <w:noWrap/>
            <w:vAlign w:val="bottom"/>
            <w:hideMark/>
          </w:tcPr>
          <w:p w14:paraId="7E07A9B6" w14:textId="77777777" w:rsidR="0080789B" w:rsidRPr="006B7CC3" w:rsidRDefault="0080789B" w:rsidP="00447AC7">
            <w:pPr>
              <w:jc w:val="both"/>
              <w:rPr>
                <w:color w:val="000000"/>
              </w:rPr>
            </w:pPr>
            <w:r w:rsidRPr="006B7CC3">
              <w:rPr>
                <w:color w:val="000000"/>
              </w:rPr>
              <w:t>3.77</w:t>
            </w:r>
          </w:p>
        </w:tc>
        <w:tc>
          <w:tcPr>
            <w:tcW w:w="979" w:type="dxa"/>
            <w:tcBorders>
              <w:top w:val="nil"/>
              <w:left w:val="nil"/>
              <w:bottom w:val="nil"/>
              <w:right w:val="nil"/>
            </w:tcBorders>
            <w:noWrap/>
            <w:vAlign w:val="bottom"/>
            <w:hideMark/>
          </w:tcPr>
          <w:p w14:paraId="07069C30" w14:textId="77777777" w:rsidR="0080789B" w:rsidRPr="006B7CC3" w:rsidRDefault="0080789B" w:rsidP="00447AC7">
            <w:pPr>
              <w:jc w:val="both"/>
              <w:rPr>
                <w:color w:val="000000"/>
              </w:rPr>
            </w:pPr>
            <w:r w:rsidRPr="006B7CC3">
              <w:rPr>
                <w:color w:val="000000"/>
              </w:rPr>
              <w:t>0.000</w:t>
            </w:r>
          </w:p>
        </w:tc>
        <w:tc>
          <w:tcPr>
            <w:tcW w:w="1290" w:type="dxa"/>
            <w:tcBorders>
              <w:top w:val="nil"/>
              <w:left w:val="nil"/>
              <w:bottom w:val="nil"/>
              <w:right w:val="nil"/>
            </w:tcBorders>
            <w:noWrap/>
            <w:vAlign w:val="bottom"/>
            <w:hideMark/>
          </w:tcPr>
          <w:p w14:paraId="23A294A9" w14:textId="77777777" w:rsidR="0080789B" w:rsidRPr="006B7CC3" w:rsidRDefault="0080789B" w:rsidP="00447AC7">
            <w:pPr>
              <w:jc w:val="both"/>
              <w:rPr>
                <w:color w:val="000000"/>
              </w:rPr>
            </w:pPr>
            <w:r w:rsidRPr="006B7CC3">
              <w:rPr>
                <w:color w:val="000000"/>
              </w:rPr>
              <w:t>1.47455</w:t>
            </w:r>
          </w:p>
        </w:tc>
        <w:tc>
          <w:tcPr>
            <w:tcW w:w="1142" w:type="dxa"/>
            <w:tcBorders>
              <w:top w:val="nil"/>
              <w:left w:val="nil"/>
              <w:bottom w:val="nil"/>
              <w:right w:val="nil"/>
            </w:tcBorders>
            <w:noWrap/>
            <w:vAlign w:val="bottom"/>
            <w:hideMark/>
          </w:tcPr>
          <w:p w14:paraId="2F2DEC37" w14:textId="77777777" w:rsidR="0080789B" w:rsidRPr="006B7CC3" w:rsidRDefault="0080789B" w:rsidP="00447AC7">
            <w:pPr>
              <w:jc w:val="both"/>
              <w:rPr>
                <w:color w:val="000000"/>
              </w:rPr>
            </w:pPr>
            <w:r w:rsidRPr="006B7CC3">
              <w:rPr>
                <w:color w:val="000000"/>
              </w:rPr>
              <w:t>4.671903</w:t>
            </w:r>
          </w:p>
        </w:tc>
      </w:tr>
      <w:tr w:rsidR="0080789B" w:rsidRPr="006B7CC3" w14:paraId="2FA6E509" w14:textId="77777777" w:rsidTr="006B7CC3">
        <w:trPr>
          <w:trHeight w:val="20"/>
          <w:jc w:val="center"/>
        </w:trPr>
        <w:tc>
          <w:tcPr>
            <w:tcW w:w="1400" w:type="dxa"/>
            <w:tcBorders>
              <w:top w:val="single" w:sz="4" w:space="0" w:color="auto"/>
              <w:left w:val="nil"/>
              <w:bottom w:val="nil"/>
              <w:right w:val="single" w:sz="4" w:space="0" w:color="auto"/>
            </w:tcBorders>
            <w:noWrap/>
            <w:vAlign w:val="bottom"/>
            <w:hideMark/>
          </w:tcPr>
          <w:p w14:paraId="17568A50" w14:textId="77777777" w:rsidR="0080789B" w:rsidRPr="006B7CC3" w:rsidRDefault="0080789B" w:rsidP="00447AC7">
            <w:pPr>
              <w:jc w:val="both"/>
              <w:rPr>
                <w:color w:val="000000"/>
              </w:rPr>
            </w:pPr>
            <w:r w:rsidRPr="006B7CC3">
              <w:rPr>
                <w:color w:val="000000"/>
              </w:rPr>
              <w:t>Blended</w:t>
            </w:r>
          </w:p>
        </w:tc>
        <w:tc>
          <w:tcPr>
            <w:tcW w:w="979" w:type="dxa"/>
            <w:tcBorders>
              <w:top w:val="single" w:sz="4" w:space="0" w:color="auto"/>
              <w:left w:val="nil"/>
              <w:bottom w:val="nil"/>
              <w:right w:val="nil"/>
            </w:tcBorders>
            <w:noWrap/>
            <w:vAlign w:val="bottom"/>
            <w:hideMark/>
          </w:tcPr>
          <w:p w14:paraId="6E04D42F" w14:textId="77777777" w:rsidR="0080789B" w:rsidRPr="006B7CC3" w:rsidRDefault="0080789B" w:rsidP="00447AC7">
            <w:pPr>
              <w:jc w:val="both"/>
              <w:rPr>
                <w:color w:val="000000"/>
              </w:rPr>
            </w:pPr>
          </w:p>
        </w:tc>
        <w:tc>
          <w:tcPr>
            <w:tcW w:w="1820" w:type="dxa"/>
            <w:tcBorders>
              <w:top w:val="single" w:sz="4" w:space="0" w:color="auto"/>
              <w:left w:val="nil"/>
              <w:bottom w:val="nil"/>
              <w:right w:val="nil"/>
            </w:tcBorders>
            <w:noWrap/>
            <w:vAlign w:val="bottom"/>
            <w:hideMark/>
          </w:tcPr>
          <w:p w14:paraId="4A4D06F6" w14:textId="77777777" w:rsidR="0080789B" w:rsidRPr="006B7CC3" w:rsidRDefault="0080789B" w:rsidP="00447AC7">
            <w:pPr>
              <w:jc w:val="both"/>
              <w:rPr>
                <w:color w:val="000000"/>
              </w:rPr>
            </w:pPr>
            <w:r w:rsidRPr="006B7CC3">
              <w:rPr>
                <w:color w:val="000000"/>
              </w:rPr>
              <w:t> </w:t>
            </w:r>
          </w:p>
        </w:tc>
        <w:tc>
          <w:tcPr>
            <w:tcW w:w="1120" w:type="dxa"/>
            <w:tcBorders>
              <w:top w:val="single" w:sz="4" w:space="0" w:color="auto"/>
              <w:left w:val="nil"/>
              <w:bottom w:val="nil"/>
              <w:right w:val="nil"/>
            </w:tcBorders>
            <w:noWrap/>
            <w:vAlign w:val="bottom"/>
            <w:hideMark/>
          </w:tcPr>
          <w:p w14:paraId="0810D6D3" w14:textId="77777777" w:rsidR="0080789B" w:rsidRPr="006B7CC3" w:rsidRDefault="0080789B" w:rsidP="00447AC7">
            <w:pPr>
              <w:jc w:val="both"/>
              <w:rPr>
                <w:color w:val="000000"/>
              </w:rPr>
            </w:pPr>
            <w:r w:rsidRPr="006B7CC3">
              <w:rPr>
                <w:color w:val="000000"/>
              </w:rPr>
              <w:t> </w:t>
            </w:r>
          </w:p>
        </w:tc>
        <w:tc>
          <w:tcPr>
            <w:tcW w:w="979" w:type="dxa"/>
            <w:tcBorders>
              <w:top w:val="single" w:sz="4" w:space="0" w:color="auto"/>
              <w:left w:val="nil"/>
              <w:bottom w:val="nil"/>
              <w:right w:val="nil"/>
            </w:tcBorders>
            <w:noWrap/>
            <w:vAlign w:val="bottom"/>
            <w:hideMark/>
          </w:tcPr>
          <w:p w14:paraId="090E0CC3" w14:textId="77777777" w:rsidR="0080789B" w:rsidRPr="006B7CC3" w:rsidRDefault="0080789B" w:rsidP="00447AC7">
            <w:pPr>
              <w:jc w:val="both"/>
              <w:rPr>
                <w:color w:val="000000"/>
              </w:rPr>
            </w:pPr>
            <w:r w:rsidRPr="006B7CC3">
              <w:rPr>
                <w:color w:val="000000"/>
              </w:rPr>
              <w:t> </w:t>
            </w:r>
          </w:p>
        </w:tc>
        <w:tc>
          <w:tcPr>
            <w:tcW w:w="979" w:type="dxa"/>
            <w:tcBorders>
              <w:top w:val="single" w:sz="4" w:space="0" w:color="auto"/>
              <w:left w:val="nil"/>
              <w:bottom w:val="nil"/>
              <w:right w:val="nil"/>
            </w:tcBorders>
            <w:noWrap/>
            <w:vAlign w:val="bottom"/>
            <w:hideMark/>
          </w:tcPr>
          <w:p w14:paraId="7B0C397A" w14:textId="77777777" w:rsidR="0080789B" w:rsidRPr="006B7CC3" w:rsidRDefault="0080789B" w:rsidP="00447AC7">
            <w:pPr>
              <w:jc w:val="both"/>
              <w:rPr>
                <w:color w:val="000000"/>
              </w:rPr>
            </w:pPr>
            <w:r w:rsidRPr="006B7CC3">
              <w:rPr>
                <w:color w:val="000000"/>
              </w:rPr>
              <w:t> </w:t>
            </w:r>
          </w:p>
        </w:tc>
        <w:tc>
          <w:tcPr>
            <w:tcW w:w="1290" w:type="dxa"/>
            <w:tcBorders>
              <w:top w:val="single" w:sz="4" w:space="0" w:color="auto"/>
              <w:left w:val="nil"/>
              <w:bottom w:val="nil"/>
              <w:right w:val="nil"/>
            </w:tcBorders>
            <w:noWrap/>
            <w:vAlign w:val="bottom"/>
            <w:hideMark/>
          </w:tcPr>
          <w:p w14:paraId="1F05F6B5" w14:textId="77777777" w:rsidR="0080789B" w:rsidRPr="006B7CC3" w:rsidRDefault="0080789B" w:rsidP="00447AC7">
            <w:pPr>
              <w:jc w:val="both"/>
              <w:rPr>
                <w:color w:val="000000"/>
              </w:rPr>
            </w:pPr>
            <w:r w:rsidRPr="006B7CC3">
              <w:rPr>
                <w:color w:val="000000"/>
              </w:rPr>
              <w:t> </w:t>
            </w:r>
          </w:p>
        </w:tc>
        <w:tc>
          <w:tcPr>
            <w:tcW w:w="1142" w:type="dxa"/>
            <w:tcBorders>
              <w:top w:val="single" w:sz="4" w:space="0" w:color="auto"/>
              <w:left w:val="nil"/>
              <w:bottom w:val="nil"/>
              <w:right w:val="nil"/>
            </w:tcBorders>
            <w:noWrap/>
            <w:vAlign w:val="bottom"/>
            <w:hideMark/>
          </w:tcPr>
          <w:p w14:paraId="42D63B1F" w14:textId="77777777" w:rsidR="0080789B" w:rsidRPr="006B7CC3" w:rsidRDefault="0080789B" w:rsidP="00447AC7">
            <w:pPr>
              <w:jc w:val="both"/>
              <w:rPr>
                <w:color w:val="000000"/>
              </w:rPr>
            </w:pPr>
            <w:r w:rsidRPr="006B7CC3">
              <w:rPr>
                <w:color w:val="000000"/>
              </w:rPr>
              <w:t> </w:t>
            </w:r>
          </w:p>
        </w:tc>
      </w:tr>
      <w:tr w:rsidR="0080789B" w:rsidRPr="006B7CC3" w14:paraId="35BA61DA" w14:textId="77777777" w:rsidTr="006B7CC3">
        <w:trPr>
          <w:trHeight w:val="20"/>
          <w:jc w:val="center"/>
        </w:trPr>
        <w:tc>
          <w:tcPr>
            <w:tcW w:w="1400" w:type="dxa"/>
            <w:tcBorders>
              <w:top w:val="nil"/>
              <w:left w:val="nil"/>
              <w:bottom w:val="nil"/>
              <w:right w:val="single" w:sz="4" w:space="0" w:color="auto"/>
            </w:tcBorders>
            <w:noWrap/>
            <w:vAlign w:val="bottom"/>
            <w:hideMark/>
          </w:tcPr>
          <w:p w14:paraId="30AD5CC4" w14:textId="77777777" w:rsidR="0080789B" w:rsidRPr="006B7CC3" w:rsidRDefault="0080789B" w:rsidP="00447AC7">
            <w:pPr>
              <w:jc w:val="both"/>
              <w:rPr>
                <w:color w:val="000000"/>
              </w:rPr>
            </w:pPr>
            <w:r w:rsidRPr="006B7CC3">
              <w:rPr>
                <w:color w:val="000000"/>
              </w:rPr>
              <w:t> </w:t>
            </w:r>
          </w:p>
        </w:tc>
        <w:tc>
          <w:tcPr>
            <w:tcW w:w="979" w:type="dxa"/>
            <w:tcBorders>
              <w:top w:val="nil"/>
              <w:left w:val="nil"/>
              <w:bottom w:val="nil"/>
              <w:right w:val="nil"/>
            </w:tcBorders>
            <w:noWrap/>
            <w:vAlign w:val="bottom"/>
            <w:hideMark/>
          </w:tcPr>
          <w:p w14:paraId="05CCA486" w14:textId="77777777" w:rsidR="0080789B" w:rsidRPr="006B7CC3" w:rsidRDefault="0080789B" w:rsidP="00447AC7">
            <w:pPr>
              <w:jc w:val="both"/>
              <w:rPr>
                <w:color w:val="000000"/>
              </w:rPr>
            </w:pPr>
            <w:r w:rsidRPr="006B7CC3">
              <w:rPr>
                <w:color w:val="000000"/>
              </w:rPr>
              <w:t>class</w:t>
            </w:r>
          </w:p>
        </w:tc>
        <w:tc>
          <w:tcPr>
            <w:tcW w:w="1820" w:type="dxa"/>
            <w:tcBorders>
              <w:top w:val="nil"/>
              <w:left w:val="nil"/>
              <w:bottom w:val="nil"/>
              <w:right w:val="nil"/>
            </w:tcBorders>
            <w:noWrap/>
            <w:vAlign w:val="bottom"/>
            <w:hideMark/>
          </w:tcPr>
          <w:p w14:paraId="16D04993" w14:textId="77777777" w:rsidR="0080789B" w:rsidRPr="006B7CC3" w:rsidRDefault="0080789B" w:rsidP="00447AC7">
            <w:pPr>
              <w:jc w:val="both"/>
              <w:rPr>
                <w:color w:val="000000"/>
              </w:rPr>
            </w:pPr>
            <w:r w:rsidRPr="006B7CC3">
              <w:rPr>
                <w:color w:val="000000"/>
              </w:rPr>
              <w:t>-0.0290402</w:t>
            </w:r>
          </w:p>
        </w:tc>
        <w:tc>
          <w:tcPr>
            <w:tcW w:w="1120" w:type="dxa"/>
            <w:tcBorders>
              <w:top w:val="nil"/>
              <w:left w:val="nil"/>
              <w:bottom w:val="nil"/>
              <w:right w:val="nil"/>
            </w:tcBorders>
            <w:noWrap/>
            <w:vAlign w:val="bottom"/>
            <w:hideMark/>
          </w:tcPr>
          <w:p w14:paraId="4FA35C46" w14:textId="77777777" w:rsidR="0080789B" w:rsidRPr="006B7CC3" w:rsidRDefault="0080789B" w:rsidP="00447AC7">
            <w:pPr>
              <w:jc w:val="both"/>
              <w:rPr>
                <w:color w:val="000000"/>
              </w:rPr>
            </w:pPr>
            <w:r w:rsidRPr="006B7CC3">
              <w:rPr>
                <w:color w:val="000000"/>
              </w:rPr>
              <w:t>0.02023</w:t>
            </w:r>
          </w:p>
        </w:tc>
        <w:tc>
          <w:tcPr>
            <w:tcW w:w="979" w:type="dxa"/>
            <w:tcBorders>
              <w:top w:val="nil"/>
              <w:left w:val="nil"/>
              <w:bottom w:val="nil"/>
              <w:right w:val="nil"/>
            </w:tcBorders>
            <w:noWrap/>
            <w:vAlign w:val="bottom"/>
            <w:hideMark/>
          </w:tcPr>
          <w:p w14:paraId="4917DB65" w14:textId="77777777" w:rsidR="0080789B" w:rsidRPr="006B7CC3" w:rsidRDefault="0080789B" w:rsidP="00447AC7">
            <w:pPr>
              <w:jc w:val="both"/>
              <w:rPr>
                <w:color w:val="000000"/>
              </w:rPr>
            </w:pPr>
            <w:r w:rsidRPr="006B7CC3">
              <w:rPr>
                <w:color w:val="000000"/>
              </w:rPr>
              <w:t>-1.44</w:t>
            </w:r>
          </w:p>
        </w:tc>
        <w:tc>
          <w:tcPr>
            <w:tcW w:w="979" w:type="dxa"/>
            <w:tcBorders>
              <w:top w:val="nil"/>
              <w:left w:val="nil"/>
              <w:bottom w:val="nil"/>
              <w:right w:val="nil"/>
            </w:tcBorders>
            <w:noWrap/>
            <w:vAlign w:val="bottom"/>
            <w:hideMark/>
          </w:tcPr>
          <w:p w14:paraId="33489619" w14:textId="77777777" w:rsidR="0080789B" w:rsidRPr="006B7CC3" w:rsidRDefault="0080789B" w:rsidP="00447AC7">
            <w:pPr>
              <w:jc w:val="both"/>
              <w:rPr>
                <w:color w:val="000000"/>
              </w:rPr>
            </w:pPr>
            <w:r w:rsidRPr="006B7CC3">
              <w:rPr>
                <w:color w:val="000000"/>
              </w:rPr>
              <w:t>0.151</w:t>
            </w:r>
          </w:p>
        </w:tc>
        <w:tc>
          <w:tcPr>
            <w:tcW w:w="1290" w:type="dxa"/>
            <w:tcBorders>
              <w:top w:val="nil"/>
              <w:left w:val="nil"/>
              <w:bottom w:val="nil"/>
              <w:right w:val="nil"/>
            </w:tcBorders>
            <w:noWrap/>
            <w:vAlign w:val="bottom"/>
            <w:hideMark/>
          </w:tcPr>
          <w:p w14:paraId="02B2FFD9" w14:textId="77777777" w:rsidR="0080789B" w:rsidRPr="006B7CC3" w:rsidRDefault="0080789B" w:rsidP="00447AC7">
            <w:pPr>
              <w:jc w:val="both"/>
              <w:rPr>
                <w:color w:val="000000"/>
              </w:rPr>
            </w:pPr>
            <w:r w:rsidRPr="006B7CC3">
              <w:rPr>
                <w:color w:val="000000"/>
              </w:rPr>
              <w:t>-0.06869</w:t>
            </w:r>
          </w:p>
        </w:tc>
        <w:tc>
          <w:tcPr>
            <w:tcW w:w="1142" w:type="dxa"/>
            <w:tcBorders>
              <w:top w:val="nil"/>
              <w:left w:val="nil"/>
              <w:bottom w:val="nil"/>
              <w:right w:val="nil"/>
            </w:tcBorders>
            <w:noWrap/>
            <w:vAlign w:val="bottom"/>
            <w:hideMark/>
          </w:tcPr>
          <w:p w14:paraId="280DD53E" w14:textId="77777777" w:rsidR="0080789B" w:rsidRPr="006B7CC3" w:rsidRDefault="0080789B" w:rsidP="00447AC7">
            <w:pPr>
              <w:jc w:val="both"/>
              <w:rPr>
                <w:color w:val="000000"/>
              </w:rPr>
            </w:pPr>
            <w:r w:rsidRPr="006B7CC3">
              <w:rPr>
                <w:color w:val="000000"/>
              </w:rPr>
              <w:t>0.01061</w:t>
            </w:r>
          </w:p>
        </w:tc>
      </w:tr>
      <w:tr w:rsidR="0080789B" w:rsidRPr="006B7CC3" w14:paraId="718EA5AC" w14:textId="77777777" w:rsidTr="006B7CC3">
        <w:trPr>
          <w:trHeight w:val="20"/>
          <w:jc w:val="center"/>
        </w:trPr>
        <w:tc>
          <w:tcPr>
            <w:tcW w:w="1400" w:type="dxa"/>
            <w:tcBorders>
              <w:top w:val="nil"/>
              <w:left w:val="nil"/>
              <w:bottom w:val="nil"/>
              <w:right w:val="single" w:sz="4" w:space="0" w:color="auto"/>
            </w:tcBorders>
            <w:noWrap/>
            <w:vAlign w:val="bottom"/>
            <w:hideMark/>
          </w:tcPr>
          <w:p w14:paraId="4A48A6C3" w14:textId="77777777" w:rsidR="0080789B" w:rsidRPr="006B7CC3" w:rsidRDefault="0080789B" w:rsidP="00447AC7">
            <w:pPr>
              <w:jc w:val="both"/>
              <w:rPr>
                <w:color w:val="000000"/>
              </w:rPr>
            </w:pPr>
            <w:r w:rsidRPr="006B7CC3">
              <w:rPr>
                <w:color w:val="000000"/>
              </w:rPr>
              <w:t> </w:t>
            </w:r>
          </w:p>
        </w:tc>
        <w:tc>
          <w:tcPr>
            <w:tcW w:w="979" w:type="dxa"/>
            <w:tcBorders>
              <w:top w:val="nil"/>
              <w:left w:val="nil"/>
              <w:bottom w:val="nil"/>
              <w:right w:val="nil"/>
            </w:tcBorders>
            <w:noWrap/>
            <w:vAlign w:val="bottom"/>
            <w:hideMark/>
          </w:tcPr>
          <w:p w14:paraId="60325404" w14:textId="77777777" w:rsidR="0080789B" w:rsidRPr="006B7CC3" w:rsidRDefault="0080789B" w:rsidP="00447AC7">
            <w:pPr>
              <w:jc w:val="both"/>
              <w:rPr>
                <w:color w:val="000000"/>
              </w:rPr>
            </w:pPr>
            <w:r w:rsidRPr="006B7CC3">
              <w:rPr>
                <w:color w:val="000000"/>
              </w:rPr>
              <w:t>Inst.size</w:t>
            </w:r>
          </w:p>
        </w:tc>
        <w:tc>
          <w:tcPr>
            <w:tcW w:w="1820" w:type="dxa"/>
            <w:tcBorders>
              <w:top w:val="nil"/>
              <w:left w:val="nil"/>
              <w:bottom w:val="nil"/>
              <w:right w:val="nil"/>
            </w:tcBorders>
            <w:noWrap/>
            <w:vAlign w:val="bottom"/>
            <w:hideMark/>
          </w:tcPr>
          <w:p w14:paraId="05CDFABE" w14:textId="77777777" w:rsidR="0080789B" w:rsidRPr="006B7CC3" w:rsidRDefault="0080789B" w:rsidP="00447AC7">
            <w:pPr>
              <w:jc w:val="both"/>
              <w:rPr>
                <w:color w:val="000000"/>
              </w:rPr>
            </w:pPr>
            <w:r w:rsidRPr="006B7CC3">
              <w:rPr>
                <w:color w:val="000000"/>
              </w:rPr>
              <w:t>-0.5937657</w:t>
            </w:r>
          </w:p>
        </w:tc>
        <w:tc>
          <w:tcPr>
            <w:tcW w:w="1120" w:type="dxa"/>
            <w:tcBorders>
              <w:top w:val="nil"/>
              <w:left w:val="nil"/>
              <w:bottom w:val="nil"/>
              <w:right w:val="nil"/>
            </w:tcBorders>
            <w:noWrap/>
            <w:vAlign w:val="bottom"/>
            <w:hideMark/>
          </w:tcPr>
          <w:p w14:paraId="4A1903F8" w14:textId="77777777" w:rsidR="0080789B" w:rsidRPr="006B7CC3" w:rsidRDefault="0080789B" w:rsidP="00447AC7">
            <w:pPr>
              <w:jc w:val="both"/>
              <w:rPr>
                <w:color w:val="000000"/>
              </w:rPr>
            </w:pPr>
            <w:r w:rsidRPr="006B7CC3">
              <w:rPr>
                <w:color w:val="000000"/>
              </w:rPr>
              <w:t>0.759256</w:t>
            </w:r>
          </w:p>
        </w:tc>
        <w:tc>
          <w:tcPr>
            <w:tcW w:w="979" w:type="dxa"/>
            <w:tcBorders>
              <w:top w:val="nil"/>
              <w:left w:val="nil"/>
              <w:bottom w:val="nil"/>
              <w:right w:val="nil"/>
            </w:tcBorders>
            <w:noWrap/>
            <w:vAlign w:val="bottom"/>
            <w:hideMark/>
          </w:tcPr>
          <w:p w14:paraId="3CBA1CBB" w14:textId="77777777" w:rsidR="0080789B" w:rsidRPr="006B7CC3" w:rsidRDefault="0080789B" w:rsidP="00447AC7">
            <w:pPr>
              <w:jc w:val="both"/>
              <w:rPr>
                <w:color w:val="000000"/>
              </w:rPr>
            </w:pPr>
            <w:r w:rsidRPr="006B7CC3">
              <w:rPr>
                <w:color w:val="000000"/>
              </w:rPr>
              <w:t>-0.78</w:t>
            </w:r>
          </w:p>
        </w:tc>
        <w:tc>
          <w:tcPr>
            <w:tcW w:w="979" w:type="dxa"/>
            <w:tcBorders>
              <w:top w:val="nil"/>
              <w:left w:val="nil"/>
              <w:bottom w:val="nil"/>
              <w:right w:val="nil"/>
            </w:tcBorders>
            <w:noWrap/>
            <w:vAlign w:val="bottom"/>
            <w:hideMark/>
          </w:tcPr>
          <w:p w14:paraId="4AED1164" w14:textId="77777777" w:rsidR="0080789B" w:rsidRPr="006B7CC3" w:rsidRDefault="0080789B" w:rsidP="00447AC7">
            <w:pPr>
              <w:jc w:val="both"/>
              <w:rPr>
                <w:color w:val="000000"/>
              </w:rPr>
            </w:pPr>
            <w:r w:rsidRPr="006B7CC3">
              <w:rPr>
                <w:color w:val="000000"/>
              </w:rPr>
              <w:t>0.434</w:t>
            </w:r>
          </w:p>
        </w:tc>
        <w:tc>
          <w:tcPr>
            <w:tcW w:w="1290" w:type="dxa"/>
            <w:tcBorders>
              <w:top w:val="nil"/>
              <w:left w:val="nil"/>
              <w:bottom w:val="nil"/>
              <w:right w:val="nil"/>
            </w:tcBorders>
            <w:noWrap/>
            <w:vAlign w:val="bottom"/>
            <w:hideMark/>
          </w:tcPr>
          <w:p w14:paraId="03C112E8" w14:textId="77777777" w:rsidR="0080789B" w:rsidRPr="006B7CC3" w:rsidRDefault="0080789B" w:rsidP="00447AC7">
            <w:pPr>
              <w:jc w:val="both"/>
              <w:rPr>
                <w:color w:val="000000"/>
              </w:rPr>
            </w:pPr>
            <w:r w:rsidRPr="006B7CC3">
              <w:rPr>
                <w:color w:val="000000"/>
              </w:rPr>
              <w:t>-2.08188</w:t>
            </w:r>
          </w:p>
        </w:tc>
        <w:tc>
          <w:tcPr>
            <w:tcW w:w="1142" w:type="dxa"/>
            <w:tcBorders>
              <w:top w:val="nil"/>
              <w:left w:val="nil"/>
              <w:bottom w:val="nil"/>
              <w:right w:val="nil"/>
            </w:tcBorders>
            <w:noWrap/>
            <w:vAlign w:val="bottom"/>
            <w:hideMark/>
          </w:tcPr>
          <w:p w14:paraId="20FEFF23" w14:textId="77777777" w:rsidR="0080789B" w:rsidRPr="006B7CC3" w:rsidRDefault="0080789B" w:rsidP="00447AC7">
            <w:pPr>
              <w:jc w:val="both"/>
              <w:rPr>
                <w:color w:val="000000"/>
              </w:rPr>
            </w:pPr>
            <w:r w:rsidRPr="006B7CC3">
              <w:rPr>
                <w:color w:val="000000"/>
              </w:rPr>
              <w:t>0.894349</w:t>
            </w:r>
          </w:p>
        </w:tc>
      </w:tr>
      <w:tr w:rsidR="0080789B" w:rsidRPr="006B7CC3" w14:paraId="673617C7" w14:textId="77777777" w:rsidTr="006B7CC3">
        <w:trPr>
          <w:trHeight w:val="20"/>
          <w:jc w:val="center"/>
        </w:trPr>
        <w:tc>
          <w:tcPr>
            <w:tcW w:w="1400" w:type="dxa"/>
            <w:tcBorders>
              <w:top w:val="nil"/>
              <w:left w:val="nil"/>
              <w:bottom w:val="nil"/>
              <w:right w:val="single" w:sz="4" w:space="0" w:color="auto"/>
            </w:tcBorders>
            <w:noWrap/>
            <w:vAlign w:val="bottom"/>
            <w:hideMark/>
          </w:tcPr>
          <w:p w14:paraId="0876AE06" w14:textId="77777777" w:rsidR="0080789B" w:rsidRPr="006B7CC3" w:rsidRDefault="0080789B" w:rsidP="00447AC7">
            <w:pPr>
              <w:jc w:val="both"/>
              <w:rPr>
                <w:color w:val="000000"/>
              </w:rPr>
            </w:pPr>
            <w:r w:rsidRPr="006B7CC3">
              <w:rPr>
                <w:color w:val="000000"/>
              </w:rPr>
              <w:t> </w:t>
            </w:r>
          </w:p>
        </w:tc>
        <w:tc>
          <w:tcPr>
            <w:tcW w:w="979" w:type="dxa"/>
            <w:tcBorders>
              <w:top w:val="nil"/>
              <w:left w:val="nil"/>
              <w:bottom w:val="nil"/>
              <w:right w:val="nil"/>
            </w:tcBorders>
            <w:noWrap/>
            <w:vAlign w:val="bottom"/>
            <w:hideMark/>
          </w:tcPr>
          <w:p w14:paraId="4BFEDD71" w14:textId="77777777" w:rsidR="0080789B" w:rsidRPr="006B7CC3" w:rsidRDefault="0080789B" w:rsidP="00447AC7">
            <w:pPr>
              <w:jc w:val="both"/>
              <w:rPr>
                <w:color w:val="000000"/>
              </w:rPr>
            </w:pPr>
            <w:r w:rsidRPr="006B7CC3">
              <w:rPr>
                <w:color w:val="000000"/>
              </w:rPr>
              <w:t>_cons</w:t>
            </w:r>
          </w:p>
        </w:tc>
        <w:tc>
          <w:tcPr>
            <w:tcW w:w="1820" w:type="dxa"/>
            <w:tcBorders>
              <w:top w:val="nil"/>
              <w:left w:val="nil"/>
              <w:bottom w:val="nil"/>
              <w:right w:val="nil"/>
            </w:tcBorders>
            <w:noWrap/>
            <w:vAlign w:val="bottom"/>
            <w:hideMark/>
          </w:tcPr>
          <w:p w14:paraId="0B8219E9" w14:textId="77777777" w:rsidR="0080789B" w:rsidRPr="006B7CC3" w:rsidRDefault="0080789B" w:rsidP="00447AC7">
            <w:pPr>
              <w:jc w:val="both"/>
              <w:rPr>
                <w:color w:val="000000"/>
              </w:rPr>
            </w:pPr>
            <w:r w:rsidRPr="006B7CC3">
              <w:rPr>
                <w:color w:val="000000"/>
              </w:rPr>
              <w:t>2.250925</w:t>
            </w:r>
          </w:p>
        </w:tc>
        <w:tc>
          <w:tcPr>
            <w:tcW w:w="1120" w:type="dxa"/>
            <w:tcBorders>
              <w:top w:val="nil"/>
              <w:left w:val="nil"/>
              <w:bottom w:val="nil"/>
              <w:right w:val="nil"/>
            </w:tcBorders>
            <w:noWrap/>
            <w:vAlign w:val="bottom"/>
            <w:hideMark/>
          </w:tcPr>
          <w:p w14:paraId="1928BBAA" w14:textId="77777777" w:rsidR="0080789B" w:rsidRPr="006B7CC3" w:rsidRDefault="0080789B" w:rsidP="00447AC7">
            <w:pPr>
              <w:jc w:val="both"/>
              <w:rPr>
                <w:color w:val="000000"/>
              </w:rPr>
            </w:pPr>
            <w:r w:rsidRPr="006B7CC3">
              <w:rPr>
                <w:color w:val="000000"/>
              </w:rPr>
              <w:t>1.268368</w:t>
            </w:r>
          </w:p>
        </w:tc>
        <w:tc>
          <w:tcPr>
            <w:tcW w:w="979" w:type="dxa"/>
            <w:tcBorders>
              <w:top w:val="nil"/>
              <w:left w:val="nil"/>
              <w:bottom w:val="nil"/>
              <w:right w:val="nil"/>
            </w:tcBorders>
            <w:noWrap/>
            <w:vAlign w:val="bottom"/>
            <w:hideMark/>
          </w:tcPr>
          <w:p w14:paraId="4AB42F31" w14:textId="77777777" w:rsidR="0080789B" w:rsidRPr="006B7CC3" w:rsidRDefault="0080789B" w:rsidP="00447AC7">
            <w:pPr>
              <w:jc w:val="both"/>
              <w:rPr>
                <w:color w:val="000000"/>
              </w:rPr>
            </w:pPr>
            <w:r w:rsidRPr="006B7CC3">
              <w:rPr>
                <w:color w:val="000000"/>
              </w:rPr>
              <w:t>1.77</w:t>
            </w:r>
          </w:p>
        </w:tc>
        <w:tc>
          <w:tcPr>
            <w:tcW w:w="979" w:type="dxa"/>
            <w:tcBorders>
              <w:top w:val="nil"/>
              <w:left w:val="nil"/>
              <w:bottom w:val="nil"/>
              <w:right w:val="nil"/>
            </w:tcBorders>
            <w:noWrap/>
            <w:vAlign w:val="bottom"/>
            <w:hideMark/>
          </w:tcPr>
          <w:p w14:paraId="7D833ABF" w14:textId="77777777" w:rsidR="0080789B" w:rsidRPr="006B7CC3" w:rsidRDefault="0080789B" w:rsidP="00447AC7">
            <w:pPr>
              <w:jc w:val="both"/>
              <w:rPr>
                <w:color w:val="000000"/>
              </w:rPr>
            </w:pPr>
            <w:r w:rsidRPr="006B7CC3">
              <w:rPr>
                <w:color w:val="000000"/>
              </w:rPr>
              <w:t>0.076</w:t>
            </w:r>
          </w:p>
        </w:tc>
        <w:tc>
          <w:tcPr>
            <w:tcW w:w="1290" w:type="dxa"/>
            <w:tcBorders>
              <w:top w:val="nil"/>
              <w:left w:val="nil"/>
              <w:bottom w:val="nil"/>
              <w:right w:val="nil"/>
            </w:tcBorders>
            <w:noWrap/>
            <w:vAlign w:val="bottom"/>
            <w:hideMark/>
          </w:tcPr>
          <w:p w14:paraId="2E71AA53" w14:textId="77777777" w:rsidR="0080789B" w:rsidRPr="006B7CC3" w:rsidRDefault="0080789B" w:rsidP="00447AC7">
            <w:pPr>
              <w:jc w:val="both"/>
              <w:rPr>
                <w:color w:val="000000"/>
              </w:rPr>
            </w:pPr>
            <w:r w:rsidRPr="006B7CC3">
              <w:rPr>
                <w:color w:val="000000"/>
              </w:rPr>
              <w:t>-0.23503</w:t>
            </w:r>
          </w:p>
        </w:tc>
        <w:tc>
          <w:tcPr>
            <w:tcW w:w="1142" w:type="dxa"/>
            <w:tcBorders>
              <w:top w:val="nil"/>
              <w:left w:val="nil"/>
              <w:bottom w:val="nil"/>
              <w:right w:val="nil"/>
            </w:tcBorders>
            <w:noWrap/>
            <w:vAlign w:val="bottom"/>
            <w:hideMark/>
          </w:tcPr>
          <w:p w14:paraId="599FEC38" w14:textId="77777777" w:rsidR="0080789B" w:rsidRPr="006B7CC3" w:rsidRDefault="0080789B" w:rsidP="00447AC7">
            <w:pPr>
              <w:jc w:val="both"/>
              <w:rPr>
                <w:color w:val="000000"/>
              </w:rPr>
            </w:pPr>
            <w:r w:rsidRPr="006B7CC3">
              <w:rPr>
                <w:color w:val="000000"/>
              </w:rPr>
              <w:t>4.736881</w:t>
            </w:r>
          </w:p>
        </w:tc>
      </w:tr>
      <w:tr w:rsidR="0080789B" w:rsidRPr="006B7CC3" w14:paraId="16D52865" w14:textId="77777777" w:rsidTr="006B7CC3">
        <w:trPr>
          <w:trHeight w:val="20"/>
          <w:jc w:val="center"/>
        </w:trPr>
        <w:tc>
          <w:tcPr>
            <w:tcW w:w="1400" w:type="dxa"/>
            <w:tcBorders>
              <w:top w:val="single" w:sz="4" w:space="0" w:color="auto"/>
              <w:left w:val="nil"/>
              <w:bottom w:val="nil"/>
              <w:right w:val="single" w:sz="4" w:space="0" w:color="auto"/>
            </w:tcBorders>
            <w:noWrap/>
            <w:vAlign w:val="bottom"/>
            <w:hideMark/>
          </w:tcPr>
          <w:p w14:paraId="213B1BAA" w14:textId="77777777" w:rsidR="0080789B" w:rsidRPr="006B7CC3" w:rsidRDefault="0080789B" w:rsidP="00447AC7">
            <w:pPr>
              <w:jc w:val="both"/>
              <w:rPr>
                <w:color w:val="000000"/>
              </w:rPr>
            </w:pPr>
            <w:r w:rsidRPr="006B7CC3">
              <w:rPr>
                <w:color w:val="000000"/>
              </w:rPr>
              <w:t>Online</w:t>
            </w:r>
          </w:p>
        </w:tc>
        <w:tc>
          <w:tcPr>
            <w:tcW w:w="979" w:type="dxa"/>
            <w:tcBorders>
              <w:top w:val="single" w:sz="4" w:space="0" w:color="auto"/>
              <w:left w:val="nil"/>
              <w:bottom w:val="nil"/>
              <w:right w:val="nil"/>
            </w:tcBorders>
            <w:noWrap/>
            <w:vAlign w:val="bottom"/>
            <w:hideMark/>
          </w:tcPr>
          <w:p w14:paraId="73A11196" w14:textId="77777777" w:rsidR="0080789B" w:rsidRPr="006B7CC3" w:rsidRDefault="0080789B" w:rsidP="00447AC7">
            <w:pPr>
              <w:jc w:val="both"/>
              <w:rPr>
                <w:color w:val="000000"/>
              </w:rPr>
            </w:pPr>
          </w:p>
        </w:tc>
        <w:tc>
          <w:tcPr>
            <w:tcW w:w="1820" w:type="dxa"/>
            <w:tcBorders>
              <w:top w:val="single" w:sz="4" w:space="0" w:color="auto"/>
              <w:left w:val="nil"/>
              <w:bottom w:val="nil"/>
              <w:right w:val="nil"/>
            </w:tcBorders>
            <w:noWrap/>
            <w:vAlign w:val="bottom"/>
            <w:hideMark/>
          </w:tcPr>
          <w:p w14:paraId="052C969D" w14:textId="77777777" w:rsidR="0080789B" w:rsidRPr="006B7CC3" w:rsidRDefault="0080789B" w:rsidP="00447AC7">
            <w:pPr>
              <w:jc w:val="both"/>
              <w:rPr>
                <w:color w:val="000000"/>
              </w:rPr>
            </w:pPr>
            <w:r w:rsidRPr="006B7CC3">
              <w:rPr>
                <w:color w:val="000000"/>
              </w:rPr>
              <w:t> </w:t>
            </w:r>
          </w:p>
        </w:tc>
        <w:tc>
          <w:tcPr>
            <w:tcW w:w="1120" w:type="dxa"/>
            <w:tcBorders>
              <w:top w:val="single" w:sz="4" w:space="0" w:color="auto"/>
              <w:left w:val="nil"/>
              <w:bottom w:val="nil"/>
              <w:right w:val="nil"/>
            </w:tcBorders>
            <w:noWrap/>
            <w:vAlign w:val="bottom"/>
            <w:hideMark/>
          </w:tcPr>
          <w:p w14:paraId="1A9AC6E6" w14:textId="77777777" w:rsidR="0080789B" w:rsidRPr="006B7CC3" w:rsidRDefault="0080789B" w:rsidP="00447AC7">
            <w:pPr>
              <w:jc w:val="both"/>
              <w:rPr>
                <w:color w:val="000000"/>
              </w:rPr>
            </w:pPr>
            <w:r w:rsidRPr="006B7CC3">
              <w:rPr>
                <w:color w:val="000000"/>
              </w:rPr>
              <w:t> </w:t>
            </w:r>
          </w:p>
        </w:tc>
        <w:tc>
          <w:tcPr>
            <w:tcW w:w="979" w:type="dxa"/>
            <w:tcBorders>
              <w:top w:val="single" w:sz="4" w:space="0" w:color="auto"/>
              <w:left w:val="nil"/>
              <w:bottom w:val="nil"/>
              <w:right w:val="nil"/>
            </w:tcBorders>
            <w:noWrap/>
            <w:vAlign w:val="bottom"/>
            <w:hideMark/>
          </w:tcPr>
          <w:p w14:paraId="3ECD326E" w14:textId="77777777" w:rsidR="0080789B" w:rsidRPr="006B7CC3" w:rsidRDefault="0080789B" w:rsidP="00447AC7">
            <w:pPr>
              <w:jc w:val="both"/>
              <w:rPr>
                <w:color w:val="000000"/>
              </w:rPr>
            </w:pPr>
            <w:r w:rsidRPr="006B7CC3">
              <w:rPr>
                <w:color w:val="000000"/>
              </w:rPr>
              <w:t> </w:t>
            </w:r>
          </w:p>
        </w:tc>
        <w:tc>
          <w:tcPr>
            <w:tcW w:w="979" w:type="dxa"/>
            <w:tcBorders>
              <w:top w:val="single" w:sz="4" w:space="0" w:color="auto"/>
              <w:left w:val="nil"/>
              <w:bottom w:val="nil"/>
              <w:right w:val="nil"/>
            </w:tcBorders>
            <w:noWrap/>
            <w:vAlign w:val="bottom"/>
            <w:hideMark/>
          </w:tcPr>
          <w:p w14:paraId="61148DBC" w14:textId="77777777" w:rsidR="0080789B" w:rsidRPr="006B7CC3" w:rsidRDefault="0080789B" w:rsidP="00447AC7">
            <w:pPr>
              <w:jc w:val="both"/>
              <w:rPr>
                <w:color w:val="000000"/>
              </w:rPr>
            </w:pPr>
            <w:r w:rsidRPr="006B7CC3">
              <w:rPr>
                <w:color w:val="000000"/>
              </w:rPr>
              <w:t> </w:t>
            </w:r>
          </w:p>
        </w:tc>
        <w:tc>
          <w:tcPr>
            <w:tcW w:w="1290" w:type="dxa"/>
            <w:tcBorders>
              <w:top w:val="single" w:sz="4" w:space="0" w:color="auto"/>
              <w:left w:val="nil"/>
              <w:bottom w:val="nil"/>
              <w:right w:val="nil"/>
            </w:tcBorders>
            <w:noWrap/>
            <w:vAlign w:val="bottom"/>
            <w:hideMark/>
          </w:tcPr>
          <w:p w14:paraId="6C8E5516" w14:textId="77777777" w:rsidR="0080789B" w:rsidRPr="006B7CC3" w:rsidRDefault="0080789B" w:rsidP="00447AC7">
            <w:pPr>
              <w:jc w:val="both"/>
              <w:rPr>
                <w:color w:val="000000"/>
              </w:rPr>
            </w:pPr>
            <w:r w:rsidRPr="006B7CC3">
              <w:rPr>
                <w:color w:val="000000"/>
              </w:rPr>
              <w:t> </w:t>
            </w:r>
          </w:p>
        </w:tc>
        <w:tc>
          <w:tcPr>
            <w:tcW w:w="1142" w:type="dxa"/>
            <w:tcBorders>
              <w:top w:val="single" w:sz="4" w:space="0" w:color="auto"/>
              <w:left w:val="nil"/>
              <w:bottom w:val="nil"/>
              <w:right w:val="nil"/>
            </w:tcBorders>
            <w:noWrap/>
            <w:vAlign w:val="bottom"/>
            <w:hideMark/>
          </w:tcPr>
          <w:p w14:paraId="2B632D7F" w14:textId="77777777" w:rsidR="0080789B" w:rsidRPr="006B7CC3" w:rsidRDefault="0080789B" w:rsidP="00447AC7">
            <w:pPr>
              <w:jc w:val="both"/>
              <w:rPr>
                <w:color w:val="000000"/>
              </w:rPr>
            </w:pPr>
            <w:r w:rsidRPr="006B7CC3">
              <w:rPr>
                <w:color w:val="000000"/>
              </w:rPr>
              <w:t> </w:t>
            </w:r>
          </w:p>
        </w:tc>
      </w:tr>
      <w:tr w:rsidR="0080789B" w:rsidRPr="006B7CC3" w14:paraId="1C78BA13" w14:textId="77777777" w:rsidTr="006B7CC3">
        <w:trPr>
          <w:trHeight w:val="20"/>
          <w:jc w:val="center"/>
        </w:trPr>
        <w:tc>
          <w:tcPr>
            <w:tcW w:w="1400" w:type="dxa"/>
            <w:tcBorders>
              <w:top w:val="nil"/>
              <w:left w:val="nil"/>
              <w:bottom w:val="nil"/>
              <w:right w:val="single" w:sz="4" w:space="0" w:color="auto"/>
            </w:tcBorders>
            <w:noWrap/>
            <w:vAlign w:val="bottom"/>
            <w:hideMark/>
          </w:tcPr>
          <w:p w14:paraId="0A7B7A92" w14:textId="77777777" w:rsidR="0080789B" w:rsidRPr="006B7CC3" w:rsidRDefault="0080789B" w:rsidP="00447AC7">
            <w:pPr>
              <w:jc w:val="both"/>
              <w:rPr>
                <w:color w:val="000000"/>
              </w:rPr>
            </w:pPr>
            <w:r w:rsidRPr="006B7CC3">
              <w:rPr>
                <w:color w:val="000000"/>
              </w:rPr>
              <w:t> </w:t>
            </w:r>
          </w:p>
        </w:tc>
        <w:tc>
          <w:tcPr>
            <w:tcW w:w="979" w:type="dxa"/>
            <w:tcBorders>
              <w:top w:val="nil"/>
              <w:left w:val="nil"/>
              <w:bottom w:val="nil"/>
              <w:right w:val="nil"/>
            </w:tcBorders>
            <w:noWrap/>
            <w:vAlign w:val="bottom"/>
            <w:hideMark/>
          </w:tcPr>
          <w:p w14:paraId="3E19D847" w14:textId="77777777" w:rsidR="0080789B" w:rsidRPr="006B7CC3" w:rsidRDefault="0080789B" w:rsidP="00447AC7">
            <w:pPr>
              <w:jc w:val="both"/>
              <w:rPr>
                <w:color w:val="000000"/>
              </w:rPr>
            </w:pPr>
            <w:r w:rsidRPr="006B7CC3">
              <w:rPr>
                <w:color w:val="000000"/>
              </w:rPr>
              <w:t>class</w:t>
            </w:r>
          </w:p>
        </w:tc>
        <w:tc>
          <w:tcPr>
            <w:tcW w:w="1820" w:type="dxa"/>
            <w:tcBorders>
              <w:top w:val="nil"/>
              <w:left w:val="nil"/>
              <w:bottom w:val="nil"/>
              <w:right w:val="nil"/>
            </w:tcBorders>
            <w:noWrap/>
            <w:vAlign w:val="bottom"/>
            <w:hideMark/>
          </w:tcPr>
          <w:p w14:paraId="008B0033" w14:textId="77777777" w:rsidR="0080789B" w:rsidRPr="006B7CC3" w:rsidRDefault="0080789B" w:rsidP="00447AC7">
            <w:pPr>
              <w:jc w:val="both"/>
              <w:rPr>
                <w:color w:val="000000"/>
              </w:rPr>
            </w:pPr>
            <w:r w:rsidRPr="006B7CC3">
              <w:rPr>
                <w:color w:val="000000"/>
              </w:rPr>
              <w:t>-0.0082485</w:t>
            </w:r>
          </w:p>
        </w:tc>
        <w:tc>
          <w:tcPr>
            <w:tcW w:w="1120" w:type="dxa"/>
            <w:tcBorders>
              <w:top w:val="nil"/>
              <w:left w:val="nil"/>
              <w:bottom w:val="nil"/>
              <w:right w:val="nil"/>
            </w:tcBorders>
            <w:noWrap/>
            <w:vAlign w:val="bottom"/>
            <w:hideMark/>
          </w:tcPr>
          <w:p w14:paraId="6F936749" w14:textId="77777777" w:rsidR="0080789B" w:rsidRPr="006B7CC3" w:rsidRDefault="0080789B" w:rsidP="00447AC7">
            <w:pPr>
              <w:jc w:val="both"/>
              <w:rPr>
                <w:color w:val="000000"/>
              </w:rPr>
            </w:pPr>
            <w:r w:rsidRPr="006B7CC3">
              <w:rPr>
                <w:color w:val="000000"/>
              </w:rPr>
              <w:t>0.014407</w:t>
            </w:r>
          </w:p>
        </w:tc>
        <w:tc>
          <w:tcPr>
            <w:tcW w:w="979" w:type="dxa"/>
            <w:tcBorders>
              <w:top w:val="nil"/>
              <w:left w:val="nil"/>
              <w:bottom w:val="nil"/>
              <w:right w:val="nil"/>
            </w:tcBorders>
            <w:noWrap/>
            <w:vAlign w:val="bottom"/>
            <w:hideMark/>
          </w:tcPr>
          <w:p w14:paraId="04EE55A8" w14:textId="77777777" w:rsidR="0080789B" w:rsidRPr="006B7CC3" w:rsidRDefault="0080789B" w:rsidP="00447AC7">
            <w:pPr>
              <w:jc w:val="both"/>
              <w:rPr>
                <w:color w:val="000000"/>
              </w:rPr>
            </w:pPr>
            <w:r w:rsidRPr="006B7CC3">
              <w:rPr>
                <w:color w:val="000000"/>
              </w:rPr>
              <w:t>-0.57</w:t>
            </w:r>
          </w:p>
        </w:tc>
        <w:tc>
          <w:tcPr>
            <w:tcW w:w="979" w:type="dxa"/>
            <w:tcBorders>
              <w:top w:val="nil"/>
              <w:left w:val="nil"/>
              <w:bottom w:val="nil"/>
              <w:right w:val="nil"/>
            </w:tcBorders>
            <w:noWrap/>
            <w:vAlign w:val="bottom"/>
            <w:hideMark/>
          </w:tcPr>
          <w:p w14:paraId="4658CFE5" w14:textId="77777777" w:rsidR="0080789B" w:rsidRPr="006B7CC3" w:rsidRDefault="0080789B" w:rsidP="00447AC7">
            <w:pPr>
              <w:jc w:val="both"/>
              <w:rPr>
                <w:color w:val="000000"/>
              </w:rPr>
            </w:pPr>
            <w:r w:rsidRPr="006B7CC3">
              <w:rPr>
                <w:color w:val="000000"/>
              </w:rPr>
              <w:t>0.567</w:t>
            </w:r>
          </w:p>
        </w:tc>
        <w:tc>
          <w:tcPr>
            <w:tcW w:w="1290" w:type="dxa"/>
            <w:tcBorders>
              <w:top w:val="nil"/>
              <w:left w:val="nil"/>
              <w:bottom w:val="nil"/>
              <w:right w:val="nil"/>
            </w:tcBorders>
            <w:noWrap/>
            <w:vAlign w:val="bottom"/>
            <w:hideMark/>
          </w:tcPr>
          <w:p w14:paraId="582C5111" w14:textId="77777777" w:rsidR="0080789B" w:rsidRPr="006B7CC3" w:rsidRDefault="0080789B" w:rsidP="00447AC7">
            <w:pPr>
              <w:jc w:val="both"/>
              <w:rPr>
                <w:color w:val="000000"/>
              </w:rPr>
            </w:pPr>
            <w:r w:rsidRPr="006B7CC3">
              <w:rPr>
                <w:color w:val="000000"/>
              </w:rPr>
              <w:t>-0.03649</w:t>
            </w:r>
          </w:p>
        </w:tc>
        <w:tc>
          <w:tcPr>
            <w:tcW w:w="1142" w:type="dxa"/>
            <w:tcBorders>
              <w:top w:val="nil"/>
              <w:left w:val="nil"/>
              <w:bottom w:val="nil"/>
              <w:right w:val="nil"/>
            </w:tcBorders>
            <w:noWrap/>
            <w:vAlign w:val="bottom"/>
            <w:hideMark/>
          </w:tcPr>
          <w:p w14:paraId="372EE0F4" w14:textId="77777777" w:rsidR="0080789B" w:rsidRPr="006B7CC3" w:rsidRDefault="0080789B" w:rsidP="00447AC7">
            <w:pPr>
              <w:jc w:val="both"/>
              <w:rPr>
                <w:color w:val="000000"/>
              </w:rPr>
            </w:pPr>
            <w:r w:rsidRPr="006B7CC3">
              <w:rPr>
                <w:color w:val="000000"/>
              </w:rPr>
              <w:t>0.019989</w:t>
            </w:r>
          </w:p>
        </w:tc>
      </w:tr>
      <w:tr w:rsidR="0080789B" w:rsidRPr="006B7CC3" w14:paraId="4DEA99DC" w14:textId="77777777" w:rsidTr="006B7CC3">
        <w:trPr>
          <w:trHeight w:val="20"/>
          <w:jc w:val="center"/>
        </w:trPr>
        <w:tc>
          <w:tcPr>
            <w:tcW w:w="1400" w:type="dxa"/>
            <w:tcBorders>
              <w:top w:val="nil"/>
              <w:left w:val="nil"/>
              <w:bottom w:val="nil"/>
              <w:right w:val="single" w:sz="4" w:space="0" w:color="auto"/>
            </w:tcBorders>
            <w:noWrap/>
            <w:vAlign w:val="bottom"/>
            <w:hideMark/>
          </w:tcPr>
          <w:p w14:paraId="5E871EAD" w14:textId="77777777" w:rsidR="0080789B" w:rsidRPr="006B7CC3" w:rsidRDefault="0080789B" w:rsidP="00447AC7">
            <w:pPr>
              <w:jc w:val="both"/>
              <w:rPr>
                <w:color w:val="000000"/>
              </w:rPr>
            </w:pPr>
            <w:r w:rsidRPr="006B7CC3">
              <w:rPr>
                <w:color w:val="000000"/>
              </w:rPr>
              <w:t> </w:t>
            </w:r>
          </w:p>
        </w:tc>
        <w:tc>
          <w:tcPr>
            <w:tcW w:w="979" w:type="dxa"/>
            <w:tcBorders>
              <w:top w:val="nil"/>
              <w:left w:val="nil"/>
              <w:bottom w:val="nil"/>
              <w:right w:val="nil"/>
            </w:tcBorders>
            <w:noWrap/>
            <w:vAlign w:val="bottom"/>
            <w:hideMark/>
          </w:tcPr>
          <w:p w14:paraId="00B0C066" w14:textId="77777777" w:rsidR="0080789B" w:rsidRPr="006B7CC3" w:rsidRDefault="0080789B" w:rsidP="00447AC7">
            <w:pPr>
              <w:jc w:val="both"/>
              <w:rPr>
                <w:color w:val="000000"/>
              </w:rPr>
            </w:pPr>
            <w:r w:rsidRPr="006B7CC3">
              <w:rPr>
                <w:color w:val="000000"/>
              </w:rPr>
              <w:t>Inst. size</w:t>
            </w:r>
          </w:p>
        </w:tc>
        <w:tc>
          <w:tcPr>
            <w:tcW w:w="1820" w:type="dxa"/>
            <w:tcBorders>
              <w:top w:val="nil"/>
              <w:left w:val="nil"/>
              <w:bottom w:val="nil"/>
              <w:right w:val="nil"/>
            </w:tcBorders>
            <w:noWrap/>
            <w:vAlign w:val="bottom"/>
            <w:hideMark/>
          </w:tcPr>
          <w:p w14:paraId="17D1AB99" w14:textId="77777777" w:rsidR="0080789B" w:rsidRPr="006B7CC3" w:rsidRDefault="0080789B" w:rsidP="00447AC7">
            <w:pPr>
              <w:jc w:val="both"/>
              <w:rPr>
                <w:color w:val="000000"/>
              </w:rPr>
            </w:pPr>
            <w:r w:rsidRPr="006B7CC3">
              <w:rPr>
                <w:color w:val="000000"/>
              </w:rPr>
              <w:t>1.038766</w:t>
            </w:r>
          </w:p>
        </w:tc>
        <w:tc>
          <w:tcPr>
            <w:tcW w:w="1120" w:type="dxa"/>
            <w:tcBorders>
              <w:top w:val="nil"/>
              <w:left w:val="nil"/>
              <w:bottom w:val="nil"/>
              <w:right w:val="nil"/>
            </w:tcBorders>
            <w:noWrap/>
            <w:vAlign w:val="bottom"/>
            <w:hideMark/>
          </w:tcPr>
          <w:p w14:paraId="61B0DC4E" w14:textId="77777777" w:rsidR="0080789B" w:rsidRPr="006B7CC3" w:rsidRDefault="0080789B" w:rsidP="00447AC7">
            <w:pPr>
              <w:jc w:val="both"/>
              <w:rPr>
                <w:color w:val="000000"/>
              </w:rPr>
            </w:pPr>
            <w:r w:rsidRPr="006B7CC3">
              <w:rPr>
                <w:color w:val="000000"/>
              </w:rPr>
              <w:t>0.317151</w:t>
            </w:r>
          </w:p>
        </w:tc>
        <w:tc>
          <w:tcPr>
            <w:tcW w:w="979" w:type="dxa"/>
            <w:tcBorders>
              <w:top w:val="nil"/>
              <w:left w:val="nil"/>
              <w:bottom w:val="nil"/>
              <w:right w:val="nil"/>
            </w:tcBorders>
            <w:noWrap/>
            <w:vAlign w:val="bottom"/>
            <w:hideMark/>
          </w:tcPr>
          <w:p w14:paraId="59008BDE" w14:textId="77777777" w:rsidR="0080789B" w:rsidRPr="006B7CC3" w:rsidRDefault="0080789B" w:rsidP="00447AC7">
            <w:pPr>
              <w:jc w:val="both"/>
              <w:rPr>
                <w:color w:val="000000"/>
              </w:rPr>
            </w:pPr>
            <w:r w:rsidRPr="006B7CC3">
              <w:rPr>
                <w:color w:val="000000"/>
              </w:rPr>
              <w:t>3.28</w:t>
            </w:r>
          </w:p>
        </w:tc>
        <w:tc>
          <w:tcPr>
            <w:tcW w:w="979" w:type="dxa"/>
            <w:tcBorders>
              <w:top w:val="nil"/>
              <w:left w:val="nil"/>
              <w:bottom w:val="nil"/>
              <w:right w:val="nil"/>
            </w:tcBorders>
            <w:noWrap/>
            <w:vAlign w:val="bottom"/>
            <w:hideMark/>
          </w:tcPr>
          <w:p w14:paraId="0502989F" w14:textId="77777777" w:rsidR="0080789B" w:rsidRPr="006B7CC3" w:rsidRDefault="0080789B" w:rsidP="00447AC7">
            <w:pPr>
              <w:jc w:val="both"/>
              <w:rPr>
                <w:color w:val="000000"/>
              </w:rPr>
            </w:pPr>
            <w:r w:rsidRPr="006B7CC3">
              <w:rPr>
                <w:color w:val="000000"/>
              </w:rPr>
              <w:t>0.001</w:t>
            </w:r>
          </w:p>
        </w:tc>
        <w:tc>
          <w:tcPr>
            <w:tcW w:w="1290" w:type="dxa"/>
            <w:tcBorders>
              <w:top w:val="nil"/>
              <w:left w:val="nil"/>
              <w:bottom w:val="nil"/>
              <w:right w:val="nil"/>
            </w:tcBorders>
            <w:noWrap/>
            <w:vAlign w:val="bottom"/>
            <w:hideMark/>
          </w:tcPr>
          <w:p w14:paraId="4FA5BE7D" w14:textId="77777777" w:rsidR="0080789B" w:rsidRPr="006B7CC3" w:rsidRDefault="0080789B" w:rsidP="00447AC7">
            <w:pPr>
              <w:jc w:val="both"/>
              <w:rPr>
                <w:color w:val="000000"/>
              </w:rPr>
            </w:pPr>
            <w:r w:rsidRPr="006B7CC3">
              <w:rPr>
                <w:color w:val="000000"/>
              </w:rPr>
              <w:t>0.417162</w:t>
            </w:r>
          </w:p>
        </w:tc>
        <w:tc>
          <w:tcPr>
            <w:tcW w:w="1142" w:type="dxa"/>
            <w:tcBorders>
              <w:top w:val="nil"/>
              <w:left w:val="nil"/>
              <w:bottom w:val="nil"/>
              <w:right w:val="nil"/>
            </w:tcBorders>
            <w:noWrap/>
            <w:vAlign w:val="bottom"/>
            <w:hideMark/>
          </w:tcPr>
          <w:p w14:paraId="24899A21" w14:textId="77777777" w:rsidR="0080789B" w:rsidRPr="006B7CC3" w:rsidRDefault="0080789B" w:rsidP="00447AC7">
            <w:pPr>
              <w:jc w:val="both"/>
              <w:rPr>
                <w:color w:val="000000"/>
              </w:rPr>
            </w:pPr>
            <w:r w:rsidRPr="006B7CC3">
              <w:rPr>
                <w:color w:val="000000"/>
              </w:rPr>
              <w:t>1.66037</w:t>
            </w:r>
          </w:p>
        </w:tc>
      </w:tr>
      <w:tr w:rsidR="0080789B" w:rsidRPr="006B7CC3" w14:paraId="7C9D2C24" w14:textId="77777777" w:rsidTr="006B7CC3">
        <w:trPr>
          <w:trHeight w:val="20"/>
          <w:jc w:val="center"/>
        </w:trPr>
        <w:tc>
          <w:tcPr>
            <w:tcW w:w="1400" w:type="dxa"/>
            <w:tcBorders>
              <w:top w:val="nil"/>
              <w:left w:val="nil"/>
              <w:bottom w:val="single" w:sz="4" w:space="0" w:color="auto"/>
              <w:right w:val="single" w:sz="4" w:space="0" w:color="auto"/>
            </w:tcBorders>
            <w:noWrap/>
            <w:vAlign w:val="bottom"/>
            <w:hideMark/>
          </w:tcPr>
          <w:p w14:paraId="3C1D7DC4" w14:textId="77777777" w:rsidR="0080789B" w:rsidRPr="006B7CC3" w:rsidRDefault="0080789B" w:rsidP="00447AC7">
            <w:pPr>
              <w:jc w:val="both"/>
              <w:rPr>
                <w:color w:val="000000"/>
              </w:rPr>
            </w:pPr>
            <w:r w:rsidRPr="006B7CC3">
              <w:rPr>
                <w:color w:val="000000"/>
              </w:rPr>
              <w:t> </w:t>
            </w:r>
          </w:p>
        </w:tc>
        <w:tc>
          <w:tcPr>
            <w:tcW w:w="979" w:type="dxa"/>
            <w:tcBorders>
              <w:top w:val="nil"/>
              <w:left w:val="nil"/>
              <w:bottom w:val="single" w:sz="4" w:space="0" w:color="auto"/>
              <w:right w:val="nil"/>
            </w:tcBorders>
            <w:noWrap/>
            <w:vAlign w:val="bottom"/>
            <w:hideMark/>
          </w:tcPr>
          <w:p w14:paraId="526E90CF" w14:textId="77777777" w:rsidR="0080789B" w:rsidRPr="006B7CC3" w:rsidRDefault="0080789B" w:rsidP="00447AC7">
            <w:pPr>
              <w:jc w:val="both"/>
              <w:rPr>
                <w:color w:val="000000"/>
              </w:rPr>
            </w:pPr>
            <w:r w:rsidRPr="006B7CC3">
              <w:rPr>
                <w:color w:val="000000"/>
              </w:rPr>
              <w:t>_cons</w:t>
            </w:r>
          </w:p>
        </w:tc>
        <w:tc>
          <w:tcPr>
            <w:tcW w:w="1820" w:type="dxa"/>
            <w:tcBorders>
              <w:top w:val="nil"/>
              <w:left w:val="nil"/>
              <w:bottom w:val="single" w:sz="4" w:space="0" w:color="auto"/>
              <w:right w:val="nil"/>
            </w:tcBorders>
            <w:noWrap/>
            <w:vAlign w:val="bottom"/>
            <w:hideMark/>
          </w:tcPr>
          <w:p w14:paraId="76B62F69" w14:textId="77777777" w:rsidR="0080789B" w:rsidRPr="006B7CC3" w:rsidRDefault="0080789B" w:rsidP="00447AC7">
            <w:pPr>
              <w:jc w:val="both"/>
              <w:rPr>
                <w:color w:val="000000"/>
              </w:rPr>
            </w:pPr>
            <w:r w:rsidRPr="006B7CC3">
              <w:rPr>
                <w:color w:val="000000"/>
              </w:rPr>
              <w:t>-0.1679515</w:t>
            </w:r>
          </w:p>
        </w:tc>
        <w:tc>
          <w:tcPr>
            <w:tcW w:w="1120" w:type="dxa"/>
            <w:tcBorders>
              <w:top w:val="nil"/>
              <w:left w:val="nil"/>
              <w:bottom w:val="single" w:sz="4" w:space="0" w:color="auto"/>
              <w:right w:val="nil"/>
            </w:tcBorders>
            <w:noWrap/>
            <w:vAlign w:val="bottom"/>
            <w:hideMark/>
          </w:tcPr>
          <w:p w14:paraId="4645C3A8" w14:textId="77777777" w:rsidR="0080789B" w:rsidRPr="006B7CC3" w:rsidRDefault="0080789B" w:rsidP="00447AC7">
            <w:pPr>
              <w:jc w:val="both"/>
              <w:rPr>
                <w:color w:val="000000"/>
              </w:rPr>
            </w:pPr>
            <w:r w:rsidRPr="006B7CC3">
              <w:rPr>
                <w:color w:val="000000"/>
              </w:rPr>
              <w:t>0.881749</w:t>
            </w:r>
          </w:p>
        </w:tc>
        <w:tc>
          <w:tcPr>
            <w:tcW w:w="979" w:type="dxa"/>
            <w:tcBorders>
              <w:top w:val="nil"/>
              <w:left w:val="nil"/>
              <w:bottom w:val="single" w:sz="4" w:space="0" w:color="auto"/>
              <w:right w:val="nil"/>
            </w:tcBorders>
            <w:noWrap/>
            <w:vAlign w:val="bottom"/>
            <w:hideMark/>
          </w:tcPr>
          <w:p w14:paraId="7D6FEF40" w14:textId="77777777" w:rsidR="0080789B" w:rsidRPr="006B7CC3" w:rsidRDefault="0080789B" w:rsidP="00447AC7">
            <w:pPr>
              <w:jc w:val="both"/>
              <w:rPr>
                <w:color w:val="000000"/>
              </w:rPr>
            </w:pPr>
            <w:r w:rsidRPr="006B7CC3">
              <w:rPr>
                <w:color w:val="000000"/>
              </w:rPr>
              <w:t>-0.19</w:t>
            </w:r>
          </w:p>
        </w:tc>
        <w:tc>
          <w:tcPr>
            <w:tcW w:w="979" w:type="dxa"/>
            <w:tcBorders>
              <w:top w:val="nil"/>
              <w:left w:val="nil"/>
              <w:bottom w:val="single" w:sz="4" w:space="0" w:color="auto"/>
              <w:right w:val="nil"/>
            </w:tcBorders>
            <w:noWrap/>
            <w:vAlign w:val="bottom"/>
            <w:hideMark/>
          </w:tcPr>
          <w:p w14:paraId="4A3A67AE" w14:textId="77777777" w:rsidR="0080789B" w:rsidRPr="006B7CC3" w:rsidRDefault="0080789B" w:rsidP="00447AC7">
            <w:pPr>
              <w:jc w:val="both"/>
              <w:rPr>
                <w:color w:val="000000"/>
              </w:rPr>
            </w:pPr>
            <w:r w:rsidRPr="006B7CC3">
              <w:rPr>
                <w:color w:val="000000"/>
              </w:rPr>
              <w:t>0.849</w:t>
            </w:r>
          </w:p>
        </w:tc>
        <w:tc>
          <w:tcPr>
            <w:tcW w:w="1290" w:type="dxa"/>
            <w:tcBorders>
              <w:top w:val="nil"/>
              <w:left w:val="nil"/>
              <w:bottom w:val="single" w:sz="4" w:space="0" w:color="auto"/>
              <w:right w:val="nil"/>
            </w:tcBorders>
            <w:noWrap/>
            <w:vAlign w:val="bottom"/>
            <w:hideMark/>
          </w:tcPr>
          <w:p w14:paraId="3DA85ABF" w14:textId="77777777" w:rsidR="0080789B" w:rsidRPr="006B7CC3" w:rsidRDefault="0080789B" w:rsidP="00447AC7">
            <w:pPr>
              <w:jc w:val="both"/>
              <w:rPr>
                <w:color w:val="000000"/>
              </w:rPr>
            </w:pPr>
            <w:r w:rsidRPr="006B7CC3">
              <w:rPr>
                <w:color w:val="000000"/>
              </w:rPr>
              <w:t>-1.89615</w:t>
            </w:r>
          </w:p>
        </w:tc>
        <w:tc>
          <w:tcPr>
            <w:tcW w:w="1142" w:type="dxa"/>
            <w:tcBorders>
              <w:top w:val="nil"/>
              <w:left w:val="nil"/>
              <w:bottom w:val="single" w:sz="4" w:space="0" w:color="auto"/>
              <w:right w:val="nil"/>
            </w:tcBorders>
            <w:noWrap/>
            <w:vAlign w:val="bottom"/>
            <w:hideMark/>
          </w:tcPr>
          <w:p w14:paraId="7EAE37BC" w14:textId="77777777" w:rsidR="0080789B" w:rsidRPr="006B7CC3" w:rsidRDefault="0080789B" w:rsidP="00447AC7">
            <w:pPr>
              <w:jc w:val="both"/>
              <w:rPr>
                <w:color w:val="000000"/>
              </w:rPr>
            </w:pPr>
            <w:r w:rsidRPr="006B7CC3">
              <w:rPr>
                <w:color w:val="000000"/>
              </w:rPr>
              <w:t>1.560245</w:t>
            </w:r>
          </w:p>
        </w:tc>
      </w:tr>
    </w:tbl>
    <w:p w14:paraId="7C46D2C7" w14:textId="77777777" w:rsidR="006B7CC3" w:rsidRDefault="0080789B" w:rsidP="006B7CC3">
      <w:pPr>
        <w:spacing w:after="240"/>
        <w:jc w:val="both"/>
      </w:pPr>
      <w:r>
        <w:t>Source: Author’s Design, 2025</w:t>
      </w:r>
    </w:p>
    <w:p w14:paraId="555FB76F" w14:textId="77777777" w:rsidR="0080789B" w:rsidRDefault="0080789B" w:rsidP="0080789B">
      <w:pPr>
        <w:jc w:val="both"/>
      </w:pPr>
      <w:r>
        <w:t>Based on the choice model, the</w:t>
      </w:r>
      <w:r w:rsidRPr="00A21762">
        <w:t xml:space="preserve"> coefficient of online assessment and evaluations is negative, </w:t>
      </w:r>
      <w:r>
        <w:t>which</w:t>
      </w:r>
      <w:r w:rsidRPr="00A21762">
        <w:t xml:space="preserve"> indicates that the probability of choosing a mode of teaching decreases as </w:t>
      </w:r>
      <w:r>
        <w:t xml:space="preserve">the </w:t>
      </w:r>
      <w:r w:rsidRPr="00A21762">
        <w:t xml:space="preserve">instructor’s assessment and evaluation competence increases. </w:t>
      </w:r>
      <w:r w:rsidRPr="001238CB">
        <w:t>This could be due to several factors related to the perceived effectiveness and quality of online teaching methods.</w:t>
      </w:r>
      <w:r>
        <w:t xml:space="preserve"> Other studies revealed that various </w:t>
      </w:r>
      <w:r w:rsidRPr="00A6413C">
        <w:t>models have been developed to assess the quality of online teaching, such as those using data mining and neural networks, which aim to provide comprehensive evaluations of teaching effectivenes</w:t>
      </w:r>
      <w:r>
        <w:t xml:space="preserve">s </w:t>
      </w:r>
      <w:r>
        <w:fldChar w:fldCharType="begin">
          <w:fldData xml:space="preserve">PEVuZE5vdGU+PENpdGU+PEF1dGhvcj5Fcm1hZ3VuPC9BdXRob3I+PFllYXI+MjAxODwvWWVhcj48
UmVjTnVtPjkyPC9SZWNOdW0+PERpc3BsYXlUZXh0PihFcm1hZ3VuICZhbXA7IFNhbWltaSwgMjAx
ODsgV2FuZyAmYW1wOyBMaXUsIDIwMTk7IFpoYW5nLCAyMDIzKTwvRGlzcGxheVRleHQ+PHJlY29y
ZD48cmVjLW51bWJlcj45MjwvcmVjLW51bWJlcj48Zm9yZWlnbi1rZXlzPjxrZXkgYXBwPSJFTiIg
ZGItaWQ9IjlzZDl4dHY1a3c5MmRyZTkyejU1cnd2YXh2OXNmeHZ3dHB2dCIgdGltZXN0YW1wPSIx
NzQ1NDg5MjAxIj45Mjwva2V5PjwvZm9yZWlnbi1rZXlzPjxyZWYtdHlwZSBuYW1lPSJKb3VybmFs
IEFydGljbGUiPjE3PC9yZWYtdHlwZT48Y29udHJpYnV0b3JzPjxhdXRob3JzPjxhdXRob3I+RXJt
YWd1biwgQWxpcmV6YTwvYXV0aG9yPjxhdXRob3I+U2FtaW1pLCBBLjwvYXV0aG9yPjwvYXV0aG9y
cz48L2NvbnRyaWJ1dG9ycz48dGl0bGVzPjx0aXRsZT5Nb2RlIGNob2ljZSBhbmQgdHJhdmVsIGRp
c3RhbmNlIGpvaW50IG1vZGVscyBpbiBzY2hvb2wgdHJpcHM8L3RpdGxlPjxzZWNvbmRhcnktdGl0
bGU+VHJhbnNwb3J0YXRpb248L3NlY29uZGFyeS10aXRsZT48L3RpdGxlcz48cGVyaW9kaWNhbD48
ZnVsbC10aXRsZT5UcmFuc3BvcnRhdGlvbjwvZnVsbC10aXRsZT48L3BlcmlvZGljYWw+PHBhZ2Vz
PjE3NTUtMTc4MTwvcGFnZXM+PHZvbHVtZT40NTwvdm9sdW1lPjxkYXRlcz48eWVhcj4yMDE4PC95
ZWFyPjxwdWItZGF0ZXM+PGRhdGU+MjAxOC0xMS0wMTwvZGF0ZT48L3B1Yi1kYXRlcz48L2RhdGVz
Pjx1cmxzPjxyZWxhdGVkLXVybHM+PHVybD5odHRwczovL2NvbnNlbnN1cy5hcHAvcGFwZXJzL21v
ZGUtY2hvaWNlLWFuZC10cmF2ZWwtZGlzdGFuY2Utam9pbnQtbW9kZWxzLWluLXNjaG9vbC1lcm1h
Z3VuLXNhbWltaS9kYThlZGNkMWZjNWE1NzBkYjVmYTQ0NGJmM2VmZjg5OC88L3VybD48L3JlbGF0
ZWQtdXJscz48L3VybHM+PGVsZWN0cm9uaWMtcmVzb3VyY2UtbnVtPjEwLjEwMDcvUzExMTE2LTAx
Ny05Nzk0LVk8L2VsZWN0cm9uaWMtcmVzb3VyY2UtbnVtPjwvcmVjb3JkPjwvQ2l0ZT48Q2l0ZT48
QXV0aG9yPlpoYW5nPC9BdXRob3I+PFllYXI+MjAyMzwvWWVhcj48UmVjTnVtPjg5PC9SZWNOdW0+
PHJlY29yZD48cmVjLW51bWJlcj44OTwvcmVjLW51bWJlcj48Zm9yZWlnbi1rZXlzPjxrZXkgYXBw
PSJFTiIgZGItaWQ9IjlzZDl4dHY1a3c5MmRyZTkyejU1cnd2YXh2OXNmeHZ3dHB2dCIgdGltZXN0
YW1wPSIxNzQ1NDg5MjAxIj44OTwva2V5PjwvZm9yZWlnbi1rZXlzPjxyZWYtdHlwZSBuYW1lPSJK
b3VybmFsIEFydGljbGUiPjE3PC9yZWYtdHlwZT48Y29udHJpYnV0b3JzPjxhdXRob3JzPjxhdXRo
b3I+WmhhbmcsIFpoZTwvYXV0aG9yPjwvYXV0aG9ycz48L2NvbnRyaWJ1dG9ycz48dGl0bGVzPjx0
aXRsZT5Tb2Z0d2FyZSBEZXZlbG9wbWVudCBmb3IgQ29tcHJlaGVuc2l2ZSBBc3Nlc3NtZW50IG9m
IEVuZ2xpc2ggT25saW5lIFRlYWNoaW5nIFF1YWxpdHkgaW4gVW5pdmVyc2l0aWVzIEJhc2VkIG9u
IERhdGEgTWluaW5nPC90aXRsZT48c2Vjb25kYXJ5LXRpdGxlPkludC4gSi4gRW1lcmcuIFRlY2hu
b2wuIExlYXJuLjwvc2Vjb25kYXJ5LXRpdGxlPjwvdGl0bGVzPjxwZXJpb2RpY2FsPjxmdWxsLXRp
dGxlPkludC4gSi4gRW1lcmcuIFRlY2hub2wuIExlYXJuLjwvZnVsbC10aXRsZT48L3BlcmlvZGlj
YWw+PHBhZ2VzPjI2MS0yNzg8L3BhZ2VzPjx2b2x1bWU+MTg8L3ZvbHVtZT48ZGF0ZXM+PHllYXI+
MjAyMzwveWVhcj48cHViLWRhdGVzPjxkYXRlPjIwMjMtMDEtMjQ8L2RhdGU+PC9wdWItZGF0ZXM+
PC9kYXRlcz48dXJscz48cmVsYXRlZC11cmxzPjx1cmw+aHR0cHM6Ly9jb25zZW5zdXMuYXBwL3Bh
cGVycy9zb2Z0d2FyZS1kZXZlbG9wbWVudC1mb3ItY29tcHJlaGVuc2l2ZS1hc3Nlc3NtZW50LW9m
LXpoYW5nLzBjNzRhZTM1YTY5ZjVmNjRiMzE5YmE0ZWViNGViZmFlLzwvdXJsPjwvcmVsYXRlZC11
cmxzPjwvdXJscz48ZWxlY3Ryb25pYy1yZXNvdXJjZS1udW0+MTAuMzk5MS9pamV0LnYxOGkwMi4z
NTUyNTwvZWxlY3Ryb25pYy1yZXNvdXJjZS1udW0+PC9yZWNvcmQ+PC9DaXRlPjxDaXRlPjxBdXRo
b3I+V2FuZzwvQXV0aG9yPjxZZWFyPjIwMTk8L1llYXI+PFJlY051bT45MzwvUmVjTnVtPjxyZWNv
cmQ+PHJlYy1udW1iZXI+OTM8L3JlYy1udW1iZXI+PGZvcmVpZ24ta2V5cz48a2V5IGFwcD0iRU4i
IGRiLWlkPSI5c2Q5eHR2NWt3OTJkcmU5Mno1NXJ3dmF4djlzZnh2d3RwdnQiIHRpbWVzdGFtcD0i
MTc0NTQ4OTIwMSI+OTM8L2tleT48L2ZvcmVpZ24ta2V5cz48cmVmLXR5cGUgbmFtZT0iSm91cm5h
bCBBcnRpY2xlIj4xNzwvcmVmLXR5cGU+PGNvbnRyaWJ1dG9ycz48YXV0aG9ycz48YXV0aG9yPldh
bmcsIFpoaWZhbmc8L2F1dGhvcj48YXV0aG9yPkxpdSwgSmlhPC9hdXRob3I+PC9hdXRob3JzPjwv
Y29udHJpYnV0b3JzPjx0aXRsZXM+PHRpdGxlPkEgVGVhY2hpbmcgUXVhbGl0eSBFdmFsdWF0aW9u
IFN5c3RlbSBvZiBNYXNzaXZlIE9wZW4gT25saW5lIENvdXJzZXMgQmFzZWQgb24gQmlnIERhdGEg
QW5hbHlzaXM8L3RpdGxlPjxzZWNvbmRhcnktdGl0bGU+SW50LiBKLiBFbWVyZy4gVGVjaG5vbC4g
TGVhcm4uPC9zZWNvbmRhcnktdGl0bGU+PC90aXRsZXM+PHBlcmlvZGljYWw+PGZ1bGwtdGl0bGU+
SW50LiBKLiBFbWVyZy4gVGVjaG5vbC4gTGVhcm4uPC9mdWxsLXRpdGxlPjwvcGVyaW9kaWNhbD48
cGFnZXM+ODEtOTE8L3BhZ2VzPjx2b2x1bWU+MTQ8L3ZvbHVtZT48ZGF0ZXM+PHllYXI+MjAxOTwv
eWVhcj48cHViLWRhdGVzPjxkYXRlPjIwMTktMDctMjQ8L2RhdGU+PC9wdWItZGF0ZXM+PC9kYXRl
cz48dXJscz48cmVsYXRlZC11cmxzPjx1cmw+aHR0cHM6Ly9jb25zZW5zdXMuYXBwL3BhcGVycy9h
LXRlYWNoaW5nLXF1YWxpdHktZXZhbHVhdGlvbi1zeXN0ZW0tb2YtbWFzc2l2ZS1vcGVuLXdhbmct
bGl1LzU3YjUzMDQ4NDczZTUwN2E4NWU4MmJkMmM3N2MyYzkwLzwvdXJsPjwvcmVsYXRlZC11cmxz
PjwvdXJscz48ZWxlY3Ryb25pYy1yZXNvdXJjZS1udW0+MTAuMzk5MS9JSkVULlYxNEkxNC4xMDgx
ODwvZWxlY3Ryb25pYy1yZXNvdXJjZS1udW0+PC9yZWNvcmQ+PC9DaXRlPjwvRW5kTm90ZT4A
</w:fldData>
        </w:fldChar>
      </w:r>
      <w:r>
        <w:instrText xml:space="preserve"> ADDIN EN.CITE </w:instrText>
      </w:r>
      <w:r>
        <w:fldChar w:fldCharType="begin">
          <w:fldData xml:space="preserve">PEVuZE5vdGU+PENpdGU+PEF1dGhvcj5Fcm1hZ3VuPC9BdXRob3I+PFllYXI+MjAxODwvWWVhcj48
UmVjTnVtPjkyPC9SZWNOdW0+PERpc3BsYXlUZXh0PihFcm1hZ3VuICZhbXA7IFNhbWltaSwgMjAx
ODsgV2FuZyAmYW1wOyBMaXUsIDIwMTk7IFpoYW5nLCAyMDIzKTwvRGlzcGxheVRleHQ+PHJlY29y
ZD48cmVjLW51bWJlcj45MjwvcmVjLW51bWJlcj48Zm9yZWlnbi1rZXlzPjxrZXkgYXBwPSJFTiIg
ZGItaWQ9IjlzZDl4dHY1a3c5MmRyZTkyejU1cnd2YXh2OXNmeHZ3dHB2dCIgdGltZXN0YW1wPSIx
NzQ1NDg5MjAxIj45Mjwva2V5PjwvZm9yZWlnbi1rZXlzPjxyZWYtdHlwZSBuYW1lPSJKb3VybmFs
IEFydGljbGUiPjE3PC9yZWYtdHlwZT48Y29udHJpYnV0b3JzPjxhdXRob3JzPjxhdXRob3I+RXJt
YWd1biwgQWxpcmV6YTwvYXV0aG9yPjxhdXRob3I+U2FtaW1pLCBBLjwvYXV0aG9yPjwvYXV0aG9y
cz48L2NvbnRyaWJ1dG9ycz48dGl0bGVzPjx0aXRsZT5Nb2RlIGNob2ljZSBhbmQgdHJhdmVsIGRp
c3RhbmNlIGpvaW50IG1vZGVscyBpbiBzY2hvb2wgdHJpcHM8L3RpdGxlPjxzZWNvbmRhcnktdGl0
bGU+VHJhbnNwb3J0YXRpb248L3NlY29uZGFyeS10aXRsZT48L3RpdGxlcz48cGVyaW9kaWNhbD48
ZnVsbC10aXRsZT5UcmFuc3BvcnRhdGlvbjwvZnVsbC10aXRsZT48L3BlcmlvZGljYWw+PHBhZ2Vz
PjE3NTUtMTc4MTwvcGFnZXM+PHZvbHVtZT40NTwvdm9sdW1lPjxkYXRlcz48eWVhcj4yMDE4PC95
ZWFyPjxwdWItZGF0ZXM+PGRhdGU+MjAxOC0xMS0wMTwvZGF0ZT48L3B1Yi1kYXRlcz48L2RhdGVz
Pjx1cmxzPjxyZWxhdGVkLXVybHM+PHVybD5odHRwczovL2NvbnNlbnN1cy5hcHAvcGFwZXJzL21v
ZGUtY2hvaWNlLWFuZC10cmF2ZWwtZGlzdGFuY2Utam9pbnQtbW9kZWxzLWluLXNjaG9vbC1lcm1h
Z3VuLXNhbWltaS9kYThlZGNkMWZjNWE1NzBkYjVmYTQ0NGJmM2VmZjg5OC88L3VybD48L3JlbGF0
ZWQtdXJscz48L3VybHM+PGVsZWN0cm9uaWMtcmVzb3VyY2UtbnVtPjEwLjEwMDcvUzExMTE2LTAx
Ny05Nzk0LVk8L2VsZWN0cm9uaWMtcmVzb3VyY2UtbnVtPjwvcmVjb3JkPjwvQ2l0ZT48Q2l0ZT48
QXV0aG9yPlpoYW5nPC9BdXRob3I+PFllYXI+MjAyMzwvWWVhcj48UmVjTnVtPjg5PC9SZWNOdW0+
PHJlY29yZD48cmVjLW51bWJlcj44OTwvcmVjLW51bWJlcj48Zm9yZWlnbi1rZXlzPjxrZXkgYXBw
PSJFTiIgZGItaWQ9IjlzZDl4dHY1a3c5MmRyZTkyejU1cnd2YXh2OXNmeHZ3dHB2dCIgdGltZXN0
YW1wPSIxNzQ1NDg5MjAxIj44OTwva2V5PjwvZm9yZWlnbi1rZXlzPjxyZWYtdHlwZSBuYW1lPSJK
b3VybmFsIEFydGljbGUiPjE3PC9yZWYtdHlwZT48Y29udHJpYnV0b3JzPjxhdXRob3JzPjxhdXRo
b3I+WmhhbmcsIFpoZTwvYXV0aG9yPjwvYXV0aG9ycz48L2NvbnRyaWJ1dG9ycz48dGl0bGVzPjx0
aXRsZT5Tb2Z0d2FyZSBEZXZlbG9wbWVudCBmb3IgQ29tcHJlaGVuc2l2ZSBBc3Nlc3NtZW50IG9m
IEVuZ2xpc2ggT25saW5lIFRlYWNoaW5nIFF1YWxpdHkgaW4gVW5pdmVyc2l0aWVzIEJhc2VkIG9u
IERhdGEgTWluaW5nPC90aXRsZT48c2Vjb25kYXJ5LXRpdGxlPkludC4gSi4gRW1lcmcuIFRlY2hu
b2wuIExlYXJuLjwvc2Vjb25kYXJ5LXRpdGxlPjwvdGl0bGVzPjxwZXJpb2RpY2FsPjxmdWxsLXRp
dGxlPkludC4gSi4gRW1lcmcuIFRlY2hub2wuIExlYXJuLjwvZnVsbC10aXRsZT48L3BlcmlvZGlj
YWw+PHBhZ2VzPjI2MS0yNzg8L3BhZ2VzPjx2b2x1bWU+MTg8L3ZvbHVtZT48ZGF0ZXM+PHllYXI+
MjAyMzwveWVhcj48cHViLWRhdGVzPjxkYXRlPjIwMjMtMDEtMjQ8L2RhdGU+PC9wdWItZGF0ZXM+
PC9kYXRlcz48dXJscz48cmVsYXRlZC11cmxzPjx1cmw+aHR0cHM6Ly9jb25zZW5zdXMuYXBwL3Bh
cGVycy9zb2Z0d2FyZS1kZXZlbG9wbWVudC1mb3ItY29tcHJlaGVuc2l2ZS1hc3Nlc3NtZW50LW9m
LXpoYW5nLzBjNzRhZTM1YTY5ZjVmNjRiMzE5YmE0ZWViNGViZmFlLzwvdXJsPjwvcmVsYXRlZC11
cmxzPjwvdXJscz48ZWxlY3Ryb25pYy1yZXNvdXJjZS1udW0+MTAuMzk5MS9pamV0LnYxOGkwMi4z
NTUyNTwvZWxlY3Ryb25pYy1yZXNvdXJjZS1udW0+PC9yZWNvcmQ+PC9DaXRlPjxDaXRlPjxBdXRo
b3I+V2FuZzwvQXV0aG9yPjxZZWFyPjIwMTk8L1llYXI+PFJlY051bT45MzwvUmVjTnVtPjxyZWNv
cmQ+PHJlYy1udW1iZXI+OTM8L3JlYy1udW1iZXI+PGZvcmVpZ24ta2V5cz48a2V5IGFwcD0iRU4i
IGRiLWlkPSI5c2Q5eHR2NWt3OTJkcmU5Mno1NXJ3dmF4djlzZnh2d3RwdnQiIHRpbWVzdGFtcD0i
MTc0NTQ4OTIwMSI+OTM8L2tleT48L2ZvcmVpZ24ta2V5cz48cmVmLXR5cGUgbmFtZT0iSm91cm5h
bCBBcnRpY2xlIj4xNzwvcmVmLXR5cGU+PGNvbnRyaWJ1dG9ycz48YXV0aG9ycz48YXV0aG9yPldh
bmcsIFpoaWZhbmc8L2F1dGhvcj48YXV0aG9yPkxpdSwgSmlhPC9hdXRob3I+PC9hdXRob3JzPjwv
Y29udHJpYnV0b3JzPjx0aXRsZXM+PHRpdGxlPkEgVGVhY2hpbmcgUXVhbGl0eSBFdmFsdWF0aW9u
IFN5c3RlbSBvZiBNYXNzaXZlIE9wZW4gT25saW5lIENvdXJzZXMgQmFzZWQgb24gQmlnIERhdGEg
QW5hbHlzaXM8L3RpdGxlPjxzZWNvbmRhcnktdGl0bGU+SW50LiBKLiBFbWVyZy4gVGVjaG5vbC4g
TGVhcm4uPC9zZWNvbmRhcnktdGl0bGU+PC90aXRsZXM+PHBlcmlvZGljYWw+PGZ1bGwtdGl0bGU+
SW50LiBKLiBFbWVyZy4gVGVjaG5vbC4gTGVhcm4uPC9mdWxsLXRpdGxlPjwvcGVyaW9kaWNhbD48
cGFnZXM+ODEtOTE8L3BhZ2VzPjx2b2x1bWU+MTQ8L3ZvbHVtZT48ZGF0ZXM+PHllYXI+MjAxOTwv
eWVhcj48cHViLWRhdGVzPjxkYXRlPjIwMTktMDctMjQ8L2RhdGU+PC9wdWItZGF0ZXM+PC9kYXRl
cz48dXJscz48cmVsYXRlZC11cmxzPjx1cmw+aHR0cHM6Ly9jb25zZW5zdXMuYXBwL3BhcGVycy9h
LXRlYWNoaW5nLXF1YWxpdHktZXZhbHVhdGlvbi1zeXN0ZW0tb2YtbWFzc2l2ZS1vcGVuLXdhbmct
bGl1LzU3YjUzMDQ4NDczZTUwN2E4NWU4MmJkMmM3N2MyYzkwLzwvdXJsPjwvcmVsYXRlZC11cmxz
PjwvdXJscz48ZWxlY3Ryb25pYy1yZXNvdXJjZS1udW0+MTAuMzk5MS9JSkVULlYxNEkxNC4xMDgx
ODwvZWxlY3Ryb25pYy1yZXNvdXJjZS1udW0+PC9yZWNvcmQ+PC9DaXRlPjwvRW5kTm90ZT4A
</w:fldData>
        </w:fldChar>
      </w:r>
      <w:r>
        <w:instrText xml:space="preserve"> ADDIN EN.CITE.DATA </w:instrText>
      </w:r>
      <w:r>
        <w:fldChar w:fldCharType="end"/>
      </w:r>
      <w:r>
        <w:fldChar w:fldCharType="separate"/>
      </w:r>
      <w:r>
        <w:rPr>
          <w:noProof/>
        </w:rPr>
        <w:t>(Ermagun &amp; Samimi, 2018; Wang &amp; Liu, 2019; Zhang, 2023)</w:t>
      </w:r>
      <w:r>
        <w:fldChar w:fldCharType="end"/>
      </w:r>
      <w:r>
        <w:t xml:space="preserve">. Other scholars argued that the </w:t>
      </w:r>
      <w:r w:rsidRPr="00A6413C">
        <w:t>effectiveness of online teaching is often evaluated based on student satisfaction and experience</w:t>
      </w:r>
      <w:r>
        <w:t xml:space="preserve"> </w:t>
      </w:r>
      <w:r>
        <w:fldChar w:fldCharType="begin">
          <w:fldData xml:space="preserve">PEVuZE5vdGU+PENpdGU+PEF1dGhvcj5aaGFuZzwvQXV0aG9yPjxZZWFyPjIwMjQ8L1llYXI+PFJl
Y051bT44ODwvUmVjTnVtPjxEaXNwbGF5VGV4dD4oSHUgZXQgYWwuLCAyMDIzOyBaaGFuZyBldCBh
bC4sIDIwMjQpPC9EaXNwbGF5VGV4dD48cmVjb3JkPjxyZWMtbnVtYmVyPjg4PC9yZWMtbnVtYmVy
Pjxmb3JlaWduLWtleXM+PGtleSBhcHA9IkVOIiBkYi1pZD0iOXNkOXh0djVrdzkyZHJlOTJ6NTVy
d3ZheHY5c2Z4dnd0cHZ0IiB0aW1lc3RhbXA9IjE3NDU0ODkyMDEiPjg4PC9rZXk+PC9mb3JlaWdu
LWtleXM+PHJlZi10eXBlIG5hbWU9IkpvdXJuYWwgQXJ0aWNsZSI+MTc8L3JlZi10eXBlPjxjb250
cmlidXRvcnM+PGF1dGhvcnM+PGF1dGhvcj5aaGFuZywgRmFuPC9hdXRob3I+PGF1dGhvcj5MaSwg
U2hlbmdiaW48L2F1dGhvcj48YXV0aG9yPlpoYW8sIFFpYW48L2F1dGhvcj48YXV0aG9yPkh1bywg
WmhpcGVuZzwvYXV0aG9yPjwvYXV0aG9ycz48L2NvbnRyaWJ1dG9ycz48dGl0bGVzPjx0aXRsZT5B
c3Nlc3NpbmcgYW5kIHByaW9yaXRpemluZyBpbnRlcmFjdGl2ZSB0ZWFjaGluZyBtb2RlcyBiYXNl
ZCBvbiBzdHVkZW50IHNhdGlzZmFjdGlvbiBpbiBoaWdoZXIgZWR1Y2F0aW9uOiBBIGNhc2Ugc3R1
ZHkgb2YgYSBmcmVzaG1lbiBjbGFzczwvdGl0bGU+PHNlY29uZGFyeS10aXRsZT5FZHVjYXRpb24g
YW5kIEluZm9ybWF0aW9uIFRlY2hub2xvZ2llczwvc2Vjb25kYXJ5LXRpdGxlPjwvdGl0bGVzPjxw
ZXJpb2RpY2FsPjxmdWxsLXRpdGxlPkVkdWNhdGlvbiBhbmQgSW5mb3JtYXRpb24gVGVjaG5vbG9n
aWVzPC9mdWxsLXRpdGxlPjwvcGVyaW9kaWNhbD48ZGF0ZXM+PHllYXI+MjAyNDwveWVhcj48cHVi
LWRhdGVzPjxkYXRlPjIwMjQtMTAtMTE8L2RhdGU+PC9wdWItZGF0ZXM+PC9kYXRlcz48dXJscz48
cmVsYXRlZC11cmxzPjx1cmw+aHR0cHM6Ly9jb25zZW5zdXMuYXBwL3BhcGVycy9hc3Nlc3Npbmct
YW5kLXByaW9yaXRpemluZy1pbnRlcmFjdGl2ZS10ZWFjaGluZy1tb2Rlcy16aGFuZy1saS9mODFk
MDdiMDBjNjM1MDQ0YTE1MTI3Yjc3MDQ2ZjA0NS88L3VybD48L3JlbGF0ZWQtdXJscz48L3VybHM+
PGVsZWN0cm9uaWMtcmVzb3VyY2UtbnVtPjEwLjEwMDcvczEwNjM5LTAyNC0xMzA3My00PC9lbGVj
dHJvbmljLXJlc291cmNlLW51bT48L3JlY29yZD48L0NpdGU+PENpdGU+PEF1dGhvcj5IdTwvQXV0
aG9yPjxZZWFyPjIwMjM8L1llYXI+PFJlY051bT45MDwvUmVjTnVtPjxyZWNvcmQ+PHJlYy1udW1i
ZXI+OTA8L3JlYy1udW1iZXI+PGZvcmVpZ24ta2V5cz48a2V5IGFwcD0iRU4iIGRiLWlkPSI5c2Q5
eHR2NWt3OTJkcmU5Mno1NXJ3dmF4djlzZnh2d3RwdnQiIHRpbWVzdGFtcD0iMTc0NTQ4OTIwMSI+
OTA8L2tleT48L2ZvcmVpZ24ta2V5cz48cmVmLXR5cGUgbmFtZT0iSm91cm5hbCBBcnRpY2xlIj4x
NzwvcmVmLXR5cGU+PGNvbnRyaWJ1dG9ycz48YXV0aG9ycz48YXV0aG9yPkh1LCBDaHVuaHVhPC9h
dXRob3I+PGF1dGhvcj5LYWFiYXIsIE1vaGFtbWVkPC9hdXRob3I+PGF1dGhvcj5YdSwgUWl1anU8
L2F1dGhvcj48YXV0aG9yPlpoYW5nLCBHcmFjZTwvYXV0aG9yPjwvYXV0aG9ycz48L2NvbnRyaWJ1
dG9ycz48dGl0bGVzPjx0aXRsZT5GdXp6eSBDb21wcmVoZW5zaXZlIEV2YWx1YXRpb24gb2YgU3R1
ZGVudHMmYXBvczsgQ2xhc3Nyb29tIEV4cGVyaWVuY2UgaW4gT25saW5lIFRlYWNoaW5nPC90aXRs
ZT48c2Vjb25kYXJ5LXRpdGxlPkludC4gSi4gRW1lcmcuIFRlY2hub2wuIExlYXJuLjwvc2Vjb25k
YXJ5LXRpdGxlPjwvdGl0bGVzPjxwZXJpb2RpY2FsPjxmdWxsLXRpdGxlPkludC4gSi4gRW1lcmcu
IFRlY2hub2wuIExlYXJuLjwvZnVsbC10aXRsZT48L3BlcmlvZGljYWw+PHBhZ2VzPjc5LTg4PC9w
YWdlcz48dm9sdW1lPjE4PC92b2x1bWU+PGRhdGVzPjx5ZWFyPjIwMjM8L3llYXI+PHB1Yi1kYXRl
cz48ZGF0ZT4yMDIzLTExLTEwPC9kYXRlPjwvcHViLWRhdGVzPjwvZGF0ZXM+PHVybHM+PHJlbGF0
ZWQtdXJscz48dXJsPmh0dHBzOi8vY29uc2Vuc3VzLmFwcC9wYXBlcnMvZnV6enktY29tcHJlaGVu
c2l2ZS1ldmFsdWF0aW9uLW9mLXN0dWRlbnRzLWNsYXNzcm9vbS1odS1rYWFiYXIvNGQzZGJlZDQx
MDhhNTc1ZTgzNzQ3NGZkNzUzNjhiMDAvPC91cmw+PC9yZWxhdGVkLXVybHM+PC91cmxzPjxlbGVj
dHJvbmljLXJlc291cmNlLW51bT4xMC4zOTkxL2lqZXQudjE4aTIxLjQ0MDExPC9lbGVjdHJvbmlj
LXJlc291cmNlLW51bT48L3JlY29yZD48L0NpdGU+PC9FbmROb3RlPgB=
</w:fldData>
        </w:fldChar>
      </w:r>
      <w:r>
        <w:instrText xml:space="preserve"> ADDIN EN.CITE </w:instrText>
      </w:r>
      <w:r>
        <w:fldChar w:fldCharType="begin">
          <w:fldData xml:space="preserve">PEVuZE5vdGU+PENpdGU+PEF1dGhvcj5aaGFuZzwvQXV0aG9yPjxZZWFyPjIwMjQ8L1llYXI+PFJl
Y051bT44ODwvUmVjTnVtPjxEaXNwbGF5VGV4dD4oSHUgZXQgYWwuLCAyMDIzOyBaaGFuZyBldCBh
bC4sIDIwMjQpPC9EaXNwbGF5VGV4dD48cmVjb3JkPjxyZWMtbnVtYmVyPjg4PC9yZWMtbnVtYmVy
Pjxmb3JlaWduLWtleXM+PGtleSBhcHA9IkVOIiBkYi1pZD0iOXNkOXh0djVrdzkyZHJlOTJ6NTVy
d3ZheHY5c2Z4dnd0cHZ0IiB0aW1lc3RhbXA9IjE3NDU0ODkyMDEiPjg4PC9rZXk+PC9mb3JlaWdu
LWtleXM+PHJlZi10eXBlIG5hbWU9IkpvdXJuYWwgQXJ0aWNsZSI+MTc8L3JlZi10eXBlPjxjb250
cmlidXRvcnM+PGF1dGhvcnM+PGF1dGhvcj5aaGFuZywgRmFuPC9hdXRob3I+PGF1dGhvcj5MaSwg
U2hlbmdiaW48L2F1dGhvcj48YXV0aG9yPlpoYW8sIFFpYW48L2F1dGhvcj48YXV0aG9yPkh1bywg
WmhpcGVuZzwvYXV0aG9yPjwvYXV0aG9ycz48L2NvbnRyaWJ1dG9ycz48dGl0bGVzPjx0aXRsZT5B
c3Nlc3NpbmcgYW5kIHByaW9yaXRpemluZyBpbnRlcmFjdGl2ZSB0ZWFjaGluZyBtb2RlcyBiYXNl
ZCBvbiBzdHVkZW50IHNhdGlzZmFjdGlvbiBpbiBoaWdoZXIgZWR1Y2F0aW9uOiBBIGNhc2Ugc3R1
ZHkgb2YgYSBmcmVzaG1lbiBjbGFzczwvdGl0bGU+PHNlY29uZGFyeS10aXRsZT5FZHVjYXRpb24g
YW5kIEluZm9ybWF0aW9uIFRlY2hub2xvZ2llczwvc2Vjb25kYXJ5LXRpdGxlPjwvdGl0bGVzPjxw
ZXJpb2RpY2FsPjxmdWxsLXRpdGxlPkVkdWNhdGlvbiBhbmQgSW5mb3JtYXRpb24gVGVjaG5vbG9n
aWVzPC9mdWxsLXRpdGxlPjwvcGVyaW9kaWNhbD48ZGF0ZXM+PHllYXI+MjAyNDwveWVhcj48cHVi
LWRhdGVzPjxkYXRlPjIwMjQtMTAtMTE8L2RhdGU+PC9wdWItZGF0ZXM+PC9kYXRlcz48dXJscz48
cmVsYXRlZC11cmxzPjx1cmw+aHR0cHM6Ly9jb25zZW5zdXMuYXBwL3BhcGVycy9hc3Nlc3Npbmct
YW5kLXByaW9yaXRpemluZy1pbnRlcmFjdGl2ZS10ZWFjaGluZy1tb2Rlcy16aGFuZy1saS9mODFk
MDdiMDBjNjM1MDQ0YTE1MTI3Yjc3MDQ2ZjA0NS88L3VybD48L3JlbGF0ZWQtdXJscz48L3VybHM+
PGVsZWN0cm9uaWMtcmVzb3VyY2UtbnVtPjEwLjEwMDcvczEwNjM5LTAyNC0xMzA3My00PC9lbGVj
dHJvbmljLXJlc291cmNlLW51bT48L3JlY29yZD48L0NpdGU+PENpdGU+PEF1dGhvcj5IdTwvQXV0
aG9yPjxZZWFyPjIwMjM8L1llYXI+PFJlY051bT45MDwvUmVjTnVtPjxyZWNvcmQ+PHJlYy1udW1i
ZXI+OTA8L3JlYy1udW1iZXI+PGZvcmVpZ24ta2V5cz48a2V5IGFwcD0iRU4iIGRiLWlkPSI5c2Q5
eHR2NWt3OTJkcmU5Mno1NXJ3dmF4djlzZnh2d3RwdnQiIHRpbWVzdGFtcD0iMTc0NTQ4OTIwMSI+
OTA8L2tleT48L2ZvcmVpZ24ta2V5cz48cmVmLXR5cGUgbmFtZT0iSm91cm5hbCBBcnRpY2xlIj4x
NzwvcmVmLXR5cGU+PGNvbnRyaWJ1dG9ycz48YXV0aG9ycz48YXV0aG9yPkh1LCBDaHVuaHVhPC9h
dXRob3I+PGF1dGhvcj5LYWFiYXIsIE1vaGFtbWVkPC9hdXRob3I+PGF1dGhvcj5YdSwgUWl1anU8
L2F1dGhvcj48YXV0aG9yPlpoYW5nLCBHcmFjZTwvYXV0aG9yPjwvYXV0aG9ycz48L2NvbnRyaWJ1
dG9ycz48dGl0bGVzPjx0aXRsZT5GdXp6eSBDb21wcmVoZW5zaXZlIEV2YWx1YXRpb24gb2YgU3R1
ZGVudHMmYXBvczsgQ2xhc3Nyb29tIEV4cGVyaWVuY2UgaW4gT25saW5lIFRlYWNoaW5nPC90aXRs
ZT48c2Vjb25kYXJ5LXRpdGxlPkludC4gSi4gRW1lcmcuIFRlY2hub2wuIExlYXJuLjwvc2Vjb25k
YXJ5LXRpdGxlPjwvdGl0bGVzPjxwZXJpb2RpY2FsPjxmdWxsLXRpdGxlPkludC4gSi4gRW1lcmcu
IFRlY2hub2wuIExlYXJuLjwvZnVsbC10aXRsZT48L3BlcmlvZGljYWw+PHBhZ2VzPjc5LTg4PC9w
YWdlcz48dm9sdW1lPjE4PC92b2x1bWU+PGRhdGVzPjx5ZWFyPjIwMjM8L3llYXI+PHB1Yi1kYXRl
cz48ZGF0ZT4yMDIzLTExLTEwPC9kYXRlPjwvcHViLWRhdGVzPjwvZGF0ZXM+PHVybHM+PHJlbGF0
ZWQtdXJscz48dXJsPmh0dHBzOi8vY29uc2Vuc3VzLmFwcC9wYXBlcnMvZnV6enktY29tcHJlaGVu
c2l2ZS1ldmFsdWF0aW9uLW9mLXN0dWRlbnRzLWNsYXNzcm9vbS1odS1rYWFiYXIvNGQzZGJlZDQx
MDhhNTc1ZTgzNzQ3NGZkNzUzNjhiMDAvPC91cmw+PC9yZWxhdGVkLXVybHM+PC91cmxzPjxlbGVj
dHJvbmljLXJlc291cmNlLW51bT4xMC4zOTkxL2lqZXQudjE4aTIxLjQ0MDExPC9lbGVjdHJvbmlj
LXJlc291cmNlLW51bT48L3JlY29yZD48L0NpdGU+PC9FbmROb3RlPgB=
</w:fldData>
        </w:fldChar>
      </w:r>
      <w:r>
        <w:instrText xml:space="preserve"> ADDIN EN.CITE.DATA </w:instrText>
      </w:r>
      <w:r>
        <w:fldChar w:fldCharType="end"/>
      </w:r>
      <w:r>
        <w:fldChar w:fldCharType="separate"/>
      </w:r>
      <w:r>
        <w:rPr>
          <w:noProof/>
        </w:rPr>
        <w:t>(Hu et al., 2023; Zhang et al., 2024)</w:t>
      </w:r>
      <w:r>
        <w:fldChar w:fldCharType="end"/>
      </w:r>
      <w:r w:rsidRPr="00A6413C">
        <w:t>. Studies using fuzzy comprehensive evaluation methods indicate that online teaching can have varied impacts on student experiences, which may not always align with instructors' expectations of quality</w:t>
      </w:r>
      <w:r>
        <w:t xml:space="preserve"> </w:t>
      </w:r>
      <w:r>
        <w:fldChar w:fldCharType="begin"/>
      </w:r>
      <w:r>
        <w:instrText xml:space="preserve"> ADDIN EN.CITE &lt;EndNote&gt;&lt;Cite&gt;&lt;Author&gt;Hu&lt;/Author&gt;&lt;Year&gt;2023&lt;/Year&gt;&lt;RecNum&gt;90&lt;/RecNum&gt;&lt;DisplayText&gt;(Hu et al., 2023)&lt;/DisplayText&gt;&lt;record&gt;&lt;rec-number&gt;90&lt;/rec-number&gt;&lt;foreign-keys&gt;&lt;key app="EN" db-id="9sd9xtv5kw92dre92z55rwvaxv9sfxvwtpvt" timestamp="1745489201"&gt;90&lt;/key&gt;&lt;/foreign-keys&gt;&lt;ref-type name="Journal Article"&gt;17&lt;/ref-type&gt;&lt;contributors&gt;&lt;authors&gt;&lt;author&gt;Hu, Chunhua&lt;/author&gt;&lt;author&gt;Kaabar, Mohammed&lt;/author&gt;&lt;author&gt;Xu, Qiuju&lt;/author&gt;&lt;author&gt;Zhang, Grace&lt;/author&gt;&lt;/authors&gt;&lt;/contributors&gt;&lt;titles&gt;&lt;title&gt;Fuzzy Comprehensive Evaluation of Students&amp;apos; Classroom Experience in Online Teaching&lt;/title&gt;&lt;secondary-title&gt;Int. J. Emerg. Technol. Learn.&lt;/secondary-title&gt;&lt;/titles&gt;&lt;periodical&gt;&lt;full-title&gt;Int. J. Emerg. Technol. Learn.&lt;/full-title&gt;&lt;/periodical&gt;&lt;pages&gt;79-88&lt;/pages&gt;&lt;volume&gt;18&lt;/volume&gt;&lt;dates&gt;&lt;year&gt;2023&lt;/year&gt;&lt;pub-dates&gt;&lt;date&gt;2023-11-10&lt;/date&gt;&lt;/pub-dates&gt;&lt;/dates&gt;&lt;urls&gt;&lt;related-urls&gt;&lt;url&gt;https://consensus.app/papers/fuzzy-comprehensive-evaluation-of-students-classroom-hu-kaabar/4d3dbed4108a575e837474fd75368b00/&lt;/url&gt;&lt;/related-urls&gt;&lt;/urls&gt;&lt;electronic-resource-num&gt;10.3991/ijet.v18i21.44011&lt;/electronic-resource-num&gt;&lt;/record&gt;&lt;/Cite&gt;&lt;/EndNote&gt;</w:instrText>
      </w:r>
      <w:r>
        <w:fldChar w:fldCharType="separate"/>
      </w:r>
      <w:r>
        <w:rPr>
          <w:noProof/>
        </w:rPr>
        <w:t>(Hu et al., 2023)</w:t>
      </w:r>
      <w:r>
        <w:fldChar w:fldCharType="end"/>
      </w:r>
      <w:r>
        <w:t xml:space="preserve">. More studies were in support of the blended and hybrid models in TVET as the most effective mode of instruction. For example, </w:t>
      </w:r>
      <w:r>
        <w:fldChar w:fldCharType="begin"/>
      </w:r>
      <w:r>
        <w:instrText xml:space="preserve"> ADDIN EN.CITE &lt;EndNote&gt;&lt;Cite AuthorYear="1"&gt;&lt;Author&gt;Li&lt;/Author&gt;&lt;Year&gt;2022&lt;/Year&gt;&lt;RecNum&gt;91&lt;/RecNum&gt;&lt;DisplayText&gt;Li et al. (2022)&lt;/DisplayText&gt;&lt;record&gt;&lt;rec-number&gt;91&lt;/rec-number&gt;&lt;foreign-keys&gt;&lt;key app="EN" db-id="9sd9xtv5kw92dre92z55rwvaxv9sfxvwtpvt" timestamp="1745489201"&gt;91&lt;/key&gt;&lt;/foreign-keys&gt;&lt;ref-type name="Journal Article"&gt;17&lt;/ref-type&gt;&lt;contributors&gt;&lt;authors&gt;&lt;author&gt;Li, Yang&lt;/author&gt;&lt;author&gt;Zhang, Lijing&lt;/author&gt;&lt;author&gt;Tian, Yuan&lt;/author&gt;&lt;author&gt;Qi, Wanqiang&lt;/author&gt;&lt;/authors&gt;&lt;/contributors&gt;&lt;titles&gt;&lt;title&gt;Research on Teaching Practice of Blended Higher Education Based on Deep Learning Route&lt;/title&gt;&lt;secondary-title&gt;Computational Intelligence and Neuroscience&lt;/secondary-title&gt;&lt;/titles&gt;&lt;periodical&gt;&lt;full-title&gt;Computational Intelligence and Neuroscience&lt;/full-title&gt;&lt;/periodical&gt;&lt;volume&gt;2022&lt;/volume&gt;&lt;dates&gt;&lt;year&gt;2022&lt;/year&gt;&lt;pub-dates&gt;&lt;date&gt;2022-01-13&lt;/date&gt;&lt;/pub-dates&gt;&lt;/dates&gt;&lt;urls&gt;&lt;related-urls&gt;&lt;url&gt;https://consensus.app/papers/research-on-teaching-practice-of-blended-higher-education-li-zhang/4c293e3bc75d5587a36037c78e913eca/&lt;/url&gt;&lt;/related-urls&gt;&lt;/urls&gt;&lt;electronic-resource-num&gt;10.1155/2022/5906335&lt;/electronic-resource-num&gt;&lt;/record&gt;&lt;/Cite&gt;&lt;/EndNote&gt;</w:instrText>
      </w:r>
      <w:r>
        <w:fldChar w:fldCharType="separate"/>
      </w:r>
      <w:r>
        <w:rPr>
          <w:noProof/>
        </w:rPr>
        <w:t>Li et al. (2022)</w:t>
      </w:r>
      <w:r>
        <w:fldChar w:fldCharType="end"/>
      </w:r>
      <w:r w:rsidRPr="00A6413C">
        <w:t xml:space="preserve"> suggest</w:t>
      </w:r>
      <w:r>
        <w:t>ed</w:t>
      </w:r>
      <w:r w:rsidRPr="00A6413C">
        <w:t xml:space="preserve"> that blended teaching modes, which combine online and traditional methods, are often preferred by students and may be seen as more effective by instructors. This preference could lead instructors with higher assessment competence to favour these modes over purely online options</w:t>
      </w:r>
      <w:r>
        <w:t xml:space="preserve">. </w:t>
      </w:r>
    </w:p>
    <w:p w14:paraId="540CF12B" w14:textId="77777777" w:rsidR="0080789B" w:rsidRPr="000869E7" w:rsidRDefault="0080789B" w:rsidP="0080789B">
      <w:pPr>
        <w:jc w:val="both"/>
      </w:pPr>
      <w:r w:rsidRPr="00A21762">
        <w:t xml:space="preserve">For the face-to-face alternative, the coefficient on class size is negative. Because </w:t>
      </w:r>
      <w:r>
        <w:t xml:space="preserve">the </w:t>
      </w:r>
      <w:r w:rsidRPr="00A21762">
        <w:t>project</w:t>
      </w:r>
      <w:r>
        <w:t xml:space="preserve"> mode of learning</w:t>
      </w:r>
      <w:r w:rsidRPr="00A21762">
        <w:t xml:space="preserve"> </w:t>
      </w:r>
      <w:r>
        <w:t>is</w:t>
      </w:r>
      <w:r w:rsidRPr="00A21762">
        <w:t xml:space="preserve"> the base alternative, this negative alternative tells us that as class size increases, TVET trainees are less likely to choose </w:t>
      </w:r>
      <w:r>
        <w:t xml:space="preserve">a </w:t>
      </w:r>
      <w:r w:rsidRPr="00A21762">
        <w:t>face</w:t>
      </w:r>
      <w:r>
        <w:t>-</w:t>
      </w:r>
      <w:r w:rsidRPr="00A21762">
        <w:t>to</w:t>
      </w:r>
      <w:r>
        <w:t>-</w:t>
      </w:r>
      <w:r w:rsidRPr="00A21762">
        <w:t xml:space="preserve">face model of learning. This could be due to the congestion affecting </w:t>
      </w:r>
      <w:r>
        <w:t xml:space="preserve">the </w:t>
      </w:r>
      <w:r w:rsidRPr="00A21762">
        <w:t>effectiveness of learning.</w:t>
      </w:r>
      <w:r>
        <w:t xml:space="preserve"> This finding has received enormous reactions. For instance, </w:t>
      </w:r>
      <w:r>
        <w:fldChar w:fldCharType="begin">
          <w:fldData xml:space="preserve">PEVuZE5vdGU+PENpdGUgQXV0aG9yWWVhcj0iMSI+PEF1dGhvcj5Ib3hieTwvQXV0aG9yPjxZZWFy
PjIwMDA8L1llYXI+PFJlY051bT45ODwvUmVjTnVtPjxEaXNwbGF5VGV4dD5CbGF0Y2hmb3JkIGFu
ZCBSdXNzZWxsICgyMDE5KTsgSG94YnkgKDIwMDApOyBTaGFwc29uIGV0IGFsLiAoMTk3OCk8L0Rp
c3BsYXlUZXh0PjxyZWNvcmQ+PHJlYy1udW1iZXI+OTg8L3JlYy1udW1iZXI+PGZvcmVpZ24ta2V5
cz48a2V5IGFwcD0iRU4iIGRiLWlkPSI5c2Q5eHR2NWt3OTJkcmU5Mno1NXJ3dmF4djlzZnh2d3Rw
dnQiIHRpbWVzdGFtcD0iMTc0NTQ4OTgyNyI+OTg8L2tleT48L2ZvcmVpZ24ta2V5cz48cmVmLXR5
cGUgbmFtZT0iSm91cm5hbCBBcnRpY2xlIj4xNzwvcmVmLXR5cGU+PGNvbnRyaWJ1dG9ycz48YXV0
aG9ycz48YXV0aG9yPkhveGJ5LCBDLjwvYXV0aG9yPjwvYXV0aG9ycz48L2NvbnRyaWJ1dG9ycz48
dGl0bGVzPjx0aXRsZT5UaGUgRWZmZWN0cyBvZiBDbGFzcyBTaXplIG9uIFN0dWRlbnQgQWNoaWV2
ZW1lbnQ6IE5ldyBFdmlkZW5jZSBmcm9tIFBvcHVsYXRpb24gVmFyaWF0aW9uPC90aXRsZT48c2Vj
b25kYXJ5LXRpdGxlPlF1YXJ0ZXJseSBKb3VybmFsIG9mIEVjb25vbWljczwvc2Vjb25kYXJ5LXRp
dGxlPjwvdGl0bGVzPjxwZXJpb2RpY2FsPjxmdWxsLXRpdGxlPlF1YXJ0ZXJseSBKb3VybmFsIG9m
IEVjb25vbWljczwvZnVsbC10aXRsZT48L3BlcmlvZGljYWw+PHBhZ2VzPjEyMzktMTI4NTwvcGFn
ZXM+PHZvbHVtZT4xMTU8L3ZvbHVtZT48ZGF0ZXM+PHllYXI+MjAwMDwveWVhcj48cHViLWRhdGVz
PjxkYXRlPjIwMDAtMTEtMDE8L2RhdGU+PC9wdWItZGF0ZXM+PC9kYXRlcz48dXJscz48cmVsYXRl
ZC11cmxzPjx1cmw+aHR0cHM6Ly9jb25zZW5zdXMuYXBwL3BhcGVycy90aGUtZWZmZWN0cy1vZi1j
bGFzcy1zaXplLW9uLXN0dWRlbnQtYWNoaWV2ZW1lbnQtbmV3LWhveGJ5L2ZkOTgxZDY4NGZhYzU4
OTM4NmNhZGI4MDc1NjFmNTNhLzwvdXJsPjwvcmVsYXRlZC11cmxzPjwvdXJscz48ZWxlY3Ryb25p
Yy1yZXNvdXJjZS1udW0+MTAuMTE2Mi8wMDMzNTUzMDA1NTUwNjA8L2VsZWN0cm9uaWMtcmVzb3Vy
Y2UtbnVtPjwvcmVjb3JkPjwvQ2l0ZT48Q2l0ZSBBdXRob3JZZWFyPSIxIj48QXV0aG9yPkJsYXRj
aGZvcmQ8L0F1dGhvcj48WWVhcj4yMDE5PC9ZZWFyPjxSZWNOdW0+OTk8L1JlY051bT48cmVjb3Jk
PjxyZWMtbnVtYmVyPjk5PC9yZWMtbnVtYmVyPjxmb3JlaWduLWtleXM+PGtleSBhcHA9IkVOIiBk
Yi1pZD0iOXNkOXh0djVrdzkyZHJlOTJ6NTVyd3ZheHY5c2Z4dnd0cHZ0IiB0aW1lc3RhbXA9IjE3
NDU0ODk4MjciPjk5PC9rZXk+PC9mb3JlaWduLWtleXM+PHJlZi10eXBlIG5hbWU9IkpvdXJuYWwg
QXJ0aWNsZSI+MTc8L3JlZi10eXBlPjxjb250cmlidXRvcnM+PGF1dGhvcnM+PGF1dGhvcj5CbGF0
Y2hmb3JkLCBQLjwvYXV0aG9yPjxhdXRob3I+UnVzc2VsbCwgQS48L2F1dGhvcj48L2F1dGhvcnM+
PC9jb250cmlidXRvcnM+PHRpdGxlcz48dGl0bGU+Q2xhc3Mgc2l6ZSwgZ3JvdXBpbmcgcHJhY3Rp
Y2VzIGFuZCBjbGFzc3Jvb20gbWFuYWdlbWVudDwvdGl0bGU+PHNlY29uZGFyeS10aXRsZT5JbnRl
cm5hdGlvbmFsIEpvdXJuYWwgb2YgRWR1Y2F0aW9uYWwgUmVzZWFyY2g8L3NlY29uZGFyeS10aXRs
ZT48L3RpdGxlcz48cGVyaW9kaWNhbD48ZnVsbC10aXRsZT5JbnRlcm5hdGlvbmFsIEpvdXJuYWwg
b2YgRWR1Y2F0aW9uYWwgUmVzZWFyY2g8L2Z1bGwtdGl0bGU+PC9wZXJpb2RpY2FsPjxkYXRlcz48
eWVhcj4yMDE5PC95ZWFyPjwvZGF0ZXM+PHVybHM+PHJlbGF0ZWQtdXJscz48dXJsPmh0dHBzOi8v
Y29uc2Vuc3VzLmFwcC9wYXBlcnMvY2xhc3Mtc2l6ZS1ncm91cGluZy1wcmFjdGljZXMtYW5kLWNs
YXNzcm9vbS1tYW5hZ2VtZW50LWJsYXRjaGZvcmQtcnVzc2VsbC83MWIzNzczNDA1ZGE1ZTU5YTNi
Mzk4ZDU1MGFhM2Q2OC88L3VybD48L3JlbGF0ZWQtdXJscz48L3VybHM+PGVsZWN0cm9uaWMtcmVz
b3VyY2UtbnVtPjEwLjEwMTYvSi5JSkVSLjIwMTguMDkuMDA0PC9lbGVjdHJvbmljLXJlc291cmNl
LW51bT48L3JlY29yZD48L0NpdGU+PENpdGUgQXV0aG9yWWVhcj0iMSI+PEF1dGhvcj5TaGFwc29u
PC9BdXRob3I+PFllYXI+MTk3ODwvWWVhcj48UmVjTnVtPjEwMDwvUmVjTnVtPjxyZWNvcmQ+PHJl
Yy1udW1iZXI+MTAwPC9yZWMtbnVtYmVyPjxmb3JlaWduLWtleXM+PGtleSBhcHA9IkVOIiBkYi1p
ZD0iOXNkOXh0djVrdzkyZHJlOTJ6NTVyd3ZheHY5c2Z4dnd0cHZ0IiB0aW1lc3RhbXA9IjE3NDU0
ODk4MjciPjEwMDwva2V5PjwvZm9yZWlnbi1rZXlzPjxyZWYtdHlwZSBuYW1lPSJKb3VybmFsIEFy
dGljbGUiPjE3PC9yZWYtdHlwZT48Y29udHJpYnV0b3JzPjxhdXRob3JzPjxhdXRob3I+U2hhcHNv
biwgUy48L2F1dGhvcj48YXV0aG9yPldyaWdodCwgRS48L2F1dGhvcj48YXV0aG9yPkVhc29uLCBH
LjwvYXV0aG9yPjxhdXRob3I+Rml0emdlcmFsZCwgSm9objwvYXV0aG9yPjwvYXV0aG9ycz48L2Nv
bnRyaWJ1dG9ycz48dGl0bGVzPjx0aXRsZT5BbiBFeHBlcmltZW50YWwgU3R1ZHkgb2YgdGhlIEVm
ZmVjdHMgb2YgQ2xhc3MgU2l6ZTwvdGl0bGU+PHNlY29uZGFyeS10aXRsZT5BbWVyaWNhbiBFZHVj
YXRpb25hbCBSZXNlYXJjaCBKb3VybmFsPC9zZWNvbmRhcnktdGl0bGU+PC90aXRsZXM+PHBlcmlv
ZGljYWw+PGZ1bGwtdGl0bGU+QW1lcmljYW4gRWR1Y2F0aW9uYWwgUmVzZWFyY2ggSm91cm5hbDwv
ZnVsbC10aXRsZT48L3BlcmlvZGljYWw+PHBhZ2VzPjE0MS0xNTI8L3BhZ2VzPjx2b2x1bWU+MTc8
L3ZvbHVtZT48ZGF0ZXM+PHllYXI+MTk3ODwveWVhcj48cHViLWRhdGVzPjxkYXRlPjE5NzgtMDMt
MDE8L2RhdGU+PC9wdWItZGF0ZXM+PC9kYXRlcz48dXJscz48cmVsYXRlZC11cmxzPjx1cmw+aHR0
cHM6Ly9jb25zZW5zdXMuYXBwL3BhcGVycy9hbi1leHBlcmltZW50YWwtc3R1ZHktb2YtdGhlLWVm
ZmVjdHMtb2YtY2xhc3Mtc2l6ZS1zaGFwc29uLXdyaWdodC81ZjVjNWYxMTk4ODI1YTQ4YmVkYzVl
M2M0OWNhYWU1MC88L3VybD48L3JlbGF0ZWQtdXJscz48L3VybHM+PGVsZWN0cm9uaWMtcmVzb3Vy
Y2UtbnVtPjEwLjMxMDIvMDAwMjgzMTIwMTcwMDIxNDE8L2VsZWN0cm9uaWMtcmVzb3VyY2UtbnVt
PjwvcmVjb3JkPjwvQ2l0ZT48L0VuZE5vdGU+
</w:fldData>
        </w:fldChar>
      </w:r>
      <w:r>
        <w:instrText xml:space="preserve"> ADDIN EN.CITE </w:instrText>
      </w:r>
      <w:r>
        <w:fldChar w:fldCharType="begin">
          <w:fldData xml:space="preserve">PEVuZE5vdGU+PENpdGUgQXV0aG9yWWVhcj0iMSI+PEF1dGhvcj5Ib3hieTwvQXV0aG9yPjxZZWFy
PjIwMDA8L1llYXI+PFJlY051bT45ODwvUmVjTnVtPjxEaXNwbGF5VGV4dD5CbGF0Y2hmb3JkIGFu
ZCBSdXNzZWxsICgyMDE5KTsgSG94YnkgKDIwMDApOyBTaGFwc29uIGV0IGFsLiAoMTk3OCk8L0Rp
c3BsYXlUZXh0PjxyZWNvcmQ+PHJlYy1udW1iZXI+OTg8L3JlYy1udW1iZXI+PGZvcmVpZ24ta2V5
cz48a2V5IGFwcD0iRU4iIGRiLWlkPSI5c2Q5eHR2NWt3OTJkcmU5Mno1NXJ3dmF4djlzZnh2d3Rw
dnQiIHRpbWVzdGFtcD0iMTc0NTQ4OTgyNyI+OTg8L2tleT48L2ZvcmVpZ24ta2V5cz48cmVmLXR5
cGUgbmFtZT0iSm91cm5hbCBBcnRpY2xlIj4xNzwvcmVmLXR5cGU+PGNvbnRyaWJ1dG9ycz48YXV0
aG9ycz48YXV0aG9yPkhveGJ5LCBDLjwvYXV0aG9yPjwvYXV0aG9ycz48L2NvbnRyaWJ1dG9ycz48
dGl0bGVzPjx0aXRsZT5UaGUgRWZmZWN0cyBvZiBDbGFzcyBTaXplIG9uIFN0dWRlbnQgQWNoaWV2
ZW1lbnQ6IE5ldyBFdmlkZW5jZSBmcm9tIFBvcHVsYXRpb24gVmFyaWF0aW9uPC90aXRsZT48c2Vj
b25kYXJ5LXRpdGxlPlF1YXJ0ZXJseSBKb3VybmFsIG9mIEVjb25vbWljczwvc2Vjb25kYXJ5LXRp
dGxlPjwvdGl0bGVzPjxwZXJpb2RpY2FsPjxmdWxsLXRpdGxlPlF1YXJ0ZXJseSBKb3VybmFsIG9m
IEVjb25vbWljczwvZnVsbC10aXRsZT48L3BlcmlvZGljYWw+PHBhZ2VzPjEyMzktMTI4NTwvcGFn
ZXM+PHZvbHVtZT4xMTU8L3ZvbHVtZT48ZGF0ZXM+PHllYXI+MjAwMDwveWVhcj48cHViLWRhdGVz
PjxkYXRlPjIwMDAtMTEtMDE8L2RhdGU+PC9wdWItZGF0ZXM+PC9kYXRlcz48dXJscz48cmVsYXRl
ZC11cmxzPjx1cmw+aHR0cHM6Ly9jb25zZW5zdXMuYXBwL3BhcGVycy90aGUtZWZmZWN0cy1vZi1j
bGFzcy1zaXplLW9uLXN0dWRlbnQtYWNoaWV2ZW1lbnQtbmV3LWhveGJ5L2ZkOTgxZDY4NGZhYzU4
OTM4NmNhZGI4MDc1NjFmNTNhLzwvdXJsPjwvcmVsYXRlZC11cmxzPjwvdXJscz48ZWxlY3Ryb25p
Yy1yZXNvdXJjZS1udW0+MTAuMTE2Mi8wMDMzNTUzMDA1NTUwNjA8L2VsZWN0cm9uaWMtcmVzb3Vy
Y2UtbnVtPjwvcmVjb3JkPjwvQ2l0ZT48Q2l0ZSBBdXRob3JZZWFyPSIxIj48QXV0aG9yPkJsYXRj
aGZvcmQ8L0F1dGhvcj48WWVhcj4yMDE5PC9ZZWFyPjxSZWNOdW0+OTk8L1JlY051bT48cmVjb3Jk
PjxyZWMtbnVtYmVyPjk5PC9yZWMtbnVtYmVyPjxmb3JlaWduLWtleXM+PGtleSBhcHA9IkVOIiBk
Yi1pZD0iOXNkOXh0djVrdzkyZHJlOTJ6NTVyd3ZheHY5c2Z4dnd0cHZ0IiB0aW1lc3RhbXA9IjE3
NDU0ODk4MjciPjk5PC9rZXk+PC9mb3JlaWduLWtleXM+PHJlZi10eXBlIG5hbWU9IkpvdXJuYWwg
QXJ0aWNsZSI+MTc8L3JlZi10eXBlPjxjb250cmlidXRvcnM+PGF1dGhvcnM+PGF1dGhvcj5CbGF0
Y2hmb3JkLCBQLjwvYXV0aG9yPjxhdXRob3I+UnVzc2VsbCwgQS48L2F1dGhvcj48L2F1dGhvcnM+
PC9jb250cmlidXRvcnM+PHRpdGxlcz48dGl0bGU+Q2xhc3Mgc2l6ZSwgZ3JvdXBpbmcgcHJhY3Rp
Y2VzIGFuZCBjbGFzc3Jvb20gbWFuYWdlbWVudDwvdGl0bGU+PHNlY29uZGFyeS10aXRsZT5JbnRl
cm5hdGlvbmFsIEpvdXJuYWwgb2YgRWR1Y2F0aW9uYWwgUmVzZWFyY2g8L3NlY29uZGFyeS10aXRs
ZT48L3RpdGxlcz48cGVyaW9kaWNhbD48ZnVsbC10aXRsZT5JbnRlcm5hdGlvbmFsIEpvdXJuYWwg
b2YgRWR1Y2F0aW9uYWwgUmVzZWFyY2g8L2Z1bGwtdGl0bGU+PC9wZXJpb2RpY2FsPjxkYXRlcz48
eWVhcj4yMDE5PC95ZWFyPjwvZGF0ZXM+PHVybHM+PHJlbGF0ZWQtdXJscz48dXJsPmh0dHBzOi8v
Y29uc2Vuc3VzLmFwcC9wYXBlcnMvY2xhc3Mtc2l6ZS1ncm91cGluZy1wcmFjdGljZXMtYW5kLWNs
YXNzcm9vbS1tYW5hZ2VtZW50LWJsYXRjaGZvcmQtcnVzc2VsbC83MWIzNzczNDA1ZGE1ZTU5YTNi
Mzk4ZDU1MGFhM2Q2OC88L3VybD48L3JlbGF0ZWQtdXJscz48L3VybHM+PGVsZWN0cm9uaWMtcmVz
b3VyY2UtbnVtPjEwLjEwMTYvSi5JSkVSLjIwMTguMDkuMDA0PC9lbGVjdHJvbmljLXJlc291cmNl
LW51bT48L3JlY29yZD48L0NpdGU+PENpdGUgQXV0aG9yWWVhcj0iMSI+PEF1dGhvcj5TaGFwc29u
PC9BdXRob3I+PFllYXI+MTk3ODwvWWVhcj48UmVjTnVtPjEwMDwvUmVjTnVtPjxyZWNvcmQ+PHJl
Yy1udW1iZXI+MTAwPC9yZWMtbnVtYmVyPjxmb3JlaWduLWtleXM+PGtleSBhcHA9IkVOIiBkYi1p
ZD0iOXNkOXh0djVrdzkyZHJlOTJ6NTVyd3ZheHY5c2Z4dnd0cHZ0IiB0aW1lc3RhbXA9IjE3NDU0
ODk4MjciPjEwMDwva2V5PjwvZm9yZWlnbi1rZXlzPjxyZWYtdHlwZSBuYW1lPSJKb3VybmFsIEFy
dGljbGUiPjE3PC9yZWYtdHlwZT48Y29udHJpYnV0b3JzPjxhdXRob3JzPjxhdXRob3I+U2hhcHNv
biwgUy48L2F1dGhvcj48YXV0aG9yPldyaWdodCwgRS48L2F1dGhvcj48YXV0aG9yPkVhc29uLCBH
LjwvYXV0aG9yPjxhdXRob3I+Rml0emdlcmFsZCwgSm9objwvYXV0aG9yPjwvYXV0aG9ycz48L2Nv
bnRyaWJ1dG9ycz48dGl0bGVzPjx0aXRsZT5BbiBFeHBlcmltZW50YWwgU3R1ZHkgb2YgdGhlIEVm
ZmVjdHMgb2YgQ2xhc3MgU2l6ZTwvdGl0bGU+PHNlY29uZGFyeS10aXRsZT5BbWVyaWNhbiBFZHVj
YXRpb25hbCBSZXNlYXJjaCBKb3VybmFsPC9zZWNvbmRhcnktdGl0bGU+PC90aXRsZXM+PHBlcmlv
ZGljYWw+PGZ1bGwtdGl0bGU+QW1lcmljYW4gRWR1Y2F0aW9uYWwgUmVzZWFyY2ggSm91cm5hbDwv
ZnVsbC10aXRsZT48L3BlcmlvZGljYWw+PHBhZ2VzPjE0MS0xNTI8L3BhZ2VzPjx2b2x1bWU+MTc8
L3ZvbHVtZT48ZGF0ZXM+PHllYXI+MTk3ODwveWVhcj48cHViLWRhdGVzPjxkYXRlPjE5NzgtMDMt
MDE8L2RhdGU+PC9wdWItZGF0ZXM+PC9kYXRlcz48dXJscz48cmVsYXRlZC11cmxzPjx1cmw+aHR0
cHM6Ly9jb25zZW5zdXMuYXBwL3BhcGVycy9hbi1leHBlcmltZW50YWwtc3R1ZHktb2YtdGhlLWVm
ZmVjdHMtb2YtY2xhc3Mtc2l6ZS1zaGFwc29uLXdyaWdodC81ZjVjNWYxMTk4ODI1YTQ4YmVkYzVl
M2M0OWNhYWU1MC88L3VybD48L3JlbGF0ZWQtdXJscz48L3VybHM+PGVsZWN0cm9uaWMtcmVzb3Vy
Y2UtbnVtPjEwLjMxMDIvMDAwMjgzMTIwMTcwMDIxNDE8L2VsZWN0cm9uaWMtcmVzb3VyY2UtbnVt
PjwvcmVjb3JkPjwvQ2l0ZT48L0VuZE5vdGU+
</w:fldData>
        </w:fldChar>
      </w:r>
      <w:r>
        <w:instrText xml:space="preserve"> ADDIN EN.CITE.DATA </w:instrText>
      </w:r>
      <w:r>
        <w:fldChar w:fldCharType="end"/>
      </w:r>
      <w:r>
        <w:fldChar w:fldCharType="separate"/>
      </w:r>
      <w:r>
        <w:rPr>
          <w:noProof/>
        </w:rPr>
        <w:t>Blatchford and Russell (2019); Hoxby (2000); Shapson et al. (1978)</w:t>
      </w:r>
      <w:r>
        <w:fldChar w:fldCharType="end"/>
      </w:r>
      <w:r>
        <w:t xml:space="preserve"> showed that c</w:t>
      </w:r>
      <w:r w:rsidRPr="00A6413C">
        <w:t xml:space="preserve">lass size does not significantly </w:t>
      </w:r>
      <w:r>
        <w:t>influence the choice of a teaching mode as well as academic performance</w:t>
      </w:r>
      <w:r w:rsidRPr="00A6413C">
        <w:t>.</w:t>
      </w:r>
      <w:r>
        <w:t xml:space="preserve"> Differently, other scholars such as </w:t>
      </w:r>
      <w:r>
        <w:fldChar w:fldCharType="begin"/>
      </w:r>
      <w:r>
        <w:instrText xml:space="preserve"> ADDIN EN.CITE &lt;EndNote&gt;&lt;Cite AuthorYear="1"&gt;&lt;Author&gt;Kokkelenberg&lt;/Author&gt;&lt;Year&gt;2008&lt;/Year&gt;&lt;RecNum&gt;101&lt;/RecNum&gt;&lt;DisplayText&gt;Kokkelenberg et al. (2008)&lt;/DisplayText&gt;&lt;record&gt;&lt;rec-number&gt;101&lt;/rec-number&gt;&lt;foreign-keys&gt;&lt;key app="EN" db-id="9sd9xtv5kw92dre92z55rwvaxv9sfxvwtpvt" timestamp="1745489827"&gt;101&lt;/key&gt;&lt;/foreign-keys&gt;&lt;ref-type name="Journal Article"&gt;17&lt;/ref-type&gt;&lt;contributors&gt;&lt;authors&gt;&lt;author&gt;Kokkelenberg, E.&lt;/author&gt;&lt;author&gt;Dillon, Michael&lt;/author&gt;&lt;author&gt;Christy, S.&lt;/author&gt;&lt;/authors&gt;&lt;/contributors&gt;&lt;titles&gt;&lt;title&gt;The Effects of Class Size on Student Grades at a Public University&lt;/title&gt;&lt;secondary-title&gt;Economics of Education Review&lt;/secondary-title&gt;&lt;/titles&gt;&lt;periodical&gt;&lt;full-title&gt;Economics of Education Review&lt;/full-title&gt;&lt;/periodical&gt;&lt;pages&gt;221-233&lt;/pages&gt;&lt;volume&gt;27&lt;/volume&gt;&lt;dates&gt;&lt;year&gt;2008&lt;/year&gt;&lt;pub-dates&gt;&lt;date&gt;2008-04-01&lt;/date&gt;&lt;/pub-dates&gt;&lt;/dates&gt;&lt;urls&gt;&lt;related-urls&gt;&lt;url&gt;https://consensus.app/papers/the-effects-of-class-size-on-student-grades-at-a-public-kokkelenberg-dillon/94ed0bb400f850f98bdf693ea888e8dd/&lt;/url&gt;&lt;/related-urls&gt;&lt;/urls&gt;&lt;electronic-resource-num&gt;10.1016/J.ECONEDUREV.2006.09.011&lt;/electronic-resource-num&gt;&lt;/record&gt;&lt;/Cite&gt;&lt;/EndNote&gt;</w:instrText>
      </w:r>
      <w:r>
        <w:fldChar w:fldCharType="separate"/>
      </w:r>
      <w:r>
        <w:rPr>
          <w:noProof/>
        </w:rPr>
        <w:t>Kokkelenberg et al. (2008)</w:t>
      </w:r>
      <w:r>
        <w:fldChar w:fldCharType="end"/>
      </w:r>
      <w:r>
        <w:t xml:space="preserve"> differed significantly, maintaining that l</w:t>
      </w:r>
      <w:r w:rsidRPr="00A6413C">
        <w:t>arger class sizes negatively affect student grades, with diseconomies of scale causing deterioration in outcomes.</w:t>
      </w:r>
      <w:r>
        <w:t xml:space="preserve"> While online teaching in TVET would offer flexibility, accessibility, and a wider audience in TVET, f</w:t>
      </w:r>
      <w:r w:rsidRPr="00A00BE3">
        <w:t xml:space="preserve">ace-to-face learning is often preferred in TVET </w:t>
      </w:r>
      <w:r w:rsidRPr="00A00BE3">
        <w:lastRenderedPageBreak/>
        <w:t>settings due to its direct interaction and immediate feedback capabilities.</w:t>
      </w:r>
      <w:r>
        <w:t xml:space="preserve"> One of the key administrators in one of the TVET institutions found online teaching very unrealistic. In his own words, he had this to say.</w:t>
      </w:r>
    </w:p>
    <w:p w14:paraId="0F8CE247" w14:textId="77777777" w:rsidR="0080789B" w:rsidRDefault="0080789B" w:rsidP="0080789B">
      <w:pPr>
        <w:ind w:left="720"/>
        <w:rPr>
          <w:i/>
          <w:iCs/>
        </w:rPr>
      </w:pPr>
      <w:r w:rsidRPr="000869E7">
        <w:rPr>
          <w:i/>
          <w:iCs/>
        </w:rPr>
        <w:t xml:space="preserve">Online teaching here is not realistic. With TVET, people need physical demonstrations, need physical </w:t>
      </w:r>
      <w:r>
        <w:rPr>
          <w:i/>
          <w:iCs/>
        </w:rPr>
        <w:t>contact</w:t>
      </w:r>
      <w:r w:rsidRPr="000869E7">
        <w:rPr>
          <w:i/>
          <w:iCs/>
        </w:rPr>
        <w:t xml:space="preserve">, and you identify the learner's weaknesses and competences. I view online teaching as purely more theoretical and impossible to be effectively implemented here. Because with the technical, we need to have that competence that you gained as an instructor, and you impart it to these trainees. Physical teaching for us limits demonstrations and opaque body language. </w:t>
      </w:r>
    </w:p>
    <w:p w14:paraId="2AD18799" w14:textId="77777777" w:rsidR="0080789B" w:rsidRDefault="0080789B" w:rsidP="0080789B">
      <w:r>
        <w:t>Another correspondent from a renowned TVET institution only recognized online teaching as an alternative during calamities that prevent students from face-to-face interaction. His reaction was bittersweet as follows.</w:t>
      </w:r>
    </w:p>
    <w:p w14:paraId="434BCF33" w14:textId="77777777" w:rsidR="0080789B" w:rsidRPr="00F30F36" w:rsidRDefault="0080789B" w:rsidP="0080789B">
      <w:pPr>
        <w:ind w:left="720"/>
        <w:rPr>
          <w:i/>
          <w:iCs/>
        </w:rPr>
      </w:pPr>
      <w:r w:rsidRPr="00F30F36">
        <w:rPr>
          <w:i/>
          <w:iCs/>
        </w:rPr>
        <w:t xml:space="preserve">During </w:t>
      </w:r>
      <w:r>
        <w:rPr>
          <w:i/>
          <w:iCs/>
        </w:rPr>
        <w:t xml:space="preserve">the </w:t>
      </w:r>
      <w:r w:rsidRPr="00F30F36">
        <w:rPr>
          <w:i/>
          <w:iCs/>
        </w:rPr>
        <w:t xml:space="preserve">COVID-19 </w:t>
      </w:r>
      <w:r>
        <w:rPr>
          <w:i/>
          <w:iCs/>
        </w:rPr>
        <w:t>pandemic</w:t>
      </w:r>
      <w:r w:rsidRPr="00F30F36">
        <w:rPr>
          <w:i/>
          <w:iCs/>
        </w:rPr>
        <w:t>, we were forced to introduce online teaching here. We employed Moodle and other related software</w:t>
      </w:r>
      <w:r>
        <w:rPr>
          <w:i/>
          <w:iCs/>
        </w:rPr>
        <w:t>,</w:t>
      </w:r>
      <w:r w:rsidRPr="00F30F36">
        <w:rPr>
          <w:i/>
          <w:iCs/>
        </w:rPr>
        <w:t xml:space="preserve"> such as Zoom and other tools. However, these were not easy to implement due to a plethora of challenges ranging from limited internet, network </w:t>
      </w:r>
      <w:r>
        <w:rPr>
          <w:i/>
          <w:iCs/>
        </w:rPr>
        <w:t>issues</w:t>
      </w:r>
      <w:r w:rsidRPr="00F30F36">
        <w:rPr>
          <w:i/>
          <w:iCs/>
        </w:rPr>
        <w:t xml:space="preserve">, ICT </w:t>
      </w:r>
      <w:r>
        <w:rPr>
          <w:i/>
          <w:iCs/>
        </w:rPr>
        <w:t>non-competence,</w:t>
      </w:r>
      <w:r w:rsidRPr="00F30F36">
        <w:rPr>
          <w:i/>
          <w:iCs/>
        </w:rPr>
        <w:t xml:space="preserve"> especially in evaluation and assessment. For Universities such as Makerere University, this approach is successful, and it will take quite some time to be effective in TVET. </w:t>
      </w:r>
    </w:p>
    <w:p w14:paraId="4E58B077" w14:textId="77777777" w:rsidR="0080789B" w:rsidRDefault="0080789B" w:rsidP="0080789B">
      <w:pPr>
        <w:jc w:val="both"/>
      </w:pPr>
      <w:r w:rsidRPr="00A21762">
        <w:t xml:space="preserve">For the online alternative, TVET institutional size is positive. This suggests that as the institute expands, it </w:t>
      </w:r>
      <w:r>
        <w:t xml:space="preserve">is </w:t>
      </w:r>
      <w:r w:rsidRPr="00A21762">
        <w:t xml:space="preserve">more likely to choose online teaching over projects and </w:t>
      </w:r>
      <w:r>
        <w:t>face-to-face</w:t>
      </w:r>
      <w:r w:rsidRPr="00A21762">
        <w:t xml:space="preserve">. In such </w:t>
      </w:r>
      <w:r>
        <w:t>a</w:t>
      </w:r>
      <w:r w:rsidRPr="00A21762">
        <w:t xml:space="preserve"> case, the institute will have developed the capacity to establish the necessary ICT infrastructure and install the required gadgets. </w:t>
      </w:r>
      <w:r>
        <w:t>This indicates that th</w:t>
      </w:r>
      <w:r w:rsidRPr="00F30F36">
        <w:t>e expansion of TVET institutions positively correlates with the adoption of online teaching methods. As institutions grow, they are more likely to develop the necessary ICT infrastructure and resources to support online education, making it a preferred choice over traditional face-to-face or project-based learning.</w:t>
      </w:r>
    </w:p>
    <w:p w14:paraId="3B76B65F" w14:textId="77777777" w:rsidR="0080789B" w:rsidRDefault="0080789B" w:rsidP="0080789B">
      <w:pPr>
        <w:jc w:val="both"/>
      </w:pPr>
      <w:r>
        <w:t xml:space="preserve">This study found institutional size as an influencing factor in integrating online teaching. For example, </w:t>
      </w:r>
      <w:r>
        <w:fldChar w:fldCharType="begin"/>
      </w:r>
      <w:r>
        <w:instrText xml:space="preserve"> ADDIN EN.CITE &lt;EndNote&gt;&lt;Cite AuthorYear="1"&gt;&lt;Author&gt;Munene&lt;/Author&gt;&lt;Year&gt;2023&lt;/Year&gt;&lt;RecNum&gt;111&lt;/RecNum&gt;&lt;DisplayText&gt;Munene et al. (2023)&lt;/DisplayText&gt;&lt;record&gt;&lt;rec-number&gt;111&lt;/rec-number&gt;&lt;foreign-keys&gt;&lt;key app="EN" db-id="9sd9xtv5kw92dre92z55rwvaxv9sfxvwtpvt" timestamp="1745492852"&gt;111&lt;/key&gt;&lt;/foreign-keys&gt;&lt;ref-type name="Journal Article"&gt;17&lt;/ref-type&gt;&lt;contributors&gt;&lt;authors&gt;&lt;author&gt;Munene, Rose Mbuthu&lt;/author&gt;&lt;author&gt;Ngeera, F.&lt;/author&gt;&lt;author&gt;Kanyi, C.&lt;/author&gt;&lt;/authors&gt;&lt;/contributors&gt;&lt;titles&gt;&lt;title&gt;Preparedness of Instructional Materials for Supporting the Implementation of Curriculum through Online Distance Teaching and Learning at National TVET Institutions in Kenya&lt;/title&gt;&lt;secondary-title&gt;International Journal of Professional Practice&lt;/secondary-title&gt;&lt;/titles&gt;&lt;periodical&gt;&lt;full-title&gt;International Journal of Professional Practice&lt;/full-title&gt;&lt;/periodical&gt;&lt;dates&gt;&lt;year&gt;2023&lt;/year&gt;&lt;pub-dates&gt;&lt;date&gt;2023-08-18&lt;/date&gt;&lt;/pub-dates&gt;&lt;/dates&gt;&lt;urls&gt;&lt;related-urls&gt;&lt;url&gt;https://consensus.app/papers/preparedness-of-instructional-materials-for-supporting-munene-ngeera/ee3fc407d73d5ba88e0976c52e08fc28/&lt;/url&gt;&lt;/related-urls&gt;&lt;/urls&gt;&lt;electronic-resource-num&gt;10.71274/ijpp.v11i3.383&lt;/electronic-resource-num&gt;&lt;/record&gt;&lt;/Cite&gt;&lt;/EndNote&gt;</w:instrText>
      </w:r>
      <w:r>
        <w:fldChar w:fldCharType="separate"/>
      </w:r>
      <w:r>
        <w:rPr>
          <w:noProof/>
        </w:rPr>
        <w:t>Munene et al. (2023)</w:t>
      </w:r>
      <w:r>
        <w:fldChar w:fldCharType="end"/>
      </w:r>
      <w:r>
        <w:t xml:space="preserve"> and </w:t>
      </w:r>
      <w:r>
        <w:fldChar w:fldCharType="begin"/>
      </w:r>
      <w:r>
        <w:instrText xml:space="preserve"> ADDIN EN.CITE &lt;EndNote&gt;&lt;Cite AuthorYear="1"&gt;&lt;Author&gt;Kahiga&lt;/Author&gt;&lt;Year&gt;2024&lt;/Year&gt;&lt;RecNum&gt;116&lt;/RecNum&gt;&lt;DisplayText&gt;Kahiga et al. (2024)&lt;/DisplayText&gt;&lt;record&gt;&lt;rec-number&gt;116&lt;/rec-number&gt;&lt;foreign-keys&gt;&lt;key app="EN" db-id="9sd9xtv5kw92dre92z55rwvaxv9sfxvwtpvt" timestamp="1745492852"&gt;116&lt;/key&gt;&lt;/foreign-keys&gt;&lt;ref-type name="Journal Article"&gt;17&lt;/ref-type&gt;&lt;contributors&gt;&lt;authors&gt;&lt;author&gt;Kahiga, E.&lt;/author&gt;&lt;author&gt;Kibaara, T.&lt;/author&gt;&lt;author&gt;Gichohi, P.&lt;/author&gt;&lt;/authors&gt;&lt;/contributors&gt;&lt;titles&gt;&lt;title&gt;Influence of Institutional Capacity on the Competitiveness of TVET Institutions in Nyeri County&lt;/title&gt;&lt;secondary-title&gt;International Journal of Professional Practice&lt;/secondary-title&gt;&lt;/titles&gt;&lt;periodical&gt;&lt;full-title&gt;International Journal of Professional Practice&lt;/full-title&gt;&lt;/periodical&gt;&lt;dates&gt;&lt;year&gt;2024&lt;/year&gt;&lt;pub-dates&gt;&lt;date&gt;2024-04-22&lt;/date&gt;&lt;/pub-dates&gt;&lt;/dates&gt;&lt;urls&gt;&lt;related-urls&gt;&lt;url&gt;https://consensus.app/papers/influence-of-institutional-capacity-on-the-kahiga-kibaara/fa95037c6cca56cc99ffaa9cf8563ad7/&lt;/url&gt;&lt;/related-urls&gt;&lt;/urls&gt;&lt;electronic-resource-num&gt;10.71274/ijpp.v12i2.417&lt;/electronic-resource-num&gt;&lt;/record&gt;&lt;/Cite&gt;&lt;/EndNote&gt;</w:instrText>
      </w:r>
      <w:r>
        <w:fldChar w:fldCharType="separate"/>
      </w:r>
      <w:r>
        <w:rPr>
          <w:noProof/>
        </w:rPr>
        <w:t>Kahiga et al. (2024)</w:t>
      </w:r>
      <w:r>
        <w:fldChar w:fldCharType="end"/>
      </w:r>
      <w:r>
        <w:t xml:space="preserve"> showed that l</w:t>
      </w:r>
      <w:r w:rsidRPr="006A6F5F">
        <w:t>arger TVET institutions are better equipped to implement online teaching due to their ability to establish robust ICT infrastructure and acquire necessary technological resources</w:t>
      </w:r>
      <w:r>
        <w:t xml:space="preserve">. </w:t>
      </w:r>
      <w:r w:rsidRPr="006A6F5F">
        <w:t>This capacity enables them to offer online courses effectively, addressing the increasing demand for such educational formats</w:t>
      </w:r>
      <w:r>
        <w:t xml:space="preserve">. </w:t>
      </w:r>
      <w:r w:rsidRPr="006A6F5F">
        <w:t>Despite the potential benefits, TVET institutions face challenges such as technical difficulties, limited interaction in virtual settings, and access issues due to inadequate technology and internet connectivity</w:t>
      </w:r>
      <w:r>
        <w:t xml:space="preserve"> </w:t>
      </w:r>
      <w:r>
        <w:fldChar w:fldCharType="begin"/>
      </w:r>
      <w:r>
        <w:instrText xml:space="preserve"> ADDIN EN.CITE &lt;EndNote&gt;&lt;Cite&gt;&lt;Author&gt;Mesuwini&lt;/Author&gt;&lt;Year&gt;2024&lt;/Year&gt;&lt;RecNum&gt;119&lt;/RecNum&gt;&lt;DisplayText&gt;(Mesuwini &amp;amp; Mokoena, 2024)&lt;/DisplayText&gt;&lt;record&gt;&lt;rec-number&gt;119&lt;/rec-number&gt;&lt;foreign-keys&gt;&lt;key app="EN" db-id="9sd9xtv5kw92dre92z55rwvaxv9sfxvwtpvt" timestamp="1745492859"&gt;119&lt;/key&gt;&lt;/foreign-keys&gt;&lt;ref-type name="Journal Article"&gt;17&lt;/ref-type&gt;&lt;contributors&gt;&lt;authors&gt;&lt;author&gt;Mesuwini, Joseph&lt;/author&gt;&lt;author&gt;Mokoena, S.&lt;/author&gt;&lt;/authors&gt;&lt;/contributors&gt;&lt;titles&gt;&lt;title&gt;Exploring online teaching and learning challenges for the technical and vocational education and training lecturer&lt;/title&gt;&lt;secondary-title&gt;Journal of Education and e-Learning Research&lt;/secondary-title&gt;&lt;/titles&gt;&lt;periodical&gt;&lt;full-title&gt;Journal of Education and e-Learning Research&lt;/full-title&gt;&lt;/periodical&gt;&lt;dates&gt;&lt;year&gt;2024&lt;/year&gt;&lt;pub-dates&gt;&lt;date&gt;2024-02-27&lt;/date&gt;&lt;/pub-dates&gt;&lt;/dates&gt;&lt;urls&gt;&lt;related-urls&gt;&lt;url&gt;https://consensus.app/papers/exploring-online-teaching-and-learning-challenges-for-the-mesuwini-mokoena/ca9a1d6523c2556baa44e944a1f3cb99/&lt;/url&gt;&lt;/related-urls&gt;&lt;/urls&gt;&lt;electronic-resource-num&gt;10.20448/jeelr.v11i1.5423&lt;/electronic-resource-num&gt;&lt;/record&gt;&lt;/Cite&gt;&lt;/EndNote&gt;</w:instrText>
      </w:r>
      <w:r>
        <w:fldChar w:fldCharType="separate"/>
      </w:r>
      <w:r>
        <w:rPr>
          <w:noProof/>
        </w:rPr>
        <w:t>(Mesuwini &amp; Mokoena, 2024)</w:t>
      </w:r>
      <w:r>
        <w:fldChar w:fldCharType="end"/>
      </w:r>
      <w:r w:rsidRPr="006A6F5F">
        <w:t>. These challenges necessitate continuous professional development for lecturers to enhance their online teaching skills</w:t>
      </w:r>
      <w:r>
        <w:t>.</w:t>
      </w:r>
    </w:p>
    <w:p w14:paraId="543F3EFD" w14:textId="77777777" w:rsidR="0080789B" w:rsidRDefault="0080789B" w:rsidP="0080789B">
      <w:pPr>
        <w:spacing w:line="276" w:lineRule="auto"/>
        <w:jc w:val="both"/>
      </w:pPr>
      <w:r>
        <w:t>Findings in this study were in line with the qualitative findings analyzed from the administrator perceptions below.</w:t>
      </w:r>
    </w:p>
    <w:p w14:paraId="19606001" w14:textId="77777777" w:rsidR="0080789B" w:rsidRPr="00E70236" w:rsidRDefault="0080789B" w:rsidP="0080789B">
      <w:pPr>
        <w:spacing w:before="100" w:beforeAutospacing="1" w:after="100" w:afterAutospacing="1" w:line="276" w:lineRule="auto"/>
        <w:ind w:left="720"/>
      </w:pPr>
      <w:r w:rsidRPr="00E70236">
        <w:rPr>
          <w:i/>
          <w:iCs/>
        </w:rPr>
        <w:t>Currently, we do not have such systems in place due to the high cost of developing ICT infrastructure. A system like Moodle or MUELE</w:t>
      </w:r>
      <w:r>
        <w:rPr>
          <w:i/>
          <w:iCs/>
        </w:rPr>
        <w:t>,</w:t>
      </w:r>
      <w:r w:rsidRPr="00E70236">
        <w:rPr>
          <w:i/>
          <w:iCs/>
        </w:rPr>
        <w:t xml:space="preserve"> as used in Makerere University</w:t>
      </w:r>
      <w:r>
        <w:rPr>
          <w:i/>
          <w:iCs/>
        </w:rPr>
        <w:t>,</w:t>
      </w:r>
      <w:r w:rsidRPr="00E70236">
        <w:rPr>
          <w:i/>
          <w:iCs/>
        </w:rPr>
        <w:t xml:space="preserve"> would require significant investment in software development and student awareness.</w:t>
      </w:r>
    </w:p>
    <w:p w14:paraId="214FD604" w14:textId="77777777" w:rsidR="0080789B" w:rsidRDefault="0080789B" w:rsidP="0080789B">
      <w:pPr>
        <w:spacing w:line="276" w:lineRule="auto"/>
        <w:jc w:val="both"/>
      </w:pPr>
      <w:r>
        <w:t>Another administrator revealed that while learning management systems are important, they require hefty investments, as seen below.</w:t>
      </w:r>
    </w:p>
    <w:p w14:paraId="0ED20E27" w14:textId="77777777" w:rsidR="0080789B" w:rsidRPr="00E70236" w:rsidRDefault="0080789B" w:rsidP="0080789B">
      <w:pPr>
        <w:spacing w:before="100" w:beforeAutospacing="1" w:after="100" w:afterAutospacing="1" w:line="276" w:lineRule="auto"/>
        <w:ind w:left="720"/>
      </w:pPr>
      <w:r w:rsidRPr="00E70236">
        <w:rPr>
          <w:i/>
          <w:iCs/>
        </w:rPr>
        <w:t>Using learning management systems with modules for assignments and assessments could help. Additionally, tools like Zoom and simulations would be effective for evaluations.</w:t>
      </w:r>
      <w:r>
        <w:t xml:space="preserve"> </w:t>
      </w:r>
      <w:r w:rsidRPr="00E70236">
        <w:rPr>
          <w:i/>
          <w:iCs/>
        </w:rPr>
        <w:t>The</w:t>
      </w:r>
      <w:r>
        <w:rPr>
          <w:i/>
          <w:iCs/>
        </w:rPr>
        <w:t xml:space="preserve"> open-source tools</w:t>
      </w:r>
      <w:r w:rsidRPr="00E70236">
        <w:rPr>
          <w:i/>
          <w:iCs/>
        </w:rPr>
        <w:t xml:space="preserve"> </w:t>
      </w:r>
      <w:r>
        <w:rPr>
          <w:i/>
          <w:iCs/>
        </w:rPr>
        <w:t>are useful in</w:t>
      </w:r>
      <w:r w:rsidRPr="00E70236">
        <w:rPr>
          <w:i/>
          <w:iCs/>
        </w:rPr>
        <w:t xml:space="preserve"> evaluating assignments where students can answer questions and receive automated feedback. </w:t>
      </w:r>
      <w:r>
        <w:rPr>
          <w:i/>
          <w:iCs/>
        </w:rPr>
        <w:t>However, this needs huge investments in these systems</w:t>
      </w:r>
    </w:p>
    <w:p w14:paraId="2B75B893" w14:textId="77777777" w:rsidR="0080789B" w:rsidRPr="00E70236" w:rsidRDefault="0080789B" w:rsidP="0080789B">
      <w:pPr>
        <w:spacing w:before="100" w:beforeAutospacing="1" w:after="100" w:afterAutospacing="1" w:line="276" w:lineRule="auto"/>
        <w:ind w:left="720"/>
      </w:pPr>
      <w:r w:rsidRPr="00E70236">
        <w:rPr>
          <w:i/>
          <w:iCs/>
        </w:rPr>
        <w:t>Platforms like Makerere University's MUELE could be adapted for TVET. Assignments could be uploaded, completed within a stipulated time, and submitted online. However, this requires reliable access to devices and the internet, which is currently a challenge.</w:t>
      </w:r>
    </w:p>
    <w:p w14:paraId="5E36A10A" w14:textId="77777777" w:rsidR="0080789B" w:rsidRDefault="0080789B" w:rsidP="0080789B">
      <w:pPr>
        <w:jc w:val="both"/>
      </w:pPr>
    </w:p>
    <w:p w14:paraId="0F12A2E6" w14:textId="77777777" w:rsidR="00F73A92" w:rsidRDefault="00F73A92">
      <w:pPr>
        <w:rPr>
          <w:b/>
          <w:bCs/>
        </w:rPr>
      </w:pPr>
      <w:r>
        <w:rPr>
          <w:b/>
          <w:bCs/>
        </w:rPr>
        <w:br w:type="page"/>
      </w:r>
    </w:p>
    <w:p w14:paraId="70CCDAF7" w14:textId="5553E8B1" w:rsidR="0080789B" w:rsidRPr="00685E86" w:rsidRDefault="0080789B" w:rsidP="0080789B">
      <w:pPr>
        <w:jc w:val="both"/>
        <w:rPr>
          <w:b/>
          <w:bCs/>
        </w:rPr>
      </w:pPr>
      <w:r w:rsidRPr="00685E86">
        <w:rPr>
          <w:b/>
          <w:bCs/>
        </w:rPr>
        <w:lastRenderedPageBreak/>
        <w:t>Table 3: Predictive Margins for Mode Selection</w:t>
      </w:r>
    </w:p>
    <w:tbl>
      <w:tblPr>
        <w:tblW w:w="8474" w:type="dxa"/>
        <w:tblInd w:w="-284" w:type="dxa"/>
        <w:tblBorders>
          <w:top w:val="single" w:sz="4" w:space="0" w:color="auto"/>
          <w:bottom w:val="single" w:sz="4" w:space="0" w:color="auto"/>
        </w:tblBorders>
        <w:tblLook w:val="04A0" w:firstRow="1" w:lastRow="0" w:firstColumn="1" w:lastColumn="0" w:noHBand="0" w:noVBand="1"/>
      </w:tblPr>
      <w:tblGrid>
        <w:gridCol w:w="1524"/>
        <w:gridCol w:w="1194"/>
        <w:gridCol w:w="1194"/>
        <w:gridCol w:w="1087"/>
        <w:gridCol w:w="1087"/>
        <w:gridCol w:w="1194"/>
        <w:gridCol w:w="1194"/>
      </w:tblGrid>
      <w:tr w:rsidR="0080789B" w:rsidRPr="006B7CC3" w14:paraId="1D89E0C6" w14:textId="77777777" w:rsidTr="0040195A">
        <w:trPr>
          <w:trHeight w:val="316"/>
        </w:trPr>
        <w:tc>
          <w:tcPr>
            <w:tcW w:w="1524" w:type="dxa"/>
            <w:tcBorders>
              <w:top w:val="single" w:sz="4" w:space="0" w:color="auto"/>
              <w:bottom w:val="nil"/>
              <w:right w:val="single" w:sz="4" w:space="0" w:color="auto"/>
            </w:tcBorders>
            <w:noWrap/>
            <w:vAlign w:val="bottom"/>
          </w:tcPr>
          <w:p w14:paraId="7DF929DE" w14:textId="77777777" w:rsidR="0080789B" w:rsidRPr="006B7CC3" w:rsidRDefault="0080789B" w:rsidP="0040195A">
            <w:pPr>
              <w:jc w:val="both"/>
            </w:pPr>
          </w:p>
        </w:tc>
        <w:tc>
          <w:tcPr>
            <w:tcW w:w="2388" w:type="dxa"/>
            <w:gridSpan w:val="2"/>
            <w:tcBorders>
              <w:left w:val="single" w:sz="4" w:space="0" w:color="auto"/>
              <w:bottom w:val="nil"/>
            </w:tcBorders>
            <w:noWrap/>
            <w:vAlign w:val="bottom"/>
          </w:tcPr>
          <w:p w14:paraId="5AC81877" w14:textId="77777777" w:rsidR="0080789B" w:rsidRPr="006B7CC3" w:rsidRDefault="0080789B" w:rsidP="0040195A">
            <w:pPr>
              <w:jc w:val="both"/>
              <w:rPr>
                <w:color w:val="000000"/>
              </w:rPr>
            </w:pPr>
            <w:r w:rsidRPr="006B7CC3">
              <w:rPr>
                <w:color w:val="000000"/>
              </w:rPr>
              <w:t>Delta-method</w:t>
            </w:r>
          </w:p>
        </w:tc>
        <w:tc>
          <w:tcPr>
            <w:tcW w:w="1087" w:type="dxa"/>
            <w:tcBorders>
              <w:bottom w:val="nil"/>
            </w:tcBorders>
            <w:noWrap/>
            <w:vAlign w:val="bottom"/>
          </w:tcPr>
          <w:p w14:paraId="495F7FF2" w14:textId="77777777" w:rsidR="0080789B" w:rsidRPr="006B7CC3" w:rsidRDefault="0080789B" w:rsidP="0040195A">
            <w:pPr>
              <w:jc w:val="both"/>
              <w:rPr>
                <w:color w:val="000000"/>
              </w:rPr>
            </w:pPr>
          </w:p>
        </w:tc>
        <w:tc>
          <w:tcPr>
            <w:tcW w:w="1087" w:type="dxa"/>
            <w:tcBorders>
              <w:bottom w:val="nil"/>
            </w:tcBorders>
            <w:noWrap/>
            <w:vAlign w:val="bottom"/>
          </w:tcPr>
          <w:p w14:paraId="6FBC4446" w14:textId="77777777" w:rsidR="0080789B" w:rsidRPr="006B7CC3" w:rsidRDefault="0080789B" w:rsidP="0040195A">
            <w:pPr>
              <w:jc w:val="both"/>
              <w:rPr>
                <w:color w:val="000000"/>
              </w:rPr>
            </w:pPr>
          </w:p>
        </w:tc>
        <w:tc>
          <w:tcPr>
            <w:tcW w:w="1194" w:type="dxa"/>
            <w:tcBorders>
              <w:bottom w:val="nil"/>
            </w:tcBorders>
            <w:noWrap/>
            <w:vAlign w:val="bottom"/>
          </w:tcPr>
          <w:p w14:paraId="249417B5" w14:textId="77777777" w:rsidR="0080789B" w:rsidRPr="006B7CC3" w:rsidRDefault="0080789B" w:rsidP="0040195A">
            <w:pPr>
              <w:jc w:val="both"/>
              <w:rPr>
                <w:color w:val="000000"/>
              </w:rPr>
            </w:pPr>
          </w:p>
        </w:tc>
        <w:tc>
          <w:tcPr>
            <w:tcW w:w="1194" w:type="dxa"/>
            <w:tcBorders>
              <w:bottom w:val="nil"/>
            </w:tcBorders>
            <w:noWrap/>
            <w:vAlign w:val="bottom"/>
          </w:tcPr>
          <w:p w14:paraId="605E5258" w14:textId="77777777" w:rsidR="0080789B" w:rsidRPr="006B7CC3" w:rsidRDefault="0080789B" w:rsidP="0040195A">
            <w:pPr>
              <w:jc w:val="both"/>
              <w:rPr>
                <w:color w:val="000000"/>
              </w:rPr>
            </w:pPr>
          </w:p>
        </w:tc>
      </w:tr>
      <w:tr w:rsidR="0080789B" w:rsidRPr="006B7CC3" w14:paraId="65745685" w14:textId="77777777" w:rsidTr="0040195A">
        <w:trPr>
          <w:trHeight w:val="316"/>
        </w:trPr>
        <w:tc>
          <w:tcPr>
            <w:tcW w:w="1524" w:type="dxa"/>
            <w:tcBorders>
              <w:top w:val="nil"/>
              <w:bottom w:val="single" w:sz="4" w:space="0" w:color="auto"/>
              <w:right w:val="single" w:sz="4" w:space="0" w:color="auto"/>
            </w:tcBorders>
            <w:noWrap/>
            <w:vAlign w:val="bottom"/>
            <w:hideMark/>
          </w:tcPr>
          <w:p w14:paraId="4D80C77F" w14:textId="77777777" w:rsidR="0080789B" w:rsidRPr="006B7CC3" w:rsidRDefault="0080789B" w:rsidP="0040195A">
            <w:pPr>
              <w:jc w:val="both"/>
            </w:pPr>
          </w:p>
        </w:tc>
        <w:tc>
          <w:tcPr>
            <w:tcW w:w="1194" w:type="dxa"/>
            <w:tcBorders>
              <w:top w:val="nil"/>
              <w:left w:val="single" w:sz="4" w:space="0" w:color="auto"/>
              <w:bottom w:val="single" w:sz="4" w:space="0" w:color="auto"/>
            </w:tcBorders>
            <w:noWrap/>
            <w:vAlign w:val="bottom"/>
            <w:hideMark/>
          </w:tcPr>
          <w:p w14:paraId="60723C7C" w14:textId="77777777" w:rsidR="0080789B" w:rsidRPr="006B7CC3" w:rsidRDefault="0080789B" w:rsidP="0040195A">
            <w:pPr>
              <w:jc w:val="both"/>
              <w:rPr>
                <w:color w:val="000000"/>
              </w:rPr>
            </w:pPr>
            <w:r w:rsidRPr="006B7CC3">
              <w:rPr>
                <w:color w:val="000000"/>
              </w:rPr>
              <w:t>Margin</w:t>
            </w:r>
          </w:p>
        </w:tc>
        <w:tc>
          <w:tcPr>
            <w:tcW w:w="1194" w:type="dxa"/>
            <w:tcBorders>
              <w:top w:val="nil"/>
              <w:bottom w:val="single" w:sz="4" w:space="0" w:color="auto"/>
            </w:tcBorders>
            <w:noWrap/>
            <w:vAlign w:val="bottom"/>
            <w:hideMark/>
          </w:tcPr>
          <w:p w14:paraId="198749B9" w14:textId="77777777" w:rsidR="0080789B" w:rsidRPr="006B7CC3" w:rsidRDefault="0080789B" w:rsidP="0040195A">
            <w:pPr>
              <w:jc w:val="both"/>
              <w:rPr>
                <w:color w:val="000000"/>
              </w:rPr>
            </w:pPr>
            <w:r w:rsidRPr="006B7CC3">
              <w:rPr>
                <w:color w:val="000000"/>
              </w:rPr>
              <w:t xml:space="preserve"> std. </w:t>
            </w:r>
            <w:proofErr w:type="gramStart"/>
            <w:r w:rsidRPr="006B7CC3">
              <w:rPr>
                <w:color w:val="000000"/>
              </w:rPr>
              <w:t>err</w:t>
            </w:r>
            <w:proofErr w:type="gramEnd"/>
            <w:r w:rsidRPr="006B7CC3">
              <w:rPr>
                <w:color w:val="000000"/>
              </w:rPr>
              <w:t>.</w:t>
            </w:r>
          </w:p>
        </w:tc>
        <w:tc>
          <w:tcPr>
            <w:tcW w:w="1087" w:type="dxa"/>
            <w:tcBorders>
              <w:top w:val="nil"/>
              <w:bottom w:val="single" w:sz="4" w:space="0" w:color="auto"/>
            </w:tcBorders>
            <w:noWrap/>
            <w:vAlign w:val="bottom"/>
            <w:hideMark/>
          </w:tcPr>
          <w:p w14:paraId="76240E87" w14:textId="77777777" w:rsidR="0080789B" w:rsidRPr="006B7CC3" w:rsidRDefault="0080789B" w:rsidP="0040195A">
            <w:pPr>
              <w:jc w:val="both"/>
              <w:rPr>
                <w:color w:val="000000"/>
              </w:rPr>
            </w:pPr>
            <w:r w:rsidRPr="006B7CC3">
              <w:rPr>
                <w:color w:val="000000"/>
              </w:rPr>
              <w:t xml:space="preserve"> z </w:t>
            </w:r>
          </w:p>
        </w:tc>
        <w:tc>
          <w:tcPr>
            <w:tcW w:w="1087" w:type="dxa"/>
            <w:tcBorders>
              <w:top w:val="nil"/>
              <w:bottom w:val="single" w:sz="4" w:space="0" w:color="auto"/>
            </w:tcBorders>
            <w:noWrap/>
            <w:vAlign w:val="bottom"/>
            <w:hideMark/>
          </w:tcPr>
          <w:p w14:paraId="604E4674" w14:textId="77777777" w:rsidR="0080789B" w:rsidRPr="006B7CC3" w:rsidRDefault="0080789B" w:rsidP="0040195A">
            <w:pPr>
              <w:jc w:val="both"/>
              <w:rPr>
                <w:color w:val="000000"/>
              </w:rPr>
            </w:pPr>
            <w:r w:rsidRPr="006B7CC3">
              <w:rPr>
                <w:color w:val="000000"/>
              </w:rPr>
              <w:t>P&gt;|z|</w:t>
            </w:r>
          </w:p>
        </w:tc>
        <w:tc>
          <w:tcPr>
            <w:tcW w:w="1194" w:type="dxa"/>
            <w:tcBorders>
              <w:top w:val="nil"/>
              <w:bottom w:val="single" w:sz="4" w:space="0" w:color="auto"/>
            </w:tcBorders>
            <w:noWrap/>
            <w:vAlign w:val="bottom"/>
            <w:hideMark/>
          </w:tcPr>
          <w:p w14:paraId="35F1C242" w14:textId="77777777" w:rsidR="0080789B" w:rsidRPr="006B7CC3" w:rsidRDefault="0080789B" w:rsidP="0040195A">
            <w:pPr>
              <w:jc w:val="both"/>
              <w:rPr>
                <w:color w:val="000000"/>
              </w:rPr>
            </w:pPr>
            <w:r w:rsidRPr="006B7CC3">
              <w:rPr>
                <w:color w:val="000000"/>
              </w:rPr>
              <w:t>[95% conf.</w:t>
            </w:r>
          </w:p>
        </w:tc>
        <w:tc>
          <w:tcPr>
            <w:tcW w:w="1194" w:type="dxa"/>
            <w:tcBorders>
              <w:top w:val="nil"/>
              <w:bottom w:val="single" w:sz="4" w:space="0" w:color="auto"/>
            </w:tcBorders>
            <w:noWrap/>
            <w:vAlign w:val="bottom"/>
            <w:hideMark/>
          </w:tcPr>
          <w:p w14:paraId="16B629F5" w14:textId="77777777" w:rsidR="0080789B" w:rsidRPr="006B7CC3" w:rsidRDefault="0080789B" w:rsidP="0040195A">
            <w:pPr>
              <w:jc w:val="both"/>
              <w:rPr>
                <w:color w:val="000000"/>
              </w:rPr>
            </w:pPr>
            <w:r w:rsidRPr="006B7CC3">
              <w:rPr>
                <w:color w:val="000000"/>
              </w:rPr>
              <w:t>interval]</w:t>
            </w:r>
          </w:p>
        </w:tc>
      </w:tr>
      <w:tr w:rsidR="0080789B" w:rsidRPr="006B7CC3" w14:paraId="581FE9C6" w14:textId="77777777" w:rsidTr="0040195A">
        <w:trPr>
          <w:trHeight w:val="316"/>
        </w:trPr>
        <w:tc>
          <w:tcPr>
            <w:tcW w:w="1524" w:type="dxa"/>
            <w:tcBorders>
              <w:top w:val="single" w:sz="4" w:space="0" w:color="auto"/>
              <w:right w:val="single" w:sz="4" w:space="0" w:color="auto"/>
            </w:tcBorders>
            <w:noWrap/>
            <w:vAlign w:val="bottom"/>
            <w:hideMark/>
          </w:tcPr>
          <w:p w14:paraId="3B282733" w14:textId="77777777" w:rsidR="0080789B" w:rsidRPr="006B7CC3" w:rsidRDefault="0080789B" w:rsidP="0040195A">
            <w:pPr>
              <w:jc w:val="both"/>
              <w:rPr>
                <w:color w:val="000000"/>
              </w:rPr>
            </w:pPr>
            <w:r w:rsidRPr="006B7CC3">
              <w:rPr>
                <w:color w:val="000000"/>
              </w:rPr>
              <w:t>Outcome</w:t>
            </w:r>
          </w:p>
        </w:tc>
        <w:tc>
          <w:tcPr>
            <w:tcW w:w="1194" w:type="dxa"/>
            <w:tcBorders>
              <w:top w:val="single" w:sz="4" w:space="0" w:color="auto"/>
              <w:left w:val="single" w:sz="4" w:space="0" w:color="auto"/>
            </w:tcBorders>
            <w:noWrap/>
            <w:vAlign w:val="bottom"/>
            <w:hideMark/>
          </w:tcPr>
          <w:p w14:paraId="0E74A52C" w14:textId="77777777" w:rsidR="0080789B" w:rsidRPr="006B7CC3" w:rsidRDefault="0080789B" w:rsidP="0040195A">
            <w:pPr>
              <w:jc w:val="both"/>
              <w:rPr>
                <w:color w:val="000000"/>
              </w:rPr>
            </w:pPr>
          </w:p>
        </w:tc>
        <w:tc>
          <w:tcPr>
            <w:tcW w:w="1194" w:type="dxa"/>
            <w:tcBorders>
              <w:top w:val="single" w:sz="4" w:space="0" w:color="auto"/>
            </w:tcBorders>
            <w:noWrap/>
            <w:vAlign w:val="bottom"/>
            <w:hideMark/>
          </w:tcPr>
          <w:p w14:paraId="2BF15410" w14:textId="77777777" w:rsidR="0080789B" w:rsidRPr="006B7CC3" w:rsidRDefault="0080789B" w:rsidP="0040195A">
            <w:pPr>
              <w:jc w:val="both"/>
            </w:pPr>
          </w:p>
        </w:tc>
        <w:tc>
          <w:tcPr>
            <w:tcW w:w="1087" w:type="dxa"/>
            <w:tcBorders>
              <w:top w:val="single" w:sz="4" w:space="0" w:color="auto"/>
            </w:tcBorders>
            <w:noWrap/>
            <w:vAlign w:val="bottom"/>
            <w:hideMark/>
          </w:tcPr>
          <w:p w14:paraId="6432C3CD" w14:textId="77777777" w:rsidR="0080789B" w:rsidRPr="006B7CC3" w:rsidRDefault="0080789B" w:rsidP="0040195A">
            <w:pPr>
              <w:jc w:val="both"/>
            </w:pPr>
          </w:p>
        </w:tc>
        <w:tc>
          <w:tcPr>
            <w:tcW w:w="1087" w:type="dxa"/>
            <w:tcBorders>
              <w:top w:val="single" w:sz="4" w:space="0" w:color="auto"/>
            </w:tcBorders>
            <w:noWrap/>
            <w:vAlign w:val="bottom"/>
            <w:hideMark/>
          </w:tcPr>
          <w:p w14:paraId="0A8E6F16" w14:textId="77777777" w:rsidR="0080789B" w:rsidRPr="006B7CC3" w:rsidRDefault="0080789B" w:rsidP="0040195A">
            <w:pPr>
              <w:jc w:val="both"/>
            </w:pPr>
          </w:p>
        </w:tc>
        <w:tc>
          <w:tcPr>
            <w:tcW w:w="1194" w:type="dxa"/>
            <w:tcBorders>
              <w:top w:val="single" w:sz="4" w:space="0" w:color="auto"/>
            </w:tcBorders>
            <w:noWrap/>
            <w:vAlign w:val="bottom"/>
            <w:hideMark/>
          </w:tcPr>
          <w:p w14:paraId="154849C7" w14:textId="77777777" w:rsidR="0080789B" w:rsidRPr="006B7CC3" w:rsidRDefault="0080789B" w:rsidP="0040195A">
            <w:pPr>
              <w:jc w:val="both"/>
            </w:pPr>
          </w:p>
        </w:tc>
        <w:tc>
          <w:tcPr>
            <w:tcW w:w="1194" w:type="dxa"/>
            <w:tcBorders>
              <w:top w:val="single" w:sz="4" w:space="0" w:color="auto"/>
            </w:tcBorders>
            <w:noWrap/>
            <w:vAlign w:val="bottom"/>
            <w:hideMark/>
          </w:tcPr>
          <w:p w14:paraId="11432645" w14:textId="77777777" w:rsidR="0080789B" w:rsidRPr="006B7CC3" w:rsidRDefault="0080789B" w:rsidP="0040195A">
            <w:pPr>
              <w:jc w:val="both"/>
            </w:pPr>
          </w:p>
        </w:tc>
      </w:tr>
      <w:tr w:rsidR="0080789B" w:rsidRPr="006B7CC3" w14:paraId="3990B17E" w14:textId="77777777" w:rsidTr="0040195A">
        <w:trPr>
          <w:trHeight w:val="316"/>
        </w:trPr>
        <w:tc>
          <w:tcPr>
            <w:tcW w:w="1524" w:type="dxa"/>
            <w:tcBorders>
              <w:right w:val="single" w:sz="4" w:space="0" w:color="auto"/>
            </w:tcBorders>
            <w:noWrap/>
            <w:vAlign w:val="bottom"/>
            <w:hideMark/>
          </w:tcPr>
          <w:p w14:paraId="5B58406C" w14:textId="77777777" w:rsidR="0080789B" w:rsidRPr="006B7CC3" w:rsidRDefault="0080789B" w:rsidP="0040195A">
            <w:pPr>
              <w:jc w:val="both"/>
              <w:rPr>
                <w:color w:val="000000"/>
              </w:rPr>
            </w:pPr>
            <w:r w:rsidRPr="006B7CC3">
              <w:rPr>
                <w:color w:val="000000"/>
              </w:rPr>
              <w:t>Projects</w:t>
            </w:r>
          </w:p>
        </w:tc>
        <w:tc>
          <w:tcPr>
            <w:tcW w:w="1194" w:type="dxa"/>
            <w:tcBorders>
              <w:left w:val="single" w:sz="4" w:space="0" w:color="auto"/>
            </w:tcBorders>
            <w:noWrap/>
            <w:vAlign w:val="bottom"/>
            <w:hideMark/>
          </w:tcPr>
          <w:p w14:paraId="63AC53DC" w14:textId="77777777" w:rsidR="0080789B" w:rsidRPr="006B7CC3" w:rsidRDefault="0080789B" w:rsidP="0040195A">
            <w:pPr>
              <w:jc w:val="both"/>
              <w:rPr>
                <w:color w:val="000000"/>
              </w:rPr>
            </w:pPr>
            <w:r w:rsidRPr="006B7CC3">
              <w:rPr>
                <w:color w:val="000000"/>
              </w:rPr>
              <w:t>0.258333</w:t>
            </w:r>
          </w:p>
        </w:tc>
        <w:tc>
          <w:tcPr>
            <w:tcW w:w="1194" w:type="dxa"/>
            <w:noWrap/>
            <w:vAlign w:val="bottom"/>
            <w:hideMark/>
          </w:tcPr>
          <w:p w14:paraId="651A1CF3" w14:textId="77777777" w:rsidR="0080789B" w:rsidRPr="006B7CC3" w:rsidRDefault="0080789B" w:rsidP="0040195A">
            <w:pPr>
              <w:jc w:val="both"/>
              <w:rPr>
                <w:color w:val="000000"/>
              </w:rPr>
            </w:pPr>
            <w:r w:rsidRPr="006B7CC3">
              <w:rPr>
                <w:color w:val="000000"/>
              </w:rPr>
              <w:t>0.036684</w:t>
            </w:r>
          </w:p>
        </w:tc>
        <w:tc>
          <w:tcPr>
            <w:tcW w:w="1087" w:type="dxa"/>
            <w:noWrap/>
            <w:vAlign w:val="bottom"/>
            <w:hideMark/>
          </w:tcPr>
          <w:p w14:paraId="35D5840C" w14:textId="77777777" w:rsidR="0080789B" w:rsidRPr="006B7CC3" w:rsidRDefault="0080789B" w:rsidP="0040195A">
            <w:pPr>
              <w:jc w:val="both"/>
              <w:rPr>
                <w:color w:val="000000"/>
              </w:rPr>
            </w:pPr>
            <w:r w:rsidRPr="006B7CC3">
              <w:rPr>
                <w:color w:val="000000"/>
              </w:rPr>
              <w:t>7.04</w:t>
            </w:r>
          </w:p>
        </w:tc>
        <w:tc>
          <w:tcPr>
            <w:tcW w:w="1087" w:type="dxa"/>
            <w:noWrap/>
            <w:vAlign w:val="bottom"/>
            <w:hideMark/>
          </w:tcPr>
          <w:p w14:paraId="5B379E2B" w14:textId="77777777" w:rsidR="0080789B" w:rsidRPr="006B7CC3" w:rsidRDefault="0080789B" w:rsidP="0040195A">
            <w:pPr>
              <w:jc w:val="both"/>
              <w:rPr>
                <w:color w:val="000000"/>
              </w:rPr>
            </w:pPr>
            <w:r w:rsidRPr="006B7CC3">
              <w:rPr>
                <w:color w:val="000000"/>
              </w:rPr>
              <w:t>0.000</w:t>
            </w:r>
          </w:p>
        </w:tc>
        <w:tc>
          <w:tcPr>
            <w:tcW w:w="1194" w:type="dxa"/>
            <w:noWrap/>
            <w:vAlign w:val="bottom"/>
            <w:hideMark/>
          </w:tcPr>
          <w:p w14:paraId="7FBBC157" w14:textId="77777777" w:rsidR="0080789B" w:rsidRPr="006B7CC3" w:rsidRDefault="0080789B" w:rsidP="0040195A">
            <w:pPr>
              <w:jc w:val="both"/>
              <w:rPr>
                <w:color w:val="000000"/>
              </w:rPr>
            </w:pPr>
            <w:r w:rsidRPr="006B7CC3">
              <w:rPr>
                <w:color w:val="000000"/>
              </w:rPr>
              <w:t>0.186434</w:t>
            </w:r>
          </w:p>
        </w:tc>
        <w:tc>
          <w:tcPr>
            <w:tcW w:w="1194" w:type="dxa"/>
            <w:noWrap/>
            <w:vAlign w:val="bottom"/>
            <w:hideMark/>
          </w:tcPr>
          <w:p w14:paraId="60F5321F" w14:textId="77777777" w:rsidR="0080789B" w:rsidRPr="006B7CC3" w:rsidRDefault="0080789B" w:rsidP="0040195A">
            <w:pPr>
              <w:jc w:val="both"/>
              <w:rPr>
                <w:color w:val="000000"/>
              </w:rPr>
            </w:pPr>
            <w:r w:rsidRPr="006B7CC3">
              <w:rPr>
                <w:color w:val="000000"/>
              </w:rPr>
              <w:t>0.330232</w:t>
            </w:r>
          </w:p>
        </w:tc>
      </w:tr>
      <w:tr w:rsidR="0080789B" w:rsidRPr="006B7CC3" w14:paraId="11C7DA0B" w14:textId="77777777" w:rsidTr="0040195A">
        <w:trPr>
          <w:trHeight w:val="316"/>
        </w:trPr>
        <w:tc>
          <w:tcPr>
            <w:tcW w:w="1524" w:type="dxa"/>
            <w:tcBorders>
              <w:right w:val="single" w:sz="4" w:space="0" w:color="auto"/>
            </w:tcBorders>
            <w:noWrap/>
            <w:vAlign w:val="bottom"/>
            <w:hideMark/>
          </w:tcPr>
          <w:p w14:paraId="7EF60DA1" w14:textId="77777777" w:rsidR="0080789B" w:rsidRPr="006B7CC3" w:rsidRDefault="0080789B" w:rsidP="0040195A">
            <w:pPr>
              <w:jc w:val="both"/>
              <w:rPr>
                <w:color w:val="000000"/>
              </w:rPr>
            </w:pPr>
            <w:r w:rsidRPr="006B7CC3">
              <w:rPr>
                <w:color w:val="000000"/>
              </w:rPr>
              <w:t>Face to face</w:t>
            </w:r>
          </w:p>
        </w:tc>
        <w:tc>
          <w:tcPr>
            <w:tcW w:w="1194" w:type="dxa"/>
            <w:tcBorders>
              <w:left w:val="single" w:sz="4" w:space="0" w:color="auto"/>
            </w:tcBorders>
            <w:noWrap/>
            <w:vAlign w:val="bottom"/>
            <w:hideMark/>
          </w:tcPr>
          <w:p w14:paraId="4075D80B" w14:textId="77777777" w:rsidR="0080789B" w:rsidRPr="006B7CC3" w:rsidRDefault="0080789B" w:rsidP="0040195A">
            <w:pPr>
              <w:jc w:val="both"/>
              <w:rPr>
                <w:color w:val="000000"/>
              </w:rPr>
            </w:pPr>
            <w:r w:rsidRPr="006B7CC3">
              <w:rPr>
                <w:color w:val="000000"/>
              </w:rPr>
              <w:t>0.4</w:t>
            </w:r>
          </w:p>
        </w:tc>
        <w:tc>
          <w:tcPr>
            <w:tcW w:w="1194" w:type="dxa"/>
            <w:noWrap/>
            <w:vAlign w:val="bottom"/>
            <w:hideMark/>
          </w:tcPr>
          <w:p w14:paraId="03EDEFE6" w14:textId="77777777" w:rsidR="0080789B" w:rsidRPr="006B7CC3" w:rsidRDefault="0080789B" w:rsidP="0040195A">
            <w:pPr>
              <w:jc w:val="both"/>
              <w:rPr>
                <w:color w:val="000000"/>
              </w:rPr>
            </w:pPr>
            <w:r w:rsidRPr="006B7CC3">
              <w:rPr>
                <w:color w:val="000000"/>
              </w:rPr>
              <w:t>0.039967</w:t>
            </w:r>
          </w:p>
        </w:tc>
        <w:tc>
          <w:tcPr>
            <w:tcW w:w="1087" w:type="dxa"/>
            <w:noWrap/>
            <w:vAlign w:val="bottom"/>
            <w:hideMark/>
          </w:tcPr>
          <w:p w14:paraId="5A18EC1F" w14:textId="77777777" w:rsidR="0080789B" w:rsidRPr="006B7CC3" w:rsidRDefault="0080789B" w:rsidP="0040195A">
            <w:pPr>
              <w:jc w:val="both"/>
              <w:rPr>
                <w:color w:val="000000"/>
              </w:rPr>
            </w:pPr>
            <w:r w:rsidRPr="006B7CC3">
              <w:rPr>
                <w:color w:val="000000"/>
              </w:rPr>
              <w:t>10.01</w:t>
            </w:r>
          </w:p>
        </w:tc>
        <w:tc>
          <w:tcPr>
            <w:tcW w:w="1087" w:type="dxa"/>
            <w:noWrap/>
            <w:vAlign w:val="bottom"/>
            <w:hideMark/>
          </w:tcPr>
          <w:p w14:paraId="0927497E" w14:textId="77777777" w:rsidR="0080789B" w:rsidRPr="006B7CC3" w:rsidRDefault="0080789B" w:rsidP="0040195A">
            <w:pPr>
              <w:jc w:val="both"/>
              <w:rPr>
                <w:color w:val="000000"/>
              </w:rPr>
            </w:pPr>
            <w:r w:rsidRPr="006B7CC3">
              <w:rPr>
                <w:color w:val="000000"/>
              </w:rPr>
              <w:t>0.000</w:t>
            </w:r>
          </w:p>
        </w:tc>
        <w:tc>
          <w:tcPr>
            <w:tcW w:w="1194" w:type="dxa"/>
            <w:noWrap/>
            <w:vAlign w:val="bottom"/>
            <w:hideMark/>
          </w:tcPr>
          <w:p w14:paraId="433B0D49" w14:textId="77777777" w:rsidR="0080789B" w:rsidRPr="006B7CC3" w:rsidRDefault="0080789B" w:rsidP="0040195A">
            <w:pPr>
              <w:jc w:val="both"/>
              <w:rPr>
                <w:color w:val="000000"/>
              </w:rPr>
            </w:pPr>
            <w:r w:rsidRPr="006B7CC3">
              <w:rPr>
                <w:color w:val="000000"/>
              </w:rPr>
              <w:t>0.321667</w:t>
            </w:r>
          </w:p>
        </w:tc>
        <w:tc>
          <w:tcPr>
            <w:tcW w:w="1194" w:type="dxa"/>
            <w:noWrap/>
            <w:vAlign w:val="bottom"/>
            <w:hideMark/>
          </w:tcPr>
          <w:p w14:paraId="4B79914B" w14:textId="77777777" w:rsidR="0080789B" w:rsidRPr="006B7CC3" w:rsidRDefault="0080789B" w:rsidP="0040195A">
            <w:pPr>
              <w:jc w:val="both"/>
              <w:rPr>
                <w:color w:val="000000"/>
              </w:rPr>
            </w:pPr>
            <w:r w:rsidRPr="006B7CC3">
              <w:rPr>
                <w:color w:val="000000"/>
              </w:rPr>
              <w:t>0.478333</w:t>
            </w:r>
          </w:p>
        </w:tc>
      </w:tr>
      <w:tr w:rsidR="0080789B" w:rsidRPr="006B7CC3" w14:paraId="6218A919" w14:textId="77777777" w:rsidTr="0040195A">
        <w:trPr>
          <w:trHeight w:val="316"/>
        </w:trPr>
        <w:tc>
          <w:tcPr>
            <w:tcW w:w="1524" w:type="dxa"/>
            <w:tcBorders>
              <w:right w:val="single" w:sz="4" w:space="0" w:color="auto"/>
            </w:tcBorders>
            <w:noWrap/>
            <w:vAlign w:val="bottom"/>
            <w:hideMark/>
          </w:tcPr>
          <w:p w14:paraId="3B048BC6" w14:textId="77777777" w:rsidR="0080789B" w:rsidRPr="006B7CC3" w:rsidRDefault="0080789B" w:rsidP="0040195A">
            <w:pPr>
              <w:jc w:val="both"/>
              <w:rPr>
                <w:color w:val="000000"/>
              </w:rPr>
            </w:pPr>
            <w:r w:rsidRPr="006B7CC3">
              <w:rPr>
                <w:color w:val="000000"/>
              </w:rPr>
              <w:t>Blended</w:t>
            </w:r>
          </w:p>
        </w:tc>
        <w:tc>
          <w:tcPr>
            <w:tcW w:w="1194" w:type="dxa"/>
            <w:tcBorders>
              <w:left w:val="single" w:sz="4" w:space="0" w:color="auto"/>
            </w:tcBorders>
            <w:noWrap/>
            <w:vAlign w:val="bottom"/>
            <w:hideMark/>
          </w:tcPr>
          <w:p w14:paraId="3872F21D" w14:textId="77777777" w:rsidR="0080789B" w:rsidRPr="006B7CC3" w:rsidRDefault="0080789B" w:rsidP="0040195A">
            <w:pPr>
              <w:jc w:val="both"/>
              <w:rPr>
                <w:color w:val="000000"/>
              </w:rPr>
            </w:pPr>
            <w:r w:rsidRPr="006B7CC3">
              <w:rPr>
                <w:color w:val="000000"/>
              </w:rPr>
              <w:t>0.083333</w:t>
            </w:r>
          </w:p>
        </w:tc>
        <w:tc>
          <w:tcPr>
            <w:tcW w:w="1194" w:type="dxa"/>
            <w:noWrap/>
            <w:vAlign w:val="bottom"/>
            <w:hideMark/>
          </w:tcPr>
          <w:p w14:paraId="2CBF0B71" w14:textId="77777777" w:rsidR="0080789B" w:rsidRPr="006B7CC3" w:rsidRDefault="0080789B" w:rsidP="0040195A">
            <w:pPr>
              <w:jc w:val="both"/>
              <w:rPr>
                <w:color w:val="000000"/>
              </w:rPr>
            </w:pPr>
            <w:r w:rsidRPr="006B7CC3">
              <w:rPr>
                <w:color w:val="000000"/>
              </w:rPr>
              <w:t>0.024768</w:t>
            </w:r>
          </w:p>
        </w:tc>
        <w:tc>
          <w:tcPr>
            <w:tcW w:w="1087" w:type="dxa"/>
            <w:noWrap/>
            <w:vAlign w:val="bottom"/>
            <w:hideMark/>
          </w:tcPr>
          <w:p w14:paraId="3826BDC6" w14:textId="77777777" w:rsidR="0080789B" w:rsidRPr="006B7CC3" w:rsidRDefault="0080789B" w:rsidP="0040195A">
            <w:pPr>
              <w:jc w:val="both"/>
              <w:rPr>
                <w:color w:val="000000"/>
              </w:rPr>
            </w:pPr>
            <w:r w:rsidRPr="006B7CC3">
              <w:rPr>
                <w:color w:val="000000"/>
              </w:rPr>
              <w:t>3.36</w:t>
            </w:r>
          </w:p>
        </w:tc>
        <w:tc>
          <w:tcPr>
            <w:tcW w:w="1087" w:type="dxa"/>
            <w:noWrap/>
            <w:vAlign w:val="bottom"/>
            <w:hideMark/>
          </w:tcPr>
          <w:p w14:paraId="414B38F6" w14:textId="77777777" w:rsidR="0080789B" w:rsidRPr="006B7CC3" w:rsidRDefault="0080789B" w:rsidP="0040195A">
            <w:pPr>
              <w:jc w:val="both"/>
              <w:rPr>
                <w:color w:val="000000"/>
              </w:rPr>
            </w:pPr>
            <w:r w:rsidRPr="006B7CC3">
              <w:rPr>
                <w:color w:val="000000"/>
              </w:rPr>
              <w:t>0.001</w:t>
            </w:r>
          </w:p>
        </w:tc>
        <w:tc>
          <w:tcPr>
            <w:tcW w:w="1194" w:type="dxa"/>
            <w:noWrap/>
            <w:vAlign w:val="bottom"/>
            <w:hideMark/>
          </w:tcPr>
          <w:p w14:paraId="7DD4FBA5" w14:textId="77777777" w:rsidR="0080789B" w:rsidRPr="006B7CC3" w:rsidRDefault="0080789B" w:rsidP="0040195A">
            <w:pPr>
              <w:jc w:val="both"/>
              <w:rPr>
                <w:color w:val="000000"/>
              </w:rPr>
            </w:pPr>
            <w:r w:rsidRPr="006B7CC3">
              <w:rPr>
                <w:color w:val="000000"/>
              </w:rPr>
              <w:t>0.03479</w:t>
            </w:r>
          </w:p>
        </w:tc>
        <w:tc>
          <w:tcPr>
            <w:tcW w:w="1194" w:type="dxa"/>
            <w:noWrap/>
            <w:vAlign w:val="bottom"/>
            <w:hideMark/>
          </w:tcPr>
          <w:p w14:paraId="6EC6F7AD" w14:textId="77777777" w:rsidR="0080789B" w:rsidRPr="006B7CC3" w:rsidRDefault="0080789B" w:rsidP="0040195A">
            <w:pPr>
              <w:jc w:val="both"/>
              <w:rPr>
                <w:color w:val="000000"/>
              </w:rPr>
            </w:pPr>
            <w:r w:rsidRPr="006B7CC3">
              <w:rPr>
                <w:color w:val="000000"/>
              </w:rPr>
              <w:t>0.131877</w:t>
            </w:r>
          </w:p>
        </w:tc>
      </w:tr>
      <w:tr w:rsidR="0080789B" w:rsidRPr="006B7CC3" w14:paraId="0D00AAC5" w14:textId="77777777" w:rsidTr="0040195A">
        <w:trPr>
          <w:trHeight w:val="316"/>
        </w:trPr>
        <w:tc>
          <w:tcPr>
            <w:tcW w:w="1524" w:type="dxa"/>
            <w:tcBorders>
              <w:bottom w:val="single" w:sz="4" w:space="0" w:color="auto"/>
              <w:right w:val="single" w:sz="4" w:space="0" w:color="auto"/>
            </w:tcBorders>
            <w:noWrap/>
            <w:vAlign w:val="bottom"/>
            <w:hideMark/>
          </w:tcPr>
          <w:p w14:paraId="671C0AA8" w14:textId="77777777" w:rsidR="0080789B" w:rsidRPr="006B7CC3" w:rsidRDefault="0080789B" w:rsidP="0040195A">
            <w:pPr>
              <w:jc w:val="both"/>
              <w:rPr>
                <w:color w:val="000000"/>
              </w:rPr>
            </w:pPr>
            <w:r w:rsidRPr="006B7CC3">
              <w:rPr>
                <w:color w:val="000000"/>
              </w:rPr>
              <w:t>Online</w:t>
            </w:r>
          </w:p>
        </w:tc>
        <w:tc>
          <w:tcPr>
            <w:tcW w:w="1194" w:type="dxa"/>
            <w:tcBorders>
              <w:left w:val="single" w:sz="4" w:space="0" w:color="auto"/>
            </w:tcBorders>
            <w:noWrap/>
            <w:vAlign w:val="bottom"/>
            <w:hideMark/>
          </w:tcPr>
          <w:p w14:paraId="39D1C26C" w14:textId="77777777" w:rsidR="0080789B" w:rsidRPr="006B7CC3" w:rsidRDefault="0080789B" w:rsidP="0040195A">
            <w:pPr>
              <w:jc w:val="both"/>
              <w:rPr>
                <w:color w:val="000000"/>
              </w:rPr>
            </w:pPr>
            <w:r w:rsidRPr="006B7CC3">
              <w:rPr>
                <w:color w:val="000000"/>
              </w:rPr>
              <w:t>0.258333</w:t>
            </w:r>
          </w:p>
        </w:tc>
        <w:tc>
          <w:tcPr>
            <w:tcW w:w="1194" w:type="dxa"/>
            <w:noWrap/>
            <w:vAlign w:val="bottom"/>
            <w:hideMark/>
          </w:tcPr>
          <w:p w14:paraId="3F1C7895" w14:textId="77777777" w:rsidR="0080789B" w:rsidRPr="006B7CC3" w:rsidRDefault="0080789B" w:rsidP="0040195A">
            <w:pPr>
              <w:jc w:val="both"/>
              <w:rPr>
                <w:color w:val="000000"/>
              </w:rPr>
            </w:pPr>
            <w:r w:rsidRPr="006B7CC3">
              <w:rPr>
                <w:color w:val="000000"/>
              </w:rPr>
              <w:t>0.03555</w:t>
            </w:r>
          </w:p>
        </w:tc>
        <w:tc>
          <w:tcPr>
            <w:tcW w:w="1087" w:type="dxa"/>
            <w:noWrap/>
            <w:vAlign w:val="bottom"/>
            <w:hideMark/>
          </w:tcPr>
          <w:p w14:paraId="424AD3AE" w14:textId="77777777" w:rsidR="0080789B" w:rsidRPr="006B7CC3" w:rsidRDefault="0080789B" w:rsidP="0040195A">
            <w:pPr>
              <w:jc w:val="both"/>
              <w:rPr>
                <w:color w:val="000000"/>
              </w:rPr>
            </w:pPr>
            <w:r w:rsidRPr="006B7CC3">
              <w:rPr>
                <w:color w:val="000000"/>
              </w:rPr>
              <w:t>7.27</w:t>
            </w:r>
          </w:p>
        </w:tc>
        <w:tc>
          <w:tcPr>
            <w:tcW w:w="1087" w:type="dxa"/>
            <w:noWrap/>
            <w:vAlign w:val="bottom"/>
            <w:hideMark/>
          </w:tcPr>
          <w:p w14:paraId="4BA79519" w14:textId="77777777" w:rsidR="0080789B" w:rsidRPr="006B7CC3" w:rsidRDefault="0080789B" w:rsidP="0040195A">
            <w:pPr>
              <w:jc w:val="both"/>
              <w:rPr>
                <w:color w:val="000000"/>
              </w:rPr>
            </w:pPr>
            <w:r w:rsidRPr="006B7CC3">
              <w:rPr>
                <w:color w:val="000000"/>
              </w:rPr>
              <w:t>0.000</w:t>
            </w:r>
          </w:p>
        </w:tc>
        <w:tc>
          <w:tcPr>
            <w:tcW w:w="1194" w:type="dxa"/>
            <w:noWrap/>
            <w:vAlign w:val="bottom"/>
            <w:hideMark/>
          </w:tcPr>
          <w:p w14:paraId="770FC695" w14:textId="77777777" w:rsidR="0080789B" w:rsidRPr="006B7CC3" w:rsidRDefault="0080789B" w:rsidP="0040195A">
            <w:pPr>
              <w:jc w:val="both"/>
              <w:rPr>
                <w:color w:val="000000"/>
              </w:rPr>
            </w:pPr>
            <w:r w:rsidRPr="006B7CC3">
              <w:rPr>
                <w:color w:val="000000"/>
              </w:rPr>
              <w:t>0.188656</w:t>
            </w:r>
          </w:p>
        </w:tc>
        <w:tc>
          <w:tcPr>
            <w:tcW w:w="1194" w:type="dxa"/>
            <w:noWrap/>
            <w:vAlign w:val="bottom"/>
            <w:hideMark/>
          </w:tcPr>
          <w:p w14:paraId="33422E8D" w14:textId="77777777" w:rsidR="0080789B" w:rsidRPr="006B7CC3" w:rsidRDefault="0080789B" w:rsidP="0040195A">
            <w:pPr>
              <w:jc w:val="both"/>
              <w:rPr>
                <w:color w:val="000000"/>
              </w:rPr>
            </w:pPr>
            <w:r w:rsidRPr="006B7CC3">
              <w:rPr>
                <w:color w:val="000000"/>
              </w:rPr>
              <w:t>0.328011</w:t>
            </w:r>
          </w:p>
        </w:tc>
      </w:tr>
    </w:tbl>
    <w:p w14:paraId="6DA40F58" w14:textId="77777777" w:rsidR="0080789B" w:rsidRPr="00A21762" w:rsidRDefault="0080789B" w:rsidP="0080789B">
      <w:pPr>
        <w:jc w:val="both"/>
      </w:pPr>
    </w:p>
    <w:p w14:paraId="49EDA39F" w14:textId="77777777" w:rsidR="0080789B" w:rsidRDefault="0080789B" w:rsidP="0080789B">
      <w:pPr>
        <w:jc w:val="both"/>
      </w:pPr>
      <w:r w:rsidRPr="00A21762">
        <w:t xml:space="preserve">Based on this model and a random sample of TVET institutions in Uganda, we expect 26% of TVET institutions to apply project-based learning, 40% to train </w:t>
      </w:r>
      <w:r>
        <w:t>face-to-face</w:t>
      </w:r>
      <w:r w:rsidRPr="00A21762">
        <w:t xml:space="preserve">, 8% to employ blended and 25% to apply online teaching and learning.  </w:t>
      </w:r>
      <w:r>
        <w:t>As seen in the Figure below, b</w:t>
      </w:r>
      <w:r w:rsidRPr="00BD173E">
        <w:t>lended learning combines face-to-face and online teaching methods. It is increasingly adopted in TVET institutions to enhance educational quality and accessibility, especially post-COVID-19. Challenges include the need for technological infrastructure and training for both students and lecturers</w:t>
      </w:r>
      <w:r>
        <w:t>. Secondly, the f</w:t>
      </w:r>
      <w:r w:rsidRPr="00BD173E">
        <w:t>ace-to-</w:t>
      </w:r>
      <w:r>
        <w:t>f</w:t>
      </w:r>
      <w:r w:rsidRPr="00BD173E">
        <w:t xml:space="preserve">ace </w:t>
      </w:r>
      <w:r>
        <w:t>learning method</w:t>
      </w:r>
      <w:r w:rsidRPr="00BD173E">
        <w:t xml:space="preserve"> remains prevalent due to its effectiveness in engaging students and facilitating practical skills training, which is crucial in TVET settings. It is often preferred over online methods due to better interaction and engagement</w:t>
      </w:r>
      <w:r>
        <w:t xml:space="preserve">. </w:t>
      </w:r>
      <w:r w:rsidRPr="00BD173E">
        <w:t>Online learning has gained traction, especially during the pandemic, but faces challenges such as connectivity issues and the need for digital literacy among educators and students. It is less favoured for practical skills training due to the lack of hands-on experience</w:t>
      </w:r>
      <w:r>
        <w:t xml:space="preserve">. </w:t>
      </w:r>
    </w:p>
    <w:p w14:paraId="3CAADFF5" w14:textId="77777777" w:rsidR="0080789B" w:rsidRPr="00A21762" w:rsidRDefault="0080789B" w:rsidP="0080789B">
      <w:pPr>
        <w:jc w:val="both"/>
      </w:pPr>
      <w:r w:rsidRPr="00A21762">
        <w:rPr>
          <w:noProof/>
        </w:rPr>
        <w:drawing>
          <wp:inline distT="0" distB="0" distL="0" distR="0" wp14:anchorId="5E8E960A" wp14:editId="1F1ED4A0">
            <wp:extent cx="5731510" cy="3439160"/>
            <wp:effectExtent l="0" t="0" r="2540" b="8890"/>
            <wp:docPr id="15315512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025E81A4" w14:textId="77777777" w:rsidR="0080789B" w:rsidRDefault="0080789B" w:rsidP="0080789B">
      <w:bookmarkStart w:id="1" w:name="_GoBack"/>
      <w:r>
        <w:t>Fig</w:t>
      </w:r>
      <w:bookmarkEnd w:id="1"/>
      <w:r>
        <w:t>ure 1: Predictive marginal plot with 95% CIs</w:t>
      </w:r>
    </w:p>
    <w:p w14:paraId="7EA01690" w14:textId="77777777" w:rsidR="0080789B" w:rsidRDefault="0080789B" w:rsidP="0080789B"/>
    <w:p w14:paraId="4561629C" w14:textId="77777777" w:rsidR="00F73A92" w:rsidRPr="00F73A92" w:rsidRDefault="00F73A92" w:rsidP="00F73A92">
      <w:pPr>
        <w:pStyle w:val="Body"/>
        <w:spacing w:after="0"/>
        <w:rPr>
          <w:rFonts w:ascii="Arial" w:hAnsi="Arial" w:cs="Arial"/>
        </w:rPr>
      </w:pPr>
      <w:r w:rsidRPr="00F73A92">
        <w:rPr>
          <w:rFonts w:ascii="Arial" w:hAnsi="Arial" w:cs="Arial"/>
        </w:rPr>
        <w:t>According to the margins plot, among the alternatives for the TVET teaching modes, face-to-face learning has the highest probability of being chosen (around 0.40), while blended learning has the lowest (around 0.09). Projects and online learning fall in between, both with similar probabilities (around 0.25–0.27). The error bars indicate some overlap between projects and online, but face-to-face clearly stands out as the most preferred mode, and blended is the least favored.</w:t>
      </w:r>
    </w:p>
    <w:p w14:paraId="343EFFF7" w14:textId="77777777" w:rsidR="00790ADA" w:rsidRPr="00FB3A86" w:rsidRDefault="00790ADA" w:rsidP="00441B6F">
      <w:pPr>
        <w:pStyle w:val="Body"/>
        <w:spacing w:after="0"/>
        <w:rPr>
          <w:rFonts w:ascii="Arial" w:hAnsi="Arial" w:cs="Arial"/>
        </w:rPr>
      </w:pPr>
    </w:p>
    <w:p w14:paraId="6FEE88A9"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2CFDA4BF" w14:textId="77777777" w:rsidR="00790ADA" w:rsidRPr="00FB3A86" w:rsidRDefault="00790ADA" w:rsidP="00441B6F">
      <w:pPr>
        <w:pStyle w:val="ConcHead"/>
        <w:spacing w:after="0"/>
        <w:jc w:val="both"/>
        <w:rPr>
          <w:rFonts w:ascii="Arial" w:hAnsi="Arial" w:cs="Arial"/>
        </w:rPr>
      </w:pPr>
    </w:p>
    <w:p w14:paraId="36724DA4" w14:textId="77777777" w:rsidR="0080789B" w:rsidRPr="0006218D" w:rsidRDefault="0080789B" w:rsidP="0080789B">
      <w:pPr>
        <w:jc w:val="both"/>
      </w:pPr>
      <w:r w:rsidRPr="0006218D">
        <w:t>Online TVET instructors consistently reported higher scores in assessment and evaluation competence compared to non-online instructors. They use various platforms for assignments, but many are not fully prepared for online teaching. A study in Sub-Saharan Africa found that 75.1% of TVET trainers were not ready to teach online, despite a third having a positive perception and half being competent in teaching skills-based courses online. This highlights the need for targeted training and support.</w:t>
      </w:r>
      <w:r>
        <w:t xml:space="preserve"> </w:t>
      </w:r>
      <w:r w:rsidRPr="0006218D">
        <w:t>The study reveal</w:t>
      </w:r>
      <w:r>
        <w:t>ed</w:t>
      </w:r>
      <w:r w:rsidRPr="0006218D">
        <w:t xml:space="preserve"> a significant gap in the accuracy of online assessments in measuring student understanding. Online-savvy instructors score significantly higher than non-teaching instructors, indicating their stronger assessment skills. However, TVET assessments face unique challenges due to the practical nature of TVET subjects, requiring the development of technical, cognitive, and affective skills.</w:t>
      </w:r>
    </w:p>
    <w:p w14:paraId="5A194CA4" w14:textId="77777777" w:rsidR="0080789B" w:rsidRPr="0006218D" w:rsidRDefault="0080789B" w:rsidP="0080789B">
      <w:pPr>
        <w:jc w:val="both"/>
      </w:pPr>
      <w:r w:rsidRPr="0006218D">
        <w:t>The study reveals a significant gap in the use of diverse digital tools for assessment and evaluation, with online-savvy instructors using a broader range of techniques. In Africa, Learning Management Systems (LMS) have been effective in fostering student engagement, with 90% of academics agreeing. This highlights the need for instructional designers to support academics in selecting appropriate engagement tools.</w:t>
      </w:r>
      <w:r>
        <w:t xml:space="preserve"> </w:t>
      </w:r>
      <w:r w:rsidRPr="0006218D">
        <w:t>The study found that online instructors perceive stronger safeguards for academic integrity in online assessments. Online-savvy instructors support fairness and integrity in assessments. Previous studies have shown that well-prepared online assessments can deter cheating and ensure honest participation. TVET instructors need to be competent to handle robust systems and implement tools like the Invigilator Application to reduce dishonest behavior.</w:t>
      </w:r>
    </w:p>
    <w:p w14:paraId="179E1509" w14:textId="77777777" w:rsidR="0080789B" w:rsidRPr="0006218D" w:rsidRDefault="0080789B" w:rsidP="0080789B">
      <w:pPr>
        <w:jc w:val="both"/>
      </w:pPr>
      <w:r w:rsidRPr="0006218D">
        <w:t>The study found that online instructors offer more flexible assessment formats, offering diverse options for students to demonstrate their learning. Online assessments include peer, teacher, automated, and self-assessment, each with unique benefits and challenges. Interactive tools like Quizizz, Socrative, Google Forms, and Kahoot enhance engagement and learning outcomes. However, careful selection and planning are necessary to address specific educational needs and challenges.</w:t>
      </w:r>
    </w:p>
    <w:p w14:paraId="2699AB80" w14:textId="77777777" w:rsidR="0080789B" w:rsidRPr="0006218D" w:rsidRDefault="0080789B" w:rsidP="0080789B">
      <w:pPr>
        <w:jc w:val="both"/>
      </w:pPr>
      <w:r w:rsidRPr="0006218D">
        <w:t>The choice model show</w:t>
      </w:r>
      <w:r>
        <w:t>ed</w:t>
      </w:r>
      <w:r w:rsidRPr="0006218D">
        <w:t xml:space="preserve"> a negative coefficient for online assessment and evaluations, suggesting a decrease in the probability of choosing a teaching mode as instructor competence increases. Factors such as perceived effectiveness and quality of online teaching methods, student satisfaction, and experience influence effectiveness. Studies suggest blended and hybrid models in TVET are the most effective, as blended teaching modes combine online and traditional methods, leading instructors with higher assessment competence to favour these options.</w:t>
      </w:r>
      <w:r>
        <w:t xml:space="preserve">  </w:t>
      </w:r>
      <w:r w:rsidRPr="0006218D">
        <w:t>The study reveal</w:t>
      </w:r>
      <w:r>
        <w:t>ed</w:t>
      </w:r>
      <w:r w:rsidRPr="0006218D">
        <w:t xml:space="preserve"> that as class size increases, TVET trainees are less likely to choose a face-to-face learning model due to congestion. This finding has been criticized by scholars, who argue that larger class sizes negatively affect student grades and outcomes. Despite the potential benefits of online teaching, face-to-face learning is often preferred due to its direct interaction and immediate feedback capabilities.</w:t>
      </w:r>
      <w:r>
        <w:t xml:space="preserve"> </w:t>
      </w:r>
      <w:r w:rsidRPr="0006218D">
        <w:t xml:space="preserve">TVET institutions' positive growth correlates with the adoption of online teaching methods, as they develop </w:t>
      </w:r>
      <w:r>
        <w:t xml:space="preserve">the </w:t>
      </w:r>
      <w:r w:rsidRPr="0006218D">
        <w:t>necessary ICT infrastructure and resources. As institutions grow, they are more likely to choose online teaching over traditional face-to-face or project-based learning.</w:t>
      </w:r>
    </w:p>
    <w:p w14:paraId="0ED56418" w14:textId="77777777" w:rsidR="00790ADA" w:rsidRPr="00FB3A86" w:rsidRDefault="00790ADA" w:rsidP="00441B6F">
      <w:pPr>
        <w:pStyle w:val="Body"/>
        <w:spacing w:after="0"/>
        <w:rPr>
          <w:rFonts w:ascii="Arial" w:hAnsi="Arial" w:cs="Arial"/>
        </w:rPr>
      </w:pPr>
    </w:p>
    <w:p w14:paraId="6FB4E366" w14:textId="77777777" w:rsidR="002B685A" w:rsidRDefault="002B685A" w:rsidP="00441B6F">
      <w:pPr>
        <w:pStyle w:val="ReferHead"/>
        <w:spacing w:after="0"/>
        <w:jc w:val="both"/>
        <w:rPr>
          <w:rFonts w:ascii="Arial" w:hAnsi="Arial" w:cs="Arial"/>
          <w:b w:val="0"/>
          <w:caps w:val="0"/>
          <w:sz w:val="20"/>
        </w:rPr>
      </w:pPr>
    </w:p>
    <w:p w14:paraId="566163A9" w14:textId="77777777" w:rsidR="004532FD" w:rsidRDefault="004532FD" w:rsidP="00441B6F">
      <w:pPr>
        <w:pStyle w:val="ReferHead"/>
        <w:spacing w:after="0"/>
        <w:jc w:val="both"/>
        <w:rPr>
          <w:rFonts w:ascii="Arial" w:hAnsi="Arial" w:cs="Arial"/>
          <w:bCs/>
        </w:rPr>
      </w:pPr>
      <w:r w:rsidRPr="004532FD">
        <w:rPr>
          <w:rFonts w:ascii="Arial" w:hAnsi="Arial" w:cs="Arial"/>
          <w:bCs/>
        </w:rPr>
        <w:t xml:space="preserve">ETHICAL APPROVAL </w:t>
      </w:r>
    </w:p>
    <w:p w14:paraId="3C0CB6FB" w14:textId="77777777" w:rsidR="004532FD" w:rsidRDefault="004532FD" w:rsidP="00441B6F">
      <w:pPr>
        <w:pStyle w:val="ReferHead"/>
        <w:spacing w:after="0"/>
        <w:jc w:val="both"/>
        <w:rPr>
          <w:rFonts w:ascii="Arial" w:hAnsi="Arial" w:cs="Arial"/>
          <w:b w:val="0"/>
          <w:caps w:val="0"/>
          <w:sz w:val="20"/>
        </w:rPr>
      </w:pPr>
    </w:p>
    <w:p w14:paraId="03D64A2F" w14:textId="01C3B780" w:rsidR="00790ADA" w:rsidRPr="00FB3A86" w:rsidRDefault="004532FD" w:rsidP="00441B6F">
      <w:pPr>
        <w:pStyle w:val="ReferHead"/>
        <w:spacing w:after="0"/>
        <w:jc w:val="both"/>
        <w:rPr>
          <w:rFonts w:ascii="Arial" w:hAnsi="Arial" w:cs="Arial"/>
        </w:rPr>
      </w:pPr>
      <w:r>
        <w:rPr>
          <w:rFonts w:ascii="Arial" w:hAnsi="Arial" w:cs="Arial"/>
          <w:b w:val="0"/>
          <w:caps w:val="0"/>
          <w:sz w:val="20"/>
        </w:rPr>
        <w:t xml:space="preserve">Researcher obtained the permission </w:t>
      </w:r>
      <w:r w:rsidR="0080789B">
        <w:rPr>
          <w:rFonts w:ascii="Arial" w:hAnsi="Arial" w:cs="Arial"/>
          <w:b w:val="0"/>
          <w:caps w:val="0"/>
          <w:sz w:val="20"/>
        </w:rPr>
        <w:t xml:space="preserve">from the </w:t>
      </w:r>
      <w:r w:rsidR="00017503">
        <w:rPr>
          <w:rFonts w:ascii="Arial" w:hAnsi="Arial" w:cs="Arial"/>
          <w:b w:val="0"/>
          <w:caps w:val="0"/>
          <w:sz w:val="20"/>
        </w:rPr>
        <w:t xml:space="preserve">TVET institutions </w:t>
      </w:r>
    </w:p>
    <w:p w14:paraId="292AEB4C" w14:textId="77777777" w:rsidR="00790ADA" w:rsidRDefault="00790ADA" w:rsidP="00441B6F">
      <w:pPr>
        <w:pStyle w:val="Body"/>
        <w:spacing w:after="0"/>
        <w:rPr>
          <w:rFonts w:ascii="Arial" w:hAnsi="Arial" w:cs="Arial"/>
        </w:rPr>
      </w:pPr>
    </w:p>
    <w:p w14:paraId="1C0A544B" w14:textId="77777777" w:rsidR="00D92A89" w:rsidRDefault="00D92A89" w:rsidP="00E12EF1">
      <w:pPr>
        <w:rPr>
          <w:highlight w:val="yellow"/>
        </w:rPr>
      </w:pPr>
    </w:p>
    <w:p w14:paraId="7662A9D9" w14:textId="4DE4B612" w:rsidR="00E12EF1" w:rsidRPr="004532FD" w:rsidRDefault="00E12EF1" w:rsidP="00E12EF1">
      <w:pPr>
        <w:rPr>
          <w:b/>
          <w:highlight w:val="yellow"/>
        </w:rPr>
      </w:pPr>
      <w:r w:rsidRPr="004532FD">
        <w:rPr>
          <w:b/>
          <w:highlight w:val="yellow"/>
        </w:rPr>
        <w:t>Disclaimer (Artificial intelligence)</w:t>
      </w:r>
    </w:p>
    <w:p w14:paraId="421AE9F6" w14:textId="77777777" w:rsidR="00E12EF1" w:rsidRPr="00740879" w:rsidRDefault="00E12EF1" w:rsidP="00E12EF1">
      <w:pPr>
        <w:rPr>
          <w:highlight w:val="yellow"/>
        </w:rPr>
      </w:pPr>
      <w:r w:rsidRPr="00740879">
        <w:rPr>
          <w:highlight w:val="yellow"/>
        </w:rPr>
        <w:t xml:space="preserve">Option 1: </w:t>
      </w:r>
    </w:p>
    <w:p w14:paraId="1D8E4D39" w14:textId="77777777" w:rsidR="00E12EF1" w:rsidRDefault="00E12EF1" w:rsidP="00E12EF1">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5E018F9" w14:textId="77777777" w:rsidR="009D0993" w:rsidRDefault="009D0993" w:rsidP="00E12EF1">
      <w:pPr>
        <w:rPr>
          <w:highlight w:val="yellow"/>
        </w:rPr>
      </w:pPr>
    </w:p>
    <w:p w14:paraId="719E917D" w14:textId="77777777" w:rsidR="009D0993" w:rsidRDefault="009D0993" w:rsidP="00E12EF1">
      <w:pPr>
        <w:rPr>
          <w:highlight w:val="yellow"/>
        </w:rPr>
      </w:pPr>
    </w:p>
    <w:p w14:paraId="20AF6426" w14:textId="77777777" w:rsidR="009D0993" w:rsidRPr="00740879" w:rsidRDefault="009D0993" w:rsidP="00E12EF1">
      <w:pPr>
        <w:rPr>
          <w:highlight w:val="yellow"/>
        </w:rPr>
      </w:pPr>
    </w:p>
    <w:p w14:paraId="15668FC6" w14:textId="77777777" w:rsidR="00017503" w:rsidRDefault="00017503">
      <w:pPr>
        <w:rPr>
          <w:rFonts w:ascii="Arial" w:hAnsi="Arial" w:cs="Arial"/>
          <w:b/>
        </w:rPr>
      </w:pPr>
      <w:r>
        <w:rPr>
          <w:rFonts w:ascii="Arial" w:hAnsi="Arial" w:cs="Arial"/>
          <w:b/>
        </w:rPr>
        <w:br w:type="page"/>
      </w:r>
    </w:p>
    <w:p w14:paraId="6E918EBC" w14:textId="2A3A68E3" w:rsidR="008B459E" w:rsidRPr="006B7CC3" w:rsidRDefault="006B7CC3" w:rsidP="00441B6F">
      <w:pPr>
        <w:pStyle w:val="Body"/>
        <w:spacing w:after="0"/>
        <w:rPr>
          <w:rFonts w:ascii="Arial" w:hAnsi="Arial" w:cs="Arial"/>
          <w:sz w:val="22"/>
          <w:szCs w:val="22"/>
        </w:rPr>
      </w:pPr>
      <w:r w:rsidRPr="006B7CC3">
        <w:rPr>
          <w:rFonts w:ascii="Arial" w:hAnsi="Arial" w:cs="Arial"/>
          <w:b/>
          <w:sz w:val="22"/>
          <w:szCs w:val="22"/>
        </w:rPr>
        <w:lastRenderedPageBreak/>
        <w:t>REFERENCE</w:t>
      </w:r>
      <w:r w:rsidR="001E0751">
        <w:rPr>
          <w:rFonts w:ascii="Arial" w:hAnsi="Arial" w:cs="Arial"/>
          <w:b/>
          <w:sz w:val="22"/>
          <w:szCs w:val="22"/>
        </w:rPr>
        <w:t>S</w:t>
      </w:r>
    </w:p>
    <w:p w14:paraId="408A8650"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696829">
        <w:rPr>
          <w:rFonts w:ascii="Times New Roman" w:hAnsi="Times New Roman" w:cs="Times New Roman"/>
        </w:rPr>
        <w:fldChar w:fldCharType="begin"/>
      </w:r>
      <w:r w:rsidRPr="00696829">
        <w:rPr>
          <w:rFonts w:ascii="Times New Roman" w:hAnsi="Times New Roman" w:cs="Times New Roman"/>
        </w:rPr>
        <w:instrText xml:space="preserve"> ADDIN EN.REFLIST </w:instrText>
      </w:r>
      <w:r w:rsidRPr="00696829">
        <w:rPr>
          <w:rFonts w:ascii="Times New Roman" w:hAnsi="Times New Roman" w:cs="Times New Roman"/>
        </w:rPr>
        <w:fldChar w:fldCharType="separate"/>
      </w:r>
      <w:r w:rsidRPr="00017503">
        <w:rPr>
          <w:rFonts w:ascii="Arial" w:hAnsi="Arial" w:cs="Arial"/>
          <w:sz w:val="20"/>
          <w:szCs w:val="20"/>
        </w:rPr>
        <w:t xml:space="preserve">Adnan, M. (2017). Professional development in the transition to online teaching: The voice of entrant online instructors. </w:t>
      </w:r>
      <w:r w:rsidRPr="00017503">
        <w:rPr>
          <w:rFonts w:ascii="Arial" w:hAnsi="Arial" w:cs="Arial"/>
          <w:i/>
          <w:sz w:val="20"/>
          <w:szCs w:val="20"/>
        </w:rPr>
        <w:t>ReCALL</w:t>
      </w:r>
      <w:r w:rsidRPr="00017503">
        <w:rPr>
          <w:rFonts w:ascii="Arial" w:hAnsi="Arial" w:cs="Arial"/>
          <w:sz w:val="20"/>
          <w:szCs w:val="20"/>
        </w:rPr>
        <w:t>,</w:t>
      </w:r>
      <w:r w:rsidRPr="00017503">
        <w:rPr>
          <w:rFonts w:ascii="Arial" w:hAnsi="Arial" w:cs="Arial"/>
          <w:i/>
          <w:sz w:val="20"/>
          <w:szCs w:val="20"/>
        </w:rPr>
        <w:t xml:space="preserve"> 30</w:t>
      </w:r>
      <w:r w:rsidRPr="00017503">
        <w:rPr>
          <w:rFonts w:ascii="Arial" w:hAnsi="Arial" w:cs="Arial"/>
          <w:sz w:val="20"/>
          <w:szCs w:val="20"/>
        </w:rPr>
        <w:t xml:space="preserve">, 88-111. </w:t>
      </w:r>
      <w:hyperlink r:id="rId11" w:history="1">
        <w:r w:rsidRPr="00017503">
          <w:rPr>
            <w:rStyle w:val="Hyperlink"/>
            <w:rFonts w:ascii="Arial" w:hAnsi="Arial" w:cs="Arial"/>
            <w:sz w:val="20"/>
            <w:szCs w:val="20"/>
          </w:rPr>
          <w:t>https://doi.org/10.1017/S0958344017000106</w:t>
        </w:r>
      </w:hyperlink>
      <w:r w:rsidRPr="00017503">
        <w:rPr>
          <w:rFonts w:ascii="Arial" w:hAnsi="Arial" w:cs="Arial"/>
          <w:sz w:val="20"/>
          <w:szCs w:val="20"/>
        </w:rPr>
        <w:t xml:space="preserve"> </w:t>
      </w:r>
    </w:p>
    <w:p w14:paraId="1D4F8774"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Aina, A. Y., &amp; Ogegbo, A. A. (2022). Investigating TVET college educators’ experiences while transitioning from the traditional classroom to the virtual classroom during the COVID-19 pandemic. </w:t>
      </w:r>
      <w:r w:rsidRPr="00017503">
        <w:rPr>
          <w:rFonts w:ascii="Arial" w:hAnsi="Arial" w:cs="Arial"/>
          <w:i/>
          <w:sz w:val="20"/>
          <w:szCs w:val="20"/>
        </w:rPr>
        <w:t>Perspectives in Education</w:t>
      </w:r>
      <w:r w:rsidRPr="00017503">
        <w:rPr>
          <w:rFonts w:ascii="Arial" w:hAnsi="Arial" w:cs="Arial"/>
          <w:sz w:val="20"/>
          <w:szCs w:val="20"/>
        </w:rPr>
        <w:t>,</w:t>
      </w:r>
      <w:r w:rsidRPr="00017503">
        <w:rPr>
          <w:rFonts w:ascii="Arial" w:hAnsi="Arial" w:cs="Arial"/>
          <w:i/>
          <w:sz w:val="20"/>
          <w:szCs w:val="20"/>
        </w:rPr>
        <w:t xml:space="preserve"> 40</w:t>
      </w:r>
      <w:r w:rsidRPr="00017503">
        <w:rPr>
          <w:rFonts w:ascii="Arial" w:hAnsi="Arial" w:cs="Arial"/>
          <w:sz w:val="20"/>
          <w:szCs w:val="20"/>
        </w:rPr>
        <w:t xml:space="preserve">(1), 129-142. </w:t>
      </w:r>
    </w:p>
    <w:p w14:paraId="0F0C1F32"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Anđelković, J. (2023). Testing, assessment and evaluation in an online environment: a case study of tertiary ESP courses. International Scientific Conference on Economy, Management and Information Technologies, </w:t>
      </w:r>
    </w:p>
    <w:p w14:paraId="5F158187"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Asghar, M. Z., Afzaal, M. N., Iqbal, J., &amp; Sadia, H. A. (2022). Analyzing an appropriate blend of face-to-face, offline and online learning approaches for the in-service vocational teacher’s training program. </w:t>
      </w:r>
      <w:r w:rsidRPr="00017503">
        <w:rPr>
          <w:rFonts w:ascii="Arial" w:hAnsi="Arial" w:cs="Arial"/>
          <w:i/>
          <w:sz w:val="20"/>
          <w:szCs w:val="20"/>
        </w:rPr>
        <w:t>International Journal of Environmental Research and Public Health</w:t>
      </w:r>
      <w:r w:rsidRPr="00017503">
        <w:rPr>
          <w:rFonts w:ascii="Arial" w:hAnsi="Arial" w:cs="Arial"/>
          <w:sz w:val="20"/>
          <w:szCs w:val="20"/>
        </w:rPr>
        <w:t>,</w:t>
      </w:r>
      <w:r w:rsidRPr="00017503">
        <w:rPr>
          <w:rFonts w:ascii="Arial" w:hAnsi="Arial" w:cs="Arial"/>
          <w:i/>
          <w:sz w:val="20"/>
          <w:szCs w:val="20"/>
        </w:rPr>
        <w:t xml:space="preserve"> 19</w:t>
      </w:r>
      <w:r w:rsidRPr="00017503">
        <w:rPr>
          <w:rFonts w:ascii="Arial" w:hAnsi="Arial" w:cs="Arial"/>
          <w:sz w:val="20"/>
          <w:szCs w:val="20"/>
        </w:rPr>
        <w:t xml:space="preserve">(17), 10668. </w:t>
      </w:r>
    </w:p>
    <w:p w14:paraId="5716F301"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Asghar, M. Z., Afzaal, M. N., Iqbal, J., Waqar, Y., &amp; Seitamaa-Hakkarainen, P. (2022). Evaluation of in-service vocational teacher training program: A blend of face-to-face, online and offline learning approaches. </w:t>
      </w:r>
      <w:r w:rsidRPr="00017503">
        <w:rPr>
          <w:rFonts w:ascii="Arial" w:hAnsi="Arial" w:cs="Arial"/>
          <w:i/>
          <w:sz w:val="20"/>
          <w:szCs w:val="20"/>
        </w:rPr>
        <w:t>Sustainability</w:t>
      </w:r>
      <w:r w:rsidRPr="00017503">
        <w:rPr>
          <w:rFonts w:ascii="Arial" w:hAnsi="Arial" w:cs="Arial"/>
          <w:sz w:val="20"/>
          <w:szCs w:val="20"/>
        </w:rPr>
        <w:t>,</w:t>
      </w:r>
      <w:r w:rsidRPr="00017503">
        <w:rPr>
          <w:rFonts w:ascii="Arial" w:hAnsi="Arial" w:cs="Arial"/>
          <w:i/>
          <w:sz w:val="20"/>
          <w:szCs w:val="20"/>
        </w:rPr>
        <w:t xml:space="preserve"> 14</w:t>
      </w:r>
      <w:r w:rsidRPr="00017503">
        <w:rPr>
          <w:rFonts w:ascii="Arial" w:hAnsi="Arial" w:cs="Arial"/>
          <w:sz w:val="20"/>
          <w:szCs w:val="20"/>
        </w:rPr>
        <w:t xml:space="preserve">(21), 13906. </w:t>
      </w:r>
    </w:p>
    <w:p w14:paraId="26755AD6"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Barongo, A., Ogada, K., &amp; Njagi, D. (2024). Electronic Assessment Framework for Competency-Based Education amongst Intellectual Disability Students in Technical and Vocational and Training (TVET) Institutions in Nairobi County. </w:t>
      </w:r>
      <w:r w:rsidRPr="00017503">
        <w:rPr>
          <w:rFonts w:ascii="Arial" w:hAnsi="Arial" w:cs="Arial"/>
          <w:i/>
          <w:sz w:val="20"/>
          <w:szCs w:val="20"/>
        </w:rPr>
        <w:t>International Journal of Research and Innovation in Applied Science</w:t>
      </w:r>
      <w:r w:rsidRPr="00017503">
        <w:rPr>
          <w:rFonts w:ascii="Arial" w:hAnsi="Arial" w:cs="Arial"/>
          <w:sz w:val="20"/>
          <w:szCs w:val="20"/>
        </w:rPr>
        <w:t xml:space="preserve">. </w:t>
      </w:r>
      <w:hyperlink r:id="rId12" w:history="1">
        <w:r w:rsidRPr="00017503">
          <w:rPr>
            <w:rStyle w:val="Hyperlink"/>
            <w:rFonts w:ascii="Arial" w:hAnsi="Arial" w:cs="Arial"/>
            <w:sz w:val="20"/>
            <w:szCs w:val="20"/>
          </w:rPr>
          <w:t>https://doi.org/10.51584/ijrias.2024.911011</w:t>
        </w:r>
      </w:hyperlink>
      <w:r w:rsidRPr="00017503">
        <w:rPr>
          <w:rFonts w:ascii="Arial" w:hAnsi="Arial" w:cs="Arial"/>
          <w:sz w:val="20"/>
          <w:szCs w:val="20"/>
        </w:rPr>
        <w:t xml:space="preserve"> </w:t>
      </w:r>
    </w:p>
    <w:p w14:paraId="7F2A85AD"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Blatchford, P., &amp; Russell, A. (2019). Class size, grouping practices and classroom management. </w:t>
      </w:r>
      <w:r w:rsidRPr="00017503">
        <w:rPr>
          <w:rFonts w:ascii="Arial" w:hAnsi="Arial" w:cs="Arial"/>
          <w:i/>
          <w:sz w:val="20"/>
          <w:szCs w:val="20"/>
        </w:rPr>
        <w:t>International Journal of Educational Research</w:t>
      </w:r>
      <w:r w:rsidRPr="00017503">
        <w:rPr>
          <w:rFonts w:ascii="Arial" w:hAnsi="Arial" w:cs="Arial"/>
          <w:sz w:val="20"/>
          <w:szCs w:val="20"/>
        </w:rPr>
        <w:t xml:space="preserve">. </w:t>
      </w:r>
      <w:hyperlink r:id="rId13" w:history="1">
        <w:r w:rsidRPr="00017503">
          <w:rPr>
            <w:rStyle w:val="Hyperlink"/>
            <w:rFonts w:ascii="Arial" w:hAnsi="Arial" w:cs="Arial"/>
            <w:sz w:val="20"/>
            <w:szCs w:val="20"/>
          </w:rPr>
          <w:t>https://doi.org/10.1016/J.IJER.2018.09.004</w:t>
        </w:r>
      </w:hyperlink>
      <w:r w:rsidRPr="00017503">
        <w:rPr>
          <w:rFonts w:ascii="Arial" w:hAnsi="Arial" w:cs="Arial"/>
          <w:sz w:val="20"/>
          <w:szCs w:val="20"/>
        </w:rPr>
        <w:t xml:space="preserve"> </w:t>
      </w:r>
    </w:p>
    <w:p w14:paraId="1D57380F"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Chaokromthong, K., &amp; Sintao, N. (2021). Sample size estimation using Yamane and Cochran and Krejcie and Morgan and green formulas and Cohen statistical power analysis by G* Power and comparisions. </w:t>
      </w:r>
      <w:r w:rsidRPr="00017503">
        <w:rPr>
          <w:rFonts w:ascii="Arial" w:hAnsi="Arial" w:cs="Arial"/>
          <w:i/>
          <w:sz w:val="20"/>
          <w:szCs w:val="20"/>
        </w:rPr>
        <w:t>APHEIT International Journal of Interdisciplinary Social Sciences and Technology</w:t>
      </w:r>
      <w:r w:rsidRPr="00017503">
        <w:rPr>
          <w:rFonts w:ascii="Arial" w:hAnsi="Arial" w:cs="Arial"/>
          <w:sz w:val="20"/>
          <w:szCs w:val="20"/>
        </w:rPr>
        <w:t>,</w:t>
      </w:r>
      <w:r w:rsidRPr="00017503">
        <w:rPr>
          <w:rFonts w:ascii="Arial" w:hAnsi="Arial" w:cs="Arial"/>
          <w:i/>
          <w:sz w:val="20"/>
          <w:szCs w:val="20"/>
        </w:rPr>
        <w:t xml:space="preserve"> 10</w:t>
      </w:r>
      <w:r w:rsidRPr="00017503">
        <w:rPr>
          <w:rFonts w:ascii="Arial" w:hAnsi="Arial" w:cs="Arial"/>
          <w:sz w:val="20"/>
          <w:szCs w:val="20"/>
        </w:rPr>
        <w:t xml:space="preserve">(2), 76-86. </w:t>
      </w:r>
    </w:p>
    <w:p w14:paraId="360E54D1"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Chen, X., &amp; Chan, S. (2024). Implementing digital pedagogy in TVET: A Connectivist perspective. </w:t>
      </w:r>
      <w:r w:rsidRPr="00017503">
        <w:rPr>
          <w:rFonts w:ascii="Arial" w:hAnsi="Arial" w:cs="Arial"/>
          <w:i/>
          <w:sz w:val="20"/>
          <w:szCs w:val="20"/>
        </w:rPr>
        <w:t>Vocation, Technology &amp; Education</w:t>
      </w:r>
      <w:r w:rsidRPr="00017503">
        <w:rPr>
          <w:rFonts w:ascii="Arial" w:hAnsi="Arial" w:cs="Arial"/>
          <w:sz w:val="20"/>
          <w:szCs w:val="20"/>
        </w:rPr>
        <w:t>,</w:t>
      </w:r>
      <w:r w:rsidRPr="00017503">
        <w:rPr>
          <w:rFonts w:ascii="Arial" w:hAnsi="Arial" w:cs="Arial"/>
          <w:i/>
          <w:sz w:val="20"/>
          <w:szCs w:val="20"/>
        </w:rPr>
        <w:t xml:space="preserve"> 1</w:t>
      </w:r>
      <w:r w:rsidRPr="00017503">
        <w:rPr>
          <w:rFonts w:ascii="Arial" w:hAnsi="Arial" w:cs="Arial"/>
          <w:sz w:val="20"/>
          <w:szCs w:val="20"/>
        </w:rPr>
        <w:t xml:space="preserve">(2). </w:t>
      </w:r>
    </w:p>
    <w:p w14:paraId="5ED8A6B2"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Chinengundu, T. (2021). Four strategies for blended learning in TVET: A South African post-pandemic perspective. In </w:t>
      </w:r>
      <w:r w:rsidRPr="00017503">
        <w:rPr>
          <w:rFonts w:ascii="Arial" w:hAnsi="Arial" w:cs="Arial"/>
          <w:i/>
          <w:sz w:val="20"/>
          <w:szCs w:val="20"/>
        </w:rPr>
        <w:t>New models for technical and vocational education and training</w:t>
      </w:r>
      <w:r w:rsidRPr="00017503">
        <w:rPr>
          <w:rFonts w:ascii="Arial" w:hAnsi="Arial" w:cs="Arial"/>
          <w:sz w:val="20"/>
          <w:szCs w:val="20"/>
        </w:rPr>
        <w:t xml:space="preserve"> (pp. 74-90). IGI Global Scientific Publishing. </w:t>
      </w:r>
    </w:p>
    <w:p w14:paraId="387FF386"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Chukwunwendu, A. F. (2015). New dimensions in sourcing and utilization of resource materials for effective teaching and instruction in technical vocational education and training (TVET) in Nigeria. </w:t>
      </w:r>
      <w:r w:rsidRPr="00017503">
        <w:rPr>
          <w:rFonts w:ascii="Arial" w:hAnsi="Arial" w:cs="Arial"/>
          <w:i/>
          <w:sz w:val="20"/>
          <w:szCs w:val="20"/>
        </w:rPr>
        <w:t>Education Journal</w:t>
      </w:r>
      <w:r w:rsidRPr="00017503">
        <w:rPr>
          <w:rFonts w:ascii="Arial" w:hAnsi="Arial" w:cs="Arial"/>
          <w:sz w:val="20"/>
          <w:szCs w:val="20"/>
        </w:rPr>
        <w:t>,</w:t>
      </w:r>
      <w:r w:rsidRPr="00017503">
        <w:rPr>
          <w:rFonts w:ascii="Arial" w:hAnsi="Arial" w:cs="Arial"/>
          <w:i/>
          <w:sz w:val="20"/>
          <w:szCs w:val="20"/>
        </w:rPr>
        <w:t xml:space="preserve"> 4</w:t>
      </w:r>
      <w:r w:rsidRPr="00017503">
        <w:rPr>
          <w:rFonts w:ascii="Arial" w:hAnsi="Arial" w:cs="Arial"/>
          <w:sz w:val="20"/>
          <w:szCs w:val="20"/>
        </w:rPr>
        <w:t xml:space="preserve">(6-1), 24-30. </w:t>
      </w:r>
    </w:p>
    <w:p w14:paraId="1FAE34FF"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Conrad, D., &amp; Witthaus, G. (2021). Reimagining and reexamining assessment in online learning. </w:t>
      </w:r>
      <w:r w:rsidRPr="00017503">
        <w:rPr>
          <w:rFonts w:ascii="Arial" w:hAnsi="Arial" w:cs="Arial"/>
          <w:i/>
          <w:sz w:val="20"/>
          <w:szCs w:val="20"/>
        </w:rPr>
        <w:t>Distance Education</w:t>
      </w:r>
      <w:r w:rsidRPr="00017503">
        <w:rPr>
          <w:rFonts w:ascii="Arial" w:hAnsi="Arial" w:cs="Arial"/>
          <w:sz w:val="20"/>
          <w:szCs w:val="20"/>
        </w:rPr>
        <w:t>,</w:t>
      </w:r>
      <w:r w:rsidRPr="00017503">
        <w:rPr>
          <w:rFonts w:ascii="Arial" w:hAnsi="Arial" w:cs="Arial"/>
          <w:i/>
          <w:sz w:val="20"/>
          <w:szCs w:val="20"/>
        </w:rPr>
        <w:t xml:space="preserve"> 42</w:t>
      </w:r>
      <w:r w:rsidRPr="00017503">
        <w:rPr>
          <w:rFonts w:ascii="Arial" w:hAnsi="Arial" w:cs="Arial"/>
          <w:sz w:val="20"/>
          <w:szCs w:val="20"/>
        </w:rPr>
        <w:t xml:space="preserve">, 179-183. </w:t>
      </w:r>
      <w:hyperlink r:id="rId14" w:history="1">
        <w:r w:rsidRPr="00017503">
          <w:rPr>
            <w:rStyle w:val="Hyperlink"/>
            <w:rFonts w:ascii="Arial" w:hAnsi="Arial" w:cs="Arial"/>
            <w:sz w:val="20"/>
            <w:szCs w:val="20"/>
          </w:rPr>
          <w:t>https://doi.org/10.1080/01587919.2021.1915117</w:t>
        </w:r>
      </w:hyperlink>
      <w:r w:rsidRPr="00017503">
        <w:rPr>
          <w:rFonts w:ascii="Arial" w:hAnsi="Arial" w:cs="Arial"/>
          <w:sz w:val="20"/>
          <w:szCs w:val="20"/>
        </w:rPr>
        <w:t xml:space="preserve"> </w:t>
      </w:r>
    </w:p>
    <w:p w14:paraId="7933E1E4"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Creswell, J. W., &amp; Clark, V. P. (2007). Mixed methods research. </w:t>
      </w:r>
      <w:r w:rsidRPr="00017503">
        <w:rPr>
          <w:rFonts w:ascii="Arial" w:hAnsi="Arial" w:cs="Arial"/>
          <w:i/>
          <w:sz w:val="20"/>
          <w:szCs w:val="20"/>
        </w:rPr>
        <w:t>Thousand Oaks, CA</w:t>
      </w:r>
      <w:r w:rsidRPr="00017503">
        <w:rPr>
          <w:rFonts w:ascii="Arial" w:hAnsi="Arial" w:cs="Arial"/>
          <w:sz w:val="20"/>
          <w:szCs w:val="20"/>
        </w:rPr>
        <w:t xml:space="preserve">. </w:t>
      </w:r>
    </w:p>
    <w:p w14:paraId="566DDE10"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Diao, J., &amp; Hu, K. (2022). Preparing TVET Teachers for Sustainable Development in the Information Age: Development and Application of the TVET Teachers’ Teaching Competency Scale. </w:t>
      </w:r>
      <w:r w:rsidRPr="00017503">
        <w:rPr>
          <w:rFonts w:ascii="Arial" w:hAnsi="Arial" w:cs="Arial"/>
          <w:i/>
          <w:sz w:val="20"/>
          <w:szCs w:val="20"/>
        </w:rPr>
        <w:t>Sustainability</w:t>
      </w:r>
      <w:r w:rsidRPr="00017503">
        <w:rPr>
          <w:rFonts w:ascii="Arial" w:hAnsi="Arial" w:cs="Arial"/>
          <w:sz w:val="20"/>
          <w:szCs w:val="20"/>
        </w:rPr>
        <w:t xml:space="preserve">. </w:t>
      </w:r>
      <w:hyperlink r:id="rId15" w:history="1">
        <w:r w:rsidRPr="00017503">
          <w:rPr>
            <w:rStyle w:val="Hyperlink"/>
            <w:rFonts w:ascii="Arial" w:hAnsi="Arial" w:cs="Arial"/>
            <w:sz w:val="20"/>
            <w:szCs w:val="20"/>
          </w:rPr>
          <w:t>https://doi.org/10.3390/su141811361</w:t>
        </w:r>
      </w:hyperlink>
      <w:r w:rsidRPr="00017503">
        <w:rPr>
          <w:rFonts w:ascii="Arial" w:hAnsi="Arial" w:cs="Arial"/>
          <w:sz w:val="20"/>
          <w:szCs w:val="20"/>
        </w:rPr>
        <w:t xml:space="preserve"> </w:t>
      </w:r>
    </w:p>
    <w:p w14:paraId="4FECFDED"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Doherty, F., &amp; Olelewe, C. J. (2019). A Guide for TVET Teachers in Utilizing Innovative Pedagogy. In: Lagos Oct.</w:t>
      </w:r>
    </w:p>
    <w:p w14:paraId="51D65F70"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du Plessis, E., &amp; van der Westhuizen, G. (2022). Building academic integrity through online assessment apps. </w:t>
      </w:r>
      <w:r w:rsidRPr="00017503">
        <w:rPr>
          <w:rFonts w:ascii="Arial" w:hAnsi="Arial" w:cs="Arial"/>
          <w:i/>
          <w:sz w:val="20"/>
          <w:szCs w:val="20"/>
        </w:rPr>
        <w:t>Education and New Developments</w:t>
      </w:r>
      <w:r w:rsidRPr="00017503">
        <w:rPr>
          <w:rFonts w:ascii="Arial" w:hAnsi="Arial" w:cs="Arial"/>
          <w:sz w:val="20"/>
          <w:szCs w:val="20"/>
        </w:rPr>
        <w:t>,</w:t>
      </w:r>
      <w:r w:rsidRPr="00017503">
        <w:rPr>
          <w:rFonts w:ascii="Arial" w:hAnsi="Arial" w:cs="Arial"/>
          <w:i/>
          <w:sz w:val="20"/>
          <w:szCs w:val="20"/>
        </w:rPr>
        <w:t xml:space="preserve"> 49</w:t>
      </w:r>
      <w:r w:rsidRPr="00017503">
        <w:rPr>
          <w:rFonts w:ascii="Arial" w:hAnsi="Arial" w:cs="Arial"/>
          <w:sz w:val="20"/>
          <w:szCs w:val="20"/>
        </w:rPr>
        <w:t xml:space="preserve">(1), 49-62. </w:t>
      </w:r>
    </w:p>
    <w:p w14:paraId="28182C92"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Ebil, S. H., Salleh, S., &amp; Shahrill, M. (2020). The use of E-portfolio for self-reflection to promote learning: a case of TVET students. </w:t>
      </w:r>
      <w:r w:rsidRPr="00017503">
        <w:rPr>
          <w:rFonts w:ascii="Arial" w:hAnsi="Arial" w:cs="Arial"/>
          <w:i/>
          <w:sz w:val="20"/>
          <w:szCs w:val="20"/>
        </w:rPr>
        <w:t>Education and Information Technologies</w:t>
      </w:r>
      <w:r w:rsidRPr="00017503">
        <w:rPr>
          <w:rFonts w:ascii="Arial" w:hAnsi="Arial" w:cs="Arial"/>
          <w:sz w:val="20"/>
          <w:szCs w:val="20"/>
        </w:rPr>
        <w:t>,</w:t>
      </w:r>
      <w:r w:rsidRPr="00017503">
        <w:rPr>
          <w:rFonts w:ascii="Arial" w:hAnsi="Arial" w:cs="Arial"/>
          <w:i/>
          <w:sz w:val="20"/>
          <w:szCs w:val="20"/>
        </w:rPr>
        <w:t xml:space="preserve"> 25</w:t>
      </w:r>
      <w:r w:rsidRPr="00017503">
        <w:rPr>
          <w:rFonts w:ascii="Arial" w:hAnsi="Arial" w:cs="Arial"/>
          <w:sz w:val="20"/>
          <w:szCs w:val="20"/>
        </w:rPr>
        <w:t xml:space="preserve">, 5797-5814. </w:t>
      </w:r>
      <w:hyperlink r:id="rId16" w:history="1">
        <w:r w:rsidRPr="00017503">
          <w:rPr>
            <w:rStyle w:val="Hyperlink"/>
            <w:rFonts w:ascii="Arial" w:hAnsi="Arial" w:cs="Arial"/>
            <w:sz w:val="20"/>
            <w:szCs w:val="20"/>
          </w:rPr>
          <w:t>https://doi.org/10.1007/s10639-020-10248-7</w:t>
        </w:r>
      </w:hyperlink>
      <w:r w:rsidRPr="00017503">
        <w:rPr>
          <w:rFonts w:ascii="Arial" w:hAnsi="Arial" w:cs="Arial"/>
          <w:sz w:val="20"/>
          <w:szCs w:val="20"/>
        </w:rPr>
        <w:t xml:space="preserve"> </w:t>
      </w:r>
    </w:p>
    <w:p w14:paraId="4272B18F"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Ermagun, A., &amp; Samimi, A. (2018). Mode choice and travel distance joint models in school trips. </w:t>
      </w:r>
      <w:r w:rsidRPr="00017503">
        <w:rPr>
          <w:rFonts w:ascii="Arial" w:hAnsi="Arial" w:cs="Arial"/>
          <w:i/>
          <w:sz w:val="20"/>
          <w:szCs w:val="20"/>
        </w:rPr>
        <w:t>Transportation</w:t>
      </w:r>
      <w:r w:rsidRPr="00017503">
        <w:rPr>
          <w:rFonts w:ascii="Arial" w:hAnsi="Arial" w:cs="Arial"/>
          <w:sz w:val="20"/>
          <w:szCs w:val="20"/>
        </w:rPr>
        <w:t>,</w:t>
      </w:r>
      <w:r w:rsidRPr="00017503">
        <w:rPr>
          <w:rFonts w:ascii="Arial" w:hAnsi="Arial" w:cs="Arial"/>
          <w:i/>
          <w:sz w:val="20"/>
          <w:szCs w:val="20"/>
        </w:rPr>
        <w:t xml:space="preserve"> 45</w:t>
      </w:r>
      <w:r w:rsidRPr="00017503">
        <w:rPr>
          <w:rFonts w:ascii="Arial" w:hAnsi="Arial" w:cs="Arial"/>
          <w:sz w:val="20"/>
          <w:szCs w:val="20"/>
        </w:rPr>
        <w:t xml:space="preserve">, 1755-1781. </w:t>
      </w:r>
      <w:hyperlink r:id="rId17" w:history="1">
        <w:r w:rsidRPr="00017503">
          <w:rPr>
            <w:rStyle w:val="Hyperlink"/>
            <w:rFonts w:ascii="Arial" w:hAnsi="Arial" w:cs="Arial"/>
            <w:sz w:val="20"/>
            <w:szCs w:val="20"/>
          </w:rPr>
          <w:t>https://doi.org/10.1007/S11116-017-9794-Y</w:t>
        </w:r>
      </w:hyperlink>
      <w:r w:rsidRPr="00017503">
        <w:rPr>
          <w:rFonts w:ascii="Arial" w:hAnsi="Arial" w:cs="Arial"/>
          <w:sz w:val="20"/>
          <w:szCs w:val="20"/>
        </w:rPr>
        <w:t xml:space="preserve"> </w:t>
      </w:r>
    </w:p>
    <w:p w14:paraId="45129098"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lastRenderedPageBreak/>
        <w:t xml:space="preserve">Fonseca, I., Martins, N. C., &amp; Lopes, F. (2024). Exploring interactive tools for education and online assessment: a comparative analysis. 2024 21st International Conference on Information Technology Based Higher Education and Training (ITHET), </w:t>
      </w:r>
    </w:p>
    <w:p w14:paraId="7441E24B"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Gay, G. (2016). An assessment of online instructor e-learning readiness before, during, and after course delivery. </w:t>
      </w:r>
      <w:r w:rsidRPr="00017503">
        <w:rPr>
          <w:rFonts w:ascii="Arial" w:hAnsi="Arial" w:cs="Arial"/>
          <w:i/>
          <w:sz w:val="20"/>
          <w:szCs w:val="20"/>
        </w:rPr>
        <w:t>Journal of Computing in Higher Education</w:t>
      </w:r>
      <w:r w:rsidRPr="00017503">
        <w:rPr>
          <w:rFonts w:ascii="Arial" w:hAnsi="Arial" w:cs="Arial"/>
          <w:sz w:val="20"/>
          <w:szCs w:val="20"/>
        </w:rPr>
        <w:t>,</w:t>
      </w:r>
      <w:r w:rsidRPr="00017503">
        <w:rPr>
          <w:rFonts w:ascii="Arial" w:hAnsi="Arial" w:cs="Arial"/>
          <w:i/>
          <w:sz w:val="20"/>
          <w:szCs w:val="20"/>
        </w:rPr>
        <w:t xml:space="preserve"> 28</w:t>
      </w:r>
      <w:r w:rsidRPr="00017503">
        <w:rPr>
          <w:rFonts w:ascii="Arial" w:hAnsi="Arial" w:cs="Arial"/>
          <w:sz w:val="20"/>
          <w:szCs w:val="20"/>
        </w:rPr>
        <w:t xml:space="preserve">, 199-220. </w:t>
      </w:r>
      <w:hyperlink r:id="rId18" w:history="1">
        <w:r w:rsidRPr="00017503">
          <w:rPr>
            <w:rStyle w:val="Hyperlink"/>
            <w:rFonts w:ascii="Arial" w:hAnsi="Arial" w:cs="Arial"/>
            <w:sz w:val="20"/>
            <w:szCs w:val="20"/>
          </w:rPr>
          <w:t>https://doi.org/10.1007/s12528-016-9115-z</w:t>
        </w:r>
      </w:hyperlink>
      <w:r w:rsidRPr="00017503">
        <w:rPr>
          <w:rFonts w:ascii="Arial" w:hAnsi="Arial" w:cs="Arial"/>
          <w:sz w:val="20"/>
          <w:szCs w:val="20"/>
        </w:rPr>
        <w:t xml:space="preserve"> </w:t>
      </w:r>
    </w:p>
    <w:p w14:paraId="1E93579A"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Goodyear, P., Salmon, G., Spector, J., Steeples, C., &amp; Tickner, S. (2001). Competences for online teaching: A special report. </w:t>
      </w:r>
      <w:r w:rsidRPr="00017503">
        <w:rPr>
          <w:rFonts w:ascii="Arial" w:hAnsi="Arial" w:cs="Arial"/>
          <w:i/>
          <w:sz w:val="20"/>
          <w:szCs w:val="20"/>
        </w:rPr>
        <w:t>Educational Technology Research and Development</w:t>
      </w:r>
      <w:r w:rsidRPr="00017503">
        <w:rPr>
          <w:rFonts w:ascii="Arial" w:hAnsi="Arial" w:cs="Arial"/>
          <w:sz w:val="20"/>
          <w:szCs w:val="20"/>
        </w:rPr>
        <w:t>,</w:t>
      </w:r>
      <w:r w:rsidRPr="00017503">
        <w:rPr>
          <w:rFonts w:ascii="Arial" w:hAnsi="Arial" w:cs="Arial"/>
          <w:i/>
          <w:sz w:val="20"/>
          <w:szCs w:val="20"/>
        </w:rPr>
        <w:t xml:space="preserve"> 49</w:t>
      </w:r>
      <w:r w:rsidRPr="00017503">
        <w:rPr>
          <w:rFonts w:ascii="Arial" w:hAnsi="Arial" w:cs="Arial"/>
          <w:sz w:val="20"/>
          <w:szCs w:val="20"/>
        </w:rPr>
        <w:t xml:space="preserve">, 65-72. </w:t>
      </w:r>
      <w:hyperlink r:id="rId19" w:history="1">
        <w:r w:rsidRPr="00017503">
          <w:rPr>
            <w:rStyle w:val="Hyperlink"/>
            <w:rFonts w:ascii="Arial" w:hAnsi="Arial" w:cs="Arial"/>
            <w:sz w:val="20"/>
            <w:szCs w:val="20"/>
          </w:rPr>
          <w:t>https://doi.org/10.1007/BF02504508</w:t>
        </w:r>
      </w:hyperlink>
      <w:r w:rsidRPr="00017503">
        <w:rPr>
          <w:rFonts w:ascii="Arial" w:hAnsi="Arial" w:cs="Arial"/>
          <w:sz w:val="20"/>
          <w:szCs w:val="20"/>
        </w:rPr>
        <w:t xml:space="preserve"> </w:t>
      </w:r>
    </w:p>
    <w:p w14:paraId="15946845"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Hashim, N., &amp; Hamidon, Z. (2022). Blended learning in technical and vocational education and training (TVET) training institute. </w:t>
      </w:r>
      <w:r w:rsidRPr="00017503">
        <w:rPr>
          <w:rFonts w:ascii="Arial" w:hAnsi="Arial" w:cs="Arial"/>
          <w:i/>
          <w:sz w:val="20"/>
          <w:szCs w:val="20"/>
        </w:rPr>
        <w:t>International Journal of Academic Research in Progressive Education and Development</w:t>
      </w:r>
      <w:r w:rsidRPr="00017503">
        <w:rPr>
          <w:rFonts w:ascii="Arial" w:hAnsi="Arial" w:cs="Arial"/>
          <w:sz w:val="20"/>
          <w:szCs w:val="20"/>
        </w:rPr>
        <w:t>,</w:t>
      </w:r>
      <w:r w:rsidRPr="00017503">
        <w:rPr>
          <w:rFonts w:ascii="Arial" w:hAnsi="Arial" w:cs="Arial"/>
          <w:i/>
          <w:sz w:val="20"/>
          <w:szCs w:val="20"/>
        </w:rPr>
        <w:t xml:space="preserve"> 11</w:t>
      </w:r>
      <w:r w:rsidRPr="00017503">
        <w:rPr>
          <w:rFonts w:ascii="Arial" w:hAnsi="Arial" w:cs="Arial"/>
          <w:sz w:val="20"/>
          <w:szCs w:val="20"/>
        </w:rPr>
        <w:t xml:space="preserve">(1), 837-860. </w:t>
      </w:r>
    </w:p>
    <w:p w14:paraId="7970D0D1"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Heil, J., &amp; Ifenthaler, D. (2023). Online Assessment in Higher Education: A Systematic Review. </w:t>
      </w:r>
      <w:r w:rsidRPr="00017503">
        <w:rPr>
          <w:rFonts w:ascii="Arial" w:hAnsi="Arial" w:cs="Arial"/>
          <w:i/>
          <w:sz w:val="20"/>
          <w:szCs w:val="20"/>
        </w:rPr>
        <w:t>Online Learning</w:t>
      </w:r>
      <w:r w:rsidRPr="00017503">
        <w:rPr>
          <w:rFonts w:ascii="Arial" w:hAnsi="Arial" w:cs="Arial"/>
          <w:sz w:val="20"/>
          <w:szCs w:val="20"/>
        </w:rPr>
        <w:t>,</w:t>
      </w:r>
      <w:r w:rsidRPr="00017503">
        <w:rPr>
          <w:rFonts w:ascii="Arial" w:hAnsi="Arial" w:cs="Arial"/>
          <w:i/>
          <w:sz w:val="20"/>
          <w:szCs w:val="20"/>
        </w:rPr>
        <w:t xml:space="preserve"> 27</w:t>
      </w:r>
      <w:r w:rsidRPr="00017503">
        <w:rPr>
          <w:rFonts w:ascii="Arial" w:hAnsi="Arial" w:cs="Arial"/>
          <w:sz w:val="20"/>
          <w:szCs w:val="20"/>
        </w:rPr>
        <w:t xml:space="preserve">(1), 187-218. </w:t>
      </w:r>
    </w:p>
    <w:p w14:paraId="7807D324"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Hoxby, C. (2000). The Effects of Class Size on Student Achievement: New Evidence from Population Variation. </w:t>
      </w:r>
      <w:r w:rsidRPr="00017503">
        <w:rPr>
          <w:rFonts w:ascii="Arial" w:hAnsi="Arial" w:cs="Arial"/>
          <w:i/>
          <w:sz w:val="20"/>
          <w:szCs w:val="20"/>
        </w:rPr>
        <w:t>Quarterly Journal of Economics</w:t>
      </w:r>
      <w:r w:rsidRPr="00017503">
        <w:rPr>
          <w:rFonts w:ascii="Arial" w:hAnsi="Arial" w:cs="Arial"/>
          <w:sz w:val="20"/>
          <w:szCs w:val="20"/>
        </w:rPr>
        <w:t>,</w:t>
      </w:r>
      <w:r w:rsidRPr="00017503">
        <w:rPr>
          <w:rFonts w:ascii="Arial" w:hAnsi="Arial" w:cs="Arial"/>
          <w:i/>
          <w:sz w:val="20"/>
          <w:szCs w:val="20"/>
        </w:rPr>
        <w:t xml:space="preserve"> 115</w:t>
      </w:r>
      <w:r w:rsidRPr="00017503">
        <w:rPr>
          <w:rFonts w:ascii="Arial" w:hAnsi="Arial" w:cs="Arial"/>
          <w:sz w:val="20"/>
          <w:szCs w:val="20"/>
        </w:rPr>
        <w:t xml:space="preserve">, 1239-1285. </w:t>
      </w:r>
      <w:hyperlink r:id="rId20" w:history="1">
        <w:r w:rsidRPr="00017503">
          <w:rPr>
            <w:rStyle w:val="Hyperlink"/>
            <w:rFonts w:ascii="Arial" w:hAnsi="Arial" w:cs="Arial"/>
            <w:sz w:val="20"/>
            <w:szCs w:val="20"/>
          </w:rPr>
          <w:t>https://doi.org/10.1162/003355300555060</w:t>
        </w:r>
      </w:hyperlink>
      <w:r w:rsidRPr="00017503">
        <w:rPr>
          <w:rFonts w:ascii="Arial" w:hAnsi="Arial" w:cs="Arial"/>
          <w:sz w:val="20"/>
          <w:szCs w:val="20"/>
        </w:rPr>
        <w:t xml:space="preserve"> </w:t>
      </w:r>
    </w:p>
    <w:p w14:paraId="5F3BF799"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Hu, C., Kaabar, M., Xu, Q., &amp; Zhang, G. (2023). Fuzzy Comprehensive Evaluation of Students' Classroom Experience in Online Teaching. </w:t>
      </w:r>
      <w:r w:rsidRPr="00017503">
        <w:rPr>
          <w:rFonts w:ascii="Arial" w:hAnsi="Arial" w:cs="Arial"/>
          <w:i/>
          <w:sz w:val="20"/>
          <w:szCs w:val="20"/>
        </w:rPr>
        <w:t>Int. J. Emerg. Technol. Learn.</w:t>
      </w:r>
      <w:r w:rsidRPr="00017503">
        <w:rPr>
          <w:rFonts w:ascii="Arial" w:hAnsi="Arial" w:cs="Arial"/>
          <w:sz w:val="20"/>
          <w:szCs w:val="20"/>
        </w:rPr>
        <w:t>,</w:t>
      </w:r>
      <w:r w:rsidRPr="00017503">
        <w:rPr>
          <w:rFonts w:ascii="Arial" w:hAnsi="Arial" w:cs="Arial"/>
          <w:i/>
          <w:sz w:val="20"/>
          <w:szCs w:val="20"/>
        </w:rPr>
        <w:t xml:space="preserve"> 18</w:t>
      </w:r>
      <w:r w:rsidRPr="00017503">
        <w:rPr>
          <w:rFonts w:ascii="Arial" w:hAnsi="Arial" w:cs="Arial"/>
          <w:sz w:val="20"/>
          <w:szCs w:val="20"/>
        </w:rPr>
        <w:t xml:space="preserve">, 79-88. </w:t>
      </w:r>
      <w:hyperlink r:id="rId21" w:history="1">
        <w:r w:rsidRPr="00017503">
          <w:rPr>
            <w:rStyle w:val="Hyperlink"/>
            <w:rFonts w:ascii="Arial" w:hAnsi="Arial" w:cs="Arial"/>
            <w:sz w:val="20"/>
            <w:szCs w:val="20"/>
          </w:rPr>
          <w:t>https://doi.org/10.3991/ijet.v18i21.44011</w:t>
        </w:r>
      </w:hyperlink>
      <w:r w:rsidRPr="00017503">
        <w:rPr>
          <w:rFonts w:ascii="Arial" w:hAnsi="Arial" w:cs="Arial"/>
          <w:sz w:val="20"/>
          <w:szCs w:val="20"/>
        </w:rPr>
        <w:t xml:space="preserve"> </w:t>
      </w:r>
    </w:p>
    <w:p w14:paraId="1A969B99"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Jayalath, J., &amp; Esichaikul, V. (2020). Gamification to Enhance Motivation and Engagement in Blended eLearning for Technical and Vocational Education and Training. </w:t>
      </w:r>
      <w:r w:rsidRPr="00017503">
        <w:rPr>
          <w:rFonts w:ascii="Arial" w:hAnsi="Arial" w:cs="Arial"/>
          <w:i/>
          <w:sz w:val="20"/>
          <w:szCs w:val="20"/>
        </w:rPr>
        <w:t>Technology, Knowledge and Learning</w:t>
      </w:r>
      <w:r w:rsidRPr="00017503">
        <w:rPr>
          <w:rFonts w:ascii="Arial" w:hAnsi="Arial" w:cs="Arial"/>
          <w:sz w:val="20"/>
          <w:szCs w:val="20"/>
        </w:rPr>
        <w:t>,</w:t>
      </w:r>
      <w:r w:rsidRPr="00017503">
        <w:rPr>
          <w:rFonts w:ascii="Arial" w:hAnsi="Arial" w:cs="Arial"/>
          <w:i/>
          <w:sz w:val="20"/>
          <w:szCs w:val="20"/>
        </w:rPr>
        <w:t xml:space="preserve"> 27</w:t>
      </w:r>
      <w:r w:rsidRPr="00017503">
        <w:rPr>
          <w:rFonts w:ascii="Arial" w:hAnsi="Arial" w:cs="Arial"/>
          <w:sz w:val="20"/>
          <w:szCs w:val="20"/>
        </w:rPr>
        <w:t xml:space="preserve">, 91-118. </w:t>
      </w:r>
      <w:hyperlink r:id="rId22" w:history="1">
        <w:r w:rsidRPr="00017503">
          <w:rPr>
            <w:rStyle w:val="Hyperlink"/>
            <w:rFonts w:ascii="Arial" w:hAnsi="Arial" w:cs="Arial"/>
            <w:sz w:val="20"/>
            <w:szCs w:val="20"/>
          </w:rPr>
          <w:t>https://doi.org/10.1007/s10758-020-09466-2</w:t>
        </w:r>
      </w:hyperlink>
      <w:r w:rsidRPr="00017503">
        <w:rPr>
          <w:rFonts w:ascii="Arial" w:hAnsi="Arial" w:cs="Arial"/>
          <w:sz w:val="20"/>
          <w:szCs w:val="20"/>
        </w:rPr>
        <w:t xml:space="preserve"> </w:t>
      </w:r>
    </w:p>
    <w:p w14:paraId="1EDC0F74"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Kahiga, E., Kibaara, T., &amp; Gichohi, P. (2024). Influence of Institutional Capacity on the Competitiveness of TVET Institutions in Nyeri County. </w:t>
      </w:r>
      <w:r w:rsidRPr="00017503">
        <w:rPr>
          <w:rFonts w:ascii="Arial" w:hAnsi="Arial" w:cs="Arial"/>
          <w:i/>
          <w:sz w:val="20"/>
          <w:szCs w:val="20"/>
        </w:rPr>
        <w:t>International Journal of Professional Practice</w:t>
      </w:r>
      <w:r w:rsidRPr="00017503">
        <w:rPr>
          <w:rFonts w:ascii="Arial" w:hAnsi="Arial" w:cs="Arial"/>
          <w:sz w:val="20"/>
          <w:szCs w:val="20"/>
        </w:rPr>
        <w:t xml:space="preserve">. </w:t>
      </w:r>
      <w:hyperlink r:id="rId23" w:history="1">
        <w:r w:rsidRPr="00017503">
          <w:rPr>
            <w:rStyle w:val="Hyperlink"/>
            <w:rFonts w:ascii="Arial" w:hAnsi="Arial" w:cs="Arial"/>
            <w:sz w:val="20"/>
            <w:szCs w:val="20"/>
          </w:rPr>
          <w:t>https://doi.org/10.71274/ijpp.v12i2.417</w:t>
        </w:r>
      </w:hyperlink>
      <w:r w:rsidRPr="00017503">
        <w:rPr>
          <w:rFonts w:ascii="Arial" w:hAnsi="Arial" w:cs="Arial"/>
          <w:sz w:val="20"/>
          <w:szCs w:val="20"/>
        </w:rPr>
        <w:t xml:space="preserve"> </w:t>
      </w:r>
    </w:p>
    <w:p w14:paraId="7B49AAEE"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Kokkelenberg, E., Dillon, M., &amp; Christy, S. (2008). The Effects of Class Size on Student Grades at a Public University. </w:t>
      </w:r>
      <w:r w:rsidRPr="00017503">
        <w:rPr>
          <w:rFonts w:ascii="Arial" w:hAnsi="Arial" w:cs="Arial"/>
          <w:i/>
          <w:sz w:val="20"/>
          <w:szCs w:val="20"/>
        </w:rPr>
        <w:t>Economics of Education Review</w:t>
      </w:r>
      <w:r w:rsidRPr="00017503">
        <w:rPr>
          <w:rFonts w:ascii="Arial" w:hAnsi="Arial" w:cs="Arial"/>
          <w:sz w:val="20"/>
          <w:szCs w:val="20"/>
        </w:rPr>
        <w:t>,</w:t>
      </w:r>
      <w:r w:rsidRPr="00017503">
        <w:rPr>
          <w:rFonts w:ascii="Arial" w:hAnsi="Arial" w:cs="Arial"/>
          <w:i/>
          <w:sz w:val="20"/>
          <w:szCs w:val="20"/>
        </w:rPr>
        <w:t xml:space="preserve"> 27</w:t>
      </w:r>
      <w:r w:rsidRPr="00017503">
        <w:rPr>
          <w:rFonts w:ascii="Arial" w:hAnsi="Arial" w:cs="Arial"/>
          <w:sz w:val="20"/>
          <w:szCs w:val="20"/>
        </w:rPr>
        <w:t xml:space="preserve">, 221-233. </w:t>
      </w:r>
      <w:hyperlink r:id="rId24" w:history="1">
        <w:r w:rsidRPr="00017503">
          <w:rPr>
            <w:rStyle w:val="Hyperlink"/>
            <w:rFonts w:ascii="Arial" w:hAnsi="Arial" w:cs="Arial"/>
            <w:sz w:val="20"/>
            <w:szCs w:val="20"/>
          </w:rPr>
          <w:t>https://doi.org/10.1016/J.ECONEDUREV.2006.09.011</w:t>
        </w:r>
      </w:hyperlink>
      <w:r w:rsidRPr="00017503">
        <w:rPr>
          <w:rFonts w:ascii="Arial" w:hAnsi="Arial" w:cs="Arial"/>
          <w:sz w:val="20"/>
          <w:szCs w:val="20"/>
        </w:rPr>
        <w:t xml:space="preserve"> </w:t>
      </w:r>
    </w:p>
    <w:p w14:paraId="542F6BD7"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Kothari, C. (2017). research methodology methods and techniques by CR Kothari. </w:t>
      </w:r>
      <w:r w:rsidRPr="00017503">
        <w:rPr>
          <w:rFonts w:ascii="Arial" w:hAnsi="Arial" w:cs="Arial"/>
          <w:i/>
          <w:sz w:val="20"/>
          <w:szCs w:val="20"/>
        </w:rPr>
        <w:t>Published by New Age International (P) Ltd., Publishers</w:t>
      </w:r>
      <w:r w:rsidRPr="00017503">
        <w:rPr>
          <w:rFonts w:ascii="Arial" w:hAnsi="Arial" w:cs="Arial"/>
          <w:sz w:val="20"/>
          <w:szCs w:val="20"/>
        </w:rPr>
        <w:t>,</w:t>
      </w:r>
      <w:r w:rsidRPr="00017503">
        <w:rPr>
          <w:rFonts w:ascii="Arial" w:hAnsi="Arial" w:cs="Arial"/>
          <w:i/>
          <w:sz w:val="20"/>
          <w:szCs w:val="20"/>
        </w:rPr>
        <w:t xml:space="preserve"> 91</w:t>
      </w:r>
      <w:r w:rsidRPr="00017503">
        <w:rPr>
          <w:rFonts w:ascii="Arial" w:hAnsi="Arial" w:cs="Arial"/>
          <w:sz w:val="20"/>
          <w:szCs w:val="20"/>
        </w:rPr>
        <w:t xml:space="preserve">. </w:t>
      </w:r>
    </w:p>
    <w:p w14:paraId="3A48E8DA"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Latchem, C. (2017). ICTs, blended learning and TVET transformation. </w:t>
      </w:r>
      <w:r w:rsidRPr="00017503">
        <w:rPr>
          <w:rFonts w:ascii="Arial" w:hAnsi="Arial" w:cs="Arial"/>
          <w:i/>
          <w:sz w:val="20"/>
          <w:szCs w:val="20"/>
        </w:rPr>
        <w:t>Using ICTs and blended learning in transforming TVET</w:t>
      </w:r>
      <w:r w:rsidRPr="00017503">
        <w:rPr>
          <w:rFonts w:ascii="Arial" w:hAnsi="Arial" w:cs="Arial"/>
          <w:sz w:val="20"/>
          <w:szCs w:val="20"/>
        </w:rPr>
        <w:t>,</w:t>
      </w:r>
      <w:r w:rsidRPr="00017503">
        <w:rPr>
          <w:rFonts w:ascii="Arial" w:hAnsi="Arial" w:cs="Arial"/>
          <w:i/>
          <w:sz w:val="20"/>
          <w:szCs w:val="20"/>
        </w:rPr>
        <w:t xml:space="preserve"> 27</w:t>
      </w:r>
      <w:r w:rsidRPr="00017503">
        <w:rPr>
          <w:rFonts w:ascii="Arial" w:hAnsi="Arial" w:cs="Arial"/>
          <w:sz w:val="20"/>
          <w:szCs w:val="20"/>
        </w:rPr>
        <w:t xml:space="preserve">. </w:t>
      </w:r>
    </w:p>
    <w:p w14:paraId="1A19D38E"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Li, Y., Zhang, L., Tian, Y., &amp; Qi, W. (2022). Research on Teaching Practice of Blended Higher Education Based on Deep Learning Route. </w:t>
      </w:r>
      <w:r w:rsidRPr="00017503">
        <w:rPr>
          <w:rFonts w:ascii="Arial" w:hAnsi="Arial" w:cs="Arial"/>
          <w:i/>
          <w:sz w:val="20"/>
          <w:szCs w:val="20"/>
        </w:rPr>
        <w:t>Computational Intelligence and Neuroscience</w:t>
      </w:r>
      <w:r w:rsidRPr="00017503">
        <w:rPr>
          <w:rFonts w:ascii="Arial" w:hAnsi="Arial" w:cs="Arial"/>
          <w:sz w:val="20"/>
          <w:szCs w:val="20"/>
        </w:rPr>
        <w:t>,</w:t>
      </w:r>
      <w:r w:rsidRPr="00017503">
        <w:rPr>
          <w:rFonts w:ascii="Arial" w:hAnsi="Arial" w:cs="Arial"/>
          <w:i/>
          <w:sz w:val="20"/>
          <w:szCs w:val="20"/>
        </w:rPr>
        <w:t xml:space="preserve"> 2022</w:t>
      </w:r>
      <w:r w:rsidRPr="00017503">
        <w:rPr>
          <w:rFonts w:ascii="Arial" w:hAnsi="Arial" w:cs="Arial"/>
          <w:sz w:val="20"/>
          <w:szCs w:val="20"/>
        </w:rPr>
        <w:t xml:space="preserve">. </w:t>
      </w:r>
      <w:hyperlink r:id="rId25" w:history="1">
        <w:r w:rsidRPr="00017503">
          <w:rPr>
            <w:rStyle w:val="Hyperlink"/>
            <w:rFonts w:ascii="Arial" w:hAnsi="Arial" w:cs="Arial"/>
            <w:sz w:val="20"/>
            <w:szCs w:val="20"/>
          </w:rPr>
          <w:t>https://doi.org/10.1155/2022/5906335</w:t>
        </w:r>
      </w:hyperlink>
      <w:r w:rsidRPr="00017503">
        <w:rPr>
          <w:rFonts w:ascii="Arial" w:hAnsi="Arial" w:cs="Arial"/>
          <w:sz w:val="20"/>
          <w:szCs w:val="20"/>
        </w:rPr>
        <w:t xml:space="preserve"> </w:t>
      </w:r>
    </w:p>
    <w:p w14:paraId="6BD5B8B0"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Los, R., De Jaeger, A., &amp; Stoesz, B. (2021). Online and Blended Teaching Readiness Assessment (OBTRA).</w:t>
      </w:r>
      <w:r w:rsidRPr="00017503">
        <w:rPr>
          <w:rFonts w:ascii="Arial" w:hAnsi="Arial" w:cs="Arial"/>
          <w:i/>
          <w:sz w:val="20"/>
          <w:szCs w:val="20"/>
        </w:rPr>
        <w:t xml:space="preserve"> 6</w:t>
      </w:r>
      <w:r w:rsidRPr="00017503">
        <w:rPr>
          <w:rFonts w:ascii="Arial" w:hAnsi="Arial" w:cs="Arial"/>
          <w:sz w:val="20"/>
          <w:szCs w:val="20"/>
        </w:rPr>
        <w:t xml:space="preserve">. </w:t>
      </w:r>
      <w:hyperlink r:id="rId26" w:history="1">
        <w:r w:rsidRPr="00017503">
          <w:rPr>
            <w:rStyle w:val="Hyperlink"/>
            <w:rFonts w:ascii="Arial" w:hAnsi="Arial" w:cs="Arial"/>
            <w:sz w:val="20"/>
            <w:szCs w:val="20"/>
          </w:rPr>
          <w:t>https://doi.org/10.3389/feduc.2021.673594</w:t>
        </w:r>
      </w:hyperlink>
      <w:r w:rsidRPr="00017503">
        <w:rPr>
          <w:rFonts w:ascii="Arial" w:hAnsi="Arial" w:cs="Arial"/>
          <w:sz w:val="20"/>
          <w:szCs w:val="20"/>
        </w:rPr>
        <w:t xml:space="preserve"> </w:t>
      </w:r>
    </w:p>
    <w:p w14:paraId="011B2A6F"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Lou, Y., &amp; Li, F. (2024). Design of an online education student learning status evaluation model based on dual-improved neural networks. </w:t>
      </w:r>
      <w:r w:rsidRPr="00017503">
        <w:rPr>
          <w:rFonts w:ascii="Arial" w:hAnsi="Arial" w:cs="Arial"/>
          <w:i/>
          <w:sz w:val="20"/>
          <w:szCs w:val="20"/>
        </w:rPr>
        <w:t>Intell. Syst. Appl.</w:t>
      </w:r>
      <w:r w:rsidRPr="00017503">
        <w:rPr>
          <w:rFonts w:ascii="Arial" w:hAnsi="Arial" w:cs="Arial"/>
          <w:sz w:val="20"/>
          <w:szCs w:val="20"/>
        </w:rPr>
        <w:t>,</w:t>
      </w:r>
      <w:r w:rsidRPr="00017503">
        <w:rPr>
          <w:rFonts w:ascii="Arial" w:hAnsi="Arial" w:cs="Arial"/>
          <w:i/>
          <w:sz w:val="20"/>
          <w:szCs w:val="20"/>
        </w:rPr>
        <w:t xml:space="preserve"> 22</w:t>
      </w:r>
      <w:r w:rsidRPr="00017503">
        <w:rPr>
          <w:rFonts w:ascii="Arial" w:hAnsi="Arial" w:cs="Arial"/>
          <w:sz w:val="20"/>
          <w:szCs w:val="20"/>
        </w:rPr>
        <w:t xml:space="preserve">, 200370. </w:t>
      </w:r>
      <w:hyperlink r:id="rId27" w:history="1">
        <w:r w:rsidRPr="00017503">
          <w:rPr>
            <w:rStyle w:val="Hyperlink"/>
            <w:rFonts w:ascii="Arial" w:hAnsi="Arial" w:cs="Arial"/>
            <w:sz w:val="20"/>
            <w:szCs w:val="20"/>
          </w:rPr>
          <w:t>https://doi.org/10.1016/j.iswa.2024.200370</w:t>
        </w:r>
      </w:hyperlink>
      <w:r w:rsidRPr="00017503">
        <w:rPr>
          <w:rFonts w:ascii="Arial" w:hAnsi="Arial" w:cs="Arial"/>
          <w:sz w:val="20"/>
          <w:szCs w:val="20"/>
        </w:rPr>
        <w:t xml:space="preserve"> </w:t>
      </w:r>
    </w:p>
    <w:p w14:paraId="0A37866C"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Martin, F., Budhrani, K., &amp; Wang, C. (2019). Examining Faculty Perception of Their Readiness to Teach Online. </w:t>
      </w:r>
      <w:r w:rsidRPr="00017503">
        <w:rPr>
          <w:rFonts w:ascii="Arial" w:hAnsi="Arial" w:cs="Arial"/>
          <w:i/>
          <w:sz w:val="20"/>
          <w:szCs w:val="20"/>
        </w:rPr>
        <w:t>Online Learning</w:t>
      </w:r>
      <w:r w:rsidRPr="00017503">
        <w:rPr>
          <w:rFonts w:ascii="Arial" w:hAnsi="Arial" w:cs="Arial"/>
          <w:sz w:val="20"/>
          <w:szCs w:val="20"/>
        </w:rPr>
        <w:t xml:space="preserve">. </w:t>
      </w:r>
      <w:hyperlink r:id="rId28" w:history="1">
        <w:r w:rsidRPr="00017503">
          <w:rPr>
            <w:rStyle w:val="Hyperlink"/>
            <w:rFonts w:ascii="Arial" w:hAnsi="Arial" w:cs="Arial"/>
            <w:sz w:val="20"/>
            <w:szCs w:val="20"/>
          </w:rPr>
          <w:t>https://doi.org/10.24059/olj.v23i3.1555</w:t>
        </w:r>
      </w:hyperlink>
      <w:r w:rsidRPr="00017503">
        <w:rPr>
          <w:rFonts w:ascii="Arial" w:hAnsi="Arial" w:cs="Arial"/>
          <w:sz w:val="20"/>
          <w:szCs w:val="20"/>
        </w:rPr>
        <w:t xml:space="preserve"> </w:t>
      </w:r>
    </w:p>
    <w:p w14:paraId="0F2C8327"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Martin, F., Kumar, S., &amp; She, L. (2021). Examining Higher Education Instructor Perceptions of Roles and Competencies in Online Teaching. </w:t>
      </w:r>
      <w:r w:rsidRPr="00017503">
        <w:rPr>
          <w:rFonts w:ascii="Arial" w:hAnsi="Arial" w:cs="Arial"/>
          <w:i/>
          <w:sz w:val="20"/>
          <w:szCs w:val="20"/>
        </w:rPr>
        <w:t>Online Learning</w:t>
      </w:r>
      <w:r w:rsidRPr="00017503">
        <w:rPr>
          <w:rFonts w:ascii="Arial" w:hAnsi="Arial" w:cs="Arial"/>
          <w:sz w:val="20"/>
          <w:szCs w:val="20"/>
        </w:rPr>
        <w:t xml:space="preserve">. </w:t>
      </w:r>
      <w:hyperlink r:id="rId29" w:history="1">
        <w:r w:rsidRPr="00017503">
          <w:rPr>
            <w:rStyle w:val="Hyperlink"/>
            <w:rFonts w:ascii="Arial" w:hAnsi="Arial" w:cs="Arial"/>
            <w:sz w:val="20"/>
            <w:szCs w:val="20"/>
          </w:rPr>
          <w:t>https://doi.org/10.24059/olj.v25i4.2570</w:t>
        </w:r>
      </w:hyperlink>
      <w:r w:rsidRPr="00017503">
        <w:rPr>
          <w:rFonts w:ascii="Arial" w:hAnsi="Arial" w:cs="Arial"/>
          <w:sz w:val="20"/>
          <w:szCs w:val="20"/>
        </w:rPr>
        <w:t xml:space="preserve"> </w:t>
      </w:r>
    </w:p>
    <w:p w14:paraId="39B02AB3"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Mesuwini, J. (2024). South African TVET students’ perceptions of their online learning experiences and challenges: A pilot study. </w:t>
      </w:r>
      <w:r w:rsidRPr="00017503">
        <w:rPr>
          <w:rFonts w:ascii="Arial" w:hAnsi="Arial" w:cs="Arial"/>
          <w:i/>
          <w:sz w:val="20"/>
          <w:szCs w:val="20"/>
        </w:rPr>
        <w:t>International Journal of Learning, Teaching and Educational Research</w:t>
      </w:r>
      <w:r w:rsidRPr="00017503">
        <w:rPr>
          <w:rFonts w:ascii="Arial" w:hAnsi="Arial" w:cs="Arial"/>
          <w:sz w:val="20"/>
          <w:szCs w:val="20"/>
        </w:rPr>
        <w:t>,</w:t>
      </w:r>
      <w:r w:rsidRPr="00017503">
        <w:rPr>
          <w:rFonts w:ascii="Arial" w:hAnsi="Arial" w:cs="Arial"/>
          <w:i/>
          <w:sz w:val="20"/>
          <w:szCs w:val="20"/>
        </w:rPr>
        <w:t xml:space="preserve"> 23</w:t>
      </w:r>
      <w:r w:rsidRPr="00017503">
        <w:rPr>
          <w:rFonts w:ascii="Arial" w:hAnsi="Arial" w:cs="Arial"/>
          <w:sz w:val="20"/>
          <w:szCs w:val="20"/>
        </w:rPr>
        <w:t xml:space="preserve">(9), 592-616. </w:t>
      </w:r>
    </w:p>
    <w:p w14:paraId="3662E7B6"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lastRenderedPageBreak/>
        <w:t xml:space="preserve">Mesuwini, J., &amp; Mokoena, S. (2024). Exploring online teaching and learning challenges for the technical and vocational education and training lecturer. </w:t>
      </w:r>
      <w:r w:rsidRPr="00017503">
        <w:rPr>
          <w:rFonts w:ascii="Arial" w:hAnsi="Arial" w:cs="Arial"/>
          <w:i/>
          <w:sz w:val="20"/>
          <w:szCs w:val="20"/>
        </w:rPr>
        <w:t>Journal of Education and e-Learning Research</w:t>
      </w:r>
      <w:r w:rsidRPr="00017503">
        <w:rPr>
          <w:rFonts w:ascii="Arial" w:hAnsi="Arial" w:cs="Arial"/>
          <w:sz w:val="20"/>
          <w:szCs w:val="20"/>
        </w:rPr>
        <w:t xml:space="preserve">. </w:t>
      </w:r>
      <w:hyperlink r:id="rId30" w:history="1">
        <w:r w:rsidRPr="00017503">
          <w:rPr>
            <w:rStyle w:val="Hyperlink"/>
            <w:rFonts w:ascii="Arial" w:hAnsi="Arial" w:cs="Arial"/>
            <w:sz w:val="20"/>
            <w:szCs w:val="20"/>
          </w:rPr>
          <w:t>https://doi.org/10.20448/jeelr.v11i1.5423</w:t>
        </w:r>
      </w:hyperlink>
      <w:r w:rsidRPr="00017503">
        <w:rPr>
          <w:rFonts w:ascii="Arial" w:hAnsi="Arial" w:cs="Arial"/>
          <w:sz w:val="20"/>
          <w:szCs w:val="20"/>
        </w:rPr>
        <w:t xml:space="preserve"> </w:t>
      </w:r>
    </w:p>
    <w:p w14:paraId="0B6008A3" w14:textId="77777777" w:rsidR="00017503" w:rsidRPr="00017503" w:rsidRDefault="00017503" w:rsidP="00017503">
      <w:pPr>
        <w:pStyle w:val="Bibliography"/>
        <w:rPr>
          <w:rFonts w:ascii="Arial" w:hAnsi="Arial" w:cs="Arial"/>
          <w:sz w:val="20"/>
          <w:szCs w:val="20"/>
        </w:rPr>
      </w:pPr>
      <w:r w:rsidRPr="00017503">
        <w:rPr>
          <w:rFonts w:ascii="Arial" w:hAnsi="Arial" w:cs="Arial"/>
          <w:sz w:val="20"/>
          <w:szCs w:val="20"/>
        </w:rPr>
        <w:t xml:space="preserve">Miyawa, C. J., Ferej, A., &amp; Muyaka, J. (2023). Effect of Trainer Pedagogical Competences on </w:t>
      </w:r>
      <w:r w:rsidRPr="00017503">
        <w:rPr>
          <w:rFonts w:ascii="Arial" w:hAnsi="Arial" w:cs="Arial"/>
          <w:sz w:val="20"/>
          <w:szCs w:val="20"/>
        </w:rPr>
        <w:tab/>
        <w:t>Students’ Academic Performance in Diploma Set Courses: A Case of National</w:t>
      </w:r>
      <w:r w:rsidRPr="00017503">
        <w:rPr>
          <w:rFonts w:ascii="Arial" w:hAnsi="Arial" w:cs="Arial"/>
          <w:sz w:val="20"/>
          <w:szCs w:val="20"/>
        </w:rPr>
        <w:tab/>
      </w:r>
      <w:r w:rsidRPr="00017503">
        <w:rPr>
          <w:rFonts w:ascii="Arial" w:hAnsi="Arial" w:cs="Arial"/>
          <w:sz w:val="20"/>
          <w:szCs w:val="20"/>
        </w:rPr>
        <w:tab/>
        <w:t xml:space="preserve"> Polytechnics in Western Kenya. </w:t>
      </w:r>
      <w:r w:rsidRPr="00017503">
        <w:rPr>
          <w:rFonts w:ascii="Arial" w:hAnsi="Arial" w:cs="Arial"/>
          <w:i/>
          <w:iCs/>
          <w:sz w:val="20"/>
          <w:szCs w:val="20"/>
        </w:rPr>
        <w:t>Asian Journal of Education and Social Studies</w:t>
      </w:r>
      <w:r w:rsidRPr="00017503">
        <w:rPr>
          <w:rFonts w:ascii="Arial" w:hAnsi="Arial" w:cs="Arial"/>
          <w:sz w:val="20"/>
          <w:szCs w:val="20"/>
        </w:rPr>
        <w:t xml:space="preserve">, </w:t>
      </w:r>
      <w:r w:rsidRPr="00017503">
        <w:rPr>
          <w:rFonts w:ascii="Arial" w:hAnsi="Arial" w:cs="Arial"/>
          <w:sz w:val="20"/>
          <w:szCs w:val="20"/>
        </w:rPr>
        <w:tab/>
      </w:r>
      <w:r w:rsidRPr="00017503">
        <w:rPr>
          <w:rFonts w:ascii="Arial" w:hAnsi="Arial" w:cs="Arial"/>
          <w:i/>
          <w:iCs/>
          <w:sz w:val="20"/>
          <w:szCs w:val="20"/>
        </w:rPr>
        <w:t>48</w:t>
      </w:r>
      <w:r w:rsidRPr="00017503">
        <w:rPr>
          <w:rFonts w:ascii="Arial" w:hAnsi="Arial" w:cs="Arial"/>
          <w:sz w:val="20"/>
          <w:szCs w:val="20"/>
        </w:rPr>
        <w:t>(1), 15–27. https://doi.org/10.9734/ajess/2023/v48i11035</w:t>
      </w:r>
    </w:p>
    <w:p w14:paraId="7E380EAE"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Mohd, Z. R., Mohammad, H. M. A., &amp; Abdul, R. A. B. W. (2022). Preferences of educators and students in vocational colleges regarding teaching methods. </w:t>
      </w:r>
      <w:r w:rsidRPr="00017503">
        <w:rPr>
          <w:rFonts w:ascii="Arial" w:hAnsi="Arial" w:cs="Arial"/>
          <w:i/>
          <w:sz w:val="20"/>
          <w:szCs w:val="20"/>
        </w:rPr>
        <w:t>Перспективы науки и образования</w:t>
      </w:r>
      <w:r w:rsidRPr="00017503">
        <w:rPr>
          <w:rFonts w:ascii="Arial" w:hAnsi="Arial" w:cs="Arial"/>
          <w:sz w:val="20"/>
          <w:szCs w:val="20"/>
        </w:rPr>
        <w:t xml:space="preserve">(1 (55)), 159-170. </w:t>
      </w:r>
    </w:p>
    <w:p w14:paraId="479835A0"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Moll, I., &amp; Naiker, V. (2024). Learning Theories in TVET Pedagogy. In </w:t>
      </w:r>
      <w:r w:rsidRPr="00017503">
        <w:rPr>
          <w:rFonts w:ascii="Arial" w:hAnsi="Arial" w:cs="Arial"/>
          <w:i/>
          <w:sz w:val="20"/>
          <w:szCs w:val="20"/>
        </w:rPr>
        <w:t>Technical and Vocational Teaching in South Africa: Practice, Pedagogy and Digitalisation</w:t>
      </w:r>
      <w:r w:rsidRPr="00017503">
        <w:rPr>
          <w:rFonts w:ascii="Arial" w:hAnsi="Arial" w:cs="Arial"/>
          <w:sz w:val="20"/>
          <w:szCs w:val="20"/>
        </w:rPr>
        <w:t xml:space="preserve"> (pp. 163-198). Springer. </w:t>
      </w:r>
    </w:p>
    <w:p w14:paraId="354E2440"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Motogna, S., Marcus, A., &amp; Molnar, A. (2020). Adapting to online teaching in software engineering courses. </w:t>
      </w:r>
      <w:r w:rsidRPr="00017503">
        <w:rPr>
          <w:rFonts w:ascii="Arial" w:hAnsi="Arial" w:cs="Arial"/>
          <w:i/>
          <w:sz w:val="20"/>
          <w:szCs w:val="20"/>
        </w:rPr>
        <w:t>Proceedings of the 2nd ACM SIGSOFT International Workshop on Education through Advanced Software Engineering and Artificial Intelligence</w:t>
      </w:r>
      <w:r w:rsidRPr="00017503">
        <w:rPr>
          <w:rFonts w:ascii="Arial" w:hAnsi="Arial" w:cs="Arial"/>
          <w:sz w:val="20"/>
          <w:szCs w:val="20"/>
        </w:rPr>
        <w:t xml:space="preserve">. </w:t>
      </w:r>
      <w:hyperlink r:id="rId31" w:history="1">
        <w:r w:rsidRPr="00017503">
          <w:rPr>
            <w:rStyle w:val="Hyperlink"/>
            <w:rFonts w:ascii="Arial" w:hAnsi="Arial" w:cs="Arial"/>
            <w:sz w:val="20"/>
            <w:szCs w:val="20"/>
          </w:rPr>
          <w:t>https://doi.org/10.1145/3412453.3423194</w:t>
        </w:r>
      </w:hyperlink>
      <w:r w:rsidRPr="00017503">
        <w:rPr>
          <w:rFonts w:ascii="Arial" w:hAnsi="Arial" w:cs="Arial"/>
          <w:sz w:val="20"/>
          <w:szCs w:val="20"/>
        </w:rPr>
        <w:t xml:space="preserve"> </w:t>
      </w:r>
    </w:p>
    <w:p w14:paraId="11D17F06"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Munene, R. M., Ngeera, F., &amp; Kanyi, C. (2023). Preparedness of Instructional Materials for Supporting the Implementation of Curriculum through Online Distance Teaching and Learning at National TVET Institutions in Kenya. </w:t>
      </w:r>
      <w:r w:rsidRPr="00017503">
        <w:rPr>
          <w:rFonts w:ascii="Arial" w:hAnsi="Arial" w:cs="Arial"/>
          <w:i/>
          <w:sz w:val="20"/>
          <w:szCs w:val="20"/>
        </w:rPr>
        <w:t>International Journal of Professional Practice</w:t>
      </w:r>
      <w:r w:rsidRPr="00017503">
        <w:rPr>
          <w:rFonts w:ascii="Arial" w:hAnsi="Arial" w:cs="Arial"/>
          <w:sz w:val="20"/>
          <w:szCs w:val="20"/>
        </w:rPr>
        <w:t xml:space="preserve">. </w:t>
      </w:r>
      <w:hyperlink r:id="rId32" w:history="1">
        <w:r w:rsidRPr="00017503">
          <w:rPr>
            <w:rStyle w:val="Hyperlink"/>
            <w:rFonts w:ascii="Arial" w:hAnsi="Arial" w:cs="Arial"/>
            <w:sz w:val="20"/>
            <w:szCs w:val="20"/>
          </w:rPr>
          <w:t>https://doi.org/10.71274/ijpp.v11i3.383</w:t>
        </w:r>
      </w:hyperlink>
      <w:r w:rsidRPr="00017503">
        <w:rPr>
          <w:rFonts w:ascii="Arial" w:hAnsi="Arial" w:cs="Arial"/>
          <w:sz w:val="20"/>
          <w:szCs w:val="20"/>
        </w:rPr>
        <w:t xml:space="preserve"> </w:t>
      </w:r>
    </w:p>
    <w:p w14:paraId="2D02BF81"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Mutebi, R., Kerre, B. W., &amp; Mubichakani, J. (2023a). Challenges of an Online Pedagogy as a Method for TVET Practical Skills Training Delivery and Assessment. </w:t>
      </w:r>
      <w:r w:rsidRPr="00017503">
        <w:rPr>
          <w:rFonts w:ascii="Arial" w:hAnsi="Arial" w:cs="Arial"/>
          <w:i/>
          <w:sz w:val="20"/>
          <w:szCs w:val="20"/>
        </w:rPr>
        <w:t>East African Journal of Education Studies</w:t>
      </w:r>
      <w:r w:rsidRPr="00017503">
        <w:rPr>
          <w:rFonts w:ascii="Arial" w:hAnsi="Arial" w:cs="Arial"/>
          <w:sz w:val="20"/>
          <w:szCs w:val="20"/>
        </w:rPr>
        <w:t>,</w:t>
      </w:r>
      <w:r w:rsidRPr="00017503">
        <w:rPr>
          <w:rFonts w:ascii="Arial" w:hAnsi="Arial" w:cs="Arial"/>
          <w:i/>
          <w:sz w:val="20"/>
          <w:szCs w:val="20"/>
        </w:rPr>
        <w:t xml:space="preserve"> 6</w:t>
      </w:r>
      <w:r w:rsidRPr="00017503">
        <w:rPr>
          <w:rFonts w:ascii="Arial" w:hAnsi="Arial" w:cs="Arial"/>
          <w:sz w:val="20"/>
          <w:szCs w:val="20"/>
        </w:rPr>
        <w:t xml:space="preserve">(2), 396-405. </w:t>
      </w:r>
    </w:p>
    <w:p w14:paraId="5D7985CA"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Mutebi, R., Kerre, B. W., &amp; Mubichakani, J. (2023b). Efficacy of an Online Pedagogy on TVET Practical Skills Training Delivery: A Quasi-Experimental Study. </w:t>
      </w:r>
    </w:p>
    <w:p w14:paraId="1A0E6CA1" w14:textId="77777777" w:rsidR="00017503" w:rsidRPr="00017503" w:rsidRDefault="00017503" w:rsidP="00017503">
      <w:pPr>
        <w:pStyle w:val="Bibliography"/>
        <w:rPr>
          <w:rFonts w:ascii="Arial" w:hAnsi="Arial" w:cs="Arial"/>
          <w:sz w:val="20"/>
          <w:szCs w:val="20"/>
        </w:rPr>
      </w:pPr>
      <w:r w:rsidRPr="00017503">
        <w:rPr>
          <w:rFonts w:ascii="Arial" w:hAnsi="Arial" w:cs="Arial"/>
          <w:sz w:val="20"/>
          <w:szCs w:val="20"/>
        </w:rPr>
        <w:t xml:space="preserve">Muyaka, J., &amp; Kitainge, K. (2021). Implementation of Whole Youth Development Skills in </w:t>
      </w:r>
      <w:r w:rsidRPr="00017503">
        <w:rPr>
          <w:rFonts w:ascii="Arial" w:hAnsi="Arial" w:cs="Arial"/>
          <w:sz w:val="20"/>
          <w:szCs w:val="20"/>
        </w:rPr>
        <w:tab/>
        <w:t xml:space="preserve">Kenya’s TVET Institutions. </w:t>
      </w:r>
      <w:r w:rsidRPr="00017503">
        <w:rPr>
          <w:rFonts w:ascii="Arial" w:hAnsi="Arial" w:cs="Arial"/>
          <w:i/>
          <w:iCs/>
          <w:sz w:val="20"/>
          <w:szCs w:val="20"/>
        </w:rPr>
        <w:t xml:space="preserve">The Kenya Journal of Technical and Vocational </w:t>
      </w:r>
      <w:r w:rsidRPr="00017503">
        <w:rPr>
          <w:rFonts w:ascii="Arial" w:hAnsi="Arial" w:cs="Arial"/>
          <w:i/>
          <w:iCs/>
          <w:sz w:val="20"/>
          <w:szCs w:val="20"/>
        </w:rPr>
        <w:tab/>
        <w:t>Education and Training</w:t>
      </w:r>
      <w:r w:rsidRPr="00017503">
        <w:rPr>
          <w:rFonts w:ascii="Arial" w:hAnsi="Arial" w:cs="Arial"/>
          <w:sz w:val="20"/>
          <w:szCs w:val="20"/>
        </w:rPr>
        <w:t>, 63–80.</w:t>
      </w:r>
    </w:p>
    <w:p w14:paraId="366A1296"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Nashir, I. M., &amp; Mustapha, R. (2017). A new TVET leadership model: Combination of innovative and instructional paradigms. </w:t>
      </w:r>
      <w:r w:rsidRPr="00017503">
        <w:rPr>
          <w:rFonts w:ascii="Arial" w:hAnsi="Arial" w:cs="Arial"/>
          <w:i/>
          <w:sz w:val="20"/>
          <w:szCs w:val="20"/>
        </w:rPr>
        <w:t>Journal of Asian Vocational Education and Training</w:t>
      </w:r>
      <w:r w:rsidRPr="00017503">
        <w:rPr>
          <w:rFonts w:ascii="Arial" w:hAnsi="Arial" w:cs="Arial"/>
          <w:sz w:val="20"/>
          <w:szCs w:val="20"/>
        </w:rPr>
        <w:t>,</w:t>
      </w:r>
      <w:r w:rsidRPr="00017503">
        <w:rPr>
          <w:rFonts w:ascii="Arial" w:hAnsi="Arial" w:cs="Arial"/>
          <w:i/>
          <w:sz w:val="20"/>
          <w:szCs w:val="20"/>
        </w:rPr>
        <w:t xml:space="preserve"> 10</w:t>
      </w:r>
      <w:r w:rsidRPr="00017503">
        <w:rPr>
          <w:rFonts w:ascii="Arial" w:hAnsi="Arial" w:cs="Arial"/>
          <w:sz w:val="20"/>
          <w:szCs w:val="20"/>
        </w:rPr>
        <w:t xml:space="preserve">(1), 1-16. </w:t>
      </w:r>
    </w:p>
    <w:p w14:paraId="1E57E3E1"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Nyakundi, P. N. (2023). E-Learning Readiness and Perceptions of Trainers towards Teaching Skills-Based Courses among TVET Institutions in North Imenti Constituency, Meru County, Kenya. </w:t>
      </w:r>
      <w:r w:rsidRPr="00017503">
        <w:rPr>
          <w:rFonts w:ascii="Arial" w:hAnsi="Arial" w:cs="Arial"/>
          <w:i/>
          <w:sz w:val="20"/>
          <w:szCs w:val="20"/>
        </w:rPr>
        <w:t>Africa Journal of Technical and Vocational Education and Training</w:t>
      </w:r>
      <w:r w:rsidRPr="00017503">
        <w:rPr>
          <w:rFonts w:ascii="Arial" w:hAnsi="Arial" w:cs="Arial"/>
          <w:sz w:val="20"/>
          <w:szCs w:val="20"/>
        </w:rPr>
        <w:t xml:space="preserve">. </w:t>
      </w:r>
      <w:hyperlink r:id="rId33" w:history="1">
        <w:r w:rsidRPr="00017503">
          <w:rPr>
            <w:rStyle w:val="Hyperlink"/>
            <w:rFonts w:ascii="Arial" w:hAnsi="Arial" w:cs="Arial"/>
            <w:sz w:val="20"/>
            <w:szCs w:val="20"/>
          </w:rPr>
          <w:t>https://doi.org/10.69641/afritvet.2023.81161</w:t>
        </w:r>
      </w:hyperlink>
      <w:r w:rsidRPr="00017503">
        <w:rPr>
          <w:rFonts w:ascii="Arial" w:hAnsi="Arial" w:cs="Arial"/>
          <w:sz w:val="20"/>
          <w:szCs w:val="20"/>
        </w:rPr>
        <w:t xml:space="preserve"> </w:t>
      </w:r>
    </w:p>
    <w:p w14:paraId="2CCDEAFB"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Okolie, U. C., Ogwu, E. N., Osuji, C. U., Ogba, F. N., Igwe, P. A., &amp; Obih, S. O. (2023). A critical perspective on TVET teachers’ pedagogical practices: insights into the guiding pedagogical principles in practice. </w:t>
      </w:r>
      <w:r w:rsidRPr="00017503">
        <w:rPr>
          <w:rFonts w:ascii="Arial" w:hAnsi="Arial" w:cs="Arial"/>
          <w:i/>
          <w:sz w:val="20"/>
          <w:szCs w:val="20"/>
        </w:rPr>
        <w:t>Journal of Vocational Education &amp; Training</w:t>
      </w:r>
      <w:r w:rsidRPr="00017503">
        <w:rPr>
          <w:rFonts w:ascii="Arial" w:hAnsi="Arial" w:cs="Arial"/>
          <w:sz w:val="20"/>
          <w:szCs w:val="20"/>
        </w:rPr>
        <w:t>,</w:t>
      </w:r>
      <w:r w:rsidRPr="00017503">
        <w:rPr>
          <w:rFonts w:ascii="Arial" w:hAnsi="Arial" w:cs="Arial"/>
          <w:i/>
          <w:sz w:val="20"/>
          <w:szCs w:val="20"/>
        </w:rPr>
        <w:t xml:space="preserve"> 75</w:t>
      </w:r>
      <w:r w:rsidRPr="00017503">
        <w:rPr>
          <w:rFonts w:ascii="Arial" w:hAnsi="Arial" w:cs="Arial"/>
          <w:sz w:val="20"/>
          <w:szCs w:val="20"/>
        </w:rPr>
        <w:t xml:space="preserve">(3), 439-458. </w:t>
      </w:r>
    </w:p>
    <w:p w14:paraId="72BC7A85"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Okumu, G., &amp; Kenei, J. (2022). The Efficacy of Distance and On-line Learning in TVET Institutions in Kenya. </w:t>
      </w:r>
      <w:r w:rsidRPr="00017503">
        <w:rPr>
          <w:rFonts w:ascii="Arial" w:hAnsi="Arial" w:cs="Arial"/>
          <w:i/>
          <w:sz w:val="20"/>
          <w:szCs w:val="20"/>
        </w:rPr>
        <w:t>The Kenya Journal of Technical and Vocational Education and Training</w:t>
      </w:r>
      <w:r w:rsidRPr="00017503">
        <w:rPr>
          <w:rFonts w:ascii="Arial" w:hAnsi="Arial" w:cs="Arial"/>
          <w:sz w:val="20"/>
          <w:szCs w:val="20"/>
        </w:rPr>
        <w:t>,</w:t>
      </w:r>
      <w:r w:rsidRPr="00017503">
        <w:rPr>
          <w:rFonts w:ascii="Arial" w:hAnsi="Arial" w:cs="Arial"/>
          <w:i/>
          <w:sz w:val="20"/>
          <w:szCs w:val="20"/>
        </w:rPr>
        <w:t xml:space="preserve"> 5</w:t>
      </w:r>
      <w:r w:rsidRPr="00017503">
        <w:rPr>
          <w:rFonts w:ascii="Arial" w:hAnsi="Arial" w:cs="Arial"/>
          <w:sz w:val="20"/>
          <w:szCs w:val="20"/>
        </w:rPr>
        <w:t xml:space="preserve">, 17-31. </w:t>
      </w:r>
    </w:p>
    <w:p w14:paraId="43B52A44"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Pangeni, S. K., &amp; Karki, G. (2021). E-learning initiatives at CTEVT: An attempt at innovation and paradigm shift in TVET pedagogy. </w:t>
      </w:r>
      <w:r w:rsidRPr="00017503">
        <w:rPr>
          <w:rFonts w:ascii="Arial" w:hAnsi="Arial" w:cs="Arial"/>
          <w:i/>
          <w:sz w:val="20"/>
          <w:szCs w:val="20"/>
        </w:rPr>
        <w:t>Journal of Technical and Vocational Education and Training</w:t>
      </w:r>
      <w:r w:rsidRPr="00017503">
        <w:rPr>
          <w:rFonts w:ascii="Arial" w:hAnsi="Arial" w:cs="Arial"/>
          <w:sz w:val="20"/>
          <w:szCs w:val="20"/>
        </w:rPr>
        <w:t>,</w:t>
      </w:r>
      <w:r w:rsidRPr="00017503">
        <w:rPr>
          <w:rFonts w:ascii="Arial" w:hAnsi="Arial" w:cs="Arial"/>
          <w:i/>
          <w:sz w:val="20"/>
          <w:szCs w:val="20"/>
        </w:rPr>
        <w:t xml:space="preserve"> 1</w:t>
      </w:r>
      <w:r w:rsidRPr="00017503">
        <w:rPr>
          <w:rFonts w:ascii="Arial" w:hAnsi="Arial" w:cs="Arial"/>
          <w:sz w:val="20"/>
          <w:szCs w:val="20"/>
        </w:rPr>
        <w:t xml:space="preserve">(15), 134-147. </w:t>
      </w:r>
    </w:p>
    <w:p w14:paraId="1823468D"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Reddy, L., Letswalo, M. L., Sefage, A. P., Kheswa, B. V., Balakrishna, A., Changundega, J. M., Mvelase, M. J., Kheswa, K. A., Majola, S. N. T., &amp; Mathe, T. (2022). Integrity vs. Quality of Assessments: Are They Compromised on the Online Platform? </w:t>
      </w:r>
      <w:r w:rsidRPr="00017503">
        <w:rPr>
          <w:rFonts w:ascii="Arial" w:hAnsi="Arial" w:cs="Arial"/>
          <w:i/>
          <w:sz w:val="20"/>
          <w:szCs w:val="20"/>
        </w:rPr>
        <w:t>Pedagogical Research</w:t>
      </w:r>
      <w:r w:rsidRPr="00017503">
        <w:rPr>
          <w:rFonts w:ascii="Arial" w:hAnsi="Arial" w:cs="Arial"/>
          <w:sz w:val="20"/>
          <w:szCs w:val="20"/>
        </w:rPr>
        <w:t>,</w:t>
      </w:r>
      <w:r w:rsidRPr="00017503">
        <w:rPr>
          <w:rFonts w:ascii="Arial" w:hAnsi="Arial" w:cs="Arial"/>
          <w:i/>
          <w:sz w:val="20"/>
          <w:szCs w:val="20"/>
        </w:rPr>
        <w:t xml:space="preserve"> 7</w:t>
      </w:r>
      <w:r w:rsidRPr="00017503">
        <w:rPr>
          <w:rFonts w:ascii="Arial" w:hAnsi="Arial" w:cs="Arial"/>
          <w:sz w:val="20"/>
          <w:szCs w:val="20"/>
        </w:rPr>
        <w:t xml:space="preserve">(2). </w:t>
      </w:r>
    </w:p>
    <w:p w14:paraId="1C564C84"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Ren, W., Li, S., &amp; Lü, X. (2022). A Meta-analysis of the Effectiveness of Second Language Pragmatics Instruction. </w:t>
      </w:r>
      <w:r w:rsidRPr="00017503">
        <w:rPr>
          <w:rFonts w:ascii="Arial" w:hAnsi="Arial" w:cs="Arial"/>
          <w:i/>
          <w:sz w:val="20"/>
          <w:szCs w:val="20"/>
        </w:rPr>
        <w:t>Applied Linguistics</w:t>
      </w:r>
      <w:r w:rsidRPr="00017503">
        <w:rPr>
          <w:rFonts w:ascii="Arial" w:hAnsi="Arial" w:cs="Arial"/>
          <w:sz w:val="20"/>
          <w:szCs w:val="20"/>
        </w:rPr>
        <w:t xml:space="preserve">. </w:t>
      </w:r>
      <w:hyperlink r:id="rId34" w:history="1">
        <w:r w:rsidRPr="00017503">
          <w:rPr>
            <w:rStyle w:val="Hyperlink"/>
            <w:rFonts w:ascii="Arial" w:hAnsi="Arial" w:cs="Arial"/>
            <w:sz w:val="20"/>
            <w:szCs w:val="20"/>
          </w:rPr>
          <w:t>https://doi.org/10.1093/applin/amac055</w:t>
        </w:r>
      </w:hyperlink>
      <w:r w:rsidRPr="00017503">
        <w:rPr>
          <w:rFonts w:ascii="Arial" w:hAnsi="Arial" w:cs="Arial"/>
          <w:sz w:val="20"/>
          <w:szCs w:val="20"/>
        </w:rPr>
        <w:t xml:space="preserve"> </w:t>
      </w:r>
    </w:p>
    <w:p w14:paraId="35C22DC2"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lastRenderedPageBreak/>
        <w:t xml:space="preserve">Shakeel, S. I., Haolader, M. F. A., &amp; Sultana, M. S. (2023). Exploring dimensions of blended learning readiness: Validation of scale and assessing blended learning readiness in the context of TVET Bangladesh. </w:t>
      </w:r>
      <w:r w:rsidRPr="00017503">
        <w:rPr>
          <w:rFonts w:ascii="Arial" w:hAnsi="Arial" w:cs="Arial"/>
          <w:i/>
          <w:sz w:val="20"/>
          <w:szCs w:val="20"/>
        </w:rPr>
        <w:t>Heliyon</w:t>
      </w:r>
      <w:r w:rsidRPr="00017503">
        <w:rPr>
          <w:rFonts w:ascii="Arial" w:hAnsi="Arial" w:cs="Arial"/>
          <w:sz w:val="20"/>
          <w:szCs w:val="20"/>
        </w:rPr>
        <w:t>,</w:t>
      </w:r>
      <w:r w:rsidRPr="00017503">
        <w:rPr>
          <w:rFonts w:ascii="Arial" w:hAnsi="Arial" w:cs="Arial"/>
          <w:i/>
          <w:sz w:val="20"/>
          <w:szCs w:val="20"/>
        </w:rPr>
        <w:t xml:space="preserve"> 9</w:t>
      </w:r>
      <w:r w:rsidRPr="00017503">
        <w:rPr>
          <w:rFonts w:ascii="Arial" w:hAnsi="Arial" w:cs="Arial"/>
          <w:sz w:val="20"/>
          <w:szCs w:val="20"/>
        </w:rPr>
        <w:t xml:space="preserve">(1). </w:t>
      </w:r>
    </w:p>
    <w:p w14:paraId="75624217"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Shapson, S., Wright, E., Eason, G., &amp; Fitzgerald, J. (1978). An Experimental Study of the Effects of Class Size. </w:t>
      </w:r>
      <w:r w:rsidRPr="00017503">
        <w:rPr>
          <w:rFonts w:ascii="Arial" w:hAnsi="Arial" w:cs="Arial"/>
          <w:i/>
          <w:sz w:val="20"/>
          <w:szCs w:val="20"/>
        </w:rPr>
        <w:t>American Educational Research Journal</w:t>
      </w:r>
      <w:r w:rsidRPr="00017503">
        <w:rPr>
          <w:rFonts w:ascii="Arial" w:hAnsi="Arial" w:cs="Arial"/>
          <w:sz w:val="20"/>
          <w:szCs w:val="20"/>
        </w:rPr>
        <w:t>,</w:t>
      </w:r>
      <w:r w:rsidRPr="00017503">
        <w:rPr>
          <w:rFonts w:ascii="Arial" w:hAnsi="Arial" w:cs="Arial"/>
          <w:i/>
          <w:sz w:val="20"/>
          <w:szCs w:val="20"/>
        </w:rPr>
        <w:t xml:space="preserve"> 17</w:t>
      </w:r>
      <w:r w:rsidRPr="00017503">
        <w:rPr>
          <w:rFonts w:ascii="Arial" w:hAnsi="Arial" w:cs="Arial"/>
          <w:sz w:val="20"/>
          <w:szCs w:val="20"/>
        </w:rPr>
        <w:t xml:space="preserve">, 141-152. </w:t>
      </w:r>
      <w:hyperlink r:id="rId35" w:history="1">
        <w:r w:rsidRPr="00017503">
          <w:rPr>
            <w:rStyle w:val="Hyperlink"/>
            <w:rFonts w:ascii="Arial" w:hAnsi="Arial" w:cs="Arial"/>
            <w:sz w:val="20"/>
            <w:szCs w:val="20"/>
          </w:rPr>
          <w:t>https://doi.org/10.3102/00028312017002141</w:t>
        </w:r>
      </w:hyperlink>
      <w:r w:rsidRPr="00017503">
        <w:rPr>
          <w:rFonts w:ascii="Arial" w:hAnsi="Arial" w:cs="Arial"/>
          <w:sz w:val="20"/>
          <w:szCs w:val="20"/>
        </w:rPr>
        <w:t xml:space="preserve"> </w:t>
      </w:r>
    </w:p>
    <w:p w14:paraId="558E6BA8"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Simelane-Mnisi, S. (2023). Effectiveness of LMS digital tools used by the academics to foster students’ engagement. </w:t>
      </w:r>
      <w:r w:rsidRPr="00017503">
        <w:rPr>
          <w:rFonts w:ascii="Arial" w:hAnsi="Arial" w:cs="Arial"/>
          <w:i/>
          <w:sz w:val="20"/>
          <w:szCs w:val="20"/>
        </w:rPr>
        <w:t>Education Sciences</w:t>
      </w:r>
      <w:r w:rsidRPr="00017503">
        <w:rPr>
          <w:rFonts w:ascii="Arial" w:hAnsi="Arial" w:cs="Arial"/>
          <w:sz w:val="20"/>
          <w:szCs w:val="20"/>
        </w:rPr>
        <w:t>,</w:t>
      </w:r>
      <w:r w:rsidRPr="00017503">
        <w:rPr>
          <w:rFonts w:ascii="Arial" w:hAnsi="Arial" w:cs="Arial"/>
          <w:i/>
          <w:sz w:val="20"/>
          <w:szCs w:val="20"/>
        </w:rPr>
        <w:t xml:space="preserve"> 13</w:t>
      </w:r>
      <w:r w:rsidRPr="00017503">
        <w:rPr>
          <w:rFonts w:ascii="Arial" w:hAnsi="Arial" w:cs="Arial"/>
          <w:sz w:val="20"/>
          <w:szCs w:val="20"/>
        </w:rPr>
        <w:t xml:space="preserve">(10), 980. </w:t>
      </w:r>
    </w:p>
    <w:p w14:paraId="53C4FD3F"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Simsek, I., Kucuk, S., Biber, S. K., &amp; Can, T. (2021). Development of an Online Teaching Competency Scale for University Instructors. </w:t>
      </w:r>
      <w:r w:rsidRPr="00017503">
        <w:rPr>
          <w:rFonts w:ascii="Arial" w:hAnsi="Arial" w:cs="Arial"/>
          <w:i/>
          <w:sz w:val="20"/>
          <w:szCs w:val="20"/>
        </w:rPr>
        <w:t>Open Praxis</w:t>
      </w:r>
      <w:r w:rsidRPr="00017503">
        <w:rPr>
          <w:rFonts w:ascii="Arial" w:hAnsi="Arial" w:cs="Arial"/>
          <w:sz w:val="20"/>
          <w:szCs w:val="20"/>
        </w:rPr>
        <w:t>,</w:t>
      </w:r>
      <w:r w:rsidRPr="00017503">
        <w:rPr>
          <w:rFonts w:ascii="Arial" w:hAnsi="Arial" w:cs="Arial"/>
          <w:i/>
          <w:sz w:val="20"/>
          <w:szCs w:val="20"/>
        </w:rPr>
        <w:t xml:space="preserve"> 13</w:t>
      </w:r>
      <w:r w:rsidRPr="00017503">
        <w:rPr>
          <w:rFonts w:ascii="Arial" w:hAnsi="Arial" w:cs="Arial"/>
          <w:sz w:val="20"/>
          <w:szCs w:val="20"/>
        </w:rPr>
        <w:t xml:space="preserve">. </w:t>
      </w:r>
      <w:hyperlink r:id="rId36" w:history="1">
        <w:r w:rsidRPr="00017503">
          <w:rPr>
            <w:rStyle w:val="Hyperlink"/>
            <w:rFonts w:ascii="Arial" w:hAnsi="Arial" w:cs="Arial"/>
            <w:sz w:val="20"/>
            <w:szCs w:val="20"/>
          </w:rPr>
          <w:t>https://doi.org/10.5944/OPENPRAXIS.13.2.137</w:t>
        </w:r>
      </w:hyperlink>
      <w:r w:rsidRPr="00017503">
        <w:rPr>
          <w:rFonts w:ascii="Arial" w:hAnsi="Arial" w:cs="Arial"/>
          <w:sz w:val="20"/>
          <w:szCs w:val="20"/>
        </w:rPr>
        <w:t xml:space="preserve"> </w:t>
      </w:r>
    </w:p>
    <w:p w14:paraId="47344555"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Somers, R., Cunningham-Nelson, S., &amp; Boles, W. (2021). Applying natural language processing to automatically assess student conceptual understanding from textual responses. </w:t>
      </w:r>
      <w:r w:rsidRPr="00017503">
        <w:rPr>
          <w:rFonts w:ascii="Arial" w:hAnsi="Arial" w:cs="Arial"/>
          <w:i/>
          <w:sz w:val="20"/>
          <w:szCs w:val="20"/>
        </w:rPr>
        <w:t>Australasian Journal of Educational Technology</w:t>
      </w:r>
      <w:r w:rsidRPr="00017503">
        <w:rPr>
          <w:rFonts w:ascii="Arial" w:hAnsi="Arial" w:cs="Arial"/>
          <w:sz w:val="20"/>
          <w:szCs w:val="20"/>
        </w:rPr>
        <w:t xml:space="preserve">. </w:t>
      </w:r>
      <w:hyperlink r:id="rId37" w:history="1">
        <w:r w:rsidRPr="00017503">
          <w:rPr>
            <w:rStyle w:val="Hyperlink"/>
            <w:rFonts w:ascii="Arial" w:hAnsi="Arial" w:cs="Arial"/>
            <w:sz w:val="20"/>
            <w:szCs w:val="20"/>
          </w:rPr>
          <w:t>https://doi.org/10.14742/ajet.7121</w:t>
        </w:r>
      </w:hyperlink>
      <w:r w:rsidRPr="00017503">
        <w:rPr>
          <w:rFonts w:ascii="Arial" w:hAnsi="Arial" w:cs="Arial"/>
          <w:sz w:val="20"/>
          <w:szCs w:val="20"/>
        </w:rPr>
        <w:t xml:space="preserve"> </w:t>
      </w:r>
    </w:p>
    <w:p w14:paraId="3B54B9DA"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Tahir, R., &amp; Abdullah, Z. (2023). Revolutionising Delivery in TVET for Industry 4.0: Strategies from the Field–NGT and ISM Approach. </w:t>
      </w:r>
      <w:r w:rsidRPr="00017503">
        <w:rPr>
          <w:rFonts w:ascii="Arial" w:hAnsi="Arial" w:cs="Arial"/>
          <w:i/>
          <w:sz w:val="20"/>
          <w:szCs w:val="20"/>
        </w:rPr>
        <w:t>Journal of Current Science and Research Review</w:t>
      </w:r>
      <w:r w:rsidRPr="00017503">
        <w:rPr>
          <w:rFonts w:ascii="Arial" w:hAnsi="Arial" w:cs="Arial"/>
          <w:sz w:val="20"/>
          <w:szCs w:val="20"/>
        </w:rPr>
        <w:t>,</w:t>
      </w:r>
      <w:r w:rsidRPr="00017503">
        <w:rPr>
          <w:rFonts w:ascii="Arial" w:hAnsi="Arial" w:cs="Arial"/>
          <w:i/>
          <w:sz w:val="20"/>
          <w:szCs w:val="20"/>
        </w:rPr>
        <w:t xml:space="preserve"> 1</w:t>
      </w:r>
      <w:r w:rsidRPr="00017503">
        <w:rPr>
          <w:rFonts w:ascii="Arial" w:hAnsi="Arial" w:cs="Arial"/>
          <w:sz w:val="20"/>
          <w:szCs w:val="20"/>
        </w:rPr>
        <w:t xml:space="preserve">(05), 139-157. </w:t>
      </w:r>
    </w:p>
    <w:p w14:paraId="3C6AB038"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Uakarn, C., Chaokromthong, K., &amp; Sintao, N. (2021). Sample size estimation using Yamane and Cochran and Krejcie and Morgan and Green formulas and Cohen statistical power analysis by G* power and comparisons. </w:t>
      </w:r>
      <w:r w:rsidRPr="00017503">
        <w:rPr>
          <w:rFonts w:ascii="Arial" w:hAnsi="Arial" w:cs="Arial"/>
          <w:i/>
          <w:sz w:val="20"/>
          <w:szCs w:val="20"/>
        </w:rPr>
        <w:t>Apheit Int J</w:t>
      </w:r>
      <w:r w:rsidRPr="00017503">
        <w:rPr>
          <w:rFonts w:ascii="Arial" w:hAnsi="Arial" w:cs="Arial"/>
          <w:sz w:val="20"/>
          <w:szCs w:val="20"/>
        </w:rPr>
        <w:t>,</w:t>
      </w:r>
      <w:r w:rsidRPr="00017503">
        <w:rPr>
          <w:rFonts w:ascii="Arial" w:hAnsi="Arial" w:cs="Arial"/>
          <w:i/>
          <w:sz w:val="20"/>
          <w:szCs w:val="20"/>
        </w:rPr>
        <w:t xml:space="preserve"> 10</w:t>
      </w:r>
      <w:r w:rsidRPr="00017503">
        <w:rPr>
          <w:rFonts w:ascii="Arial" w:hAnsi="Arial" w:cs="Arial"/>
          <w:sz w:val="20"/>
          <w:szCs w:val="20"/>
        </w:rPr>
        <w:t xml:space="preserve">(2), 76-88. </w:t>
      </w:r>
    </w:p>
    <w:p w14:paraId="63F72DE2"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Wang, Y., Wang, Y., Stein, D., Liu, Q., &amp; Chen, W. (2019). Examining Chinese beginning online instructors’ competencies in teaching online based on the Activity theory. </w:t>
      </w:r>
      <w:r w:rsidRPr="00017503">
        <w:rPr>
          <w:rFonts w:ascii="Arial" w:hAnsi="Arial" w:cs="Arial"/>
          <w:i/>
          <w:sz w:val="20"/>
          <w:szCs w:val="20"/>
        </w:rPr>
        <w:t>Journal of Computers in Education</w:t>
      </w:r>
      <w:r w:rsidRPr="00017503">
        <w:rPr>
          <w:rFonts w:ascii="Arial" w:hAnsi="Arial" w:cs="Arial"/>
          <w:sz w:val="20"/>
          <w:szCs w:val="20"/>
        </w:rPr>
        <w:t>,</w:t>
      </w:r>
      <w:r w:rsidRPr="00017503">
        <w:rPr>
          <w:rFonts w:ascii="Arial" w:hAnsi="Arial" w:cs="Arial"/>
          <w:i/>
          <w:sz w:val="20"/>
          <w:szCs w:val="20"/>
        </w:rPr>
        <w:t xml:space="preserve"> 6</w:t>
      </w:r>
      <w:r w:rsidRPr="00017503">
        <w:rPr>
          <w:rFonts w:ascii="Arial" w:hAnsi="Arial" w:cs="Arial"/>
          <w:sz w:val="20"/>
          <w:szCs w:val="20"/>
        </w:rPr>
        <w:t xml:space="preserve">, 363-384. </w:t>
      </w:r>
      <w:hyperlink r:id="rId38" w:history="1">
        <w:r w:rsidRPr="00017503">
          <w:rPr>
            <w:rStyle w:val="Hyperlink"/>
            <w:rFonts w:ascii="Arial" w:hAnsi="Arial" w:cs="Arial"/>
            <w:sz w:val="20"/>
            <w:szCs w:val="20"/>
          </w:rPr>
          <w:t>https://doi.org/10.1007/s40692-019-00140-w</w:t>
        </w:r>
      </w:hyperlink>
      <w:r w:rsidRPr="00017503">
        <w:rPr>
          <w:rFonts w:ascii="Arial" w:hAnsi="Arial" w:cs="Arial"/>
          <w:sz w:val="20"/>
          <w:szCs w:val="20"/>
        </w:rPr>
        <w:t xml:space="preserve"> </w:t>
      </w:r>
    </w:p>
    <w:p w14:paraId="1CA81344"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Wang, Z., &amp; Liu, J. (2019). A Teaching Quality Evaluation System of Massive Open Online Courses Based on Big Data Analysis. </w:t>
      </w:r>
      <w:r w:rsidRPr="00017503">
        <w:rPr>
          <w:rFonts w:ascii="Arial" w:hAnsi="Arial" w:cs="Arial"/>
          <w:i/>
          <w:sz w:val="20"/>
          <w:szCs w:val="20"/>
        </w:rPr>
        <w:t>Int. J. Emerg. Technol. Learn.</w:t>
      </w:r>
      <w:r w:rsidRPr="00017503">
        <w:rPr>
          <w:rFonts w:ascii="Arial" w:hAnsi="Arial" w:cs="Arial"/>
          <w:sz w:val="20"/>
          <w:szCs w:val="20"/>
        </w:rPr>
        <w:t>,</w:t>
      </w:r>
      <w:r w:rsidRPr="00017503">
        <w:rPr>
          <w:rFonts w:ascii="Arial" w:hAnsi="Arial" w:cs="Arial"/>
          <w:i/>
          <w:sz w:val="20"/>
          <w:szCs w:val="20"/>
        </w:rPr>
        <w:t xml:space="preserve"> 14</w:t>
      </w:r>
      <w:r w:rsidRPr="00017503">
        <w:rPr>
          <w:rFonts w:ascii="Arial" w:hAnsi="Arial" w:cs="Arial"/>
          <w:sz w:val="20"/>
          <w:szCs w:val="20"/>
        </w:rPr>
        <w:t xml:space="preserve">, 81-91. </w:t>
      </w:r>
      <w:hyperlink r:id="rId39" w:history="1">
        <w:r w:rsidRPr="00017503">
          <w:rPr>
            <w:rStyle w:val="Hyperlink"/>
            <w:rFonts w:ascii="Arial" w:hAnsi="Arial" w:cs="Arial"/>
            <w:sz w:val="20"/>
            <w:szCs w:val="20"/>
          </w:rPr>
          <w:t>https://doi.org/10.3991/IJET.V14I14.10818</w:t>
        </w:r>
      </w:hyperlink>
      <w:r w:rsidRPr="00017503">
        <w:rPr>
          <w:rFonts w:ascii="Arial" w:hAnsi="Arial" w:cs="Arial"/>
          <w:sz w:val="20"/>
          <w:szCs w:val="20"/>
        </w:rPr>
        <w:t xml:space="preserve"> </w:t>
      </w:r>
    </w:p>
    <w:p w14:paraId="76F7DB36"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Xin, Y., Tang, Y., &amp; Mou, X. (2024). An empirical study on the evaluation and influencing factors of digital competence of Chinese teachers for TVET. </w:t>
      </w:r>
      <w:r w:rsidRPr="00017503">
        <w:rPr>
          <w:rFonts w:ascii="Arial" w:hAnsi="Arial" w:cs="Arial"/>
          <w:i/>
          <w:sz w:val="20"/>
          <w:szCs w:val="20"/>
        </w:rPr>
        <w:t>PLOS ONE</w:t>
      </w:r>
      <w:r w:rsidRPr="00017503">
        <w:rPr>
          <w:rFonts w:ascii="Arial" w:hAnsi="Arial" w:cs="Arial"/>
          <w:sz w:val="20"/>
          <w:szCs w:val="20"/>
        </w:rPr>
        <w:t>,</w:t>
      </w:r>
      <w:r w:rsidRPr="00017503">
        <w:rPr>
          <w:rFonts w:ascii="Arial" w:hAnsi="Arial" w:cs="Arial"/>
          <w:i/>
          <w:sz w:val="20"/>
          <w:szCs w:val="20"/>
        </w:rPr>
        <w:t xml:space="preserve"> 19</w:t>
      </w:r>
      <w:r w:rsidRPr="00017503">
        <w:rPr>
          <w:rFonts w:ascii="Arial" w:hAnsi="Arial" w:cs="Arial"/>
          <w:sz w:val="20"/>
          <w:szCs w:val="20"/>
        </w:rPr>
        <w:t xml:space="preserve">. </w:t>
      </w:r>
      <w:hyperlink r:id="rId40" w:history="1">
        <w:r w:rsidRPr="00017503">
          <w:rPr>
            <w:rStyle w:val="Hyperlink"/>
            <w:rFonts w:ascii="Arial" w:hAnsi="Arial" w:cs="Arial"/>
            <w:sz w:val="20"/>
            <w:szCs w:val="20"/>
          </w:rPr>
          <w:t>https://doi.org/10.1371/journal.pone.0310187</w:t>
        </w:r>
      </w:hyperlink>
      <w:r w:rsidRPr="00017503">
        <w:rPr>
          <w:rFonts w:ascii="Arial" w:hAnsi="Arial" w:cs="Arial"/>
          <w:sz w:val="20"/>
          <w:szCs w:val="20"/>
        </w:rPr>
        <w:t xml:space="preserve"> </w:t>
      </w:r>
    </w:p>
    <w:p w14:paraId="1DA199B6"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Yusop, S. R., Rasul, M., Yasin, R. M., &amp; Hashim, H. (2023). Identifying and Validating Vocational Skills Domains and Indicators in Classroom Assessment Practices in TVET. </w:t>
      </w:r>
      <w:r w:rsidRPr="00017503">
        <w:rPr>
          <w:rFonts w:ascii="Arial" w:hAnsi="Arial" w:cs="Arial"/>
          <w:i/>
          <w:sz w:val="20"/>
          <w:szCs w:val="20"/>
        </w:rPr>
        <w:t>Sustainability</w:t>
      </w:r>
      <w:r w:rsidRPr="00017503">
        <w:rPr>
          <w:rFonts w:ascii="Arial" w:hAnsi="Arial" w:cs="Arial"/>
          <w:sz w:val="20"/>
          <w:szCs w:val="20"/>
        </w:rPr>
        <w:t xml:space="preserve">. </w:t>
      </w:r>
      <w:hyperlink r:id="rId41" w:history="1">
        <w:r w:rsidRPr="00017503">
          <w:rPr>
            <w:rStyle w:val="Hyperlink"/>
            <w:rFonts w:ascii="Arial" w:hAnsi="Arial" w:cs="Arial"/>
            <w:sz w:val="20"/>
            <w:szCs w:val="20"/>
          </w:rPr>
          <w:t>https://doi.org/10.3390/su15065195</w:t>
        </w:r>
      </w:hyperlink>
      <w:r w:rsidRPr="00017503">
        <w:rPr>
          <w:rFonts w:ascii="Arial" w:hAnsi="Arial" w:cs="Arial"/>
          <w:sz w:val="20"/>
          <w:szCs w:val="20"/>
        </w:rPr>
        <w:t xml:space="preserve"> </w:t>
      </w:r>
    </w:p>
    <w:p w14:paraId="5B928E97"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Yusop, S. R., Rasul, M., Yasin, R. M., Hashim, H., &amp; Jalaludin, N. (2022). An Assessment Approaches and Learning Outcomes in Technical and Vocational Education: A Systematic Review Using PRISMA. </w:t>
      </w:r>
      <w:r w:rsidRPr="00017503">
        <w:rPr>
          <w:rFonts w:ascii="Arial" w:hAnsi="Arial" w:cs="Arial"/>
          <w:i/>
          <w:sz w:val="20"/>
          <w:szCs w:val="20"/>
        </w:rPr>
        <w:t>Sustainability</w:t>
      </w:r>
      <w:r w:rsidRPr="00017503">
        <w:rPr>
          <w:rFonts w:ascii="Arial" w:hAnsi="Arial" w:cs="Arial"/>
          <w:sz w:val="20"/>
          <w:szCs w:val="20"/>
        </w:rPr>
        <w:t xml:space="preserve">. </w:t>
      </w:r>
      <w:hyperlink r:id="rId42" w:history="1">
        <w:r w:rsidRPr="00017503">
          <w:rPr>
            <w:rStyle w:val="Hyperlink"/>
            <w:rFonts w:ascii="Arial" w:hAnsi="Arial" w:cs="Arial"/>
            <w:sz w:val="20"/>
            <w:szCs w:val="20"/>
          </w:rPr>
          <w:t>https://doi.org/10.3390/su14095225</w:t>
        </w:r>
      </w:hyperlink>
      <w:r w:rsidRPr="00017503">
        <w:rPr>
          <w:rFonts w:ascii="Arial" w:hAnsi="Arial" w:cs="Arial"/>
          <w:sz w:val="20"/>
          <w:szCs w:val="20"/>
        </w:rPr>
        <w:t xml:space="preserve"> </w:t>
      </w:r>
    </w:p>
    <w:p w14:paraId="20752EE5" w14:textId="77777777" w:rsidR="00017503" w:rsidRPr="00017503" w:rsidRDefault="00017503" w:rsidP="00017503">
      <w:pPr>
        <w:pStyle w:val="EndNoteBibliography"/>
        <w:spacing w:after="0" w:line="276" w:lineRule="auto"/>
        <w:ind w:left="720" w:hanging="720"/>
        <w:rPr>
          <w:rFonts w:ascii="Arial" w:hAnsi="Arial" w:cs="Arial"/>
          <w:sz w:val="20"/>
          <w:szCs w:val="20"/>
        </w:rPr>
      </w:pPr>
      <w:r w:rsidRPr="00017503">
        <w:rPr>
          <w:rFonts w:ascii="Arial" w:hAnsi="Arial" w:cs="Arial"/>
          <w:sz w:val="20"/>
          <w:szCs w:val="20"/>
        </w:rPr>
        <w:t xml:space="preserve">Zhang, F., Li, S., Zhao, Q., &amp; Huo, Z. (2024). Assessing and prioritizing interactive teaching modes based on student satisfaction in higher education: A case study of a freshmen class. </w:t>
      </w:r>
      <w:r w:rsidRPr="00017503">
        <w:rPr>
          <w:rFonts w:ascii="Arial" w:hAnsi="Arial" w:cs="Arial"/>
          <w:i/>
          <w:sz w:val="20"/>
          <w:szCs w:val="20"/>
        </w:rPr>
        <w:t>Education and Information Technologies</w:t>
      </w:r>
      <w:r w:rsidRPr="00017503">
        <w:rPr>
          <w:rFonts w:ascii="Arial" w:hAnsi="Arial" w:cs="Arial"/>
          <w:sz w:val="20"/>
          <w:szCs w:val="20"/>
        </w:rPr>
        <w:t xml:space="preserve">. </w:t>
      </w:r>
      <w:hyperlink r:id="rId43" w:history="1">
        <w:r w:rsidRPr="00017503">
          <w:rPr>
            <w:rStyle w:val="Hyperlink"/>
            <w:rFonts w:ascii="Arial" w:hAnsi="Arial" w:cs="Arial"/>
            <w:sz w:val="20"/>
            <w:szCs w:val="20"/>
          </w:rPr>
          <w:t>https://doi.org/10.1007/s10639-024-13073-4</w:t>
        </w:r>
      </w:hyperlink>
      <w:r w:rsidRPr="00017503">
        <w:rPr>
          <w:rFonts w:ascii="Arial" w:hAnsi="Arial" w:cs="Arial"/>
          <w:sz w:val="20"/>
          <w:szCs w:val="20"/>
        </w:rPr>
        <w:t xml:space="preserve"> </w:t>
      </w:r>
    </w:p>
    <w:p w14:paraId="4A94BA38" w14:textId="77777777" w:rsidR="00017503" w:rsidRPr="00696829" w:rsidRDefault="00017503" w:rsidP="00017503">
      <w:pPr>
        <w:pStyle w:val="EndNoteBibliography"/>
        <w:spacing w:line="276" w:lineRule="auto"/>
        <w:ind w:left="720" w:hanging="720"/>
        <w:rPr>
          <w:rFonts w:ascii="Times New Roman" w:hAnsi="Times New Roman" w:cs="Times New Roman"/>
        </w:rPr>
      </w:pPr>
      <w:r w:rsidRPr="00017503">
        <w:rPr>
          <w:rFonts w:ascii="Arial" w:hAnsi="Arial" w:cs="Arial"/>
          <w:sz w:val="20"/>
          <w:szCs w:val="20"/>
        </w:rPr>
        <w:t xml:space="preserve">Zhang, Z. (2023). Software Development for Comprehensive Assessment of English Online Teaching Quality in Universities Based on Data Mining. </w:t>
      </w:r>
      <w:r w:rsidRPr="00017503">
        <w:rPr>
          <w:rFonts w:ascii="Arial" w:hAnsi="Arial" w:cs="Arial"/>
          <w:i/>
          <w:sz w:val="20"/>
          <w:szCs w:val="20"/>
        </w:rPr>
        <w:t xml:space="preserve">Int. J. Emerg. </w:t>
      </w:r>
      <w:r w:rsidRPr="00696829">
        <w:rPr>
          <w:rFonts w:ascii="Times New Roman" w:hAnsi="Times New Roman" w:cs="Times New Roman"/>
          <w:i/>
        </w:rPr>
        <w:t>Technol. Learn.</w:t>
      </w:r>
      <w:r w:rsidRPr="00696829">
        <w:rPr>
          <w:rFonts w:ascii="Times New Roman" w:hAnsi="Times New Roman" w:cs="Times New Roman"/>
        </w:rPr>
        <w:t>,</w:t>
      </w:r>
      <w:r w:rsidRPr="00696829">
        <w:rPr>
          <w:rFonts w:ascii="Times New Roman" w:hAnsi="Times New Roman" w:cs="Times New Roman"/>
          <w:i/>
        </w:rPr>
        <w:t xml:space="preserve"> 18</w:t>
      </w:r>
      <w:r w:rsidRPr="00696829">
        <w:rPr>
          <w:rFonts w:ascii="Times New Roman" w:hAnsi="Times New Roman" w:cs="Times New Roman"/>
        </w:rPr>
        <w:t xml:space="preserve">, 261-278. </w:t>
      </w:r>
      <w:hyperlink r:id="rId44" w:history="1">
        <w:r w:rsidRPr="00696829">
          <w:rPr>
            <w:rStyle w:val="Hyperlink"/>
            <w:rFonts w:ascii="Times New Roman" w:hAnsi="Times New Roman" w:cs="Times New Roman"/>
          </w:rPr>
          <w:t>https://doi.org/10.3991/ijet.v18i02.35525</w:t>
        </w:r>
      </w:hyperlink>
      <w:r w:rsidRPr="00696829">
        <w:rPr>
          <w:rFonts w:ascii="Times New Roman" w:hAnsi="Times New Roman" w:cs="Times New Roman"/>
        </w:rPr>
        <w:t xml:space="preserve"> </w:t>
      </w:r>
    </w:p>
    <w:p w14:paraId="46B8C492" w14:textId="77777777" w:rsidR="00017503" w:rsidRPr="00696829" w:rsidRDefault="00017503" w:rsidP="00017503">
      <w:pPr>
        <w:pStyle w:val="Bibliography"/>
        <w:rPr>
          <w:rFonts w:cs="Times New Roman"/>
        </w:rPr>
      </w:pPr>
      <w:r w:rsidRPr="00696829">
        <w:fldChar w:fldCharType="end"/>
      </w:r>
      <w:r w:rsidRPr="00696829">
        <w:rPr>
          <w:rFonts w:cs="Times New Roman"/>
        </w:rPr>
        <w:t xml:space="preserve"> </w:t>
      </w:r>
    </w:p>
    <w:p w14:paraId="6139978D" w14:textId="77777777" w:rsidR="00B01FCD" w:rsidRPr="00FB3A86" w:rsidRDefault="00B01FCD" w:rsidP="00441B6F">
      <w:pPr>
        <w:pStyle w:val="Appendix"/>
        <w:spacing w:after="0"/>
        <w:jc w:val="both"/>
        <w:rPr>
          <w:rFonts w:ascii="Arial" w:hAnsi="Arial" w:cs="Arial"/>
          <w:b w:val="0"/>
        </w:rPr>
      </w:pPr>
    </w:p>
    <w:sectPr w:rsidR="00B01FCD" w:rsidRPr="00FB3A86" w:rsidSect="00F73A92">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AB355" w14:textId="77777777" w:rsidR="000F4FA9" w:rsidRDefault="000F4FA9" w:rsidP="00C37E61">
      <w:r>
        <w:separator/>
      </w:r>
    </w:p>
  </w:endnote>
  <w:endnote w:type="continuationSeparator" w:id="0">
    <w:p w14:paraId="38C453A7" w14:textId="77777777" w:rsidR="000F4FA9" w:rsidRDefault="000F4FA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EB63F" w14:textId="53F43F70" w:rsidR="00754C9A" w:rsidRPr="004450CB" w:rsidRDefault="00754C9A" w:rsidP="00445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478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9838F" w14:textId="77777777" w:rsidR="000F4FA9" w:rsidRDefault="000F4FA9" w:rsidP="00C37E61">
      <w:r>
        <w:separator/>
      </w:r>
    </w:p>
  </w:footnote>
  <w:footnote w:type="continuationSeparator" w:id="0">
    <w:p w14:paraId="633B3442" w14:textId="77777777" w:rsidR="000F4FA9" w:rsidRDefault="000F4FA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63CD" w14:textId="77777777" w:rsidR="00296529" w:rsidRPr="00296529" w:rsidRDefault="00296529" w:rsidP="00296529">
    <w:pPr>
      <w:ind w:left="2160"/>
      <w:jc w:val="center"/>
      <w:rPr>
        <w:rFonts w:ascii="Times New Roman" w:eastAsia="Calibri" w:hAnsi="Times New Roman"/>
        <w:i/>
        <w:sz w:val="18"/>
        <w:szCs w:val="22"/>
      </w:rPr>
    </w:pPr>
  </w:p>
  <w:p w14:paraId="0138B2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116DA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A8C7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E9679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837B6F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C72000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106C49"/>
    <w:multiLevelType w:val="hybridMultilevel"/>
    <w:tmpl w:val="EEA4CD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A2B3EC2"/>
    <w:multiLevelType w:val="hybridMultilevel"/>
    <w:tmpl w:val="9A82D3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AF217A8"/>
    <w:multiLevelType w:val="hybridMultilevel"/>
    <w:tmpl w:val="86B42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7"/>
  </w:num>
  <w:num w:numId="32">
    <w:abstractNumId w:val="16"/>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E89"/>
    <w:rsid w:val="00017503"/>
    <w:rsid w:val="00030174"/>
    <w:rsid w:val="00034DDE"/>
    <w:rsid w:val="0004579C"/>
    <w:rsid w:val="000A47FA"/>
    <w:rsid w:val="000A65D3"/>
    <w:rsid w:val="000B1E33"/>
    <w:rsid w:val="000B36A1"/>
    <w:rsid w:val="000D689F"/>
    <w:rsid w:val="000E7B7B"/>
    <w:rsid w:val="000E7CCF"/>
    <w:rsid w:val="000E7D62"/>
    <w:rsid w:val="000E7E1F"/>
    <w:rsid w:val="000F4FA9"/>
    <w:rsid w:val="00103357"/>
    <w:rsid w:val="00123C9F"/>
    <w:rsid w:val="00126190"/>
    <w:rsid w:val="00130F17"/>
    <w:rsid w:val="001320BF"/>
    <w:rsid w:val="00163BC4"/>
    <w:rsid w:val="00185EB2"/>
    <w:rsid w:val="00191062"/>
    <w:rsid w:val="00192B72"/>
    <w:rsid w:val="001A29D8"/>
    <w:rsid w:val="001A5CAA"/>
    <w:rsid w:val="001B0427"/>
    <w:rsid w:val="001C16B7"/>
    <w:rsid w:val="001C3B8C"/>
    <w:rsid w:val="001D3A51"/>
    <w:rsid w:val="001E0751"/>
    <w:rsid w:val="001E10D2"/>
    <w:rsid w:val="001E25B4"/>
    <w:rsid w:val="001E44FE"/>
    <w:rsid w:val="00200595"/>
    <w:rsid w:val="00204835"/>
    <w:rsid w:val="00231920"/>
    <w:rsid w:val="0023195C"/>
    <w:rsid w:val="0024282C"/>
    <w:rsid w:val="002460DC"/>
    <w:rsid w:val="00250985"/>
    <w:rsid w:val="002556F6"/>
    <w:rsid w:val="00260B9C"/>
    <w:rsid w:val="002771F6"/>
    <w:rsid w:val="00283105"/>
    <w:rsid w:val="00284C4C"/>
    <w:rsid w:val="00287E68"/>
    <w:rsid w:val="00296529"/>
    <w:rsid w:val="002966A2"/>
    <w:rsid w:val="002968E5"/>
    <w:rsid w:val="002B27FB"/>
    <w:rsid w:val="002B685A"/>
    <w:rsid w:val="002C57D2"/>
    <w:rsid w:val="002E0D56"/>
    <w:rsid w:val="003051EC"/>
    <w:rsid w:val="003138AB"/>
    <w:rsid w:val="00315186"/>
    <w:rsid w:val="0033343E"/>
    <w:rsid w:val="00334270"/>
    <w:rsid w:val="00335122"/>
    <w:rsid w:val="003512C2"/>
    <w:rsid w:val="00371FB6"/>
    <w:rsid w:val="003763C1"/>
    <w:rsid w:val="00376BBE"/>
    <w:rsid w:val="0039224F"/>
    <w:rsid w:val="003971DA"/>
    <w:rsid w:val="003A43A4"/>
    <w:rsid w:val="003A7E18"/>
    <w:rsid w:val="003B16C8"/>
    <w:rsid w:val="003C4C86"/>
    <w:rsid w:val="003C4D7D"/>
    <w:rsid w:val="003C6258"/>
    <w:rsid w:val="003E2904"/>
    <w:rsid w:val="00401927"/>
    <w:rsid w:val="0041027F"/>
    <w:rsid w:val="00412475"/>
    <w:rsid w:val="00423789"/>
    <w:rsid w:val="00427CB6"/>
    <w:rsid w:val="00440F43"/>
    <w:rsid w:val="00441B6F"/>
    <w:rsid w:val="004450CB"/>
    <w:rsid w:val="00446221"/>
    <w:rsid w:val="00447AC7"/>
    <w:rsid w:val="00450E62"/>
    <w:rsid w:val="004532FD"/>
    <w:rsid w:val="004539DB"/>
    <w:rsid w:val="00471A80"/>
    <w:rsid w:val="004D305E"/>
    <w:rsid w:val="004D413F"/>
    <w:rsid w:val="004D4277"/>
    <w:rsid w:val="00502516"/>
    <w:rsid w:val="00505F06"/>
    <w:rsid w:val="00506828"/>
    <w:rsid w:val="0053056E"/>
    <w:rsid w:val="00554FDA"/>
    <w:rsid w:val="0058176E"/>
    <w:rsid w:val="005B4267"/>
    <w:rsid w:val="005C784C"/>
    <w:rsid w:val="005D17F6"/>
    <w:rsid w:val="005E5539"/>
    <w:rsid w:val="00602BF5"/>
    <w:rsid w:val="00617FDD"/>
    <w:rsid w:val="00633614"/>
    <w:rsid w:val="00633F68"/>
    <w:rsid w:val="00636EB2"/>
    <w:rsid w:val="006375B8"/>
    <w:rsid w:val="00641181"/>
    <w:rsid w:val="006650B4"/>
    <w:rsid w:val="0066510A"/>
    <w:rsid w:val="00673F9F"/>
    <w:rsid w:val="00686953"/>
    <w:rsid w:val="00687DEA"/>
    <w:rsid w:val="00687E67"/>
    <w:rsid w:val="006967F7"/>
    <w:rsid w:val="006A250C"/>
    <w:rsid w:val="006B21D3"/>
    <w:rsid w:val="006B57D0"/>
    <w:rsid w:val="006B7CC3"/>
    <w:rsid w:val="006D30FF"/>
    <w:rsid w:val="006D6940"/>
    <w:rsid w:val="006E6685"/>
    <w:rsid w:val="006F11EC"/>
    <w:rsid w:val="0070082C"/>
    <w:rsid w:val="00704A0A"/>
    <w:rsid w:val="007369E6"/>
    <w:rsid w:val="00746E59"/>
    <w:rsid w:val="00754C9A"/>
    <w:rsid w:val="0075599A"/>
    <w:rsid w:val="00761D52"/>
    <w:rsid w:val="00767595"/>
    <w:rsid w:val="0077749E"/>
    <w:rsid w:val="00790ADA"/>
    <w:rsid w:val="00794FCD"/>
    <w:rsid w:val="007D2288"/>
    <w:rsid w:val="007E088F"/>
    <w:rsid w:val="007F7B32"/>
    <w:rsid w:val="00804BC2"/>
    <w:rsid w:val="0080789B"/>
    <w:rsid w:val="0081431A"/>
    <w:rsid w:val="0083216F"/>
    <w:rsid w:val="00860000"/>
    <w:rsid w:val="00863BD3"/>
    <w:rsid w:val="008641ED"/>
    <w:rsid w:val="00866D66"/>
    <w:rsid w:val="008671C6"/>
    <w:rsid w:val="00875803"/>
    <w:rsid w:val="008B459E"/>
    <w:rsid w:val="008C5877"/>
    <w:rsid w:val="008E13AE"/>
    <w:rsid w:val="008E1506"/>
    <w:rsid w:val="008E38BC"/>
    <w:rsid w:val="008E710C"/>
    <w:rsid w:val="008F69D6"/>
    <w:rsid w:val="00902823"/>
    <w:rsid w:val="00915CA6"/>
    <w:rsid w:val="00927834"/>
    <w:rsid w:val="009500A6"/>
    <w:rsid w:val="00957C18"/>
    <w:rsid w:val="009659BA"/>
    <w:rsid w:val="00983040"/>
    <w:rsid w:val="009B3FB9"/>
    <w:rsid w:val="009C2465"/>
    <w:rsid w:val="009D0993"/>
    <w:rsid w:val="009D35A0"/>
    <w:rsid w:val="009D7EB7"/>
    <w:rsid w:val="009E048A"/>
    <w:rsid w:val="009E08E9"/>
    <w:rsid w:val="009E3DB9"/>
    <w:rsid w:val="009E6E21"/>
    <w:rsid w:val="009E6E35"/>
    <w:rsid w:val="009F0EDA"/>
    <w:rsid w:val="00A0168E"/>
    <w:rsid w:val="00A03B96"/>
    <w:rsid w:val="00A05B19"/>
    <w:rsid w:val="00A1134E"/>
    <w:rsid w:val="00A24E7E"/>
    <w:rsid w:val="00A258C3"/>
    <w:rsid w:val="00A347C0"/>
    <w:rsid w:val="00A51431"/>
    <w:rsid w:val="00A539AD"/>
    <w:rsid w:val="00A550D3"/>
    <w:rsid w:val="00A94063"/>
    <w:rsid w:val="00AA6219"/>
    <w:rsid w:val="00AA74E0"/>
    <w:rsid w:val="00AB703F"/>
    <w:rsid w:val="00AC3917"/>
    <w:rsid w:val="00AC6BB8"/>
    <w:rsid w:val="00AD407F"/>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2BE5"/>
    <w:rsid w:val="00C70F1B"/>
    <w:rsid w:val="00C71A47"/>
    <w:rsid w:val="00C7464C"/>
    <w:rsid w:val="00C85588"/>
    <w:rsid w:val="00CA018A"/>
    <w:rsid w:val="00CA1FAC"/>
    <w:rsid w:val="00CC36DA"/>
    <w:rsid w:val="00CD6755"/>
    <w:rsid w:val="00CD6856"/>
    <w:rsid w:val="00CE0035"/>
    <w:rsid w:val="00CE0089"/>
    <w:rsid w:val="00CE793C"/>
    <w:rsid w:val="00CF193C"/>
    <w:rsid w:val="00D04B87"/>
    <w:rsid w:val="00D173F1"/>
    <w:rsid w:val="00D40FBB"/>
    <w:rsid w:val="00D74CB0"/>
    <w:rsid w:val="00D8295D"/>
    <w:rsid w:val="00D92A89"/>
    <w:rsid w:val="00DC2A65"/>
    <w:rsid w:val="00DE15F0"/>
    <w:rsid w:val="00DE5663"/>
    <w:rsid w:val="00DE78AA"/>
    <w:rsid w:val="00DF5036"/>
    <w:rsid w:val="00E053D0"/>
    <w:rsid w:val="00E12EF1"/>
    <w:rsid w:val="00E15994"/>
    <w:rsid w:val="00E3114E"/>
    <w:rsid w:val="00E31A70"/>
    <w:rsid w:val="00E35B02"/>
    <w:rsid w:val="00E66496"/>
    <w:rsid w:val="00E66B35"/>
    <w:rsid w:val="00E66E10"/>
    <w:rsid w:val="00E769F6"/>
    <w:rsid w:val="00E8407C"/>
    <w:rsid w:val="00E84F3C"/>
    <w:rsid w:val="00EA012C"/>
    <w:rsid w:val="00EB5A56"/>
    <w:rsid w:val="00EC6A55"/>
    <w:rsid w:val="00ED0288"/>
    <w:rsid w:val="00ED2150"/>
    <w:rsid w:val="00EE52CB"/>
    <w:rsid w:val="00EF581D"/>
    <w:rsid w:val="00EF7FD8"/>
    <w:rsid w:val="00F06F59"/>
    <w:rsid w:val="00F17988"/>
    <w:rsid w:val="00F25080"/>
    <w:rsid w:val="00F469F0"/>
    <w:rsid w:val="00F53273"/>
    <w:rsid w:val="00F73A92"/>
    <w:rsid w:val="00F755E4"/>
    <w:rsid w:val="00F77D02"/>
    <w:rsid w:val="00F92ECC"/>
    <w:rsid w:val="00FA7B1C"/>
    <w:rsid w:val="00FB3A86"/>
    <w:rsid w:val="00FB4D3B"/>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61ADF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0789B"/>
    <w:pPr>
      <w:spacing w:after="160" w:line="278" w:lineRule="auto"/>
      <w:ind w:left="720"/>
      <w:contextualSpacing/>
    </w:pPr>
    <w:rPr>
      <w:rFonts w:ascii="Times New Roman" w:eastAsiaTheme="minorHAnsi" w:hAnsi="Times New Roman" w:cstheme="minorBidi"/>
      <w:kern w:val="2"/>
      <w:sz w:val="24"/>
      <w:szCs w:val="24"/>
      <w14:ligatures w14:val="standardContextual"/>
    </w:rPr>
  </w:style>
  <w:style w:type="paragraph" w:customStyle="1" w:styleId="EndNoteBibliography">
    <w:name w:val="EndNote Bibliography"/>
    <w:basedOn w:val="Normal"/>
    <w:link w:val="EndNoteBibliographyChar"/>
    <w:rsid w:val="00017503"/>
    <w:pPr>
      <w:spacing w:after="160"/>
    </w:pPr>
    <w:rPr>
      <w:rFonts w:ascii="Aptos" w:eastAsiaTheme="minorHAnsi" w:hAnsi="Aptos" w:cstheme="minorBidi"/>
      <w:noProof/>
      <w:kern w:val="2"/>
      <w:sz w:val="24"/>
      <w:szCs w:val="24"/>
      <w14:ligatures w14:val="standardContextual"/>
    </w:rPr>
  </w:style>
  <w:style w:type="character" w:customStyle="1" w:styleId="EndNoteBibliographyChar">
    <w:name w:val="EndNote Bibliography Char"/>
    <w:basedOn w:val="DefaultParagraphFont"/>
    <w:link w:val="EndNoteBibliography"/>
    <w:rsid w:val="00017503"/>
    <w:rPr>
      <w:rFonts w:ascii="Aptos" w:eastAsiaTheme="minorHAnsi" w:hAnsi="Aptos" w:cstheme="minorBidi"/>
      <w:noProof/>
      <w:kern w:val="2"/>
      <w:sz w:val="24"/>
      <w:szCs w:val="24"/>
      <w14:ligatures w14:val="standardContextual"/>
    </w:rPr>
  </w:style>
  <w:style w:type="paragraph" w:styleId="Bibliography">
    <w:name w:val="Bibliography"/>
    <w:basedOn w:val="Normal"/>
    <w:next w:val="Normal"/>
    <w:uiPriority w:val="37"/>
    <w:unhideWhenUsed/>
    <w:rsid w:val="00017503"/>
    <w:pPr>
      <w:spacing w:after="160" w:line="278" w:lineRule="auto"/>
    </w:pPr>
    <w:rPr>
      <w:rFonts w:ascii="Times New Roman" w:eastAsiaTheme="minorHAnsi" w:hAnsi="Times New Roman"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JER.2018.09.004" TargetMode="External"/><Relationship Id="rId18" Type="http://schemas.openxmlformats.org/officeDocument/2006/relationships/hyperlink" Target="https://doi.org/10.1007/s12528-016-9115-z" TargetMode="External"/><Relationship Id="rId26" Type="http://schemas.openxmlformats.org/officeDocument/2006/relationships/hyperlink" Target="https://doi.org/10.3389/feduc.2021.673594" TargetMode="External"/><Relationship Id="rId39" Type="http://schemas.openxmlformats.org/officeDocument/2006/relationships/hyperlink" Target="https://doi.org/10.3991/IJET.V14I14.10818" TargetMode="External"/><Relationship Id="rId21" Type="http://schemas.openxmlformats.org/officeDocument/2006/relationships/hyperlink" Target="https://doi.org/10.3991/ijet.v18i21.44011" TargetMode="External"/><Relationship Id="rId34" Type="http://schemas.openxmlformats.org/officeDocument/2006/relationships/hyperlink" Target="https://doi.org/10.1093/applin/amac055" TargetMode="External"/><Relationship Id="rId42" Type="http://schemas.openxmlformats.org/officeDocument/2006/relationships/hyperlink" Target="https://doi.org/10.3390/su14095225"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639-020-10248-7" TargetMode="External"/><Relationship Id="rId29" Type="http://schemas.openxmlformats.org/officeDocument/2006/relationships/hyperlink" Target="https://doi.org/10.24059/olj.v25i4.25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7/S0958344017000106" TargetMode="External"/><Relationship Id="rId24" Type="http://schemas.openxmlformats.org/officeDocument/2006/relationships/hyperlink" Target="https://doi.org/10.1016/J.ECONEDUREV.2006.09.011" TargetMode="External"/><Relationship Id="rId32" Type="http://schemas.openxmlformats.org/officeDocument/2006/relationships/hyperlink" Target="https://doi.org/10.71274/ijpp.v11i3.383" TargetMode="External"/><Relationship Id="rId37" Type="http://schemas.openxmlformats.org/officeDocument/2006/relationships/hyperlink" Target="https://doi.org/10.14742/ajet.7121" TargetMode="External"/><Relationship Id="rId40" Type="http://schemas.openxmlformats.org/officeDocument/2006/relationships/hyperlink" Target="https://doi.org/10.1371/journal.pone.0310187"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su141811361" TargetMode="External"/><Relationship Id="rId23" Type="http://schemas.openxmlformats.org/officeDocument/2006/relationships/hyperlink" Target="https://doi.org/10.71274/ijpp.v12i2.417" TargetMode="External"/><Relationship Id="rId28" Type="http://schemas.openxmlformats.org/officeDocument/2006/relationships/hyperlink" Target="https://doi.org/10.24059/olj.v23i3.1555" TargetMode="External"/><Relationship Id="rId36" Type="http://schemas.openxmlformats.org/officeDocument/2006/relationships/hyperlink" Target="https://doi.org/10.5944/OPENPRAXIS.13.2.137" TargetMode="External"/><Relationship Id="rId10" Type="http://schemas.openxmlformats.org/officeDocument/2006/relationships/image" Target="media/image1.emf"/><Relationship Id="rId19" Type="http://schemas.openxmlformats.org/officeDocument/2006/relationships/hyperlink" Target="https://doi.org/10.1007/BF02504508" TargetMode="External"/><Relationship Id="rId31" Type="http://schemas.openxmlformats.org/officeDocument/2006/relationships/hyperlink" Target="https://doi.org/10.1145/3412453.3423194" TargetMode="External"/><Relationship Id="rId44" Type="http://schemas.openxmlformats.org/officeDocument/2006/relationships/hyperlink" Target="https://doi.org/10.3991/ijet.v18i02.3552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80/01587919.2021.1915117" TargetMode="External"/><Relationship Id="rId22" Type="http://schemas.openxmlformats.org/officeDocument/2006/relationships/hyperlink" Target="https://doi.org/10.1007/s10758-020-09466-2" TargetMode="External"/><Relationship Id="rId27" Type="http://schemas.openxmlformats.org/officeDocument/2006/relationships/hyperlink" Target="https://doi.org/10.1016/j.iswa.2024.200370" TargetMode="External"/><Relationship Id="rId30" Type="http://schemas.openxmlformats.org/officeDocument/2006/relationships/hyperlink" Target="https://doi.org/10.20448/jeelr.v11i1.5423" TargetMode="External"/><Relationship Id="rId35" Type="http://schemas.openxmlformats.org/officeDocument/2006/relationships/hyperlink" Target="https://doi.org/10.3102/00028312017002141" TargetMode="External"/><Relationship Id="rId43" Type="http://schemas.openxmlformats.org/officeDocument/2006/relationships/hyperlink" Target="https://doi.org/10.1007/s10639-024-13073-4"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51584/ijrias.2024.911011" TargetMode="External"/><Relationship Id="rId17" Type="http://schemas.openxmlformats.org/officeDocument/2006/relationships/hyperlink" Target="https://doi.org/10.1007/S11116-017-9794-Y" TargetMode="External"/><Relationship Id="rId25" Type="http://schemas.openxmlformats.org/officeDocument/2006/relationships/hyperlink" Target="https://doi.org/10.1155/2022/5906335" TargetMode="External"/><Relationship Id="rId33" Type="http://schemas.openxmlformats.org/officeDocument/2006/relationships/hyperlink" Target="https://doi.org/10.69641/afritvet.2023.81161" TargetMode="External"/><Relationship Id="rId38" Type="http://schemas.openxmlformats.org/officeDocument/2006/relationships/hyperlink" Target="https://doi.org/10.1007/s40692-019-00140-w" TargetMode="External"/><Relationship Id="rId46" Type="http://schemas.openxmlformats.org/officeDocument/2006/relationships/fontTable" Target="fontTable.xml"/><Relationship Id="rId20" Type="http://schemas.openxmlformats.org/officeDocument/2006/relationships/hyperlink" Target="https://doi.org/10.1162/003355300555060" TargetMode="External"/><Relationship Id="rId41" Type="http://schemas.openxmlformats.org/officeDocument/2006/relationships/hyperlink" Target="https://doi.org/10.3390/su150651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A9308-808B-41A3-BA4E-871DE06A4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18</Pages>
  <Words>17293</Words>
  <Characters>98574</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115636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cp:revision>
  <cp:lastPrinted>1999-07-06T11:00:00Z</cp:lastPrinted>
  <dcterms:created xsi:type="dcterms:W3CDTF">2025-08-19T06:54:00Z</dcterms:created>
  <dcterms:modified xsi:type="dcterms:W3CDTF">2025-08-20T12:07:00Z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21b1c89f-b268-4e37-8615-00266737c103</vt:lpwstr>
  </property>
</Properties>
</file>