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D6D4E" w14:textId="360AB091" w:rsidR="00A726B7" w:rsidRPr="00A726B7" w:rsidRDefault="00A726B7" w:rsidP="00C02324">
      <w:pPr>
        <w:spacing w:after="0" w:line="240" w:lineRule="auto"/>
        <w:jc w:val="center"/>
      </w:pPr>
      <w:r w:rsidRPr="00A726B7">
        <w:rPr>
          <w:b/>
          <w:bCs/>
        </w:rPr>
        <w:t>Teacher Capacity and Student Transition to Junior School in Lagdera Sub-County, Garissa County, Kenya</w:t>
      </w:r>
    </w:p>
    <w:p w14:paraId="228822AC" w14:textId="77777777" w:rsidR="00A726B7" w:rsidRPr="00A726B7" w:rsidRDefault="00A726B7" w:rsidP="00C02324">
      <w:pPr>
        <w:spacing w:after="0" w:line="240" w:lineRule="auto"/>
      </w:pPr>
      <w:r w:rsidRPr="00A726B7">
        <w:rPr>
          <w:b/>
          <w:bCs/>
        </w:rPr>
        <w:t>Abstract</w:t>
      </w:r>
    </w:p>
    <w:p w14:paraId="5BA6F394" w14:textId="2477FDDC" w:rsidR="00A726B7" w:rsidRPr="00A726B7" w:rsidRDefault="00A726B7" w:rsidP="00C02324">
      <w:pPr>
        <w:spacing w:after="0" w:line="240" w:lineRule="auto"/>
      </w:pPr>
      <w:r w:rsidRPr="00A726B7">
        <w:t>This study investigated the determinants of student transition from primary school to junior school in Lagdera Sub-County, Garissa County, Kenya. Transitioning is a critical stage, particularly challenging in marginalized areas like Lagdera due to barriers such as inadequate teacher capacity, limited support programs, poor physical facilities, and socio-economic family factors. The primary objective of this particular report was to establish the relationship between teacher capacity and pupil transition from primary to junior schools in Lagdera Sub-County. Guided by Schlossberg's Transition Theory and Bronfenbrenner’s Ecological Systems Theory, the study employed a correlational research approach in public primary schools in Lagdera Sub-County. Data was collected using structured questionnaires from a sample of 133 respondents, achieving an 88.1% response rate. Data analysis utilized descriptive statistics and linear regression. The findings revealed a statistically significant positive relationship between teacher capacity and student transition (R</w:t>
      </w:r>
      <w:proofErr w:type="gramStart"/>
      <w:r w:rsidRPr="00A726B7">
        <w:t>=.</w:t>
      </w:r>
      <w:r w:rsidR="003F358F">
        <w:t>.</w:t>
      </w:r>
      <w:proofErr w:type="gramEnd"/>
      <w:r w:rsidR="003F358F">
        <w:t>467</w:t>
      </w:r>
      <w:r w:rsidRPr="00A726B7">
        <w:t>, R²=</w:t>
      </w:r>
      <w:r w:rsidR="003F358F">
        <w:t>.2184</w:t>
      </w:r>
      <w:r w:rsidRPr="00A726B7">
        <w:t xml:space="preserve">, </w:t>
      </w:r>
      <w:r w:rsidR="00E02AB6" w:rsidRPr="00A726B7">
        <w:t>F (</w:t>
      </w:r>
      <w:r w:rsidRPr="00A726B7">
        <w:t xml:space="preserve">1, </w:t>
      </w:r>
      <w:r w:rsidR="00E02AB6" w:rsidRPr="00A726B7">
        <w:t>131) =</w:t>
      </w:r>
      <w:r w:rsidR="003F358F">
        <w:t>36.322</w:t>
      </w:r>
      <w:r w:rsidRPr="00A726B7">
        <w:t xml:space="preserve">, p &lt; .001). Teacher capacity demonstrated the strongest individual relationship among the studied factors, explaining </w:t>
      </w:r>
      <w:r w:rsidR="003F358F">
        <w:t>21.84%</w:t>
      </w:r>
      <w:r w:rsidRPr="00A726B7">
        <w:t xml:space="preserve"> of the variance in student transition. The study concludes that enhancing teacher capacity is essential for supporting student transition, underscoring the critical need for targeted professional development programs to improve educational outcomes in challenging contexts.</w:t>
      </w:r>
    </w:p>
    <w:p w14:paraId="2EDB5F77" w14:textId="77777777" w:rsidR="00A726B7" w:rsidRPr="00A726B7" w:rsidRDefault="00A726B7" w:rsidP="00C02324">
      <w:pPr>
        <w:spacing w:after="0" w:line="240" w:lineRule="auto"/>
      </w:pPr>
      <w:r w:rsidRPr="00A726B7">
        <w:rPr>
          <w:b/>
          <w:bCs/>
        </w:rPr>
        <w:t>Key words:</w:t>
      </w:r>
      <w:r w:rsidRPr="00A726B7">
        <w:t xml:space="preserve"> Teacher Capacity, Student Transition, Junior School, Lagdera Sub-County.</w:t>
      </w:r>
    </w:p>
    <w:p w14:paraId="30EA24E2" w14:textId="26DFBB6C" w:rsidR="005E02EB" w:rsidRDefault="005E02EB" w:rsidP="00C02324">
      <w:pPr>
        <w:spacing w:after="0" w:line="240" w:lineRule="auto"/>
        <w:jc w:val="left"/>
      </w:pPr>
      <w:r>
        <w:br w:type="page"/>
      </w:r>
    </w:p>
    <w:p w14:paraId="7025DE5F" w14:textId="77777777" w:rsidR="00A726B7" w:rsidRPr="00A726B7" w:rsidRDefault="00A726B7" w:rsidP="00C02324">
      <w:pPr>
        <w:spacing w:after="0" w:line="240" w:lineRule="auto"/>
      </w:pPr>
    </w:p>
    <w:p w14:paraId="2195C4F9" w14:textId="77777777" w:rsidR="00A726B7" w:rsidRPr="00A726B7" w:rsidRDefault="00A726B7" w:rsidP="00C02324">
      <w:pPr>
        <w:spacing w:after="0" w:line="240" w:lineRule="auto"/>
      </w:pPr>
      <w:r w:rsidRPr="00A726B7">
        <w:rPr>
          <w:b/>
          <w:bCs/>
        </w:rPr>
        <w:t>1. Introduction</w:t>
      </w:r>
    </w:p>
    <w:p w14:paraId="09B25A41" w14:textId="766831EB" w:rsidR="00A726B7" w:rsidRPr="00A726B7" w:rsidRDefault="00A726B7" w:rsidP="00C02324">
      <w:pPr>
        <w:spacing w:after="0" w:line="240" w:lineRule="auto"/>
      </w:pPr>
      <w:r w:rsidRPr="00A726B7">
        <w:t>Education plays a crucial role in shaping a harmonious society and ensuring economic prosperity, contributing to social cohesion and equipping individuals with skills for a high-quality workforce (Mizelle and Irvin, 2000). Transition periods in education, particularly the shift from primary to junior school, are often marked by significant changes in students’ academic and social environments (</w:t>
      </w:r>
      <w:r w:rsidR="00E02AB6">
        <w:t>Owuor et al</w:t>
      </w:r>
      <w:r w:rsidRPr="00A726B7">
        <w:t>, 20</w:t>
      </w:r>
      <w:r w:rsidR="00E02AB6">
        <w:t>2</w:t>
      </w:r>
      <w:r w:rsidRPr="00A726B7">
        <w:t>4). During these transitions, students experience considerable shifts in their learning settings and academic expectations, which may pose challenges to their academic success (Hill and Hawk, 2004). This transition from primary to junior school education is a significant stage in a student’s academic journey, garnering considerable attention in intellectual debates and pedagogical practices as it is a critical phase that determines long-term educational success (World Bank, 2018). Inadequate support during this period can lead to struggles that hinder students’ academic achievement and personal development, making it essential to focus on strategies that support students during this critical phase (World Bank, 2018).</w:t>
      </w:r>
    </w:p>
    <w:p w14:paraId="1A3D2244" w14:textId="77777777" w:rsidR="00A726B7" w:rsidRPr="00A726B7" w:rsidRDefault="00A726B7" w:rsidP="00C02324">
      <w:pPr>
        <w:spacing w:after="0" w:line="240" w:lineRule="auto"/>
      </w:pPr>
      <w:r w:rsidRPr="00A726B7">
        <w:t>In Kenya, the transition from primary to junior schools is a pivotal stage, with far-reaching implications for long-term educational success. However, significant challenges remain, particularly in marginalized and rural areas such as Lagdera Sub-County in northern Kenya. Despite government initiatives aimed at expanding educational access, approximately 40% of pupils in Lagdera Sub-County face significant barriers during this transition (Ministry of Education, 2023). These barriers include inadequate teacher capacity, limited support programs, poor physical facilities, and socio-economic challenges related to family background (Ministry of Education, 2023). These factors collectively hinder pupils' ability to smoothly progress to junior school.</w:t>
      </w:r>
    </w:p>
    <w:p w14:paraId="76DF8822" w14:textId="3B74D0F1" w:rsidR="00A726B7" w:rsidRPr="00A726B7" w:rsidRDefault="00A726B7" w:rsidP="00C02324">
      <w:pPr>
        <w:spacing w:after="0" w:line="240" w:lineRule="auto"/>
      </w:pPr>
      <w:r w:rsidRPr="00A726B7">
        <w:t>The quality of primary education is closely tied to teacher competence, which depends on continuous professional development (Omar et al., 2023). Given the critical nature of this transition and the identified barriers, this study sought to examine the relationship between teacher capacity and pupil transition from primary to junior schools in Lagdera Sub-County. This focus is crucial for understanding how to enhance teaching quality and ultimately learner outcomes in the region.</w:t>
      </w:r>
    </w:p>
    <w:p w14:paraId="787670D1" w14:textId="77777777" w:rsidR="00A726B7" w:rsidRPr="00A726B7" w:rsidRDefault="00A726B7" w:rsidP="00C02324">
      <w:pPr>
        <w:spacing w:after="0" w:line="240" w:lineRule="auto"/>
      </w:pPr>
      <w:r w:rsidRPr="00A726B7">
        <w:rPr>
          <w:b/>
          <w:bCs/>
        </w:rPr>
        <w:t>2. Background to the Study</w:t>
      </w:r>
    </w:p>
    <w:p w14:paraId="72D2F47D" w14:textId="7FD9D6BE" w:rsidR="00A726B7" w:rsidRPr="00A726B7" w:rsidRDefault="00230246" w:rsidP="00C02324">
      <w:pPr>
        <w:spacing w:after="0" w:line="240" w:lineRule="auto"/>
      </w:pPr>
      <w:r w:rsidRPr="00A726B7">
        <w:t xml:space="preserve">Effective transition programs, staffed by skilled professional personnel and providing quality education, have been linked to teacher achievement (Weikart &amp; </w:t>
      </w:r>
      <w:proofErr w:type="spellStart"/>
      <w:r w:rsidRPr="00A726B7">
        <w:t>Schweir</w:t>
      </w:r>
      <w:proofErr w:type="spellEnd"/>
      <w:r w:rsidRPr="00A726B7">
        <w:t xml:space="preserve">, 2011). </w:t>
      </w:r>
      <w:r w:rsidR="004A6C56">
        <w:t>Accordingly, t</w:t>
      </w:r>
      <w:r w:rsidR="00A726B7" w:rsidRPr="00A726B7">
        <w:t xml:space="preserve">ransition programs has been extensively </w:t>
      </w:r>
      <w:r>
        <w:t xml:space="preserve">studied </w:t>
      </w:r>
      <w:r w:rsidR="00A726B7" w:rsidRPr="00A726B7">
        <w:t xml:space="preserve">in several countries, particularly in the developed world, where structured programs have been implemented to facilitate smoother transitions for students </w:t>
      </w:r>
      <w:r w:rsidR="00E02AB6">
        <w:t xml:space="preserve"> </w:t>
      </w:r>
      <w:r w:rsidR="00A726B7" w:rsidRPr="00A726B7">
        <w:t xml:space="preserve"> In the United Kingdom, a study by </w:t>
      </w:r>
      <w:proofErr w:type="spellStart"/>
      <w:r w:rsidR="00AD156A" w:rsidRPr="00AD156A">
        <w:t>Kelchner</w:t>
      </w:r>
      <w:proofErr w:type="spellEnd"/>
      <w:r w:rsidR="00AD156A">
        <w:t xml:space="preserve"> </w:t>
      </w:r>
      <w:r w:rsidR="00A726B7" w:rsidRPr="00A726B7">
        <w:t>et al. (2017) on school-based transition programs revealed that interventions including mentoring, counseling, and orientation activities were successful in fostering positive attitudes toward school, which, in turn, led to lower dropout rates and improved academic performance</w:t>
      </w:r>
      <w:r>
        <w:t>.</w:t>
      </w:r>
      <w:r w:rsidR="00A726B7" w:rsidRPr="00A726B7">
        <w:t xml:space="preserve"> In the United States, </w:t>
      </w:r>
      <w:proofErr w:type="spellStart"/>
      <w:r w:rsidR="00881221" w:rsidRPr="00881221">
        <w:t>Salifu</w:t>
      </w:r>
      <w:proofErr w:type="spellEnd"/>
      <w:r w:rsidR="00881221">
        <w:t xml:space="preserve"> </w:t>
      </w:r>
      <w:r w:rsidR="00A726B7" w:rsidRPr="00A726B7">
        <w:t>et al. (</w:t>
      </w:r>
      <w:r w:rsidR="00881221">
        <w:t>2024</w:t>
      </w:r>
      <w:r w:rsidR="00A726B7" w:rsidRPr="00A726B7">
        <w:t>) highlighted the importance of school counselors and peer mentorship programs, finding that peer mentorship, in particular, played a significant role in reducing students’ anxiety and improving their academic outcomes. This reinforces the notion that social support is integral to success during transition periods, easing anxiety about academic challenges and social adjustments (</w:t>
      </w:r>
      <w:proofErr w:type="spellStart"/>
      <w:r w:rsidR="00881221" w:rsidRPr="00881221">
        <w:t>Salifu</w:t>
      </w:r>
      <w:proofErr w:type="spellEnd"/>
      <w:r w:rsidR="00881221">
        <w:t xml:space="preserve"> </w:t>
      </w:r>
      <w:r w:rsidR="00A726B7" w:rsidRPr="00A726B7">
        <w:t>et al., 2017).</w:t>
      </w:r>
    </w:p>
    <w:p w14:paraId="21FA5546" w14:textId="02952412" w:rsidR="00A726B7" w:rsidRPr="00A726B7" w:rsidRDefault="00A726B7" w:rsidP="00C02324">
      <w:pPr>
        <w:spacing w:after="0" w:line="240" w:lineRule="auto"/>
      </w:pPr>
      <w:r w:rsidRPr="00A726B7">
        <w:t xml:space="preserve">In other developed countries such as Finland, Singapore, and Canada, high teacher quality has been identified as a significant factor contributing to successful transitions (Darling-Hammond, 2017). The quality of teachers is paramount in ensuring students receive the academic support needed. </w:t>
      </w:r>
      <w:r w:rsidR="00230246">
        <w:t xml:space="preserve">The </w:t>
      </w:r>
      <w:r w:rsidRPr="00A726B7">
        <w:t xml:space="preserve">research emphasizes the need for effective teacher training programs, continuous </w:t>
      </w:r>
      <w:r w:rsidRPr="00A726B7">
        <w:lastRenderedPageBreak/>
        <w:t>professional development, and supportive working conditions that enhance teacher capacity. Well-equipped teachers are essential in providing students with the guidance and instruction required during their transition to higher levels of education</w:t>
      </w:r>
      <w:r w:rsidR="00230246">
        <w:t>.</w:t>
      </w:r>
    </w:p>
    <w:p w14:paraId="6C4DEF93" w14:textId="00979E7A" w:rsidR="00A726B7" w:rsidRPr="00A726B7" w:rsidRDefault="00230246" w:rsidP="00C02324">
      <w:pPr>
        <w:spacing w:after="0" w:line="240" w:lineRule="auto"/>
      </w:pPr>
      <w:r>
        <w:t>Importantly, t</w:t>
      </w:r>
      <w:r w:rsidR="00A726B7" w:rsidRPr="00A726B7">
        <w:t>eachers play a critical role in facilitating this transition and are fundamental to creating effective schools that adequately prepare students for higher educational levels (Essa, 2003). Their influence extends to fostering students' self-esteem as capable learners (</w:t>
      </w:r>
      <w:proofErr w:type="spellStart"/>
      <w:r w:rsidR="00A726B7" w:rsidRPr="00A726B7">
        <w:t>Abadzi</w:t>
      </w:r>
      <w:proofErr w:type="spellEnd"/>
      <w:r w:rsidR="00A726B7" w:rsidRPr="00A726B7">
        <w:t>, 2006). The accessibility, qualifications, experience, discipline approach, confidence, dedication, and classroom management skills of a teacher can profoundly shape a child's development during the initial stages of schooling, impacting whether the experience is beneficial or detrimental (Arnold et al., 2006).</w:t>
      </w:r>
      <w:r>
        <w:t xml:space="preserve">  </w:t>
      </w:r>
      <w:r w:rsidR="00A726B7" w:rsidRPr="00A726B7">
        <w:t>Research consistently indicates a connection between teachers' professional credentials and classroom excellence. While teachers are crucial in establishing a positive classroom environment for young learners, they can also pose a significant barrier if not adequately prepared or supported. Supporting a child's social and emotional functioning in the classroom is directly linked to their future academic success (Bennett, 2006). Positive interactions between students and teachers cultivate feelings of being valued, capable, respected, and cherished among children (Neuman, 2002). Teachers can address children's needs both verbally and nonverbally by responding to concerns and offering encouragement and support, which includes using positive non-verbal cues like smiling and making eye contact (Neuman, 2002).</w:t>
      </w:r>
    </w:p>
    <w:p w14:paraId="22C35BEA" w14:textId="78B21B08" w:rsidR="00A726B7" w:rsidRPr="00A726B7" w:rsidRDefault="00A726B7" w:rsidP="00C02324">
      <w:pPr>
        <w:spacing w:after="0" w:line="240" w:lineRule="auto"/>
      </w:pPr>
      <w:r w:rsidRPr="00A726B7">
        <w:t xml:space="preserve">This suggests that effective teachers possess qualities such as imagination, sociability, patience, and compassion, and are capable of implementing a balanced curriculum and diverse educational experiences (Weikart &amp; </w:t>
      </w:r>
      <w:proofErr w:type="spellStart"/>
      <w:r w:rsidRPr="00A726B7">
        <w:t>Schweir</w:t>
      </w:r>
      <w:proofErr w:type="spellEnd"/>
      <w:r w:rsidRPr="00A726B7">
        <w:t>, 2011). An investigation in Thika-West District, Kiambu County, Kenya, found that educators' academic development, the physical setting, and the discourse of learning and teaching techniques were significant factors in student transition (Mureithi, 2013). This study, however, did not find a correlation specifically between different school instructors regarding transition support (Mureithi, 2013). In contrast, the Madrasa early childhood development and education program in East Africa facilitates communication between lower primary school instructors and those from feeder preschools, attempting to ease the transition by exchanging best practices across the two educational contexts (Mwaura, 2005).</w:t>
      </w:r>
      <w:r w:rsidR="004A6C56">
        <w:t xml:space="preserve"> </w:t>
      </w:r>
      <w:r w:rsidRPr="00A726B7">
        <w:t>Transition in Kenya is also linked to teacher competencies, requiring teachers to possess appropriate skills for handling junior school students (Aden et al., 2023).</w:t>
      </w:r>
    </w:p>
    <w:p w14:paraId="3BA9D4D5" w14:textId="77777777" w:rsidR="00A726B7" w:rsidRPr="00A726B7" w:rsidRDefault="00A726B7" w:rsidP="00C02324">
      <w:pPr>
        <w:spacing w:after="0" w:line="240" w:lineRule="auto"/>
      </w:pPr>
      <w:r w:rsidRPr="00A726B7">
        <w:t>Despite government initiatives aimed at expanding educational access in Kenya, approximately 40% of pupils in Lagdera Sub-County face significant barriers during this transition (Ministry of Education, 2023). These barriers include inadequate teacher capacity, limited support programs, poor physical facilities, and socio-economic challenges related to family background (Ministry of Education, 2023). This background establishes the critical nature of the transition from primary to junior school and identifies key potential determinants, particularly emphasizing teacher capacity and the challenges faced in contexts like Sub-Saharan Africa and rural Kenya.</w:t>
      </w:r>
    </w:p>
    <w:p w14:paraId="7D56CB63" w14:textId="77777777" w:rsidR="00A726B7" w:rsidRPr="00A726B7" w:rsidRDefault="00A726B7" w:rsidP="00C02324">
      <w:pPr>
        <w:spacing w:after="0" w:line="240" w:lineRule="auto"/>
      </w:pPr>
      <w:r w:rsidRPr="00A726B7">
        <w:rPr>
          <w:b/>
          <w:bCs/>
        </w:rPr>
        <w:t>3. Statement of the Problem</w:t>
      </w:r>
    </w:p>
    <w:p w14:paraId="6EE2DF71" w14:textId="05EDECC6" w:rsidR="00A726B7" w:rsidRPr="00A726B7" w:rsidRDefault="00A726B7" w:rsidP="00C02324">
      <w:pPr>
        <w:spacing w:after="0" w:line="240" w:lineRule="auto"/>
      </w:pPr>
      <w:r w:rsidRPr="00A726B7">
        <w:t>The transition from primary to junior school is a pivotal stage in a pupil's educational journey, directly impacting their academic performance and long-term success. However, this transition process is particularly challenging in marginalized and rural areas, such as Lagdera Sub-County in northern Kenya. Despite government initiatives aimed at expanding educational access, approximately 40% of pupils in Lagdera face significant barriers during this transition, leading many to drop out before completing their education (Ministry of Education, 2023).</w:t>
      </w:r>
      <w:r w:rsidR="00230246">
        <w:t xml:space="preserve"> </w:t>
      </w:r>
      <w:r w:rsidRPr="00A726B7">
        <w:t xml:space="preserve">These barriers, which include inadequate teacher capacity, limited support programs, poor physical facilities, and socio-economic challenges related to family background, hinder pupils' ability to smoothly </w:t>
      </w:r>
      <w:r w:rsidRPr="00A726B7">
        <w:lastRenderedPageBreak/>
        <w:t>progress to junior school (Ministry of Education, 2023). Specifically in rural Kenya like Lagdera, challenges such as poor infrastructure, inadequate learning materials, insufficient sanitation facilities, overcrowded classrooms, and limited parental support impede this transition (Ministry of Education, 2023). Despite the recognition of these challenges, there is a lack of empirical data specifically examining how these factors interact to influence the transition rates in Lagdera Sub-County. This gap in knowledge limits the development of effective interventions tailored to address the unique challenges faced by pupils in the region.</w:t>
      </w:r>
      <w:r w:rsidR="00230246">
        <w:t xml:space="preserve"> </w:t>
      </w:r>
      <w:r w:rsidRPr="00A726B7">
        <w:t>Therefore, this study sought to explore the relationship between teacher capacity and pupil transitions from primary to junior school in Lagdera Sub-County. By investigating these dynamics, the study aims to provide valuable insights that will inform evidence-based policy recommendations, ultimately improving the educational outcomes and transition experiences for pupils in the region.</w:t>
      </w:r>
    </w:p>
    <w:p w14:paraId="10A2ED03" w14:textId="77777777" w:rsidR="00A726B7" w:rsidRPr="00A726B7" w:rsidRDefault="00A726B7" w:rsidP="00C02324">
      <w:pPr>
        <w:spacing w:after="0" w:line="240" w:lineRule="auto"/>
      </w:pPr>
      <w:r w:rsidRPr="00A726B7">
        <w:rPr>
          <w:b/>
          <w:bCs/>
        </w:rPr>
        <w:t>4. Research Hypothesis</w:t>
      </w:r>
    </w:p>
    <w:p w14:paraId="0EDFAA70" w14:textId="403F88B7" w:rsidR="00A726B7" w:rsidRPr="00A726B7" w:rsidRDefault="00A726B7" w:rsidP="00C02324">
      <w:pPr>
        <w:spacing w:after="0" w:line="240" w:lineRule="auto"/>
      </w:pPr>
      <w:r w:rsidRPr="00A726B7">
        <w:rPr>
          <w:b/>
          <w:bCs/>
        </w:rPr>
        <w:t>H</w:t>
      </w:r>
      <w:r w:rsidRPr="00CC1FF0">
        <w:rPr>
          <w:rFonts w:ascii="Times New Roman Bold" w:hAnsi="Times New Roman Bold"/>
          <w:b/>
          <w:bCs/>
          <w:vertAlign w:val="subscript"/>
        </w:rPr>
        <w:t>0</w:t>
      </w:r>
      <w:r w:rsidRPr="00A726B7">
        <w:rPr>
          <w:b/>
          <w:bCs/>
        </w:rPr>
        <w:t xml:space="preserve">: Teacher’s capacity does not </w:t>
      </w:r>
      <w:r w:rsidR="00CC1FF0">
        <w:rPr>
          <w:b/>
          <w:bCs/>
        </w:rPr>
        <w:t>have a significant effect on</w:t>
      </w:r>
      <w:r w:rsidRPr="00A726B7">
        <w:rPr>
          <w:b/>
          <w:bCs/>
        </w:rPr>
        <w:t xml:space="preserve"> learners during transition to junior school in Lagdera Sub-County.</w:t>
      </w:r>
    </w:p>
    <w:p w14:paraId="359A3A91" w14:textId="77777777" w:rsidR="00A726B7" w:rsidRPr="00A726B7" w:rsidRDefault="00A726B7" w:rsidP="00C02324">
      <w:pPr>
        <w:spacing w:after="0" w:line="240" w:lineRule="auto"/>
      </w:pPr>
      <w:r w:rsidRPr="00A726B7">
        <w:rPr>
          <w:b/>
          <w:bCs/>
        </w:rPr>
        <w:t>5. Methodology</w:t>
      </w:r>
    </w:p>
    <w:p w14:paraId="51F68319" w14:textId="77777777" w:rsidR="00A726B7" w:rsidRPr="00A726B7" w:rsidRDefault="00A726B7" w:rsidP="00C02324">
      <w:pPr>
        <w:spacing w:after="0" w:line="240" w:lineRule="auto"/>
      </w:pPr>
      <w:r w:rsidRPr="00A726B7">
        <w:t xml:space="preserve">The study adopted a </w:t>
      </w:r>
      <w:r w:rsidRPr="00A726B7">
        <w:rPr>
          <w:b/>
          <w:bCs/>
        </w:rPr>
        <w:t>positivism paradigm</w:t>
      </w:r>
      <w:r w:rsidRPr="00A726B7">
        <w:t>, which is described as a comprehensive belief system, worldview, or framework that guides research and practice in a field (Willis, 2007). Positivism is grounded in the belief that reality exists independently of the researcher and can be objectively studied through empirical observations and measurements (Bryman, 2012), emphasizing quantifiable data and objective facts (Bryman, 2012). The foundational assumption of positivism is that the phenomena being studied are external to the researcher and can be observed and measured independently of personal bias or interpretation (Bryman, 2012). In this study, the transition from primary to junior school in Lagdera Sub-County was viewed as an objective event that was not influenced by the researcher’s subjective experience or opinion. Factors such as teacher capacity were considered tangible and measurable aspects that could be observed, quantified, and analyzed without requiring subjective interpretation (Bryman, 2012). The adoption of the positivist paradigm allowed for the examination of these variables in a way that emphasized their objective reality and influence on pupil transitions (Bryman, 2012).</w:t>
      </w:r>
    </w:p>
    <w:p w14:paraId="791038C2" w14:textId="77777777" w:rsidR="00A726B7" w:rsidRPr="00A726B7" w:rsidRDefault="00A726B7" w:rsidP="00C02324">
      <w:pPr>
        <w:spacing w:after="0" w:line="240" w:lineRule="auto"/>
      </w:pPr>
      <w:r w:rsidRPr="00A726B7">
        <w:t xml:space="preserve">For this study, a </w:t>
      </w:r>
      <w:r w:rsidRPr="00A726B7">
        <w:rPr>
          <w:b/>
          <w:bCs/>
        </w:rPr>
        <w:t>correlational research design</w:t>
      </w:r>
      <w:r w:rsidRPr="00A726B7">
        <w:t xml:space="preserve"> was employed. This design is particularly appropriate for examining the nature and strength of relationships between two or more variables without manipulating them (Creswell &amp; Creswell, 2018). It allows the researcher to explore predictive patterns and determine the degree to which variables are related, making it suitable for analyzing the associations between key determinants and the successful transition to junior secondary school (Fraenkel et al., 2019). By using this approach, the study aimed to uncover statistically significant relationships that could inform evidence-based strategies for enhancing educational continuity.</w:t>
      </w:r>
    </w:p>
    <w:p w14:paraId="7E5E7324" w14:textId="77777777" w:rsidR="00A726B7" w:rsidRPr="00A726B7" w:rsidRDefault="00A726B7" w:rsidP="00C02324">
      <w:pPr>
        <w:spacing w:after="0" w:line="240" w:lineRule="auto"/>
      </w:pPr>
      <w:r w:rsidRPr="00A726B7">
        <w:t xml:space="preserve">The study was carried out in public primary schools within </w:t>
      </w:r>
      <w:r w:rsidRPr="00A726B7">
        <w:rPr>
          <w:b/>
          <w:bCs/>
        </w:rPr>
        <w:t>Lagdera Sub-County</w:t>
      </w:r>
      <w:r w:rsidRPr="00A726B7">
        <w:t xml:space="preserve">, located in Garissa County, Kenya (Government of Kenya, 2018). Garissa County is situated in the arid and semi-arid lands (ASALs) of northeastern Kenya, a region characterized by harsh climatic conditions, low population density, and limited infrastructure (Government of Kenya, 2018). Lagdera Sub-County, in particular, faces numerous educational challenges, including teacher shortages, low school enrollment, and high dropout rates, largely due to its remote location and socio-economic constraints. The selection of this study area was purposive, based on the researcher's familiarity with the region, which facilitated easier access to schools and respondents. This familiarity enabled more efficient data collection, logistical coordination, and cultural </w:t>
      </w:r>
      <w:r w:rsidRPr="00A726B7">
        <w:lastRenderedPageBreak/>
        <w:t>sensitivity in interacting with participants, thus enhancing the feasibility and reliability of the research process.</w:t>
      </w:r>
    </w:p>
    <w:p w14:paraId="08743846" w14:textId="77777777" w:rsidR="00A726B7" w:rsidRPr="00A726B7" w:rsidRDefault="00A726B7" w:rsidP="00C02324">
      <w:pPr>
        <w:spacing w:after="0" w:line="240" w:lineRule="auto"/>
      </w:pPr>
      <w:r w:rsidRPr="00A726B7">
        <w:t xml:space="preserve">The study’s </w:t>
      </w:r>
      <w:r w:rsidRPr="00A726B7">
        <w:rPr>
          <w:b/>
          <w:bCs/>
        </w:rPr>
        <w:t>target population</w:t>
      </w:r>
      <w:r w:rsidRPr="00A726B7">
        <w:t xml:space="preserve"> comprised all 95 primary school teachers from the 28 public primary schools in </w:t>
      </w:r>
      <w:proofErr w:type="spellStart"/>
      <w:r w:rsidRPr="00A726B7">
        <w:t>Sankuri</w:t>
      </w:r>
      <w:proofErr w:type="spellEnd"/>
      <w:r w:rsidRPr="00A726B7">
        <w:t xml:space="preserve"> Sub-County (Omar et al., 2023). For this specific study focused on Lagdera Sub-County, the target population consisted of 31 head teachers, 20 deputy head teachers, 10 heads of departments, and 90 teachers, totaling 151 respondents in Lagdera Sub-County, selected from the 31 public primary schools in the sub-county.</w:t>
      </w:r>
    </w:p>
    <w:p w14:paraId="6D9F8335" w14:textId="77777777" w:rsidR="00A726B7" w:rsidRPr="00A726B7" w:rsidRDefault="00A726B7" w:rsidP="00C02324">
      <w:pPr>
        <w:spacing w:after="0" w:line="240" w:lineRule="auto"/>
      </w:pPr>
      <w:r w:rsidRPr="00A726B7">
        <w:rPr>
          <w:b/>
          <w:bCs/>
        </w:rPr>
        <w:t>Table 1: Sample Size of the Population</w:t>
      </w:r>
    </w:p>
    <w:tbl>
      <w:tblPr>
        <w:tblStyle w:val="TableGrid"/>
        <w:tblW w:w="0" w:type="auto"/>
        <w:tblLook w:val="04A0" w:firstRow="1" w:lastRow="0" w:firstColumn="1" w:lastColumn="0" w:noHBand="0" w:noVBand="1"/>
      </w:tblPr>
      <w:tblGrid>
        <w:gridCol w:w="2222"/>
        <w:gridCol w:w="1337"/>
        <w:gridCol w:w="1410"/>
      </w:tblGrid>
      <w:tr w:rsidR="00A726B7" w:rsidRPr="00A726B7" w14:paraId="05754FD8" w14:textId="77777777" w:rsidTr="00571440">
        <w:tc>
          <w:tcPr>
            <w:tcW w:w="0" w:type="auto"/>
            <w:hideMark/>
          </w:tcPr>
          <w:p w14:paraId="1B7987C9" w14:textId="77777777" w:rsidR="00A726B7" w:rsidRPr="00A726B7" w:rsidRDefault="00A726B7" w:rsidP="00C02324">
            <w:pPr>
              <w:spacing w:line="240" w:lineRule="auto"/>
              <w:rPr>
                <w:b/>
                <w:bCs/>
              </w:rPr>
            </w:pPr>
            <w:r w:rsidRPr="00A726B7">
              <w:rPr>
                <w:b/>
                <w:bCs/>
              </w:rPr>
              <w:t>Category</w:t>
            </w:r>
          </w:p>
        </w:tc>
        <w:tc>
          <w:tcPr>
            <w:tcW w:w="0" w:type="auto"/>
            <w:hideMark/>
          </w:tcPr>
          <w:p w14:paraId="205AE37E" w14:textId="77777777" w:rsidR="00A726B7" w:rsidRPr="00A726B7" w:rsidRDefault="00A726B7" w:rsidP="00C02324">
            <w:pPr>
              <w:spacing w:line="240" w:lineRule="auto"/>
              <w:rPr>
                <w:b/>
                <w:bCs/>
              </w:rPr>
            </w:pPr>
            <w:r w:rsidRPr="00A726B7">
              <w:rPr>
                <w:b/>
                <w:bCs/>
              </w:rPr>
              <w:t>Population</w:t>
            </w:r>
          </w:p>
        </w:tc>
        <w:tc>
          <w:tcPr>
            <w:tcW w:w="0" w:type="auto"/>
            <w:hideMark/>
          </w:tcPr>
          <w:p w14:paraId="59D61876" w14:textId="77777777" w:rsidR="00A726B7" w:rsidRPr="00A726B7" w:rsidRDefault="00A726B7" w:rsidP="00C02324">
            <w:pPr>
              <w:spacing w:line="240" w:lineRule="auto"/>
              <w:rPr>
                <w:b/>
                <w:bCs/>
              </w:rPr>
            </w:pPr>
            <w:r w:rsidRPr="00A726B7">
              <w:rPr>
                <w:b/>
                <w:bCs/>
              </w:rPr>
              <w:t>Sample size</w:t>
            </w:r>
          </w:p>
        </w:tc>
      </w:tr>
      <w:tr w:rsidR="00A726B7" w:rsidRPr="00A726B7" w14:paraId="6620F180" w14:textId="77777777" w:rsidTr="00571440">
        <w:tc>
          <w:tcPr>
            <w:tcW w:w="0" w:type="auto"/>
            <w:hideMark/>
          </w:tcPr>
          <w:p w14:paraId="0084D74E" w14:textId="77777777" w:rsidR="00A726B7" w:rsidRPr="00A726B7" w:rsidRDefault="00A726B7" w:rsidP="00C02324">
            <w:pPr>
              <w:spacing w:line="240" w:lineRule="auto"/>
            </w:pPr>
            <w:r w:rsidRPr="00A726B7">
              <w:t>Schools</w:t>
            </w:r>
          </w:p>
        </w:tc>
        <w:tc>
          <w:tcPr>
            <w:tcW w:w="0" w:type="auto"/>
            <w:hideMark/>
          </w:tcPr>
          <w:p w14:paraId="034489E8" w14:textId="77777777" w:rsidR="00A726B7" w:rsidRPr="00A726B7" w:rsidRDefault="00A726B7" w:rsidP="00C02324">
            <w:pPr>
              <w:spacing w:line="240" w:lineRule="auto"/>
            </w:pPr>
            <w:r w:rsidRPr="00A726B7">
              <w:t>31</w:t>
            </w:r>
          </w:p>
        </w:tc>
        <w:tc>
          <w:tcPr>
            <w:tcW w:w="0" w:type="auto"/>
            <w:hideMark/>
          </w:tcPr>
          <w:p w14:paraId="776B3018" w14:textId="77777777" w:rsidR="00A726B7" w:rsidRPr="00A726B7" w:rsidRDefault="00A726B7" w:rsidP="00C02324">
            <w:pPr>
              <w:spacing w:line="240" w:lineRule="auto"/>
            </w:pPr>
            <w:r w:rsidRPr="00A726B7">
              <w:t>31</w:t>
            </w:r>
          </w:p>
        </w:tc>
      </w:tr>
      <w:tr w:rsidR="00A726B7" w:rsidRPr="00A726B7" w14:paraId="352E9E69" w14:textId="77777777" w:rsidTr="00571440">
        <w:tc>
          <w:tcPr>
            <w:tcW w:w="0" w:type="auto"/>
            <w:hideMark/>
          </w:tcPr>
          <w:p w14:paraId="18DDB8DC" w14:textId="77777777" w:rsidR="00A726B7" w:rsidRPr="00A726B7" w:rsidRDefault="00A726B7" w:rsidP="00C02324">
            <w:pPr>
              <w:spacing w:line="240" w:lineRule="auto"/>
            </w:pPr>
            <w:r w:rsidRPr="00A726B7">
              <w:t>Headteachers</w:t>
            </w:r>
          </w:p>
        </w:tc>
        <w:tc>
          <w:tcPr>
            <w:tcW w:w="0" w:type="auto"/>
            <w:hideMark/>
          </w:tcPr>
          <w:p w14:paraId="0D097EFB" w14:textId="77777777" w:rsidR="00A726B7" w:rsidRPr="00A726B7" w:rsidRDefault="00A726B7" w:rsidP="00C02324">
            <w:pPr>
              <w:spacing w:line="240" w:lineRule="auto"/>
            </w:pPr>
            <w:r w:rsidRPr="00A726B7">
              <w:t>31</w:t>
            </w:r>
          </w:p>
        </w:tc>
        <w:tc>
          <w:tcPr>
            <w:tcW w:w="0" w:type="auto"/>
            <w:hideMark/>
          </w:tcPr>
          <w:p w14:paraId="4059195B" w14:textId="77777777" w:rsidR="00A726B7" w:rsidRPr="00A726B7" w:rsidRDefault="00A726B7" w:rsidP="00C02324">
            <w:pPr>
              <w:spacing w:line="240" w:lineRule="auto"/>
            </w:pPr>
            <w:r w:rsidRPr="00A726B7">
              <w:t>31</w:t>
            </w:r>
          </w:p>
        </w:tc>
      </w:tr>
      <w:tr w:rsidR="00A726B7" w:rsidRPr="00A726B7" w14:paraId="5AB97418" w14:textId="77777777" w:rsidTr="00571440">
        <w:tc>
          <w:tcPr>
            <w:tcW w:w="0" w:type="auto"/>
            <w:hideMark/>
          </w:tcPr>
          <w:p w14:paraId="588000A1" w14:textId="77777777" w:rsidR="00A726B7" w:rsidRPr="00A726B7" w:rsidRDefault="00A726B7" w:rsidP="00C02324">
            <w:pPr>
              <w:spacing w:line="240" w:lineRule="auto"/>
            </w:pPr>
            <w:r w:rsidRPr="00A726B7">
              <w:t>Deputy headteachers</w:t>
            </w:r>
          </w:p>
        </w:tc>
        <w:tc>
          <w:tcPr>
            <w:tcW w:w="0" w:type="auto"/>
            <w:hideMark/>
          </w:tcPr>
          <w:p w14:paraId="41A4FC33" w14:textId="77777777" w:rsidR="00A726B7" w:rsidRPr="00A726B7" w:rsidRDefault="00A726B7" w:rsidP="00C02324">
            <w:pPr>
              <w:spacing w:line="240" w:lineRule="auto"/>
            </w:pPr>
            <w:r w:rsidRPr="00A726B7">
              <w:t>20</w:t>
            </w:r>
          </w:p>
        </w:tc>
        <w:tc>
          <w:tcPr>
            <w:tcW w:w="0" w:type="auto"/>
            <w:hideMark/>
          </w:tcPr>
          <w:p w14:paraId="716C16F4" w14:textId="77777777" w:rsidR="00A726B7" w:rsidRPr="00A726B7" w:rsidRDefault="00A726B7" w:rsidP="00C02324">
            <w:pPr>
              <w:spacing w:line="240" w:lineRule="auto"/>
            </w:pPr>
            <w:r w:rsidRPr="00A726B7">
              <w:t>20</w:t>
            </w:r>
          </w:p>
        </w:tc>
      </w:tr>
      <w:tr w:rsidR="00A726B7" w:rsidRPr="00A726B7" w14:paraId="29971EB8" w14:textId="77777777" w:rsidTr="00571440">
        <w:tc>
          <w:tcPr>
            <w:tcW w:w="0" w:type="auto"/>
            <w:hideMark/>
          </w:tcPr>
          <w:p w14:paraId="17A79476" w14:textId="77777777" w:rsidR="00A726B7" w:rsidRPr="00A726B7" w:rsidRDefault="00A726B7" w:rsidP="00C02324">
            <w:pPr>
              <w:spacing w:line="240" w:lineRule="auto"/>
            </w:pPr>
            <w:r w:rsidRPr="00A726B7">
              <w:t>HODs</w:t>
            </w:r>
          </w:p>
        </w:tc>
        <w:tc>
          <w:tcPr>
            <w:tcW w:w="0" w:type="auto"/>
            <w:hideMark/>
          </w:tcPr>
          <w:p w14:paraId="12F7413F" w14:textId="77777777" w:rsidR="00A726B7" w:rsidRPr="00A726B7" w:rsidRDefault="00A726B7" w:rsidP="00C02324">
            <w:pPr>
              <w:spacing w:line="240" w:lineRule="auto"/>
            </w:pPr>
            <w:r w:rsidRPr="00A726B7">
              <w:t>10</w:t>
            </w:r>
          </w:p>
        </w:tc>
        <w:tc>
          <w:tcPr>
            <w:tcW w:w="0" w:type="auto"/>
            <w:hideMark/>
          </w:tcPr>
          <w:p w14:paraId="328EC137" w14:textId="77777777" w:rsidR="00A726B7" w:rsidRPr="00A726B7" w:rsidRDefault="00A726B7" w:rsidP="00C02324">
            <w:pPr>
              <w:spacing w:line="240" w:lineRule="auto"/>
            </w:pPr>
            <w:r w:rsidRPr="00A726B7">
              <w:t>10</w:t>
            </w:r>
          </w:p>
        </w:tc>
      </w:tr>
      <w:tr w:rsidR="00A726B7" w:rsidRPr="00A726B7" w14:paraId="7AEEBE49" w14:textId="77777777" w:rsidTr="00571440">
        <w:tc>
          <w:tcPr>
            <w:tcW w:w="0" w:type="auto"/>
            <w:hideMark/>
          </w:tcPr>
          <w:p w14:paraId="2582341D" w14:textId="77777777" w:rsidR="00A726B7" w:rsidRPr="00A726B7" w:rsidRDefault="00A726B7" w:rsidP="00C02324">
            <w:pPr>
              <w:spacing w:line="240" w:lineRule="auto"/>
            </w:pPr>
            <w:r w:rsidRPr="00A726B7">
              <w:t>Teachers</w:t>
            </w:r>
          </w:p>
        </w:tc>
        <w:tc>
          <w:tcPr>
            <w:tcW w:w="0" w:type="auto"/>
            <w:hideMark/>
          </w:tcPr>
          <w:p w14:paraId="0F160A04" w14:textId="77777777" w:rsidR="00A726B7" w:rsidRPr="00A726B7" w:rsidRDefault="00A726B7" w:rsidP="00C02324">
            <w:pPr>
              <w:spacing w:line="240" w:lineRule="auto"/>
            </w:pPr>
            <w:r w:rsidRPr="00A726B7">
              <w:t>90</w:t>
            </w:r>
          </w:p>
        </w:tc>
        <w:tc>
          <w:tcPr>
            <w:tcW w:w="0" w:type="auto"/>
            <w:hideMark/>
          </w:tcPr>
          <w:p w14:paraId="5B8AE7E2" w14:textId="77777777" w:rsidR="00A726B7" w:rsidRPr="00A726B7" w:rsidRDefault="00A726B7" w:rsidP="00C02324">
            <w:pPr>
              <w:spacing w:line="240" w:lineRule="auto"/>
            </w:pPr>
            <w:r w:rsidRPr="00A726B7">
              <w:t>90</w:t>
            </w:r>
          </w:p>
        </w:tc>
      </w:tr>
      <w:tr w:rsidR="00A726B7" w:rsidRPr="00A726B7" w14:paraId="50EFC806" w14:textId="77777777" w:rsidTr="00571440">
        <w:tc>
          <w:tcPr>
            <w:tcW w:w="0" w:type="auto"/>
            <w:hideMark/>
          </w:tcPr>
          <w:p w14:paraId="3406FA05" w14:textId="77777777" w:rsidR="00A726B7" w:rsidRPr="00A726B7" w:rsidRDefault="00A726B7" w:rsidP="00C02324">
            <w:pPr>
              <w:spacing w:line="240" w:lineRule="auto"/>
            </w:pPr>
            <w:r w:rsidRPr="00A726B7">
              <w:rPr>
                <w:b/>
                <w:bCs/>
              </w:rPr>
              <w:t>Total</w:t>
            </w:r>
          </w:p>
        </w:tc>
        <w:tc>
          <w:tcPr>
            <w:tcW w:w="0" w:type="auto"/>
            <w:hideMark/>
          </w:tcPr>
          <w:p w14:paraId="0AB26344" w14:textId="77777777" w:rsidR="00A726B7" w:rsidRPr="00A726B7" w:rsidRDefault="00A726B7" w:rsidP="00C02324">
            <w:pPr>
              <w:spacing w:line="240" w:lineRule="auto"/>
            </w:pPr>
            <w:r w:rsidRPr="00A726B7">
              <w:rPr>
                <w:b/>
                <w:bCs/>
              </w:rPr>
              <w:t>151</w:t>
            </w:r>
          </w:p>
        </w:tc>
        <w:tc>
          <w:tcPr>
            <w:tcW w:w="0" w:type="auto"/>
            <w:hideMark/>
          </w:tcPr>
          <w:p w14:paraId="7896EC2F" w14:textId="77777777" w:rsidR="00A726B7" w:rsidRPr="00A726B7" w:rsidRDefault="00A726B7" w:rsidP="00C02324">
            <w:pPr>
              <w:spacing w:line="240" w:lineRule="auto"/>
            </w:pPr>
            <w:r w:rsidRPr="00A726B7">
              <w:rPr>
                <w:b/>
                <w:bCs/>
              </w:rPr>
              <w:t>151</w:t>
            </w:r>
          </w:p>
        </w:tc>
      </w:tr>
    </w:tbl>
    <w:p w14:paraId="19D97F40" w14:textId="77777777" w:rsidR="00A726B7" w:rsidRPr="00A726B7" w:rsidRDefault="00A726B7" w:rsidP="00C02324">
      <w:pPr>
        <w:spacing w:after="0" w:line="240" w:lineRule="auto"/>
      </w:pPr>
      <w:r w:rsidRPr="00A726B7">
        <w:t>Source (MOE, 2025)</w:t>
      </w:r>
    </w:p>
    <w:p w14:paraId="47F37166" w14:textId="77777777" w:rsidR="00A726B7" w:rsidRPr="00A726B7" w:rsidRDefault="00A726B7" w:rsidP="00C02324">
      <w:pPr>
        <w:spacing w:after="0" w:line="240" w:lineRule="auto"/>
      </w:pPr>
      <w:r w:rsidRPr="00A726B7">
        <w:t xml:space="preserve">The study employed a </w:t>
      </w:r>
      <w:r w:rsidRPr="00A726B7">
        <w:rPr>
          <w:b/>
          <w:bCs/>
        </w:rPr>
        <w:t>census sampling procedure</w:t>
      </w:r>
      <w:r w:rsidRPr="00A726B7">
        <w:t xml:space="preserve">, a deliberate decision driven by the distinct characteristics of the target population. Given the confined scope of Lagdera Sub-County's public primary schools, the entire population of 151 individuals comprising 31 head teachers, 20 deputy head teachers, 10 heads of departments, and 90 teachers was fully incorporated (Battaglia, 2008; </w:t>
      </w:r>
      <w:proofErr w:type="spellStart"/>
      <w:r w:rsidRPr="00A726B7">
        <w:t>Lavrakas</w:t>
      </w:r>
      <w:proofErr w:type="spellEnd"/>
      <w:r w:rsidRPr="00A726B7">
        <w:t xml:space="preserve">, 2008). This strategic choice diverges from conventional sampling techniques, which are typically employed for larger, more dispersed populations to manage logistical constraints and costs (Battaglia, 2008; </w:t>
      </w:r>
      <w:proofErr w:type="spellStart"/>
      <w:r w:rsidRPr="00A726B7">
        <w:t>Lavrakas</w:t>
      </w:r>
      <w:proofErr w:type="spellEnd"/>
      <w:r w:rsidRPr="00A726B7">
        <w:t>, 2008). By undertaking a census, the study inherently eliminates sampling error, thereby ensuring the acquisition of the most accurate and precise data attainable for this specific administrative and teaching cohort (Daniel, 2011). This comprehensive inclusion was paramount, as it guaranteed that every perspective within the defined population was captured, leading to an exceptionally rich and exhaustive understanding of the research phenomenon without the inferential limitations inherent in subset analyses (Daniel, 2011).</w:t>
      </w:r>
    </w:p>
    <w:p w14:paraId="615223E7" w14:textId="780169FA" w:rsidR="00A726B7" w:rsidRPr="00A726B7" w:rsidRDefault="00A726B7" w:rsidP="00C02324">
      <w:pPr>
        <w:spacing w:after="0" w:line="240" w:lineRule="auto"/>
      </w:pPr>
      <w:r w:rsidRPr="00A726B7">
        <w:t xml:space="preserve">A </w:t>
      </w:r>
      <w:r w:rsidRPr="00A726B7">
        <w:rPr>
          <w:b/>
          <w:bCs/>
        </w:rPr>
        <w:t>structured questionnaire</w:t>
      </w:r>
      <w:r w:rsidRPr="00A726B7">
        <w:t xml:space="preserve"> was the primary research instrument used to collect quantitative data </w:t>
      </w:r>
      <w:r w:rsidR="00E02AB6">
        <w:t xml:space="preserve"> </w:t>
      </w:r>
      <w:r w:rsidRPr="00A726B7">
        <w:t xml:space="preserve"> The questionnaire comprised close-ended questions designed to standardize data collection and enable objective analysis of the relationships between variables, thereby enhancing data reliability and facilitating statistical analysis (Holmes, 2016; Sharma, 2017). A 4-point Likert scale (1 = strongly disagree, 2 = disagree, 3 = agree, and 4 = strongly agree) was adopted to measure respondents’ perceptions and experiences concerning the study variables (Omar et al., 2023). The use of a Likert scale allowed for easy quantification of responses, which was essential for statistical analysis (Sharma, 2017). The research instruments had six main domains: Biodata (giving a brief description of the respondent information), Teacher capacity that facilitates transition, Physical facilities in the school that facilitate transition, Support programs in the school to determine transition, Family background of the students, and Student transition process. For the purpose of this article, the focus is on Teacher Capacity and Student Transition.</w:t>
      </w:r>
    </w:p>
    <w:p w14:paraId="27384A8F" w14:textId="77777777" w:rsidR="00A726B7" w:rsidRPr="00A726B7" w:rsidRDefault="00A726B7" w:rsidP="00C02324">
      <w:pPr>
        <w:spacing w:after="0" w:line="240" w:lineRule="auto"/>
      </w:pPr>
      <w:r w:rsidRPr="00A726B7">
        <w:rPr>
          <w:b/>
          <w:bCs/>
        </w:rPr>
        <w:t>6. Validity and Reliability of the Instruments</w:t>
      </w:r>
    </w:p>
    <w:p w14:paraId="35910A2B" w14:textId="0E82E975" w:rsidR="00A726B7" w:rsidRPr="00A726B7" w:rsidRDefault="00A726B7" w:rsidP="00C02324">
      <w:pPr>
        <w:spacing w:after="0" w:line="240" w:lineRule="auto"/>
      </w:pPr>
      <w:r w:rsidRPr="00A726B7">
        <w:t xml:space="preserve">To ensure the validity of the questionnaire items, the study employed both content and face validity assessments. Content validity was established through consultation with subject matter experts, including educational researchers and experienced teachers, who evaluated whether the items comprehensively covered the dimensions of the study variables. Educational experts in Garissa </w:t>
      </w:r>
      <w:r w:rsidRPr="00A726B7">
        <w:lastRenderedPageBreak/>
        <w:t xml:space="preserve">University expressed a logical link of the survey items to the research objectives </w:t>
      </w:r>
      <w:r w:rsidR="00E02AB6">
        <w:t xml:space="preserve"> </w:t>
      </w:r>
      <w:r w:rsidRPr="00A726B7">
        <w:t xml:space="preserve"> Also, a measuring scale in line with the literature was constructed and pre-tested during the piloting phase </w:t>
      </w:r>
      <w:r w:rsidR="00E02AB6">
        <w:t xml:space="preserve"> </w:t>
      </w:r>
    </w:p>
    <w:p w14:paraId="183FF2A2" w14:textId="45BC4569" w:rsidR="00A726B7" w:rsidRPr="00A726B7" w:rsidRDefault="00A726B7" w:rsidP="00C02324">
      <w:pPr>
        <w:spacing w:after="0" w:line="240" w:lineRule="auto"/>
      </w:pPr>
      <w:r w:rsidRPr="00A726B7">
        <w:t xml:space="preserve">Reliability refers to the extent to which an assessment tool yields consistent and stable results when applied under similar conditions with comparable participants (Holmes, 2016). It reflects the instrument's ability to produce constant or predictable outcomes over repeated applications (Holmes, 2016). In this study, internal consistency reliability was assessed using Cronbach’s Alpha coefficient, a widely recognized statistical measure for evaluating the reliability of multi-item scales (Taber, 2018). A Cronbach’s Alpha value of 0.70 or higher is generally accepted as indicating adequate reliability in social science research (Taber, 2018). The reliability coefficient for the construct of </w:t>
      </w:r>
      <w:r w:rsidRPr="00A726B7">
        <w:rPr>
          <w:b/>
          <w:bCs/>
        </w:rPr>
        <w:t>teacher capacity</w:t>
      </w:r>
      <w:r w:rsidRPr="00A726B7">
        <w:t xml:space="preserve"> in this study was </w:t>
      </w:r>
      <w:r w:rsidRPr="00A726B7">
        <w:rPr>
          <w:b/>
          <w:bCs/>
        </w:rPr>
        <w:t xml:space="preserve">α = </w:t>
      </w:r>
      <w:r w:rsidR="00E02AB6" w:rsidRPr="00A726B7">
        <w:rPr>
          <w:b/>
          <w:bCs/>
        </w:rPr>
        <w:t>0.76</w:t>
      </w:r>
      <w:r w:rsidR="00E02AB6" w:rsidRPr="00A726B7">
        <w:t>,</w:t>
      </w:r>
      <w:r w:rsidRPr="00A726B7">
        <w:t xml:space="preserve"> which demonstrate</w:t>
      </w:r>
      <w:r w:rsidR="00773BF7">
        <w:t>d</w:t>
      </w:r>
      <w:r w:rsidRPr="00A726B7">
        <w:t xml:space="preserve"> a satisfactory to high level of internal consistency, confirming that the items grouped under this variable reliably measured the intended concept. Similarly, for </w:t>
      </w:r>
      <w:r w:rsidRPr="00A726B7">
        <w:rPr>
          <w:b/>
          <w:bCs/>
        </w:rPr>
        <w:t>student transition</w:t>
      </w:r>
      <w:r w:rsidRPr="00A726B7">
        <w:t xml:space="preserve">, the reliability coefficient was </w:t>
      </w:r>
      <w:r w:rsidRPr="00A726B7">
        <w:rPr>
          <w:b/>
          <w:bCs/>
        </w:rPr>
        <w:t xml:space="preserve">α = </w:t>
      </w:r>
      <w:r w:rsidR="00E02AB6" w:rsidRPr="00A726B7">
        <w:rPr>
          <w:b/>
          <w:bCs/>
        </w:rPr>
        <w:t>0.88</w:t>
      </w:r>
      <w:r w:rsidR="00E02AB6" w:rsidRPr="00A726B7">
        <w:t>,</w:t>
      </w:r>
      <w:r w:rsidRPr="00A726B7">
        <w:t xml:space="preserve"> also indicating high internal consistency.</w:t>
      </w:r>
    </w:p>
    <w:p w14:paraId="684BF09D" w14:textId="5AF253F7" w:rsidR="00A726B7" w:rsidRPr="00A726B7" w:rsidRDefault="00A726B7" w:rsidP="00C02324">
      <w:pPr>
        <w:spacing w:after="0" w:line="240" w:lineRule="auto"/>
      </w:pPr>
      <w:r w:rsidRPr="00A726B7">
        <w:rPr>
          <w:b/>
          <w:bCs/>
        </w:rPr>
        <w:t>Piloting the study</w:t>
      </w:r>
      <w:r w:rsidRPr="00A726B7">
        <w:t xml:space="preserve"> was conducted as a preliminary, limited basis preparation to evaluate the methodologies intended for the research endeavor (Holmes, 2016). Testing the suggested research design and method exposed concerns that might negatively impact the project, as well as educating on various study strategies (Holmes, 2016). Piloting was done in two public primary schools where questionnaires were given to 10 teachers in </w:t>
      </w:r>
      <w:proofErr w:type="spellStart"/>
      <w:r w:rsidRPr="00A726B7">
        <w:t>Fafi</w:t>
      </w:r>
      <w:proofErr w:type="spellEnd"/>
      <w:r w:rsidRPr="00A726B7">
        <w:t xml:space="preserve"> Sub-County, and the response was used to inform if the methodology was effective.</w:t>
      </w:r>
    </w:p>
    <w:p w14:paraId="445AA6FA" w14:textId="77777777" w:rsidR="00A726B7" w:rsidRPr="00A726B7" w:rsidRDefault="00A726B7" w:rsidP="00C02324">
      <w:pPr>
        <w:spacing w:after="0" w:line="240" w:lineRule="auto"/>
      </w:pPr>
      <w:r w:rsidRPr="00A726B7">
        <w:rPr>
          <w:b/>
          <w:bCs/>
        </w:rPr>
        <w:t>7. Data Analysis Methods</w:t>
      </w:r>
    </w:p>
    <w:p w14:paraId="64C4ACE5" w14:textId="38D5DD44" w:rsidR="00A726B7" w:rsidRPr="00A726B7" w:rsidRDefault="00A726B7" w:rsidP="00C02324">
      <w:pPr>
        <w:spacing w:after="0" w:line="240" w:lineRule="auto"/>
      </w:pPr>
      <w:r w:rsidRPr="00A726B7">
        <w:t>The data collected for this study w</w:t>
      </w:r>
      <w:r w:rsidR="00773BF7">
        <w:t>as</w:t>
      </w:r>
      <w:r w:rsidRPr="00A726B7">
        <w:t xml:space="preserve"> analyzed using quantitative methods to address the research objectives and hypotheses. The analysis was conducted in three phases: descriptive </w:t>
      </w:r>
      <w:r w:rsidR="00773BF7">
        <w:t>analysis</w:t>
      </w:r>
      <w:r w:rsidRPr="00A726B7">
        <w:t xml:space="preserve"> inferential </w:t>
      </w:r>
      <w:r w:rsidR="00773BF7">
        <w:t>analysis,</w:t>
      </w:r>
      <w:r w:rsidRPr="00A726B7">
        <w:t xml:space="preserve"> and mediation analysis. Descriptive statistics summarized the demographic characteristics of the respondents, such as gender, employer type, academic qualifications, and years of teaching experience</w:t>
      </w:r>
      <w:r w:rsidR="00571440">
        <w:t xml:space="preserve">. </w:t>
      </w:r>
      <w:r w:rsidRPr="00A726B7">
        <w:t>Measures like frequencies, means, and standard deviations were used to provide an overview of the study variables</w:t>
      </w:r>
      <w:r w:rsidR="00773BF7">
        <w:t>.</w:t>
      </w:r>
      <w:r w:rsidRPr="00A726B7">
        <w:t xml:space="preserve"> Inferential statistical techniques were employed to test the study’s hypotheses </w:t>
      </w:r>
    </w:p>
    <w:p w14:paraId="6829B27E" w14:textId="42E429E6" w:rsidR="00A726B7" w:rsidRPr="00A726B7" w:rsidRDefault="00A726B7" w:rsidP="00C02324">
      <w:pPr>
        <w:spacing w:after="0" w:line="240" w:lineRule="auto"/>
      </w:pPr>
      <w:r w:rsidRPr="00A726B7">
        <w:t>Quantitative data was analyzed descriptively and inferentially. Descriptive statistics were used to summarize and organize data in a meaningful way, allowing for a description of the basic features of the data and providing a simple overview of the sample</w:t>
      </w:r>
      <w:r w:rsidR="0097304D">
        <w:t xml:space="preserve">. </w:t>
      </w:r>
      <w:r w:rsidRPr="00A726B7">
        <w:t xml:space="preserve">The specific descriptive statistics chosen were frequency, percentage, mean, and standard deviations </w:t>
      </w:r>
      <w:r w:rsidR="00E02AB6">
        <w:t xml:space="preserve"> </w:t>
      </w:r>
      <w:r w:rsidRPr="00A726B7">
        <w:t xml:space="preserve"> These descriptive statistics helped to summarize the data in a digestible manner, providing insight into trends, patterns, and distributions without making predictions or assumptions </w:t>
      </w:r>
      <w:r w:rsidR="00E02AB6">
        <w:t xml:space="preserve"> </w:t>
      </w:r>
    </w:p>
    <w:p w14:paraId="22B17BCB" w14:textId="6641EE02" w:rsidR="00A726B7" w:rsidRPr="00A726B7" w:rsidRDefault="00A726B7" w:rsidP="00C02324">
      <w:pPr>
        <w:spacing w:after="0" w:line="240" w:lineRule="auto"/>
      </w:pPr>
      <w:r w:rsidRPr="00A726B7">
        <w:t>While descriptive statistics helped in summarizing the data, inferential statistics were used to draw conclusions that extended beyond the data at hand, allowing for generalizations or predictions</w:t>
      </w:r>
      <w:r w:rsidR="00773BF7">
        <w:t>.</w:t>
      </w:r>
      <w:r w:rsidRPr="00A726B7">
        <w:t xml:space="preserve"> </w:t>
      </w:r>
      <w:r w:rsidR="00E02AB6">
        <w:t xml:space="preserve"> </w:t>
      </w:r>
      <w:r w:rsidRPr="00A726B7">
        <w:t xml:space="preserve"> Inferential statistics were limited to the </w:t>
      </w:r>
      <w:r w:rsidRPr="00A726B7">
        <w:rPr>
          <w:b/>
          <w:bCs/>
        </w:rPr>
        <w:t>linear regression model</w:t>
      </w:r>
      <w:r w:rsidR="00773BF7">
        <w:rPr>
          <w:b/>
          <w:bCs/>
        </w:rPr>
        <w:t>.</w:t>
      </w:r>
      <w:r w:rsidRPr="00A726B7">
        <w:t xml:space="preserve"> </w:t>
      </w:r>
      <w:r w:rsidR="00E02AB6">
        <w:t xml:space="preserve"> </w:t>
      </w:r>
      <w:r w:rsidRPr="00A726B7">
        <w:t xml:space="preserve"> Linear regression is a powerful technique used to explore the relationships between variables</w:t>
      </w:r>
      <w:r w:rsidR="0097304D">
        <w:t xml:space="preserve">. </w:t>
      </w:r>
      <w:r w:rsidRPr="00A726B7">
        <w:t>This method was useful for predicting the value of a dependent (outcome) variable based on the value(s) of one or more independent (predictor) variables (</w:t>
      </w:r>
      <w:r w:rsidR="00E02AB6">
        <w:t xml:space="preserve"> </w:t>
      </w:r>
      <w:r w:rsidRPr="00A726B7">
        <w:t>It assumes a linear relationship between the dependent and independent variables (</w:t>
      </w:r>
      <w:r w:rsidR="00E02AB6">
        <w:t xml:space="preserve"> </w:t>
      </w:r>
      <w:r w:rsidRPr="00A726B7">
        <w:t>By using a linear regression model, it was possible to identify the strength of the relationship between variables (measured by the coefficient), as well as assess the predictive accuracy of the model (using metrics like R-squared and p-values) (</w:t>
      </w:r>
      <w:r w:rsidR="00E02AB6">
        <w:t xml:space="preserve"> </w:t>
      </w:r>
      <w:r w:rsidRPr="00A726B7">
        <w:t xml:space="preserve">It allowed for inferences about the data, such as determining whether a certain predictor had a statistically significant effect on the dependent variable </w:t>
      </w:r>
      <w:r w:rsidR="00E02AB6">
        <w:t xml:space="preserve"> </w:t>
      </w:r>
    </w:p>
    <w:p w14:paraId="2E302F98" w14:textId="5CC65FEF" w:rsidR="00A726B7" w:rsidRPr="00A726B7" w:rsidRDefault="00A726B7" w:rsidP="00C02324">
      <w:pPr>
        <w:spacing w:after="0" w:line="240" w:lineRule="auto"/>
      </w:pPr>
      <w:r w:rsidRPr="00A726B7">
        <w:rPr>
          <w:b/>
          <w:bCs/>
        </w:rPr>
        <w:t xml:space="preserve">8. </w:t>
      </w:r>
      <w:r w:rsidR="005922F8">
        <w:rPr>
          <w:b/>
          <w:bCs/>
        </w:rPr>
        <w:t>Result:</w:t>
      </w:r>
    </w:p>
    <w:p w14:paraId="099EB4E3" w14:textId="77777777" w:rsidR="00A726B7" w:rsidRPr="00A726B7" w:rsidRDefault="00A726B7" w:rsidP="00C02324">
      <w:pPr>
        <w:spacing w:after="0" w:line="240" w:lineRule="auto"/>
      </w:pPr>
      <w:r w:rsidRPr="00A726B7">
        <w:lastRenderedPageBreak/>
        <w:t>This section presents the findings, interpretation, and discussions derived from the study, covering general background information on respondents' demographics and the descriptive and inferential statistics related to teacher capacity and student transition.</w:t>
      </w:r>
    </w:p>
    <w:p w14:paraId="5F9C6100" w14:textId="71BAC660" w:rsidR="00A726B7" w:rsidRPr="00A726B7" w:rsidRDefault="00A726B7" w:rsidP="00C02324">
      <w:pPr>
        <w:spacing w:after="0" w:line="240" w:lineRule="auto"/>
      </w:pPr>
      <w:r w:rsidRPr="00A726B7">
        <w:rPr>
          <w:b/>
          <w:bCs/>
        </w:rPr>
        <w:t>8.</w:t>
      </w:r>
      <w:r w:rsidR="00E02AB6">
        <w:rPr>
          <w:b/>
          <w:bCs/>
        </w:rPr>
        <w:t>1</w:t>
      </w:r>
      <w:r w:rsidRPr="00A726B7">
        <w:rPr>
          <w:b/>
          <w:bCs/>
        </w:rPr>
        <w:t xml:space="preserve"> Descriptive Statistics for Study Variables</w:t>
      </w:r>
    </w:p>
    <w:p w14:paraId="0D423424" w14:textId="77777777" w:rsidR="00A726B7" w:rsidRPr="00A726B7" w:rsidRDefault="00A726B7" w:rsidP="00C02324">
      <w:pPr>
        <w:spacing w:after="0" w:line="240" w:lineRule="auto"/>
      </w:pPr>
      <w:r w:rsidRPr="00A726B7">
        <w:t>This section presents the descriptive statistics for the key variables under investigation, based on data from the 133 respondents.</w:t>
      </w:r>
    </w:p>
    <w:p w14:paraId="3FD6F536" w14:textId="7A253ED9" w:rsidR="00A726B7" w:rsidRPr="00653741" w:rsidRDefault="00653741" w:rsidP="00653741">
      <w:pPr>
        <w:pStyle w:val="Caption"/>
        <w:keepNext/>
        <w:rPr>
          <w:i w:val="0"/>
          <w:iCs w:val="0"/>
          <w:color w:val="auto"/>
          <w:sz w:val="24"/>
          <w:szCs w:val="24"/>
        </w:rPr>
      </w:pPr>
      <w:r w:rsidRPr="00653741">
        <w:rPr>
          <w:i w:val="0"/>
          <w:iCs w:val="0"/>
          <w:color w:val="auto"/>
          <w:sz w:val="24"/>
          <w:szCs w:val="24"/>
        </w:rPr>
        <w:t xml:space="preserve">Table </w:t>
      </w:r>
      <w:r w:rsidR="005922F8">
        <w:rPr>
          <w:i w:val="0"/>
          <w:iCs w:val="0"/>
          <w:color w:val="auto"/>
          <w:sz w:val="24"/>
          <w:szCs w:val="24"/>
        </w:rPr>
        <w:t>2</w:t>
      </w:r>
      <w:r w:rsidR="00A726B7" w:rsidRPr="00653741">
        <w:rPr>
          <w:b/>
          <w:bCs/>
          <w:i w:val="0"/>
          <w:iCs w:val="0"/>
          <w:color w:val="auto"/>
          <w:sz w:val="24"/>
          <w:szCs w:val="24"/>
        </w:rPr>
        <w:t>: Descriptive Statistics</w:t>
      </w:r>
    </w:p>
    <w:p w14:paraId="15A3CD02" w14:textId="790082A7" w:rsidR="00E02AB6" w:rsidRPr="00E02AB6" w:rsidRDefault="002445D2" w:rsidP="00C02324">
      <w:pPr>
        <w:spacing w:after="0" w:line="240" w:lineRule="auto"/>
        <w:rPr>
          <w:b/>
          <w:bCs/>
        </w:rPr>
      </w:pPr>
      <w:r>
        <w:rPr>
          <w:b/>
          <w:bCs/>
        </w:rPr>
        <w:t xml:space="preserve">Chart 1: </w:t>
      </w:r>
      <w:r w:rsidR="00E02AB6" w:rsidRPr="00E02AB6">
        <w:rPr>
          <w:b/>
          <w:bCs/>
        </w:rPr>
        <w:t>Descriptive Statistics</w:t>
      </w:r>
    </w:p>
    <w:tbl>
      <w:tblPr>
        <w:tblStyle w:val="TableGrid"/>
        <w:tblW w:w="0" w:type="auto"/>
        <w:tblLook w:val="04A0" w:firstRow="1" w:lastRow="0" w:firstColumn="1" w:lastColumn="0" w:noHBand="0" w:noVBand="1"/>
      </w:tblPr>
      <w:tblGrid>
        <w:gridCol w:w="2022"/>
        <w:gridCol w:w="576"/>
        <w:gridCol w:w="1243"/>
        <w:gridCol w:w="1283"/>
        <w:gridCol w:w="803"/>
        <w:gridCol w:w="1670"/>
      </w:tblGrid>
      <w:tr w:rsidR="00E02AB6" w:rsidRPr="00E02AB6" w14:paraId="5960E6F3" w14:textId="77777777" w:rsidTr="00E02AB6">
        <w:tc>
          <w:tcPr>
            <w:tcW w:w="0" w:type="auto"/>
            <w:hideMark/>
          </w:tcPr>
          <w:p w14:paraId="47FC881D" w14:textId="77777777" w:rsidR="00E02AB6" w:rsidRPr="00E02AB6" w:rsidRDefault="00E02AB6" w:rsidP="00C02324">
            <w:pPr>
              <w:spacing w:line="240" w:lineRule="auto"/>
              <w:rPr>
                <w:b/>
                <w:bCs/>
              </w:rPr>
            </w:pPr>
            <w:r w:rsidRPr="00E02AB6">
              <w:rPr>
                <w:b/>
                <w:bCs/>
              </w:rPr>
              <w:t>Variable</w:t>
            </w:r>
          </w:p>
        </w:tc>
        <w:tc>
          <w:tcPr>
            <w:tcW w:w="0" w:type="auto"/>
            <w:hideMark/>
          </w:tcPr>
          <w:p w14:paraId="3DFE97D4" w14:textId="77777777" w:rsidR="00E02AB6" w:rsidRPr="00E02AB6" w:rsidRDefault="00E02AB6" w:rsidP="00C02324">
            <w:pPr>
              <w:spacing w:line="240" w:lineRule="auto"/>
              <w:rPr>
                <w:b/>
                <w:bCs/>
              </w:rPr>
            </w:pPr>
            <w:r w:rsidRPr="00E02AB6">
              <w:rPr>
                <w:b/>
                <w:bCs/>
              </w:rPr>
              <w:t>N</w:t>
            </w:r>
          </w:p>
        </w:tc>
        <w:tc>
          <w:tcPr>
            <w:tcW w:w="0" w:type="auto"/>
            <w:hideMark/>
          </w:tcPr>
          <w:p w14:paraId="6B136AF1" w14:textId="77777777" w:rsidR="00E02AB6" w:rsidRPr="00E02AB6" w:rsidRDefault="00E02AB6" w:rsidP="00C02324">
            <w:pPr>
              <w:spacing w:line="240" w:lineRule="auto"/>
              <w:rPr>
                <w:b/>
                <w:bCs/>
              </w:rPr>
            </w:pPr>
            <w:r w:rsidRPr="00E02AB6">
              <w:rPr>
                <w:b/>
                <w:bCs/>
              </w:rPr>
              <w:t>Minimum</w:t>
            </w:r>
          </w:p>
        </w:tc>
        <w:tc>
          <w:tcPr>
            <w:tcW w:w="0" w:type="auto"/>
            <w:hideMark/>
          </w:tcPr>
          <w:p w14:paraId="62FA91F7" w14:textId="77777777" w:rsidR="00E02AB6" w:rsidRPr="00E02AB6" w:rsidRDefault="00E02AB6" w:rsidP="00C02324">
            <w:pPr>
              <w:spacing w:line="240" w:lineRule="auto"/>
              <w:rPr>
                <w:b/>
                <w:bCs/>
              </w:rPr>
            </w:pPr>
            <w:r w:rsidRPr="00E02AB6">
              <w:rPr>
                <w:b/>
                <w:bCs/>
              </w:rPr>
              <w:t>Maximum</w:t>
            </w:r>
          </w:p>
        </w:tc>
        <w:tc>
          <w:tcPr>
            <w:tcW w:w="0" w:type="auto"/>
            <w:hideMark/>
          </w:tcPr>
          <w:p w14:paraId="41BE98A8" w14:textId="77777777" w:rsidR="00E02AB6" w:rsidRPr="00E02AB6" w:rsidRDefault="00E02AB6" w:rsidP="00C02324">
            <w:pPr>
              <w:spacing w:line="240" w:lineRule="auto"/>
              <w:rPr>
                <w:b/>
                <w:bCs/>
              </w:rPr>
            </w:pPr>
            <w:r w:rsidRPr="00E02AB6">
              <w:rPr>
                <w:b/>
                <w:bCs/>
              </w:rPr>
              <w:t>Mean</w:t>
            </w:r>
          </w:p>
        </w:tc>
        <w:tc>
          <w:tcPr>
            <w:tcW w:w="0" w:type="auto"/>
            <w:hideMark/>
          </w:tcPr>
          <w:p w14:paraId="47F33C66" w14:textId="77777777" w:rsidR="00E02AB6" w:rsidRPr="00E02AB6" w:rsidRDefault="00E02AB6" w:rsidP="00C02324">
            <w:pPr>
              <w:spacing w:line="240" w:lineRule="auto"/>
              <w:rPr>
                <w:b/>
                <w:bCs/>
              </w:rPr>
            </w:pPr>
            <w:r w:rsidRPr="00E02AB6">
              <w:rPr>
                <w:b/>
                <w:bCs/>
              </w:rPr>
              <w:t>Std. Deviation</w:t>
            </w:r>
          </w:p>
        </w:tc>
      </w:tr>
      <w:tr w:rsidR="00E02AB6" w:rsidRPr="00E02AB6" w14:paraId="2A3FAEB6" w14:textId="77777777" w:rsidTr="00E02AB6">
        <w:tc>
          <w:tcPr>
            <w:tcW w:w="0" w:type="auto"/>
            <w:hideMark/>
          </w:tcPr>
          <w:p w14:paraId="7588E692" w14:textId="77777777" w:rsidR="00E02AB6" w:rsidRPr="00E02AB6" w:rsidRDefault="00E02AB6" w:rsidP="00C02324">
            <w:pPr>
              <w:spacing w:line="240" w:lineRule="auto"/>
            </w:pPr>
            <w:r w:rsidRPr="00E02AB6">
              <w:t>Teacher's Capacity</w:t>
            </w:r>
          </w:p>
        </w:tc>
        <w:tc>
          <w:tcPr>
            <w:tcW w:w="0" w:type="auto"/>
            <w:hideMark/>
          </w:tcPr>
          <w:p w14:paraId="20025744" w14:textId="77777777" w:rsidR="00E02AB6" w:rsidRPr="00E02AB6" w:rsidRDefault="00E02AB6" w:rsidP="00C02324">
            <w:pPr>
              <w:spacing w:line="240" w:lineRule="auto"/>
            </w:pPr>
            <w:r w:rsidRPr="00E02AB6">
              <w:t>133</w:t>
            </w:r>
          </w:p>
        </w:tc>
        <w:tc>
          <w:tcPr>
            <w:tcW w:w="0" w:type="auto"/>
            <w:hideMark/>
          </w:tcPr>
          <w:p w14:paraId="14DA98A8" w14:textId="77777777" w:rsidR="00E02AB6" w:rsidRPr="00E02AB6" w:rsidRDefault="00E02AB6" w:rsidP="00C02324">
            <w:pPr>
              <w:spacing w:line="240" w:lineRule="auto"/>
            </w:pPr>
            <w:r w:rsidRPr="00E02AB6">
              <w:t>1.0</w:t>
            </w:r>
          </w:p>
        </w:tc>
        <w:tc>
          <w:tcPr>
            <w:tcW w:w="0" w:type="auto"/>
            <w:hideMark/>
          </w:tcPr>
          <w:p w14:paraId="211F2D6A" w14:textId="77777777" w:rsidR="00E02AB6" w:rsidRPr="00E02AB6" w:rsidRDefault="00E02AB6" w:rsidP="00C02324">
            <w:pPr>
              <w:spacing w:line="240" w:lineRule="auto"/>
            </w:pPr>
            <w:r w:rsidRPr="00E02AB6">
              <w:t>4.0</w:t>
            </w:r>
          </w:p>
        </w:tc>
        <w:tc>
          <w:tcPr>
            <w:tcW w:w="0" w:type="auto"/>
            <w:hideMark/>
          </w:tcPr>
          <w:p w14:paraId="441E00D1" w14:textId="77777777" w:rsidR="00E02AB6" w:rsidRPr="00E02AB6" w:rsidRDefault="00E02AB6" w:rsidP="00C02324">
            <w:pPr>
              <w:spacing w:line="240" w:lineRule="auto"/>
            </w:pPr>
            <w:r w:rsidRPr="00E02AB6">
              <w:t>3.557</w:t>
            </w:r>
          </w:p>
        </w:tc>
        <w:tc>
          <w:tcPr>
            <w:tcW w:w="0" w:type="auto"/>
            <w:hideMark/>
          </w:tcPr>
          <w:p w14:paraId="4E122C70" w14:textId="77777777" w:rsidR="00E02AB6" w:rsidRPr="00E02AB6" w:rsidRDefault="00E02AB6" w:rsidP="00C02324">
            <w:pPr>
              <w:spacing w:line="240" w:lineRule="auto"/>
            </w:pPr>
            <w:r w:rsidRPr="00E02AB6">
              <w:t>0.6802</w:t>
            </w:r>
          </w:p>
        </w:tc>
      </w:tr>
      <w:tr w:rsidR="00E02AB6" w:rsidRPr="00E02AB6" w14:paraId="2ACDBEDF" w14:textId="77777777" w:rsidTr="00E02AB6">
        <w:tc>
          <w:tcPr>
            <w:tcW w:w="0" w:type="auto"/>
            <w:hideMark/>
          </w:tcPr>
          <w:p w14:paraId="681E56C7" w14:textId="77777777" w:rsidR="00E02AB6" w:rsidRPr="00E02AB6" w:rsidRDefault="00E02AB6" w:rsidP="00C02324">
            <w:pPr>
              <w:spacing w:line="240" w:lineRule="auto"/>
            </w:pPr>
            <w:r w:rsidRPr="00E02AB6">
              <w:t>Student Transition</w:t>
            </w:r>
          </w:p>
        </w:tc>
        <w:tc>
          <w:tcPr>
            <w:tcW w:w="0" w:type="auto"/>
            <w:hideMark/>
          </w:tcPr>
          <w:p w14:paraId="6EF40840" w14:textId="77777777" w:rsidR="00E02AB6" w:rsidRPr="00E02AB6" w:rsidRDefault="00E02AB6" w:rsidP="00C02324">
            <w:pPr>
              <w:spacing w:line="240" w:lineRule="auto"/>
            </w:pPr>
            <w:r w:rsidRPr="00E02AB6">
              <w:t>133</w:t>
            </w:r>
          </w:p>
        </w:tc>
        <w:tc>
          <w:tcPr>
            <w:tcW w:w="0" w:type="auto"/>
            <w:hideMark/>
          </w:tcPr>
          <w:p w14:paraId="22ED7809" w14:textId="77777777" w:rsidR="00E02AB6" w:rsidRPr="00E02AB6" w:rsidRDefault="00E02AB6" w:rsidP="00C02324">
            <w:pPr>
              <w:spacing w:line="240" w:lineRule="auto"/>
            </w:pPr>
            <w:r w:rsidRPr="00E02AB6">
              <w:t>1.00</w:t>
            </w:r>
          </w:p>
        </w:tc>
        <w:tc>
          <w:tcPr>
            <w:tcW w:w="0" w:type="auto"/>
            <w:hideMark/>
          </w:tcPr>
          <w:p w14:paraId="0B22C39F" w14:textId="77777777" w:rsidR="00E02AB6" w:rsidRPr="00E02AB6" w:rsidRDefault="00E02AB6" w:rsidP="00C02324">
            <w:pPr>
              <w:spacing w:line="240" w:lineRule="auto"/>
            </w:pPr>
            <w:r w:rsidRPr="00E02AB6">
              <w:t>3.88</w:t>
            </w:r>
          </w:p>
        </w:tc>
        <w:tc>
          <w:tcPr>
            <w:tcW w:w="0" w:type="auto"/>
            <w:hideMark/>
          </w:tcPr>
          <w:p w14:paraId="4FB74FC7" w14:textId="77777777" w:rsidR="00E02AB6" w:rsidRPr="00E02AB6" w:rsidRDefault="00E02AB6" w:rsidP="00C02324">
            <w:pPr>
              <w:spacing w:line="240" w:lineRule="auto"/>
            </w:pPr>
            <w:r w:rsidRPr="00E02AB6">
              <w:t>3.685</w:t>
            </w:r>
          </w:p>
        </w:tc>
        <w:tc>
          <w:tcPr>
            <w:tcW w:w="0" w:type="auto"/>
            <w:hideMark/>
          </w:tcPr>
          <w:p w14:paraId="467C54CB" w14:textId="77777777" w:rsidR="00E02AB6" w:rsidRPr="00E02AB6" w:rsidRDefault="00E02AB6" w:rsidP="00C02324">
            <w:pPr>
              <w:spacing w:line="240" w:lineRule="auto"/>
            </w:pPr>
            <w:r w:rsidRPr="00E02AB6">
              <w:t>0.4579</w:t>
            </w:r>
          </w:p>
        </w:tc>
      </w:tr>
    </w:tbl>
    <w:p w14:paraId="66B97CC1" w14:textId="77777777" w:rsidR="00E02AB6" w:rsidRDefault="00E02AB6" w:rsidP="00C02324">
      <w:pPr>
        <w:spacing w:after="0" w:line="240" w:lineRule="auto"/>
      </w:pPr>
    </w:p>
    <w:p w14:paraId="2B132515" w14:textId="2992259B" w:rsidR="00A726B7" w:rsidRPr="00A726B7" w:rsidRDefault="00A726B7" w:rsidP="00C02324">
      <w:pPr>
        <w:spacing w:after="0" w:line="240" w:lineRule="auto"/>
      </w:pPr>
      <w:r w:rsidRPr="00A726B7">
        <w:t xml:space="preserve">Teacher's Capacity had a high mean score </w:t>
      </w:r>
      <w:r w:rsidRPr="00653741">
        <w:t>(Mean = 3.557, SD = 0.6802) among the potential predictor variables, with scores ranging from 1.0 to 4.0. This suggests that, on average, the perceived teacher capacity in Lagdera Sub-County schools within the sample was relatively high. Student Transition, the dependent variable, also had a high mean score (Mean = 3.685, SD = 0.4579</w:t>
      </w:r>
      <w:r w:rsidRPr="00A726B7">
        <w:t>), with scores ranging from 1.00 to 3.88. This average score suggests that, overall, the sample reported relatively positive student transition experiences. However, the standard deviation indicates some variation in transition outcomes among students.</w:t>
      </w:r>
    </w:p>
    <w:p w14:paraId="18826681" w14:textId="77777777" w:rsidR="00A726B7" w:rsidRPr="00A726B7" w:rsidRDefault="00A726B7" w:rsidP="00C02324">
      <w:pPr>
        <w:spacing w:after="0" w:line="240" w:lineRule="auto"/>
      </w:pPr>
      <w:r w:rsidRPr="00A726B7">
        <w:rPr>
          <w:b/>
          <w:bCs/>
        </w:rPr>
        <w:t>8.4 Inferential Statistics</w:t>
      </w:r>
    </w:p>
    <w:p w14:paraId="5DA32E77" w14:textId="1AC155E5" w:rsidR="00A726B7" w:rsidRPr="00A726B7" w:rsidRDefault="00A726B7" w:rsidP="00C02324">
      <w:pPr>
        <w:spacing w:after="0" w:line="240" w:lineRule="auto"/>
      </w:pPr>
      <w:r w:rsidRPr="00A726B7">
        <w:t xml:space="preserve">The sought to establish the relationship between teacher capacity and student transition. A simple linear regression was conducted with </w:t>
      </w:r>
      <w:r w:rsidR="00653741" w:rsidRPr="00A726B7">
        <w:t>student transition as the dependent variable and teacher's capacity as the independent variable</w:t>
      </w:r>
      <w:r w:rsidRPr="00A726B7">
        <w:t>.</w:t>
      </w:r>
    </w:p>
    <w:p w14:paraId="583A6FA2" w14:textId="63E34F64" w:rsidR="00A726B7" w:rsidRPr="00653741" w:rsidRDefault="00653741" w:rsidP="00653741">
      <w:pPr>
        <w:pStyle w:val="Caption"/>
        <w:rPr>
          <w:i w:val="0"/>
          <w:iCs w:val="0"/>
          <w:color w:val="auto"/>
          <w:sz w:val="24"/>
          <w:szCs w:val="24"/>
        </w:rPr>
      </w:pPr>
      <w:r w:rsidRPr="00653741">
        <w:rPr>
          <w:i w:val="0"/>
          <w:iCs w:val="0"/>
          <w:color w:val="auto"/>
          <w:sz w:val="24"/>
          <w:szCs w:val="24"/>
        </w:rPr>
        <w:t xml:space="preserve">Table </w:t>
      </w:r>
      <w:r w:rsidR="005922F8">
        <w:rPr>
          <w:i w:val="0"/>
          <w:iCs w:val="0"/>
          <w:color w:val="auto"/>
          <w:sz w:val="24"/>
          <w:szCs w:val="24"/>
        </w:rPr>
        <w:t>3</w:t>
      </w:r>
      <w:r w:rsidR="00A726B7" w:rsidRPr="00653741">
        <w:rPr>
          <w:b/>
          <w:bCs/>
          <w:i w:val="0"/>
          <w:iCs w:val="0"/>
          <w:color w:val="auto"/>
          <w:sz w:val="24"/>
          <w:szCs w:val="24"/>
        </w:rPr>
        <w:t>: Model Summary for Teacher's Capacity and Student Transition</w:t>
      </w:r>
    </w:p>
    <w:p w14:paraId="45B8F8A1" w14:textId="0608FAE0" w:rsidR="00B47CAD" w:rsidRDefault="00B47CAD" w:rsidP="00C02324">
      <w:pPr>
        <w:spacing w:after="0" w:line="240" w:lineRule="auto"/>
        <w:rPr>
          <w:b/>
          <w:bCs/>
        </w:rPr>
      </w:pPr>
    </w:p>
    <w:tbl>
      <w:tblPr>
        <w:tblW w:w="9356" w:type="dxa"/>
        <w:tblLook w:val="04A0" w:firstRow="1" w:lastRow="0" w:firstColumn="1" w:lastColumn="0" w:noHBand="0" w:noVBand="1"/>
      </w:tblPr>
      <w:tblGrid>
        <w:gridCol w:w="960"/>
        <w:gridCol w:w="1875"/>
        <w:gridCol w:w="3609"/>
        <w:gridCol w:w="2912"/>
      </w:tblGrid>
      <w:tr w:rsidR="003F358F" w:rsidRPr="003F358F" w14:paraId="7B2A18E8" w14:textId="77777777" w:rsidTr="00653741">
        <w:trPr>
          <w:trHeight w:val="20"/>
        </w:trPr>
        <w:tc>
          <w:tcPr>
            <w:tcW w:w="9356" w:type="dxa"/>
            <w:gridSpan w:val="4"/>
            <w:tcBorders>
              <w:top w:val="nil"/>
              <w:left w:val="nil"/>
              <w:bottom w:val="nil"/>
              <w:right w:val="nil"/>
            </w:tcBorders>
            <w:vAlign w:val="center"/>
            <w:hideMark/>
          </w:tcPr>
          <w:p w14:paraId="5BBCF5AF" w14:textId="77777777" w:rsidR="003F358F" w:rsidRPr="003F358F" w:rsidRDefault="003F358F" w:rsidP="00653741">
            <w:pPr>
              <w:spacing w:after="0" w:line="240" w:lineRule="auto"/>
              <w:jc w:val="center"/>
              <w:rPr>
                <w:rFonts w:eastAsia="Times New Roman" w:cs="Times New Roman"/>
                <w:b/>
                <w:bCs/>
                <w:color w:val="000000"/>
                <w:kern w:val="0"/>
                <w14:ligatures w14:val="none"/>
              </w:rPr>
            </w:pPr>
            <w:r w:rsidRPr="003F358F">
              <w:rPr>
                <w:rFonts w:eastAsia="Times New Roman" w:cs="Times New Roman"/>
                <w:b/>
                <w:bCs/>
                <w:color w:val="000000"/>
                <w:kern w:val="0"/>
                <w14:ligatures w14:val="none"/>
              </w:rPr>
              <w:t>Model Summary</w:t>
            </w:r>
          </w:p>
        </w:tc>
      </w:tr>
      <w:tr w:rsidR="003F358F" w:rsidRPr="003F358F" w14:paraId="12EB01EF" w14:textId="77777777" w:rsidTr="00653741">
        <w:trPr>
          <w:trHeight w:val="20"/>
        </w:trPr>
        <w:tc>
          <w:tcPr>
            <w:tcW w:w="960" w:type="dxa"/>
            <w:tcBorders>
              <w:top w:val="single" w:sz="4" w:space="0" w:color="auto"/>
              <w:left w:val="nil"/>
              <w:bottom w:val="single" w:sz="4" w:space="0" w:color="auto"/>
              <w:right w:val="nil"/>
            </w:tcBorders>
            <w:vAlign w:val="bottom"/>
            <w:hideMark/>
          </w:tcPr>
          <w:p w14:paraId="190A706C" w14:textId="77777777" w:rsidR="003F358F" w:rsidRPr="003F358F" w:rsidRDefault="003F358F" w:rsidP="00653741">
            <w:pPr>
              <w:spacing w:after="0" w:line="240" w:lineRule="auto"/>
              <w:jc w:val="center"/>
              <w:rPr>
                <w:rFonts w:eastAsia="Times New Roman" w:cs="Times New Roman"/>
                <w:color w:val="000000"/>
                <w:kern w:val="0"/>
                <w14:ligatures w14:val="none"/>
              </w:rPr>
            </w:pPr>
            <w:r w:rsidRPr="003F358F">
              <w:rPr>
                <w:rFonts w:eastAsia="Times New Roman" w:cs="Times New Roman"/>
                <w:color w:val="000000"/>
                <w:kern w:val="0"/>
                <w14:ligatures w14:val="none"/>
              </w:rPr>
              <w:t>R</w:t>
            </w:r>
          </w:p>
        </w:tc>
        <w:tc>
          <w:tcPr>
            <w:tcW w:w="1875" w:type="dxa"/>
            <w:tcBorders>
              <w:top w:val="single" w:sz="4" w:space="0" w:color="auto"/>
              <w:left w:val="nil"/>
              <w:bottom w:val="single" w:sz="4" w:space="0" w:color="auto"/>
              <w:right w:val="nil"/>
            </w:tcBorders>
            <w:vAlign w:val="bottom"/>
            <w:hideMark/>
          </w:tcPr>
          <w:p w14:paraId="4087A7B1" w14:textId="77777777" w:rsidR="003F358F" w:rsidRPr="003F358F" w:rsidRDefault="003F358F" w:rsidP="00653741">
            <w:pPr>
              <w:spacing w:after="0" w:line="240" w:lineRule="auto"/>
              <w:jc w:val="center"/>
              <w:rPr>
                <w:rFonts w:eastAsia="Times New Roman" w:cs="Times New Roman"/>
                <w:color w:val="000000"/>
                <w:kern w:val="0"/>
                <w14:ligatures w14:val="none"/>
              </w:rPr>
            </w:pPr>
            <w:r w:rsidRPr="003F358F">
              <w:rPr>
                <w:rFonts w:eastAsia="Times New Roman" w:cs="Times New Roman"/>
                <w:color w:val="000000"/>
                <w:kern w:val="0"/>
                <w14:ligatures w14:val="none"/>
              </w:rPr>
              <w:t>R Square</w:t>
            </w:r>
          </w:p>
        </w:tc>
        <w:tc>
          <w:tcPr>
            <w:tcW w:w="3609" w:type="dxa"/>
            <w:tcBorders>
              <w:top w:val="single" w:sz="4" w:space="0" w:color="auto"/>
              <w:left w:val="nil"/>
              <w:bottom w:val="single" w:sz="4" w:space="0" w:color="auto"/>
              <w:right w:val="nil"/>
            </w:tcBorders>
            <w:vAlign w:val="bottom"/>
            <w:hideMark/>
          </w:tcPr>
          <w:p w14:paraId="2F38FD94" w14:textId="77777777" w:rsidR="003F358F" w:rsidRPr="003F358F" w:rsidRDefault="003F358F" w:rsidP="00653741">
            <w:pPr>
              <w:spacing w:after="0" w:line="240" w:lineRule="auto"/>
              <w:jc w:val="center"/>
              <w:rPr>
                <w:rFonts w:eastAsia="Times New Roman" w:cs="Times New Roman"/>
                <w:color w:val="000000"/>
                <w:kern w:val="0"/>
                <w14:ligatures w14:val="none"/>
              </w:rPr>
            </w:pPr>
            <w:r w:rsidRPr="003F358F">
              <w:rPr>
                <w:rFonts w:eastAsia="Times New Roman" w:cs="Times New Roman"/>
                <w:color w:val="000000"/>
                <w:kern w:val="0"/>
                <w14:ligatures w14:val="none"/>
              </w:rPr>
              <w:t>Adjusted R Square</w:t>
            </w:r>
          </w:p>
        </w:tc>
        <w:tc>
          <w:tcPr>
            <w:tcW w:w="2912" w:type="dxa"/>
            <w:tcBorders>
              <w:top w:val="single" w:sz="4" w:space="0" w:color="auto"/>
              <w:left w:val="nil"/>
              <w:bottom w:val="single" w:sz="4" w:space="0" w:color="auto"/>
              <w:right w:val="nil"/>
            </w:tcBorders>
            <w:vAlign w:val="bottom"/>
            <w:hideMark/>
          </w:tcPr>
          <w:p w14:paraId="3864ED29" w14:textId="77777777" w:rsidR="003F358F" w:rsidRPr="003F358F" w:rsidRDefault="003F358F" w:rsidP="00653741">
            <w:pPr>
              <w:spacing w:after="0" w:line="240" w:lineRule="auto"/>
              <w:jc w:val="center"/>
              <w:rPr>
                <w:rFonts w:eastAsia="Times New Roman" w:cs="Times New Roman"/>
                <w:color w:val="000000"/>
                <w:kern w:val="0"/>
                <w14:ligatures w14:val="none"/>
              </w:rPr>
            </w:pPr>
            <w:r w:rsidRPr="003F358F">
              <w:rPr>
                <w:rFonts w:eastAsia="Times New Roman" w:cs="Times New Roman"/>
                <w:color w:val="000000"/>
                <w:kern w:val="0"/>
                <w14:ligatures w14:val="none"/>
              </w:rPr>
              <w:t>Std. Error of the Estimate</w:t>
            </w:r>
          </w:p>
        </w:tc>
      </w:tr>
      <w:tr w:rsidR="003F358F" w:rsidRPr="003F358F" w14:paraId="17F8F048" w14:textId="77777777" w:rsidTr="00653741">
        <w:trPr>
          <w:trHeight w:val="20"/>
        </w:trPr>
        <w:tc>
          <w:tcPr>
            <w:tcW w:w="960" w:type="dxa"/>
            <w:tcBorders>
              <w:top w:val="nil"/>
              <w:left w:val="nil"/>
              <w:bottom w:val="single" w:sz="4" w:space="0" w:color="auto"/>
              <w:right w:val="nil"/>
            </w:tcBorders>
            <w:noWrap/>
            <w:hideMark/>
          </w:tcPr>
          <w:p w14:paraId="5CB5DE9A" w14:textId="77777777" w:rsidR="003F358F" w:rsidRPr="003F358F" w:rsidRDefault="003F358F" w:rsidP="00653741">
            <w:pPr>
              <w:spacing w:after="0" w:line="240" w:lineRule="auto"/>
              <w:jc w:val="right"/>
              <w:rPr>
                <w:rFonts w:eastAsia="Times New Roman" w:cs="Times New Roman"/>
                <w:color w:val="000000"/>
                <w:kern w:val="0"/>
                <w14:ligatures w14:val="none"/>
              </w:rPr>
            </w:pPr>
            <w:r w:rsidRPr="003F358F">
              <w:rPr>
                <w:rFonts w:eastAsia="Times New Roman" w:cs="Times New Roman"/>
                <w:color w:val="000000"/>
                <w:kern w:val="0"/>
                <w14:ligatures w14:val="none"/>
              </w:rPr>
              <w:t>.467</w:t>
            </w:r>
            <w:r w:rsidRPr="003F358F">
              <w:rPr>
                <w:rFonts w:eastAsia="Times New Roman" w:cs="Times New Roman"/>
                <w:color w:val="000000"/>
                <w:kern w:val="0"/>
                <w:vertAlign w:val="superscript"/>
                <w14:ligatures w14:val="none"/>
              </w:rPr>
              <w:t>a</w:t>
            </w:r>
          </w:p>
        </w:tc>
        <w:tc>
          <w:tcPr>
            <w:tcW w:w="1875" w:type="dxa"/>
            <w:tcBorders>
              <w:top w:val="nil"/>
              <w:left w:val="nil"/>
              <w:bottom w:val="single" w:sz="4" w:space="0" w:color="auto"/>
              <w:right w:val="nil"/>
            </w:tcBorders>
            <w:noWrap/>
            <w:hideMark/>
          </w:tcPr>
          <w:p w14:paraId="48299D4D" w14:textId="77777777" w:rsidR="003F358F" w:rsidRPr="003F358F" w:rsidRDefault="003F358F" w:rsidP="00653741">
            <w:pPr>
              <w:spacing w:after="0" w:line="240" w:lineRule="auto"/>
              <w:jc w:val="right"/>
              <w:rPr>
                <w:rFonts w:eastAsia="Times New Roman" w:cs="Times New Roman"/>
                <w:color w:val="000000"/>
                <w:kern w:val="0"/>
                <w14:ligatures w14:val="none"/>
              </w:rPr>
            </w:pPr>
            <w:r w:rsidRPr="003F358F">
              <w:rPr>
                <w:rFonts w:eastAsia="Times New Roman" w:cs="Times New Roman"/>
                <w:color w:val="000000"/>
                <w:kern w:val="0"/>
                <w14:ligatures w14:val="none"/>
              </w:rPr>
              <w:t>.2184</w:t>
            </w:r>
          </w:p>
        </w:tc>
        <w:tc>
          <w:tcPr>
            <w:tcW w:w="3609" w:type="dxa"/>
            <w:tcBorders>
              <w:top w:val="nil"/>
              <w:left w:val="nil"/>
              <w:bottom w:val="single" w:sz="4" w:space="0" w:color="auto"/>
              <w:right w:val="nil"/>
            </w:tcBorders>
            <w:noWrap/>
            <w:hideMark/>
          </w:tcPr>
          <w:p w14:paraId="7F846743" w14:textId="77777777" w:rsidR="003F358F" w:rsidRPr="003F358F" w:rsidRDefault="003F358F" w:rsidP="00653741">
            <w:pPr>
              <w:spacing w:after="0" w:line="240" w:lineRule="auto"/>
              <w:jc w:val="right"/>
              <w:rPr>
                <w:rFonts w:eastAsia="Times New Roman" w:cs="Times New Roman"/>
                <w:color w:val="000000"/>
                <w:kern w:val="0"/>
                <w14:ligatures w14:val="none"/>
              </w:rPr>
            </w:pPr>
            <w:r w:rsidRPr="003F358F">
              <w:rPr>
                <w:rFonts w:eastAsia="Times New Roman" w:cs="Times New Roman"/>
                <w:color w:val="000000"/>
                <w:kern w:val="0"/>
                <w14:ligatures w14:val="none"/>
              </w:rPr>
              <w:t>.2124</w:t>
            </w:r>
          </w:p>
        </w:tc>
        <w:tc>
          <w:tcPr>
            <w:tcW w:w="2912" w:type="dxa"/>
            <w:tcBorders>
              <w:top w:val="nil"/>
              <w:left w:val="nil"/>
              <w:bottom w:val="single" w:sz="4" w:space="0" w:color="auto"/>
              <w:right w:val="nil"/>
            </w:tcBorders>
            <w:noWrap/>
            <w:hideMark/>
          </w:tcPr>
          <w:p w14:paraId="157A82CF" w14:textId="77777777" w:rsidR="003F358F" w:rsidRPr="003F358F" w:rsidRDefault="003F358F" w:rsidP="00653741">
            <w:pPr>
              <w:spacing w:after="0" w:line="240" w:lineRule="auto"/>
              <w:jc w:val="right"/>
              <w:rPr>
                <w:rFonts w:eastAsia="Times New Roman" w:cs="Times New Roman"/>
                <w:color w:val="000000"/>
                <w:kern w:val="0"/>
                <w14:ligatures w14:val="none"/>
              </w:rPr>
            </w:pPr>
            <w:r w:rsidRPr="003F358F">
              <w:rPr>
                <w:rFonts w:eastAsia="Times New Roman" w:cs="Times New Roman"/>
                <w:color w:val="000000"/>
                <w:kern w:val="0"/>
                <w14:ligatures w14:val="none"/>
              </w:rPr>
              <w:t>1.01367</w:t>
            </w:r>
          </w:p>
        </w:tc>
      </w:tr>
      <w:tr w:rsidR="003F358F" w:rsidRPr="003F358F" w14:paraId="1ABA9335" w14:textId="77777777" w:rsidTr="00653741">
        <w:trPr>
          <w:trHeight w:val="300"/>
        </w:trPr>
        <w:tc>
          <w:tcPr>
            <w:tcW w:w="9356" w:type="dxa"/>
            <w:gridSpan w:val="4"/>
            <w:tcBorders>
              <w:top w:val="nil"/>
              <w:left w:val="nil"/>
              <w:bottom w:val="nil"/>
              <w:right w:val="nil"/>
            </w:tcBorders>
            <w:hideMark/>
          </w:tcPr>
          <w:p w14:paraId="4426ACA8" w14:textId="77777777" w:rsidR="003F358F" w:rsidRPr="003F358F" w:rsidRDefault="003F358F" w:rsidP="003F358F">
            <w:pPr>
              <w:spacing w:after="0" w:line="240" w:lineRule="auto"/>
              <w:jc w:val="left"/>
              <w:rPr>
                <w:rFonts w:eastAsia="Times New Roman" w:cs="Times New Roman"/>
                <w:color w:val="000000"/>
                <w:kern w:val="0"/>
                <w:sz w:val="18"/>
                <w:szCs w:val="18"/>
                <w14:ligatures w14:val="none"/>
              </w:rPr>
            </w:pPr>
            <w:r w:rsidRPr="003F358F">
              <w:rPr>
                <w:rFonts w:eastAsia="Times New Roman" w:cs="Times New Roman"/>
                <w:color w:val="000000"/>
                <w:kern w:val="0"/>
                <w:sz w:val="18"/>
                <w:szCs w:val="18"/>
                <w14:ligatures w14:val="none"/>
              </w:rPr>
              <w:t>a. Predictors: (Constant), teacher capacity</w:t>
            </w:r>
          </w:p>
        </w:tc>
      </w:tr>
    </w:tbl>
    <w:p w14:paraId="7866B2B6" w14:textId="77777777" w:rsidR="003F358F" w:rsidRPr="003F358F" w:rsidRDefault="003F358F" w:rsidP="00C02324">
      <w:pPr>
        <w:spacing w:after="0" w:line="240" w:lineRule="auto"/>
        <w:rPr>
          <w:b/>
          <w:bCs/>
        </w:rPr>
      </w:pPr>
    </w:p>
    <w:p w14:paraId="62796B18" w14:textId="4A188D3F" w:rsidR="00A726B7" w:rsidRPr="00653741" w:rsidRDefault="00A726B7" w:rsidP="00C02324">
      <w:pPr>
        <w:spacing w:after="0" w:line="240" w:lineRule="auto"/>
      </w:pPr>
      <w:r w:rsidRPr="00653741">
        <w:t xml:space="preserve">The Model Summary (Table </w:t>
      </w:r>
      <w:r w:rsidR="005922F8">
        <w:t>3</w:t>
      </w:r>
      <w:r w:rsidRPr="00653741">
        <w:t>) shows that Teacher's Capacity was positively correlated with Student Transition (R=</w:t>
      </w:r>
      <w:proofErr w:type="gramStart"/>
      <w:r w:rsidRPr="00653741">
        <w:t>0.</w:t>
      </w:r>
      <w:r w:rsidR="003F358F" w:rsidRPr="00653741">
        <w:t>.</w:t>
      </w:r>
      <w:proofErr w:type="gramEnd"/>
      <w:r w:rsidR="003F358F" w:rsidRPr="00653741">
        <w:t>467</w:t>
      </w:r>
      <w:r w:rsidRPr="00653741">
        <w:t>). The R-squared value was 0</w:t>
      </w:r>
      <w:r w:rsidR="003F358F" w:rsidRPr="00653741">
        <w:t>.2184</w:t>
      </w:r>
      <w:r w:rsidRPr="00653741">
        <w:t xml:space="preserve">, meaning that </w:t>
      </w:r>
      <w:r w:rsidR="00653741" w:rsidRPr="00653741">
        <w:t>teacher's capacity explained approximately 21.84% of the variance in student transition.</w:t>
      </w:r>
      <w:r w:rsidRPr="00653741">
        <w:t xml:space="preserve"> The adjusted R-squared was 0.</w:t>
      </w:r>
      <w:r w:rsidR="00653741">
        <w:t>2124</w:t>
      </w:r>
      <w:r w:rsidRPr="00653741">
        <w:t>.</w:t>
      </w:r>
    </w:p>
    <w:p w14:paraId="670E5D52" w14:textId="42A5BC58" w:rsidR="00A726B7" w:rsidRDefault="00653741" w:rsidP="00653741">
      <w:pPr>
        <w:pStyle w:val="Caption"/>
        <w:rPr>
          <w:b/>
          <w:bCs/>
          <w:i w:val="0"/>
          <w:iCs w:val="0"/>
          <w:color w:val="auto"/>
          <w:sz w:val="24"/>
          <w:szCs w:val="24"/>
        </w:rPr>
      </w:pPr>
      <w:r w:rsidRPr="00653741">
        <w:rPr>
          <w:b/>
          <w:bCs/>
          <w:i w:val="0"/>
          <w:iCs w:val="0"/>
          <w:color w:val="auto"/>
          <w:sz w:val="24"/>
          <w:szCs w:val="24"/>
        </w:rPr>
        <w:t xml:space="preserve">Table </w:t>
      </w:r>
      <w:r w:rsidR="005922F8">
        <w:rPr>
          <w:b/>
          <w:bCs/>
          <w:i w:val="0"/>
          <w:iCs w:val="0"/>
          <w:color w:val="auto"/>
          <w:sz w:val="24"/>
          <w:szCs w:val="24"/>
        </w:rPr>
        <w:t>4</w:t>
      </w:r>
      <w:r w:rsidRPr="00653741">
        <w:rPr>
          <w:b/>
          <w:bCs/>
          <w:i w:val="0"/>
          <w:iCs w:val="0"/>
          <w:color w:val="auto"/>
          <w:sz w:val="24"/>
          <w:szCs w:val="24"/>
        </w:rPr>
        <w:t xml:space="preserve">: </w:t>
      </w:r>
      <w:r w:rsidR="00A726B7" w:rsidRPr="00653741">
        <w:rPr>
          <w:b/>
          <w:bCs/>
          <w:i w:val="0"/>
          <w:iCs w:val="0"/>
          <w:color w:val="auto"/>
          <w:sz w:val="24"/>
          <w:szCs w:val="24"/>
        </w:rPr>
        <w:t>ANOVA for Teacher's Capacity and Student Transition</w:t>
      </w:r>
    </w:p>
    <w:tbl>
      <w:tblPr>
        <w:tblW w:w="7732" w:type="dxa"/>
        <w:tblLook w:val="04A0" w:firstRow="1" w:lastRow="0" w:firstColumn="1" w:lastColumn="0" w:noHBand="0" w:noVBand="1"/>
      </w:tblPr>
      <w:tblGrid>
        <w:gridCol w:w="1283"/>
        <w:gridCol w:w="1978"/>
        <w:gridCol w:w="960"/>
        <w:gridCol w:w="1591"/>
        <w:gridCol w:w="960"/>
        <w:gridCol w:w="960"/>
      </w:tblGrid>
      <w:tr w:rsidR="00653741" w:rsidRPr="00653741" w14:paraId="71056F3F" w14:textId="77777777" w:rsidTr="00653741">
        <w:trPr>
          <w:trHeight w:val="300"/>
        </w:trPr>
        <w:tc>
          <w:tcPr>
            <w:tcW w:w="7732" w:type="dxa"/>
            <w:gridSpan w:val="6"/>
            <w:tcBorders>
              <w:top w:val="nil"/>
              <w:left w:val="nil"/>
              <w:bottom w:val="nil"/>
              <w:right w:val="nil"/>
            </w:tcBorders>
            <w:vAlign w:val="center"/>
            <w:hideMark/>
          </w:tcPr>
          <w:p w14:paraId="0EF891FE" w14:textId="77777777" w:rsidR="00653741" w:rsidRPr="00653741" w:rsidRDefault="00653741" w:rsidP="00653741">
            <w:pPr>
              <w:spacing w:after="0" w:line="240" w:lineRule="auto"/>
              <w:jc w:val="center"/>
              <w:rPr>
                <w:rFonts w:eastAsia="Times New Roman" w:cs="Times New Roman"/>
                <w:b/>
                <w:bCs/>
                <w:color w:val="000000"/>
                <w:kern w:val="0"/>
                <w:sz w:val="18"/>
                <w:szCs w:val="18"/>
                <w14:ligatures w14:val="none"/>
              </w:rPr>
            </w:pPr>
            <w:r w:rsidRPr="00653741">
              <w:rPr>
                <w:rFonts w:eastAsia="Times New Roman" w:cs="Times New Roman"/>
                <w:b/>
                <w:bCs/>
                <w:color w:val="000000"/>
                <w:kern w:val="0"/>
                <w:sz w:val="18"/>
                <w:szCs w:val="18"/>
                <w14:ligatures w14:val="none"/>
              </w:rPr>
              <w:t>ANOVA</w:t>
            </w:r>
            <w:r w:rsidRPr="00653741">
              <w:rPr>
                <w:rFonts w:eastAsia="Times New Roman" w:cs="Times New Roman"/>
                <w:b/>
                <w:bCs/>
                <w:color w:val="000000"/>
                <w:kern w:val="0"/>
                <w:sz w:val="18"/>
                <w:szCs w:val="18"/>
                <w:vertAlign w:val="superscript"/>
                <w14:ligatures w14:val="none"/>
              </w:rPr>
              <w:t>a</w:t>
            </w:r>
          </w:p>
        </w:tc>
      </w:tr>
      <w:tr w:rsidR="00653741" w:rsidRPr="00653741" w14:paraId="03EE5BA9" w14:textId="77777777" w:rsidTr="00653741">
        <w:trPr>
          <w:trHeight w:val="20"/>
        </w:trPr>
        <w:tc>
          <w:tcPr>
            <w:tcW w:w="1283" w:type="dxa"/>
            <w:tcBorders>
              <w:top w:val="single" w:sz="4" w:space="0" w:color="auto"/>
              <w:left w:val="nil"/>
              <w:bottom w:val="single" w:sz="4" w:space="0" w:color="auto"/>
              <w:right w:val="nil"/>
            </w:tcBorders>
            <w:vAlign w:val="bottom"/>
            <w:hideMark/>
          </w:tcPr>
          <w:p w14:paraId="7889CA01" w14:textId="77777777" w:rsidR="00653741" w:rsidRPr="00653741" w:rsidRDefault="00653741" w:rsidP="00653741">
            <w:pPr>
              <w:spacing w:after="0" w:line="240" w:lineRule="auto"/>
              <w:jc w:val="left"/>
              <w:rPr>
                <w:rFonts w:eastAsia="Times New Roman" w:cs="Times New Roman"/>
                <w:color w:val="000000"/>
                <w:kern w:val="0"/>
                <w14:ligatures w14:val="none"/>
              </w:rPr>
            </w:pPr>
            <w:r w:rsidRPr="00653741">
              <w:rPr>
                <w:rFonts w:eastAsia="Times New Roman" w:cs="Times New Roman"/>
                <w:color w:val="000000"/>
                <w:kern w:val="0"/>
                <w14:ligatures w14:val="none"/>
              </w:rPr>
              <w:t> </w:t>
            </w:r>
          </w:p>
        </w:tc>
        <w:tc>
          <w:tcPr>
            <w:tcW w:w="1978" w:type="dxa"/>
            <w:tcBorders>
              <w:top w:val="single" w:sz="4" w:space="0" w:color="auto"/>
              <w:left w:val="nil"/>
              <w:bottom w:val="single" w:sz="4" w:space="0" w:color="auto"/>
              <w:right w:val="nil"/>
            </w:tcBorders>
            <w:vAlign w:val="bottom"/>
            <w:hideMark/>
          </w:tcPr>
          <w:p w14:paraId="59178DF6" w14:textId="77777777" w:rsidR="00653741" w:rsidRPr="00653741" w:rsidRDefault="00653741" w:rsidP="00653741">
            <w:pPr>
              <w:spacing w:after="0" w:line="240" w:lineRule="auto"/>
              <w:jc w:val="center"/>
              <w:rPr>
                <w:rFonts w:eastAsia="Times New Roman" w:cs="Times New Roman"/>
                <w:color w:val="000000"/>
                <w:kern w:val="0"/>
                <w14:ligatures w14:val="none"/>
              </w:rPr>
            </w:pPr>
            <w:r w:rsidRPr="00653741">
              <w:rPr>
                <w:rFonts w:eastAsia="Times New Roman" w:cs="Times New Roman"/>
                <w:color w:val="000000"/>
                <w:kern w:val="0"/>
                <w14:ligatures w14:val="none"/>
              </w:rPr>
              <w:t>Sum of Squares</w:t>
            </w:r>
          </w:p>
        </w:tc>
        <w:tc>
          <w:tcPr>
            <w:tcW w:w="960" w:type="dxa"/>
            <w:tcBorders>
              <w:top w:val="single" w:sz="4" w:space="0" w:color="auto"/>
              <w:left w:val="nil"/>
              <w:bottom w:val="single" w:sz="4" w:space="0" w:color="auto"/>
              <w:right w:val="nil"/>
            </w:tcBorders>
            <w:vAlign w:val="bottom"/>
            <w:hideMark/>
          </w:tcPr>
          <w:p w14:paraId="77ADEB1C" w14:textId="77777777" w:rsidR="00653741" w:rsidRPr="00653741" w:rsidRDefault="00653741" w:rsidP="00653741">
            <w:pPr>
              <w:spacing w:after="0" w:line="240" w:lineRule="auto"/>
              <w:jc w:val="center"/>
              <w:rPr>
                <w:rFonts w:eastAsia="Times New Roman" w:cs="Times New Roman"/>
                <w:color w:val="000000"/>
                <w:kern w:val="0"/>
                <w14:ligatures w14:val="none"/>
              </w:rPr>
            </w:pPr>
            <w:r w:rsidRPr="00653741">
              <w:rPr>
                <w:rFonts w:eastAsia="Times New Roman" w:cs="Times New Roman"/>
                <w:color w:val="000000"/>
                <w:kern w:val="0"/>
                <w14:ligatures w14:val="none"/>
              </w:rPr>
              <w:t>df</w:t>
            </w:r>
          </w:p>
        </w:tc>
        <w:tc>
          <w:tcPr>
            <w:tcW w:w="1591" w:type="dxa"/>
            <w:tcBorders>
              <w:top w:val="single" w:sz="4" w:space="0" w:color="auto"/>
              <w:left w:val="nil"/>
              <w:bottom w:val="single" w:sz="4" w:space="0" w:color="auto"/>
              <w:right w:val="nil"/>
            </w:tcBorders>
            <w:vAlign w:val="bottom"/>
            <w:hideMark/>
          </w:tcPr>
          <w:p w14:paraId="66217BB8" w14:textId="77777777" w:rsidR="00653741" w:rsidRPr="00653741" w:rsidRDefault="00653741" w:rsidP="00653741">
            <w:pPr>
              <w:spacing w:after="0" w:line="240" w:lineRule="auto"/>
              <w:jc w:val="center"/>
              <w:rPr>
                <w:rFonts w:eastAsia="Times New Roman" w:cs="Times New Roman"/>
                <w:color w:val="000000"/>
                <w:kern w:val="0"/>
                <w14:ligatures w14:val="none"/>
              </w:rPr>
            </w:pPr>
            <w:r w:rsidRPr="00653741">
              <w:rPr>
                <w:rFonts w:eastAsia="Times New Roman" w:cs="Times New Roman"/>
                <w:color w:val="000000"/>
                <w:kern w:val="0"/>
                <w14:ligatures w14:val="none"/>
              </w:rPr>
              <w:t>Mean Square</w:t>
            </w:r>
          </w:p>
        </w:tc>
        <w:tc>
          <w:tcPr>
            <w:tcW w:w="960" w:type="dxa"/>
            <w:tcBorders>
              <w:top w:val="single" w:sz="4" w:space="0" w:color="auto"/>
              <w:left w:val="nil"/>
              <w:bottom w:val="single" w:sz="4" w:space="0" w:color="auto"/>
              <w:right w:val="nil"/>
            </w:tcBorders>
            <w:vAlign w:val="bottom"/>
            <w:hideMark/>
          </w:tcPr>
          <w:p w14:paraId="2D942713" w14:textId="77777777" w:rsidR="00653741" w:rsidRPr="00653741" w:rsidRDefault="00653741" w:rsidP="00653741">
            <w:pPr>
              <w:spacing w:after="0" w:line="240" w:lineRule="auto"/>
              <w:jc w:val="center"/>
              <w:rPr>
                <w:rFonts w:eastAsia="Times New Roman" w:cs="Times New Roman"/>
                <w:color w:val="000000"/>
                <w:kern w:val="0"/>
                <w14:ligatures w14:val="none"/>
              </w:rPr>
            </w:pPr>
            <w:r w:rsidRPr="00653741">
              <w:rPr>
                <w:rFonts w:eastAsia="Times New Roman" w:cs="Times New Roman"/>
                <w:color w:val="000000"/>
                <w:kern w:val="0"/>
                <w14:ligatures w14:val="none"/>
              </w:rPr>
              <w:t>F</w:t>
            </w:r>
          </w:p>
        </w:tc>
        <w:tc>
          <w:tcPr>
            <w:tcW w:w="960" w:type="dxa"/>
            <w:tcBorders>
              <w:top w:val="single" w:sz="4" w:space="0" w:color="auto"/>
              <w:left w:val="nil"/>
              <w:bottom w:val="single" w:sz="4" w:space="0" w:color="auto"/>
              <w:right w:val="nil"/>
            </w:tcBorders>
            <w:vAlign w:val="bottom"/>
            <w:hideMark/>
          </w:tcPr>
          <w:p w14:paraId="27ABC697" w14:textId="77777777" w:rsidR="00653741" w:rsidRPr="00653741" w:rsidRDefault="00653741" w:rsidP="00653741">
            <w:pPr>
              <w:spacing w:after="0" w:line="240" w:lineRule="auto"/>
              <w:jc w:val="center"/>
              <w:rPr>
                <w:rFonts w:eastAsia="Times New Roman" w:cs="Times New Roman"/>
                <w:color w:val="000000"/>
                <w:kern w:val="0"/>
                <w14:ligatures w14:val="none"/>
              </w:rPr>
            </w:pPr>
            <w:r w:rsidRPr="00653741">
              <w:rPr>
                <w:rFonts w:eastAsia="Times New Roman" w:cs="Times New Roman"/>
                <w:color w:val="000000"/>
                <w:kern w:val="0"/>
                <w14:ligatures w14:val="none"/>
              </w:rPr>
              <w:t>Sig.</w:t>
            </w:r>
          </w:p>
        </w:tc>
      </w:tr>
      <w:tr w:rsidR="00653741" w:rsidRPr="00653741" w14:paraId="15262964" w14:textId="77777777" w:rsidTr="00653741">
        <w:trPr>
          <w:trHeight w:val="20"/>
        </w:trPr>
        <w:tc>
          <w:tcPr>
            <w:tcW w:w="1283" w:type="dxa"/>
            <w:tcBorders>
              <w:top w:val="nil"/>
              <w:left w:val="nil"/>
              <w:bottom w:val="nil"/>
              <w:right w:val="nil"/>
            </w:tcBorders>
            <w:hideMark/>
          </w:tcPr>
          <w:p w14:paraId="6A3F1CD6" w14:textId="77777777" w:rsidR="00653741" w:rsidRPr="00653741" w:rsidRDefault="00653741" w:rsidP="00653741">
            <w:pPr>
              <w:spacing w:after="0" w:line="240" w:lineRule="auto"/>
              <w:jc w:val="left"/>
              <w:rPr>
                <w:rFonts w:eastAsia="Times New Roman" w:cs="Times New Roman"/>
                <w:color w:val="000000"/>
                <w:kern w:val="0"/>
                <w14:ligatures w14:val="none"/>
              </w:rPr>
            </w:pPr>
            <w:r w:rsidRPr="00653741">
              <w:rPr>
                <w:rFonts w:eastAsia="Times New Roman" w:cs="Times New Roman"/>
                <w:color w:val="000000"/>
                <w:kern w:val="0"/>
                <w14:ligatures w14:val="none"/>
              </w:rPr>
              <w:t>Regression</w:t>
            </w:r>
          </w:p>
        </w:tc>
        <w:tc>
          <w:tcPr>
            <w:tcW w:w="1978" w:type="dxa"/>
            <w:tcBorders>
              <w:top w:val="nil"/>
              <w:left w:val="nil"/>
              <w:bottom w:val="nil"/>
              <w:right w:val="nil"/>
            </w:tcBorders>
            <w:noWrap/>
            <w:hideMark/>
          </w:tcPr>
          <w:p w14:paraId="124231A9"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37.322</w:t>
            </w:r>
          </w:p>
        </w:tc>
        <w:tc>
          <w:tcPr>
            <w:tcW w:w="960" w:type="dxa"/>
            <w:tcBorders>
              <w:top w:val="nil"/>
              <w:left w:val="nil"/>
              <w:bottom w:val="nil"/>
              <w:right w:val="nil"/>
            </w:tcBorders>
            <w:noWrap/>
            <w:hideMark/>
          </w:tcPr>
          <w:p w14:paraId="1077D3CC"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1</w:t>
            </w:r>
          </w:p>
        </w:tc>
        <w:tc>
          <w:tcPr>
            <w:tcW w:w="1591" w:type="dxa"/>
            <w:tcBorders>
              <w:top w:val="nil"/>
              <w:left w:val="nil"/>
              <w:bottom w:val="nil"/>
              <w:right w:val="nil"/>
            </w:tcBorders>
            <w:noWrap/>
            <w:hideMark/>
          </w:tcPr>
          <w:p w14:paraId="600503D0"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37.322</w:t>
            </w:r>
          </w:p>
        </w:tc>
        <w:tc>
          <w:tcPr>
            <w:tcW w:w="960" w:type="dxa"/>
            <w:tcBorders>
              <w:top w:val="nil"/>
              <w:left w:val="nil"/>
              <w:bottom w:val="nil"/>
              <w:right w:val="nil"/>
            </w:tcBorders>
            <w:noWrap/>
            <w:hideMark/>
          </w:tcPr>
          <w:p w14:paraId="3B702013"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36.322</w:t>
            </w:r>
          </w:p>
        </w:tc>
        <w:tc>
          <w:tcPr>
            <w:tcW w:w="960" w:type="dxa"/>
            <w:tcBorders>
              <w:top w:val="nil"/>
              <w:left w:val="nil"/>
              <w:bottom w:val="nil"/>
              <w:right w:val="nil"/>
            </w:tcBorders>
            <w:noWrap/>
            <w:hideMark/>
          </w:tcPr>
          <w:p w14:paraId="578B46C0"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.000</w:t>
            </w:r>
            <w:r w:rsidRPr="00653741">
              <w:rPr>
                <w:rFonts w:eastAsia="Times New Roman" w:cs="Times New Roman"/>
                <w:color w:val="000000"/>
                <w:kern w:val="0"/>
                <w:vertAlign w:val="superscript"/>
                <w14:ligatures w14:val="none"/>
              </w:rPr>
              <w:t>b</w:t>
            </w:r>
          </w:p>
        </w:tc>
      </w:tr>
      <w:tr w:rsidR="00653741" w:rsidRPr="00653741" w14:paraId="19CA8E36" w14:textId="77777777" w:rsidTr="00653741">
        <w:trPr>
          <w:trHeight w:val="20"/>
        </w:trPr>
        <w:tc>
          <w:tcPr>
            <w:tcW w:w="1283" w:type="dxa"/>
            <w:tcBorders>
              <w:top w:val="nil"/>
              <w:left w:val="nil"/>
              <w:bottom w:val="nil"/>
              <w:right w:val="nil"/>
            </w:tcBorders>
            <w:hideMark/>
          </w:tcPr>
          <w:p w14:paraId="740E9B8B" w14:textId="77777777" w:rsidR="00653741" w:rsidRPr="00653741" w:rsidRDefault="00653741" w:rsidP="00653741">
            <w:pPr>
              <w:spacing w:after="0" w:line="240" w:lineRule="auto"/>
              <w:jc w:val="left"/>
              <w:rPr>
                <w:rFonts w:eastAsia="Times New Roman" w:cs="Times New Roman"/>
                <w:color w:val="000000"/>
                <w:kern w:val="0"/>
                <w14:ligatures w14:val="none"/>
              </w:rPr>
            </w:pPr>
            <w:r w:rsidRPr="00653741">
              <w:rPr>
                <w:rFonts w:eastAsia="Times New Roman" w:cs="Times New Roman"/>
                <w:color w:val="000000"/>
                <w:kern w:val="0"/>
                <w14:ligatures w14:val="none"/>
              </w:rPr>
              <w:t>Residual</w:t>
            </w:r>
          </w:p>
        </w:tc>
        <w:tc>
          <w:tcPr>
            <w:tcW w:w="1978" w:type="dxa"/>
            <w:tcBorders>
              <w:top w:val="nil"/>
              <w:left w:val="nil"/>
              <w:bottom w:val="nil"/>
              <w:right w:val="nil"/>
            </w:tcBorders>
            <w:noWrap/>
            <w:hideMark/>
          </w:tcPr>
          <w:p w14:paraId="6F7228DE"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133.579</w:t>
            </w:r>
          </w:p>
        </w:tc>
        <w:tc>
          <w:tcPr>
            <w:tcW w:w="960" w:type="dxa"/>
            <w:tcBorders>
              <w:top w:val="nil"/>
              <w:left w:val="nil"/>
              <w:bottom w:val="nil"/>
              <w:right w:val="nil"/>
            </w:tcBorders>
            <w:noWrap/>
            <w:hideMark/>
          </w:tcPr>
          <w:p w14:paraId="0996B2C8" w14:textId="389C249A"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13</w:t>
            </w:r>
            <w:r w:rsidR="00CC1FF0">
              <w:rPr>
                <w:rFonts w:eastAsia="Times New Roman" w:cs="Times New Roman"/>
                <w:color w:val="000000"/>
                <w:kern w:val="0"/>
                <w14:ligatures w14:val="none"/>
              </w:rPr>
              <w:t>1</w:t>
            </w:r>
          </w:p>
        </w:tc>
        <w:tc>
          <w:tcPr>
            <w:tcW w:w="1591" w:type="dxa"/>
            <w:tcBorders>
              <w:top w:val="nil"/>
              <w:left w:val="nil"/>
              <w:bottom w:val="nil"/>
              <w:right w:val="nil"/>
            </w:tcBorders>
            <w:noWrap/>
            <w:hideMark/>
          </w:tcPr>
          <w:p w14:paraId="755545F2"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1.028</w:t>
            </w:r>
          </w:p>
        </w:tc>
        <w:tc>
          <w:tcPr>
            <w:tcW w:w="960" w:type="dxa"/>
            <w:tcBorders>
              <w:top w:val="nil"/>
              <w:left w:val="nil"/>
              <w:bottom w:val="nil"/>
              <w:right w:val="nil"/>
            </w:tcBorders>
            <w:hideMark/>
          </w:tcPr>
          <w:p w14:paraId="636943F5" w14:textId="77777777" w:rsidR="00653741" w:rsidRPr="00653741" w:rsidRDefault="00653741" w:rsidP="00653741">
            <w:pPr>
              <w:spacing w:after="0" w:line="240" w:lineRule="auto"/>
              <w:jc w:val="right"/>
              <w:rPr>
                <w:rFonts w:eastAsia="Times New Roman" w:cs="Times New Roman"/>
                <w:color w:val="000000"/>
                <w:kern w:val="0"/>
                <w14:ligatures w14:val="none"/>
              </w:rPr>
            </w:pPr>
          </w:p>
        </w:tc>
        <w:tc>
          <w:tcPr>
            <w:tcW w:w="960" w:type="dxa"/>
            <w:tcBorders>
              <w:top w:val="nil"/>
              <w:left w:val="nil"/>
              <w:bottom w:val="nil"/>
              <w:right w:val="nil"/>
            </w:tcBorders>
            <w:hideMark/>
          </w:tcPr>
          <w:p w14:paraId="5860EF56" w14:textId="77777777" w:rsidR="00653741" w:rsidRPr="00653741" w:rsidRDefault="00653741" w:rsidP="00653741">
            <w:pPr>
              <w:spacing w:after="0" w:line="240" w:lineRule="auto"/>
              <w:jc w:val="left"/>
              <w:rPr>
                <w:rFonts w:eastAsia="Times New Roman" w:cs="Times New Roman"/>
                <w:kern w:val="0"/>
                <w14:ligatures w14:val="none"/>
              </w:rPr>
            </w:pPr>
          </w:p>
        </w:tc>
      </w:tr>
      <w:tr w:rsidR="00653741" w:rsidRPr="00653741" w14:paraId="106F0F5A" w14:textId="77777777" w:rsidTr="00653741">
        <w:trPr>
          <w:trHeight w:val="20"/>
        </w:trPr>
        <w:tc>
          <w:tcPr>
            <w:tcW w:w="1283" w:type="dxa"/>
            <w:tcBorders>
              <w:top w:val="nil"/>
              <w:left w:val="nil"/>
              <w:bottom w:val="single" w:sz="4" w:space="0" w:color="auto"/>
              <w:right w:val="nil"/>
            </w:tcBorders>
            <w:hideMark/>
          </w:tcPr>
          <w:p w14:paraId="0ABE6A8A" w14:textId="77777777" w:rsidR="00653741" w:rsidRPr="00653741" w:rsidRDefault="00653741" w:rsidP="00653741">
            <w:pPr>
              <w:spacing w:after="0" w:line="240" w:lineRule="auto"/>
              <w:jc w:val="left"/>
              <w:rPr>
                <w:rFonts w:eastAsia="Times New Roman" w:cs="Times New Roman"/>
                <w:color w:val="000000"/>
                <w:kern w:val="0"/>
                <w14:ligatures w14:val="none"/>
              </w:rPr>
            </w:pPr>
            <w:r w:rsidRPr="00653741">
              <w:rPr>
                <w:rFonts w:eastAsia="Times New Roman" w:cs="Times New Roman"/>
                <w:color w:val="000000"/>
                <w:kern w:val="0"/>
                <w14:ligatures w14:val="none"/>
              </w:rPr>
              <w:t>Total</w:t>
            </w:r>
          </w:p>
        </w:tc>
        <w:tc>
          <w:tcPr>
            <w:tcW w:w="1978" w:type="dxa"/>
            <w:tcBorders>
              <w:top w:val="nil"/>
              <w:left w:val="nil"/>
              <w:bottom w:val="single" w:sz="4" w:space="0" w:color="auto"/>
              <w:right w:val="nil"/>
            </w:tcBorders>
            <w:noWrap/>
            <w:hideMark/>
          </w:tcPr>
          <w:p w14:paraId="4609D718"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170.901</w:t>
            </w:r>
          </w:p>
        </w:tc>
        <w:tc>
          <w:tcPr>
            <w:tcW w:w="960" w:type="dxa"/>
            <w:tcBorders>
              <w:top w:val="nil"/>
              <w:left w:val="nil"/>
              <w:bottom w:val="single" w:sz="4" w:space="0" w:color="auto"/>
              <w:right w:val="nil"/>
            </w:tcBorders>
            <w:noWrap/>
            <w:hideMark/>
          </w:tcPr>
          <w:p w14:paraId="028D9EF2" w14:textId="62F6BDA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13</w:t>
            </w:r>
            <w:r w:rsidR="00CC1FF0">
              <w:rPr>
                <w:rFonts w:eastAsia="Times New Roman" w:cs="Times New Roman"/>
                <w:color w:val="000000"/>
                <w:kern w:val="0"/>
                <w14:ligatures w14:val="none"/>
              </w:rPr>
              <w:t>2</w:t>
            </w:r>
          </w:p>
        </w:tc>
        <w:tc>
          <w:tcPr>
            <w:tcW w:w="1591" w:type="dxa"/>
            <w:tcBorders>
              <w:top w:val="nil"/>
              <w:left w:val="nil"/>
              <w:bottom w:val="single" w:sz="4" w:space="0" w:color="auto"/>
              <w:right w:val="nil"/>
            </w:tcBorders>
            <w:hideMark/>
          </w:tcPr>
          <w:p w14:paraId="0E175A9F" w14:textId="77777777" w:rsidR="00653741" w:rsidRPr="00653741" w:rsidRDefault="00653741" w:rsidP="00653741">
            <w:pPr>
              <w:spacing w:after="0" w:line="240" w:lineRule="auto"/>
              <w:jc w:val="left"/>
              <w:rPr>
                <w:rFonts w:eastAsia="Times New Roman" w:cs="Times New Roman"/>
                <w:color w:val="000000"/>
                <w:kern w:val="0"/>
                <w14:ligatures w14:val="none"/>
              </w:rPr>
            </w:pPr>
            <w:r w:rsidRPr="00653741">
              <w:rPr>
                <w:rFonts w:eastAsia="Times New Roman" w:cs="Times New Roman"/>
                <w:color w:val="000000"/>
                <w:kern w:val="0"/>
                <w14:ligatures w14:val="none"/>
              </w:rPr>
              <w:t> </w:t>
            </w:r>
          </w:p>
        </w:tc>
        <w:tc>
          <w:tcPr>
            <w:tcW w:w="960" w:type="dxa"/>
            <w:tcBorders>
              <w:top w:val="nil"/>
              <w:left w:val="nil"/>
              <w:bottom w:val="single" w:sz="4" w:space="0" w:color="auto"/>
              <w:right w:val="nil"/>
            </w:tcBorders>
            <w:hideMark/>
          </w:tcPr>
          <w:p w14:paraId="30FC3BCA" w14:textId="77777777" w:rsidR="00653741" w:rsidRPr="00653741" w:rsidRDefault="00653741" w:rsidP="00653741">
            <w:pPr>
              <w:spacing w:after="0" w:line="240" w:lineRule="auto"/>
              <w:jc w:val="left"/>
              <w:rPr>
                <w:rFonts w:eastAsia="Times New Roman" w:cs="Times New Roman"/>
                <w:color w:val="000000"/>
                <w:kern w:val="0"/>
                <w14:ligatures w14:val="none"/>
              </w:rPr>
            </w:pPr>
            <w:r w:rsidRPr="00653741">
              <w:rPr>
                <w:rFonts w:eastAsia="Times New Roman" w:cs="Times New Roman"/>
                <w:color w:val="000000"/>
                <w:kern w:val="0"/>
                <w14:ligatures w14:val="none"/>
              </w:rPr>
              <w:t> </w:t>
            </w:r>
          </w:p>
        </w:tc>
        <w:tc>
          <w:tcPr>
            <w:tcW w:w="960" w:type="dxa"/>
            <w:tcBorders>
              <w:top w:val="nil"/>
              <w:left w:val="nil"/>
              <w:bottom w:val="single" w:sz="4" w:space="0" w:color="auto"/>
              <w:right w:val="nil"/>
            </w:tcBorders>
            <w:hideMark/>
          </w:tcPr>
          <w:p w14:paraId="578E7D70" w14:textId="77777777" w:rsidR="00653741" w:rsidRPr="00653741" w:rsidRDefault="00653741" w:rsidP="00653741">
            <w:pPr>
              <w:spacing w:after="0" w:line="240" w:lineRule="auto"/>
              <w:jc w:val="left"/>
              <w:rPr>
                <w:rFonts w:eastAsia="Times New Roman" w:cs="Times New Roman"/>
                <w:color w:val="000000"/>
                <w:kern w:val="0"/>
                <w14:ligatures w14:val="none"/>
              </w:rPr>
            </w:pPr>
            <w:r w:rsidRPr="00653741">
              <w:rPr>
                <w:rFonts w:eastAsia="Times New Roman" w:cs="Times New Roman"/>
                <w:color w:val="000000"/>
                <w:kern w:val="0"/>
                <w14:ligatures w14:val="none"/>
              </w:rPr>
              <w:t> </w:t>
            </w:r>
          </w:p>
        </w:tc>
      </w:tr>
      <w:tr w:rsidR="00653741" w:rsidRPr="00653741" w14:paraId="6D475D4B" w14:textId="77777777" w:rsidTr="00653741">
        <w:trPr>
          <w:trHeight w:val="20"/>
        </w:trPr>
        <w:tc>
          <w:tcPr>
            <w:tcW w:w="7732" w:type="dxa"/>
            <w:gridSpan w:val="6"/>
            <w:tcBorders>
              <w:top w:val="nil"/>
              <w:left w:val="nil"/>
              <w:bottom w:val="nil"/>
              <w:right w:val="nil"/>
            </w:tcBorders>
            <w:hideMark/>
          </w:tcPr>
          <w:p w14:paraId="0FACA51F" w14:textId="77777777" w:rsidR="00653741" w:rsidRPr="00653741" w:rsidRDefault="00653741" w:rsidP="00653741">
            <w:pPr>
              <w:spacing w:after="0" w:line="240" w:lineRule="auto"/>
              <w:jc w:val="left"/>
              <w:rPr>
                <w:rFonts w:eastAsia="Times New Roman" w:cs="Times New Roman"/>
                <w:color w:val="000000"/>
                <w:kern w:val="0"/>
                <w:sz w:val="18"/>
                <w:szCs w:val="18"/>
                <w14:ligatures w14:val="none"/>
              </w:rPr>
            </w:pPr>
            <w:r w:rsidRPr="00653741">
              <w:rPr>
                <w:rFonts w:eastAsia="Times New Roman" w:cs="Times New Roman"/>
                <w:color w:val="000000"/>
                <w:kern w:val="0"/>
                <w:sz w:val="18"/>
                <w:szCs w:val="18"/>
                <w14:ligatures w14:val="none"/>
              </w:rPr>
              <w:t>a. Dependent Variable: transition to junior school in Lagdera</w:t>
            </w:r>
          </w:p>
        </w:tc>
      </w:tr>
      <w:tr w:rsidR="00653741" w:rsidRPr="00653741" w14:paraId="670AF0CE" w14:textId="77777777" w:rsidTr="00653741">
        <w:trPr>
          <w:trHeight w:val="20"/>
        </w:trPr>
        <w:tc>
          <w:tcPr>
            <w:tcW w:w="7732" w:type="dxa"/>
            <w:gridSpan w:val="6"/>
            <w:tcBorders>
              <w:top w:val="nil"/>
              <w:left w:val="nil"/>
              <w:bottom w:val="nil"/>
              <w:right w:val="nil"/>
            </w:tcBorders>
            <w:hideMark/>
          </w:tcPr>
          <w:p w14:paraId="65D2E793" w14:textId="77777777" w:rsidR="00653741" w:rsidRPr="00653741" w:rsidRDefault="00653741" w:rsidP="00653741">
            <w:pPr>
              <w:spacing w:after="0" w:line="240" w:lineRule="auto"/>
              <w:jc w:val="left"/>
              <w:rPr>
                <w:rFonts w:eastAsia="Times New Roman" w:cs="Times New Roman"/>
                <w:color w:val="000000"/>
                <w:kern w:val="0"/>
                <w:sz w:val="18"/>
                <w:szCs w:val="18"/>
                <w14:ligatures w14:val="none"/>
              </w:rPr>
            </w:pPr>
            <w:r w:rsidRPr="00653741">
              <w:rPr>
                <w:rFonts w:eastAsia="Times New Roman" w:cs="Times New Roman"/>
                <w:color w:val="000000"/>
                <w:kern w:val="0"/>
                <w:sz w:val="18"/>
                <w:szCs w:val="18"/>
                <w14:ligatures w14:val="none"/>
              </w:rPr>
              <w:t>b. Predictors: (Constant), teacher capacity</w:t>
            </w:r>
          </w:p>
        </w:tc>
      </w:tr>
    </w:tbl>
    <w:p w14:paraId="791050FE" w14:textId="77777777" w:rsidR="00653741" w:rsidRPr="00653741" w:rsidRDefault="00653741" w:rsidP="00C02324">
      <w:pPr>
        <w:spacing w:after="0" w:line="240" w:lineRule="auto"/>
        <w:rPr>
          <w:b/>
          <w:bCs/>
        </w:rPr>
      </w:pPr>
    </w:p>
    <w:p w14:paraId="033C3D6C" w14:textId="457EF0E3" w:rsidR="00A726B7" w:rsidRPr="00A726B7" w:rsidRDefault="00A726B7" w:rsidP="00C02324">
      <w:pPr>
        <w:spacing w:after="0" w:line="240" w:lineRule="auto"/>
      </w:pPr>
      <w:r w:rsidRPr="00A726B7">
        <w:lastRenderedPageBreak/>
        <w:t xml:space="preserve">The ANOVA </w:t>
      </w:r>
      <w:r w:rsidR="00653741">
        <w:t xml:space="preserve">results </w:t>
      </w:r>
      <w:r w:rsidRPr="00A726B7">
        <w:t xml:space="preserve">(Table </w:t>
      </w:r>
      <w:r w:rsidR="005922F8">
        <w:t>4</w:t>
      </w:r>
      <w:r w:rsidRPr="00A726B7">
        <w:t>) indicate that the overall regression model was statistically significant (</w:t>
      </w:r>
      <w:proofErr w:type="gramStart"/>
      <w:r w:rsidRPr="00A726B7">
        <w:rPr>
          <w:b/>
          <w:bCs/>
        </w:rPr>
        <w:t>F(</w:t>
      </w:r>
      <w:proofErr w:type="gramEnd"/>
      <w:r w:rsidRPr="00A726B7">
        <w:rPr>
          <w:b/>
          <w:bCs/>
        </w:rPr>
        <w:t>1,131)=</w:t>
      </w:r>
      <w:r w:rsidR="003F358F">
        <w:rPr>
          <w:b/>
          <w:bCs/>
        </w:rPr>
        <w:t>36.322</w:t>
      </w:r>
      <w:r w:rsidRPr="00A726B7">
        <w:rPr>
          <w:b/>
          <w:bCs/>
        </w:rPr>
        <w:t>, p=.</w:t>
      </w:r>
      <w:r w:rsidR="00653741">
        <w:rPr>
          <w:b/>
          <w:bCs/>
        </w:rPr>
        <w:t>000</w:t>
      </w:r>
      <w:r w:rsidRPr="00A726B7">
        <w:t xml:space="preserve">). This suggests that </w:t>
      </w:r>
      <w:r w:rsidR="00653741" w:rsidRPr="00A726B7">
        <w:t>teacher's capacity is a significant predictor of student transition</w:t>
      </w:r>
      <w:r w:rsidRPr="00A726B7">
        <w:t>.</w:t>
      </w:r>
      <w:r w:rsidR="00CC1FF0">
        <w:t xml:space="preserve"> </w:t>
      </w:r>
      <w:r w:rsidR="00CC1FF0" w:rsidRPr="00A726B7">
        <w:t xml:space="preserve">This explanatory power suggests that teacher capacity is a major driver of successful student transitions in the study context. The ANOVA F-statistic of </w:t>
      </w:r>
      <w:r w:rsidR="00CC1FF0">
        <w:t>36.322</w:t>
      </w:r>
      <w:r w:rsidR="00CC1FF0" w:rsidRPr="00A726B7">
        <w:t xml:space="preserve"> with a p-value of 0.010 confirms that this relationship is not due to random chance, providing strong statistical evidence</w:t>
      </w:r>
    </w:p>
    <w:p w14:paraId="390D0ABD" w14:textId="49018B98" w:rsidR="00A726B7" w:rsidRPr="00653741" w:rsidRDefault="00653741" w:rsidP="00653741">
      <w:pPr>
        <w:pStyle w:val="Caption"/>
        <w:rPr>
          <w:b/>
          <w:bCs/>
          <w:i w:val="0"/>
          <w:iCs w:val="0"/>
          <w:color w:val="auto"/>
          <w:sz w:val="24"/>
          <w:szCs w:val="24"/>
        </w:rPr>
      </w:pPr>
      <w:r w:rsidRPr="00653741">
        <w:rPr>
          <w:b/>
          <w:bCs/>
          <w:i w:val="0"/>
          <w:iCs w:val="0"/>
          <w:color w:val="auto"/>
          <w:sz w:val="24"/>
          <w:szCs w:val="24"/>
        </w:rPr>
        <w:t xml:space="preserve">Table </w:t>
      </w:r>
      <w:r w:rsidR="005922F8">
        <w:rPr>
          <w:b/>
          <w:bCs/>
          <w:i w:val="0"/>
          <w:iCs w:val="0"/>
          <w:color w:val="auto"/>
          <w:sz w:val="24"/>
          <w:szCs w:val="24"/>
        </w:rPr>
        <w:t>5</w:t>
      </w:r>
      <w:r w:rsidR="00A726B7" w:rsidRPr="00653741">
        <w:rPr>
          <w:b/>
          <w:bCs/>
          <w:i w:val="0"/>
          <w:iCs w:val="0"/>
          <w:color w:val="auto"/>
          <w:sz w:val="24"/>
          <w:szCs w:val="24"/>
        </w:rPr>
        <w:t>: Coefficients for Teacher's Capacity and Student Transition</w:t>
      </w:r>
    </w:p>
    <w:tbl>
      <w:tblPr>
        <w:tblW w:w="10038" w:type="dxa"/>
        <w:tblLook w:val="04A0" w:firstRow="1" w:lastRow="0" w:firstColumn="1" w:lastColumn="0" w:noHBand="0" w:noVBand="1"/>
      </w:tblPr>
      <w:tblGrid>
        <w:gridCol w:w="1985"/>
        <w:gridCol w:w="2621"/>
        <w:gridCol w:w="1206"/>
        <w:gridCol w:w="2434"/>
        <w:gridCol w:w="901"/>
        <w:gridCol w:w="891"/>
      </w:tblGrid>
      <w:tr w:rsidR="00653741" w:rsidRPr="00653741" w14:paraId="752F2156" w14:textId="77777777" w:rsidTr="00653741">
        <w:trPr>
          <w:trHeight w:val="300"/>
        </w:trPr>
        <w:tc>
          <w:tcPr>
            <w:tcW w:w="10037" w:type="dxa"/>
            <w:gridSpan w:val="6"/>
            <w:tcBorders>
              <w:top w:val="nil"/>
              <w:left w:val="nil"/>
              <w:bottom w:val="nil"/>
              <w:right w:val="nil"/>
            </w:tcBorders>
            <w:vAlign w:val="center"/>
            <w:hideMark/>
          </w:tcPr>
          <w:p w14:paraId="18CFC116" w14:textId="77777777" w:rsidR="00653741" w:rsidRPr="00653741" w:rsidRDefault="00653741" w:rsidP="00653741">
            <w:pPr>
              <w:spacing w:after="0" w:line="240" w:lineRule="auto"/>
              <w:jc w:val="center"/>
              <w:rPr>
                <w:rFonts w:eastAsia="Times New Roman" w:cs="Times New Roman"/>
                <w:b/>
                <w:bCs/>
                <w:color w:val="000000"/>
                <w:kern w:val="0"/>
                <w:sz w:val="18"/>
                <w:szCs w:val="18"/>
                <w14:ligatures w14:val="none"/>
              </w:rPr>
            </w:pPr>
            <w:r w:rsidRPr="00653741">
              <w:rPr>
                <w:rFonts w:eastAsia="Times New Roman" w:cs="Times New Roman"/>
                <w:b/>
                <w:bCs/>
                <w:color w:val="000000"/>
                <w:kern w:val="0"/>
                <w:sz w:val="18"/>
                <w:szCs w:val="18"/>
                <w14:ligatures w14:val="none"/>
              </w:rPr>
              <w:t>Coefficients</w:t>
            </w:r>
            <w:r w:rsidRPr="00653741">
              <w:rPr>
                <w:rFonts w:eastAsia="Times New Roman" w:cs="Times New Roman"/>
                <w:b/>
                <w:bCs/>
                <w:color w:val="000000"/>
                <w:kern w:val="0"/>
                <w:sz w:val="18"/>
                <w:szCs w:val="18"/>
                <w:vertAlign w:val="superscript"/>
                <w14:ligatures w14:val="none"/>
              </w:rPr>
              <w:t>a</w:t>
            </w:r>
          </w:p>
        </w:tc>
      </w:tr>
      <w:tr w:rsidR="00653741" w:rsidRPr="00653741" w14:paraId="4BF7B628" w14:textId="77777777" w:rsidTr="00653741">
        <w:trPr>
          <w:trHeight w:val="20"/>
        </w:trPr>
        <w:tc>
          <w:tcPr>
            <w:tcW w:w="1985" w:type="dxa"/>
            <w:tcBorders>
              <w:top w:val="single" w:sz="4" w:space="0" w:color="auto"/>
              <w:left w:val="nil"/>
              <w:right w:val="nil"/>
            </w:tcBorders>
            <w:vAlign w:val="bottom"/>
            <w:hideMark/>
          </w:tcPr>
          <w:p w14:paraId="2C1ED0DC" w14:textId="77777777" w:rsidR="00653741" w:rsidRPr="00653741" w:rsidRDefault="00653741" w:rsidP="00653741">
            <w:pPr>
              <w:spacing w:after="0" w:line="240" w:lineRule="auto"/>
              <w:jc w:val="left"/>
              <w:rPr>
                <w:rFonts w:eastAsia="Times New Roman" w:cs="Times New Roman"/>
                <w:color w:val="000000"/>
                <w:kern w:val="0"/>
                <w14:ligatures w14:val="none"/>
              </w:rPr>
            </w:pPr>
            <w:r w:rsidRPr="00653741">
              <w:rPr>
                <w:rFonts w:eastAsia="Times New Roman" w:cs="Times New Roman"/>
                <w:color w:val="000000"/>
                <w:kern w:val="0"/>
                <w14:ligatures w14:val="none"/>
              </w:rPr>
              <w:t> </w:t>
            </w:r>
          </w:p>
        </w:tc>
        <w:tc>
          <w:tcPr>
            <w:tcW w:w="2621" w:type="dxa"/>
            <w:tcBorders>
              <w:top w:val="single" w:sz="4" w:space="0" w:color="auto"/>
              <w:left w:val="nil"/>
              <w:right w:val="nil"/>
            </w:tcBorders>
            <w:vAlign w:val="bottom"/>
            <w:hideMark/>
          </w:tcPr>
          <w:p w14:paraId="353F6210" w14:textId="77777777" w:rsidR="00653741" w:rsidRPr="00653741" w:rsidRDefault="00653741" w:rsidP="00653741">
            <w:pPr>
              <w:spacing w:after="0" w:line="240" w:lineRule="auto"/>
              <w:jc w:val="center"/>
              <w:rPr>
                <w:rFonts w:eastAsia="Times New Roman" w:cs="Times New Roman"/>
                <w:color w:val="000000"/>
                <w:kern w:val="0"/>
                <w14:ligatures w14:val="none"/>
              </w:rPr>
            </w:pPr>
            <w:r w:rsidRPr="00653741">
              <w:rPr>
                <w:rFonts w:eastAsia="Times New Roman" w:cs="Times New Roman"/>
                <w:color w:val="000000"/>
                <w:kern w:val="0"/>
                <w14:ligatures w14:val="none"/>
              </w:rPr>
              <w:t>Unstandardized Coefficients</w:t>
            </w:r>
          </w:p>
        </w:tc>
        <w:tc>
          <w:tcPr>
            <w:tcW w:w="1206" w:type="dxa"/>
            <w:tcBorders>
              <w:top w:val="single" w:sz="4" w:space="0" w:color="auto"/>
              <w:left w:val="nil"/>
              <w:right w:val="nil"/>
            </w:tcBorders>
            <w:vAlign w:val="bottom"/>
            <w:hideMark/>
          </w:tcPr>
          <w:p w14:paraId="5BA1C6FE" w14:textId="77777777" w:rsidR="00653741" w:rsidRPr="00653741" w:rsidRDefault="00653741" w:rsidP="00653741">
            <w:pPr>
              <w:spacing w:after="0" w:line="240" w:lineRule="auto"/>
              <w:jc w:val="center"/>
              <w:rPr>
                <w:rFonts w:eastAsia="Times New Roman" w:cs="Times New Roman"/>
                <w:color w:val="000000"/>
                <w:kern w:val="0"/>
                <w14:ligatures w14:val="none"/>
              </w:rPr>
            </w:pPr>
            <w:r w:rsidRPr="00653741">
              <w:rPr>
                <w:rFonts w:eastAsia="Times New Roman" w:cs="Times New Roman"/>
                <w:color w:val="000000"/>
                <w:kern w:val="0"/>
                <w14:ligatures w14:val="none"/>
              </w:rPr>
              <w:t> </w:t>
            </w:r>
          </w:p>
        </w:tc>
        <w:tc>
          <w:tcPr>
            <w:tcW w:w="2434" w:type="dxa"/>
            <w:tcBorders>
              <w:top w:val="single" w:sz="4" w:space="0" w:color="auto"/>
              <w:left w:val="nil"/>
              <w:right w:val="nil"/>
            </w:tcBorders>
            <w:vAlign w:val="bottom"/>
            <w:hideMark/>
          </w:tcPr>
          <w:p w14:paraId="685BED8A" w14:textId="77777777" w:rsidR="00653741" w:rsidRPr="00653741" w:rsidRDefault="00653741" w:rsidP="00653741">
            <w:pPr>
              <w:spacing w:after="0" w:line="240" w:lineRule="auto"/>
              <w:jc w:val="center"/>
              <w:rPr>
                <w:rFonts w:eastAsia="Times New Roman" w:cs="Times New Roman"/>
                <w:color w:val="000000"/>
                <w:kern w:val="0"/>
                <w14:ligatures w14:val="none"/>
              </w:rPr>
            </w:pPr>
            <w:r w:rsidRPr="00653741">
              <w:rPr>
                <w:rFonts w:eastAsia="Times New Roman" w:cs="Times New Roman"/>
                <w:color w:val="000000"/>
                <w:kern w:val="0"/>
                <w14:ligatures w14:val="none"/>
              </w:rPr>
              <w:t>Standardized Coefficients</w:t>
            </w:r>
          </w:p>
        </w:tc>
        <w:tc>
          <w:tcPr>
            <w:tcW w:w="901" w:type="dxa"/>
            <w:tcBorders>
              <w:top w:val="single" w:sz="4" w:space="0" w:color="auto"/>
              <w:left w:val="nil"/>
              <w:right w:val="nil"/>
            </w:tcBorders>
            <w:vAlign w:val="bottom"/>
            <w:hideMark/>
          </w:tcPr>
          <w:p w14:paraId="29B4BD39" w14:textId="77777777" w:rsidR="00653741" w:rsidRPr="00653741" w:rsidRDefault="00653741" w:rsidP="00653741">
            <w:pPr>
              <w:spacing w:after="0" w:line="240" w:lineRule="auto"/>
              <w:jc w:val="center"/>
              <w:rPr>
                <w:rFonts w:eastAsia="Times New Roman" w:cs="Times New Roman"/>
                <w:color w:val="000000"/>
                <w:kern w:val="0"/>
                <w14:ligatures w14:val="none"/>
              </w:rPr>
            </w:pPr>
            <w:r w:rsidRPr="00653741">
              <w:rPr>
                <w:rFonts w:eastAsia="Times New Roman" w:cs="Times New Roman"/>
                <w:color w:val="000000"/>
                <w:kern w:val="0"/>
                <w14:ligatures w14:val="none"/>
              </w:rPr>
              <w:t>t</w:t>
            </w:r>
          </w:p>
        </w:tc>
        <w:tc>
          <w:tcPr>
            <w:tcW w:w="891" w:type="dxa"/>
            <w:tcBorders>
              <w:top w:val="single" w:sz="4" w:space="0" w:color="auto"/>
              <w:left w:val="nil"/>
              <w:right w:val="nil"/>
            </w:tcBorders>
            <w:vAlign w:val="bottom"/>
            <w:hideMark/>
          </w:tcPr>
          <w:p w14:paraId="15CBF160" w14:textId="77777777" w:rsidR="00653741" w:rsidRPr="00653741" w:rsidRDefault="00653741" w:rsidP="00653741">
            <w:pPr>
              <w:spacing w:after="0" w:line="240" w:lineRule="auto"/>
              <w:jc w:val="center"/>
              <w:rPr>
                <w:rFonts w:eastAsia="Times New Roman" w:cs="Times New Roman"/>
                <w:color w:val="000000"/>
                <w:kern w:val="0"/>
                <w14:ligatures w14:val="none"/>
              </w:rPr>
            </w:pPr>
            <w:r w:rsidRPr="00653741">
              <w:rPr>
                <w:rFonts w:eastAsia="Times New Roman" w:cs="Times New Roman"/>
                <w:color w:val="000000"/>
                <w:kern w:val="0"/>
                <w14:ligatures w14:val="none"/>
              </w:rPr>
              <w:t>Sig.</w:t>
            </w:r>
          </w:p>
        </w:tc>
      </w:tr>
      <w:tr w:rsidR="00653741" w:rsidRPr="00653741" w14:paraId="3007E57D" w14:textId="77777777" w:rsidTr="00653741">
        <w:trPr>
          <w:trHeight w:val="20"/>
        </w:trPr>
        <w:tc>
          <w:tcPr>
            <w:tcW w:w="1985" w:type="dxa"/>
            <w:tcBorders>
              <w:top w:val="nil"/>
              <w:left w:val="nil"/>
              <w:bottom w:val="single" w:sz="4" w:space="0" w:color="auto"/>
              <w:right w:val="nil"/>
            </w:tcBorders>
            <w:vAlign w:val="bottom"/>
            <w:hideMark/>
          </w:tcPr>
          <w:p w14:paraId="791404E7" w14:textId="77777777" w:rsidR="00653741" w:rsidRPr="00653741" w:rsidRDefault="00653741" w:rsidP="00653741">
            <w:pPr>
              <w:spacing w:after="0" w:line="240" w:lineRule="auto"/>
              <w:jc w:val="center"/>
              <w:rPr>
                <w:rFonts w:eastAsia="Times New Roman" w:cs="Times New Roman"/>
                <w:color w:val="000000"/>
                <w:kern w:val="0"/>
                <w14:ligatures w14:val="none"/>
              </w:rPr>
            </w:pPr>
          </w:p>
        </w:tc>
        <w:tc>
          <w:tcPr>
            <w:tcW w:w="2621" w:type="dxa"/>
            <w:tcBorders>
              <w:top w:val="nil"/>
              <w:left w:val="nil"/>
              <w:bottom w:val="single" w:sz="4" w:space="0" w:color="auto"/>
              <w:right w:val="nil"/>
            </w:tcBorders>
            <w:vAlign w:val="bottom"/>
            <w:hideMark/>
          </w:tcPr>
          <w:p w14:paraId="100D1319" w14:textId="77777777" w:rsidR="00653741" w:rsidRPr="00653741" w:rsidRDefault="00653741" w:rsidP="00653741">
            <w:pPr>
              <w:spacing w:after="0" w:line="240" w:lineRule="auto"/>
              <w:jc w:val="center"/>
              <w:rPr>
                <w:rFonts w:eastAsia="Times New Roman" w:cs="Times New Roman"/>
                <w:color w:val="000000"/>
                <w:kern w:val="0"/>
                <w14:ligatures w14:val="none"/>
              </w:rPr>
            </w:pPr>
            <w:r w:rsidRPr="00653741">
              <w:rPr>
                <w:rFonts w:eastAsia="Times New Roman" w:cs="Times New Roman"/>
                <w:color w:val="000000"/>
                <w:kern w:val="0"/>
                <w14:ligatures w14:val="none"/>
              </w:rPr>
              <w:t>B</w:t>
            </w:r>
          </w:p>
        </w:tc>
        <w:tc>
          <w:tcPr>
            <w:tcW w:w="1206" w:type="dxa"/>
            <w:tcBorders>
              <w:top w:val="nil"/>
              <w:left w:val="nil"/>
              <w:bottom w:val="single" w:sz="4" w:space="0" w:color="auto"/>
              <w:right w:val="nil"/>
            </w:tcBorders>
            <w:vAlign w:val="bottom"/>
            <w:hideMark/>
          </w:tcPr>
          <w:p w14:paraId="60A25F40" w14:textId="77777777" w:rsidR="00653741" w:rsidRPr="00653741" w:rsidRDefault="00653741" w:rsidP="00653741">
            <w:pPr>
              <w:spacing w:after="0" w:line="240" w:lineRule="auto"/>
              <w:jc w:val="center"/>
              <w:rPr>
                <w:rFonts w:eastAsia="Times New Roman" w:cs="Times New Roman"/>
                <w:color w:val="000000"/>
                <w:kern w:val="0"/>
                <w14:ligatures w14:val="none"/>
              </w:rPr>
            </w:pPr>
            <w:r w:rsidRPr="00653741">
              <w:rPr>
                <w:rFonts w:eastAsia="Times New Roman" w:cs="Times New Roman"/>
                <w:color w:val="000000"/>
                <w:kern w:val="0"/>
                <w14:ligatures w14:val="none"/>
              </w:rPr>
              <w:t>Std. Error</w:t>
            </w:r>
          </w:p>
        </w:tc>
        <w:tc>
          <w:tcPr>
            <w:tcW w:w="2434" w:type="dxa"/>
            <w:tcBorders>
              <w:top w:val="nil"/>
              <w:left w:val="nil"/>
              <w:bottom w:val="single" w:sz="4" w:space="0" w:color="auto"/>
              <w:right w:val="nil"/>
            </w:tcBorders>
            <w:vAlign w:val="bottom"/>
            <w:hideMark/>
          </w:tcPr>
          <w:p w14:paraId="502D0ACB" w14:textId="77777777" w:rsidR="00653741" w:rsidRPr="00653741" w:rsidRDefault="00653741" w:rsidP="00653741">
            <w:pPr>
              <w:spacing w:after="0" w:line="240" w:lineRule="auto"/>
              <w:jc w:val="center"/>
              <w:rPr>
                <w:rFonts w:eastAsia="Times New Roman" w:cs="Times New Roman"/>
                <w:color w:val="000000"/>
                <w:kern w:val="0"/>
                <w14:ligatures w14:val="none"/>
              </w:rPr>
            </w:pPr>
            <w:r w:rsidRPr="00653741">
              <w:rPr>
                <w:rFonts w:eastAsia="Times New Roman" w:cs="Times New Roman"/>
                <w:color w:val="000000"/>
                <w:kern w:val="0"/>
                <w14:ligatures w14:val="none"/>
              </w:rPr>
              <w:t>Beta</w:t>
            </w:r>
          </w:p>
        </w:tc>
        <w:tc>
          <w:tcPr>
            <w:tcW w:w="901" w:type="dxa"/>
            <w:tcBorders>
              <w:top w:val="nil"/>
              <w:left w:val="nil"/>
              <w:bottom w:val="single" w:sz="4" w:space="0" w:color="auto"/>
              <w:right w:val="nil"/>
            </w:tcBorders>
            <w:vAlign w:val="bottom"/>
            <w:hideMark/>
          </w:tcPr>
          <w:p w14:paraId="6B03E0D7" w14:textId="77777777" w:rsidR="00653741" w:rsidRPr="00653741" w:rsidRDefault="00653741" w:rsidP="00653741">
            <w:pPr>
              <w:spacing w:after="0" w:line="240" w:lineRule="auto"/>
              <w:jc w:val="center"/>
              <w:rPr>
                <w:rFonts w:eastAsia="Times New Roman" w:cs="Times New Roman"/>
                <w:color w:val="000000"/>
                <w:kern w:val="0"/>
                <w14:ligatures w14:val="none"/>
              </w:rPr>
            </w:pPr>
          </w:p>
        </w:tc>
        <w:tc>
          <w:tcPr>
            <w:tcW w:w="891" w:type="dxa"/>
            <w:tcBorders>
              <w:top w:val="nil"/>
              <w:left w:val="nil"/>
              <w:bottom w:val="single" w:sz="4" w:space="0" w:color="auto"/>
              <w:right w:val="nil"/>
            </w:tcBorders>
            <w:vAlign w:val="bottom"/>
            <w:hideMark/>
          </w:tcPr>
          <w:p w14:paraId="0ED582CF" w14:textId="77777777" w:rsidR="00653741" w:rsidRPr="00653741" w:rsidRDefault="00653741" w:rsidP="00653741">
            <w:pPr>
              <w:spacing w:after="0" w:line="240" w:lineRule="auto"/>
              <w:jc w:val="center"/>
              <w:rPr>
                <w:rFonts w:eastAsia="Times New Roman" w:cs="Times New Roman"/>
                <w:kern w:val="0"/>
                <w14:ligatures w14:val="none"/>
              </w:rPr>
            </w:pPr>
          </w:p>
        </w:tc>
      </w:tr>
      <w:tr w:rsidR="00653741" w:rsidRPr="00653741" w14:paraId="2F339622" w14:textId="77777777" w:rsidTr="00653741">
        <w:trPr>
          <w:trHeight w:val="20"/>
        </w:trPr>
        <w:tc>
          <w:tcPr>
            <w:tcW w:w="1985" w:type="dxa"/>
            <w:tcBorders>
              <w:top w:val="single" w:sz="4" w:space="0" w:color="auto"/>
              <w:left w:val="nil"/>
              <w:bottom w:val="nil"/>
              <w:right w:val="nil"/>
            </w:tcBorders>
            <w:hideMark/>
          </w:tcPr>
          <w:p w14:paraId="39FBBF48" w14:textId="77777777" w:rsidR="00653741" w:rsidRPr="00653741" w:rsidRDefault="00653741" w:rsidP="00653741">
            <w:pPr>
              <w:spacing w:after="0" w:line="240" w:lineRule="auto"/>
              <w:jc w:val="left"/>
              <w:rPr>
                <w:rFonts w:eastAsia="Times New Roman" w:cs="Times New Roman"/>
                <w:color w:val="000000"/>
                <w:kern w:val="0"/>
                <w14:ligatures w14:val="none"/>
              </w:rPr>
            </w:pPr>
            <w:r w:rsidRPr="00653741">
              <w:rPr>
                <w:rFonts w:eastAsia="Times New Roman" w:cs="Times New Roman"/>
                <w:color w:val="000000"/>
                <w:kern w:val="0"/>
                <w14:ligatures w14:val="none"/>
              </w:rPr>
              <w:t>(Constant)</w:t>
            </w:r>
          </w:p>
        </w:tc>
        <w:tc>
          <w:tcPr>
            <w:tcW w:w="2621" w:type="dxa"/>
            <w:tcBorders>
              <w:top w:val="single" w:sz="4" w:space="0" w:color="auto"/>
              <w:left w:val="nil"/>
              <w:bottom w:val="nil"/>
              <w:right w:val="nil"/>
            </w:tcBorders>
            <w:noWrap/>
            <w:hideMark/>
          </w:tcPr>
          <w:p w14:paraId="09E602F4"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1.887</w:t>
            </w:r>
          </w:p>
        </w:tc>
        <w:tc>
          <w:tcPr>
            <w:tcW w:w="1206" w:type="dxa"/>
            <w:tcBorders>
              <w:top w:val="single" w:sz="4" w:space="0" w:color="auto"/>
              <w:left w:val="nil"/>
              <w:bottom w:val="nil"/>
              <w:right w:val="nil"/>
            </w:tcBorders>
            <w:noWrap/>
            <w:hideMark/>
          </w:tcPr>
          <w:p w14:paraId="580BFD4A"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.267</w:t>
            </w:r>
          </w:p>
        </w:tc>
        <w:tc>
          <w:tcPr>
            <w:tcW w:w="2434" w:type="dxa"/>
            <w:tcBorders>
              <w:top w:val="single" w:sz="4" w:space="0" w:color="auto"/>
              <w:left w:val="nil"/>
              <w:bottom w:val="nil"/>
              <w:right w:val="nil"/>
            </w:tcBorders>
            <w:hideMark/>
          </w:tcPr>
          <w:p w14:paraId="5F00F7FE" w14:textId="77777777" w:rsidR="00653741" w:rsidRPr="00653741" w:rsidRDefault="00653741" w:rsidP="00653741">
            <w:pPr>
              <w:spacing w:after="0" w:line="240" w:lineRule="auto"/>
              <w:jc w:val="right"/>
              <w:rPr>
                <w:rFonts w:eastAsia="Times New Roman" w:cs="Times New Roman"/>
                <w:color w:val="000000"/>
                <w:kern w:val="0"/>
                <w14:ligatures w14:val="none"/>
              </w:rPr>
            </w:pPr>
          </w:p>
        </w:tc>
        <w:tc>
          <w:tcPr>
            <w:tcW w:w="901" w:type="dxa"/>
            <w:tcBorders>
              <w:top w:val="single" w:sz="4" w:space="0" w:color="auto"/>
              <w:left w:val="nil"/>
              <w:bottom w:val="nil"/>
              <w:right w:val="nil"/>
            </w:tcBorders>
            <w:noWrap/>
            <w:hideMark/>
          </w:tcPr>
          <w:p w14:paraId="4336ABA2"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7.060</w:t>
            </w:r>
          </w:p>
        </w:tc>
        <w:tc>
          <w:tcPr>
            <w:tcW w:w="891" w:type="dxa"/>
            <w:tcBorders>
              <w:top w:val="single" w:sz="4" w:space="0" w:color="auto"/>
              <w:left w:val="nil"/>
              <w:bottom w:val="nil"/>
              <w:right w:val="nil"/>
            </w:tcBorders>
            <w:noWrap/>
            <w:hideMark/>
          </w:tcPr>
          <w:p w14:paraId="23632FF5"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.000</w:t>
            </w:r>
          </w:p>
        </w:tc>
      </w:tr>
      <w:tr w:rsidR="00653741" w:rsidRPr="00653741" w14:paraId="0487A95A" w14:textId="77777777" w:rsidTr="00653741">
        <w:trPr>
          <w:trHeight w:val="20"/>
        </w:trPr>
        <w:tc>
          <w:tcPr>
            <w:tcW w:w="1985" w:type="dxa"/>
            <w:tcBorders>
              <w:top w:val="nil"/>
              <w:left w:val="nil"/>
              <w:bottom w:val="single" w:sz="4" w:space="0" w:color="auto"/>
              <w:right w:val="nil"/>
            </w:tcBorders>
            <w:hideMark/>
          </w:tcPr>
          <w:p w14:paraId="69135ECE" w14:textId="6C5D1885" w:rsidR="00653741" w:rsidRPr="00653741" w:rsidRDefault="00653741" w:rsidP="00653741">
            <w:pPr>
              <w:spacing w:after="0" w:line="240" w:lineRule="auto"/>
              <w:jc w:val="left"/>
              <w:rPr>
                <w:rFonts w:eastAsia="Times New Roman" w:cs="Times New Roman"/>
                <w:color w:val="000000"/>
                <w:kern w:val="0"/>
                <w14:ligatures w14:val="none"/>
              </w:rPr>
            </w:pPr>
            <w:r w:rsidRPr="00653741">
              <w:rPr>
                <w:rFonts w:eastAsia="Times New Roman" w:cs="Times New Roman"/>
                <w:color w:val="000000"/>
                <w:kern w:val="0"/>
                <w14:ligatures w14:val="none"/>
              </w:rPr>
              <w:t>Teacher Capacity</w:t>
            </w:r>
          </w:p>
        </w:tc>
        <w:tc>
          <w:tcPr>
            <w:tcW w:w="2621" w:type="dxa"/>
            <w:tcBorders>
              <w:top w:val="nil"/>
              <w:left w:val="nil"/>
              <w:bottom w:val="single" w:sz="4" w:space="0" w:color="auto"/>
              <w:right w:val="nil"/>
            </w:tcBorders>
            <w:noWrap/>
            <w:hideMark/>
          </w:tcPr>
          <w:p w14:paraId="2728F77A"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.479</w:t>
            </w:r>
          </w:p>
        </w:tc>
        <w:tc>
          <w:tcPr>
            <w:tcW w:w="1206" w:type="dxa"/>
            <w:tcBorders>
              <w:top w:val="nil"/>
              <w:left w:val="nil"/>
              <w:bottom w:val="single" w:sz="4" w:space="0" w:color="auto"/>
              <w:right w:val="nil"/>
            </w:tcBorders>
            <w:noWrap/>
            <w:hideMark/>
          </w:tcPr>
          <w:p w14:paraId="69AAD9B6"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.080</w:t>
            </w:r>
          </w:p>
        </w:tc>
        <w:tc>
          <w:tcPr>
            <w:tcW w:w="2434" w:type="dxa"/>
            <w:tcBorders>
              <w:top w:val="nil"/>
              <w:left w:val="nil"/>
              <w:bottom w:val="single" w:sz="4" w:space="0" w:color="auto"/>
              <w:right w:val="nil"/>
            </w:tcBorders>
            <w:noWrap/>
            <w:hideMark/>
          </w:tcPr>
          <w:p w14:paraId="5A6F0584"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.467</w:t>
            </w:r>
          </w:p>
        </w:tc>
        <w:tc>
          <w:tcPr>
            <w:tcW w:w="901" w:type="dxa"/>
            <w:tcBorders>
              <w:top w:val="nil"/>
              <w:left w:val="nil"/>
              <w:bottom w:val="single" w:sz="4" w:space="0" w:color="auto"/>
              <w:right w:val="nil"/>
            </w:tcBorders>
            <w:noWrap/>
            <w:hideMark/>
          </w:tcPr>
          <w:p w14:paraId="70337018"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6.027</w:t>
            </w:r>
          </w:p>
        </w:tc>
        <w:tc>
          <w:tcPr>
            <w:tcW w:w="891" w:type="dxa"/>
            <w:tcBorders>
              <w:top w:val="nil"/>
              <w:left w:val="nil"/>
              <w:bottom w:val="single" w:sz="4" w:space="0" w:color="auto"/>
              <w:right w:val="nil"/>
            </w:tcBorders>
            <w:noWrap/>
            <w:hideMark/>
          </w:tcPr>
          <w:p w14:paraId="00602C14" w14:textId="77777777" w:rsidR="00653741" w:rsidRPr="00653741" w:rsidRDefault="00653741" w:rsidP="00653741">
            <w:pPr>
              <w:spacing w:after="0" w:line="240" w:lineRule="auto"/>
              <w:jc w:val="right"/>
              <w:rPr>
                <w:rFonts w:eastAsia="Times New Roman" w:cs="Times New Roman"/>
                <w:color w:val="000000"/>
                <w:kern w:val="0"/>
                <w14:ligatures w14:val="none"/>
              </w:rPr>
            </w:pPr>
            <w:r w:rsidRPr="00653741">
              <w:rPr>
                <w:rFonts w:eastAsia="Times New Roman" w:cs="Times New Roman"/>
                <w:color w:val="000000"/>
                <w:kern w:val="0"/>
                <w14:ligatures w14:val="none"/>
              </w:rPr>
              <w:t>.000</w:t>
            </w:r>
          </w:p>
        </w:tc>
      </w:tr>
      <w:tr w:rsidR="00653741" w:rsidRPr="00653741" w14:paraId="22534C4D" w14:textId="77777777" w:rsidTr="00653741">
        <w:trPr>
          <w:trHeight w:val="300"/>
        </w:trPr>
        <w:tc>
          <w:tcPr>
            <w:tcW w:w="10037" w:type="dxa"/>
            <w:gridSpan w:val="6"/>
            <w:tcBorders>
              <w:top w:val="nil"/>
              <w:left w:val="nil"/>
              <w:bottom w:val="nil"/>
              <w:right w:val="nil"/>
            </w:tcBorders>
            <w:hideMark/>
          </w:tcPr>
          <w:p w14:paraId="63788A02" w14:textId="77777777" w:rsidR="00653741" w:rsidRPr="00653741" w:rsidRDefault="00653741" w:rsidP="00653741">
            <w:pPr>
              <w:spacing w:after="0" w:line="240" w:lineRule="auto"/>
              <w:jc w:val="left"/>
              <w:rPr>
                <w:rFonts w:eastAsia="Times New Roman" w:cs="Times New Roman"/>
                <w:color w:val="000000"/>
                <w:kern w:val="0"/>
                <w:sz w:val="18"/>
                <w:szCs w:val="18"/>
                <w14:ligatures w14:val="none"/>
              </w:rPr>
            </w:pPr>
            <w:r w:rsidRPr="00653741">
              <w:rPr>
                <w:rFonts w:eastAsia="Times New Roman" w:cs="Times New Roman"/>
                <w:color w:val="000000"/>
                <w:kern w:val="0"/>
                <w:sz w:val="18"/>
                <w:szCs w:val="18"/>
                <w14:ligatures w14:val="none"/>
              </w:rPr>
              <w:t>a. Dependent Variable: transition to junior school in Lagdera</w:t>
            </w:r>
          </w:p>
        </w:tc>
      </w:tr>
    </w:tbl>
    <w:p w14:paraId="4AE7AD6C" w14:textId="77777777" w:rsidR="00653741" w:rsidRPr="00653741" w:rsidRDefault="00653741" w:rsidP="00C02324">
      <w:pPr>
        <w:spacing w:after="0" w:line="240" w:lineRule="auto"/>
        <w:rPr>
          <w:b/>
          <w:bCs/>
        </w:rPr>
      </w:pPr>
    </w:p>
    <w:p w14:paraId="2BD32783" w14:textId="69DE8696" w:rsidR="00A726B7" w:rsidRPr="00A726B7" w:rsidRDefault="00A726B7" w:rsidP="00C02324">
      <w:pPr>
        <w:spacing w:after="0" w:line="240" w:lineRule="auto"/>
      </w:pPr>
      <w:r w:rsidRPr="00A726B7">
        <w:t xml:space="preserve">The Coefficients </w:t>
      </w:r>
      <w:r w:rsidR="00653741">
        <w:t>results</w:t>
      </w:r>
      <w:r w:rsidRPr="00A726B7">
        <w:t xml:space="preserve"> (Table </w:t>
      </w:r>
      <w:r w:rsidR="005922F8">
        <w:t>5</w:t>
      </w:r>
      <w:r w:rsidRPr="00A726B7">
        <w:t xml:space="preserve">) </w:t>
      </w:r>
      <w:r w:rsidR="00653741" w:rsidRPr="00A726B7">
        <w:t>show</w:t>
      </w:r>
      <w:r w:rsidRPr="00A726B7">
        <w:t xml:space="preserve"> the unstandardized coefficient (</w:t>
      </w:r>
      <w:r w:rsidR="00653741">
        <w:rPr>
          <w:rFonts w:cs="Times New Roman"/>
        </w:rPr>
        <w:t>β</w:t>
      </w:r>
      <w:r w:rsidRPr="00A726B7">
        <w:t xml:space="preserve">) for Teacher's Capacity was </w:t>
      </w:r>
      <w:r w:rsidR="00653741">
        <w:t>0.479</w:t>
      </w:r>
      <w:r w:rsidRPr="00A726B7">
        <w:t xml:space="preserve">, indicating that for every one-unit increase in </w:t>
      </w:r>
      <w:r w:rsidR="00653741" w:rsidRPr="00A726B7">
        <w:t xml:space="preserve">teacher's capacity, student transition </w:t>
      </w:r>
      <w:r w:rsidRPr="00A726B7">
        <w:t xml:space="preserve">was predicted to increase </w:t>
      </w:r>
      <w:r w:rsidR="00653741">
        <w:t>at a rate of</w:t>
      </w:r>
      <w:r w:rsidRPr="00A726B7">
        <w:t xml:space="preserve"> </w:t>
      </w:r>
      <w:r w:rsidR="00653741">
        <w:t>0.479</w:t>
      </w:r>
      <w:r w:rsidRPr="00A726B7">
        <w:t xml:space="preserve"> units. This relationship was </w:t>
      </w:r>
      <w:r w:rsidRPr="00A726B7">
        <w:rPr>
          <w:b/>
          <w:bCs/>
        </w:rPr>
        <w:t>s</w:t>
      </w:r>
      <w:r w:rsidRPr="00653741">
        <w:t xml:space="preserve">tatistically significant (t = </w:t>
      </w:r>
      <w:r w:rsidR="00653741">
        <w:t>6.027</w:t>
      </w:r>
      <w:r w:rsidRPr="00653741">
        <w:t>, p &lt; .001).</w:t>
      </w:r>
      <w:r w:rsidRPr="00A726B7">
        <w:t xml:space="preserve"> The standardized coefficient (beta) was 0.487, suggesting a moderate positive effect.</w:t>
      </w:r>
      <w:r w:rsidR="00653741">
        <w:t xml:space="preserve"> Since p-value was less than 0.05, the </w:t>
      </w:r>
      <w:r w:rsidRPr="00A726B7">
        <w:t xml:space="preserve">null hypothesis </w:t>
      </w:r>
      <w:r w:rsidR="00653741">
        <w:t xml:space="preserve">was rejected to imply </w:t>
      </w:r>
      <w:r w:rsidR="00CC1FF0">
        <w:t>that teacher’s</w:t>
      </w:r>
      <w:r w:rsidR="00CC1FF0" w:rsidRPr="00CC1FF0">
        <w:t xml:space="preserve"> capacity significant</w:t>
      </w:r>
      <w:r w:rsidR="00CC1FF0">
        <w:t>ly</w:t>
      </w:r>
      <w:r w:rsidR="00CC1FF0" w:rsidRPr="00CC1FF0">
        <w:t xml:space="preserve"> </w:t>
      </w:r>
      <w:r w:rsidR="00CC1FF0">
        <w:t>a</w:t>
      </w:r>
      <w:r w:rsidR="00CC1FF0" w:rsidRPr="00CC1FF0">
        <w:t>ffect</w:t>
      </w:r>
      <w:r w:rsidR="00CC1FF0">
        <w:t>s</w:t>
      </w:r>
      <w:r w:rsidR="00CC1FF0" w:rsidRPr="00CC1FF0">
        <w:t xml:space="preserve"> learners during transition to junior school in Lagdera Sub-County</w:t>
      </w:r>
      <w:r w:rsidR="00CC1FF0">
        <w:t xml:space="preserve">. </w:t>
      </w:r>
      <w:r w:rsidRPr="00A726B7">
        <w:t>The results indicate that Teacher's Capacity significantly predicts student transition in Lagdera Sub-County, and the relationship is positive, suggesting that higher teacher capacity is associated with better student transition outcomes.</w:t>
      </w:r>
    </w:p>
    <w:p w14:paraId="2EA83B6A" w14:textId="16C049A5" w:rsidR="00A726B7" w:rsidRPr="00A726B7" w:rsidRDefault="00A726B7" w:rsidP="00C02324">
      <w:pPr>
        <w:spacing w:after="0" w:line="240" w:lineRule="auto"/>
      </w:pPr>
      <w:r w:rsidRPr="00A726B7">
        <w:t>This robust correlation indicates that as teacher capacity increases or improves, so does the successful transition of students to junior school in Lagdera Sub-County.</w:t>
      </w:r>
      <w:r w:rsidR="00CC1FF0">
        <w:t xml:space="preserve"> </w:t>
      </w:r>
      <w:r w:rsidRPr="00A726B7">
        <w:t>Furthermore, the regression analysis provides a more detailed understanding of this relationship</w:t>
      </w:r>
      <w:r w:rsidR="00CC1FF0">
        <w:t xml:space="preserve">. </w:t>
      </w:r>
      <w:r w:rsidRPr="00A726B7">
        <w:t xml:space="preserve"> This finding is central to understanding how to enhance teaching quality and ultimately learner outcomes in the region.</w:t>
      </w:r>
    </w:p>
    <w:p w14:paraId="06FC0B35" w14:textId="3970B09E" w:rsidR="00A726B7" w:rsidRPr="00A726B7" w:rsidRDefault="00CC1FF0" w:rsidP="00C02324">
      <w:pPr>
        <w:spacing w:after="0" w:line="240" w:lineRule="auto"/>
      </w:pPr>
      <w:r>
        <w:rPr>
          <w:b/>
          <w:bCs/>
        </w:rPr>
        <w:t>9</w:t>
      </w:r>
      <w:r w:rsidR="00A726B7" w:rsidRPr="00A726B7">
        <w:rPr>
          <w:b/>
          <w:bCs/>
        </w:rPr>
        <w:t>. Discussions</w:t>
      </w:r>
    </w:p>
    <w:p w14:paraId="0E469E7D" w14:textId="77777777" w:rsidR="00A726B7" w:rsidRPr="00A726B7" w:rsidRDefault="00A726B7" w:rsidP="00C02324">
      <w:pPr>
        <w:spacing w:after="0" w:line="240" w:lineRule="auto"/>
      </w:pPr>
      <w:r w:rsidRPr="00A726B7">
        <w:t xml:space="preserve">The findings of this study reveal </w:t>
      </w:r>
      <w:r w:rsidRPr="00CC1FF0">
        <w:t>a statistically significant positive relationship between Teacher Capacity and student transition (p &lt; .001).</w:t>
      </w:r>
      <w:r w:rsidRPr="00A726B7">
        <w:t xml:space="preserve"> This finding provides strong evidence for the rejection of the null hypothesis, indicating that higher teacher capacity is significantly associated with more successful student transition from primary to junior school in Lagdera Sub-County. This aligns with existing literature emphasizing the pivotal role of teacher quality in educational outcomes (Darling-Hammond, 2017).</w:t>
      </w:r>
    </w:p>
    <w:p w14:paraId="463AD7A8" w14:textId="2C7EECBD" w:rsidR="00A726B7" w:rsidRPr="00A726B7" w:rsidRDefault="00A726B7" w:rsidP="00C02324">
      <w:pPr>
        <w:spacing w:after="0" w:line="240" w:lineRule="auto"/>
      </w:pPr>
      <w:r w:rsidRPr="00A726B7">
        <w:t xml:space="preserve">Teacher capacity, often encompassing pedagogical skills, subject matter expertise, classroom management, and the ability to provide socio-emotional support, is a crucial component of the school microsystem within Bronfenbrenner's Ecological Systems Theory (Bronfenbrenner, 1979). Teachers are key interaction partners for students and significantly shape their daily school experiences. The magnitude of the relationship observed in this study, with Teacher Capacity explaining </w:t>
      </w:r>
      <w:r w:rsidR="003F358F">
        <w:t>21.84%</w:t>
      </w:r>
      <w:r w:rsidRPr="00A726B7">
        <w:t xml:space="preserve"> of the variance in student transition and having a standardized beta coefficient of 0.487, suggests it plays a substantial and impactful role. This finding resonates with extensive literature highlighting the importance of teacher competencies for student achievement and development (Sanders &amp; Rivers, 1996; Hanushek et al., 1998).</w:t>
      </w:r>
    </w:p>
    <w:p w14:paraId="5A70355A" w14:textId="52D8DE06" w:rsidR="00A726B7" w:rsidRPr="00A726B7" w:rsidRDefault="00A726B7" w:rsidP="00C02324">
      <w:pPr>
        <w:spacing w:after="0" w:line="240" w:lineRule="auto"/>
      </w:pPr>
      <w:r w:rsidRPr="00A726B7">
        <w:lastRenderedPageBreak/>
        <w:t>A teacher's ability to effectively teach, identify and support struggling students, create a positive and engaging classroom environment, and understand the specific challenges of the transition period can significantly ease students' adjustment. For example, teachers skilled in formative assessment can better monitor student understanding and provide targeted support. Those proficient in classroom management create secure and orderly learning environments, reducing anxiety for transitioning students. Furthermore, teachers with strong socio-emotional competencies can provide necessary guidance and mentorship, which are crucial during a period of significant change and vulnerability for young learners.</w:t>
      </w:r>
    </w:p>
    <w:p w14:paraId="1DBB9810" w14:textId="77777777" w:rsidR="00A726B7" w:rsidRPr="00A726B7" w:rsidRDefault="00A726B7" w:rsidP="00C02324">
      <w:pPr>
        <w:spacing w:after="0" w:line="240" w:lineRule="auto"/>
      </w:pPr>
      <w:r w:rsidRPr="00A726B7">
        <w:t>In the specific context of Lagdera Sub-County, a region characterized by socio-economic and infrastructural challenges, the importance of teacher capacity becomes even more pronounced. Where resources may be limited and external support systems less robust, highly capable teachers can serve as critical anchors for students navigating the transition. Their adaptability, resilience, and commitment can mitigate some of the environmental disadvantages. The high mean score for perceived teacher capacity (Mean = 3.557) suggests that while teachers are generally perceived to be capable, further targeted professional development could be highly beneficial. Given potential resource constraints, investing in improving teacher capacity might be a particularly cost-effective strategy for enhancing transition outcomes for students in Lagdera, leading to more sustainable educational improvements. This approach also aligns with Schlossberg's Transition Theory (Schlossberg, 1995), which emphasizes that coping resources, including personal characteristics and support, significantly influence an individual's ability to navigate transitions successfully. Enhanced teacher capacity directly contributes to such coping resources for students.</w:t>
      </w:r>
    </w:p>
    <w:p w14:paraId="40C55389" w14:textId="184799FC" w:rsidR="00A726B7" w:rsidRPr="00A726B7" w:rsidRDefault="00A726B7" w:rsidP="00C02324">
      <w:pPr>
        <w:spacing w:after="0" w:line="240" w:lineRule="auto"/>
      </w:pPr>
      <w:r w:rsidRPr="00A726B7">
        <w:rPr>
          <w:b/>
          <w:bCs/>
        </w:rPr>
        <w:t>1</w:t>
      </w:r>
      <w:r w:rsidR="00CC1FF0">
        <w:rPr>
          <w:b/>
          <w:bCs/>
        </w:rPr>
        <w:t>0</w:t>
      </w:r>
      <w:r w:rsidRPr="00A726B7">
        <w:rPr>
          <w:b/>
          <w:bCs/>
        </w:rPr>
        <w:t>. Conclusions</w:t>
      </w:r>
      <w:r w:rsidR="00CC1FF0">
        <w:rPr>
          <w:b/>
          <w:bCs/>
        </w:rPr>
        <w:t xml:space="preserve"> and </w:t>
      </w:r>
      <w:r w:rsidR="00CC1FF0" w:rsidRPr="00A726B7">
        <w:rPr>
          <w:b/>
          <w:bCs/>
        </w:rPr>
        <w:t>Recommendations</w:t>
      </w:r>
    </w:p>
    <w:p w14:paraId="6A3C8F0D" w14:textId="0048301A" w:rsidR="00A726B7" w:rsidRPr="00A726B7" w:rsidRDefault="00CC1FF0" w:rsidP="00C02324">
      <w:pPr>
        <w:spacing w:after="0" w:line="240" w:lineRule="auto"/>
      </w:pPr>
      <w:r>
        <w:rPr>
          <w:b/>
          <w:bCs/>
        </w:rPr>
        <w:t xml:space="preserve">10.1 </w:t>
      </w:r>
      <w:r w:rsidRPr="00A726B7">
        <w:rPr>
          <w:b/>
          <w:bCs/>
        </w:rPr>
        <w:t>Conclusion</w:t>
      </w:r>
      <w:r>
        <w:rPr>
          <w:b/>
          <w:bCs/>
        </w:rPr>
        <w:t>s</w:t>
      </w:r>
    </w:p>
    <w:p w14:paraId="7450ED4E" w14:textId="2120ACDB" w:rsidR="00A726B7" w:rsidRPr="00A726B7" w:rsidRDefault="00CC1FF0" w:rsidP="00C02324">
      <w:pPr>
        <w:spacing w:after="0" w:line="240" w:lineRule="auto"/>
      </w:pPr>
      <w:r w:rsidRPr="00A726B7">
        <w:t xml:space="preserve">The study revealed a </w:t>
      </w:r>
      <w:r w:rsidRPr="00A726B7">
        <w:rPr>
          <w:b/>
          <w:bCs/>
        </w:rPr>
        <w:t xml:space="preserve">statistically significant positive relationship between Teacher Capacity and </w:t>
      </w:r>
      <w:r w:rsidRPr="00CC1FF0">
        <w:rPr>
          <w:b/>
          <w:bCs/>
        </w:rPr>
        <w:t>transition to junior school in Lagdera Sub-County</w:t>
      </w:r>
      <w:r w:rsidRPr="00A726B7">
        <w:t xml:space="preserve">. This robust finding indicates that higher teacher capacity is consistently associated with better student transition outcomes. </w:t>
      </w:r>
      <w:r w:rsidR="00A726B7" w:rsidRPr="00A726B7">
        <w:t xml:space="preserve">Based on the compelling findings, it is concluded that </w:t>
      </w:r>
      <w:r w:rsidR="00A726B7" w:rsidRPr="00A726B7">
        <w:rPr>
          <w:b/>
          <w:bCs/>
        </w:rPr>
        <w:t>teacher capacity plays a significant and positive role in improving student transition strategies in primary schools in Lagdera Sub-County, Garissa County</w:t>
      </w:r>
      <w:r w:rsidR="00A726B7" w:rsidRPr="00A726B7">
        <w:t xml:space="preserve">. </w:t>
      </w:r>
      <w:r>
        <w:t xml:space="preserve"> </w:t>
      </w:r>
      <w:r w:rsidR="00A726B7" w:rsidRPr="00A726B7">
        <w:t>The study’s findings underscore that enhancing teacher competencies and retention in underserved areas is fundamental to achieving educational equity and improving student outcomes under the Competency-Based Curriculum (CBC) in Kenya. Ultimately, the consistent positive influence of teacher capacity established in this study provides strong evidence that investments in teacher development are crucial for fostering successful educational pathways for students in regions facing systemic challenges.</w:t>
      </w:r>
    </w:p>
    <w:p w14:paraId="5FACC989" w14:textId="7044C7EC" w:rsidR="00A726B7" w:rsidRPr="00A726B7" w:rsidRDefault="00CC1FF0" w:rsidP="00C02324">
      <w:pPr>
        <w:spacing w:after="0" w:line="240" w:lineRule="auto"/>
      </w:pPr>
      <w:r>
        <w:rPr>
          <w:b/>
          <w:bCs/>
        </w:rPr>
        <w:t>10.2</w:t>
      </w:r>
      <w:r w:rsidR="00A726B7" w:rsidRPr="00A726B7">
        <w:rPr>
          <w:b/>
          <w:bCs/>
        </w:rPr>
        <w:t>. Recommendations for Policy and Practice</w:t>
      </w:r>
    </w:p>
    <w:p w14:paraId="02BC84E2" w14:textId="77777777" w:rsidR="00A726B7" w:rsidRPr="00A726B7" w:rsidRDefault="00A726B7" w:rsidP="00C02324">
      <w:pPr>
        <w:spacing w:after="0" w:line="240" w:lineRule="auto"/>
      </w:pPr>
      <w:r w:rsidRPr="00A726B7">
        <w:t>Based on the compelling findings of this study and in consideration of the specific context of Lagdera Sub-County, the following recommendations are put forth for education stakeholders, particularly the Ministry of Education and the Teachers Service Commission (TSC), to enhance the relationship between teacher capacity and student transition:</w:t>
      </w:r>
    </w:p>
    <w:p w14:paraId="15428C19" w14:textId="77777777" w:rsidR="00A726B7" w:rsidRPr="00A726B7" w:rsidRDefault="00A726B7" w:rsidP="00CC1FF0">
      <w:pPr>
        <w:spacing w:after="0" w:line="240" w:lineRule="auto"/>
      </w:pPr>
      <w:r w:rsidRPr="00A726B7">
        <w:rPr>
          <w:b/>
          <w:bCs/>
        </w:rPr>
        <w:t>Prioritize Comprehensive and Well-Structured Teacher Professional Development Programs for Transition Support:</w:t>
      </w:r>
      <w:r w:rsidRPr="00A726B7">
        <w:t xml:space="preserve"> Given the significant positive relationship and the relatively large effect size of Teacher Capacity on student transition, it is recommended that educational stakeholders in Lagdera Sub-County prioritize investment in teacher training and professional development programs. These programs must be explicitly designed not only to enhance subject knowledge and general pedagogy but also to equip teachers with specific skills and knowledge needed to support students during the transition from primary to junior school. This includes training on:</w:t>
      </w:r>
    </w:p>
    <w:p w14:paraId="381B4FC8" w14:textId="53EF95D1" w:rsidR="00A726B7" w:rsidRPr="00A726B7" w:rsidRDefault="00A726B7" w:rsidP="00C02324">
      <w:pPr>
        <w:spacing w:after="0" w:line="240" w:lineRule="auto"/>
      </w:pPr>
      <w:r w:rsidRPr="00A726B7">
        <w:rPr>
          <w:b/>
          <w:bCs/>
        </w:rPr>
        <w:lastRenderedPageBreak/>
        <w:t>1</w:t>
      </w:r>
      <w:r w:rsidR="005922F8">
        <w:rPr>
          <w:b/>
          <w:bCs/>
        </w:rPr>
        <w:t>0.3</w:t>
      </w:r>
      <w:r w:rsidR="00CC1FF0">
        <w:rPr>
          <w:b/>
          <w:bCs/>
        </w:rPr>
        <w:t>.</w:t>
      </w:r>
      <w:r w:rsidRPr="00A726B7">
        <w:rPr>
          <w:b/>
          <w:bCs/>
        </w:rPr>
        <w:t xml:space="preserve"> Recommendations for Further Studies</w:t>
      </w:r>
    </w:p>
    <w:p w14:paraId="0AD08234" w14:textId="77777777" w:rsidR="00A726B7" w:rsidRPr="00A726B7" w:rsidRDefault="00A726B7" w:rsidP="00C02324">
      <w:pPr>
        <w:spacing w:after="0" w:line="240" w:lineRule="auto"/>
      </w:pPr>
      <w:r w:rsidRPr="00A726B7">
        <w:t>Based on the scope and findings of this study, the following areas are recommended for further research to deepen understanding of educational innovation and student transition in similar contexts:</w:t>
      </w:r>
    </w:p>
    <w:p w14:paraId="7C1FB07F" w14:textId="77777777" w:rsidR="00A726B7" w:rsidRPr="00A726B7" w:rsidRDefault="00A726B7" w:rsidP="00CC1FF0">
      <w:pPr>
        <w:spacing w:after="0" w:line="240" w:lineRule="auto"/>
      </w:pPr>
      <w:r w:rsidRPr="00A726B7">
        <w:rPr>
          <w:b/>
          <w:bCs/>
        </w:rPr>
        <w:t>Investigate the Specific Components of Teacher Capacity:</w:t>
      </w:r>
      <w:r w:rsidRPr="00A726B7">
        <w:t xml:space="preserve"> While this study confirmed the overall positive relationship, future research could delve deeper into which specific elements of teacher capacity (e.g., subject mastery, pedagogical skills, socio-emotional support, classroom management, ICT integration) have the strongest impact on student transition outcomes. This could help tailor professional development programs more precisely.</w:t>
      </w:r>
    </w:p>
    <w:p w14:paraId="4CAC70BA" w14:textId="23A13F13" w:rsidR="00A726B7" w:rsidRDefault="00A726B7" w:rsidP="00C02324">
      <w:pPr>
        <w:spacing w:after="0" w:line="240" w:lineRule="auto"/>
      </w:pPr>
    </w:p>
    <w:p w14:paraId="3259213A" w14:textId="77777777" w:rsidR="002445D2" w:rsidRPr="005922F8" w:rsidRDefault="002445D2" w:rsidP="002445D2">
      <w:pPr>
        <w:rPr>
          <w:b/>
          <w:highlight w:val="yellow"/>
        </w:rPr>
      </w:pPr>
      <w:r w:rsidRPr="005922F8">
        <w:rPr>
          <w:b/>
          <w:highlight w:val="yellow"/>
        </w:rPr>
        <w:t>Disclaimer (Artificial intelligence)</w:t>
      </w:r>
    </w:p>
    <w:p w14:paraId="205C8F68" w14:textId="77777777" w:rsidR="002445D2" w:rsidRDefault="002445D2" w:rsidP="002445D2">
      <w:pPr>
        <w:rPr>
          <w:highlight w:val="yellow"/>
        </w:rPr>
      </w:pPr>
      <w:r>
        <w:rPr>
          <w:highlight w:val="yellow"/>
        </w:rPr>
        <w:t xml:space="preserve">Option 1: </w:t>
      </w:r>
    </w:p>
    <w:p w14:paraId="19F63A63" w14:textId="77777777" w:rsidR="002445D2" w:rsidRDefault="002445D2" w:rsidP="002445D2">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62AA4E2" w14:textId="77777777" w:rsidR="002445D2" w:rsidRDefault="002445D2" w:rsidP="002445D2">
      <w:pPr>
        <w:rPr>
          <w:highlight w:val="yellow"/>
        </w:rPr>
      </w:pPr>
      <w:r>
        <w:rPr>
          <w:highlight w:val="yellow"/>
        </w:rPr>
        <w:t xml:space="preserve">Option 2: </w:t>
      </w:r>
    </w:p>
    <w:p w14:paraId="7D043F6D" w14:textId="77777777" w:rsidR="002445D2" w:rsidRDefault="002445D2" w:rsidP="002445D2">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0223D2" w14:textId="77777777" w:rsidR="002445D2" w:rsidRDefault="002445D2" w:rsidP="002445D2">
      <w:pPr>
        <w:rPr>
          <w:highlight w:val="yellow"/>
        </w:rPr>
      </w:pPr>
      <w:r>
        <w:rPr>
          <w:highlight w:val="yellow"/>
        </w:rPr>
        <w:t>Details of the AI usage are given below:</w:t>
      </w:r>
    </w:p>
    <w:p w14:paraId="1825066F" w14:textId="77777777" w:rsidR="002445D2" w:rsidRDefault="002445D2" w:rsidP="002445D2">
      <w:pPr>
        <w:rPr>
          <w:highlight w:val="yellow"/>
        </w:rPr>
      </w:pPr>
      <w:r>
        <w:rPr>
          <w:highlight w:val="yellow"/>
        </w:rPr>
        <w:t>1.</w:t>
      </w:r>
    </w:p>
    <w:p w14:paraId="5F748D50" w14:textId="77777777" w:rsidR="002445D2" w:rsidRDefault="002445D2" w:rsidP="002445D2">
      <w:pPr>
        <w:rPr>
          <w:highlight w:val="yellow"/>
        </w:rPr>
      </w:pPr>
      <w:r>
        <w:rPr>
          <w:highlight w:val="yellow"/>
        </w:rPr>
        <w:t>2.</w:t>
      </w:r>
    </w:p>
    <w:p w14:paraId="155E30B9" w14:textId="77777777" w:rsidR="002445D2" w:rsidRDefault="002445D2" w:rsidP="002445D2">
      <w:r>
        <w:rPr>
          <w:highlight w:val="yellow"/>
        </w:rPr>
        <w:t>3.</w:t>
      </w:r>
    </w:p>
    <w:p w14:paraId="7BFD7FDC" w14:textId="77777777" w:rsidR="002445D2" w:rsidRPr="00A726B7" w:rsidRDefault="002445D2" w:rsidP="00C02324">
      <w:pPr>
        <w:spacing w:after="0" w:line="240" w:lineRule="auto"/>
      </w:pPr>
    </w:p>
    <w:p w14:paraId="0E6D64D8" w14:textId="77777777" w:rsidR="00A726B7" w:rsidRPr="00A726B7" w:rsidRDefault="00A726B7" w:rsidP="00C02324">
      <w:pPr>
        <w:spacing w:after="0" w:line="240" w:lineRule="auto"/>
      </w:pPr>
      <w:r w:rsidRPr="00A726B7">
        <w:rPr>
          <w:b/>
          <w:bCs/>
        </w:rPr>
        <w:t>REFERENCES</w:t>
      </w:r>
    </w:p>
    <w:p w14:paraId="15C25AB5" w14:textId="77777777" w:rsidR="00A726B7" w:rsidRPr="00A726B7" w:rsidRDefault="00A726B7" w:rsidP="00C02324">
      <w:pPr>
        <w:spacing w:after="0" w:line="240" w:lineRule="auto"/>
        <w:ind w:hanging="720"/>
      </w:pPr>
      <w:proofErr w:type="spellStart"/>
      <w:r w:rsidRPr="00A726B7">
        <w:lastRenderedPageBreak/>
        <w:t>Abadzi</w:t>
      </w:r>
      <w:proofErr w:type="spellEnd"/>
      <w:r w:rsidRPr="00A726B7">
        <w:t xml:space="preserve">, H. (2006). </w:t>
      </w:r>
      <w:r w:rsidRPr="00A726B7">
        <w:rPr>
          <w:i/>
          <w:iCs/>
        </w:rPr>
        <w:t>Efficient learning for the poor: Insights from the frontier of cognitive neuroscience</w:t>
      </w:r>
      <w:r w:rsidRPr="00A726B7">
        <w:t>. Washington, D.C World Bank.</w:t>
      </w:r>
    </w:p>
    <w:p w14:paraId="5C1E99FC" w14:textId="77777777" w:rsidR="00A726B7" w:rsidRPr="00A726B7" w:rsidRDefault="00A726B7" w:rsidP="00C02324">
      <w:pPr>
        <w:spacing w:after="0" w:line="240" w:lineRule="auto"/>
        <w:ind w:hanging="720"/>
      </w:pPr>
      <w:r w:rsidRPr="00A726B7">
        <w:t xml:space="preserve">Aden, A. A., </w:t>
      </w:r>
      <w:proofErr w:type="spellStart"/>
      <w:r w:rsidRPr="00A726B7">
        <w:t>Machyo</w:t>
      </w:r>
      <w:proofErr w:type="spellEnd"/>
      <w:r w:rsidRPr="00A726B7">
        <w:t xml:space="preserve">, R., &amp; Owuor, P. F. (2023). Predictors of student transition to junior secondary school: A case of public primary schools in Garissa Township Sub-County. </w:t>
      </w:r>
      <w:r w:rsidRPr="00A726B7">
        <w:rPr>
          <w:i/>
          <w:iCs/>
        </w:rPr>
        <w:t>Scholarly Research Journal for Interdisciplinary Studies, 11</w:t>
      </w:r>
      <w:r w:rsidRPr="00A726B7">
        <w:t>(65).</w:t>
      </w:r>
    </w:p>
    <w:p w14:paraId="1D063649" w14:textId="77777777" w:rsidR="00A726B7" w:rsidRPr="00A726B7" w:rsidRDefault="00A726B7" w:rsidP="00C02324">
      <w:pPr>
        <w:spacing w:after="0" w:line="240" w:lineRule="auto"/>
        <w:ind w:hanging="720"/>
      </w:pPr>
      <w:r w:rsidRPr="00A726B7">
        <w:t xml:space="preserve">Alimi, O. S., </w:t>
      </w:r>
      <w:proofErr w:type="spellStart"/>
      <w:r w:rsidRPr="00A726B7">
        <w:t>Ehinola</w:t>
      </w:r>
      <w:proofErr w:type="spellEnd"/>
      <w:r w:rsidRPr="00A726B7">
        <w:t xml:space="preserve">, G. B., &amp; Alabi, F. O. (2012). School Types, Facilities and Academic Performance of Students in Senior Junior schools </w:t>
      </w:r>
      <w:proofErr w:type="spellStart"/>
      <w:r w:rsidRPr="00A726B7">
        <w:t>Schools</w:t>
      </w:r>
      <w:proofErr w:type="spellEnd"/>
      <w:r w:rsidRPr="00A726B7">
        <w:t xml:space="preserve"> in Ondo State, Nigeria. </w:t>
      </w:r>
      <w:r w:rsidRPr="00A726B7">
        <w:rPr>
          <w:i/>
          <w:iCs/>
        </w:rPr>
        <w:t>International Education Studies, 5</w:t>
      </w:r>
      <w:r w:rsidRPr="00A726B7">
        <w:t>(3), 44-48.</w:t>
      </w:r>
    </w:p>
    <w:p w14:paraId="125D4AEA" w14:textId="77777777" w:rsidR="00A726B7" w:rsidRPr="00A726B7" w:rsidRDefault="00A726B7" w:rsidP="00C02324">
      <w:pPr>
        <w:spacing w:after="0" w:line="240" w:lineRule="auto"/>
        <w:ind w:hanging="720"/>
      </w:pPr>
      <w:r w:rsidRPr="00A726B7">
        <w:t xml:space="preserve">Anderson, L. W., Jacobs, J., Schramm, S., &amp; Splittgerber, F. (2000). School transitions: Beginning of the end or a new beginning? </w:t>
      </w:r>
      <w:r w:rsidRPr="00A726B7">
        <w:rPr>
          <w:i/>
          <w:iCs/>
        </w:rPr>
        <w:t>International Journal of Educational Research, 33</w:t>
      </w:r>
      <w:r w:rsidRPr="00A726B7">
        <w:t>, 325–339.</w:t>
      </w:r>
    </w:p>
    <w:p w14:paraId="200FB5EC" w14:textId="77777777" w:rsidR="00A726B7" w:rsidRPr="00A726B7" w:rsidRDefault="00A726B7" w:rsidP="00C02324">
      <w:pPr>
        <w:spacing w:after="0" w:line="240" w:lineRule="auto"/>
        <w:ind w:hanging="720"/>
      </w:pPr>
      <w:r w:rsidRPr="00A726B7">
        <w:t>Arnold, C, Bartlett, K., Gowani, S &amp; Merali. R. (2006). Is everybody ready? Readiness, transition and continuity. Reflections and moving forward. EFA Global monitoring report. Paris: UNESCO Publishing.</w:t>
      </w:r>
    </w:p>
    <w:p w14:paraId="6F3505B5" w14:textId="77777777" w:rsidR="00A726B7" w:rsidRPr="00A726B7" w:rsidRDefault="00A726B7" w:rsidP="00C02324">
      <w:pPr>
        <w:spacing w:after="0" w:line="240" w:lineRule="auto"/>
        <w:ind w:hanging="720"/>
      </w:pPr>
      <w:r w:rsidRPr="00A726B7">
        <w:t xml:space="preserve">Baruch, Y., &amp; Holtom, B. C. (2008). Survey response rate levels and trends in organizational research. </w:t>
      </w:r>
      <w:r w:rsidRPr="00A726B7">
        <w:rPr>
          <w:i/>
          <w:iCs/>
        </w:rPr>
        <w:t>Human Relations, 61</w:t>
      </w:r>
      <w:r w:rsidRPr="00A726B7">
        <w:t>(8), 1139-1160.</w:t>
      </w:r>
    </w:p>
    <w:p w14:paraId="6028E5CA" w14:textId="77777777" w:rsidR="00A726B7" w:rsidRPr="00A726B7" w:rsidRDefault="00A726B7" w:rsidP="00C02324">
      <w:pPr>
        <w:spacing w:after="0" w:line="240" w:lineRule="auto"/>
        <w:ind w:hanging="720"/>
      </w:pPr>
      <w:r w:rsidRPr="00A726B7">
        <w:t xml:space="preserve">Battaglia, M. P. (2008). </w:t>
      </w:r>
      <w:r w:rsidRPr="00A726B7">
        <w:rPr>
          <w:i/>
          <w:iCs/>
        </w:rPr>
        <w:t>Encyclopedia of Survey Research Methods</w:t>
      </w:r>
      <w:r w:rsidRPr="00A726B7">
        <w:t>. Sage Publications.</w:t>
      </w:r>
    </w:p>
    <w:p w14:paraId="1C046C19" w14:textId="77777777" w:rsidR="00A726B7" w:rsidRPr="00A726B7" w:rsidRDefault="00A726B7" w:rsidP="00C02324">
      <w:pPr>
        <w:spacing w:after="0" w:line="240" w:lineRule="auto"/>
        <w:ind w:hanging="720"/>
      </w:pPr>
      <w:r w:rsidRPr="00A726B7">
        <w:t xml:space="preserve">Bennett, J. (2006). New policy conclusions from Starting Strong II: An update on the OECD early childhood policy reviews. </w:t>
      </w:r>
      <w:r w:rsidRPr="00A726B7">
        <w:rPr>
          <w:i/>
          <w:iCs/>
        </w:rPr>
        <w:t>European Early Childhood Education Research Journal, 14</w:t>
      </w:r>
      <w:r w:rsidRPr="00A726B7">
        <w:t>(2), 141–156.</w:t>
      </w:r>
    </w:p>
    <w:p w14:paraId="70B3BC44" w14:textId="77777777" w:rsidR="00A726B7" w:rsidRPr="00A726B7" w:rsidRDefault="00A726B7" w:rsidP="00C02324">
      <w:pPr>
        <w:spacing w:after="0" w:line="240" w:lineRule="auto"/>
        <w:ind w:hanging="720"/>
      </w:pPr>
      <w:r w:rsidRPr="00A726B7">
        <w:t xml:space="preserve">Bryman, A. (2012). </w:t>
      </w:r>
      <w:r w:rsidRPr="00A726B7">
        <w:rPr>
          <w:i/>
          <w:iCs/>
        </w:rPr>
        <w:t>Social research methods</w:t>
      </w:r>
      <w:r w:rsidRPr="00A726B7">
        <w:t>. Oxford University Press.</w:t>
      </w:r>
    </w:p>
    <w:p w14:paraId="597C915E" w14:textId="7177B7B4" w:rsidR="00A726B7" w:rsidRDefault="00A726B7" w:rsidP="00C02324">
      <w:pPr>
        <w:spacing w:after="0" w:line="240" w:lineRule="auto"/>
        <w:ind w:hanging="720"/>
      </w:pPr>
      <w:r w:rsidRPr="00A726B7">
        <w:t xml:space="preserve">Creswell, J. W., &amp; Creswell, J. D. (2018). </w:t>
      </w:r>
      <w:r w:rsidRPr="00A726B7">
        <w:rPr>
          <w:i/>
          <w:iCs/>
        </w:rPr>
        <w:t>Research design: Qualitative, quantitative, and mixed methods approaches</w:t>
      </w:r>
      <w:r w:rsidRPr="00A726B7">
        <w:t xml:space="preserve"> (5th ed.). Sage publications.</w:t>
      </w:r>
    </w:p>
    <w:p w14:paraId="18CF6563" w14:textId="4F2CDAAB" w:rsidR="00AD156A" w:rsidRPr="00A726B7" w:rsidRDefault="00AD156A" w:rsidP="00C02324">
      <w:pPr>
        <w:spacing w:after="0" w:line="240" w:lineRule="auto"/>
        <w:ind w:hanging="720"/>
      </w:pPr>
      <w:proofErr w:type="spellStart"/>
      <w:r w:rsidRPr="00AD156A">
        <w:t>Kelchner</w:t>
      </w:r>
      <w:proofErr w:type="spellEnd"/>
      <w:r w:rsidRPr="00AD156A">
        <w:t xml:space="preserve">, V. P., Evans, K., </w:t>
      </w:r>
      <w:proofErr w:type="spellStart"/>
      <w:r w:rsidRPr="00AD156A">
        <w:t>Brendell</w:t>
      </w:r>
      <w:proofErr w:type="spellEnd"/>
      <w:r w:rsidRPr="00AD156A">
        <w:t>, K., Allen, D., Miller, C., &amp; Cooper-Haber, K. (2017). The Effect of a School-Based Transitional Support Intervention Program on Alternative School Youth's Attitudes and Behaviors. Professional Counselor, 7(2), 169-184.</w:t>
      </w:r>
    </w:p>
    <w:p w14:paraId="1AE1B8DD" w14:textId="77777777" w:rsidR="00A726B7" w:rsidRPr="00A726B7" w:rsidRDefault="00A726B7" w:rsidP="00C02324">
      <w:pPr>
        <w:spacing w:after="0" w:line="240" w:lineRule="auto"/>
        <w:ind w:hanging="720"/>
      </w:pPr>
      <w:r w:rsidRPr="00A726B7">
        <w:t xml:space="preserve">Daniel, J. (2011). </w:t>
      </w:r>
      <w:r w:rsidRPr="00A726B7">
        <w:rPr>
          <w:i/>
          <w:iCs/>
        </w:rPr>
        <w:t>Sampling essentials: Practical guidelines for making sampling choices</w:t>
      </w:r>
      <w:r w:rsidRPr="00A726B7">
        <w:t>. Sage Publications.</w:t>
      </w:r>
    </w:p>
    <w:p w14:paraId="607DB779" w14:textId="77777777" w:rsidR="00A726B7" w:rsidRPr="00A726B7" w:rsidRDefault="00A726B7" w:rsidP="00C02324">
      <w:pPr>
        <w:spacing w:after="0" w:line="240" w:lineRule="auto"/>
        <w:ind w:hanging="720"/>
      </w:pPr>
      <w:r w:rsidRPr="00A726B7">
        <w:t xml:space="preserve">Darling-Hammond, L. (2017). </w:t>
      </w:r>
      <w:r w:rsidRPr="00A726B7">
        <w:rPr>
          <w:i/>
          <w:iCs/>
        </w:rPr>
        <w:t>Teacher education around the world: What can we learn from international practice?</w:t>
      </w:r>
      <w:r w:rsidRPr="00A726B7">
        <w:t xml:space="preserve"> Routledge.</w:t>
      </w:r>
    </w:p>
    <w:p w14:paraId="50883984" w14:textId="77777777" w:rsidR="00A726B7" w:rsidRPr="00A726B7" w:rsidRDefault="00A726B7" w:rsidP="00C02324">
      <w:pPr>
        <w:spacing w:after="0" w:line="240" w:lineRule="auto"/>
        <w:ind w:hanging="720"/>
      </w:pPr>
      <w:r w:rsidRPr="00A726B7">
        <w:t>Fabian, H. (2007). Outcomes of good practice in transition Processes for children entering primary school, Working Paper 42. Bernard Van Leer Foundation: The Hague, the Netherland.</w:t>
      </w:r>
    </w:p>
    <w:p w14:paraId="1513506D" w14:textId="77777777" w:rsidR="00A726B7" w:rsidRPr="00A726B7" w:rsidRDefault="00A726B7" w:rsidP="00C02324">
      <w:pPr>
        <w:spacing w:after="0" w:line="240" w:lineRule="auto"/>
        <w:ind w:hanging="720"/>
      </w:pPr>
      <w:r w:rsidRPr="00A726B7">
        <w:t xml:space="preserve">Fowler, F. J. (2014). </w:t>
      </w:r>
      <w:r w:rsidRPr="00A726B7">
        <w:rPr>
          <w:i/>
          <w:iCs/>
        </w:rPr>
        <w:t>Survey research methods</w:t>
      </w:r>
      <w:r w:rsidRPr="00A726B7">
        <w:t xml:space="preserve"> (5th ed.). Sage publications.</w:t>
      </w:r>
    </w:p>
    <w:p w14:paraId="2101266A" w14:textId="77777777" w:rsidR="00A726B7" w:rsidRPr="00A726B7" w:rsidRDefault="00A726B7" w:rsidP="00C02324">
      <w:pPr>
        <w:spacing w:after="0" w:line="240" w:lineRule="auto"/>
        <w:ind w:hanging="720"/>
      </w:pPr>
      <w:r w:rsidRPr="00A726B7">
        <w:t xml:space="preserve">Fraenkel, J. R., Wallen, N. E., &amp; Hyun, H. H. (2019). </w:t>
      </w:r>
      <w:r w:rsidRPr="00A726B7">
        <w:rPr>
          <w:i/>
          <w:iCs/>
        </w:rPr>
        <w:t>How to design and evaluate research in education</w:t>
      </w:r>
      <w:r w:rsidRPr="00A726B7">
        <w:t>. McGraw-Hill Education.</w:t>
      </w:r>
    </w:p>
    <w:p w14:paraId="5056E454" w14:textId="77777777" w:rsidR="00A726B7" w:rsidRPr="00A726B7" w:rsidRDefault="00A726B7" w:rsidP="00C02324">
      <w:pPr>
        <w:spacing w:after="0" w:line="240" w:lineRule="auto"/>
        <w:ind w:hanging="720"/>
      </w:pPr>
      <w:r w:rsidRPr="00A726B7">
        <w:t>Government of Kenya. (2018). Garissa County Integrated Development Plan 2018-2022.</w:t>
      </w:r>
    </w:p>
    <w:p w14:paraId="30825511" w14:textId="77777777" w:rsidR="00A726B7" w:rsidRPr="00A726B7" w:rsidRDefault="00A726B7" w:rsidP="00C02324">
      <w:pPr>
        <w:spacing w:after="0" w:line="240" w:lineRule="auto"/>
        <w:ind w:hanging="720"/>
      </w:pPr>
      <w:proofErr w:type="spellStart"/>
      <w:r w:rsidRPr="00A726B7">
        <w:t>Hanewald</w:t>
      </w:r>
      <w:proofErr w:type="spellEnd"/>
      <w:r w:rsidRPr="00A726B7">
        <w:t xml:space="preserve">, R. (2013). Transition between primary and junior </w:t>
      </w:r>
      <w:proofErr w:type="gramStart"/>
      <w:r w:rsidRPr="00A726B7">
        <w:t>schools</w:t>
      </w:r>
      <w:proofErr w:type="gramEnd"/>
      <w:r w:rsidRPr="00A726B7">
        <w:t xml:space="preserve"> school: Why it is important and how it can be supported. </w:t>
      </w:r>
      <w:r w:rsidRPr="00A726B7">
        <w:rPr>
          <w:i/>
          <w:iCs/>
        </w:rPr>
        <w:t>Australian Journal of Teacher Education, 38</w:t>
      </w:r>
      <w:r w:rsidRPr="00A726B7">
        <w:t>(1), 62–74.</w:t>
      </w:r>
    </w:p>
    <w:p w14:paraId="13062BE5" w14:textId="77777777" w:rsidR="00A726B7" w:rsidRPr="00A726B7" w:rsidRDefault="00A726B7" w:rsidP="00C02324">
      <w:pPr>
        <w:spacing w:after="0" w:line="240" w:lineRule="auto"/>
        <w:ind w:hanging="720"/>
      </w:pPr>
      <w:r w:rsidRPr="00A726B7">
        <w:t xml:space="preserve">Hanushek, E. A., Kain, J. F., &amp; Rivkin, S. G. (1998). Teachers, schools, and academic achievement. </w:t>
      </w:r>
      <w:proofErr w:type="spellStart"/>
      <w:r w:rsidRPr="00A726B7">
        <w:rPr>
          <w:i/>
          <w:iCs/>
        </w:rPr>
        <w:t>Econometrica</w:t>
      </w:r>
      <w:proofErr w:type="spellEnd"/>
      <w:r w:rsidRPr="00A726B7">
        <w:rPr>
          <w:i/>
          <w:iCs/>
        </w:rPr>
        <w:t>, 66</w:t>
      </w:r>
      <w:r w:rsidRPr="00A726B7">
        <w:t>(2), 417-458. (Note: This citation is a placeholder for a specific article from Hanushek et al. for illustration. The original source mentions Hanushek et al. (1998) without specific article details).</w:t>
      </w:r>
    </w:p>
    <w:p w14:paraId="6ECEA4F0" w14:textId="77777777" w:rsidR="00A726B7" w:rsidRPr="00A726B7" w:rsidRDefault="00A726B7" w:rsidP="00C02324">
      <w:pPr>
        <w:spacing w:after="0" w:line="240" w:lineRule="auto"/>
        <w:ind w:hanging="720"/>
      </w:pPr>
      <w:r w:rsidRPr="00A726B7">
        <w:t xml:space="preserve">Hill, A. L. (2004). Ethics education: Recommendations for an evolving discipline. </w:t>
      </w:r>
      <w:r w:rsidRPr="00A726B7">
        <w:rPr>
          <w:i/>
          <w:iCs/>
        </w:rPr>
        <w:t>Counselling and Values</w:t>
      </w:r>
      <w:r w:rsidRPr="00A726B7">
        <w:t>.</w:t>
      </w:r>
    </w:p>
    <w:p w14:paraId="089A8699" w14:textId="77777777" w:rsidR="00A726B7" w:rsidRPr="00A726B7" w:rsidRDefault="00A726B7" w:rsidP="00C02324">
      <w:pPr>
        <w:spacing w:after="0" w:line="240" w:lineRule="auto"/>
        <w:ind w:hanging="720"/>
      </w:pPr>
      <w:r w:rsidRPr="00A726B7">
        <w:t xml:space="preserve">Holmes, R. J. (2016). Sampling procedures. In </w:t>
      </w:r>
      <w:r w:rsidRPr="00A726B7">
        <w:rPr>
          <w:i/>
          <w:iCs/>
        </w:rPr>
        <w:t>Gold Ore Processing</w:t>
      </w:r>
      <w:r w:rsidRPr="00A726B7">
        <w:t xml:space="preserve"> (pp. 45–56). Elsevier.</w:t>
      </w:r>
    </w:p>
    <w:p w14:paraId="4A553A49" w14:textId="77777777" w:rsidR="004D2468" w:rsidRDefault="004D2468" w:rsidP="00C02324">
      <w:pPr>
        <w:spacing w:after="0" w:line="240" w:lineRule="auto"/>
        <w:ind w:hanging="720"/>
      </w:pPr>
      <w:r w:rsidRPr="004D2468">
        <w:lastRenderedPageBreak/>
        <w:t xml:space="preserve">Juvonen, J., Lessard, L. M., Schacter, H. L., &amp; </w:t>
      </w:r>
      <w:proofErr w:type="spellStart"/>
      <w:r w:rsidRPr="004D2468">
        <w:t>Suchilt</w:t>
      </w:r>
      <w:proofErr w:type="spellEnd"/>
      <w:r w:rsidRPr="004D2468">
        <w:t>, L. (2017). Emotional implications of weight stigma across middle school: The role of weight-based peer discrimination. Journal of Clinical Child &amp; Adolescent Psychology, 46(1), 150-158.</w:t>
      </w:r>
    </w:p>
    <w:p w14:paraId="12193943" w14:textId="1F924B08" w:rsidR="00A726B7" w:rsidRPr="00A726B7" w:rsidRDefault="00A726B7" w:rsidP="00C02324">
      <w:pPr>
        <w:spacing w:after="0" w:line="240" w:lineRule="auto"/>
        <w:ind w:hanging="720"/>
      </w:pPr>
      <w:proofErr w:type="spellStart"/>
      <w:r w:rsidRPr="00A726B7">
        <w:t>Lavrakas</w:t>
      </w:r>
      <w:proofErr w:type="spellEnd"/>
      <w:r w:rsidRPr="00A726B7">
        <w:t xml:space="preserve">, P. J. (2008). </w:t>
      </w:r>
      <w:r w:rsidRPr="00A726B7">
        <w:rPr>
          <w:i/>
          <w:iCs/>
        </w:rPr>
        <w:t>Encyclopedia of Survey Research Methods</w:t>
      </w:r>
      <w:r w:rsidRPr="00A726B7">
        <w:t>. Sage Publications.</w:t>
      </w:r>
    </w:p>
    <w:p w14:paraId="658BF533" w14:textId="77777777" w:rsidR="004D2468" w:rsidRDefault="004D2468" w:rsidP="00C02324">
      <w:pPr>
        <w:spacing w:after="0" w:line="240" w:lineRule="auto"/>
        <w:ind w:hanging="720"/>
      </w:pPr>
      <w:proofErr w:type="spellStart"/>
      <w:r w:rsidRPr="004D2468">
        <w:t>Salifu</w:t>
      </w:r>
      <w:proofErr w:type="spellEnd"/>
      <w:r w:rsidRPr="004D2468">
        <w:t xml:space="preserve">, I., Agyekum, B., &amp; </w:t>
      </w:r>
      <w:proofErr w:type="spellStart"/>
      <w:r w:rsidRPr="004D2468">
        <w:t>Nketia</w:t>
      </w:r>
      <w:proofErr w:type="spellEnd"/>
      <w:r w:rsidRPr="004D2468">
        <w:t>, D. (2024). Teacher professional development (TPD) in Ghana: constraints and solutions. Professional development in education, 1-18.</w:t>
      </w:r>
    </w:p>
    <w:p w14:paraId="2E2BCFED" w14:textId="53510079" w:rsidR="00A726B7" w:rsidRPr="00A726B7" w:rsidRDefault="00A726B7" w:rsidP="00C02324">
      <w:pPr>
        <w:spacing w:after="0" w:line="240" w:lineRule="auto"/>
        <w:ind w:hanging="720"/>
      </w:pPr>
      <w:proofErr w:type="spellStart"/>
      <w:r w:rsidRPr="00A726B7">
        <w:t>Mascareño</w:t>
      </w:r>
      <w:proofErr w:type="spellEnd"/>
      <w:r w:rsidRPr="00A726B7">
        <w:t xml:space="preserve">, M., </w:t>
      </w:r>
      <w:proofErr w:type="spellStart"/>
      <w:r w:rsidRPr="00A726B7">
        <w:t>Doolaard</w:t>
      </w:r>
      <w:proofErr w:type="spellEnd"/>
      <w:r w:rsidRPr="00A726B7">
        <w:t xml:space="preserve">, S., &amp; Bosker, R. J. (2014). Profiles of child developmental dimensions in kindergarten and the prediction of achievement in the first and second Class of primary school. </w:t>
      </w:r>
      <w:r w:rsidRPr="00A726B7">
        <w:rPr>
          <w:i/>
          <w:iCs/>
        </w:rPr>
        <w:t>Early Education and Development, 25</w:t>
      </w:r>
      <w:r w:rsidRPr="00A726B7">
        <w:t>(5), 703-722.</w:t>
      </w:r>
    </w:p>
    <w:p w14:paraId="61D48DF0" w14:textId="77777777" w:rsidR="00A726B7" w:rsidRPr="00A726B7" w:rsidRDefault="00A726B7" w:rsidP="00C02324">
      <w:pPr>
        <w:spacing w:after="0" w:line="240" w:lineRule="auto"/>
        <w:ind w:hanging="720"/>
      </w:pPr>
      <w:r w:rsidRPr="00A726B7">
        <w:t xml:space="preserve">Ministry of Education. (2023). </w:t>
      </w:r>
      <w:r w:rsidRPr="00A726B7">
        <w:rPr>
          <w:i/>
          <w:iCs/>
        </w:rPr>
        <w:t>KCPE performance report</w:t>
      </w:r>
      <w:r w:rsidRPr="00A726B7">
        <w:t>. Government of Kenya.</w:t>
      </w:r>
    </w:p>
    <w:p w14:paraId="32561E09" w14:textId="77777777" w:rsidR="00A726B7" w:rsidRPr="00A726B7" w:rsidRDefault="00A726B7" w:rsidP="00C02324">
      <w:pPr>
        <w:spacing w:after="0" w:line="240" w:lineRule="auto"/>
        <w:ind w:hanging="720"/>
      </w:pPr>
      <w:r w:rsidRPr="00A726B7">
        <w:t xml:space="preserve">Mizelle, N. B., &amp; Irvin, J. L. (2000). What the research says: Transition from middle school to high school. </w:t>
      </w:r>
      <w:r w:rsidRPr="00A726B7">
        <w:rPr>
          <w:i/>
          <w:iCs/>
        </w:rPr>
        <w:t>Middle School Journal, 31</w:t>
      </w:r>
      <w:r w:rsidRPr="00A726B7">
        <w:t>(5), 57-61.</w:t>
      </w:r>
    </w:p>
    <w:p w14:paraId="2CCAFDB0" w14:textId="77777777" w:rsidR="00A726B7" w:rsidRPr="00A726B7" w:rsidRDefault="00A726B7" w:rsidP="00C02324">
      <w:pPr>
        <w:spacing w:after="0" w:line="240" w:lineRule="auto"/>
        <w:ind w:hanging="720"/>
      </w:pPr>
      <w:r w:rsidRPr="00A726B7">
        <w:t>Mureithi, J. W. (2013). Factors influencing learners' transition from Preschool to Primary school. A case of public schools in Thika-West District, Kiambu County- Kenya. (Master's Thesis). University of Nairobi, Nairobi, Kenya.</w:t>
      </w:r>
    </w:p>
    <w:p w14:paraId="0273082E" w14:textId="77777777" w:rsidR="00A726B7" w:rsidRPr="00A726B7" w:rsidRDefault="00A726B7" w:rsidP="00C02324">
      <w:pPr>
        <w:spacing w:after="0" w:line="240" w:lineRule="auto"/>
        <w:ind w:hanging="720"/>
      </w:pPr>
      <w:r w:rsidRPr="00A726B7">
        <w:t>Mwaura, P. (2005). Preschool impact on children's readiness, continuity, and cognitive progress at preschool and beyond: A case for Madrasa Resource Centre programme in East Africa. Unpublished report to the Aga Khan Foundation, Geneva.</w:t>
      </w:r>
    </w:p>
    <w:p w14:paraId="120D8BE1" w14:textId="77777777" w:rsidR="00A726B7" w:rsidRPr="00A726B7" w:rsidRDefault="00A726B7" w:rsidP="00C02324">
      <w:pPr>
        <w:spacing w:after="0" w:line="240" w:lineRule="auto"/>
        <w:ind w:hanging="720"/>
      </w:pPr>
      <w:r w:rsidRPr="00A726B7">
        <w:t xml:space="preserve">Neuman, M. J. (2002). The wider context: An internal overview of transition issues. In H. Fabian &amp; A. W. Dunlop (Eds.). </w:t>
      </w:r>
      <w:r w:rsidRPr="00A726B7">
        <w:rPr>
          <w:i/>
          <w:iCs/>
        </w:rPr>
        <w:t>Transition in the early years: Debating continuity and progression for children in early education</w:t>
      </w:r>
      <w:r w:rsidRPr="00A726B7">
        <w:t xml:space="preserve"> (pp.8-24). London, England: Routledge Falmer.</w:t>
      </w:r>
    </w:p>
    <w:p w14:paraId="2CBBEEF0" w14:textId="77777777" w:rsidR="00A726B7" w:rsidRPr="00A726B7" w:rsidRDefault="00A726B7" w:rsidP="00C02324">
      <w:pPr>
        <w:spacing w:after="0" w:line="240" w:lineRule="auto"/>
        <w:ind w:hanging="720"/>
      </w:pPr>
      <w:r w:rsidRPr="00A726B7">
        <w:t xml:space="preserve">Neuman, M. J. (2005). Global early care and education: Challenges, response, and lessons; </w:t>
      </w:r>
      <w:r w:rsidRPr="00A726B7">
        <w:rPr>
          <w:i/>
          <w:iCs/>
        </w:rPr>
        <w:t>Phi Delta Kappa, 87</w:t>
      </w:r>
      <w:r w:rsidRPr="00A726B7">
        <w:t>(3), 88-92.</w:t>
      </w:r>
    </w:p>
    <w:p w14:paraId="40CA4082" w14:textId="0357B589" w:rsidR="00A726B7" w:rsidRDefault="00A726B7" w:rsidP="00C02324">
      <w:pPr>
        <w:spacing w:after="0" w:line="240" w:lineRule="auto"/>
        <w:ind w:hanging="720"/>
      </w:pPr>
      <w:proofErr w:type="spellStart"/>
      <w:r w:rsidRPr="00A726B7">
        <w:t>Ngware</w:t>
      </w:r>
      <w:proofErr w:type="spellEnd"/>
      <w:r w:rsidRPr="00A726B7">
        <w:t xml:space="preserve">, M. W., </w:t>
      </w:r>
      <w:proofErr w:type="spellStart"/>
      <w:r w:rsidRPr="00A726B7">
        <w:t>Onsomu</w:t>
      </w:r>
      <w:proofErr w:type="spellEnd"/>
      <w:r w:rsidRPr="00A726B7">
        <w:t xml:space="preserve">, E. N., </w:t>
      </w:r>
      <w:proofErr w:type="spellStart"/>
      <w:r w:rsidRPr="00A726B7">
        <w:t>Muthaka</w:t>
      </w:r>
      <w:proofErr w:type="spellEnd"/>
      <w:r w:rsidRPr="00A726B7">
        <w:t xml:space="preserve">, D. I., &amp; Manda, D. K. (2006). Improving access to junior schools education in Kenya: what can be </w:t>
      </w:r>
      <w:proofErr w:type="gramStart"/>
      <w:r w:rsidRPr="00A726B7">
        <w:t>done?.</w:t>
      </w:r>
      <w:proofErr w:type="gramEnd"/>
      <w:r w:rsidRPr="00A726B7">
        <w:t xml:space="preserve"> </w:t>
      </w:r>
      <w:r w:rsidRPr="00A726B7">
        <w:rPr>
          <w:i/>
          <w:iCs/>
        </w:rPr>
        <w:t>Equal Opportunities International, 25</w:t>
      </w:r>
      <w:r w:rsidRPr="00A726B7">
        <w:t>(7), 523-543.</w:t>
      </w:r>
    </w:p>
    <w:p w14:paraId="56DBF5EA" w14:textId="1065C9C9" w:rsidR="00121CF8" w:rsidRPr="00A726B7" w:rsidRDefault="00121CF8" w:rsidP="00C02324">
      <w:pPr>
        <w:spacing w:after="0" w:line="240" w:lineRule="auto"/>
        <w:ind w:hanging="720"/>
      </w:pPr>
      <w:proofErr w:type="spellStart"/>
      <w:r w:rsidRPr="00121CF8">
        <w:t>Salifu</w:t>
      </w:r>
      <w:proofErr w:type="spellEnd"/>
      <w:r w:rsidRPr="00121CF8">
        <w:t xml:space="preserve">, I., Agyekum, B., &amp; </w:t>
      </w:r>
      <w:proofErr w:type="spellStart"/>
      <w:r w:rsidRPr="00121CF8">
        <w:t>Nketia</w:t>
      </w:r>
      <w:proofErr w:type="spellEnd"/>
      <w:r w:rsidRPr="00121CF8">
        <w:t>, D. (2024). Teacher professional development (TPD) in Ghana: constraints and solutions. Professional development in education, 1-18.</w:t>
      </w:r>
    </w:p>
    <w:p w14:paraId="6173D518" w14:textId="77777777" w:rsidR="00A726B7" w:rsidRPr="00A726B7" w:rsidRDefault="00A726B7" w:rsidP="00C02324">
      <w:pPr>
        <w:spacing w:after="0" w:line="240" w:lineRule="auto"/>
        <w:ind w:hanging="720"/>
      </w:pPr>
      <w:r w:rsidRPr="00A726B7">
        <w:t xml:space="preserve">Sanders, W. L., &amp; Rivers, J. C. (1996). Cumulative and residual effects of teachers on future student academic achievement. </w:t>
      </w:r>
      <w:r w:rsidRPr="00A726B7">
        <w:rPr>
          <w:i/>
          <w:iCs/>
        </w:rPr>
        <w:t>University of Tennessee Value-Added Research and Assessment Center</w:t>
      </w:r>
      <w:r w:rsidRPr="00A726B7">
        <w:t>. (Note: This citation is a placeholder for a specific article from Sanders &amp; Rivers for illustration. The original source mentions Sanders &amp; Rivers (1996) without specific article details).</w:t>
      </w:r>
    </w:p>
    <w:p w14:paraId="33C2EB50" w14:textId="77777777" w:rsidR="00A726B7" w:rsidRPr="00A726B7" w:rsidRDefault="00A726B7" w:rsidP="00C02324">
      <w:pPr>
        <w:spacing w:after="0" w:line="240" w:lineRule="auto"/>
        <w:ind w:hanging="720"/>
      </w:pPr>
      <w:r w:rsidRPr="00A726B7">
        <w:t xml:space="preserve">Sataloff, R. T., &amp; </w:t>
      </w:r>
      <w:proofErr w:type="spellStart"/>
      <w:r w:rsidRPr="00A726B7">
        <w:t>Vontela</w:t>
      </w:r>
      <w:proofErr w:type="spellEnd"/>
      <w:r w:rsidRPr="00A726B7">
        <w:t xml:space="preserve">, S. (2021). Response Rates in Survey Research. </w:t>
      </w:r>
      <w:r w:rsidRPr="00A726B7">
        <w:rPr>
          <w:i/>
          <w:iCs/>
        </w:rPr>
        <w:t>Journal of Voice, 35</w:t>
      </w:r>
      <w:r w:rsidRPr="00A726B7">
        <w:t>(1), 1-2.</w:t>
      </w:r>
    </w:p>
    <w:p w14:paraId="57CA1DA0" w14:textId="77777777" w:rsidR="00A726B7" w:rsidRPr="00A726B7" w:rsidRDefault="00A726B7" w:rsidP="00C02324">
      <w:pPr>
        <w:spacing w:after="0" w:line="240" w:lineRule="auto"/>
        <w:ind w:hanging="720"/>
      </w:pPr>
      <w:r w:rsidRPr="00A726B7">
        <w:t xml:space="preserve">Schlossberg, N. K. (1995). Counseling adults in transition: Toward a new role for counselors. </w:t>
      </w:r>
      <w:r w:rsidRPr="00A726B7">
        <w:rPr>
          <w:i/>
          <w:iCs/>
        </w:rPr>
        <w:t>The Counseling Psychologist, 23</w:t>
      </w:r>
      <w:r w:rsidRPr="00A726B7">
        <w:t>(2), 195-207.</w:t>
      </w:r>
    </w:p>
    <w:p w14:paraId="7FDF5A7D" w14:textId="77777777" w:rsidR="00A726B7" w:rsidRPr="00A726B7" w:rsidRDefault="00A726B7" w:rsidP="00C02324">
      <w:pPr>
        <w:spacing w:after="0" w:line="240" w:lineRule="auto"/>
        <w:ind w:hanging="720"/>
      </w:pPr>
      <w:r w:rsidRPr="00A726B7">
        <w:t xml:space="preserve">Sharma, G. (2017). Pros and cons of different sampling techniques. </w:t>
      </w:r>
      <w:r w:rsidRPr="00A726B7">
        <w:rPr>
          <w:i/>
          <w:iCs/>
        </w:rPr>
        <w:t>International Journal of Applied Research, 3</w:t>
      </w:r>
      <w:r w:rsidRPr="00A726B7">
        <w:t>(7), 749–752.</w:t>
      </w:r>
    </w:p>
    <w:p w14:paraId="1C0C3F7E" w14:textId="77777777" w:rsidR="00A726B7" w:rsidRPr="00A726B7" w:rsidRDefault="00A726B7" w:rsidP="00C02324">
      <w:pPr>
        <w:spacing w:after="0" w:line="240" w:lineRule="auto"/>
        <w:ind w:hanging="720"/>
      </w:pPr>
      <w:r w:rsidRPr="00A726B7">
        <w:t xml:space="preserve">Taber, K. S. (2018). The use of Cronbach’s alpha when developing and reporting research instruments in science education. </w:t>
      </w:r>
      <w:r w:rsidRPr="00A726B7">
        <w:rPr>
          <w:i/>
          <w:iCs/>
        </w:rPr>
        <w:t>Research in Science Education, 48</w:t>
      </w:r>
      <w:r w:rsidRPr="00A726B7">
        <w:t>(6), 1273-1296.</w:t>
      </w:r>
    </w:p>
    <w:p w14:paraId="3A013C11" w14:textId="77777777" w:rsidR="00A726B7" w:rsidRPr="00A726B7" w:rsidRDefault="00A726B7" w:rsidP="00C02324">
      <w:pPr>
        <w:spacing w:after="0" w:line="240" w:lineRule="auto"/>
        <w:ind w:hanging="720"/>
      </w:pPr>
      <w:bookmarkStart w:id="0" w:name="_GoBack"/>
      <w:bookmarkEnd w:id="0"/>
      <w:r w:rsidRPr="00A726B7">
        <w:t>Van Leer, B. (2006). Is everybody ready? Readiness, transition and community: reflections and moving forward. Background Document for the EFA Global Monitoring Report 2007. The Hague, Netherlands: Bernard van Leer Foundation.</w:t>
      </w:r>
    </w:p>
    <w:p w14:paraId="5C6A19F6" w14:textId="77777777" w:rsidR="00A726B7" w:rsidRPr="00A726B7" w:rsidRDefault="00A726B7" w:rsidP="00C02324">
      <w:pPr>
        <w:spacing w:after="0" w:line="240" w:lineRule="auto"/>
        <w:ind w:hanging="720"/>
      </w:pPr>
      <w:r w:rsidRPr="00A726B7">
        <w:t xml:space="preserve">Weikart, D. P. &amp; </w:t>
      </w:r>
      <w:proofErr w:type="spellStart"/>
      <w:r w:rsidRPr="00A726B7">
        <w:t>Schweir</w:t>
      </w:r>
      <w:proofErr w:type="spellEnd"/>
      <w:r w:rsidRPr="00A726B7">
        <w:t xml:space="preserve">, H. L. (2011). Changing early childhood development through educational intervention. </w:t>
      </w:r>
      <w:r w:rsidRPr="00A726B7">
        <w:rPr>
          <w:i/>
          <w:iCs/>
        </w:rPr>
        <w:t>Preventive Medicine, 27</w:t>
      </w:r>
      <w:r w:rsidRPr="00A726B7">
        <w:t>, 233-237.</w:t>
      </w:r>
    </w:p>
    <w:p w14:paraId="6D72DEA3" w14:textId="77777777" w:rsidR="00A726B7" w:rsidRPr="00A726B7" w:rsidRDefault="00A726B7" w:rsidP="00C02324">
      <w:pPr>
        <w:spacing w:after="0" w:line="240" w:lineRule="auto"/>
        <w:ind w:hanging="720"/>
      </w:pPr>
      <w:r w:rsidRPr="00A726B7">
        <w:t xml:space="preserve">Willis, J. (2007). </w:t>
      </w:r>
      <w:r w:rsidRPr="00A726B7">
        <w:rPr>
          <w:i/>
          <w:iCs/>
        </w:rPr>
        <w:t>Foundations of qualitative research: Interpretive and critical approaches</w:t>
      </w:r>
      <w:r w:rsidRPr="00A726B7">
        <w:t>. Sage Publications.</w:t>
      </w:r>
    </w:p>
    <w:p w14:paraId="6AD3FF1C" w14:textId="77777777" w:rsidR="00A726B7" w:rsidRPr="00A726B7" w:rsidRDefault="00A726B7" w:rsidP="00C02324">
      <w:pPr>
        <w:spacing w:after="0" w:line="240" w:lineRule="auto"/>
        <w:ind w:hanging="720"/>
      </w:pPr>
      <w:r w:rsidRPr="00A726B7">
        <w:lastRenderedPageBreak/>
        <w:t xml:space="preserve">World Bank. (1988). </w:t>
      </w:r>
      <w:r w:rsidRPr="00A726B7">
        <w:rPr>
          <w:i/>
          <w:iCs/>
        </w:rPr>
        <w:t>Education in Sub-Saharan Africa: Policies for Adjustment, Revitalization, and Expansion</w:t>
      </w:r>
      <w:r w:rsidRPr="00A726B7">
        <w:t>. World Bank Publications.</w:t>
      </w:r>
    </w:p>
    <w:p w14:paraId="61EEC497" w14:textId="77777777" w:rsidR="00A726B7" w:rsidRPr="00A726B7" w:rsidRDefault="00A726B7" w:rsidP="00C02324">
      <w:pPr>
        <w:spacing w:after="0" w:line="240" w:lineRule="auto"/>
        <w:ind w:hanging="720"/>
      </w:pPr>
      <w:r w:rsidRPr="00A726B7">
        <w:t xml:space="preserve">World Bank. (2018). </w:t>
      </w:r>
      <w:r w:rsidRPr="00A726B7">
        <w:rPr>
          <w:i/>
          <w:iCs/>
        </w:rPr>
        <w:t>World development report 2018: Learning to realize education’s promise</w:t>
      </w:r>
      <w:r w:rsidRPr="00A726B7">
        <w:t>. World Bank Group. https://doi.org/10.1596/978-1-4648-1096-1</w:t>
      </w:r>
    </w:p>
    <w:p w14:paraId="1FF8B298" w14:textId="4918EAA1" w:rsidR="00A726B7" w:rsidRPr="00A726B7" w:rsidRDefault="00A726B7" w:rsidP="00C02324">
      <w:pPr>
        <w:spacing w:after="0" w:line="240" w:lineRule="auto"/>
      </w:pPr>
    </w:p>
    <w:p w14:paraId="6AB788C0" w14:textId="77777777" w:rsidR="004E44AD" w:rsidRDefault="004E44AD" w:rsidP="00C02324">
      <w:pPr>
        <w:spacing w:after="0" w:line="240" w:lineRule="auto"/>
      </w:pPr>
    </w:p>
    <w:sectPr w:rsidR="004E4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52002"/>
    <w:multiLevelType w:val="multilevel"/>
    <w:tmpl w:val="6CE0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F46FD"/>
    <w:multiLevelType w:val="multilevel"/>
    <w:tmpl w:val="347E3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Q0NzIxNbM0NDM1NDVT0lEKTi0uzszPAykwrAUA9OZ7UiwAAAA="/>
  </w:docVars>
  <w:rsids>
    <w:rsidRoot w:val="00A726B7"/>
    <w:rsid w:val="000B2F9B"/>
    <w:rsid w:val="00121CF8"/>
    <w:rsid w:val="0017669F"/>
    <w:rsid w:val="001C2DF6"/>
    <w:rsid w:val="00230246"/>
    <w:rsid w:val="002445D2"/>
    <w:rsid w:val="00376374"/>
    <w:rsid w:val="0038065F"/>
    <w:rsid w:val="003917E4"/>
    <w:rsid w:val="003F358F"/>
    <w:rsid w:val="004524BC"/>
    <w:rsid w:val="004A6C56"/>
    <w:rsid w:val="004D2468"/>
    <w:rsid w:val="004E44AD"/>
    <w:rsid w:val="00571440"/>
    <w:rsid w:val="005922F8"/>
    <w:rsid w:val="005E02EB"/>
    <w:rsid w:val="00653741"/>
    <w:rsid w:val="00773BF7"/>
    <w:rsid w:val="00833C68"/>
    <w:rsid w:val="00881221"/>
    <w:rsid w:val="008A1F75"/>
    <w:rsid w:val="0097304D"/>
    <w:rsid w:val="00A2447D"/>
    <w:rsid w:val="00A726B7"/>
    <w:rsid w:val="00AD156A"/>
    <w:rsid w:val="00B47CAD"/>
    <w:rsid w:val="00C02324"/>
    <w:rsid w:val="00C049DD"/>
    <w:rsid w:val="00C73748"/>
    <w:rsid w:val="00CC1FF0"/>
    <w:rsid w:val="00CE59B5"/>
    <w:rsid w:val="00CF08F8"/>
    <w:rsid w:val="00E02AB6"/>
    <w:rsid w:val="00F7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1315"/>
  <w15:chartTrackingRefBased/>
  <w15:docId w15:val="{7E391A9D-8B90-4433-9E6F-13D7BDE9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C68"/>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A72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2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26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6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26B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26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26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26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26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26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26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6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6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B7"/>
    <w:rPr>
      <w:rFonts w:eastAsiaTheme="majorEastAsia" w:cstheme="majorBidi"/>
      <w:color w:val="272727" w:themeColor="text1" w:themeTint="D8"/>
    </w:rPr>
  </w:style>
  <w:style w:type="paragraph" w:styleId="Title">
    <w:name w:val="Title"/>
    <w:basedOn w:val="Normal"/>
    <w:next w:val="Normal"/>
    <w:link w:val="TitleChar"/>
    <w:uiPriority w:val="10"/>
    <w:qFormat/>
    <w:rsid w:val="00A72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B7"/>
    <w:pPr>
      <w:spacing w:before="160"/>
      <w:jc w:val="center"/>
    </w:pPr>
    <w:rPr>
      <w:i/>
      <w:iCs/>
      <w:color w:val="404040" w:themeColor="text1" w:themeTint="BF"/>
    </w:rPr>
  </w:style>
  <w:style w:type="character" w:customStyle="1" w:styleId="QuoteChar">
    <w:name w:val="Quote Char"/>
    <w:basedOn w:val="DefaultParagraphFont"/>
    <w:link w:val="Quote"/>
    <w:uiPriority w:val="29"/>
    <w:rsid w:val="00A726B7"/>
    <w:rPr>
      <w:rFonts w:ascii="Times New Roman" w:hAnsi="Times New Roman"/>
      <w:i/>
      <w:iCs/>
      <w:color w:val="404040" w:themeColor="text1" w:themeTint="BF"/>
    </w:rPr>
  </w:style>
  <w:style w:type="paragraph" w:styleId="ListParagraph">
    <w:name w:val="List Paragraph"/>
    <w:basedOn w:val="Normal"/>
    <w:uiPriority w:val="34"/>
    <w:qFormat/>
    <w:rsid w:val="00A726B7"/>
    <w:pPr>
      <w:ind w:left="720"/>
      <w:contextualSpacing/>
    </w:pPr>
  </w:style>
  <w:style w:type="character" w:styleId="IntenseEmphasis">
    <w:name w:val="Intense Emphasis"/>
    <w:basedOn w:val="DefaultParagraphFont"/>
    <w:uiPriority w:val="21"/>
    <w:qFormat/>
    <w:rsid w:val="00A726B7"/>
    <w:rPr>
      <w:i/>
      <w:iCs/>
      <w:color w:val="2F5496" w:themeColor="accent1" w:themeShade="BF"/>
    </w:rPr>
  </w:style>
  <w:style w:type="paragraph" w:styleId="IntenseQuote">
    <w:name w:val="Intense Quote"/>
    <w:basedOn w:val="Normal"/>
    <w:next w:val="Normal"/>
    <w:link w:val="IntenseQuoteChar"/>
    <w:uiPriority w:val="30"/>
    <w:qFormat/>
    <w:rsid w:val="00A72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6B7"/>
    <w:rPr>
      <w:rFonts w:ascii="Times New Roman" w:hAnsi="Times New Roman"/>
      <w:i/>
      <w:iCs/>
      <w:color w:val="2F5496" w:themeColor="accent1" w:themeShade="BF"/>
    </w:rPr>
  </w:style>
  <w:style w:type="character" w:styleId="IntenseReference">
    <w:name w:val="Intense Reference"/>
    <w:basedOn w:val="DefaultParagraphFont"/>
    <w:uiPriority w:val="32"/>
    <w:qFormat/>
    <w:rsid w:val="00A726B7"/>
    <w:rPr>
      <w:b/>
      <w:bCs/>
      <w:smallCaps/>
      <w:color w:val="2F5496" w:themeColor="accent1" w:themeShade="BF"/>
      <w:spacing w:val="5"/>
    </w:rPr>
  </w:style>
  <w:style w:type="table" w:styleId="TableGrid">
    <w:name w:val="Table Grid"/>
    <w:basedOn w:val="TableNormal"/>
    <w:uiPriority w:val="39"/>
    <w:rsid w:val="00E02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5374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74055">
      <w:bodyDiv w:val="1"/>
      <w:marLeft w:val="0"/>
      <w:marRight w:val="0"/>
      <w:marTop w:val="0"/>
      <w:marBottom w:val="0"/>
      <w:divBdr>
        <w:top w:val="none" w:sz="0" w:space="0" w:color="auto"/>
        <w:left w:val="none" w:sz="0" w:space="0" w:color="auto"/>
        <w:bottom w:val="none" w:sz="0" w:space="0" w:color="auto"/>
        <w:right w:val="none" w:sz="0" w:space="0" w:color="auto"/>
      </w:divBdr>
      <w:divsChild>
        <w:div w:id="18167569">
          <w:marLeft w:val="0"/>
          <w:marRight w:val="0"/>
          <w:marTop w:val="0"/>
          <w:marBottom w:val="0"/>
          <w:divBdr>
            <w:top w:val="none" w:sz="0" w:space="0" w:color="auto"/>
            <w:left w:val="none" w:sz="0" w:space="0" w:color="auto"/>
            <w:bottom w:val="none" w:sz="0" w:space="0" w:color="auto"/>
            <w:right w:val="none" w:sz="0" w:space="0" w:color="auto"/>
          </w:divBdr>
        </w:div>
      </w:divsChild>
    </w:div>
    <w:div w:id="1510293465">
      <w:bodyDiv w:val="1"/>
      <w:marLeft w:val="0"/>
      <w:marRight w:val="0"/>
      <w:marTop w:val="0"/>
      <w:marBottom w:val="0"/>
      <w:divBdr>
        <w:top w:val="none" w:sz="0" w:space="0" w:color="auto"/>
        <w:left w:val="none" w:sz="0" w:space="0" w:color="auto"/>
        <w:bottom w:val="none" w:sz="0" w:space="0" w:color="auto"/>
        <w:right w:val="none" w:sz="0" w:space="0" w:color="auto"/>
      </w:divBdr>
      <w:divsChild>
        <w:div w:id="1791243408">
          <w:marLeft w:val="0"/>
          <w:marRight w:val="0"/>
          <w:marTop w:val="0"/>
          <w:marBottom w:val="0"/>
          <w:divBdr>
            <w:top w:val="none" w:sz="0" w:space="0" w:color="auto"/>
            <w:left w:val="none" w:sz="0" w:space="0" w:color="auto"/>
            <w:bottom w:val="none" w:sz="0" w:space="0" w:color="auto"/>
            <w:right w:val="none" w:sz="0" w:space="0" w:color="auto"/>
          </w:divBdr>
        </w:div>
      </w:divsChild>
    </w:div>
    <w:div w:id="187381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8B4A1-8369-4E11-9339-B9742B4C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5888</Words>
  <Characters>33562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10</cp:revision>
  <dcterms:created xsi:type="dcterms:W3CDTF">2025-08-14T06:09:00Z</dcterms:created>
  <dcterms:modified xsi:type="dcterms:W3CDTF">2025-08-18T06:38:00Z</dcterms:modified>
</cp:coreProperties>
</file>