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7C" w:rsidRDefault="007B1E8B">
      <w:pPr>
        <w:jc w:val="center"/>
        <w:rPr>
          <w:rFonts w:ascii="Times New Roman Regular" w:hAnsi="Times New Roman Regular" w:cs="Times New Roman Regular" w:hint="eastAsia"/>
          <w:b/>
          <w:bCs/>
          <w:sz w:val="22"/>
          <w:szCs w:val="22"/>
        </w:rPr>
      </w:pPr>
      <w:r>
        <w:rPr>
          <w:rFonts w:ascii="Times New Roman Regular" w:hAnsi="Times New Roman Regular" w:cs="Times New Roman Regular"/>
          <w:b/>
          <w:bCs/>
          <w:sz w:val="22"/>
          <w:szCs w:val="22"/>
        </w:rPr>
        <w:t xml:space="preserve">The Effectiveness of Reading and Writing Literacy Using the Kirkpatrick Model at SMPN 1 </w:t>
      </w:r>
      <w:proofErr w:type="spellStart"/>
      <w:r>
        <w:rPr>
          <w:rFonts w:ascii="Times New Roman Regular" w:hAnsi="Times New Roman Regular" w:cs="Times New Roman Regular"/>
          <w:b/>
          <w:bCs/>
          <w:sz w:val="22"/>
          <w:szCs w:val="22"/>
        </w:rPr>
        <w:t>Kuningan</w:t>
      </w:r>
      <w:proofErr w:type="spellEnd"/>
    </w:p>
    <w:p w:rsidR="00D2147C" w:rsidRDefault="00D2147C">
      <w:pPr>
        <w:jc w:val="center"/>
        <w:rPr>
          <w:rFonts w:ascii="Times New Roman Regular" w:hAnsi="Times New Roman Regular" w:cs="Times New Roman Regular" w:hint="eastAsia"/>
          <w:sz w:val="22"/>
          <w:szCs w:val="22"/>
        </w:rPr>
      </w:pPr>
    </w:p>
    <w:p w:rsidR="00D2147C" w:rsidRDefault="00D2147C">
      <w:pPr>
        <w:rPr>
          <w:rFonts w:ascii="Times New Roman Regular" w:hAnsi="Times New Roman Regular" w:cs="Times New Roman Regular" w:hint="eastAsia"/>
          <w:sz w:val="22"/>
          <w:szCs w:val="22"/>
        </w:rPr>
      </w:pPr>
    </w:p>
    <w:p w:rsidR="00D2147C" w:rsidRDefault="007B1E8B">
      <w:pPr>
        <w:rPr>
          <w:rFonts w:ascii="Times New Roman Regular" w:hAnsi="Times New Roman Regular" w:hint="eastAsia"/>
          <w:sz w:val="22"/>
          <w:szCs w:val="22"/>
        </w:rPr>
      </w:pPr>
      <w:r>
        <w:rPr>
          <w:rFonts w:ascii="Times New Roman Regular" w:hAnsi="Times New Roman Regular"/>
          <w:b/>
          <w:bCs/>
          <w:sz w:val="22"/>
          <w:szCs w:val="22"/>
        </w:rPr>
        <w:t>Abstract</w:t>
      </w:r>
    </w:p>
    <w:p w:rsidR="00D2147C" w:rsidRDefault="007B1E8B">
      <w:pPr>
        <w:rPr>
          <w:rFonts w:ascii="Times New Roman Regular" w:hAnsi="Times New Roman Regular" w:hint="eastAsia"/>
          <w:sz w:val="22"/>
          <w:szCs w:val="22"/>
        </w:rPr>
      </w:pPr>
      <w:r>
        <w:rPr>
          <w:rFonts w:ascii="Times New Roman Regular" w:hAnsi="Times New Roman Regular"/>
          <w:sz w:val="22"/>
          <w:szCs w:val="22"/>
        </w:rPr>
        <w:t>A major challenge facing Indonesia is cultivating a reading culture among the broader public, particularly in the context of basic education. This study aims to examine the effectiveness of a reading and writing literacy program using the Kirkpatrick Evaluation Model, which is known for providing a comprehensive and tiered assessment. The research employed a quantitative approach with multiple linear regression analysis. Respondents were selected purposively, involving school principals, teachers, and literacy coordinators who were directly involved in the program's implementation. The results indicate that among the three variables analyzed—reaction (X₁), learning (X₂), and behavior (Z)—behavior had the strongest influence on the outcome variable (Y), with the model explaining 82.2% of the variance (R² = 0.822) and a very strong correlation (R = 0.907; p &lt; 0.001). These findings highlight that the success of literacy programs is not merely determined by initial understanding or reactions, but critically depends on the extent to which participants apply what they have learned in real-life practice.</w:t>
      </w:r>
    </w:p>
    <w:p w:rsidR="00D2147C" w:rsidRDefault="00D2147C">
      <w:pPr>
        <w:rPr>
          <w:rFonts w:ascii="Times New Roman Regular" w:hAnsi="Times New Roman Regular" w:hint="eastAsia"/>
          <w:sz w:val="22"/>
          <w:szCs w:val="22"/>
        </w:rPr>
      </w:pPr>
    </w:p>
    <w:p w:rsidR="00D2147C" w:rsidRDefault="007B1E8B">
      <w:pPr>
        <w:rPr>
          <w:rFonts w:ascii="Times New Roman Regular" w:hAnsi="Times New Roman Regular" w:hint="eastAsia"/>
          <w:sz w:val="22"/>
          <w:szCs w:val="22"/>
        </w:rPr>
      </w:pPr>
      <w:r>
        <w:rPr>
          <w:rFonts w:ascii="Times New Roman Regular" w:hAnsi="Times New Roman Regular"/>
          <w:sz w:val="22"/>
          <w:szCs w:val="22"/>
        </w:rPr>
        <w:t>Keywords: Reading; Writing; Literacy; Kirkpatrick Model; Learning; Effectiveness; Education; Junior High School; Student Competency; Evaluation</w:t>
      </w:r>
    </w:p>
    <w:p w:rsidR="00D2147C" w:rsidRDefault="00D2147C">
      <w:pPr>
        <w:rPr>
          <w:rFonts w:ascii="Times New Roman Regular" w:hAnsi="Times New Roman Regular" w:hint="eastAsia"/>
          <w:sz w:val="22"/>
          <w:szCs w:val="22"/>
        </w:rPr>
      </w:pPr>
    </w:p>
    <w:p w:rsidR="00D2147C" w:rsidRDefault="007B1E8B">
      <w:pPr>
        <w:numPr>
          <w:ilvl w:val="0"/>
          <w:numId w:val="11"/>
        </w:numPr>
        <w:rPr>
          <w:rFonts w:ascii="Times New Roman Regular" w:hAnsi="Times New Roman Regular" w:hint="eastAsia"/>
          <w:sz w:val="22"/>
          <w:szCs w:val="22"/>
        </w:rPr>
      </w:pPr>
      <w:r>
        <w:rPr>
          <w:rFonts w:ascii="Times New Roman Regular" w:hAnsi="Times New Roman Regular"/>
          <w:b/>
          <w:bCs/>
          <w:sz w:val="22"/>
          <w:szCs w:val="22"/>
        </w:rPr>
        <w:t>Introduction</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Reading and writing literacy is a fundamental skill that plays a crucial role in the learning process at schools. However, literacy goes far beyond the ability to read words and sentences (Utama et al., 2024). In a webinar held on December 19, 2020, the Student Affairs Coordinator from the Directorate of Primary Education at the Indonesian Ministry of Education and Culture emphasized that reading should not be limited to the act of decoding letters into words. It must also involve deep comprehension of the text. A more comprehensive understanding of literacy is essential to ensure that students are not only able to read but also capable of understanding and utilizing information from various reading materials (</w:t>
      </w:r>
      <w:proofErr w:type="spellStart"/>
      <w:r>
        <w:rPr>
          <w:rFonts w:ascii="Times New Roman Regular" w:hAnsi="Times New Roman Regular"/>
          <w:sz w:val="22"/>
          <w:szCs w:val="22"/>
        </w:rPr>
        <w:t>Tahmidaten</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Krismanto</w:t>
      </w:r>
      <w:proofErr w:type="spellEnd"/>
      <w:r>
        <w:rPr>
          <w:rFonts w:ascii="Times New Roman Regular" w:hAnsi="Times New Roman Regular"/>
          <w:sz w:val="22"/>
          <w:szCs w:val="22"/>
        </w:rPr>
        <w:t xml:space="preserve">, 2020; </w:t>
      </w:r>
      <w:proofErr w:type="spellStart"/>
      <w:r>
        <w:rPr>
          <w:rFonts w:ascii="Times New Roman Regular" w:hAnsi="Times New Roman Regular"/>
          <w:sz w:val="22"/>
          <w:szCs w:val="22"/>
        </w:rPr>
        <w:t>Azzahra</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Rahyasih</w:t>
      </w:r>
      <w:proofErr w:type="spellEnd"/>
      <w:r>
        <w:rPr>
          <w:rFonts w:ascii="Times New Roman Regular" w:hAnsi="Times New Roman Regular"/>
          <w:sz w:val="22"/>
          <w:szCs w:val="22"/>
        </w:rPr>
        <w:t>, 2024).</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To support the improvement of literacy comprehension, the Ministry of Education and Culture (</w:t>
      </w:r>
      <w:proofErr w:type="spellStart"/>
      <w:r>
        <w:rPr>
          <w:rFonts w:ascii="Times New Roman Regular" w:hAnsi="Times New Roman Regular"/>
          <w:sz w:val="22"/>
          <w:szCs w:val="22"/>
        </w:rPr>
        <w:t>Kemendikbud</w:t>
      </w:r>
      <w:proofErr w:type="spellEnd"/>
      <w:r>
        <w:rPr>
          <w:rFonts w:ascii="Times New Roman Regular" w:hAnsi="Times New Roman Regular"/>
          <w:sz w:val="22"/>
          <w:szCs w:val="22"/>
        </w:rPr>
        <w:t>) has developed the Reading Literacy Activity Index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is an instrument designed to measure students’ reading literacy levels based on four key dimensions: proficiency, access, alternatives, and culture (</w:t>
      </w:r>
      <w:proofErr w:type="spellStart"/>
      <w:r>
        <w:rPr>
          <w:rFonts w:ascii="Times New Roman Regular" w:hAnsi="Times New Roman Regular"/>
          <w:sz w:val="22"/>
          <w:szCs w:val="22"/>
        </w:rPr>
        <w:t>Rustiarini</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Dewi</w:t>
      </w:r>
      <w:proofErr w:type="spellEnd"/>
      <w:r>
        <w:rPr>
          <w:rFonts w:ascii="Times New Roman Regular" w:hAnsi="Times New Roman Regular"/>
          <w:sz w:val="22"/>
          <w:szCs w:val="22"/>
        </w:rPr>
        <w:t xml:space="preserve">, 2021; </w:t>
      </w:r>
      <w:proofErr w:type="spellStart"/>
      <w:r>
        <w:rPr>
          <w:rFonts w:ascii="Times New Roman Regular" w:hAnsi="Times New Roman Regular"/>
          <w:sz w:val="22"/>
          <w:szCs w:val="22"/>
        </w:rPr>
        <w:t>Pratama</w:t>
      </w:r>
      <w:proofErr w:type="spellEnd"/>
      <w:r>
        <w:rPr>
          <w:rFonts w:ascii="Times New Roman Regular" w:hAnsi="Times New Roman Regular"/>
          <w:sz w:val="22"/>
          <w:szCs w:val="22"/>
        </w:rPr>
        <w:t xml:space="preserve"> et al., 2023). The proficiency dimension reflects the ability to understand available reading materials; access refers to the availability of facilities such as libraries and books; alternatives encompass the use of digital tools to facilitate information access; and the culture dimension assesses reading habits and how they shape overall literacy behavior (</w:t>
      </w:r>
      <w:proofErr w:type="spellStart"/>
      <w:r>
        <w:rPr>
          <w:rFonts w:ascii="Times New Roman Regular" w:hAnsi="Times New Roman Regular"/>
          <w:sz w:val="22"/>
          <w:szCs w:val="22"/>
        </w:rPr>
        <w:t>Nasution</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Haswati</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Ilhamsyah</w:t>
      </w:r>
      <w:proofErr w:type="spellEnd"/>
      <w:r>
        <w:rPr>
          <w:rFonts w:ascii="Times New Roman Regular" w:hAnsi="Times New Roman Regular"/>
          <w:sz w:val="22"/>
          <w:szCs w:val="22"/>
        </w:rPr>
        <w:t xml:space="preserve">, 2020; </w:t>
      </w:r>
      <w:proofErr w:type="spellStart"/>
      <w:r>
        <w:rPr>
          <w:rFonts w:ascii="Times New Roman Regular" w:hAnsi="Times New Roman Regular"/>
          <w:sz w:val="22"/>
          <w:szCs w:val="22"/>
        </w:rPr>
        <w:t>Febriana</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Jatmika</w:t>
      </w:r>
      <w:proofErr w:type="spellEnd"/>
      <w:r>
        <w:rPr>
          <w:rFonts w:ascii="Times New Roman Regular" w:hAnsi="Times New Roman Regular"/>
          <w:sz w:val="22"/>
          <w:szCs w:val="22"/>
        </w:rPr>
        <w:t>, 2023).</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These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indicators aim to offer a comprehensive overview of students' reading activities in Indonesia and serve as a reference for formulating more targeted literacy strategies. This approach not only highlights reading habits but also underscores the importance of fostering reading comprehension, particularly at the primary and secondary education levels. Aligned with this initiative is the School Literacy Movement (</w:t>
      </w:r>
      <w:proofErr w:type="spellStart"/>
      <w:r>
        <w:rPr>
          <w:rFonts w:ascii="Times New Roman Regular" w:hAnsi="Times New Roman Regular"/>
          <w:sz w:val="22"/>
          <w:szCs w:val="22"/>
        </w:rPr>
        <w:t>Gerakan</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Literasi</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Sekolah</w:t>
      </w:r>
      <w:proofErr w:type="spellEnd"/>
      <w:r>
        <w:rPr>
          <w:rFonts w:ascii="Times New Roman Regular" w:hAnsi="Times New Roman Regular"/>
          <w:sz w:val="22"/>
          <w:szCs w:val="22"/>
        </w:rPr>
        <w:t xml:space="preserve">/GLS), which has been widely implemented in schools across the country (Wang et al., 2023; </w:t>
      </w:r>
      <w:proofErr w:type="spellStart"/>
      <w:r>
        <w:rPr>
          <w:rFonts w:ascii="Times New Roman Regular" w:hAnsi="Times New Roman Regular"/>
          <w:sz w:val="22"/>
          <w:szCs w:val="22"/>
        </w:rPr>
        <w:t>Oftiah</w:t>
      </w:r>
      <w:proofErr w:type="spellEnd"/>
      <w:r>
        <w:rPr>
          <w:rFonts w:ascii="Times New Roman Regular" w:hAnsi="Times New Roman Regular"/>
          <w:sz w:val="22"/>
          <w:szCs w:val="22"/>
        </w:rPr>
        <w:t xml:space="preserve"> et al., 2024). A key component of Indonesia’s literacy strategy, GLS is supported by national education policies such as the Ministry of Education and Culture Regulation No. 23 of 2015 on the Cultivation of Character. Section F VI of the regulation encourages teachers to allocate time before formal lessons begin for students to read non-textbook materials that align with their interests. This routine has been institutionalized through GLS to foster reading habits, instill a love of reading, and </w:t>
      </w:r>
      <w:r>
        <w:rPr>
          <w:rFonts w:ascii="Times New Roman Regular" w:hAnsi="Times New Roman Regular"/>
          <w:sz w:val="22"/>
          <w:szCs w:val="22"/>
        </w:rPr>
        <w:lastRenderedPageBreak/>
        <w:t>ultimately enhance students’ literacy skills in a sustainable manner (</w:t>
      </w:r>
      <w:proofErr w:type="spellStart"/>
      <w:r>
        <w:rPr>
          <w:rFonts w:ascii="Times New Roman Regular" w:hAnsi="Times New Roman Regular"/>
          <w:sz w:val="22"/>
          <w:szCs w:val="22"/>
        </w:rPr>
        <w:t>Palupi</w:t>
      </w:r>
      <w:proofErr w:type="spellEnd"/>
      <w:r>
        <w:rPr>
          <w:rFonts w:ascii="Times New Roman Regular" w:hAnsi="Times New Roman Regular"/>
          <w:sz w:val="22"/>
          <w:szCs w:val="22"/>
        </w:rPr>
        <w:t xml:space="preserve"> et al., 2020).</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GLS is further reinforced by other policies, such as Law No. 3 of 2017 on the Book System, which recognizes books as vital instruments for promoting and strengthening literacy culture in Indonesia. It calls for concerted efforts from all stakeholders to support a literate society capable of active participation in the global landscape (</w:t>
      </w:r>
      <w:proofErr w:type="spellStart"/>
      <w:r>
        <w:rPr>
          <w:rFonts w:ascii="Times New Roman Regular" w:hAnsi="Times New Roman Regular"/>
          <w:sz w:val="22"/>
          <w:szCs w:val="22"/>
        </w:rPr>
        <w:t>Husamah</w:t>
      </w:r>
      <w:proofErr w:type="spellEnd"/>
      <w:r>
        <w:rPr>
          <w:rFonts w:ascii="Times New Roman Regular" w:hAnsi="Times New Roman Regular"/>
          <w:sz w:val="22"/>
          <w:szCs w:val="22"/>
        </w:rPr>
        <w:t>, 2024). Since its launch in 2016, GLS has shown promising developments. According to the Ministry of Education and Culture (2019), over 5,360 schools have implemented 15-minute reading sessions prior to lessons. This figure does not include schools that initiated similar practices before the program was formalized, indicating growing awareness of literacy's importance despite existing challenges, such as limited access to relevant reading materials, lack of teacher training, and uneven development of reading culture among students.</w:t>
      </w:r>
    </w:p>
    <w:p w:rsidR="00D2147C" w:rsidRDefault="007B1E8B">
      <w:pPr>
        <w:ind w:firstLine="420"/>
        <w:rPr>
          <w:rFonts w:ascii="Times New Roman Regular" w:hAnsi="Times New Roman Regular" w:hint="eastAsia"/>
          <w:sz w:val="22"/>
          <w:szCs w:val="22"/>
        </w:rPr>
      </w:pPr>
      <w:proofErr w:type="spellStart"/>
      <w:r>
        <w:rPr>
          <w:rFonts w:ascii="Times New Roman Regular" w:hAnsi="Times New Roman Regular"/>
          <w:sz w:val="22"/>
          <w:szCs w:val="22"/>
        </w:rPr>
        <w:t>Rokayah</w:t>
      </w:r>
      <w:proofErr w:type="spellEnd"/>
      <w:r>
        <w:rPr>
          <w:rFonts w:ascii="Times New Roman Regular" w:hAnsi="Times New Roman Regular"/>
          <w:sz w:val="22"/>
          <w:szCs w:val="22"/>
        </w:rPr>
        <w:t xml:space="preserve"> (2017) asserts that character building must begin with young learners by instilling literacy values, as literacy forms the foundation of critical thinking, communication skills, and social awareness. Furthermore, Indonesia’s persistently low performance in international assessments like the </w:t>
      </w:r>
      <w:proofErr w:type="spellStart"/>
      <w:r>
        <w:rPr>
          <w:rFonts w:ascii="Times New Roman Regular" w:hAnsi="Times New Roman Regular"/>
          <w:sz w:val="22"/>
          <w:szCs w:val="22"/>
        </w:rPr>
        <w:t>Programme</w:t>
      </w:r>
      <w:proofErr w:type="spellEnd"/>
      <w:r>
        <w:rPr>
          <w:rFonts w:ascii="Times New Roman Regular" w:hAnsi="Times New Roman Regular"/>
          <w:sz w:val="22"/>
          <w:szCs w:val="22"/>
        </w:rPr>
        <w:t xml:space="preserve"> for International Student Assessment (PISA) highlights the urgent need for systematic reform in literacy education (</w:t>
      </w:r>
      <w:proofErr w:type="spellStart"/>
      <w:r>
        <w:rPr>
          <w:rFonts w:ascii="Times New Roman Regular" w:hAnsi="Times New Roman Regular" w:cs="Times New Roman Regular"/>
          <w:sz w:val="22"/>
          <w:szCs w:val="28"/>
        </w:rPr>
        <w:t>Sulfemi</w:t>
      </w:r>
      <w:proofErr w:type="spellEnd"/>
      <w:r>
        <w:rPr>
          <w:rFonts w:ascii="Times New Roman Regular" w:hAnsi="Times New Roman Regular"/>
          <w:sz w:val="22"/>
          <w:szCs w:val="22"/>
        </w:rPr>
        <w:t xml:space="preserve">, 2023; </w:t>
      </w:r>
      <w:proofErr w:type="spellStart"/>
      <w:r>
        <w:rPr>
          <w:rFonts w:ascii="Times New Roman Regular" w:hAnsi="Times New Roman Regular"/>
          <w:sz w:val="22"/>
          <w:szCs w:val="22"/>
        </w:rPr>
        <w:t>Husamah</w:t>
      </w:r>
      <w:proofErr w:type="spellEnd"/>
      <w:r>
        <w:rPr>
          <w:rFonts w:ascii="Times New Roman Regular" w:hAnsi="Times New Roman Regular"/>
          <w:sz w:val="22"/>
          <w:szCs w:val="22"/>
        </w:rPr>
        <w:t xml:space="preserve">, 2024). PISA results consistently show that Indonesian students rank low in reading, numeracy, and science, signaling the need for improved literacy strategies at the foundational level. In response to these challenges, evaluating the effectiveness of literacy programs in schools is crucial. One comprehensive evaluation approach is the Kirkpatrick Evaluation Model, which assesses program outcomes across four levels: reaction, learning, behavior, and results. This study employs the Kirkpatrick Model to evaluate the effectiveness of the reading and writing literacy 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a school implementing GLS. The findings aim to inform data-driven recommendations for future program improvement. Given the alignment of GLS with the Merdeka Curriculum, financial support is a critical factor for its optimal execution. Thus, collaboration among various stakeholders—including school committees, parents, alumni, and industry partners—is essential (</w:t>
      </w:r>
      <w:proofErr w:type="spellStart"/>
      <w:r>
        <w:rPr>
          <w:rFonts w:ascii="Times New Roman Regular" w:hAnsi="Times New Roman Regular"/>
          <w:sz w:val="22"/>
          <w:szCs w:val="22"/>
        </w:rPr>
        <w:t>Ditjen</w:t>
      </w:r>
      <w:proofErr w:type="spellEnd"/>
      <w:r>
        <w:rPr>
          <w:rFonts w:ascii="Times New Roman Regular" w:hAnsi="Times New Roman Regular"/>
          <w:sz w:val="22"/>
          <w:szCs w:val="22"/>
        </w:rPr>
        <w:t xml:space="preserve"> SMP, 2019). Such cross-sector partnerships can enhance literacy development and expand its impact beyond the classroom.</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In developed countries, reading is widely recognized as a strategic tool for acquiring knowledge and global insight. Although Indonesia has made progress in reducing illiteracy—from 1.78% (3,081,136 people) in 2019 to 1.71% (2,961,060 people) in 2020 (BPS, 2020)—the broader challenge of fostering a nationwide reading culture remains. One of the key barriers is inadequate infrastructure, especially school libraries and trained library personnel. Data from </w:t>
      </w:r>
      <w:proofErr w:type="spellStart"/>
      <w:r>
        <w:rPr>
          <w:rFonts w:ascii="Times New Roman Regular" w:hAnsi="Times New Roman Regular"/>
          <w:sz w:val="22"/>
          <w:szCs w:val="22"/>
        </w:rPr>
        <w:t>Kemendikbud</w:t>
      </w:r>
      <w:proofErr w:type="spellEnd"/>
      <w:r>
        <w:rPr>
          <w:rFonts w:ascii="Times New Roman Regular" w:hAnsi="Times New Roman Regular"/>
          <w:sz w:val="22"/>
          <w:szCs w:val="22"/>
        </w:rPr>
        <w:t xml:space="preserve"> (2017) reveal that only 19% of elementary schools with libraries were deemed to have functional facilities. Similar limitations are found in secondary schools, which hinders the development of students’ reading and writing skills and, in turn, undermines Indonesia’s competitiveness in a global knowledge-based economy (</w:t>
      </w:r>
      <w:proofErr w:type="spellStart"/>
      <w:r>
        <w:rPr>
          <w:rFonts w:ascii="Times New Roman Regular" w:hAnsi="Times New Roman Regular"/>
          <w:sz w:val="22"/>
          <w:szCs w:val="22"/>
        </w:rPr>
        <w:t>Wandasari</w:t>
      </w:r>
      <w:proofErr w:type="spellEnd"/>
      <w:r>
        <w:rPr>
          <w:rFonts w:ascii="Times New Roman Regular" w:hAnsi="Times New Roman Regular"/>
          <w:sz w:val="22"/>
          <w:szCs w:val="22"/>
        </w:rPr>
        <w:t>, 2017).</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Despite the government’s strategic efforts to enhance literacy, significant gaps remain between policy formulation and implementation. At the school level, the effectiveness of literacy programs has yet to be systematically assessed. A comprehensive evaluation approach is therefore needed to measure literacy program success in terms of execution, outcomes, and impact.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the GLS program is implemented with the goal of improving students' reading and writing skills. To assess its effectiveness, this study applies the Kirkpatrick Evaluation Model, renowned for its thorough assessment of training and educational interventions across four levels.</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This research is significant as it seeks to assess the effectiveness of the reading and writing literacy program using the Kirkpatrick Model, known for its tiered and in-depth evaluation framework. By evaluating not only participant reactions and learning, but also behavioral change and program outcomes, this study provides a comprehensive understanding of program implementation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The findings are </w:t>
      </w:r>
      <w:r>
        <w:rPr>
          <w:rFonts w:ascii="Times New Roman Regular" w:hAnsi="Times New Roman Regular"/>
          <w:sz w:val="22"/>
          <w:szCs w:val="22"/>
        </w:rPr>
        <w:lastRenderedPageBreak/>
        <w:t>expected to offer strategic insights for the future development of GLS, contributing meaningfully to the continuous improvement of literacy and education quality in Indonesia.</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The main objective of this study is to evaluate the effectiveness of the School Literacy Movement 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using the Kirkpatrick Model. By applying this framework, the study aims to provide a clearer picture of how the program impacts students’ literacy skills and how it can be optimized for broader impact. The evaluation is also expected to inform policy and serve as a reference for the development of similar programs in other schools.</w:t>
      </w:r>
    </w:p>
    <w:p w:rsidR="00D2147C" w:rsidRDefault="00D2147C">
      <w:pPr>
        <w:rPr>
          <w:rFonts w:ascii="Times New Roman Regular" w:hAnsi="Times New Roman Regular" w:hint="eastAsia"/>
          <w:sz w:val="22"/>
          <w:szCs w:val="22"/>
        </w:rPr>
      </w:pPr>
    </w:p>
    <w:p w:rsidR="00D2147C" w:rsidRDefault="007B1E8B">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Research Method</w:t>
      </w:r>
    </w:p>
    <w:p w:rsidR="00D2147C" w:rsidRDefault="007B1E8B">
      <w:pPr>
        <w:rPr>
          <w:rFonts w:ascii="Times New Roman Regular" w:hAnsi="Times New Roman Regular" w:hint="eastAsia"/>
          <w:b/>
          <w:bCs/>
          <w:sz w:val="22"/>
          <w:szCs w:val="22"/>
        </w:rPr>
      </w:pPr>
      <w:r>
        <w:rPr>
          <w:rFonts w:ascii="Times New Roman Regular" w:hAnsi="Times New Roman Regular"/>
          <w:b/>
          <w:bCs/>
          <w:sz w:val="22"/>
          <w:szCs w:val="22"/>
        </w:rPr>
        <w:t>2.1 Research Design</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This study employed a quantitative program evaluation design based on the Kirkpatrick Evaluation Model. This approach was chosen to obtain a comprehensive overview of the effectiveness of the School Literacy Movement (GLS) implementation in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Regency, West Java, Indonesia. The Kirkpatrick model was selected because it enables the evaluation of program effectiveness through four levels: reaction, learning, behavior, and results. The focus of the study was to quantitatively measure the achievements at each evaluation level, thereby providing an overall picture of the program’s impact on both students and program implementers.</w:t>
      </w:r>
    </w:p>
    <w:p w:rsidR="00D2147C" w:rsidRDefault="00D2147C">
      <w:pPr>
        <w:rPr>
          <w:rFonts w:ascii="Times New Roman Regular" w:hAnsi="Times New Roman Regular" w:hint="eastAsia"/>
          <w:sz w:val="22"/>
          <w:szCs w:val="22"/>
        </w:rPr>
      </w:pPr>
    </w:p>
    <w:p w:rsidR="00D2147C" w:rsidRDefault="007B1E8B">
      <w:pPr>
        <w:rPr>
          <w:rFonts w:ascii="Times New Roman Regular" w:hAnsi="Times New Roman Regular" w:hint="eastAsia"/>
          <w:b/>
          <w:bCs/>
          <w:sz w:val="22"/>
          <w:szCs w:val="22"/>
        </w:rPr>
      </w:pPr>
      <w:r>
        <w:rPr>
          <w:rFonts w:ascii="Times New Roman Regular" w:hAnsi="Times New Roman Regular"/>
          <w:b/>
          <w:bCs/>
          <w:sz w:val="22"/>
          <w:szCs w:val="22"/>
        </w:rPr>
        <w:t>2.2 Population and Sampling Technique</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The study population consisted of all public and private junior high schools (</w:t>
      </w:r>
      <w:proofErr w:type="spellStart"/>
      <w:r>
        <w:rPr>
          <w:rFonts w:ascii="Times New Roman Regular" w:hAnsi="Times New Roman Regular"/>
          <w:sz w:val="22"/>
          <w:szCs w:val="22"/>
        </w:rPr>
        <w:t>Sekolah</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Menengah</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Pertama</w:t>
      </w:r>
      <w:proofErr w:type="spellEnd"/>
      <w:r>
        <w:rPr>
          <w:rFonts w:ascii="Times New Roman Regular" w:hAnsi="Times New Roman Regular"/>
          <w:sz w:val="22"/>
          <w:szCs w:val="22"/>
        </w:rPr>
        <w:t xml:space="preserve">, SMP) in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Regency. The sample was determined using purposive sampling based on the following criteria:</w:t>
      </w:r>
    </w:p>
    <w:p w:rsidR="00D2147C" w:rsidRDefault="007B1E8B">
      <w:pPr>
        <w:numPr>
          <w:ilvl w:val="0"/>
          <w:numId w:val="12"/>
        </w:numPr>
        <w:rPr>
          <w:rFonts w:ascii="Times New Roman Regular" w:hAnsi="Times New Roman Regular" w:hint="eastAsia"/>
          <w:sz w:val="22"/>
          <w:szCs w:val="22"/>
        </w:rPr>
      </w:pPr>
      <w:r>
        <w:rPr>
          <w:rFonts w:ascii="Times New Roman Regular" w:hAnsi="Times New Roman Regular"/>
          <w:sz w:val="22"/>
          <w:szCs w:val="22"/>
        </w:rPr>
        <w:t xml:space="preserve">Schools that have obtained an official Decree (Surat Keputusan, SK) designating them as </w:t>
      </w:r>
      <w:proofErr w:type="spellStart"/>
      <w:r>
        <w:rPr>
          <w:rFonts w:ascii="Times New Roman Regular" w:hAnsi="Times New Roman Regular"/>
          <w:sz w:val="22"/>
          <w:szCs w:val="22"/>
        </w:rPr>
        <w:t>Sekolah</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Penggerak</w:t>
      </w:r>
      <w:proofErr w:type="spellEnd"/>
      <w:r>
        <w:rPr>
          <w:rFonts w:ascii="Times New Roman Regular" w:hAnsi="Times New Roman Regular"/>
          <w:sz w:val="22"/>
          <w:szCs w:val="22"/>
        </w:rPr>
        <w:t>.</w:t>
      </w:r>
    </w:p>
    <w:p w:rsidR="00D2147C" w:rsidRDefault="007B1E8B">
      <w:pPr>
        <w:numPr>
          <w:ilvl w:val="0"/>
          <w:numId w:val="12"/>
        </w:numPr>
        <w:rPr>
          <w:rFonts w:ascii="Times New Roman Regular" w:hAnsi="Times New Roman Regular" w:hint="eastAsia"/>
          <w:sz w:val="22"/>
          <w:szCs w:val="22"/>
        </w:rPr>
      </w:pPr>
      <w:r>
        <w:rPr>
          <w:rFonts w:ascii="Times New Roman Regular" w:hAnsi="Times New Roman Regular"/>
          <w:sz w:val="22"/>
          <w:szCs w:val="22"/>
        </w:rPr>
        <w:t>Schools actively involved in the planning, implementation, and evaluation of the GLS program.</w:t>
      </w:r>
    </w:p>
    <w:p w:rsidR="00D2147C" w:rsidRDefault="00D2147C">
      <w:pPr>
        <w:rPr>
          <w:rFonts w:ascii="Times New Roman Regular" w:hAnsi="Times New Roman Regular" w:hint="eastAsia"/>
          <w:sz w:val="22"/>
          <w:szCs w:val="22"/>
        </w:rPr>
      </w:pP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Based on these criteria, four SMPs met the requirements. Respondents from each school included principals, teachers, and literacy coordinators. The total number of respondents was 146 respondents.</w:t>
      </w:r>
    </w:p>
    <w:p w:rsidR="00D2147C" w:rsidRDefault="00D2147C">
      <w:pPr>
        <w:ind w:firstLine="420"/>
        <w:rPr>
          <w:rFonts w:ascii="Times New Roman Regular" w:hAnsi="Times New Roman Regular" w:hint="eastAsia"/>
          <w:sz w:val="22"/>
          <w:szCs w:val="22"/>
        </w:rPr>
      </w:pPr>
    </w:p>
    <w:p w:rsidR="00D2147C" w:rsidRDefault="007B1E8B">
      <w:pPr>
        <w:rPr>
          <w:rFonts w:ascii="Times New Roman Regular" w:hAnsi="Times New Roman Regular" w:hint="eastAsia"/>
          <w:b/>
          <w:bCs/>
          <w:sz w:val="22"/>
          <w:szCs w:val="22"/>
        </w:rPr>
      </w:pPr>
      <w:r>
        <w:rPr>
          <w:rFonts w:ascii="Times New Roman Regular" w:hAnsi="Times New Roman Regular"/>
          <w:b/>
          <w:bCs/>
          <w:sz w:val="22"/>
          <w:szCs w:val="22"/>
        </w:rPr>
        <w:t>2.3 Data Collection Procedure</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The research process was carried out in three main stages:</w:t>
      </w:r>
    </w:p>
    <w:p w:rsidR="00D2147C" w:rsidRDefault="007B1E8B">
      <w:pPr>
        <w:numPr>
          <w:ilvl w:val="0"/>
          <w:numId w:val="13"/>
        </w:numPr>
        <w:tabs>
          <w:tab w:val="clear" w:pos="425"/>
        </w:tabs>
        <w:rPr>
          <w:rFonts w:ascii="Times New Roman Regular" w:hAnsi="Times New Roman Regular" w:hint="eastAsia"/>
          <w:sz w:val="22"/>
          <w:szCs w:val="22"/>
        </w:rPr>
      </w:pPr>
      <w:r>
        <w:rPr>
          <w:rFonts w:ascii="Times New Roman Regular" w:hAnsi="Times New Roman Regular"/>
          <w:sz w:val="22"/>
          <w:szCs w:val="22"/>
        </w:rPr>
        <w:t>Preparation – Development and validation of the instrument, followed by a pilot test in non-sample schools.</w:t>
      </w:r>
    </w:p>
    <w:p w:rsidR="00D2147C" w:rsidRDefault="007B1E8B">
      <w:pPr>
        <w:numPr>
          <w:ilvl w:val="0"/>
          <w:numId w:val="13"/>
        </w:numPr>
        <w:tabs>
          <w:tab w:val="clear" w:pos="425"/>
        </w:tabs>
        <w:rPr>
          <w:rFonts w:ascii="Times New Roman Regular" w:hAnsi="Times New Roman Regular" w:hint="eastAsia"/>
          <w:sz w:val="22"/>
          <w:szCs w:val="22"/>
        </w:rPr>
      </w:pPr>
      <w:r>
        <w:rPr>
          <w:rFonts w:ascii="Times New Roman Regular" w:hAnsi="Times New Roman Regular"/>
          <w:sz w:val="22"/>
          <w:szCs w:val="22"/>
        </w:rPr>
        <w:t>Implementation – Distribution of questionnaires to respondents during official GLS program meetings.</w:t>
      </w:r>
    </w:p>
    <w:p w:rsidR="00D2147C" w:rsidRDefault="007B1E8B">
      <w:pPr>
        <w:numPr>
          <w:ilvl w:val="0"/>
          <w:numId w:val="13"/>
        </w:numPr>
        <w:tabs>
          <w:tab w:val="clear" w:pos="425"/>
        </w:tabs>
        <w:rPr>
          <w:rFonts w:ascii="Times New Roman Regular" w:hAnsi="Times New Roman Regular" w:hint="eastAsia"/>
          <w:sz w:val="22"/>
          <w:szCs w:val="22"/>
        </w:rPr>
      </w:pPr>
      <w:r>
        <w:rPr>
          <w:rFonts w:ascii="Times New Roman Regular" w:hAnsi="Times New Roman Regular"/>
          <w:sz w:val="22"/>
          <w:szCs w:val="22"/>
        </w:rPr>
        <w:t>Collection and Verification – Retrieval of completed questionnaires, checking the completeness of responses, coding, and preparing data for statistical analysis.</w:t>
      </w:r>
    </w:p>
    <w:p w:rsidR="00D2147C" w:rsidRDefault="00D2147C">
      <w:pPr>
        <w:rPr>
          <w:rFonts w:ascii="Times New Roman Regular" w:hAnsi="Times New Roman Regular" w:hint="eastAsia"/>
          <w:sz w:val="22"/>
          <w:szCs w:val="22"/>
        </w:rPr>
      </w:pPr>
    </w:p>
    <w:p w:rsidR="00D2147C" w:rsidRDefault="007B1E8B">
      <w:pPr>
        <w:rPr>
          <w:rFonts w:ascii="Times New Roman Regular" w:hAnsi="Times New Roman Regular" w:hint="eastAsia"/>
          <w:sz w:val="22"/>
          <w:szCs w:val="22"/>
        </w:rPr>
      </w:pPr>
      <w:r>
        <w:rPr>
          <w:rFonts w:ascii="Times New Roman Regular" w:hAnsi="Times New Roman Regular"/>
          <w:b/>
          <w:bCs/>
          <w:sz w:val="22"/>
          <w:szCs w:val="22"/>
        </w:rPr>
        <w:t>2.4 Data Analysis Technique</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Data were analyzed using multiple linear regression analysis to examine the relationships among variables:</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 The effect of reaction (X₁) and learning (X₂) on behavior (Z).</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 xml:space="preserve"> The effect of behavior (Z) on results (Y).</w:t>
      </w:r>
    </w:p>
    <w:p w:rsidR="00D2147C" w:rsidRDefault="007B1E8B">
      <w:pPr>
        <w:rPr>
          <w:rFonts w:ascii="Times New Roman Regular" w:hAnsi="Times New Roman Regular" w:hint="eastAsia"/>
          <w:sz w:val="22"/>
          <w:szCs w:val="22"/>
        </w:rPr>
      </w:pPr>
      <w:r>
        <w:rPr>
          <w:rFonts w:ascii="Times New Roman Regular" w:hAnsi="Times New Roman Regular"/>
          <w:sz w:val="22"/>
          <w:szCs w:val="22"/>
        </w:rPr>
        <w:t>This approach allowed the researcher to assess both direct and indirect effects of each evaluation component. All analyses were conducted using JASP software.</w:t>
      </w:r>
    </w:p>
    <w:p w:rsidR="00D2147C" w:rsidRDefault="007B1E8B">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Results and Discussion</w:t>
      </w:r>
    </w:p>
    <w:p w:rsidR="00D2147C" w:rsidRDefault="007B1E8B">
      <w:pPr>
        <w:rPr>
          <w:rFonts w:ascii="Times New Roman Regular" w:hAnsi="Times New Roman Regular" w:hint="eastAsia"/>
          <w:b/>
          <w:bCs/>
          <w:sz w:val="22"/>
          <w:szCs w:val="22"/>
        </w:rPr>
      </w:pPr>
      <w:r>
        <w:rPr>
          <w:rFonts w:ascii="Times New Roman Regular" w:hAnsi="Times New Roman Regular"/>
          <w:b/>
          <w:bCs/>
          <w:sz w:val="22"/>
          <w:szCs w:val="22"/>
        </w:rPr>
        <w:t>3.1 Linear Regression</w:t>
      </w:r>
    </w:p>
    <w:p w:rsidR="00D2147C" w:rsidRDefault="00D2147C">
      <w:pPr>
        <w:rPr>
          <w:rFonts w:ascii="Times New Roman Regular" w:hAnsi="Times New Roman Regular" w:hint="eastAsia"/>
          <w:sz w:val="22"/>
          <w:szCs w:val="22"/>
        </w:rPr>
      </w:pPr>
    </w:p>
    <w:tbl>
      <w:tblPr>
        <w:tblW w:w="0" w:type="auto"/>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80"/>
        <w:gridCol w:w="73"/>
        <w:gridCol w:w="480"/>
        <w:gridCol w:w="36"/>
        <w:gridCol w:w="480"/>
        <w:gridCol w:w="36"/>
        <w:gridCol w:w="926"/>
        <w:gridCol w:w="70"/>
        <w:gridCol w:w="535"/>
        <w:gridCol w:w="40"/>
      </w:tblGrid>
      <w:tr w:rsidR="00D2147C">
        <w:trPr>
          <w:tblHeader/>
          <w:jc w:val="center"/>
        </w:trPr>
        <w:tc>
          <w:tcPr>
            <w:tcW w:w="0" w:type="auto"/>
            <w:gridSpan w:val="10"/>
            <w:tcBorders>
              <w:top w:val="nil"/>
              <w:left w:val="nil"/>
              <w:bottom w:val="single" w:sz="8" w:space="0" w:color="000000"/>
              <w:right w:val="nil"/>
            </w:tcBorders>
            <w:vAlign w:val="center"/>
          </w:tcPr>
          <w:p w:rsidR="00D2147C" w:rsidRDefault="007B1E8B">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lastRenderedPageBreak/>
              <w:t xml:space="preserve">Model Summary - Y </w:t>
            </w:r>
          </w:p>
        </w:tc>
      </w:tr>
      <w:tr w:rsidR="00D2147C">
        <w:trPr>
          <w:tblHeader/>
          <w:jc w:val="center"/>
        </w:trPr>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Model</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R²</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Adjusted R²</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RMSE</w:t>
            </w:r>
          </w:p>
        </w:tc>
      </w:tr>
      <w:tr w:rsidR="00D2147C">
        <w:trPr>
          <w:jc w:val="center"/>
        </w:trPr>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H₀</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2.855</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r>
      <w:tr w:rsidR="00D2147C">
        <w:trPr>
          <w:jc w:val="center"/>
        </w:trPr>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H₁</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shd w:val="clear" w:color="auto" w:fill="92D050"/>
                <w:lang w:bidi="ar"/>
              </w:rPr>
              <w:t>0.907</w:t>
            </w:r>
          </w:p>
        </w:tc>
        <w:tc>
          <w:tcPr>
            <w:tcW w:w="0" w:type="auto"/>
            <w:tcBorders>
              <w:top w:val="nil"/>
              <w:left w:val="nil"/>
              <w:bottom w:val="nil"/>
              <w:right w:val="nil"/>
            </w:tcBorders>
            <w:shd w:val="clear" w:color="auto" w:fill="FFFF00"/>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shd w:val="clear" w:color="auto" w:fill="FFFF00"/>
                <w:lang w:bidi="ar"/>
              </w:rPr>
              <w:t>0.822</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0.818</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1.218</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20"/>
                <w:szCs w:val="20"/>
              </w:rPr>
            </w:pPr>
          </w:p>
        </w:tc>
      </w:tr>
      <w:tr w:rsidR="00D2147C">
        <w:trPr>
          <w:jc w:val="center"/>
        </w:trPr>
        <w:tc>
          <w:tcPr>
            <w:tcW w:w="0" w:type="auto"/>
            <w:gridSpan w:val="10"/>
            <w:tcBorders>
              <w:top w:val="nil"/>
              <w:left w:val="nil"/>
              <w:bottom w:val="single" w:sz="18" w:space="0" w:color="000000"/>
              <w:right w:val="nil"/>
            </w:tcBorders>
            <w:vAlign w:val="center"/>
          </w:tcPr>
          <w:p w:rsidR="00D2147C" w:rsidRDefault="00D2147C">
            <w:pPr>
              <w:jc w:val="right"/>
              <w:rPr>
                <w:rFonts w:ascii="Times New Roman Regular" w:hAnsi="Times New Roman Regular" w:cs="Times New Roman Regular" w:hint="eastAsia"/>
                <w:sz w:val="20"/>
                <w:szCs w:val="20"/>
              </w:rPr>
            </w:pPr>
          </w:p>
        </w:tc>
      </w:tr>
    </w:tbl>
    <w:p w:rsidR="00875953" w:rsidRDefault="00875953" w:rsidP="00875953">
      <w:pPr>
        <w:rPr>
          <w:rFonts w:ascii="Times New Roman Regular" w:hAnsi="Times New Roman Regular" w:hint="eastAsia"/>
          <w:sz w:val="22"/>
          <w:szCs w:val="22"/>
        </w:rPr>
      </w:pPr>
      <w:r>
        <w:rPr>
          <w:rFonts w:ascii="Times New Roman Regular" w:hAnsi="Times New Roman Regular" w:hint="eastAsia"/>
          <w:sz w:val="22"/>
          <w:szCs w:val="22"/>
        </w:rPr>
        <w:t>T</w:t>
      </w:r>
      <w:r>
        <w:rPr>
          <w:rFonts w:ascii="Times New Roman Regular" w:hAnsi="Times New Roman Regular"/>
          <w:sz w:val="22"/>
          <w:szCs w:val="22"/>
        </w:rPr>
        <w:t>able 1</w:t>
      </w:r>
      <w:r w:rsidR="00B46343">
        <w:rPr>
          <w:rFonts w:ascii="Times New Roman Regular" w:hAnsi="Times New Roman Regular"/>
          <w:sz w:val="22"/>
          <w:szCs w:val="22"/>
        </w:rPr>
        <w:t xml:space="preserve">. </w:t>
      </w:r>
      <w:r w:rsidRPr="007D6998">
        <w:rPr>
          <w:rFonts w:ascii="Times New Roman Regular" w:hAnsi="Times New Roman Regular"/>
          <w:b/>
          <w:bCs/>
          <w:sz w:val="22"/>
          <w:szCs w:val="22"/>
        </w:rPr>
        <w:t xml:space="preserve">The table </w:t>
      </w:r>
      <w:r w:rsidRPr="007D6998">
        <w:rPr>
          <w:rFonts w:ascii="Times New Roman Regular" w:hAnsi="Times New Roman Regular" w:hint="eastAsia"/>
          <w:b/>
          <w:bCs/>
          <w:sz w:val="22"/>
          <w:szCs w:val="22"/>
        </w:rPr>
        <w:t>shows</w:t>
      </w:r>
      <w:r w:rsidRPr="007D6998">
        <w:rPr>
          <w:rFonts w:ascii="Times New Roman Regular" w:hAnsi="Times New Roman Regular"/>
          <w:b/>
          <w:bCs/>
          <w:sz w:val="22"/>
          <w:szCs w:val="22"/>
        </w:rPr>
        <w:t xml:space="preserve"> the Linear Regression</w:t>
      </w:r>
    </w:p>
    <w:p w:rsidR="00D2147C" w:rsidRDefault="00D2147C">
      <w:pPr>
        <w:rPr>
          <w:rFonts w:ascii="Times New Roman Regular" w:hAnsi="Times New Roman Regular" w:hint="eastAsia"/>
          <w:sz w:val="22"/>
          <w:szCs w:val="22"/>
        </w:rPr>
      </w:pP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The results of the regression analysis on the outcome variable (Y) indicate that in the initial model (H₀), the values for the correlation coefficient (R), coefficient of determination (R²), and adjusted R² were all 0.000, with a Root Mean Square Error (RMSE) of 2.855. This suggests that the model without predictor variables was unable to explain any variation in the outcome variable. However, when two independent variables—reaction (X₁) and learning (X₂)—were included through the mediating variable behavior (Z) in the alternative model (H₁), a highly significant improvement was observed. The R value increased to 0.907, indicating a very strong correlation between the predictor variables and the outcome variable. Furthermore, an R² value of 0.822 indicates that 82.2% of the variation in the outcome (Y) can be explained by the model that includes reaction, learning, and behavior. The adjusted R² value of 0.818 suggests that the model remains robust and stable even after adjusting for the number of predictor variables. Additionally, the decrease in RMSE from 2.855 to 1.218 reflects a substantial improvement in the model's accuracy in predicting the outcome variable. Therefore, model H₁ demonstrates that both reaction and learning, through behavior, have a significant and substantial influence on achieving results (Y), supporting the effectiveness of the evaluation approach based on the Kirkpatrick Model.</w:t>
      </w:r>
    </w:p>
    <w:p w:rsidR="00D2147C" w:rsidRDefault="00D2147C">
      <w:pPr>
        <w:rPr>
          <w:rFonts w:ascii="Times New Roman Regular" w:hAnsi="Times New Roman Regular" w:hint="eastAsia"/>
          <w:sz w:val="22"/>
          <w:szCs w:val="22"/>
        </w:rPr>
      </w:pPr>
    </w:p>
    <w:p w:rsidR="00D2147C" w:rsidRDefault="007B1E8B">
      <w:pPr>
        <w:rPr>
          <w:rFonts w:ascii="Times New Roman Regular" w:hAnsi="Times New Roman Regular" w:hint="eastAsia"/>
          <w:b/>
          <w:bCs/>
          <w:sz w:val="22"/>
          <w:szCs w:val="22"/>
        </w:rPr>
      </w:pPr>
      <w:r>
        <w:rPr>
          <w:rFonts w:ascii="Times New Roman Regular" w:hAnsi="Times New Roman Regular"/>
          <w:b/>
          <w:bCs/>
          <w:sz w:val="22"/>
          <w:szCs w:val="22"/>
        </w:rPr>
        <w:t>3.2 ANOVA Test</w:t>
      </w:r>
    </w:p>
    <w:tbl>
      <w:tblPr>
        <w:tblW w:w="0" w:type="auto"/>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51"/>
        <w:gridCol w:w="83"/>
        <w:gridCol w:w="884"/>
        <w:gridCol w:w="43"/>
        <w:gridCol w:w="1178"/>
        <w:gridCol w:w="67"/>
        <w:gridCol w:w="322"/>
        <w:gridCol w:w="43"/>
        <w:gridCol w:w="983"/>
        <w:gridCol w:w="64"/>
        <w:gridCol w:w="656"/>
        <w:gridCol w:w="43"/>
        <w:gridCol w:w="526"/>
        <w:gridCol w:w="43"/>
      </w:tblGrid>
      <w:tr w:rsidR="00D2147C">
        <w:trPr>
          <w:tblHeader/>
          <w:jc w:val="center"/>
        </w:trPr>
        <w:tc>
          <w:tcPr>
            <w:tcW w:w="0" w:type="auto"/>
            <w:gridSpan w:val="14"/>
            <w:tcBorders>
              <w:top w:val="nil"/>
              <w:left w:val="nil"/>
              <w:bottom w:val="single" w:sz="8" w:space="0" w:color="000000"/>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b/>
                <w:bCs/>
                <w:kern w:val="0"/>
                <w:sz w:val="16"/>
                <w:szCs w:val="16"/>
                <w:lang w:bidi="ar"/>
              </w:rPr>
              <w:t xml:space="preserve">Table 2: ANOVA </w:t>
            </w:r>
            <w:r w:rsidR="00B46343">
              <w:rPr>
                <w:rFonts w:ascii="Times New Roman Regular" w:eastAsia="SimSun" w:hAnsi="Times New Roman Regular" w:cs="Times New Roman Regular"/>
                <w:b/>
                <w:bCs/>
                <w:kern w:val="0"/>
                <w:sz w:val="16"/>
                <w:szCs w:val="16"/>
                <w:lang w:bidi="ar"/>
              </w:rPr>
              <w:t>table</w:t>
            </w:r>
          </w:p>
        </w:tc>
      </w:tr>
      <w:tr w:rsidR="00D2147C">
        <w:trPr>
          <w:tblHeader/>
          <w:jc w:val="center"/>
        </w:trPr>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Model</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Sum of Squares</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df</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Mean Square</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F</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p</w:t>
            </w:r>
          </w:p>
        </w:tc>
      </w:tr>
      <w:tr w:rsidR="00D2147C">
        <w:trPr>
          <w:jc w:val="center"/>
        </w:trPr>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H₁</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Regression</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1086.066</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271.517</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shd w:val="clear" w:color="auto" w:fill="92D050"/>
                <w:lang w:bidi="ar"/>
              </w:rPr>
              <w:t>183.000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shd w:val="clear" w:color="auto" w:fill="FFFF00"/>
                <w:lang w:bidi="ar"/>
              </w:rPr>
              <w:t>&lt; .001</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Residual</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234.424</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158</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1.484</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Total</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1320.491</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162</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gridSpan w:val="14"/>
            <w:tcBorders>
              <w:top w:val="nil"/>
              <w:left w:val="nil"/>
              <w:bottom w:val="single" w:sz="18" w:space="0" w:color="000000"/>
              <w:right w:val="nil"/>
            </w:tcBorders>
            <w:vAlign w:val="center"/>
          </w:tcPr>
          <w:p w:rsidR="00D2147C" w:rsidRDefault="00D2147C">
            <w:pPr>
              <w:jc w:val="right"/>
              <w:rPr>
                <w:rFonts w:ascii="Times New Roman Regular" w:hAnsi="Times New Roman Regular" w:cs="Times New Roman Regular" w:hint="eastAsia"/>
                <w:sz w:val="16"/>
                <w:szCs w:val="16"/>
              </w:rPr>
            </w:pPr>
          </w:p>
        </w:tc>
      </w:tr>
      <w:tr w:rsidR="00D2147C">
        <w:trPr>
          <w:jc w:val="center"/>
        </w:trPr>
        <w:tc>
          <w:tcPr>
            <w:tcW w:w="0" w:type="auto"/>
            <w:gridSpan w:val="14"/>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Style w:val="Emphasis"/>
                <w:rFonts w:ascii="Times New Roman Regular" w:eastAsia="SimSun" w:hAnsi="Times New Roman Regular" w:cs="Times New Roman Regular"/>
                <w:kern w:val="0"/>
                <w:sz w:val="16"/>
                <w:szCs w:val="16"/>
                <w:lang w:bidi="ar"/>
              </w:rPr>
              <w:t>Note.</w:t>
            </w:r>
            <w:r>
              <w:rPr>
                <w:rFonts w:ascii="Times New Roman Regular" w:eastAsia="SimSun" w:hAnsi="Times New Roman Regular" w:cs="Times New Roman Regular"/>
                <w:kern w:val="0"/>
                <w:sz w:val="16"/>
                <w:szCs w:val="16"/>
                <w:lang w:bidi="ar"/>
              </w:rPr>
              <w:t xml:space="preserve">  The intercept model is omitted, as no meaningful information can be shown.</w:t>
            </w:r>
          </w:p>
        </w:tc>
      </w:tr>
    </w:tbl>
    <w:p w:rsidR="00D2147C" w:rsidRDefault="00D2147C">
      <w:pPr>
        <w:rPr>
          <w:rFonts w:ascii="Times New Roman Regular" w:hAnsi="Times New Roman Regular" w:hint="eastAsia"/>
          <w:sz w:val="22"/>
          <w:szCs w:val="22"/>
        </w:rPr>
      </w:pPr>
    </w:p>
    <w:p w:rsidR="00D2147C" w:rsidRDefault="007B1E8B">
      <w:pPr>
        <w:ind w:firstLine="420"/>
        <w:rPr>
          <w:rFonts w:ascii="Times New Roman Regular" w:hAnsi="Times New Roman Regular"/>
          <w:sz w:val="22"/>
          <w:szCs w:val="22"/>
        </w:rPr>
      </w:pPr>
      <w:r>
        <w:rPr>
          <w:rFonts w:ascii="Times New Roman Regular" w:hAnsi="Times New Roman Regular"/>
          <w:sz w:val="22"/>
          <w:szCs w:val="22"/>
        </w:rPr>
        <w:t>The results of the ANOVA (Analysis of Variance) for model H₁ indicate that the overall regression model is statistically significant in explaining the dependent variable, outcome (Y). The Sum of Squares for the regression is 1086.066 with degrees of freedom (df) = 4, resulting in a Mean Square of 271.517. Meanwhile, the residual Sum of Squares is 234.424 with df = 158, and the Mean Square error is 1.484. The total variance explained by the model is 1320.491. The F-statistic is 183.000 with a significance value of p &lt; .001, indicating that the regression model involving the variables reaction (X₁) and learning (X₂) (mediated by behavior/Z) is statistically significant in predicting the outcome (Y). The p-value, which is much lower than 0.05, confirms that the model’s predictive ability is not due to chance but has real statistical strength. Therefore, the ANOVA test reinforces the previous findings that the reaction and learning variables, mediated by behavior, collectively contribute significantly to the final outcomes of the program, in accordance with the Kirkpatrick Evaluation Model framework.</w:t>
      </w:r>
    </w:p>
    <w:p w:rsidR="00B46343" w:rsidRDefault="00B46343">
      <w:pPr>
        <w:ind w:firstLine="420"/>
        <w:rPr>
          <w:rFonts w:ascii="Times New Roman Regular" w:hAnsi="Times New Roman Regular"/>
          <w:sz w:val="22"/>
          <w:szCs w:val="22"/>
        </w:rPr>
      </w:pPr>
    </w:p>
    <w:p w:rsidR="00B46343" w:rsidRDefault="00B46343">
      <w:pPr>
        <w:ind w:firstLine="420"/>
        <w:rPr>
          <w:rFonts w:ascii="Times New Roman Regular" w:hAnsi="Times New Roman Regular"/>
          <w:sz w:val="22"/>
          <w:szCs w:val="22"/>
        </w:rPr>
      </w:pPr>
    </w:p>
    <w:p w:rsidR="00B46343" w:rsidRDefault="00B46343">
      <w:pPr>
        <w:ind w:firstLine="420"/>
        <w:rPr>
          <w:rFonts w:ascii="Times New Roman Regular" w:hAnsi="Times New Roman Regular"/>
          <w:sz w:val="22"/>
          <w:szCs w:val="22"/>
        </w:rPr>
      </w:pPr>
    </w:p>
    <w:p w:rsidR="00B46343" w:rsidRDefault="00B46343">
      <w:pPr>
        <w:ind w:firstLine="420"/>
        <w:rPr>
          <w:rFonts w:ascii="Times New Roman Regular" w:hAnsi="Times New Roman Regular"/>
          <w:sz w:val="22"/>
          <w:szCs w:val="22"/>
        </w:rPr>
      </w:pPr>
    </w:p>
    <w:p w:rsidR="00B46343" w:rsidRDefault="00B46343">
      <w:pPr>
        <w:ind w:firstLine="420"/>
        <w:rPr>
          <w:rFonts w:ascii="Times New Roman Regular" w:hAnsi="Times New Roman Regular" w:hint="eastAsia"/>
          <w:sz w:val="22"/>
          <w:szCs w:val="22"/>
        </w:rPr>
      </w:pPr>
    </w:p>
    <w:p w:rsidR="00D2147C" w:rsidRDefault="00D2147C">
      <w:pPr>
        <w:rPr>
          <w:rFonts w:ascii="Times New Roman Regular" w:hAnsi="Times New Roman Regular" w:hint="eastAsia"/>
          <w:sz w:val="22"/>
          <w:szCs w:val="22"/>
        </w:rPr>
      </w:pPr>
    </w:p>
    <w:tbl>
      <w:tblPr>
        <w:tblW w:w="7513" w:type="dxa"/>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28"/>
        <w:gridCol w:w="79"/>
        <w:gridCol w:w="810"/>
        <w:gridCol w:w="41"/>
        <w:gridCol w:w="1127"/>
        <w:gridCol w:w="86"/>
        <w:gridCol w:w="1087"/>
        <w:gridCol w:w="101"/>
        <w:gridCol w:w="926"/>
        <w:gridCol w:w="85"/>
        <w:gridCol w:w="532"/>
        <w:gridCol w:w="41"/>
        <w:gridCol w:w="499"/>
        <w:gridCol w:w="41"/>
        <w:gridCol w:w="746"/>
        <w:gridCol w:w="69"/>
        <w:gridCol w:w="746"/>
        <w:gridCol w:w="69"/>
      </w:tblGrid>
      <w:tr w:rsidR="00D2147C">
        <w:trPr>
          <w:tblHeader/>
          <w:jc w:val="center"/>
        </w:trPr>
        <w:tc>
          <w:tcPr>
            <w:tcW w:w="0" w:type="auto"/>
            <w:gridSpan w:val="18"/>
            <w:tcBorders>
              <w:top w:val="nil"/>
              <w:left w:val="nil"/>
              <w:bottom w:val="single" w:sz="8" w:space="0" w:color="000000"/>
              <w:right w:val="nil"/>
            </w:tcBorders>
            <w:vAlign w:val="center"/>
          </w:tcPr>
          <w:p w:rsidR="00D2147C" w:rsidRDefault="007B1E8B">
            <w:pPr>
              <w:widowControl/>
              <w:jc w:val="left"/>
              <w:rPr>
                <w:rFonts w:ascii="Times New Roman Bold Italic" w:hAnsi="Times New Roman Bold Italic" w:cs="Times New Roman Bold Italic" w:hint="eastAsia"/>
                <w:i/>
                <w:iCs/>
                <w:sz w:val="16"/>
                <w:szCs w:val="16"/>
              </w:rPr>
            </w:pPr>
            <w:bookmarkStart w:id="0" w:name="_GoBack"/>
            <w:r>
              <w:rPr>
                <w:rFonts w:ascii="Times New Roman Bold Italic" w:eastAsia="SimSun" w:hAnsi="Times New Roman Bold Italic" w:cs="Times New Roman Bold Italic"/>
                <w:b/>
                <w:bCs/>
                <w:i/>
                <w:iCs/>
                <w:kern w:val="0"/>
                <w:sz w:val="16"/>
                <w:szCs w:val="16"/>
                <w:lang w:bidi="ar"/>
              </w:rPr>
              <w:lastRenderedPageBreak/>
              <w:t>Table</w:t>
            </w:r>
            <w:bookmarkEnd w:id="0"/>
            <w:r>
              <w:rPr>
                <w:rFonts w:ascii="Times New Roman Bold Italic" w:eastAsia="SimSun" w:hAnsi="Times New Roman Bold Italic" w:cs="Times New Roman Bold Italic"/>
                <w:b/>
                <w:bCs/>
                <w:i/>
                <w:iCs/>
                <w:kern w:val="0"/>
                <w:sz w:val="16"/>
                <w:szCs w:val="16"/>
                <w:lang w:bidi="ar"/>
              </w:rPr>
              <w:t xml:space="preserve"> 3: Coefficients</w:t>
            </w:r>
            <w:r>
              <w:rPr>
                <w:rFonts w:ascii="Times New Roman Bold Italic" w:eastAsia="SimSun" w:hAnsi="Times New Roman Bold Italic" w:cs="Times New Roman Bold Italic"/>
                <w:i/>
                <w:iCs/>
                <w:kern w:val="0"/>
                <w:sz w:val="16"/>
                <w:szCs w:val="16"/>
                <w:lang w:bidi="ar"/>
              </w:rPr>
              <w:t xml:space="preserve"> </w:t>
            </w:r>
            <w:r w:rsidR="00B46343">
              <w:rPr>
                <w:rFonts w:ascii="Times New Roman Bold Italic" w:eastAsia="SimSun" w:hAnsi="Times New Roman Bold Italic" w:cs="Times New Roman Bold Italic"/>
                <w:i/>
                <w:iCs/>
                <w:kern w:val="0"/>
                <w:sz w:val="16"/>
                <w:szCs w:val="16"/>
                <w:lang w:bidi="ar"/>
              </w:rPr>
              <w:t>Results</w:t>
            </w:r>
          </w:p>
        </w:tc>
      </w:tr>
      <w:tr w:rsidR="00D2147C">
        <w:trPr>
          <w:tblHeader/>
          <w:jc w:val="center"/>
        </w:trPr>
        <w:tc>
          <w:tcPr>
            <w:tcW w:w="0" w:type="auto"/>
            <w:gridSpan w:val="14"/>
            <w:tcBorders>
              <w:top w:val="nil"/>
              <w:left w:val="nil"/>
              <w:bottom w:val="nil"/>
              <w:right w:val="nil"/>
            </w:tcBorders>
            <w:vAlign w:val="center"/>
          </w:tcPr>
          <w:p w:rsidR="00D2147C" w:rsidRDefault="00D2147C">
            <w:pPr>
              <w:jc w:val="center"/>
              <w:rPr>
                <w:rFonts w:ascii="Times New Roman Bold Italic" w:hAnsi="Times New Roman Bold Italic" w:cs="Times New Roman Bold Italic" w:hint="eastAsia"/>
                <w:i/>
                <w:iCs/>
                <w:sz w:val="16"/>
                <w:szCs w:val="16"/>
              </w:rPr>
            </w:pPr>
          </w:p>
        </w:tc>
        <w:tc>
          <w:tcPr>
            <w:tcW w:w="0" w:type="auto"/>
            <w:gridSpan w:val="4"/>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Collinearity Statistics</w:t>
            </w:r>
          </w:p>
        </w:tc>
      </w:tr>
      <w:tr w:rsidR="00D2147C">
        <w:trPr>
          <w:tblHeader/>
          <w:jc w:val="center"/>
        </w:trPr>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Model</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 </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Unstandardized</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Standard Error</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Standardized</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t</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p</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Tolerance</w:t>
            </w:r>
          </w:p>
        </w:tc>
        <w:tc>
          <w:tcPr>
            <w:tcW w:w="0" w:type="auto"/>
            <w:gridSpan w:val="2"/>
            <w:tcBorders>
              <w:top w:val="nil"/>
              <w:left w:val="nil"/>
              <w:bottom w:val="single" w:sz="8" w:space="0" w:color="000000"/>
              <w:right w:val="nil"/>
            </w:tcBorders>
            <w:vAlign w:val="center"/>
          </w:tcPr>
          <w:p w:rsidR="00D2147C" w:rsidRDefault="007B1E8B">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VIF</w:t>
            </w:r>
          </w:p>
        </w:tc>
      </w:tr>
      <w:tr w:rsidR="00D2147C">
        <w:trPr>
          <w:jc w:val="center"/>
        </w:trPr>
        <w:tc>
          <w:tcPr>
            <w:tcW w:w="0" w:type="auto"/>
            <w:tcBorders>
              <w:top w:val="nil"/>
              <w:left w:val="nil"/>
              <w:bottom w:val="nil"/>
              <w:right w:val="nil"/>
            </w:tcBorders>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H₀</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left"/>
              <w:rPr>
                <w:rFonts w:ascii="Times New Roman Italic" w:hAnsi="Times New Roman Italic" w:cs="Times New Roman Italic" w:hint="eastAsia"/>
                <w:i/>
                <w:iCs/>
                <w:sz w:val="16"/>
                <w:szCs w:val="16"/>
              </w:rPr>
            </w:pPr>
            <w:r>
              <w:rPr>
                <w:rFonts w:ascii="Times New Roman Italic" w:eastAsia="SimSun" w:hAnsi="Times New Roman Italic" w:cs="Times New Roman Italic"/>
                <w:i/>
                <w:iCs/>
                <w:kern w:val="0"/>
                <w:sz w:val="16"/>
                <w:szCs w:val="16"/>
                <w:lang w:bidi="ar"/>
              </w:rPr>
              <w:t>(Intercept)</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17.460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0.224</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78.078</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H₁</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left"/>
              <w:rPr>
                <w:rFonts w:ascii="Times New Roman Italic" w:hAnsi="Times New Roman Italic" w:cs="Times New Roman Italic" w:hint="eastAsia"/>
                <w:i/>
                <w:iCs/>
                <w:sz w:val="16"/>
                <w:szCs w:val="16"/>
              </w:rPr>
            </w:pPr>
            <w:r>
              <w:rPr>
                <w:rFonts w:ascii="Times New Roman Italic" w:eastAsia="SimSun" w:hAnsi="Times New Roman Italic" w:cs="Times New Roman Italic"/>
                <w:i/>
                <w:iCs/>
                <w:kern w:val="0"/>
                <w:sz w:val="16"/>
                <w:szCs w:val="16"/>
                <w:lang w:bidi="ar"/>
              </w:rPr>
              <w:t>(Intercept)</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2.013</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0.660</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3.052</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0.003</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X1</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0.174</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0.065</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0.207</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2.660</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0.009</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0.185</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5.406</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xml:space="preserve">X2 </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0.317</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0.064</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0.337</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4.978</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0.245</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4.076</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left"/>
              <w:rPr>
                <w:rFonts w:ascii="Times New Roman Regular" w:hAnsi="Times New Roman Regular" w:cs="Times New Roman Regular" w:hint="eastAsia"/>
                <w:sz w:val="16"/>
                <w:szCs w:val="16"/>
              </w:rPr>
            </w:pPr>
            <w:r>
              <w:rPr>
                <w:rFonts w:ascii="Times New Roman Regular" w:hAnsi="Times New Roman Regular" w:cs="Times New Roman Regular"/>
                <w:sz w:val="16"/>
                <w:szCs w:val="16"/>
              </w:rPr>
              <w:t>Z</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0.355</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0.060</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0.422</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5.868</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auto"/>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0.217</w:t>
            </w:r>
          </w:p>
        </w:tc>
        <w:tc>
          <w:tcPr>
            <w:tcW w:w="0" w:type="auto"/>
            <w:tcBorders>
              <w:top w:val="nil"/>
              <w:left w:val="nil"/>
              <w:bottom w:val="nil"/>
              <w:right w:val="nil"/>
            </w:tcBorders>
            <w:shd w:val="clear" w:color="auto" w:fill="auto"/>
            <w:vAlign w:val="center"/>
          </w:tcPr>
          <w:p w:rsidR="00D2147C" w:rsidRDefault="00D2147C">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rsidR="00D2147C" w:rsidRDefault="007B1E8B">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4.613</w:t>
            </w:r>
          </w:p>
        </w:tc>
        <w:tc>
          <w:tcPr>
            <w:tcW w:w="0" w:type="auto"/>
            <w:tcBorders>
              <w:top w:val="nil"/>
              <w:left w:val="nil"/>
              <w:bottom w:val="nil"/>
              <w:right w:val="nil"/>
            </w:tcBorders>
            <w:vAlign w:val="center"/>
          </w:tcPr>
          <w:p w:rsidR="00D2147C" w:rsidRDefault="00D2147C">
            <w:pPr>
              <w:jc w:val="left"/>
              <w:rPr>
                <w:rFonts w:ascii="Times New Roman Regular" w:hAnsi="Times New Roman Regular" w:cs="Times New Roman Regular" w:hint="eastAsia"/>
                <w:sz w:val="16"/>
                <w:szCs w:val="16"/>
              </w:rPr>
            </w:pPr>
          </w:p>
        </w:tc>
      </w:tr>
      <w:tr w:rsidR="00D2147C">
        <w:trPr>
          <w:jc w:val="center"/>
        </w:trPr>
        <w:tc>
          <w:tcPr>
            <w:tcW w:w="0" w:type="auto"/>
            <w:gridSpan w:val="18"/>
            <w:tcBorders>
              <w:top w:val="nil"/>
              <w:left w:val="nil"/>
              <w:bottom w:val="single" w:sz="18" w:space="0" w:color="000000"/>
              <w:right w:val="nil"/>
            </w:tcBorders>
            <w:vAlign w:val="center"/>
          </w:tcPr>
          <w:p w:rsidR="00D2147C" w:rsidRDefault="00D2147C">
            <w:pPr>
              <w:jc w:val="right"/>
              <w:rPr>
                <w:rFonts w:ascii="Times New Roman Regular" w:hAnsi="Times New Roman Regular" w:cs="Times New Roman Regular" w:hint="eastAsia"/>
                <w:sz w:val="16"/>
                <w:szCs w:val="16"/>
              </w:rPr>
            </w:pPr>
          </w:p>
        </w:tc>
      </w:tr>
    </w:tbl>
    <w:p w:rsidR="00D2147C" w:rsidRDefault="00D2147C">
      <w:pPr>
        <w:rPr>
          <w:rFonts w:ascii="Times New Roman Regular" w:hAnsi="Times New Roman Regular" w:hint="eastAsia"/>
          <w:sz w:val="22"/>
          <w:szCs w:val="22"/>
        </w:rPr>
      </w:pP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The regression analysis results show that all three predictor variables—reaction (X₁), learning (X₂), and behavior (Z)—significantly influence the outcome (Y). The model constant is 2.013 with a significance value of p = 0.003, indicating that even when all predictor variables are at zero, the model still yields an initial value for the outcome variable. However, the main focus lies on the contribution of each variable to the improvement of outcomes. The reaction variable (X₁) has an unstandardized coefficient of 0.174 and a p-value of 0.009, suggesting that participants’ reactions to the program have a positive and significant impact on the final outcomes. Although its contribution is relatively smaller compared to other variables, the beta coefficient of 0.207 confirms that participants' initial responses to the activities still play a role in the program’s success.</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Similarly, the learning variable (X₂) shows a greater impact, with a coefficient of 0.317 and a p-value &lt; 0.001. The beta coefficient of 0.337 indicates that improvements in participants’ understanding and knowledge contribute more substantially to the outcomes than reactions alone. The mediating variable, behavior (Z), emerges as the most dominant predictor in this model. With a coefficient of 0.355, a p-value &lt; 0.001, and the highest beta coefficient of 0.422, behavior plays a crucial role in bridging the effects of reaction and learning on the outcome. This means that behavioral changes in students, in response to their learning experiences, are a key determinant of the success of the literacy program. From a technical standpoint, the Tolerance and Variance Inflation Factor (VIF) values for all three variables indicate that no significant multicollinearity issues exist within the model. All VIF values are below the critical threshold of 10, and tolerance values exceed 0.1, supporting the stability and reliability of the regression model for drawing conclusions regarding program effectiveness based on the Kirkpatrick Four-Level Evaluation Model.</w:t>
      </w:r>
    </w:p>
    <w:p w:rsidR="00D2147C" w:rsidRDefault="007B1E8B">
      <w:pPr>
        <w:ind w:firstLine="420"/>
        <w:rPr>
          <w:rFonts w:ascii="Times New Roman Regular" w:hAnsi="Times New Roman Regular" w:hint="eastAsia"/>
          <w:sz w:val="22"/>
          <w:szCs w:val="22"/>
        </w:rPr>
      </w:pPr>
      <w:r>
        <w:rPr>
          <w:rFonts w:ascii="Times New Roman Regular" w:hAnsi="Times New Roman Regular"/>
          <w:sz w:val="22"/>
          <w:szCs w:val="22"/>
        </w:rPr>
        <w:t>Referring to the results of the regression analysis, ANOVA, and regression coefficients, it can be concluded that the Kirkpatrick evaluation model is empirically proven effective in measuring the success of the literacy program. The model, which incorporates the variables of reaction (X₁), learning (X₂), and behavior (Z), explains 82.2% of the variance in the outcome variable (Y), with a very strong correlation (R = 0.907) and a high level of statistical significance (p &lt; 0.001). These findings suggest that these three evaluation levels jointly make a significant contribution to students’ final outcomes, aligning with the principles of the Kirkpatrick Four-Level Model. In particular, behavior (Z) emerges as the variable with the strongest influence on outcomes (Y), based on its beta coefficient of 0.422. This indicates that behavioral change following the learning process is a primary indicator of program success. Learning (X₂) also plays a key role, with a greater contribution than reaction (X₁), which—although lower—still has a significant impact. Thus, these findings confirm that the effectiveness of a literacy program depends not only on initial reactions and cognitive understanding, but more importantly on the extent to which participants implement their learning in real-life behavior.</w:t>
      </w:r>
    </w:p>
    <w:p w:rsidR="00D2147C" w:rsidRDefault="00D2147C">
      <w:pPr>
        <w:rPr>
          <w:rFonts w:ascii="Times New Roman Regular" w:hAnsi="Times New Roman Regular" w:hint="eastAsia"/>
          <w:sz w:val="22"/>
          <w:szCs w:val="22"/>
        </w:rPr>
      </w:pPr>
    </w:p>
    <w:p w:rsidR="00D2147C" w:rsidRDefault="007B1E8B">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Conclusion</w:t>
      </w:r>
    </w:p>
    <w:p w:rsidR="00D2147C" w:rsidRDefault="007B1E8B">
      <w:pPr>
        <w:ind w:firstLine="420"/>
        <w:rPr>
          <w:rFonts w:ascii="Times New Roman Regular" w:hAnsi="Times New Roman Regular"/>
          <w:sz w:val="22"/>
          <w:szCs w:val="22"/>
        </w:rPr>
      </w:pPr>
      <w:r>
        <w:rPr>
          <w:rFonts w:ascii="Times New Roman Regular" w:hAnsi="Times New Roman Regular"/>
          <w:sz w:val="22"/>
          <w:szCs w:val="22"/>
        </w:rPr>
        <w:t xml:space="preserve">The findings of this study confirm that the Kirkpatrick Four-Level Evaluation Model is an effective framework for assessing the success of the School Literacy Movement </w:t>
      </w:r>
      <w:r>
        <w:rPr>
          <w:rFonts w:ascii="Times New Roman Regular" w:hAnsi="Times New Roman Regular"/>
          <w:sz w:val="22"/>
          <w:szCs w:val="22"/>
        </w:rPr>
        <w:lastRenderedPageBreak/>
        <w:t xml:space="preserve">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The final model (H₁), which integrates the variables of reaction (X₁), learning (X₂), and behavior (Z), demonstrates a strong predictive capacity, explaining 82.2% of the variance in the outcome variable (Y) with a high correlation (R = 0.907) and statistical significance (p &lt; .001). The ANOVA test further supports the model’s reliability, indicating that the regression as a whole is highly significant. Among the predictors, behavior (Z) is the most influential variable, with the highest beta coefficient (β = 0.422), emphasizing that behavioral change is a critical indicator of program effectiveness. Learning (X₂) also contributes substantially (β = 0.337), underscoring the importance of cognitive gains in supporting literacy outcomes. Although reaction (X₁) has a smaller effect (β = 0.207), it remains statistically significant, showing that participants’ initial responses to the program still play a role in determining its overall </w:t>
      </w:r>
      <w:proofErr w:type="spellStart"/>
      <w:proofErr w:type="gramStart"/>
      <w:r>
        <w:rPr>
          <w:rFonts w:ascii="Times New Roman Regular" w:hAnsi="Times New Roman Regular"/>
          <w:sz w:val="22"/>
          <w:szCs w:val="22"/>
        </w:rPr>
        <w:t>impact.In</w:t>
      </w:r>
      <w:proofErr w:type="spellEnd"/>
      <w:proofErr w:type="gramEnd"/>
      <w:r>
        <w:rPr>
          <w:rFonts w:ascii="Times New Roman Regular" w:hAnsi="Times New Roman Regular"/>
          <w:sz w:val="22"/>
          <w:szCs w:val="22"/>
        </w:rPr>
        <w:t xml:space="preserve"> summary, this study demonstrates that the effectiveness of a reading and writing literacy program is not solely dependent on participants’ initial reactions or learning outcomes, but more importantly on how well these are translated into behavioral change. The integrated use of the Kirkpatrick model provides a valid and comprehensive tool for evaluating educational interventions, highlighting the importance of aligning reaction, learning, and behavior to achieve meaningful and measurable results.</w:t>
      </w:r>
    </w:p>
    <w:p w:rsidR="00B46343" w:rsidRDefault="00B46343">
      <w:pPr>
        <w:ind w:firstLine="420"/>
        <w:rPr>
          <w:rFonts w:ascii="Times New Roman Regular" w:hAnsi="Times New Roman Regular" w:cs="Times New Roman Regular"/>
          <w:sz w:val="22"/>
          <w:szCs w:val="22"/>
        </w:rPr>
      </w:pPr>
    </w:p>
    <w:p w:rsidR="00B46343" w:rsidRPr="00B46343" w:rsidRDefault="00B46343" w:rsidP="00B46343">
      <w:pPr>
        <w:rPr>
          <w:rFonts w:ascii="Times New Roman Regular" w:hAnsi="Times New Roman Regular" w:cs="Times New Roman Regular"/>
          <w:b/>
          <w:sz w:val="22"/>
          <w:szCs w:val="22"/>
        </w:rPr>
      </w:pPr>
      <w:r w:rsidRPr="00B46343">
        <w:rPr>
          <w:rFonts w:ascii="Times New Roman Regular" w:hAnsi="Times New Roman Regular" w:cs="Times New Roman Regular"/>
          <w:b/>
          <w:sz w:val="22"/>
          <w:szCs w:val="22"/>
        </w:rPr>
        <w:t>Disclaimer (Artificial intelligence)</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 xml:space="preserve">Option 1: </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Author(s) hereby declare that NO generative AI technologies such as Large Language Models (</w:t>
      </w:r>
      <w:proofErr w:type="spellStart"/>
      <w:r w:rsidRPr="00B46343">
        <w:rPr>
          <w:rFonts w:ascii="Times New Roman Regular" w:hAnsi="Times New Roman Regular" w:cs="Times New Roman Regular"/>
          <w:sz w:val="22"/>
          <w:szCs w:val="22"/>
        </w:rPr>
        <w:t>ChatGPT</w:t>
      </w:r>
      <w:proofErr w:type="spellEnd"/>
      <w:r w:rsidRPr="00B46343">
        <w:rPr>
          <w:rFonts w:ascii="Times New Roman Regular" w:hAnsi="Times New Roman Regular" w:cs="Times New Roman Regular"/>
          <w:sz w:val="22"/>
          <w:szCs w:val="22"/>
        </w:rPr>
        <w:t xml:space="preserve">, COPILOT, etc.) and text-to-image generators have been used during the writing or editing of this manuscript. </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 xml:space="preserve">Option 2: </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Details of the AI usage are given below:</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1.</w:t>
      </w:r>
    </w:p>
    <w:p w:rsidR="00B46343" w:rsidRPr="00B46343" w:rsidRDefault="00B46343" w:rsidP="00B46343">
      <w:pPr>
        <w:ind w:firstLine="420"/>
        <w:rPr>
          <w:rFonts w:ascii="Times New Roman Regular" w:hAnsi="Times New Roman Regular" w:cs="Times New Roman Regular"/>
          <w:sz w:val="22"/>
          <w:szCs w:val="22"/>
        </w:rPr>
      </w:pPr>
      <w:r w:rsidRPr="00B46343">
        <w:rPr>
          <w:rFonts w:ascii="Times New Roman Regular" w:hAnsi="Times New Roman Regular" w:cs="Times New Roman Regular"/>
          <w:sz w:val="22"/>
          <w:szCs w:val="22"/>
        </w:rPr>
        <w:t>2.</w:t>
      </w:r>
    </w:p>
    <w:p w:rsidR="00B46343" w:rsidRDefault="00B46343" w:rsidP="00B46343">
      <w:pPr>
        <w:ind w:firstLine="420"/>
        <w:rPr>
          <w:rFonts w:ascii="Times New Roman Regular" w:hAnsi="Times New Roman Regular" w:cs="Times New Roman Regular" w:hint="eastAsia"/>
          <w:sz w:val="22"/>
          <w:szCs w:val="22"/>
        </w:rPr>
      </w:pPr>
      <w:r w:rsidRPr="00B46343">
        <w:rPr>
          <w:rFonts w:ascii="Times New Roman Regular" w:hAnsi="Times New Roman Regular" w:cs="Times New Roman Regular"/>
          <w:sz w:val="22"/>
          <w:szCs w:val="22"/>
        </w:rPr>
        <w:t>3.</w:t>
      </w:r>
    </w:p>
    <w:p w:rsidR="00D2147C" w:rsidRDefault="007B1E8B">
      <w:pPr>
        <w:rPr>
          <w:rFonts w:ascii="Times New Roman Regular" w:hAnsi="Times New Roman Regular" w:cs="Times New Roman Regular" w:hint="eastAsia"/>
          <w:b/>
          <w:bCs/>
          <w:sz w:val="22"/>
          <w:szCs w:val="22"/>
        </w:rPr>
      </w:pPr>
      <w:r>
        <w:rPr>
          <w:rFonts w:ascii="Times New Roman Regular" w:hAnsi="Times New Roman Regular" w:cs="Times New Roman Regular"/>
          <w:b/>
          <w:bCs/>
          <w:sz w:val="22"/>
          <w:szCs w:val="22"/>
        </w:rPr>
        <w:t>Reference</w:t>
      </w:r>
    </w:p>
    <w:p w:rsidR="00D2147C" w:rsidRDefault="007B1E8B">
      <w:pPr>
        <w:widowControl/>
        <w:ind w:left="838" w:hangingChars="381" w:hanging="838"/>
        <w:rPr>
          <w:rFonts w:ascii="Times New Roman" w:eastAsia="SimSun" w:hAnsi="Times New Roman" w:cs="Times New Roman"/>
          <w:iCs/>
          <w:color w:val="222222"/>
          <w:kern w:val="0"/>
          <w:sz w:val="22"/>
          <w:szCs w:val="22"/>
          <w:shd w:val="clear" w:color="auto" w:fill="FFFFFF"/>
          <w:lang w:bidi="ar"/>
        </w:rPr>
      </w:pPr>
      <w:proofErr w:type="spellStart"/>
      <w:r>
        <w:rPr>
          <w:rFonts w:ascii="Times New Roman" w:eastAsia="SimSun" w:hAnsi="Times New Roman" w:cs="Times New Roman"/>
          <w:iCs/>
          <w:color w:val="222222"/>
          <w:kern w:val="0"/>
          <w:sz w:val="22"/>
          <w:szCs w:val="22"/>
          <w:shd w:val="clear" w:color="auto" w:fill="FFFFFF"/>
          <w:lang w:bidi="ar"/>
        </w:rPr>
        <w:t>Azzahra</w:t>
      </w:r>
      <w:proofErr w:type="spellEnd"/>
      <w:r>
        <w:rPr>
          <w:rFonts w:ascii="Times New Roman" w:eastAsia="SimSun" w:hAnsi="Times New Roman" w:cs="Times New Roman"/>
          <w:iCs/>
          <w:color w:val="222222"/>
          <w:kern w:val="0"/>
          <w:sz w:val="22"/>
          <w:szCs w:val="22"/>
          <w:shd w:val="clear" w:color="auto" w:fill="FFFFFF"/>
          <w:lang w:bidi="ar"/>
        </w:rPr>
        <w:t xml:space="preserve">, S. F., &amp; </w:t>
      </w:r>
      <w:proofErr w:type="spellStart"/>
      <w:r>
        <w:rPr>
          <w:rFonts w:ascii="Times New Roman" w:eastAsia="SimSun" w:hAnsi="Times New Roman" w:cs="Times New Roman"/>
          <w:iCs/>
          <w:color w:val="222222"/>
          <w:kern w:val="0"/>
          <w:sz w:val="22"/>
          <w:szCs w:val="22"/>
          <w:shd w:val="clear" w:color="auto" w:fill="FFFFFF"/>
          <w:lang w:bidi="ar"/>
        </w:rPr>
        <w:t>Rahyasih</w:t>
      </w:r>
      <w:proofErr w:type="spellEnd"/>
      <w:r>
        <w:rPr>
          <w:rFonts w:ascii="Times New Roman" w:eastAsia="SimSun" w:hAnsi="Times New Roman" w:cs="Times New Roman"/>
          <w:iCs/>
          <w:color w:val="222222"/>
          <w:kern w:val="0"/>
          <w:sz w:val="22"/>
          <w:szCs w:val="22"/>
          <w:shd w:val="clear" w:color="auto" w:fill="FFFFFF"/>
          <w:lang w:bidi="ar"/>
        </w:rPr>
        <w:t xml:space="preserve">, Y. (2024). </w:t>
      </w:r>
      <w:proofErr w:type="spellStart"/>
      <w:r>
        <w:rPr>
          <w:rFonts w:ascii="Times New Roman" w:eastAsia="SimSun" w:hAnsi="Times New Roman" w:cs="Times New Roman"/>
          <w:iCs/>
          <w:color w:val="222222"/>
          <w:kern w:val="0"/>
          <w:sz w:val="22"/>
          <w:szCs w:val="22"/>
          <w:shd w:val="clear" w:color="auto" w:fill="FFFFFF"/>
          <w:lang w:bidi="ar"/>
        </w:rPr>
        <w:t>Strategi</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Peningkatan</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Mutu</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Sumber</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Daya</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Manusia</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melalui</w:t>
      </w:r>
      <w:proofErr w:type="spellEnd"/>
      <w:r>
        <w:rPr>
          <w:rFonts w:ascii="Times New Roman" w:eastAsia="SimSun" w:hAnsi="Times New Roman" w:cs="Times New Roman"/>
          <w:iCs/>
          <w:color w:val="222222"/>
          <w:kern w:val="0"/>
          <w:sz w:val="22"/>
          <w:szCs w:val="22"/>
          <w:shd w:val="clear" w:color="auto" w:fill="FFFFFF"/>
          <w:lang w:bidi="ar"/>
        </w:rPr>
        <w:t xml:space="preserve"> Program </w:t>
      </w:r>
      <w:proofErr w:type="spellStart"/>
      <w:r>
        <w:rPr>
          <w:rFonts w:ascii="Times New Roman" w:eastAsia="SimSun" w:hAnsi="Times New Roman" w:cs="Times New Roman"/>
          <w:iCs/>
          <w:color w:val="222222"/>
          <w:kern w:val="0"/>
          <w:sz w:val="22"/>
          <w:szCs w:val="22"/>
          <w:shd w:val="clear" w:color="auto" w:fill="FFFFFF"/>
          <w:lang w:bidi="ar"/>
        </w:rPr>
        <w:t>Literasi</w:t>
      </w:r>
      <w:proofErr w:type="spellEnd"/>
      <w:r>
        <w:rPr>
          <w:rFonts w:ascii="Times New Roman" w:eastAsia="SimSun" w:hAnsi="Times New Roman" w:cs="Times New Roman"/>
          <w:iCs/>
          <w:color w:val="222222"/>
          <w:kern w:val="0"/>
          <w:sz w:val="22"/>
          <w:szCs w:val="22"/>
          <w:shd w:val="clear" w:color="auto" w:fill="FFFFFF"/>
          <w:lang w:bidi="ar"/>
        </w:rPr>
        <w:t xml:space="preserve"> Digital di </w:t>
      </w:r>
      <w:proofErr w:type="spellStart"/>
      <w:r>
        <w:rPr>
          <w:rFonts w:ascii="Times New Roman" w:eastAsia="SimSun" w:hAnsi="Times New Roman" w:cs="Times New Roman"/>
          <w:iCs/>
          <w:color w:val="222222"/>
          <w:kern w:val="0"/>
          <w:sz w:val="22"/>
          <w:szCs w:val="22"/>
          <w:shd w:val="clear" w:color="auto" w:fill="FFFFFF"/>
          <w:lang w:bidi="ar"/>
        </w:rPr>
        <w:t>Sekolah</w:t>
      </w:r>
      <w:proofErr w:type="spellEnd"/>
      <w:r>
        <w:rPr>
          <w:rFonts w:ascii="Times New Roman" w:eastAsia="SimSun" w:hAnsi="Times New Roman" w:cs="Times New Roman"/>
          <w:iCs/>
          <w:color w:val="222222"/>
          <w:kern w:val="0"/>
          <w:sz w:val="22"/>
          <w:szCs w:val="22"/>
          <w:shd w:val="clear" w:color="auto" w:fill="FFFFFF"/>
          <w:lang w:bidi="ar"/>
        </w:rPr>
        <w:t>. </w:t>
      </w:r>
      <w:proofErr w:type="spellStart"/>
      <w:r>
        <w:rPr>
          <w:rFonts w:ascii="Times New Roman" w:eastAsia="SimSun" w:hAnsi="Times New Roman" w:cs="Times New Roman"/>
          <w:iCs/>
          <w:color w:val="222222"/>
          <w:kern w:val="0"/>
          <w:sz w:val="22"/>
          <w:szCs w:val="22"/>
          <w:lang w:bidi="ar"/>
        </w:rPr>
        <w:t>Pendekar</w:t>
      </w:r>
      <w:proofErr w:type="spellEnd"/>
      <w:r>
        <w:rPr>
          <w:rFonts w:ascii="Times New Roman" w:eastAsia="SimSun" w:hAnsi="Times New Roman" w:cs="Times New Roman"/>
          <w:iCs/>
          <w:color w:val="222222"/>
          <w:kern w:val="0"/>
          <w:sz w:val="22"/>
          <w:szCs w:val="22"/>
          <w:lang w:bidi="ar"/>
        </w:rPr>
        <w:t xml:space="preserve">: </w:t>
      </w:r>
      <w:proofErr w:type="spellStart"/>
      <w:r>
        <w:rPr>
          <w:rFonts w:ascii="Times New Roman" w:eastAsia="SimSun" w:hAnsi="Times New Roman" w:cs="Times New Roman"/>
          <w:iCs/>
          <w:color w:val="222222"/>
          <w:kern w:val="0"/>
          <w:sz w:val="22"/>
          <w:szCs w:val="22"/>
          <w:lang w:bidi="ar"/>
        </w:rPr>
        <w:t>Jurnal</w:t>
      </w:r>
      <w:proofErr w:type="spellEnd"/>
      <w:r>
        <w:rPr>
          <w:rFonts w:ascii="Times New Roman" w:eastAsia="SimSun" w:hAnsi="Times New Roman" w:cs="Times New Roman"/>
          <w:iCs/>
          <w:color w:val="222222"/>
          <w:kern w:val="0"/>
          <w:sz w:val="22"/>
          <w:szCs w:val="22"/>
          <w:lang w:bidi="ar"/>
        </w:rPr>
        <w:t xml:space="preserve"> Pendidikan </w:t>
      </w:r>
      <w:proofErr w:type="spellStart"/>
      <w:r>
        <w:rPr>
          <w:rFonts w:ascii="Times New Roman" w:eastAsia="SimSun" w:hAnsi="Times New Roman" w:cs="Times New Roman"/>
          <w:iCs/>
          <w:color w:val="222222"/>
          <w:kern w:val="0"/>
          <w:sz w:val="22"/>
          <w:szCs w:val="22"/>
          <w:lang w:bidi="ar"/>
        </w:rPr>
        <w:t>Berkarakter</w:t>
      </w:r>
      <w:proofErr w:type="spellEnd"/>
      <w:r>
        <w:rPr>
          <w:rFonts w:ascii="Times New Roman" w:eastAsia="SimSun" w:hAnsi="Times New Roman" w:cs="Times New Roman"/>
          <w:iCs/>
          <w:color w:val="222222"/>
          <w:kern w:val="0"/>
          <w:sz w:val="22"/>
          <w:szCs w:val="22"/>
          <w:shd w:val="clear" w:color="auto" w:fill="FFFFFF"/>
          <w:lang w:bidi="ar"/>
        </w:rPr>
        <w:t>, </w:t>
      </w:r>
      <w:r>
        <w:rPr>
          <w:rFonts w:ascii="Times New Roman" w:eastAsia="SimSun" w:hAnsi="Times New Roman" w:cs="Times New Roman"/>
          <w:iCs/>
          <w:color w:val="222222"/>
          <w:kern w:val="0"/>
          <w:sz w:val="22"/>
          <w:szCs w:val="22"/>
          <w:lang w:bidi="ar"/>
        </w:rPr>
        <w:t>7</w:t>
      </w:r>
      <w:r>
        <w:rPr>
          <w:rFonts w:ascii="Times New Roman" w:eastAsia="SimSun" w:hAnsi="Times New Roman" w:cs="Times New Roman"/>
          <w:iCs/>
          <w:color w:val="222222"/>
          <w:kern w:val="0"/>
          <w:sz w:val="22"/>
          <w:szCs w:val="22"/>
          <w:shd w:val="clear" w:color="auto" w:fill="FFFFFF"/>
          <w:lang w:bidi="ar"/>
        </w:rPr>
        <w:t>(2), 64-70.</w:t>
      </w:r>
      <w:hyperlink r:id="rId5" w:history="1">
        <w:r>
          <w:rPr>
            <w:rStyle w:val="Hyperlink"/>
            <w:rFonts w:ascii="Times New Roman Regular" w:hAnsi="Times New Roman Regular" w:cs="Times New Roman Regular"/>
            <w:sz w:val="22"/>
            <w:szCs w:val="22"/>
          </w:rPr>
          <w:t>https://doi.org/10.31764/pendekar.v7i2.24032</w:t>
        </w:r>
      </w:hyperlink>
    </w:p>
    <w:p w:rsidR="00D2147C" w:rsidRDefault="007B1E8B">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sz w:val="22"/>
          <w:szCs w:val="22"/>
        </w:rPr>
        <w:t>Direktorat</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Pembinaan</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Menengah</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Pertama</w:t>
      </w:r>
      <w:proofErr w:type="spellEnd"/>
      <w:r>
        <w:rPr>
          <w:rFonts w:ascii="Times New Roman Regular" w:hAnsi="Times New Roman Regular" w:cs="Times New Roman Regular"/>
          <w:sz w:val="22"/>
          <w:szCs w:val="22"/>
        </w:rPr>
        <w:t>,</w:t>
      </w:r>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Direktorat</w:t>
      </w:r>
      <w:proofErr w:type="spellEnd"/>
      <w:r>
        <w:rPr>
          <w:rFonts w:ascii="Times New Roman Regular" w:hAnsi="Times New Roman Regular" w:cs="Times New Roman Regular"/>
          <w:spacing w:val="61"/>
          <w:sz w:val="22"/>
          <w:szCs w:val="22"/>
        </w:rPr>
        <w:t xml:space="preserve"> </w:t>
      </w:r>
      <w:proofErr w:type="spellStart"/>
      <w:r>
        <w:rPr>
          <w:rFonts w:ascii="Times New Roman Regular" w:hAnsi="Times New Roman Regular" w:cs="Times New Roman Regular"/>
          <w:sz w:val="22"/>
          <w:szCs w:val="22"/>
        </w:rPr>
        <w:t>Jenderal</w:t>
      </w:r>
      <w:proofErr w:type="spellEnd"/>
      <w:r>
        <w:rPr>
          <w:rFonts w:ascii="Times New Roman Regular" w:hAnsi="Times New Roman Regular" w:cs="Times New Roman Regular"/>
          <w:spacing w:val="-57"/>
          <w:sz w:val="22"/>
          <w:szCs w:val="22"/>
        </w:rPr>
        <w:t xml:space="preserve"> </w:t>
      </w:r>
      <w:r>
        <w:rPr>
          <w:rFonts w:ascii="Times New Roman Regular" w:hAnsi="Times New Roman Regular" w:cs="Times New Roman Regular"/>
          <w:sz w:val="22"/>
          <w:szCs w:val="22"/>
        </w:rPr>
        <w:t xml:space="preserve">Pendidikan Dasar dan </w:t>
      </w:r>
      <w:proofErr w:type="spellStart"/>
      <w:r>
        <w:rPr>
          <w:rFonts w:ascii="Times New Roman Regular" w:hAnsi="Times New Roman Regular" w:cs="Times New Roman Regular"/>
          <w:sz w:val="22"/>
          <w:szCs w:val="22"/>
        </w:rPr>
        <w:t>Menengah</w:t>
      </w:r>
      <w:proofErr w:type="spellEnd"/>
      <w:r>
        <w:rPr>
          <w:rFonts w:ascii="Times New Roman Regular" w:hAnsi="Times New Roman Regular" w:cs="Times New Roman Regular"/>
          <w:sz w:val="22"/>
          <w:szCs w:val="22"/>
        </w:rPr>
        <w:t xml:space="preserve">, Kementerian Pendidikan dan </w:t>
      </w:r>
      <w:proofErr w:type="spellStart"/>
      <w:r>
        <w:rPr>
          <w:rFonts w:ascii="Times New Roman Regular" w:hAnsi="Times New Roman Regular" w:cs="Times New Roman Regular"/>
          <w:sz w:val="22"/>
          <w:szCs w:val="22"/>
        </w:rPr>
        <w:t>Kebudayaan</w:t>
      </w:r>
      <w:proofErr w:type="spellEnd"/>
      <w:r>
        <w:rPr>
          <w:rFonts w:ascii="Times New Roman Regular" w:hAnsi="Times New Roman Regular" w:cs="Times New Roman Regular"/>
          <w:sz w:val="22"/>
          <w:szCs w:val="22"/>
        </w:rPr>
        <w:t>.</w:t>
      </w:r>
      <w:r>
        <w:rPr>
          <w:rFonts w:ascii="Times New Roman Regular" w:hAnsi="Times New Roman Regular" w:cs="Times New Roman Regular"/>
          <w:spacing w:val="1"/>
          <w:sz w:val="22"/>
          <w:szCs w:val="22"/>
        </w:rPr>
        <w:t xml:space="preserve"> </w:t>
      </w:r>
      <w:r>
        <w:rPr>
          <w:rFonts w:ascii="Times New Roman Regular" w:hAnsi="Times New Roman Regular" w:cs="Times New Roman Regular"/>
          <w:sz w:val="22"/>
          <w:szCs w:val="22"/>
        </w:rPr>
        <w:t>(2019).</w:t>
      </w:r>
      <w:r>
        <w:rPr>
          <w:rFonts w:ascii="Times New Roman Regular" w:hAnsi="Times New Roman Regular" w:cs="Times New Roman Regular"/>
          <w:spacing w:val="-2"/>
          <w:sz w:val="22"/>
          <w:szCs w:val="22"/>
        </w:rPr>
        <w:t xml:space="preserve"> </w:t>
      </w:r>
      <w:r>
        <w:rPr>
          <w:rFonts w:ascii="Times New Roman Regular" w:hAnsi="Times New Roman Regular" w:cs="Times New Roman Regular"/>
          <w:color w:val="212121"/>
          <w:sz w:val="22"/>
          <w:szCs w:val="22"/>
        </w:rPr>
        <w:t>Panduan</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 xml:space="preserve">Di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Menengah</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Pertama</w:t>
      </w:r>
      <w:proofErr w:type="spellEnd"/>
      <w:r>
        <w:rPr>
          <w:rFonts w:ascii="Times New Roman Regular" w:hAnsi="Times New Roman Regular" w:cs="Times New Roman Regular"/>
          <w:color w:val="212121"/>
          <w:sz w:val="22"/>
          <w:szCs w:val="22"/>
        </w:rPr>
        <w:t>.</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w:hAnsi="Times New Roman" w:cs="Times New Roman"/>
          <w:iCs/>
          <w:sz w:val="22"/>
          <w:szCs w:val="22"/>
        </w:rPr>
        <w:t>Febriana</w:t>
      </w:r>
      <w:proofErr w:type="spellEnd"/>
      <w:r>
        <w:rPr>
          <w:rFonts w:ascii="Times New Roman" w:hAnsi="Times New Roman" w:cs="Times New Roman"/>
          <w:iCs/>
          <w:sz w:val="22"/>
          <w:szCs w:val="22"/>
        </w:rPr>
        <w:t xml:space="preserve">, A. A., &amp; </w:t>
      </w:r>
      <w:proofErr w:type="spellStart"/>
      <w:r>
        <w:rPr>
          <w:rFonts w:ascii="Times New Roman" w:hAnsi="Times New Roman" w:cs="Times New Roman"/>
          <w:iCs/>
          <w:sz w:val="22"/>
          <w:szCs w:val="22"/>
        </w:rPr>
        <w:t>Jatmika</w:t>
      </w:r>
      <w:proofErr w:type="spellEnd"/>
      <w:r>
        <w:rPr>
          <w:rFonts w:ascii="Times New Roman" w:hAnsi="Times New Roman" w:cs="Times New Roman"/>
          <w:iCs/>
          <w:sz w:val="22"/>
          <w:szCs w:val="22"/>
        </w:rPr>
        <w:t xml:space="preserve">, S. (2023). </w:t>
      </w:r>
      <w:proofErr w:type="spellStart"/>
      <w:r>
        <w:rPr>
          <w:rFonts w:ascii="Times New Roman" w:hAnsi="Times New Roman" w:cs="Times New Roman"/>
          <w:iCs/>
          <w:sz w:val="22"/>
          <w:szCs w:val="22"/>
        </w:rPr>
        <w:t>Implementasi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Gerakan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Literasi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Sekolah</w:t>
      </w:r>
      <w:proofErr w:type="spellEnd"/>
      <w:r>
        <w:rPr>
          <w:rFonts w:ascii="Times New Roman" w:hAnsi="Times New Roman" w:cs="Times New Roman"/>
          <w:iCs/>
          <w:sz w:val="22"/>
          <w:szCs w:val="22"/>
        </w:rPr>
        <w:t xml:space="preserve"> (GLS) di SMK Batik 2 Surakarta. SUMIKOLAH: </w:t>
      </w:r>
      <w:proofErr w:type="spellStart"/>
      <w:r>
        <w:rPr>
          <w:rFonts w:ascii="Times New Roman" w:hAnsi="Times New Roman" w:cs="Times New Roman"/>
          <w:iCs/>
          <w:sz w:val="22"/>
          <w:szCs w:val="22"/>
        </w:rPr>
        <w:t>Jurnal</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Ilmu</w:t>
      </w:r>
      <w:proofErr w:type="spellEnd"/>
      <w:r>
        <w:rPr>
          <w:rFonts w:ascii="Times New Roman" w:hAnsi="Times New Roman" w:cs="Times New Roman"/>
          <w:iCs/>
          <w:sz w:val="22"/>
          <w:szCs w:val="22"/>
        </w:rPr>
        <w:t xml:space="preserve"> Pendidikan, 1(1), 13-20. </w:t>
      </w:r>
      <w:r>
        <w:rPr>
          <w:rFonts w:ascii="Times New Roman Regular" w:hAnsi="Times New Roman Regular" w:cs="Times New Roman Regular"/>
          <w:iCs/>
          <w:sz w:val="22"/>
          <w:szCs w:val="22"/>
        </w:rPr>
        <w:t xml:space="preserve">DOI: </w:t>
      </w:r>
      <w:r>
        <w:rPr>
          <w:rFonts w:ascii="Times New Roman Regular" w:eastAsia="SimSun" w:hAnsi="Times New Roman Regular" w:cs="Times New Roman Regular"/>
          <w:color w:val="000000"/>
          <w:kern w:val="0"/>
          <w:sz w:val="22"/>
          <w:szCs w:val="22"/>
          <w:lang w:bidi="ar"/>
        </w:rPr>
        <w:t>prefix 10.31958/</w:t>
      </w:r>
      <w:proofErr w:type="spellStart"/>
      <w:r>
        <w:rPr>
          <w:rFonts w:ascii="Times New Roman Regular" w:eastAsia="SimSun" w:hAnsi="Times New Roman Regular" w:cs="Times New Roman Regular"/>
          <w:color w:val="000000"/>
          <w:kern w:val="0"/>
          <w:sz w:val="22"/>
          <w:szCs w:val="22"/>
          <w:lang w:bidi="ar"/>
        </w:rPr>
        <w:t>jipis</w:t>
      </w:r>
      <w:proofErr w:type="spellEnd"/>
      <w:r>
        <w:rPr>
          <w:rFonts w:ascii="Times New Roman Regular" w:eastAsia="SimSun" w:hAnsi="Times New Roman Regular" w:cs="Times New Roman Regular"/>
          <w:color w:val="000000"/>
          <w:kern w:val="0"/>
          <w:sz w:val="22"/>
          <w:szCs w:val="22"/>
          <w:lang w:bidi="ar"/>
        </w:rPr>
        <w:t xml:space="preserve">   </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Husamah</w:t>
      </w:r>
      <w:proofErr w:type="spellEnd"/>
      <w:r>
        <w:rPr>
          <w:rFonts w:ascii="Times New Roman Regular" w:hAnsi="Times New Roman Regular" w:cs="Times New Roman Regular"/>
          <w:sz w:val="22"/>
          <w:szCs w:val="22"/>
        </w:rPr>
        <w:t xml:space="preserve">, H. (2024). LITERASI </w:t>
      </w:r>
      <w:proofErr w:type="spellStart"/>
      <w:r>
        <w:rPr>
          <w:rFonts w:ascii="Times New Roman Regular" w:hAnsi="Times New Roman Regular" w:cs="Times New Roman Regular"/>
          <w:sz w:val="22"/>
          <w:szCs w:val="22"/>
        </w:rPr>
        <w:t>Urgensi</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Mewujudkan</w:t>
      </w:r>
      <w:proofErr w:type="spellEnd"/>
      <w:r>
        <w:rPr>
          <w:rFonts w:ascii="Times New Roman Regular" w:hAnsi="Times New Roman Regular" w:cs="Times New Roman Regular"/>
          <w:sz w:val="22"/>
          <w:szCs w:val="22"/>
        </w:rPr>
        <w:t xml:space="preserve"> Pembangunan </w:t>
      </w:r>
      <w:proofErr w:type="spellStart"/>
      <w:r>
        <w:rPr>
          <w:rFonts w:ascii="Times New Roman Regular" w:hAnsi="Times New Roman Regular" w:cs="Times New Roman Regular"/>
          <w:sz w:val="22"/>
          <w:szCs w:val="22"/>
        </w:rPr>
        <w:t>Berkelanjutan</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Pendidikan </w:t>
      </w:r>
      <w:proofErr w:type="spellStart"/>
      <w:r>
        <w:rPr>
          <w:rFonts w:ascii="Times New Roman Regular" w:hAnsi="Times New Roman Regular" w:cs="Times New Roman Regular"/>
          <w:sz w:val="22"/>
          <w:szCs w:val="22"/>
        </w:rPr>
        <w:t>Profesi</w:t>
      </w:r>
      <w:proofErr w:type="spellEnd"/>
      <w:r>
        <w:rPr>
          <w:rFonts w:ascii="Times New Roman Regular" w:hAnsi="Times New Roman Regular" w:cs="Times New Roman Regular"/>
          <w:sz w:val="22"/>
          <w:szCs w:val="22"/>
        </w:rPr>
        <w:t xml:space="preserve"> Guru. </w:t>
      </w:r>
      <w:proofErr w:type="gramStart"/>
      <w:r>
        <w:rPr>
          <w:rFonts w:ascii="Times New Roman Regular" w:hAnsi="Times New Roman Regular" w:cs="Times New Roman Regular"/>
          <w:sz w:val="22"/>
          <w:szCs w:val="22"/>
        </w:rPr>
        <w:t>DOI:https://jurnal.peneliti.net/index.php/JIWP/article/view/11496</w:t>
      </w:r>
      <w:proofErr w:type="gramEnd"/>
      <w:r>
        <w:rPr>
          <w:rFonts w:ascii="Times New Roman Regular" w:hAnsi="Times New Roman Regular" w:cs="Times New Roman Regular"/>
          <w:sz w:val="22"/>
          <w:szCs w:val="22"/>
        </w:rPr>
        <w:t xml:space="preserve"> </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Nasution</w:t>
      </w:r>
      <w:proofErr w:type="spellEnd"/>
      <w:r>
        <w:rPr>
          <w:rFonts w:ascii="Times New Roman Regular" w:hAnsi="Times New Roman Regular" w:cs="Times New Roman Regular"/>
          <w:sz w:val="22"/>
          <w:szCs w:val="22"/>
        </w:rPr>
        <w:t xml:space="preserve">, A. S., </w:t>
      </w:r>
      <w:proofErr w:type="spellStart"/>
      <w:r>
        <w:rPr>
          <w:rFonts w:ascii="Times New Roman Regular" w:hAnsi="Times New Roman Regular" w:cs="Times New Roman Regular"/>
          <w:sz w:val="22"/>
          <w:szCs w:val="22"/>
        </w:rPr>
        <w:t>Haswati</w:t>
      </w:r>
      <w:proofErr w:type="spellEnd"/>
      <w:r>
        <w:rPr>
          <w:rFonts w:ascii="Times New Roman Regular" w:hAnsi="Times New Roman Regular" w:cs="Times New Roman Regular"/>
          <w:sz w:val="22"/>
          <w:szCs w:val="22"/>
        </w:rPr>
        <w:t xml:space="preserve">, S. M. B., &amp; </w:t>
      </w:r>
      <w:proofErr w:type="spellStart"/>
      <w:r>
        <w:rPr>
          <w:rFonts w:ascii="Times New Roman Regular" w:hAnsi="Times New Roman Regular" w:cs="Times New Roman Regular"/>
          <w:sz w:val="22"/>
          <w:szCs w:val="22"/>
        </w:rPr>
        <w:t>Ilhamsyah</w:t>
      </w:r>
      <w:proofErr w:type="spellEnd"/>
      <w:r>
        <w:rPr>
          <w:rFonts w:ascii="Times New Roman Regular" w:hAnsi="Times New Roman Regular" w:cs="Times New Roman Regular"/>
          <w:sz w:val="22"/>
          <w:szCs w:val="22"/>
        </w:rPr>
        <w:t xml:space="preserve">, I. (2020). </w:t>
      </w:r>
      <w:proofErr w:type="spellStart"/>
      <w:r>
        <w:rPr>
          <w:rFonts w:ascii="Times New Roman Regular" w:hAnsi="Times New Roman Regular" w:cs="Times New Roman Regular"/>
          <w:sz w:val="22"/>
          <w:szCs w:val="22"/>
        </w:rPr>
        <w:t>Perancangan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Promosi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Umkm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Layanan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Jasa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Peminjaman</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Buku'pitimoss</w:t>
      </w:r>
      <w:proofErr w:type="spellEnd"/>
      <w:r>
        <w:rPr>
          <w:rFonts w:ascii="Times New Roman Regular" w:hAnsi="Times New Roman Regular" w:cs="Times New Roman Regular"/>
          <w:sz w:val="22"/>
          <w:szCs w:val="22"/>
        </w:rPr>
        <w:t xml:space="preserve"> Fun </w:t>
      </w:r>
      <w:proofErr w:type="spellStart"/>
      <w:r>
        <w:rPr>
          <w:rFonts w:ascii="Times New Roman Regular" w:hAnsi="Times New Roman Regular" w:cs="Times New Roman Regular"/>
          <w:sz w:val="22"/>
          <w:szCs w:val="22"/>
        </w:rPr>
        <w:t>Library'Di</w:t>
      </w:r>
      <w:proofErr w:type="spellEnd"/>
      <w:r>
        <w:rPr>
          <w:rFonts w:ascii="Times New Roman Regular" w:hAnsi="Times New Roman Regular" w:cs="Times New Roman Regular"/>
          <w:sz w:val="22"/>
          <w:szCs w:val="22"/>
        </w:rPr>
        <w:t xml:space="preserve"> Bandung. </w:t>
      </w:r>
      <w:proofErr w:type="spellStart"/>
      <w:r>
        <w:rPr>
          <w:rFonts w:ascii="Times New Roman Regular" w:hAnsi="Times New Roman Regular" w:cs="Times New Roman Regular"/>
          <w:sz w:val="22"/>
          <w:szCs w:val="22"/>
        </w:rPr>
        <w:t>eProceedings</w:t>
      </w:r>
      <w:proofErr w:type="spellEnd"/>
      <w:r>
        <w:rPr>
          <w:rFonts w:ascii="Times New Roman Regular" w:hAnsi="Times New Roman Regular" w:cs="Times New Roman Regular"/>
          <w:sz w:val="22"/>
          <w:szCs w:val="22"/>
        </w:rPr>
        <w:t xml:space="preserve"> of Art &amp; Design, 7(2). </w:t>
      </w:r>
      <w:hyperlink r:id="rId6" w:history="1">
        <w:r>
          <w:rPr>
            <w:rStyle w:val="Hyperlink"/>
            <w:rFonts w:ascii="Times New Roman Regular" w:eastAsia="SimSun" w:hAnsi="Times New Roman Regular" w:cs="Times New Roman Regular"/>
            <w:kern w:val="0"/>
            <w:sz w:val="22"/>
            <w:szCs w:val="22"/>
            <w:lang w:bidi="ar"/>
          </w:rPr>
          <w:t>https://openlibrarypublications.telkomuniversity.ac.id/index.php/artdesign/article/view/12894</w:t>
        </w:r>
      </w:hyperlink>
      <w:r>
        <w:rPr>
          <w:rFonts w:ascii="Times New Roman Regular" w:eastAsia="SimSun" w:hAnsi="Times New Roman Regular" w:cs="Times New Roman Regular"/>
          <w:kern w:val="0"/>
          <w:sz w:val="22"/>
          <w:szCs w:val="22"/>
          <w:lang w:bidi="ar"/>
        </w:rPr>
        <w:t xml:space="preserve"> </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Oftiah</w:t>
      </w:r>
      <w:proofErr w:type="spellEnd"/>
      <w:r>
        <w:rPr>
          <w:rFonts w:ascii="Times New Roman Regular" w:hAnsi="Times New Roman Regular" w:cs="Times New Roman Regular"/>
          <w:sz w:val="22"/>
          <w:szCs w:val="22"/>
        </w:rPr>
        <w:t xml:space="preserve">, S., </w:t>
      </w:r>
      <w:proofErr w:type="spellStart"/>
      <w:r>
        <w:rPr>
          <w:rFonts w:ascii="Times New Roman Regular" w:hAnsi="Times New Roman Regular" w:cs="Times New Roman Regular"/>
          <w:sz w:val="22"/>
          <w:szCs w:val="22"/>
        </w:rPr>
        <w:t>Hayusti</w:t>
      </w:r>
      <w:proofErr w:type="spellEnd"/>
      <w:r>
        <w:rPr>
          <w:rFonts w:ascii="Times New Roman Regular" w:hAnsi="Times New Roman Regular" w:cs="Times New Roman Regular"/>
          <w:sz w:val="22"/>
          <w:szCs w:val="22"/>
        </w:rPr>
        <w:t xml:space="preserve">, A., </w:t>
      </w:r>
      <w:proofErr w:type="spellStart"/>
      <w:r>
        <w:rPr>
          <w:rFonts w:ascii="Times New Roman Regular" w:hAnsi="Times New Roman Regular" w:cs="Times New Roman Regular"/>
          <w:sz w:val="22"/>
          <w:szCs w:val="22"/>
        </w:rPr>
        <w:t>Rahmania</w:t>
      </w:r>
      <w:proofErr w:type="spellEnd"/>
      <w:r>
        <w:rPr>
          <w:rFonts w:ascii="Times New Roman Regular" w:hAnsi="Times New Roman Regular" w:cs="Times New Roman Regular"/>
          <w:sz w:val="22"/>
          <w:szCs w:val="22"/>
        </w:rPr>
        <w:t xml:space="preserve">, E. A., </w:t>
      </w:r>
      <w:proofErr w:type="spellStart"/>
      <w:r>
        <w:rPr>
          <w:rFonts w:ascii="Times New Roman Regular" w:hAnsi="Times New Roman Regular" w:cs="Times New Roman Regular"/>
          <w:sz w:val="22"/>
          <w:szCs w:val="22"/>
        </w:rPr>
        <w:t>Supriyadi</w:t>
      </w:r>
      <w:proofErr w:type="spellEnd"/>
      <w:r>
        <w:rPr>
          <w:rFonts w:ascii="Times New Roman Regular" w:hAnsi="Times New Roman Regular" w:cs="Times New Roman Regular"/>
          <w:sz w:val="22"/>
          <w:szCs w:val="22"/>
        </w:rPr>
        <w:t xml:space="preserve">, S., &amp; </w:t>
      </w:r>
      <w:proofErr w:type="spellStart"/>
      <w:r>
        <w:rPr>
          <w:rFonts w:ascii="Times New Roman Regular" w:hAnsi="Times New Roman Regular" w:cs="Times New Roman Regular"/>
          <w:sz w:val="22"/>
          <w:szCs w:val="22"/>
        </w:rPr>
        <w:t>Izzatika</w:t>
      </w:r>
      <w:proofErr w:type="spellEnd"/>
      <w:r>
        <w:rPr>
          <w:rFonts w:ascii="Times New Roman Regular" w:hAnsi="Times New Roman Regular" w:cs="Times New Roman Regular"/>
          <w:sz w:val="22"/>
          <w:szCs w:val="22"/>
        </w:rPr>
        <w:t xml:space="preserve">, A. (2024). </w:t>
      </w:r>
      <w:proofErr w:type="spellStart"/>
      <w:r>
        <w:rPr>
          <w:rFonts w:ascii="Times New Roman Regular" w:hAnsi="Times New Roman Regular" w:cs="Times New Roman Regular"/>
          <w:sz w:val="22"/>
          <w:szCs w:val="22"/>
        </w:rPr>
        <w:t>Analisis</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Proyek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Profil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Pelajar</w:t>
      </w:r>
      <w:proofErr w:type="spellEnd"/>
      <w:r>
        <w:rPr>
          <w:rFonts w:ascii="Times New Roman Regular" w:hAnsi="Times New Roman Regular" w:cs="Times New Roman Regular"/>
          <w:sz w:val="22"/>
          <w:szCs w:val="22"/>
        </w:rPr>
        <w:t xml:space="preserve"> Pancasila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Mengembangkan</w:t>
      </w:r>
      <w:proofErr w:type="spellEnd"/>
      <w:r>
        <w:rPr>
          <w:rFonts w:ascii="Times New Roman Regular" w:hAnsi="Times New Roman Regular" w:cs="Times New Roman Regular"/>
          <w:sz w:val="22"/>
          <w:szCs w:val="22"/>
        </w:rPr>
        <w:t xml:space="preserve"> Pendidikan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Siswa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Dasar. Indonesian </w:t>
      </w:r>
      <w:r>
        <w:rPr>
          <w:rFonts w:ascii="Times New Roman Regular" w:hAnsi="Times New Roman Regular" w:cs="Times New Roman Regular"/>
          <w:sz w:val="22"/>
          <w:szCs w:val="22"/>
        </w:rPr>
        <w:lastRenderedPageBreak/>
        <w:t xml:space="preserve">Research Journal on Education, 4(4), 2577-2582. </w:t>
      </w:r>
      <w:r>
        <w:rPr>
          <w:rFonts w:ascii="Times New Roman Regular" w:hAnsi="Times New Roman Regular" w:cs="Times New Roman Regular"/>
          <w:sz w:val="22"/>
          <w:szCs w:val="28"/>
        </w:rPr>
        <w:t>DOI: </w:t>
      </w:r>
      <w:hyperlink r:id="rId7" w:history="1">
        <w:r>
          <w:rPr>
            <w:rFonts w:ascii="Times New Roman Regular" w:hAnsi="Times New Roman Regular" w:cs="Times New Roman Regular"/>
            <w:sz w:val="22"/>
            <w:szCs w:val="28"/>
          </w:rPr>
          <w:t>https://doi.org/10.31004/irje.v4i4.1352</w:t>
        </w:r>
      </w:hyperlink>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Palupi</w:t>
      </w:r>
      <w:proofErr w:type="spellEnd"/>
      <w:r>
        <w:rPr>
          <w:rFonts w:ascii="Times New Roman Regular" w:hAnsi="Times New Roman Regular" w:cs="Times New Roman Regular"/>
          <w:sz w:val="22"/>
          <w:szCs w:val="22"/>
        </w:rPr>
        <w:t xml:space="preserve">, A. N., </w:t>
      </w:r>
      <w:proofErr w:type="spellStart"/>
      <w:r>
        <w:rPr>
          <w:rFonts w:ascii="Times New Roman Regular" w:hAnsi="Times New Roman Regular" w:cs="Times New Roman Regular"/>
          <w:sz w:val="22"/>
          <w:szCs w:val="22"/>
        </w:rPr>
        <w:t>Widiastuti</w:t>
      </w:r>
      <w:proofErr w:type="spellEnd"/>
      <w:r>
        <w:rPr>
          <w:rFonts w:ascii="Times New Roman Regular" w:hAnsi="Times New Roman Regular" w:cs="Times New Roman Regular"/>
          <w:sz w:val="22"/>
          <w:szCs w:val="22"/>
        </w:rPr>
        <w:t xml:space="preserve">, D. E., </w:t>
      </w:r>
      <w:proofErr w:type="spellStart"/>
      <w:r>
        <w:rPr>
          <w:rFonts w:ascii="Times New Roman Regular" w:hAnsi="Times New Roman Regular" w:cs="Times New Roman Regular"/>
          <w:sz w:val="22"/>
          <w:szCs w:val="22"/>
        </w:rPr>
        <w:t>Hidhayah</w:t>
      </w:r>
      <w:proofErr w:type="spellEnd"/>
      <w:r>
        <w:rPr>
          <w:rFonts w:ascii="Times New Roman Regular" w:hAnsi="Times New Roman Regular" w:cs="Times New Roman Regular"/>
          <w:sz w:val="22"/>
          <w:szCs w:val="22"/>
        </w:rPr>
        <w:t xml:space="preserve">, F. N., </w:t>
      </w:r>
      <w:proofErr w:type="spellStart"/>
      <w:r>
        <w:rPr>
          <w:rFonts w:ascii="Times New Roman Regular" w:hAnsi="Times New Roman Regular" w:cs="Times New Roman Regular"/>
          <w:sz w:val="22"/>
          <w:szCs w:val="22"/>
        </w:rPr>
        <w:t>Utami</w:t>
      </w:r>
      <w:proofErr w:type="spellEnd"/>
      <w:r>
        <w:rPr>
          <w:rFonts w:ascii="Times New Roman Regular" w:hAnsi="Times New Roman Regular" w:cs="Times New Roman Regular"/>
          <w:sz w:val="22"/>
          <w:szCs w:val="22"/>
        </w:rPr>
        <w:t xml:space="preserve">, F. D. W., &amp; </w:t>
      </w:r>
      <w:proofErr w:type="spellStart"/>
      <w:r>
        <w:rPr>
          <w:rFonts w:ascii="Times New Roman Regular" w:hAnsi="Times New Roman Regular" w:cs="Times New Roman Regular"/>
          <w:sz w:val="22"/>
          <w:szCs w:val="22"/>
        </w:rPr>
        <w:t>Wana</w:t>
      </w:r>
      <w:proofErr w:type="spellEnd"/>
      <w:r>
        <w:rPr>
          <w:rFonts w:ascii="Times New Roman Regular" w:hAnsi="Times New Roman Regular" w:cs="Times New Roman Regular"/>
          <w:sz w:val="22"/>
          <w:szCs w:val="22"/>
        </w:rPr>
        <w:t>, P. R. (2020). </w:t>
      </w:r>
      <w:proofErr w:type="spellStart"/>
      <w:r>
        <w:rPr>
          <w:rFonts w:ascii="Times New Roman Regular" w:hAnsi="Times New Roman Regular" w:cs="Times New Roman Regular"/>
          <w:sz w:val="22"/>
          <w:szCs w:val="22"/>
        </w:rPr>
        <w:t>Peningkatan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Literasi</w:t>
      </w:r>
      <w:proofErr w:type="spellEnd"/>
      <w:r>
        <w:rPr>
          <w:rFonts w:ascii="Times New Roman Regular" w:hAnsi="Times New Roman Regular" w:cs="Times New Roman Regular"/>
          <w:sz w:val="22"/>
          <w:szCs w:val="22"/>
        </w:rPr>
        <w:t xml:space="preserve"> di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Dasar. </w:t>
      </w:r>
      <w:proofErr w:type="spellStart"/>
      <w:r>
        <w:rPr>
          <w:rFonts w:ascii="Times New Roman Regular" w:hAnsi="Times New Roman Regular" w:cs="Times New Roman Regular"/>
          <w:sz w:val="22"/>
          <w:szCs w:val="22"/>
        </w:rPr>
        <w:t>Bayfa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Cendekia</w:t>
      </w:r>
      <w:proofErr w:type="spellEnd"/>
      <w:r>
        <w:rPr>
          <w:rFonts w:ascii="Times New Roman Regular" w:hAnsi="Times New Roman Regular" w:cs="Times New Roman Regular"/>
          <w:sz w:val="22"/>
          <w:szCs w:val="22"/>
        </w:rPr>
        <w:t xml:space="preserve"> Indonesia.</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Pratama</w:t>
      </w:r>
      <w:proofErr w:type="spellEnd"/>
      <w:r>
        <w:rPr>
          <w:rFonts w:ascii="Times New Roman Regular" w:hAnsi="Times New Roman Regular" w:cs="Times New Roman Regular"/>
          <w:sz w:val="22"/>
          <w:szCs w:val="22"/>
        </w:rPr>
        <w:t xml:space="preserve">, A. N., </w:t>
      </w:r>
      <w:proofErr w:type="spellStart"/>
      <w:r>
        <w:rPr>
          <w:rFonts w:ascii="Times New Roman Regular" w:hAnsi="Times New Roman Regular" w:cs="Times New Roman Regular"/>
          <w:sz w:val="22"/>
          <w:szCs w:val="22"/>
        </w:rPr>
        <w:t>Tisnasari</w:t>
      </w:r>
      <w:proofErr w:type="spellEnd"/>
      <w:r>
        <w:rPr>
          <w:rFonts w:ascii="Times New Roman Regular" w:hAnsi="Times New Roman Regular" w:cs="Times New Roman Regular"/>
          <w:sz w:val="22"/>
          <w:szCs w:val="22"/>
        </w:rPr>
        <w:t xml:space="preserve">, S., &amp; Yuliana, R. (2023). Proses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Gemar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Pada </w:t>
      </w:r>
      <w:proofErr w:type="spellStart"/>
      <w:r>
        <w:rPr>
          <w:rFonts w:ascii="Times New Roman Regular" w:hAnsi="Times New Roman Regular" w:cs="Times New Roman Regular"/>
          <w:sz w:val="22"/>
          <w:szCs w:val="22"/>
        </w:rPr>
        <w:t>Peserta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Didik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Dengan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Memanfaatkan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Internet </w:t>
      </w:r>
      <w:proofErr w:type="spellStart"/>
      <w:r>
        <w:rPr>
          <w:rFonts w:ascii="Times New Roman Regular" w:hAnsi="Times New Roman Regular" w:cs="Times New Roman Regular"/>
          <w:sz w:val="22"/>
          <w:szCs w:val="22"/>
        </w:rPr>
        <w:t>Sebagai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Sarana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Metodik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Didaktik</w:t>
      </w:r>
      <w:proofErr w:type="spellEnd"/>
      <w:r>
        <w:rPr>
          <w:rFonts w:ascii="Times New Roman Regular" w:hAnsi="Times New Roman Regular" w:cs="Times New Roman Regular"/>
          <w:sz w:val="22"/>
          <w:szCs w:val="22"/>
        </w:rPr>
        <w:t>, 19(1), 21-30. DOI: </w:t>
      </w:r>
      <w:hyperlink r:id="rId8" w:history="1">
        <w:r>
          <w:rPr>
            <w:rFonts w:ascii="Times New Roman Regular" w:hAnsi="Times New Roman Regular" w:cs="Times New Roman Regular"/>
            <w:sz w:val="22"/>
            <w:szCs w:val="22"/>
          </w:rPr>
          <w:t>https://doi.org/10.17509/md.v19i1.60911</w:t>
        </w:r>
      </w:hyperlink>
    </w:p>
    <w:p w:rsidR="00D2147C" w:rsidRDefault="007B1E8B">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color w:val="212121"/>
          <w:sz w:val="22"/>
          <w:szCs w:val="22"/>
        </w:rPr>
        <w:t>Rokayah</w:t>
      </w:r>
      <w:proofErr w:type="spellEnd"/>
      <w:r>
        <w:rPr>
          <w:rFonts w:ascii="Times New Roman Regular" w:hAnsi="Times New Roman Regular" w:cs="Times New Roman Regular"/>
          <w:color w:val="212121"/>
          <w:sz w:val="22"/>
          <w:szCs w:val="22"/>
        </w:rPr>
        <w:t xml:space="preserve">, R. (2019). </w:t>
      </w:r>
      <w:proofErr w:type="spellStart"/>
      <w:r>
        <w:rPr>
          <w:rFonts w:ascii="Times New Roman Regular" w:hAnsi="Times New Roman Regular" w:cs="Times New Roman Regular"/>
          <w:color w:val="212121"/>
          <w:sz w:val="22"/>
          <w:szCs w:val="22"/>
        </w:rPr>
        <w:t>Profil</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Kemampuan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Ilmu</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Pengetahuan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Sosial</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Ips</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Peserta</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Didik</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z w:val="22"/>
          <w:szCs w:val="22"/>
        </w:rPr>
        <w:t xml:space="preserve"> Dasar Kelas 4 &amp; 5 </w:t>
      </w:r>
      <w:proofErr w:type="spellStart"/>
      <w:r>
        <w:rPr>
          <w:rFonts w:ascii="Times New Roman Regular" w:hAnsi="Times New Roman Regular" w:cs="Times New Roman Regular"/>
          <w:color w:val="212121"/>
          <w:sz w:val="22"/>
          <w:szCs w:val="22"/>
        </w:rPr>
        <w:t>Dalam</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Rangka</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Jurnal</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Wahana</w:t>
      </w:r>
      <w:proofErr w:type="spellEnd"/>
      <w:r>
        <w:rPr>
          <w:rFonts w:ascii="Times New Roman Regular" w:hAnsi="Times New Roman Regular" w:cs="Times New Roman Regular"/>
          <w:color w:val="212121"/>
          <w:spacing w:val="-2"/>
          <w:sz w:val="22"/>
          <w:szCs w:val="22"/>
        </w:rPr>
        <w:t xml:space="preserve"> </w:t>
      </w:r>
      <w:r>
        <w:rPr>
          <w:rFonts w:ascii="Times New Roman Regular" w:hAnsi="Times New Roman Regular" w:cs="Times New Roman Regular"/>
          <w:color w:val="212121"/>
          <w:sz w:val="22"/>
          <w:szCs w:val="22"/>
        </w:rPr>
        <w:t xml:space="preserve">Pendidikan, </w:t>
      </w:r>
      <w:r>
        <w:rPr>
          <w:rFonts w:ascii="Times New Roman Regular" w:hAnsi="Times New Roman Regular" w:cs="Times New Roman Regular"/>
          <w:i/>
          <w:color w:val="212121"/>
          <w:sz w:val="22"/>
          <w:szCs w:val="22"/>
        </w:rPr>
        <w:t>4</w:t>
      </w:r>
      <w:r>
        <w:rPr>
          <w:rFonts w:ascii="Times New Roman Regular" w:hAnsi="Times New Roman Regular" w:cs="Times New Roman Regular"/>
          <w:color w:val="212121"/>
          <w:sz w:val="22"/>
          <w:szCs w:val="22"/>
        </w:rPr>
        <w:t xml:space="preserve">(1), 34-53. </w:t>
      </w:r>
      <w:r>
        <w:rPr>
          <w:rFonts w:ascii="Times New Roman Regular" w:hAnsi="Times New Roman Regular" w:cs="Times New Roman Regular"/>
          <w:sz w:val="22"/>
          <w:szCs w:val="22"/>
        </w:rPr>
        <w:t>DOI: </w:t>
      </w:r>
      <w:hyperlink r:id="rId9" w:history="1">
        <w:r>
          <w:rPr>
            <w:rFonts w:ascii="Times New Roman Regular" w:hAnsi="Times New Roman Regular" w:cs="Times New Roman Regular"/>
            <w:sz w:val="22"/>
            <w:szCs w:val="22"/>
          </w:rPr>
          <w:t>http://dx.doi.org/10.25157/wa.v4i1.385</w:t>
        </w:r>
      </w:hyperlink>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Rustiarini</w:t>
      </w:r>
      <w:proofErr w:type="spellEnd"/>
      <w:r>
        <w:rPr>
          <w:rFonts w:ascii="Times New Roman Regular" w:hAnsi="Times New Roman Regular" w:cs="Times New Roman Regular"/>
          <w:sz w:val="22"/>
          <w:szCs w:val="22"/>
        </w:rPr>
        <w:t xml:space="preserve">, N. W., &amp; </w:t>
      </w:r>
      <w:proofErr w:type="spellStart"/>
      <w:r>
        <w:rPr>
          <w:rFonts w:ascii="Times New Roman Regular" w:hAnsi="Times New Roman Regular" w:cs="Times New Roman Regular"/>
          <w:sz w:val="22"/>
          <w:szCs w:val="22"/>
        </w:rPr>
        <w:t>Dewi</w:t>
      </w:r>
      <w:proofErr w:type="spellEnd"/>
      <w:r>
        <w:rPr>
          <w:rFonts w:ascii="Times New Roman Regular" w:hAnsi="Times New Roman Regular" w:cs="Times New Roman Regular"/>
          <w:sz w:val="22"/>
          <w:szCs w:val="22"/>
        </w:rPr>
        <w:t xml:space="preserve">, N. K. C. (2021). </w:t>
      </w:r>
      <w:proofErr w:type="spellStart"/>
      <w:r>
        <w:rPr>
          <w:rFonts w:ascii="Times New Roman Regular" w:hAnsi="Times New Roman Regular" w:cs="Times New Roman Regular"/>
          <w:sz w:val="22"/>
          <w:szCs w:val="22"/>
        </w:rPr>
        <w:t>Penataan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Perpustakaan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Desa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untuk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Meningkatkan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LOSARI: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Pengabdian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Kepada</w:t>
      </w:r>
      <w:proofErr w:type="spellEnd"/>
      <w:r>
        <w:rPr>
          <w:rFonts w:ascii="Times New Roman Regular" w:hAnsi="Times New Roman Regular" w:cs="Times New Roman Regular"/>
          <w:sz w:val="22"/>
          <w:szCs w:val="22"/>
        </w:rPr>
        <w:t xml:space="preserve"> Masyarakat, 3(1), 8-15. </w:t>
      </w:r>
      <w:hyperlink r:id="rId10" w:history="1">
        <w:r>
          <w:rPr>
            <w:rFonts w:ascii="Times New Roman Regular" w:hAnsi="Times New Roman Regular" w:cs="Times New Roman Regular"/>
            <w:sz w:val="22"/>
            <w:szCs w:val="22"/>
          </w:rPr>
          <w:t>https://doi.org/10.53860/losari.v3i1.35</w:t>
        </w:r>
      </w:hyperlink>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Tahmidaten</w:t>
      </w:r>
      <w:proofErr w:type="spellEnd"/>
      <w:r>
        <w:rPr>
          <w:rFonts w:ascii="Times New Roman Regular" w:hAnsi="Times New Roman Regular" w:cs="Times New Roman Regular"/>
          <w:sz w:val="22"/>
          <w:szCs w:val="22"/>
        </w:rPr>
        <w:t xml:space="preserve">, L., &amp; </w:t>
      </w:r>
      <w:proofErr w:type="spellStart"/>
      <w:r>
        <w:rPr>
          <w:rFonts w:ascii="Times New Roman Regular" w:hAnsi="Times New Roman Regular" w:cs="Times New Roman Regular"/>
          <w:sz w:val="22"/>
          <w:szCs w:val="22"/>
        </w:rPr>
        <w:t>Krismanto</w:t>
      </w:r>
      <w:proofErr w:type="spellEnd"/>
      <w:r>
        <w:rPr>
          <w:rFonts w:ascii="Times New Roman Regular" w:hAnsi="Times New Roman Regular" w:cs="Times New Roman Regular"/>
          <w:sz w:val="22"/>
          <w:szCs w:val="22"/>
        </w:rPr>
        <w:t xml:space="preserve">, W. (2020). </w:t>
      </w:r>
      <w:proofErr w:type="spellStart"/>
      <w:r>
        <w:rPr>
          <w:rFonts w:ascii="Times New Roman Regular" w:hAnsi="Times New Roman Regular" w:cs="Times New Roman Regular"/>
          <w:sz w:val="22"/>
          <w:szCs w:val="22"/>
        </w:rPr>
        <w:t>Permasalahan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budaya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di Indonesia (</w:t>
      </w:r>
      <w:proofErr w:type="spellStart"/>
      <w:r>
        <w:rPr>
          <w:rFonts w:ascii="Times New Roman Regular" w:hAnsi="Times New Roman Regular" w:cs="Times New Roman Regular"/>
          <w:sz w:val="22"/>
          <w:szCs w:val="22"/>
        </w:rPr>
        <w:t>Studi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pustaka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tentang</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problematika</w:t>
      </w:r>
      <w:proofErr w:type="spellEnd"/>
      <w:r>
        <w:rPr>
          <w:rFonts w:ascii="Times New Roman Regular" w:hAnsi="Times New Roman Regular" w:cs="Times New Roman Regular"/>
          <w:sz w:val="22"/>
          <w:szCs w:val="22"/>
        </w:rPr>
        <w:t xml:space="preserve"> &amp; </w:t>
      </w:r>
      <w:proofErr w:type="spellStart"/>
      <w:r>
        <w:rPr>
          <w:rFonts w:ascii="Times New Roman Regular" w:hAnsi="Times New Roman Regular" w:cs="Times New Roman Regular"/>
          <w:sz w:val="22"/>
          <w:szCs w:val="22"/>
        </w:rPr>
        <w:t>solusinya</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Scholaria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Pendidikan Dan </w:t>
      </w:r>
      <w:proofErr w:type="spellStart"/>
      <w:r>
        <w:rPr>
          <w:rFonts w:ascii="Times New Roman Regular" w:hAnsi="Times New Roman Regular" w:cs="Times New Roman Regular"/>
          <w:sz w:val="22"/>
          <w:szCs w:val="22"/>
        </w:rPr>
        <w:t>Kebudayaan</w:t>
      </w:r>
      <w:proofErr w:type="spellEnd"/>
      <w:r>
        <w:rPr>
          <w:rFonts w:ascii="Times New Roman Regular" w:hAnsi="Times New Roman Regular" w:cs="Times New Roman Regular"/>
          <w:sz w:val="22"/>
          <w:szCs w:val="22"/>
        </w:rPr>
        <w:t xml:space="preserve">, 10(1), 22-33. </w:t>
      </w:r>
      <w:r>
        <w:rPr>
          <w:rFonts w:ascii="Times New Roman Regular" w:hAnsi="Times New Roman Regular" w:cs="Times New Roman Regular"/>
          <w:sz w:val="22"/>
          <w:szCs w:val="28"/>
        </w:rPr>
        <w:t>DOI: </w:t>
      </w:r>
      <w:hyperlink r:id="rId11" w:history="1">
        <w:r>
          <w:rPr>
            <w:rFonts w:ascii="Times New Roman Regular" w:hAnsi="Times New Roman Regular" w:cs="Times New Roman Regular"/>
            <w:sz w:val="22"/>
            <w:szCs w:val="28"/>
          </w:rPr>
          <w:t>https://doi.org/10.24246/j.js.2020.v10.i1.p22-33</w:t>
        </w:r>
      </w:hyperlink>
    </w:p>
    <w:p w:rsidR="00D2147C" w:rsidRDefault="007B1E8B">
      <w:pPr>
        <w:widowControl/>
        <w:ind w:left="838" w:hangingChars="381" w:hanging="838"/>
        <w:rPr>
          <w:rFonts w:ascii="Times New Roman" w:eastAsia="SimSun" w:hAnsi="Times New Roman" w:cs="Times New Roman"/>
          <w:iCs/>
          <w:color w:val="222222"/>
          <w:kern w:val="0"/>
          <w:sz w:val="22"/>
          <w:szCs w:val="22"/>
          <w:shd w:val="clear" w:color="auto" w:fill="FFFFFF"/>
          <w:lang w:bidi="ar"/>
        </w:rPr>
      </w:pPr>
      <w:proofErr w:type="spellStart"/>
      <w:r>
        <w:rPr>
          <w:rFonts w:ascii="Times New Roman" w:eastAsia="SimSun" w:hAnsi="Times New Roman" w:cs="Times New Roman"/>
          <w:iCs/>
          <w:color w:val="222222"/>
          <w:kern w:val="0"/>
          <w:sz w:val="22"/>
          <w:szCs w:val="22"/>
          <w:shd w:val="clear" w:color="auto" w:fill="FFFFFF"/>
          <w:lang w:bidi="ar"/>
        </w:rPr>
        <w:t>Utami</w:t>
      </w:r>
      <w:proofErr w:type="spellEnd"/>
      <w:r>
        <w:rPr>
          <w:rFonts w:ascii="Times New Roman" w:eastAsia="SimSun" w:hAnsi="Times New Roman" w:cs="Times New Roman"/>
          <w:iCs/>
          <w:color w:val="222222"/>
          <w:kern w:val="0"/>
          <w:sz w:val="22"/>
          <w:szCs w:val="22"/>
          <w:shd w:val="clear" w:color="auto" w:fill="FFFFFF"/>
          <w:lang w:bidi="ar"/>
        </w:rPr>
        <w:t xml:space="preserve">, W. S., </w:t>
      </w:r>
      <w:proofErr w:type="spellStart"/>
      <w:r>
        <w:rPr>
          <w:rFonts w:ascii="Times New Roman" w:eastAsia="SimSun" w:hAnsi="Times New Roman" w:cs="Times New Roman"/>
          <w:iCs/>
          <w:color w:val="222222"/>
          <w:kern w:val="0"/>
          <w:sz w:val="22"/>
          <w:szCs w:val="22"/>
          <w:shd w:val="clear" w:color="auto" w:fill="FFFFFF"/>
          <w:lang w:bidi="ar"/>
        </w:rPr>
        <w:t>Rahmawati</w:t>
      </w:r>
      <w:proofErr w:type="spellEnd"/>
      <w:r>
        <w:rPr>
          <w:rFonts w:ascii="Times New Roman" w:eastAsia="SimSun" w:hAnsi="Times New Roman" w:cs="Times New Roman"/>
          <w:iCs/>
          <w:color w:val="222222"/>
          <w:kern w:val="0"/>
          <w:sz w:val="22"/>
          <w:szCs w:val="22"/>
          <w:shd w:val="clear" w:color="auto" w:fill="FFFFFF"/>
          <w:lang w:bidi="ar"/>
        </w:rPr>
        <w:t xml:space="preserve">, D. D., </w:t>
      </w:r>
      <w:proofErr w:type="spellStart"/>
      <w:r>
        <w:rPr>
          <w:rFonts w:ascii="Times New Roman" w:eastAsia="SimSun" w:hAnsi="Times New Roman" w:cs="Times New Roman"/>
          <w:iCs/>
          <w:color w:val="222222"/>
          <w:kern w:val="0"/>
          <w:sz w:val="22"/>
          <w:szCs w:val="22"/>
          <w:shd w:val="clear" w:color="auto" w:fill="FFFFFF"/>
          <w:lang w:bidi="ar"/>
        </w:rPr>
        <w:t>Ubaidillah</w:t>
      </w:r>
      <w:proofErr w:type="spellEnd"/>
      <w:r>
        <w:rPr>
          <w:rFonts w:ascii="Times New Roman" w:eastAsia="SimSun" w:hAnsi="Times New Roman" w:cs="Times New Roman"/>
          <w:iCs/>
          <w:color w:val="222222"/>
          <w:kern w:val="0"/>
          <w:sz w:val="22"/>
          <w:szCs w:val="22"/>
          <w:shd w:val="clear" w:color="auto" w:fill="FFFFFF"/>
          <w:lang w:bidi="ar"/>
        </w:rPr>
        <w:t xml:space="preserve">, R. N., &amp; Putri, D. (2024). </w:t>
      </w:r>
      <w:proofErr w:type="spellStart"/>
      <w:r>
        <w:rPr>
          <w:rFonts w:ascii="Times New Roman" w:eastAsia="SimSun" w:hAnsi="Times New Roman" w:cs="Times New Roman"/>
          <w:iCs/>
          <w:color w:val="222222"/>
          <w:kern w:val="0"/>
          <w:sz w:val="22"/>
          <w:szCs w:val="22"/>
          <w:shd w:val="clear" w:color="auto" w:fill="FFFFFF"/>
          <w:lang w:bidi="ar"/>
        </w:rPr>
        <w:t>Analisis</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Kemampuan</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Literasi</w:t>
      </w:r>
      <w:proofErr w:type="spellEnd"/>
      <w:r>
        <w:rPr>
          <w:rFonts w:ascii="Times New Roman" w:eastAsia="SimSun" w:hAnsi="Times New Roman" w:cs="Times New Roman"/>
          <w:iCs/>
          <w:color w:val="222222"/>
          <w:kern w:val="0"/>
          <w:sz w:val="22"/>
          <w:szCs w:val="22"/>
          <w:shd w:val="clear" w:color="auto" w:fill="FFFFFF"/>
          <w:lang w:bidi="ar"/>
        </w:rPr>
        <w:t xml:space="preserve"> Baca </w:t>
      </w:r>
      <w:proofErr w:type="spellStart"/>
      <w:r>
        <w:rPr>
          <w:rFonts w:ascii="Times New Roman" w:eastAsia="SimSun" w:hAnsi="Times New Roman" w:cs="Times New Roman"/>
          <w:iCs/>
          <w:color w:val="222222"/>
          <w:kern w:val="0"/>
          <w:sz w:val="22"/>
          <w:szCs w:val="22"/>
          <w:shd w:val="clear" w:color="auto" w:fill="FFFFFF"/>
          <w:lang w:bidi="ar"/>
        </w:rPr>
        <w:t>Tulis</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Siswa</w:t>
      </w:r>
      <w:proofErr w:type="spellEnd"/>
      <w:r>
        <w:rPr>
          <w:rFonts w:ascii="Times New Roman" w:eastAsia="SimSun" w:hAnsi="Times New Roman" w:cs="Times New Roman"/>
          <w:iCs/>
          <w:color w:val="222222"/>
          <w:kern w:val="0"/>
          <w:sz w:val="22"/>
          <w:szCs w:val="22"/>
          <w:shd w:val="clear" w:color="auto" w:fill="FFFFFF"/>
          <w:lang w:bidi="ar"/>
        </w:rPr>
        <w:t xml:space="preserve"> Kelas 1 SD Negeri 039/IX </w:t>
      </w:r>
      <w:proofErr w:type="spellStart"/>
      <w:r>
        <w:rPr>
          <w:rFonts w:ascii="Times New Roman" w:eastAsia="SimSun" w:hAnsi="Times New Roman" w:cs="Times New Roman"/>
          <w:iCs/>
          <w:color w:val="222222"/>
          <w:kern w:val="0"/>
          <w:sz w:val="22"/>
          <w:szCs w:val="22"/>
          <w:shd w:val="clear" w:color="auto" w:fill="FFFFFF"/>
          <w:lang w:bidi="ar"/>
        </w:rPr>
        <w:t>Tantan</w:t>
      </w:r>
      <w:proofErr w:type="spellEnd"/>
      <w:r>
        <w:rPr>
          <w:rFonts w:ascii="Times New Roman" w:eastAsia="SimSun" w:hAnsi="Times New Roman" w:cs="Times New Roman"/>
          <w:iCs/>
          <w:color w:val="222222"/>
          <w:kern w:val="0"/>
          <w:sz w:val="22"/>
          <w:szCs w:val="22"/>
          <w:shd w:val="clear" w:color="auto" w:fill="FFFFFF"/>
          <w:lang w:bidi="ar"/>
        </w:rPr>
        <w:t>. </w:t>
      </w:r>
      <w:r>
        <w:rPr>
          <w:rFonts w:ascii="Times New Roman" w:eastAsia="SimSun" w:hAnsi="Times New Roman" w:cs="Times New Roman"/>
          <w:iCs/>
          <w:color w:val="222222"/>
          <w:kern w:val="0"/>
          <w:sz w:val="22"/>
          <w:szCs w:val="22"/>
          <w:lang w:bidi="ar"/>
        </w:rPr>
        <w:t>Journal of Education Research</w:t>
      </w:r>
      <w:r>
        <w:rPr>
          <w:rFonts w:ascii="Times New Roman" w:eastAsia="SimSun" w:hAnsi="Times New Roman" w:cs="Times New Roman"/>
          <w:iCs/>
          <w:color w:val="222222"/>
          <w:kern w:val="0"/>
          <w:sz w:val="22"/>
          <w:szCs w:val="22"/>
          <w:shd w:val="clear" w:color="auto" w:fill="FFFFFF"/>
          <w:lang w:bidi="ar"/>
        </w:rPr>
        <w:t>, </w:t>
      </w:r>
      <w:r>
        <w:rPr>
          <w:rFonts w:ascii="Times New Roman" w:eastAsia="SimSun" w:hAnsi="Times New Roman" w:cs="Times New Roman"/>
          <w:iCs/>
          <w:color w:val="222222"/>
          <w:kern w:val="0"/>
          <w:sz w:val="22"/>
          <w:szCs w:val="22"/>
          <w:lang w:bidi="ar"/>
        </w:rPr>
        <w:t>5</w:t>
      </w:r>
      <w:r>
        <w:rPr>
          <w:rFonts w:ascii="Times New Roman" w:eastAsia="SimSun" w:hAnsi="Times New Roman" w:cs="Times New Roman"/>
          <w:iCs/>
          <w:color w:val="222222"/>
          <w:kern w:val="0"/>
          <w:sz w:val="22"/>
          <w:szCs w:val="22"/>
          <w:shd w:val="clear" w:color="auto" w:fill="FFFFFF"/>
          <w:lang w:bidi="ar"/>
        </w:rPr>
        <w:t xml:space="preserve">(4), 6583-6588. </w:t>
      </w:r>
      <w:hyperlink r:id="rId12" w:history="1">
        <w:r>
          <w:rPr>
            <w:rStyle w:val="Hyperlink"/>
            <w:rFonts w:ascii="Times New Roman Regular" w:eastAsia="SimSun" w:hAnsi="Times New Roman Regular" w:cs="Times New Roman Regular"/>
            <w:kern w:val="0"/>
            <w:sz w:val="22"/>
            <w:szCs w:val="22"/>
            <w:lang w:bidi="ar"/>
          </w:rPr>
          <w:t>https://mail.jer.or.id/index.php/jer/article/view/2005/1132</w:t>
        </w:r>
      </w:hyperlink>
      <w:r>
        <w:rPr>
          <w:rFonts w:ascii="Times New Roman Regular" w:eastAsia="SimSun" w:hAnsi="Times New Roman Regular" w:cs="Times New Roman Regular"/>
          <w:kern w:val="0"/>
          <w:sz w:val="22"/>
          <w:szCs w:val="22"/>
          <w:lang w:bidi="ar"/>
        </w:rPr>
        <w:t xml:space="preserve"> </w:t>
      </w:r>
    </w:p>
    <w:p w:rsidR="00D2147C" w:rsidRDefault="007B1E8B">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8"/>
        </w:rPr>
        <w:t>Sulfemi</w:t>
      </w:r>
      <w:proofErr w:type="spellEnd"/>
      <w:r>
        <w:rPr>
          <w:rFonts w:ascii="Times New Roman Regular" w:hAnsi="Times New Roman Regular" w:cs="Times New Roman Regular"/>
          <w:sz w:val="22"/>
          <w:szCs w:val="28"/>
        </w:rPr>
        <w:t xml:space="preserve">, W. B. (2023). Management of school literacy with students’ interest in reading. Educ Learn Dev Nations, 1(2), 26-31. DOI: http://doi.org/10.26480/eldn.02.2023.62.67 </w:t>
      </w:r>
    </w:p>
    <w:p w:rsidR="00D2147C" w:rsidRDefault="007B1E8B">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color w:val="212121"/>
          <w:sz w:val="22"/>
          <w:szCs w:val="22"/>
        </w:rPr>
        <w:t>Wandasari</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Y.</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(2017).</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Implementasi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(GLS)</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sebagai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pembentuk</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pendidikan</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berkarakter</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i/>
          <w:color w:val="212121"/>
          <w:sz w:val="22"/>
          <w:szCs w:val="22"/>
        </w:rPr>
        <w:t>JMKSP</w:t>
      </w:r>
      <w:r>
        <w:rPr>
          <w:rFonts w:ascii="Times New Roman Regular" w:hAnsi="Times New Roman Regular" w:cs="Times New Roman Regular"/>
          <w:i/>
          <w:color w:val="212121"/>
          <w:spacing w:val="1"/>
          <w:sz w:val="22"/>
          <w:szCs w:val="22"/>
        </w:rPr>
        <w:t xml:space="preserve"> </w:t>
      </w:r>
      <w:r>
        <w:rPr>
          <w:rFonts w:ascii="Times New Roman Regular" w:hAnsi="Times New Roman Regular" w:cs="Times New Roman Regular"/>
          <w:i/>
          <w:color w:val="212121"/>
          <w:sz w:val="22"/>
          <w:szCs w:val="22"/>
        </w:rPr>
        <w:t>(</w:t>
      </w:r>
      <w:proofErr w:type="spellStart"/>
      <w:r>
        <w:rPr>
          <w:rFonts w:ascii="Times New Roman Regular" w:hAnsi="Times New Roman Regular" w:cs="Times New Roman Regular"/>
          <w:color w:val="212121"/>
          <w:sz w:val="22"/>
          <w:szCs w:val="22"/>
        </w:rPr>
        <w:t>Jurnal</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Manajemen</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Kepemimpinan</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3"/>
          <w:sz w:val="22"/>
          <w:szCs w:val="22"/>
        </w:rPr>
        <w:t xml:space="preserve"> </w:t>
      </w:r>
      <w:r>
        <w:rPr>
          <w:rFonts w:ascii="Times New Roman Regular" w:hAnsi="Times New Roman Regular" w:cs="Times New Roman Regular"/>
          <w:color w:val="212121"/>
          <w:sz w:val="22"/>
          <w:szCs w:val="22"/>
        </w:rPr>
        <w:t>dan</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Supervisi</w:t>
      </w:r>
      <w:proofErr w:type="spellEnd"/>
      <w:r>
        <w:rPr>
          <w:rFonts w:ascii="Times New Roman Regular" w:hAnsi="Times New Roman Regular" w:cs="Times New Roman Regular"/>
          <w:color w:val="212121"/>
          <w:sz w:val="22"/>
          <w:szCs w:val="22"/>
        </w:rPr>
        <w:t xml:space="preserve"> Pendidikan</w:t>
      </w:r>
      <w:r>
        <w:rPr>
          <w:rFonts w:ascii="Times New Roman Regular" w:hAnsi="Times New Roman Regular" w:cs="Times New Roman Regular"/>
          <w:i/>
          <w:color w:val="212121"/>
          <w:sz w:val="22"/>
          <w:szCs w:val="22"/>
        </w:rPr>
        <w:t>)</w:t>
      </w:r>
      <w:r>
        <w:rPr>
          <w:rFonts w:ascii="Times New Roman Regular" w:hAnsi="Times New Roman Regular" w:cs="Times New Roman Regular"/>
          <w:color w:val="212121"/>
          <w:sz w:val="22"/>
          <w:szCs w:val="22"/>
        </w:rPr>
        <w:t xml:space="preserve">, </w:t>
      </w:r>
      <w:r>
        <w:rPr>
          <w:rFonts w:ascii="Times New Roman Regular" w:hAnsi="Times New Roman Regular" w:cs="Times New Roman Regular"/>
          <w:i/>
          <w:color w:val="212121"/>
          <w:sz w:val="22"/>
          <w:szCs w:val="22"/>
        </w:rPr>
        <w:t>2</w:t>
      </w:r>
      <w:r>
        <w:rPr>
          <w:rFonts w:ascii="Times New Roman Regular" w:hAnsi="Times New Roman Regular" w:cs="Times New Roman Regular"/>
          <w:color w:val="212121"/>
          <w:sz w:val="22"/>
          <w:szCs w:val="22"/>
        </w:rPr>
        <w:t xml:space="preserve">(2), 325-342. </w:t>
      </w:r>
      <w:hyperlink r:id="rId13" w:history="1">
        <w:r>
          <w:rPr>
            <w:rStyle w:val="Hyperlink"/>
            <w:rFonts w:ascii="Times New Roman Regular" w:eastAsia="SimSun" w:hAnsi="Times New Roman Regular" w:cs="Times New Roman Regular"/>
            <w:kern w:val="0"/>
            <w:sz w:val="22"/>
            <w:szCs w:val="22"/>
            <w:lang w:bidi="ar"/>
          </w:rPr>
          <w:t>http://download.garuda.kemdikbud.go.id/article.php?article=1628121&amp;val=12982&amp;title=IMPLEMENTASI%20GERAKAN%20LITERASI%20SEKOLAH%20GLS%20SEBAGAI%20PEMBENTUK%20PENDIDIKAN%20BERKARAKTER</w:t>
        </w:r>
      </w:hyperlink>
      <w:r>
        <w:rPr>
          <w:rFonts w:ascii="Times New Roman Regular" w:eastAsia="SimSun" w:hAnsi="Times New Roman Regular" w:cs="Times New Roman Regular"/>
          <w:kern w:val="0"/>
          <w:sz w:val="22"/>
          <w:szCs w:val="22"/>
          <w:lang w:bidi="ar"/>
        </w:rPr>
        <w:t xml:space="preserve"> </w:t>
      </w:r>
    </w:p>
    <w:p w:rsidR="00D2147C" w:rsidRDefault="007B1E8B">
      <w:pPr>
        <w:widowControl/>
        <w:ind w:left="838" w:hangingChars="381" w:hanging="838"/>
        <w:rPr>
          <w:rFonts w:ascii="Times New Roman Regular" w:hAnsi="Times New Roman Regular" w:cs="Times New Roman Regular" w:hint="eastAsia"/>
          <w:sz w:val="22"/>
          <w:szCs w:val="28"/>
        </w:rPr>
      </w:pPr>
      <w:r>
        <w:rPr>
          <w:rFonts w:ascii="Times New Roman Regular" w:hAnsi="Times New Roman Regular" w:cs="Times New Roman Regular"/>
          <w:sz w:val="22"/>
          <w:szCs w:val="22"/>
        </w:rPr>
        <w:t xml:space="preserve">Wang, C., Zhang, M., </w:t>
      </w:r>
      <w:proofErr w:type="spellStart"/>
      <w:r>
        <w:rPr>
          <w:rFonts w:ascii="Times New Roman Regular" w:hAnsi="Times New Roman Regular" w:cs="Times New Roman Regular"/>
          <w:sz w:val="22"/>
          <w:szCs w:val="22"/>
        </w:rPr>
        <w:t>Sesunan</w:t>
      </w:r>
      <w:proofErr w:type="spellEnd"/>
      <w:r>
        <w:rPr>
          <w:rFonts w:ascii="Times New Roman Regular" w:hAnsi="Times New Roman Regular" w:cs="Times New Roman Regular"/>
          <w:sz w:val="22"/>
          <w:szCs w:val="22"/>
        </w:rPr>
        <w:t xml:space="preserve">, A., &amp; Yolanda, L. (2023).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transformasi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di Indonesia. </w:t>
      </w:r>
      <w:proofErr w:type="spellStart"/>
      <w:r>
        <w:rPr>
          <w:rFonts w:ascii="Times New Roman Regular" w:hAnsi="Times New Roman Regular" w:cs="Times New Roman Regular"/>
          <w:sz w:val="22"/>
          <w:szCs w:val="22"/>
        </w:rPr>
        <w:t>Kemdikbud</w:t>
      </w:r>
      <w:proofErr w:type="spellEnd"/>
      <w:r>
        <w:rPr>
          <w:rFonts w:ascii="Times New Roman Regular" w:hAnsi="Times New Roman Regular" w:cs="Times New Roman Regular"/>
          <w:sz w:val="22"/>
          <w:szCs w:val="22"/>
        </w:rPr>
        <w:t xml:space="preserve">, 4(2), 1-7. </w:t>
      </w:r>
      <w:hyperlink r:id="rId14" w:history="1">
        <w:r>
          <w:rPr>
            <w:rStyle w:val="Hyperlink"/>
            <w:rFonts w:ascii="Times New Roman Regular" w:hAnsi="Times New Roman Regular" w:cs="Times New Roman Regular"/>
            <w:sz w:val="22"/>
            <w:szCs w:val="28"/>
          </w:rPr>
          <w:t>https://static.skm.kemdikbud.go.id/announcements/28942fb9-334d-4fb5-9ce2-56f7ddce4d48-Indonesias-K-12-Education-Quality-Improvement-Bahasa-05122023.pdf</w:t>
        </w:r>
      </w:hyperlink>
      <w:r>
        <w:rPr>
          <w:rFonts w:ascii="Times New Roman Regular" w:hAnsi="Times New Roman Regular" w:cs="Times New Roman Regular"/>
          <w:sz w:val="22"/>
          <w:szCs w:val="28"/>
        </w:rPr>
        <w:t xml:space="preserve"> </w:t>
      </w:r>
    </w:p>
    <w:p w:rsidR="00D2147C" w:rsidRDefault="00D2147C">
      <w:pPr>
        <w:rPr>
          <w:rFonts w:ascii="Times New Roman Regular" w:hAnsi="Times New Roman Regular" w:cs="Times New Roman Regular" w:hint="eastAsia"/>
          <w:sz w:val="22"/>
          <w:szCs w:val="28"/>
        </w:rPr>
      </w:pPr>
    </w:p>
    <w:sectPr w:rsidR="00D2147C">
      <w:pgSz w:w="11910" w:h="16840"/>
      <w:pgMar w:top="1699" w:right="1699" w:bottom="1699" w:left="2261"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Times New Roman Bold Italic">
    <w:panose1 w:val="02020703060505090304"/>
    <w:charset w:val="00"/>
    <w:family w:val="auto"/>
    <w:pitch w:val="default"/>
  </w:font>
  <w:font w:name="Times New Roman Italic">
    <w:panose1 w:val="0202050305040509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F5808F"/>
    <w:multiLevelType w:val="singleLevel"/>
    <w:tmpl w:val="9AF5808F"/>
    <w:lvl w:ilvl="0">
      <w:start w:val="1"/>
      <w:numFmt w:val="decimal"/>
      <w:lvlText w:val="%1."/>
      <w:lvlJc w:val="left"/>
      <w:pPr>
        <w:tabs>
          <w:tab w:val="left" w:pos="425"/>
        </w:tabs>
        <w:ind w:left="425" w:hanging="425"/>
      </w:pPr>
      <w:rPr>
        <w:rFonts w:hint="default"/>
      </w:rPr>
    </w:lvl>
  </w:abstractNum>
  <w:abstractNum w:abstractNumId="1" w15:restartNumberingAfterBreak="0">
    <w:nsid w:val="DFA64DF6"/>
    <w:multiLevelType w:val="singleLevel"/>
    <w:tmpl w:val="DFA64DF6"/>
    <w:lvl w:ilvl="0">
      <w:start w:val="1"/>
      <w:numFmt w:val="decimal"/>
      <w:suff w:val="space"/>
      <w:lvlText w:val="%1."/>
      <w:lvlJc w:val="left"/>
      <w:rPr>
        <w:rFonts w:hint="default"/>
        <w:b/>
        <w:bCs/>
      </w:rPr>
    </w:lvl>
  </w:abstractNum>
  <w:abstractNum w:abstractNumId="2" w15:restartNumberingAfterBreak="0">
    <w:nsid w:val="EF1E4288"/>
    <w:multiLevelType w:val="singleLevel"/>
    <w:tmpl w:val="EF1E4288"/>
    <w:lvl w:ilvl="0">
      <w:start w:val="1"/>
      <w:numFmt w:val="decimal"/>
      <w:lvlText w:val="%1."/>
      <w:lvlJc w:val="left"/>
      <w:pPr>
        <w:tabs>
          <w:tab w:val="left" w:pos="425"/>
        </w:tabs>
        <w:ind w:left="425" w:hanging="425"/>
      </w:pPr>
      <w:rPr>
        <w:rFonts w:hint="default"/>
      </w:rPr>
    </w:lvl>
  </w:abstractNum>
  <w:abstractNum w:abstractNumId="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2E3939"/>
    <w:rsid w:val="6F2E3939"/>
    <w:rsid w:val="AAFD54DD"/>
    <w:rsid w:val="B77E84F0"/>
    <w:rsid w:val="BEFF82BE"/>
    <w:rsid w:val="DCECF8CB"/>
    <w:rsid w:val="EF5F3B1D"/>
    <w:rsid w:val="EFF25256"/>
    <w:rsid w:val="FBF5B398"/>
    <w:rsid w:val="FDBB47CD"/>
    <w:rsid w:val="FDE43025"/>
    <w:rsid w:val="FFDD07A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A223D"/>
    <w:rsid w:val="007B1E8B"/>
    <w:rsid w:val="007C2C59"/>
    <w:rsid w:val="00801F23"/>
    <w:rsid w:val="00837632"/>
    <w:rsid w:val="0085640F"/>
    <w:rsid w:val="008567AA"/>
    <w:rsid w:val="00875953"/>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46343"/>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47C"/>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FB23D7"/>
    <w:rsid w:val="1FFE2FFF"/>
    <w:rsid w:val="3F3FFF55"/>
    <w:rsid w:val="3F77FE7A"/>
    <w:rsid w:val="3FEF6A78"/>
    <w:rsid w:val="4FEDE463"/>
    <w:rsid w:val="547FAED1"/>
    <w:rsid w:val="6F2E3939"/>
    <w:rsid w:val="6FB93C85"/>
    <w:rsid w:val="6FD7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62E5E"/>
  <w15:docId w15:val="{F1C50876-FB17-4BED-90EE-018AFEA1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7509/md.v19i1.60911" TargetMode="External"/><Relationship Id="rId13" Type="http://schemas.openxmlformats.org/officeDocument/2006/relationships/hyperlink" Target="http://download.garuda.kemdikbud.go.id/article.php?article=1628121&amp;val=12982&amp;title=IMPLEMENTASI%20GERAKAN%20LITERASI%20SEKOLAH%20GLS%20SEBAGAI%20PEMBENTUK%20PENDIDIKAN%20BERKARAKTER" TargetMode="External"/><Relationship Id="rId3" Type="http://schemas.openxmlformats.org/officeDocument/2006/relationships/settings" Target="settings.xml"/><Relationship Id="rId7" Type="http://schemas.openxmlformats.org/officeDocument/2006/relationships/hyperlink" Target="https://doi.org/10.31004/irje.v4i4.1352" TargetMode="External"/><Relationship Id="rId12" Type="http://schemas.openxmlformats.org/officeDocument/2006/relationships/hyperlink" Target="https://mail.jer.or.id/index.php/jer/article/view/2005/11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penlibrarypublications.telkomuniversity.ac.id/index.php/artdesign/article/view/12894" TargetMode="External"/><Relationship Id="rId11" Type="http://schemas.openxmlformats.org/officeDocument/2006/relationships/hyperlink" Target="https://doi.org/10.24246/j.js.2020.v10.i1.p22-33" TargetMode="External"/><Relationship Id="rId5" Type="http://schemas.openxmlformats.org/officeDocument/2006/relationships/hyperlink" Target="https://doi.org/10.31764/pendekar.v7i2.24032" TargetMode="External"/><Relationship Id="rId15" Type="http://schemas.openxmlformats.org/officeDocument/2006/relationships/fontTable" Target="fontTable.xml"/><Relationship Id="rId10" Type="http://schemas.openxmlformats.org/officeDocument/2006/relationships/hyperlink" Target="https://doi.org/10.53860/losari.v3i1.35" TargetMode="External"/><Relationship Id="rId4" Type="http://schemas.openxmlformats.org/officeDocument/2006/relationships/webSettings" Target="webSettings.xml"/><Relationship Id="rId9" Type="http://schemas.openxmlformats.org/officeDocument/2006/relationships/hyperlink" Target="http://dx.doi.org/10.25157/wa.v4i1.385" TargetMode="External"/><Relationship Id="rId14" Type="http://schemas.openxmlformats.org/officeDocument/2006/relationships/hyperlink" Target="https://static.skm.kemdikbud.go.id/announcements/28942fb9-334d-4fb5-9ce2-56f7ddce4d48-Indonesias-K-12-Education-Quality-Improvement-Bahasa-0512202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3713</Words>
  <Characters>21165</Characters>
  <Application>Microsoft Office Word</Application>
  <DocSecurity>0</DocSecurity>
  <Lines>176</Lines>
  <Paragraphs>49</Paragraphs>
  <ScaleCrop>false</ScaleCrop>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1183</cp:lastModifiedBy>
  <cp:revision>5</cp:revision>
  <dcterms:created xsi:type="dcterms:W3CDTF">2025-06-16T09:03:00Z</dcterms:created>
  <dcterms:modified xsi:type="dcterms:W3CDTF">2025-08-12T12:35:00Z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