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C6" w:rsidRPr="00B430DF" w:rsidRDefault="00A36BF1">
      <w:pPr>
        <w:jc w:val="center"/>
        <w:rPr>
          <w:rFonts w:asciiTheme="majorBidi" w:hAnsiTheme="majorBidi"/>
          <w:b/>
          <w:bCs/>
          <w:color w:val="000000" w:themeColor="text1"/>
          <w:sz w:val="24"/>
        </w:rPr>
      </w:pPr>
      <w:r w:rsidRPr="00B430DF">
        <w:rPr>
          <w:rFonts w:ascii="Times New Roman" w:hAnsi="Times New Roman"/>
          <w:b/>
          <w:color w:val="000000" w:themeColor="text1"/>
          <w:sz w:val="40"/>
          <w:szCs w:val="40"/>
        </w:rPr>
        <w:t>Driving Teachers’ Innovative Strategies in Implementing the Merdeka Curriculum in Basic Education</w:t>
      </w:r>
    </w:p>
    <w:p w:rsidR="00085CC6" w:rsidRDefault="00085CC6">
      <w:pPr>
        <w:jc w:val="center"/>
        <w:rPr>
          <w:rFonts w:asciiTheme="majorBidi" w:hAnsiTheme="majorBidi"/>
          <w:b/>
          <w:bCs/>
          <w:sz w:val="24"/>
        </w:rPr>
      </w:pPr>
    </w:p>
    <w:p w:rsidR="00085CC6" w:rsidRDefault="00085CC6">
      <w:pPr>
        <w:jc w:val="center"/>
        <w:rPr>
          <w:rFonts w:asciiTheme="majorBidi" w:hAnsiTheme="majorBidi"/>
          <w:b/>
          <w:bCs/>
          <w:sz w:val="24"/>
        </w:rPr>
      </w:pPr>
    </w:p>
    <w:p w:rsidR="00085CC6" w:rsidRDefault="00A36BF1">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ABSTRACT</w:t>
      </w:r>
    </w:p>
    <w:p w:rsidR="00085CC6" w:rsidRDefault="00A36BF1">
      <w:pPr>
        <w:rPr>
          <w:rFonts w:asciiTheme="majorBidi" w:hAnsiTheme="majorBidi"/>
          <w:sz w:val="22"/>
          <w:szCs w:val="22"/>
        </w:rPr>
      </w:pPr>
      <w:r>
        <w:rPr>
          <w:rFonts w:asciiTheme="majorBidi" w:hAnsiTheme="majorBidi"/>
          <w:sz w:val="22"/>
          <w:szCs w:val="22"/>
        </w:rPr>
        <w:t>This study explores the strategic role of Driving Teachers in fostering instructional innovation during the implementation of the Merdeka Curriculum at the primary school level. The Merdeka Curriculum promotes student-centered, flexible, and adaptive learning approaches aligned with the demands of 21st-century education. Using a descriptive qualitative method, data were collected through in-depth interviews, participatory observation, and document analysis involving Driving Teachers who had implemented the curriculum for at least one academic year. Data analysis followed the Miles and Huberman, including data reduction, data display, and conclusion drawing. The findings indicate that despite encountering various challenges—such as limited curriculum literacy among peers and insufficient learning resources—Driving Teachers exhibited adaptive instructional leadership. Their innovative strategies included the design of contextual learning modules, implementation of Project-Based Learning (</w:t>
      </w:r>
      <w:proofErr w:type="spellStart"/>
      <w:r>
        <w:rPr>
          <w:rFonts w:asciiTheme="majorBidi" w:hAnsiTheme="majorBidi"/>
          <w:sz w:val="22"/>
          <w:szCs w:val="22"/>
        </w:rPr>
        <w:t>PjBL</w:t>
      </w:r>
      <w:proofErr w:type="spellEnd"/>
      <w:r>
        <w:rPr>
          <w:rFonts w:asciiTheme="majorBidi" w:hAnsiTheme="majorBidi"/>
          <w:sz w:val="22"/>
          <w:szCs w:val="22"/>
        </w:rPr>
        <w:t xml:space="preserve">), differentiated instruction, and the effective use of the Merdeka </w:t>
      </w:r>
      <w:proofErr w:type="spellStart"/>
      <w:r>
        <w:rPr>
          <w:rFonts w:asciiTheme="majorBidi" w:hAnsiTheme="majorBidi"/>
          <w:sz w:val="22"/>
          <w:szCs w:val="22"/>
        </w:rPr>
        <w:t>Mengajar</w:t>
      </w:r>
      <w:proofErr w:type="spellEnd"/>
      <w:r>
        <w:rPr>
          <w:rFonts w:asciiTheme="majorBidi" w:hAnsiTheme="majorBidi"/>
          <w:sz w:val="22"/>
          <w:szCs w:val="22"/>
        </w:rPr>
        <w:t xml:space="preserve"> platform. These innovations not only enhanced the quality of teaching and learning but also supported character development and nurtured a reflective and collaborative learning culture. Driving Teachers have proven to be essential agents in promoting inclusive, progressive, and sustainable educational transformation at the grassroots level.</w:t>
      </w:r>
    </w:p>
    <w:p w:rsidR="00085CC6" w:rsidRDefault="00085CC6">
      <w:pPr>
        <w:rPr>
          <w:rFonts w:asciiTheme="majorBidi" w:hAnsiTheme="majorBidi"/>
          <w:sz w:val="22"/>
          <w:szCs w:val="22"/>
        </w:rPr>
      </w:pPr>
    </w:p>
    <w:p w:rsidR="00085CC6" w:rsidRDefault="00A36BF1">
      <w:pPr>
        <w:rPr>
          <w:rFonts w:asciiTheme="majorBidi" w:hAnsiTheme="majorBidi"/>
          <w:sz w:val="22"/>
          <w:szCs w:val="22"/>
        </w:rPr>
      </w:pPr>
      <w:r>
        <w:rPr>
          <w:rFonts w:ascii="Times New Roman" w:hAnsi="Times New Roman"/>
          <w:b/>
          <w:i/>
          <w:color w:val="0000CC"/>
          <w:sz w:val="22"/>
          <w:szCs w:val="22"/>
        </w:rPr>
        <w:t>Keywords:</w:t>
      </w:r>
      <w:r>
        <w:rPr>
          <w:rFonts w:asciiTheme="majorBidi" w:hAnsiTheme="majorBidi"/>
          <w:sz w:val="22"/>
          <w:szCs w:val="22"/>
        </w:rPr>
        <w:t xml:space="preserve"> Driving Teacher; Merdeka Curriculum; Primary Education; Instructional Innovation; Educational Transformation.</w:t>
      </w:r>
    </w:p>
    <w:p w:rsidR="00085CC6" w:rsidRDefault="00085CC6">
      <w:pPr>
        <w:rPr>
          <w:rFonts w:asciiTheme="majorBidi" w:hAnsiTheme="majorBidi"/>
          <w:sz w:val="22"/>
          <w:szCs w:val="22"/>
        </w:rPr>
      </w:pPr>
    </w:p>
    <w:p w:rsidR="00085CC6" w:rsidRDefault="00A36BF1">
      <w:pPr>
        <w:pStyle w:val="NoSpacing"/>
        <w:jc w:val="both"/>
        <w:rPr>
          <w:rFonts w:asciiTheme="majorBidi" w:hAnsiTheme="majorBidi"/>
          <w:b/>
          <w:bCs/>
        </w:rPr>
      </w:pPr>
      <w:r>
        <w:rPr>
          <w:rFonts w:ascii="Times New Roman" w:hAnsi="Times New Roman"/>
          <w:b/>
          <w:color w:val="0000CC"/>
        </w:rPr>
        <w:t>INTRODUCTION</w:t>
      </w:r>
    </w:p>
    <w:p w:rsidR="00085CC6" w:rsidRDefault="00A36BF1">
      <w:pPr>
        <w:ind w:firstLine="420"/>
        <w:rPr>
          <w:rFonts w:asciiTheme="majorBidi" w:hAnsiTheme="majorBidi"/>
          <w:sz w:val="22"/>
          <w:szCs w:val="22"/>
        </w:rPr>
      </w:pPr>
      <w:r>
        <w:rPr>
          <w:rFonts w:asciiTheme="majorBidi" w:hAnsiTheme="majorBidi"/>
          <w:sz w:val="22"/>
          <w:szCs w:val="22"/>
        </w:rPr>
        <w:t>Education plays a strategic role as a foundational pillar in achieving sustainable national development. Through meaningful educational processes, individuals gain not only technical knowledge and skills but also character values, ethics, and essential 21st-century competencies necessary to navigate global dynamics (</w:t>
      </w:r>
      <w:proofErr w:type="spellStart"/>
      <w:r>
        <w:rPr>
          <w:rFonts w:ascii="Times New Roman Regular" w:hAnsi="Times New Roman Regular" w:cs="Times New Roman Regular"/>
          <w:sz w:val="22"/>
          <w:szCs w:val="28"/>
        </w:rPr>
        <w:t>Sijabat</w:t>
      </w:r>
      <w:proofErr w:type="spellEnd"/>
      <w:r>
        <w:rPr>
          <w:rFonts w:ascii="Times New Roman Regular" w:hAnsi="Times New Roman Regular" w:cs="Times New Roman Regular"/>
          <w:sz w:val="22"/>
          <w:szCs w:val="28"/>
        </w:rPr>
        <w:t xml:space="preserve"> et al</w:t>
      </w:r>
      <w:r>
        <w:rPr>
          <w:rFonts w:asciiTheme="majorBidi" w:hAnsiTheme="majorBidi"/>
          <w:sz w:val="22"/>
          <w:szCs w:val="22"/>
        </w:rPr>
        <w:t xml:space="preserve">, 2022; </w:t>
      </w:r>
      <w:proofErr w:type="spellStart"/>
      <w:r>
        <w:rPr>
          <w:rFonts w:asciiTheme="majorBidi" w:hAnsiTheme="majorBidi"/>
          <w:sz w:val="22"/>
          <w:szCs w:val="22"/>
        </w:rPr>
        <w:t>Alimuddin</w:t>
      </w:r>
      <w:proofErr w:type="spellEnd"/>
      <w:r>
        <w:rPr>
          <w:rFonts w:asciiTheme="majorBidi" w:hAnsiTheme="majorBidi"/>
          <w:sz w:val="22"/>
          <w:szCs w:val="22"/>
        </w:rPr>
        <w:t xml:space="preserve"> et al., 2023). This vision is reinforced by the Indonesian Constitution (UUD 1945) and Law No. 20 of 2003 on the National Education System, which emphasize active, creative, and enjoyable learning oriented toward the holistic development of students’ potential. In response to the complex challenges of contemporary education, the Ministry of Education, Culture, Research, and Technology launched the Merdeka Curriculum—a new paradigm that promotes student-centered, flexible, contextual, and adaptive learning. This curriculum allows schools and educators to design learning experiences aligned with the diverse needs and characteristics of their students. Its core principles include differentiated instruction, competency strengthening, and character building as the foundation of long-term educational development (</w:t>
      </w:r>
      <w:proofErr w:type="spellStart"/>
      <w:r>
        <w:rPr>
          <w:rFonts w:ascii="Times New Roman" w:eastAsia="SimSun" w:hAnsi="Times New Roman" w:cs="Times New Roman"/>
          <w:iCs/>
          <w:color w:val="222222"/>
          <w:kern w:val="0"/>
          <w:sz w:val="22"/>
          <w:szCs w:val="22"/>
          <w:shd w:val="clear" w:color="auto" w:fill="FFFFFF"/>
          <w:lang w:bidi="ar"/>
        </w:rPr>
        <w:t>Mulyasa</w:t>
      </w:r>
      <w:proofErr w:type="spellEnd"/>
      <w:r>
        <w:rPr>
          <w:rFonts w:ascii="Times New Roman" w:eastAsia="SimSun" w:hAnsi="Times New Roman" w:cs="Times New Roman"/>
          <w:iCs/>
          <w:color w:val="222222"/>
          <w:kern w:val="0"/>
          <w:sz w:val="22"/>
          <w:szCs w:val="22"/>
          <w:shd w:val="clear" w:color="auto" w:fill="FFFFFF"/>
          <w:lang w:bidi="ar"/>
        </w:rPr>
        <w:t>, 2023</w:t>
      </w:r>
      <w:r>
        <w:rPr>
          <w:rFonts w:asciiTheme="majorBidi" w:hAnsiTheme="majorBidi"/>
          <w:sz w:val="22"/>
          <w:szCs w:val="22"/>
        </w:rPr>
        <w:t>).</w:t>
      </w:r>
    </w:p>
    <w:p w:rsidR="00085CC6" w:rsidRDefault="00A36BF1">
      <w:pPr>
        <w:ind w:firstLine="420"/>
        <w:rPr>
          <w:rFonts w:asciiTheme="majorBidi" w:hAnsiTheme="majorBidi"/>
          <w:sz w:val="22"/>
          <w:szCs w:val="22"/>
        </w:rPr>
      </w:pPr>
      <w:r>
        <w:rPr>
          <w:rFonts w:asciiTheme="majorBidi" w:hAnsiTheme="majorBidi"/>
          <w:sz w:val="22"/>
          <w:szCs w:val="22"/>
        </w:rPr>
        <w:t>To support the effective implementation of the Merdeka Curriculum, the government introduced the Driving Teacher program, aimed at preparing educators with transformative leadership capacities. Driving Teachers are expected to serve as change agents in their schools—promoting instructional innovation, cultivating reflective teaching practices, and fostering empowered, collaborative learning communities (</w:t>
      </w:r>
      <w:proofErr w:type="spellStart"/>
      <w:r>
        <w:rPr>
          <w:rFonts w:asciiTheme="majorBidi" w:hAnsiTheme="majorBidi"/>
          <w:sz w:val="22"/>
          <w:szCs w:val="22"/>
        </w:rPr>
        <w:t>Lubis</w:t>
      </w:r>
      <w:proofErr w:type="spellEnd"/>
      <w:r>
        <w:rPr>
          <w:rFonts w:asciiTheme="majorBidi" w:hAnsiTheme="majorBidi"/>
          <w:sz w:val="22"/>
          <w:szCs w:val="22"/>
        </w:rPr>
        <w:t xml:space="preserve"> et al., 2023). However, in practice, Driving Teachers often face significant challenges, such as limited understanding of the new curriculum among fellow teachers, inadequate facilities and infrastructure, and the diverse learning needs of students. These challenges </w:t>
      </w:r>
      <w:r>
        <w:rPr>
          <w:rFonts w:asciiTheme="majorBidi" w:hAnsiTheme="majorBidi"/>
          <w:sz w:val="22"/>
          <w:szCs w:val="22"/>
        </w:rPr>
        <w:lastRenderedPageBreak/>
        <w:t>necessitate the use of innovative and responsive teaching strategies, including project-based learning, differentiated instruction, the integration of digital technologies, and the creation of inclusive and supportive learning environments (</w:t>
      </w:r>
      <w:r>
        <w:rPr>
          <w:rFonts w:ascii="Times New Roman Regular" w:hAnsi="Times New Roman Regular" w:cs="Times New Roman Regular"/>
          <w:sz w:val="22"/>
          <w:szCs w:val="22"/>
        </w:rPr>
        <w:t>Wijaya et al., 2022</w:t>
      </w:r>
      <w:r>
        <w:rPr>
          <w:rFonts w:asciiTheme="majorBidi" w:hAnsiTheme="majorBidi"/>
          <w:sz w:val="22"/>
          <w:szCs w:val="22"/>
        </w:rPr>
        <w:t>).</w:t>
      </w:r>
    </w:p>
    <w:p w:rsidR="00085CC6" w:rsidRDefault="00A36BF1">
      <w:pPr>
        <w:ind w:firstLine="420"/>
        <w:rPr>
          <w:rFonts w:asciiTheme="majorBidi" w:hAnsiTheme="majorBidi"/>
          <w:sz w:val="22"/>
          <w:szCs w:val="22"/>
        </w:rPr>
      </w:pPr>
      <w:r>
        <w:rPr>
          <w:rFonts w:asciiTheme="majorBidi" w:hAnsiTheme="majorBidi"/>
          <w:sz w:val="22"/>
          <w:szCs w:val="22"/>
        </w:rPr>
        <w:t>This study is urgent in its effort to systematically document how Driving Teachers navigate these challenges and develop innovative strategies within the context of the Merdeka Curriculum, particularly at the primary education level. Although the Driving Teacher program has been implemented nationwide, empirical studies exploring their innovative teaching practices remain limited. Such insights are essential for formulating evidence-based teacher training policies, designing relevant curricula, and developing contextual learning models that can be replicated across schools. Based on this background, this study aims to: (1) identify the challenges faced by Driving Teachers in implementing the Merdeka Curriculum in primary schools; (2) describe the innovative and adaptive strategies applied in their instructional practices; and (3) analyze the impact of these strategies on the quality of teaching and learning processes. The findings are expected to contribute to academic discourse, inform policy recommendations for teacher professional development, and support the creation of applicable and scalable models for sustainable educational transformation.</w:t>
      </w:r>
    </w:p>
    <w:p w:rsidR="00085CC6" w:rsidRDefault="00085CC6">
      <w:pPr>
        <w:rPr>
          <w:rFonts w:asciiTheme="majorBidi" w:hAnsiTheme="majorBidi"/>
          <w:sz w:val="22"/>
          <w:szCs w:val="22"/>
        </w:rPr>
      </w:pPr>
    </w:p>
    <w:p w:rsidR="00085CC6" w:rsidRDefault="00A36BF1">
      <w:pPr>
        <w:rPr>
          <w:rFonts w:ascii="Times New Roman" w:hAnsi="Times New Roman"/>
          <w:b/>
          <w:color w:val="0000CC"/>
        </w:rPr>
      </w:pPr>
      <w:r>
        <w:rPr>
          <w:rFonts w:ascii="Times New Roman" w:hAnsi="Times New Roman"/>
          <w:b/>
          <w:color w:val="0000CC"/>
        </w:rPr>
        <w:t>LITERATURE REVIEW</w:t>
      </w:r>
    </w:p>
    <w:p w:rsidR="00085CC6" w:rsidRDefault="00A36BF1">
      <w:pPr>
        <w:rPr>
          <w:rFonts w:asciiTheme="majorBidi" w:hAnsiTheme="majorBidi"/>
          <w:b/>
          <w:bCs/>
          <w:sz w:val="22"/>
          <w:szCs w:val="22"/>
        </w:rPr>
      </w:pPr>
      <w:r>
        <w:rPr>
          <w:rFonts w:asciiTheme="majorBidi" w:hAnsiTheme="majorBidi"/>
          <w:b/>
          <w:bCs/>
          <w:sz w:val="22"/>
          <w:szCs w:val="22"/>
        </w:rPr>
        <w:t>The Merdeka Curriculum</w:t>
      </w:r>
    </w:p>
    <w:p w:rsidR="00085CC6" w:rsidRDefault="00A36BF1">
      <w:pPr>
        <w:ind w:firstLine="420"/>
        <w:rPr>
          <w:rFonts w:asciiTheme="majorBidi" w:hAnsiTheme="majorBidi"/>
          <w:sz w:val="22"/>
          <w:szCs w:val="22"/>
        </w:rPr>
      </w:pPr>
      <w:r>
        <w:rPr>
          <w:rFonts w:asciiTheme="majorBidi" w:hAnsiTheme="majorBidi"/>
          <w:sz w:val="22"/>
          <w:szCs w:val="22"/>
        </w:rPr>
        <w:t xml:space="preserve">The Merdeka Curriculum represents a significant reform in Indonesia’s educational policy, offering greater autonomy to schools and teachers in designing instructional processes that align with the characteristics and needs of their students. According to </w:t>
      </w:r>
      <w:proofErr w:type="spellStart"/>
      <w:r>
        <w:rPr>
          <w:rFonts w:ascii="Times New Roman Regular" w:hAnsi="Times New Roman Regular" w:cs="Times New Roman Regular"/>
          <w:sz w:val="22"/>
          <w:szCs w:val="28"/>
        </w:rPr>
        <w:t>Aisyah</w:t>
      </w:r>
      <w:proofErr w:type="spellEnd"/>
      <w:r>
        <w:rPr>
          <w:rFonts w:ascii="Times New Roman Regular" w:hAnsi="Times New Roman Regular" w:cs="Times New Roman Regular"/>
          <w:sz w:val="22"/>
          <w:szCs w:val="28"/>
        </w:rPr>
        <w:t xml:space="preserve"> &amp; </w:t>
      </w:r>
      <w:proofErr w:type="spellStart"/>
      <w:r>
        <w:rPr>
          <w:rFonts w:ascii="Times New Roman Regular" w:hAnsi="Times New Roman Regular" w:cs="Times New Roman Regular"/>
          <w:sz w:val="22"/>
          <w:szCs w:val="28"/>
        </w:rPr>
        <w:t>Bustam</w:t>
      </w:r>
      <w:proofErr w:type="spellEnd"/>
      <w:r>
        <w:rPr>
          <w:rFonts w:ascii="Times New Roman Regular" w:hAnsi="Times New Roman Regular" w:cs="Times New Roman Regular"/>
          <w:sz w:val="22"/>
          <w:szCs w:val="28"/>
        </w:rPr>
        <w:t xml:space="preserve"> (2024)</w:t>
      </w:r>
      <w:r>
        <w:rPr>
          <w:rFonts w:asciiTheme="majorBidi" w:hAnsiTheme="majorBidi"/>
          <w:sz w:val="22"/>
          <w:szCs w:val="22"/>
        </w:rPr>
        <w:t xml:space="preserve">, this policy aims to restore the true essence of education and assessment, which had long been marginalized, by re-emphasizing competency-based evaluation. Schools are granted the authority to interpret core competencies contextually and use them as the foundation for developing learning and assessment strategies. In line with this, </w:t>
      </w:r>
      <w:proofErr w:type="spellStart"/>
      <w:r>
        <w:rPr>
          <w:rFonts w:ascii="Times New Roman Regular" w:hAnsi="Times New Roman Regular" w:cs="Times New Roman Regular"/>
          <w:sz w:val="22"/>
          <w:szCs w:val="22"/>
        </w:rPr>
        <w:t>Istaryaningtyas</w:t>
      </w:r>
      <w:proofErr w:type="spellEnd"/>
      <w:r>
        <w:rPr>
          <w:rFonts w:asciiTheme="majorBidi" w:hAnsiTheme="majorBidi"/>
          <w:sz w:val="22"/>
          <w:szCs w:val="22"/>
        </w:rPr>
        <w:t xml:space="preserve"> et al. (2021) highlight that the Merdeka Curriculum supports a flexible and participatory approach, enabling schools to adapt the curriculum based on local conditions and the actual needs of their students.</w:t>
      </w:r>
    </w:p>
    <w:p w:rsidR="00085CC6" w:rsidRDefault="00A36BF1">
      <w:pPr>
        <w:ind w:firstLine="420"/>
        <w:rPr>
          <w:rFonts w:asciiTheme="majorBidi" w:hAnsiTheme="majorBidi"/>
          <w:sz w:val="22"/>
          <w:szCs w:val="22"/>
        </w:rPr>
      </w:pPr>
      <w:r>
        <w:rPr>
          <w:rFonts w:asciiTheme="majorBidi" w:hAnsiTheme="majorBidi"/>
          <w:sz w:val="22"/>
          <w:szCs w:val="22"/>
        </w:rPr>
        <w:t>Beyond the mastery of academic content, the Merdeka Curriculum focuses on cultivating essential life skills such as critical thinking, collaboration, creativity, communication, and adaptability to social and technological changes (</w:t>
      </w:r>
      <w:proofErr w:type="spellStart"/>
      <w:r>
        <w:rPr>
          <w:rFonts w:ascii="Times New Roman Regular" w:eastAsia="SimSun" w:hAnsi="Times New Roman Regular" w:cs="Times New Roman Regular"/>
          <w:color w:val="222222"/>
          <w:kern w:val="0"/>
          <w:sz w:val="22"/>
          <w:szCs w:val="22"/>
          <w:shd w:val="clear" w:color="auto" w:fill="FFFFFF"/>
          <w:lang w:bidi="ar"/>
        </w:rPr>
        <w:t>Mukhlishin</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et al</w:t>
      </w:r>
      <w:r>
        <w:rPr>
          <w:rFonts w:asciiTheme="majorBidi" w:hAnsiTheme="majorBidi"/>
          <w:sz w:val="22"/>
          <w:szCs w:val="22"/>
        </w:rPr>
        <w:t>, 2024). This curriculum reflects a new paradigm that positions students as active agents in a personalized and transformative learning process. With its student-centered approach, the Merdeka Curriculum promotes the development of the Pancasila Student Profile and fosters a lifelong learning mindset—producing individuals who are independent, flexible learners and equipped to face complex challenges beyond the classroom.</w:t>
      </w:r>
    </w:p>
    <w:p w:rsidR="00085CC6" w:rsidRDefault="00A36BF1">
      <w:pPr>
        <w:ind w:firstLine="420"/>
        <w:rPr>
          <w:rFonts w:asciiTheme="majorBidi" w:hAnsiTheme="majorBidi"/>
          <w:sz w:val="22"/>
          <w:szCs w:val="22"/>
        </w:rPr>
      </w:pPr>
      <w:r>
        <w:rPr>
          <w:rFonts w:asciiTheme="majorBidi" w:hAnsiTheme="majorBidi"/>
          <w:sz w:val="22"/>
          <w:szCs w:val="22"/>
        </w:rPr>
        <w:t xml:space="preserve">From a philosophical perspective, the Merdeka Curriculum aligns with the progressive education movement, which emphasizes meaningful and contextual learning experiences that focus on individual potential. As </w:t>
      </w:r>
      <w:proofErr w:type="spellStart"/>
      <w:r>
        <w:rPr>
          <w:rFonts w:asciiTheme="majorBidi" w:hAnsiTheme="majorBidi"/>
          <w:sz w:val="22"/>
          <w:szCs w:val="22"/>
        </w:rPr>
        <w:t>Heryanti</w:t>
      </w:r>
      <w:proofErr w:type="spellEnd"/>
      <w:r>
        <w:rPr>
          <w:rFonts w:asciiTheme="majorBidi" w:hAnsiTheme="majorBidi"/>
          <w:sz w:val="22"/>
          <w:szCs w:val="22"/>
        </w:rPr>
        <w:t xml:space="preserve"> et al. (2023) explains, this approach aims to nurture learners who are adaptive, reflective, and capable of contributing positively to an ever-evolving society. Accordingly, the Merdeka Curriculum at the primary education level can be identified as fulfilling four core functions: (1) restoring the essence of education through competency-based assessment, (2) developing essential life skills, (3) fostering the character of lifelong learners, and (4) applying progressive educational principles to cultivate critical, collaborative, and globally competitive future generations.</w:t>
      </w:r>
    </w:p>
    <w:p w:rsidR="00085CC6" w:rsidRDefault="00085CC6">
      <w:pPr>
        <w:rPr>
          <w:rFonts w:asciiTheme="majorBidi" w:hAnsiTheme="majorBidi"/>
          <w:sz w:val="22"/>
          <w:szCs w:val="22"/>
        </w:rPr>
      </w:pPr>
    </w:p>
    <w:p w:rsidR="00085CC6" w:rsidRDefault="00A36BF1">
      <w:pPr>
        <w:rPr>
          <w:rFonts w:asciiTheme="majorBidi" w:hAnsiTheme="majorBidi"/>
          <w:b/>
          <w:bCs/>
          <w:sz w:val="22"/>
          <w:szCs w:val="22"/>
        </w:rPr>
      </w:pPr>
      <w:r>
        <w:rPr>
          <w:rFonts w:asciiTheme="majorBidi" w:hAnsiTheme="majorBidi"/>
          <w:b/>
          <w:bCs/>
          <w:sz w:val="22"/>
          <w:szCs w:val="22"/>
        </w:rPr>
        <w:t>The Role and Competencies of Driving Teachers</w:t>
      </w:r>
    </w:p>
    <w:p w:rsidR="00085CC6" w:rsidRDefault="00A36BF1">
      <w:pPr>
        <w:ind w:firstLine="420"/>
        <w:rPr>
          <w:rFonts w:asciiTheme="majorBidi" w:hAnsiTheme="majorBidi"/>
          <w:sz w:val="22"/>
          <w:szCs w:val="22"/>
        </w:rPr>
      </w:pPr>
      <w:r>
        <w:rPr>
          <w:rFonts w:asciiTheme="majorBidi" w:hAnsiTheme="majorBidi"/>
          <w:sz w:val="22"/>
          <w:szCs w:val="22"/>
        </w:rPr>
        <w:t xml:space="preserve">Driving Teachers are professional educators who not only carry out teaching duties but also possess leadership competencies essential for driving instructional transformation within school environments. According to the Regulation of the Minister of Education, </w:t>
      </w:r>
      <w:r>
        <w:rPr>
          <w:rFonts w:asciiTheme="majorBidi" w:hAnsiTheme="majorBidi"/>
          <w:sz w:val="22"/>
          <w:szCs w:val="22"/>
        </w:rPr>
        <w:lastRenderedPageBreak/>
        <w:t>Culture, Research, and Technology No. 26 of 2022, Driving Teachers are selected and specially trained educators equipped with skills in instructional management, school leadership, learning community development, and student character building. They serve as agents of change who help create a healthy, collaborative, and innovative educational ecosystem (</w:t>
      </w:r>
      <w:proofErr w:type="spellStart"/>
      <w:r>
        <w:rPr>
          <w:rFonts w:ascii="Times New Roman Regular" w:hAnsi="Times New Roman Regular" w:cs="Times New Roman Regular"/>
          <w:sz w:val="22"/>
          <w:szCs w:val="28"/>
        </w:rPr>
        <w:t>Sutanto</w:t>
      </w:r>
      <w:proofErr w:type="spellEnd"/>
      <w:r>
        <w:rPr>
          <w:rFonts w:ascii="Times New Roman Regular" w:hAnsi="Times New Roman Regular" w:cs="Times New Roman Regular"/>
          <w:sz w:val="22"/>
          <w:szCs w:val="28"/>
        </w:rPr>
        <w:t>, 2024</w:t>
      </w:r>
      <w:r>
        <w:rPr>
          <w:rFonts w:asciiTheme="majorBidi" w:hAnsiTheme="majorBidi"/>
          <w:sz w:val="22"/>
          <w:szCs w:val="22"/>
        </w:rPr>
        <w:t>). Driving Teachers are expected to identify learning challenges, design adaptive strategies, and inspire fellow teachers in implementing the Merdeka Curriculum.</w:t>
      </w:r>
    </w:p>
    <w:p w:rsidR="00085CC6" w:rsidRDefault="00A36BF1">
      <w:pPr>
        <w:ind w:firstLine="420"/>
        <w:rPr>
          <w:rFonts w:asciiTheme="majorBidi" w:hAnsiTheme="majorBidi"/>
          <w:sz w:val="22"/>
          <w:szCs w:val="22"/>
        </w:rPr>
      </w:pPr>
      <w:r>
        <w:rPr>
          <w:rFonts w:asciiTheme="majorBidi" w:hAnsiTheme="majorBidi"/>
          <w:sz w:val="22"/>
          <w:szCs w:val="22"/>
        </w:rPr>
        <w:t>The program emphasizes strengthening pedagogical, social, and instructional leadership competencies, as well as reflective and collaborative abilities (</w:t>
      </w:r>
      <w:proofErr w:type="spellStart"/>
      <w:r>
        <w:rPr>
          <w:rFonts w:ascii="Times New Roman Regular" w:hAnsi="Times New Roman Regular" w:cs="Times New Roman Regular"/>
          <w:sz w:val="22"/>
          <w:szCs w:val="22"/>
        </w:rPr>
        <w:t>Heryanti</w:t>
      </w:r>
      <w:proofErr w:type="spellEnd"/>
      <w:r>
        <w:rPr>
          <w:rFonts w:ascii="Times New Roman Regular" w:hAnsi="Times New Roman Regular" w:cs="Times New Roman Regular"/>
          <w:sz w:val="22"/>
          <w:szCs w:val="22"/>
        </w:rPr>
        <w:t xml:space="preserve"> et al., 2023</w:t>
      </w:r>
      <w:r>
        <w:rPr>
          <w:rFonts w:asciiTheme="majorBidi" w:hAnsiTheme="majorBidi"/>
          <w:sz w:val="22"/>
          <w:szCs w:val="22"/>
        </w:rPr>
        <w:t>). This enables Driving Teachers to master not only subject content but also understand the contextual needs of students and schools. In addition, they play a crucial role in developing learning communities among educators through platforms such as Teacher Working Groups (KKG), Subject Teacher Forums (MGMP), and other professional learning communities (</w:t>
      </w:r>
      <w:proofErr w:type="spellStart"/>
      <w:r>
        <w:rPr>
          <w:rFonts w:ascii="Times New Roman Regular" w:hAnsi="Times New Roman Regular" w:cs="Times New Roman Regular"/>
          <w:sz w:val="22"/>
          <w:szCs w:val="22"/>
        </w:rPr>
        <w:t>Jannati</w:t>
      </w:r>
      <w:proofErr w:type="spellEnd"/>
      <w:r>
        <w:rPr>
          <w:rFonts w:ascii="Times New Roman Regular" w:hAnsi="Times New Roman Regular" w:cs="Times New Roman Regular"/>
          <w:sz w:val="22"/>
          <w:szCs w:val="22"/>
        </w:rPr>
        <w:t xml:space="preserve"> </w:t>
      </w:r>
      <w:r>
        <w:rPr>
          <w:rFonts w:asciiTheme="majorBidi" w:hAnsiTheme="majorBidi"/>
          <w:sz w:val="22"/>
          <w:szCs w:val="22"/>
        </w:rPr>
        <w:t>et al., 2023). These communities serve as spaces for sharing best practices, teaching strategies, and instructional innovations (</w:t>
      </w:r>
      <w:proofErr w:type="spellStart"/>
      <w:r>
        <w:rPr>
          <w:rFonts w:ascii="Times New Roman Regular" w:hAnsi="Times New Roman Regular" w:cs="Times New Roman Regular"/>
          <w:sz w:val="22"/>
          <w:szCs w:val="28"/>
        </w:rPr>
        <w:t>Sijabat</w:t>
      </w:r>
      <w:proofErr w:type="spellEnd"/>
      <w:r>
        <w:rPr>
          <w:rFonts w:ascii="Times New Roman Regular" w:hAnsi="Times New Roman Regular" w:cs="Times New Roman Regular"/>
          <w:sz w:val="22"/>
          <w:szCs w:val="28"/>
        </w:rPr>
        <w:t xml:space="preserve"> et al</w:t>
      </w:r>
      <w:r>
        <w:rPr>
          <w:rFonts w:asciiTheme="majorBidi" w:hAnsiTheme="majorBidi"/>
          <w:sz w:val="22"/>
          <w:szCs w:val="22"/>
        </w:rPr>
        <w:t>, 2022).</w:t>
      </w:r>
    </w:p>
    <w:p w:rsidR="00085CC6" w:rsidRDefault="00A36BF1">
      <w:pPr>
        <w:ind w:firstLine="420"/>
        <w:rPr>
          <w:rFonts w:asciiTheme="majorBidi" w:hAnsiTheme="majorBidi"/>
          <w:sz w:val="22"/>
          <w:szCs w:val="22"/>
        </w:rPr>
      </w:pPr>
      <w:r>
        <w:rPr>
          <w:rFonts w:asciiTheme="majorBidi" w:hAnsiTheme="majorBidi"/>
          <w:sz w:val="22"/>
          <w:szCs w:val="22"/>
        </w:rPr>
        <w:t>In practice, Driving Teachers act as facilitators and mentors, supporting their peers in enhancing instructional quality—such as questioning techniques, lesson planning, and evaluating teaching and learning processes (</w:t>
      </w:r>
      <w:proofErr w:type="spellStart"/>
      <w:r>
        <w:rPr>
          <w:rFonts w:ascii="Times New Roman Regular" w:hAnsi="Times New Roman Regular" w:cs="Times New Roman Regular"/>
          <w:sz w:val="22"/>
          <w:szCs w:val="28"/>
        </w:rPr>
        <w:t>Susanti</w:t>
      </w:r>
      <w:proofErr w:type="spellEnd"/>
      <w:r>
        <w:rPr>
          <w:rFonts w:asciiTheme="majorBidi" w:hAnsiTheme="majorBidi"/>
          <w:sz w:val="22"/>
          <w:szCs w:val="22"/>
        </w:rPr>
        <w:t xml:space="preserve"> et al., 2024). They also open spaces for dialogue and collaboration with stakeholders inside and outside the school to strengthen learning outcomes (</w:t>
      </w:r>
      <w:proofErr w:type="spellStart"/>
      <w:r>
        <w:rPr>
          <w:rFonts w:ascii="Times New Roman Regular" w:hAnsi="Times New Roman Regular" w:cs="Times New Roman Regular"/>
          <w:sz w:val="22"/>
          <w:szCs w:val="28"/>
        </w:rPr>
        <w:t>Soemardi</w:t>
      </w:r>
      <w:proofErr w:type="spellEnd"/>
      <w:r>
        <w:rPr>
          <w:rFonts w:ascii="Times New Roman Regular" w:hAnsi="Times New Roman Regular" w:cs="Times New Roman Regular"/>
          <w:sz w:val="22"/>
          <w:szCs w:val="28"/>
        </w:rPr>
        <w:t xml:space="preserve"> &amp; </w:t>
      </w:r>
      <w:proofErr w:type="spellStart"/>
      <w:r>
        <w:rPr>
          <w:rFonts w:ascii="Times New Roman Regular" w:hAnsi="Times New Roman Regular" w:cs="Times New Roman Regular"/>
          <w:sz w:val="22"/>
          <w:szCs w:val="28"/>
        </w:rPr>
        <w:t>Hariani</w:t>
      </w:r>
      <w:proofErr w:type="spellEnd"/>
      <w:r>
        <w:rPr>
          <w:rFonts w:ascii="Times New Roman Regular" w:hAnsi="Times New Roman Regular" w:cs="Times New Roman Regular"/>
          <w:sz w:val="22"/>
          <w:szCs w:val="28"/>
        </w:rPr>
        <w:t>, 2023</w:t>
      </w:r>
      <w:r>
        <w:rPr>
          <w:rFonts w:asciiTheme="majorBidi" w:hAnsiTheme="majorBidi"/>
          <w:sz w:val="22"/>
          <w:szCs w:val="22"/>
        </w:rPr>
        <w:t>). One of their significant contributions lies in building educational ecosystem well-being—addressing physical, mental, and social dimensions—encompassing students, teachers, principals, parents, communities, and government stakeholders (</w:t>
      </w:r>
      <w:proofErr w:type="spellStart"/>
      <w:r>
        <w:rPr>
          <w:rFonts w:ascii="Times New Roman Regular" w:hAnsi="Times New Roman Regular" w:cs="Times New Roman Regular"/>
          <w:sz w:val="22"/>
          <w:szCs w:val="28"/>
        </w:rPr>
        <w:t>Hutasoit</w:t>
      </w:r>
      <w:proofErr w:type="spellEnd"/>
      <w:r>
        <w:rPr>
          <w:rFonts w:ascii="Times New Roman Regular" w:hAnsi="Times New Roman Regular" w:cs="Times New Roman Regular"/>
          <w:sz w:val="22"/>
          <w:szCs w:val="28"/>
        </w:rPr>
        <w:t>, 2025</w:t>
      </w:r>
      <w:r>
        <w:rPr>
          <w:rFonts w:asciiTheme="majorBidi" w:hAnsiTheme="majorBidi"/>
          <w:sz w:val="22"/>
          <w:szCs w:val="22"/>
        </w:rPr>
        <w:t xml:space="preserve">; </w:t>
      </w:r>
      <w:proofErr w:type="spellStart"/>
      <w:r>
        <w:rPr>
          <w:rFonts w:ascii="Times New Roman Regular" w:hAnsi="Times New Roman Regular" w:cs="Times New Roman Regular"/>
          <w:sz w:val="22"/>
          <w:szCs w:val="28"/>
        </w:rPr>
        <w:t>Muzakky</w:t>
      </w:r>
      <w:proofErr w:type="spellEnd"/>
      <w:r>
        <w:rPr>
          <w:rFonts w:ascii="Times New Roman Regular" w:hAnsi="Times New Roman Regular" w:cs="Times New Roman Regular"/>
          <w:sz w:val="22"/>
          <w:szCs w:val="28"/>
        </w:rPr>
        <w:t>, 2024)</w:t>
      </w:r>
      <w:r>
        <w:rPr>
          <w:rFonts w:asciiTheme="majorBidi" w:hAnsiTheme="majorBidi"/>
          <w:sz w:val="22"/>
          <w:szCs w:val="22"/>
        </w:rPr>
        <w:t xml:space="preserve">. As instructional leaders, Driving Teachers implement the principles of Freedom to Learn (Merdeka </w:t>
      </w:r>
      <w:proofErr w:type="spellStart"/>
      <w:r>
        <w:rPr>
          <w:rFonts w:asciiTheme="majorBidi" w:hAnsiTheme="majorBidi"/>
          <w:sz w:val="22"/>
          <w:szCs w:val="22"/>
        </w:rPr>
        <w:t>Belajar</w:t>
      </w:r>
      <w:proofErr w:type="spellEnd"/>
      <w:r>
        <w:rPr>
          <w:rFonts w:asciiTheme="majorBidi" w:hAnsiTheme="majorBidi"/>
          <w:sz w:val="22"/>
          <w:szCs w:val="22"/>
        </w:rPr>
        <w:t>) through student-centered approaches. They promote holistic student development, actively nurture their peers’ potential, and serve as role models and transformational agents in realizing the Pancasila Student Profile (</w:t>
      </w:r>
      <w:r>
        <w:rPr>
          <w:rFonts w:ascii="Times New Roman Regular" w:hAnsi="Times New Roman Regular" w:cs="Times New Roman Regular"/>
          <w:sz w:val="22"/>
          <w:szCs w:val="28"/>
        </w:rPr>
        <w:t>Anwar, 2023</w:t>
      </w:r>
      <w:r>
        <w:rPr>
          <w:rFonts w:asciiTheme="majorBidi" w:hAnsiTheme="majorBidi"/>
          <w:sz w:val="22"/>
          <w:szCs w:val="22"/>
        </w:rPr>
        <w:t xml:space="preserve">; </w:t>
      </w:r>
      <w:proofErr w:type="spellStart"/>
      <w:r>
        <w:rPr>
          <w:rFonts w:ascii="Times New Roman Regular" w:hAnsi="Times New Roman Regular" w:cs="Times New Roman Regular"/>
          <w:sz w:val="22"/>
          <w:szCs w:val="22"/>
        </w:rPr>
        <w:t>Heryanti</w:t>
      </w:r>
      <w:proofErr w:type="spellEnd"/>
      <w:r>
        <w:rPr>
          <w:rFonts w:ascii="Times New Roman Regular" w:hAnsi="Times New Roman Regular" w:cs="Times New Roman Regular"/>
          <w:sz w:val="22"/>
          <w:szCs w:val="22"/>
        </w:rPr>
        <w:t xml:space="preserve"> et al., 2023</w:t>
      </w:r>
      <w:r>
        <w:rPr>
          <w:rFonts w:asciiTheme="majorBidi" w:hAnsiTheme="majorBidi"/>
          <w:sz w:val="22"/>
          <w:szCs w:val="22"/>
        </w:rPr>
        <w:t>). Thus, Driving Teachers go beyond academic achievement by prioritizing character formation and essential life skills. Their unwavering commitment to improving the quality of education, both inside and outside the classroom, positions them as pioneers in the future of Indonesian education. Through the application of best practices, multi-stakeholder collaboration, and continuous innovation, they are expected to bring about meaningful change in the national education system, producing graduates who are competent, of strong character, and adaptable to global challenges.</w:t>
      </w:r>
    </w:p>
    <w:p w:rsidR="00085CC6" w:rsidRDefault="00A36BF1">
      <w:pPr>
        <w:rPr>
          <w:rFonts w:asciiTheme="majorBidi" w:hAnsiTheme="majorBidi"/>
          <w:b/>
          <w:bCs/>
          <w:sz w:val="22"/>
          <w:szCs w:val="22"/>
        </w:rPr>
      </w:pPr>
      <w:r>
        <w:rPr>
          <w:rFonts w:asciiTheme="majorBidi" w:hAnsiTheme="majorBidi"/>
          <w:sz w:val="22"/>
          <w:szCs w:val="22"/>
        </w:rPr>
        <w:br/>
      </w:r>
      <w:r>
        <w:rPr>
          <w:rFonts w:asciiTheme="majorBidi" w:hAnsiTheme="majorBidi"/>
          <w:b/>
          <w:bCs/>
          <w:sz w:val="22"/>
          <w:szCs w:val="22"/>
        </w:rPr>
        <w:t>Instructional Innovation by Driving Teachers</w:t>
      </w:r>
    </w:p>
    <w:p w:rsidR="00085CC6" w:rsidRDefault="00A36BF1">
      <w:pPr>
        <w:ind w:firstLine="420"/>
        <w:rPr>
          <w:rFonts w:asciiTheme="majorBidi" w:hAnsiTheme="majorBidi"/>
          <w:sz w:val="22"/>
          <w:szCs w:val="22"/>
        </w:rPr>
      </w:pPr>
      <w:r>
        <w:rPr>
          <w:rFonts w:asciiTheme="majorBidi" w:hAnsiTheme="majorBidi"/>
          <w:sz w:val="22"/>
          <w:szCs w:val="22"/>
        </w:rPr>
        <w:t xml:space="preserve">Instructional innovation is a process of planned change in teaching approaches, strategies, and practices aimed at enhancing the effectiveness of learning, the relevance of educational content, and student engagement. In the context of primary education, such innovation is particularly crucial, as it directly supports students’ cognitive and affective development during the formative stages of character and foundational competencies. </w:t>
      </w:r>
      <w:r>
        <w:rPr>
          <w:rFonts w:ascii="Times New Roman Regular" w:hAnsi="Times New Roman Regular" w:cs="Times New Roman Regular"/>
          <w:sz w:val="22"/>
          <w:szCs w:val="28"/>
        </w:rPr>
        <w:t xml:space="preserve">Subramani, &amp; </w:t>
      </w:r>
      <w:proofErr w:type="spellStart"/>
      <w:r>
        <w:rPr>
          <w:rFonts w:ascii="Times New Roman Regular" w:hAnsi="Times New Roman Regular" w:cs="Times New Roman Regular"/>
          <w:sz w:val="22"/>
          <w:szCs w:val="28"/>
        </w:rPr>
        <w:t>Iyappan</w:t>
      </w:r>
      <w:proofErr w:type="spellEnd"/>
      <w:r>
        <w:rPr>
          <w:rFonts w:ascii="Times New Roman Regular" w:hAnsi="Times New Roman Regular" w:cs="Times New Roman Regular"/>
          <w:sz w:val="22"/>
          <w:szCs w:val="28"/>
        </w:rPr>
        <w:t xml:space="preserve"> (2018) </w:t>
      </w:r>
      <w:r>
        <w:rPr>
          <w:rFonts w:asciiTheme="majorBidi" w:hAnsiTheme="majorBidi"/>
          <w:sz w:val="22"/>
          <w:szCs w:val="22"/>
        </w:rPr>
        <w:t>argue that innovative learning can foster intrinsic motivation, increase active student participation, and strengthen critical thinking and collaborative skills. Innovation is not limited to the use of digital technology; it also includes diversifying instructional methods, developing contextual teaching modules, and implementing learning models such as project-based learning, blended learning, and differentiated instruction.</w:t>
      </w:r>
    </w:p>
    <w:p w:rsidR="00085CC6" w:rsidRDefault="00A36BF1">
      <w:pPr>
        <w:ind w:firstLine="420"/>
        <w:rPr>
          <w:rFonts w:asciiTheme="majorBidi" w:hAnsiTheme="majorBidi"/>
          <w:sz w:val="22"/>
          <w:szCs w:val="22"/>
        </w:rPr>
      </w:pPr>
      <w:r>
        <w:rPr>
          <w:rFonts w:asciiTheme="majorBidi" w:hAnsiTheme="majorBidi"/>
          <w:sz w:val="22"/>
          <w:szCs w:val="22"/>
        </w:rPr>
        <w:t xml:space="preserve">As part of a strategic policy by the Ministry of Education through the Driving Teacher Program (Program Pendidikan Guru </w:t>
      </w:r>
      <w:proofErr w:type="spellStart"/>
      <w:r>
        <w:rPr>
          <w:rFonts w:asciiTheme="majorBidi" w:hAnsiTheme="majorBidi"/>
          <w:sz w:val="22"/>
          <w:szCs w:val="22"/>
        </w:rPr>
        <w:t>Penggerak</w:t>
      </w:r>
      <w:proofErr w:type="spellEnd"/>
      <w:r>
        <w:rPr>
          <w:rFonts w:asciiTheme="majorBidi" w:hAnsiTheme="majorBidi"/>
          <w:sz w:val="22"/>
          <w:szCs w:val="22"/>
        </w:rPr>
        <w:t xml:space="preserve">), Driving Teachers hold a central role in initiating and implementing instructional innovation within their respective educational institutions. According to Regulation of the Minister of Education, Culture, Research, and Technology No. 26 of 2022, Driving Teachers are equipped to transform </w:t>
      </w:r>
      <w:r>
        <w:rPr>
          <w:rFonts w:asciiTheme="majorBidi" w:hAnsiTheme="majorBidi"/>
          <w:sz w:val="22"/>
          <w:szCs w:val="22"/>
        </w:rPr>
        <w:lastRenderedPageBreak/>
        <w:t>instructional practices through instructional leadership, critical reflection, and the cultivation of collaborative learning ecosystems. They are encouraged to develop student-centered teaching practices that are responsive to local needs and aligned with the principles of the Merdeka Curriculum, which emphasizes flexibility and contextual relevance (</w:t>
      </w:r>
      <w:proofErr w:type="spellStart"/>
      <w:r>
        <w:rPr>
          <w:rFonts w:ascii="Times New Roman Regular" w:hAnsi="Times New Roman Regular" w:cs="Times New Roman Regular"/>
          <w:sz w:val="22"/>
          <w:szCs w:val="28"/>
        </w:rPr>
        <w:t>Sutanto</w:t>
      </w:r>
      <w:proofErr w:type="spellEnd"/>
      <w:r>
        <w:rPr>
          <w:rFonts w:ascii="Times New Roman Regular" w:hAnsi="Times New Roman Regular" w:cs="Times New Roman Regular"/>
          <w:sz w:val="22"/>
          <w:szCs w:val="28"/>
        </w:rPr>
        <w:t>, 2024)</w:t>
      </w:r>
      <w:r>
        <w:rPr>
          <w:rFonts w:asciiTheme="majorBidi" w:hAnsiTheme="majorBidi"/>
          <w:sz w:val="22"/>
          <w:szCs w:val="22"/>
        </w:rPr>
        <w:t>. The innovations led by Driving Teachers are not merely technical; they also reshape the school’s learning culture—for example, by building teacher learning communities, creating safe and joyful learning spaces, and promoting social-emotional learning.</w:t>
      </w:r>
    </w:p>
    <w:p w:rsidR="00085CC6" w:rsidRDefault="00A36BF1">
      <w:pPr>
        <w:ind w:firstLine="420"/>
        <w:rPr>
          <w:rFonts w:asciiTheme="majorBidi" w:hAnsiTheme="majorBidi"/>
          <w:sz w:val="22"/>
          <w:szCs w:val="22"/>
        </w:rPr>
      </w:pPr>
      <w:r>
        <w:rPr>
          <w:rFonts w:asciiTheme="majorBidi" w:hAnsiTheme="majorBidi"/>
          <w:sz w:val="22"/>
          <w:szCs w:val="22"/>
        </w:rPr>
        <w:t>The Driving Teacher Program is specifically designed to shape teachers into learning leaders capable of driving change through innovation. Participants are equipped with andragogical approaches, strengthened reflective abilities, and differentiated instructional strategies tailored to the individual needs of students (</w:t>
      </w:r>
      <w:proofErr w:type="spellStart"/>
      <w:r>
        <w:rPr>
          <w:rFonts w:ascii="Times New Roman Regular" w:hAnsi="Times New Roman Regular" w:cs="Times New Roman Regular"/>
          <w:sz w:val="22"/>
          <w:szCs w:val="28"/>
        </w:rPr>
        <w:t>Maslina</w:t>
      </w:r>
      <w:proofErr w:type="spellEnd"/>
      <w:r>
        <w:rPr>
          <w:rFonts w:ascii="Times New Roman Regular" w:hAnsi="Times New Roman Regular" w:cs="Times New Roman Regular"/>
          <w:sz w:val="22"/>
          <w:szCs w:val="28"/>
        </w:rPr>
        <w:t>, et al., 2025</w:t>
      </w:r>
      <w:r>
        <w:rPr>
          <w:rFonts w:asciiTheme="majorBidi" w:hAnsiTheme="majorBidi"/>
          <w:sz w:val="22"/>
          <w:szCs w:val="22"/>
        </w:rPr>
        <w:t>). Furthermore, they are trained to become change agents who mentor fellow educators in developing creative, relevant, and sustainable teaching methods (</w:t>
      </w:r>
      <w:proofErr w:type="spellStart"/>
      <w:r>
        <w:rPr>
          <w:rFonts w:ascii="Times New Roman Regular" w:hAnsi="Times New Roman Regular" w:cs="Times New Roman Regular"/>
          <w:sz w:val="22"/>
          <w:szCs w:val="28"/>
        </w:rPr>
        <w:t>Kusumaningtyas</w:t>
      </w:r>
      <w:proofErr w:type="spellEnd"/>
      <w:r>
        <w:rPr>
          <w:rFonts w:ascii="Times New Roman Regular" w:hAnsi="Times New Roman Regular" w:cs="Times New Roman Regular"/>
          <w:sz w:val="22"/>
          <w:szCs w:val="28"/>
        </w:rPr>
        <w:t>, 2024</w:t>
      </w:r>
      <w:r>
        <w:rPr>
          <w:rFonts w:asciiTheme="majorBidi" w:hAnsiTheme="majorBidi"/>
          <w:sz w:val="22"/>
          <w:szCs w:val="22"/>
        </w:rPr>
        <w:t>). Thus, the instructional innovations initiated by Driving Teachers are not simply improvisations in teaching techniques; rather, they represent structured and purposeful instructional leadership. Through this role, Driving Teachers contribute to shaping a progressive school culture that is responsive to the demands and challenges of 21st-century education.</w:t>
      </w:r>
    </w:p>
    <w:p w:rsidR="00085CC6" w:rsidRDefault="00085CC6">
      <w:pPr>
        <w:rPr>
          <w:rFonts w:asciiTheme="majorBidi" w:hAnsiTheme="majorBidi"/>
          <w:sz w:val="22"/>
          <w:szCs w:val="22"/>
        </w:rPr>
      </w:pPr>
    </w:p>
    <w:p w:rsidR="00085CC6" w:rsidRDefault="00A36BF1">
      <w:pPr>
        <w:rPr>
          <w:rFonts w:ascii="Times New Roman" w:hAnsi="Times New Roman"/>
          <w:b/>
          <w:color w:val="0000CC"/>
        </w:rPr>
      </w:pPr>
      <w:r>
        <w:rPr>
          <w:rFonts w:ascii="Times New Roman" w:hAnsi="Times New Roman"/>
          <w:b/>
          <w:color w:val="0000CC"/>
        </w:rPr>
        <w:t>MATERIALS &amp; METHODS</w:t>
      </w:r>
    </w:p>
    <w:p w:rsidR="00085CC6" w:rsidRDefault="00A36BF1">
      <w:pPr>
        <w:ind w:firstLine="420"/>
        <w:rPr>
          <w:rFonts w:asciiTheme="majorBidi" w:hAnsiTheme="majorBidi"/>
          <w:sz w:val="22"/>
          <w:szCs w:val="22"/>
        </w:rPr>
      </w:pPr>
      <w:r>
        <w:rPr>
          <w:rFonts w:asciiTheme="majorBidi" w:hAnsiTheme="majorBidi"/>
          <w:sz w:val="22"/>
          <w:szCs w:val="22"/>
        </w:rPr>
        <w:t xml:space="preserve">This study employed a descriptive qualitative design to explore and portray the instructional innovations initiated by Driving Teachers (Guru </w:t>
      </w:r>
      <w:proofErr w:type="spellStart"/>
      <w:r>
        <w:rPr>
          <w:rFonts w:asciiTheme="majorBidi" w:hAnsiTheme="majorBidi"/>
          <w:sz w:val="22"/>
          <w:szCs w:val="22"/>
        </w:rPr>
        <w:t>Penggerak</w:t>
      </w:r>
      <w:proofErr w:type="spellEnd"/>
      <w:r>
        <w:rPr>
          <w:rFonts w:asciiTheme="majorBidi" w:hAnsiTheme="majorBidi"/>
          <w:sz w:val="22"/>
          <w:szCs w:val="22"/>
        </w:rPr>
        <w:t>) in implementing the Merdeka Curriculum at the elementary school level. A qualitative paradigm was selected to enable an in-depth understanding of the meaning, experiences, and instructional strategies contextually applied in school settings (Creswell &amp; Poth, 2016). This approach is suitable for capturing the complex, dynamic, and reflective nature of educational practices that cannot be fully represented through quantitative data alone.</w:t>
      </w:r>
    </w:p>
    <w:p w:rsidR="00085CC6" w:rsidRDefault="00085CC6">
      <w:pPr>
        <w:rPr>
          <w:rFonts w:asciiTheme="majorBidi" w:hAnsiTheme="majorBidi"/>
          <w:sz w:val="22"/>
          <w:szCs w:val="22"/>
        </w:rPr>
      </w:pPr>
    </w:p>
    <w:p w:rsidR="00085CC6" w:rsidRDefault="00A36BF1">
      <w:pPr>
        <w:rPr>
          <w:rFonts w:asciiTheme="majorBidi" w:hAnsiTheme="majorBidi"/>
          <w:b/>
          <w:bCs/>
          <w:sz w:val="22"/>
          <w:szCs w:val="22"/>
        </w:rPr>
      </w:pPr>
      <w:r>
        <w:rPr>
          <w:rFonts w:asciiTheme="majorBidi" w:hAnsiTheme="majorBidi"/>
          <w:b/>
          <w:bCs/>
          <w:sz w:val="22"/>
          <w:szCs w:val="22"/>
        </w:rPr>
        <w:t>Participants and Sampling</w:t>
      </w:r>
    </w:p>
    <w:p w:rsidR="00085CC6" w:rsidRDefault="00A36BF1">
      <w:pPr>
        <w:ind w:firstLine="420"/>
        <w:rPr>
          <w:rFonts w:asciiTheme="majorBidi" w:hAnsiTheme="majorBidi"/>
          <w:sz w:val="22"/>
          <w:szCs w:val="22"/>
        </w:rPr>
      </w:pPr>
      <w:r>
        <w:rPr>
          <w:rFonts w:asciiTheme="majorBidi" w:hAnsiTheme="majorBidi"/>
          <w:sz w:val="22"/>
          <w:szCs w:val="22"/>
        </w:rPr>
        <w:t>Participants were selected through purposive sampling based on the following criteria:</w:t>
      </w:r>
    </w:p>
    <w:p w:rsidR="00085CC6" w:rsidRDefault="00A36BF1">
      <w:pPr>
        <w:numPr>
          <w:ilvl w:val="0"/>
          <w:numId w:val="11"/>
        </w:numPr>
        <w:rPr>
          <w:rFonts w:asciiTheme="majorBidi" w:hAnsiTheme="majorBidi"/>
          <w:sz w:val="22"/>
          <w:szCs w:val="22"/>
        </w:rPr>
      </w:pPr>
      <w:r>
        <w:rPr>
          <w:rFonts w:asciiTheme="majorBidi" w:hAnsiTheme="majorBidi"/>
          <w:sz w:val="22"/>
          <w:szCs w:val="22"/>
        </w:rPr>
        <w:t xml:space="preserve">Completion of the Guru </w:t>
      </w:r>
      <w:proofErr w:type="spellStart"/>
      <w:r>
        <w:rPr>
          <w:rFonts w:asciiTheme="majorBidi" w:hAnsiTheme="majorBidi"/>
          <w:sz w:val="22"/>
          <w:szCs w:val="22"/>
        </w:rPr>
        <w:t>Penggerak</w:t>
      </w:r>
      <w:proofErr w:type="spellEnd"/>
      <w:r>
        <w:rPr>
          <w:rFonts w:asciiTheme="majorBidi" w:hAnsiTheme="majorBidi"/>
          <w:sz w:val="22"/>
          <w:szCs w:val="22"/>
        </w:rPr>
        <w:t xml:space="preserve"> Education Program.</w:t>
      </w:r>
    </w:p>
    <w:p w:rsidR="00085CC6" w:rsidRDefault="00A36BF1">
      <w:pPr>
        <w:numPr>
          <w:ilvl w:val="0"/>
          <w:numId w:val="11"/>
        </w:numPr>
        <w:rPr>
          <w:rFonts w:asciiTheme="majorBidi" w:hAnsiTheme="majorBidi"/>
          <w:sz w:val="22"/>
          <w:szCs w:val="22"/>
        </w:rPr>
      </w:pPr>
      <w:r>
        <w:rPr>
          <w:rFonts w:asciiTheme="majorBidi" w:hAnsiTheme="majorBidi"/>
          <w:sz w:val="22"/>
          <w:szCs w:val="22"/>
        </w:rPr>
        <w:t>Active teaching position in public or private elementary schools.</w:t>
      </w:r>
    </w:p>
    <w:p w:rsidR="00085CC6" w:rsidRDefault="00A36BF1">
      <w:pPr>
        <w:numPr>
          <w:ilvl w:val="0"/>
          <w:numId w:val="11"/>
        </w:numPr>
        <w:rPr>
          <w:rFonts w:asciiTheme="majorBidi" w:hAnsiTheme="majorBidi"/>
          <w:sz w:val="22"/>
          <w:szCs w:val="22"/>
        </w:rPr>
      </w:pPr>
      <w:r>
        <w:rPr>
          <w:rFonts w:asciiTheme="majorBidi" w:hAnsiTheme="majorBidi"/>
          <w:sz w:val="22"/>
          <w:szCs w:val="22"/>
        </w:rPr>
        <w:t>Implementation of the Merdeka Curriculum for at least one academic year.</w:t>
      </w:r>
    </w:p>
    <w:p w:rsidR="00085CC6" w:rsidRDefault="00A36BF1">
      <w:pPr>
        <w:rPr>
          <w:rFonts w:asciiTheme="majorBidi" w:hAnsiTheme="majorBidi"/>
          <w:sz w:val="22"/>
          <w:szCs w:val="22"/>
        </w:rPr>
      </w:pPr>
      <w:r>
        <w:rPr>
          <w:rFonts w:asciiTheme="majorBidi" w:hAnsiTheme="majorBidi"/>
          <w:sz w:val="22"/>
          <w:szCs w:val="22"/>
        </w:rPr>
        <w:t>The research was conducted in five elementary schools located in West Jakarta, Indonesia, representing a mix of urban and rural contexts to capture diverse implementation experiences. A total of 12 teachers participated, consisting of 7 from public schools and 5 from private schools.</w:t>
      </w:r>
    </w:p>
    <w:p w:rsidR="00085CC6" w:rsidRDefault="00085CC6">
      <w:pPr>
        <w:rPr>
          <w:rFonts w:asciiTheme="majorBidi" w:hAnsiTheme="majorBidi"/>
          <w:sz w:val="22"/>
          <w:szCs w:val="22"/>
        </w:rPr>
      </w:pPr>
    </w:p>
    <w:p w:rsidR="00085CC6" w:rsidRDefault="00A36BF1">
      <w:pPr>
        <w:rPr>
          <w:rFonts w:asciiTheme="majorBidi" w:hAnsiTheme="majorBidi"/>
          <w:b/>
          <w:bCs/>
          <w:sz w:val="22"/>
          <w:szCs w:val="22"/>
        </w:rPr>
      </w:pPr>
      <w:r>
        <w:rPr>
          <w:rFonts w:asciiTheme="majorBidi" w:hAnsiTheme="majorBidi"/>
          <w:b/>
          <w:bCs/>
          <w:sz w:val="22"/>
          <w:szCs w:val="22"/>
        </w:rPr>
        <w:t>Data Collection Procedures</w:t>
      </w:r>
    </w:p>
    <w:p w:rsidR="00085CC6" w:rsidRDefault="00A36BF1">
      <w:pPr>
        <w:rPr>
          <w:rFonts w:asciiTheme="majorBidi" w:hAnsiTheme="majorBidi"/>
          <w:sz w:val="22"/>
          <w:szCs w:val="22"/>
        </w:rPr>
      </w:pPr>
      <w:r>
        <w:rPr>
          <w:rFonts w:asciiTheme="majorBidi" w:hAnsiTheme="majorBidi"/>
          <w:sz w:val="22"/>
          <w:szCs w:val="22"/>
        </w:rPr>
        <w:t>Data were gathered from three main sources to ensure triangulation:</w:t>
      </w:r>
    </w:p>
    <w:p w:rsidR="00085CC6" w:rsidRDefault="00A36BF1">
      <w:pPr>
        <w:numPr>
          <w:ilvl w:val="0"/>
          <w:numId w:val="12"/>
        </w:numPr>
        <w:rPr>
          <w:rFonts w:asciiTheme="majorBidi" w:hAnsiTheme="majorBidi"/>
          <w:sz w:val="22"/>
          <w:szCs w:val="22"/>
        </w:rPr>
      </w:pPr>
      <w:r>
        <w:rPr>
          <w:rFonts w:asciiTheme="majorBidi" w:hAnsiTheme="majorBidi"/>
          <w:sz w:val="22"/>
          <w:szCs w:val="22"/>
        </w:rPr>
        <w:t>In-depth Interviews – Conducted individually with each teacher (45–60 minutes per session) to explore their instructional strategies, adaptation processes, and reflections on curriculum implementation.</w:t>
      </w:r>
    </w:p>
    <w:p w:rsidR="00085CC6" w:rsidRDefault="00A36BF1">
      <w:pPr>
        <w:numPr>
          <w:ilvl w:val="0"/>
          <w:numId w:val="12"/>
        </w:numPr>
        <w:rPr>
          <w:rFonts w:asciiTheme="majorBidi" w:hAnsiTheme="majorBidi"/>
          <w:sz w:val="22"/>
          <w:szCs w:val="22"/>
        </w:rPr>
      </w:pPr>
      <w:r>
        <w:rPr>
          <w:rFonts w:asciiTheme="majorBidi" w:hAnsiTheme="majorBidi"/>
          <w:sz w:val="22"/>
          <w:szCs w:val="22"/>
        </w:rPr>
        <w:t>Classroom Observations – Each participant was observed in two different teaching sessions, focusing on lesson delivery, student engagement, and integration of innovative methods. Field notes and observation checklists were used to document findings.</w:t>
      </w:r>
    </w:p>
    <w:p w:rsidR="00085CC6" w:rsidRDefault="00A36BF1">
      <w:pPr>
        <w:numPr>
          <w:ilvl w:val="0"/>
          <w:numId w:val="12"/>
        </w:numPr>
        <w:rPr>
          <w:rFonts w:asciiTheme="majorBidi" w:hAnsiTheme="majorBidi"/>
          <w:sz w:val="22"/>
          <w:szCs w:val="22"/>
        </w:rPr>
      </w:pPr>
      <w:r>
        <w:rPr>
          <w:rFonts w:asciiTheme="majorBidi" w:hAnsiTheme="majorBidi"/>
          <w:sz w:val="22"/>
          <w:szCs w:val="22"/>
        </w:rPr>
        <w:t>Document Analysis – Lesson plans, learning modules, and teaching materials developed by participants were analyzed to identify instructional innovations and alignment with curriculum principles.</w:t>
      </w:r>
    </w:p>
    <w:p w:rsidR="00085CC6" w:rsidRDefault="00A36BF1">
      <w:pPr>
        <w:rPr>
          <w:rFonts w:asciiTheme="majorBidi" w:hAnsiTheme="majorBidi"/>
          <w:sz w:val="22"/>
          <w:szCs w:val="22"/>
        </w:rPr>
      </w:pPr>
      <w:r>
        <w:rPr>
          <w:rFonts w:asciiTheme="majorBidi" w:hAnsiTheme="majorBidi"/>
          <w:sz w:val="22"/>
          <w:szCs w:val="22"/>
        </w:rPr>
        <w:t>A total of 24 classroom observation records, 12 interview transcripts, and 36 instructional documents were collected as primary data for analysis.</w:t>
      </w:r>
    </w:p>
    <w:p w:rsidR="00085CC6" w:rsidRDefault="00085CC6">
      <w:pPr>
        <w:rPr>
          <w:rFonts w:asciiTheme="majorBidi" w:hAnsiTheme="majorBidi"/>
          <w:sz w:val="22"/>
          <w:szCs w:val="22"/>
        </w:rPr>
      </w:pPr>
    </w:p>
    <w:p w:rsidR="00085CC6" w:rsidRDefault="00A36BF1">
      <w:pPr>
        <w:pStyle w:val="NoSpacing"/>
        <w:jc w:val="both"/>
        <w:rPr>
          <w:rFonts w:asciiTheme="majorBidi" w:hAnsiTheme="majorBidi"/>
        </w:rPr>
      </w:pPr>
      <w:r>
        <w:rPr>
          <w:rFonts w:ascii="Times New Roman" w:hAnsi="Times New Roman"/>
          <w:b/>
          <w:color w:val="0000CC"/>
        </w:rPr>
        <w:t>RESULT AND DISCUSSION</w:t>
      </w:r>
    </w:p>
    <w:p w:rsidR="00085CC6" w:rsidRDefault="00A36BF1">
      <w:pPr>
        <w:ind w:firstLine="420"/>
        <w:rPr>
          <w:rFonts w:asciiTheme="majorBidi" w:hAnsiTheme="majorBidi"/>
          <w:sz w:val="22"/>
          <w:szCs w:val="22"/>
        </w:rPr>
      </w:pPr>
      <w:r>
        <w:rPr>
          <w:rFonts w:asciiTheme="majorBidi" w:hAnsiTheme="majorBidi"/>
          <w:sz w:val="22"/>
          <w:szCs w:val="22"/>
        </w:rPr>
        <w:t xml:space="preserve">The findings of this study reveal in depth that Driving Teachers (Guru </w:t>
      </w:r>
      <w:proofErr w:type="spellStart"/>
      <w:r>
        <w:rPr>
          <w:rFonts w:asciiTheme="majorBidi" w:hAnsiTheme="majorBidi"/>
          <w:sz w:val="22"/>
          <w:szCs w:val="22"/>
        </w:rPr>
        <w:t>Penggerak</w:t>
      </w:r>
      <w:proofErr w:type="spellEnd"/>
      <w:r>
        <w:rPr>
          <w:rFonts w:asciiTheme="majorBidi" w:hAnsiTheme="majorBidi"/>
          <w:sz w:val="22"/>
          <w:szCs w:val="22"/>
        </w:rPr>
        <w:t>) play a pivotal and strategic role in the successful implementation of the Merdeka Curriculum, particularly in the context of primary education. Based on extensive field observations and in-depth interviews, the research identified a range of challenges that hinder the transformation of learning practices. These challenges are not merely technical, but also systemic and cultural in nature. One of the most significant obstacles is the limited understanding among other teachers regarding differentiated instruction, which is a core principle of the Merdeka Curriculum. This approach demands recognition of students’ diverse abilities, interests, and learning styles, yet is often misunderstood or underutilized.</w:t>
      </w:r>
    </w:p>
    <w:p w:rsidR="00085CC6" w:rsidRDefault="00A36BF1">
      <w:pPr>
        <w:ind w:firstLine="420"/>
        <w:rPr>
          <w:rFonts w:asciiTheme="majorBidi" w:hAnsiTheme="majorBidi"/>
          <w:sz w:val="22"/>
          <w:szCs w:val="22"/>
        </w:rPr>
      </w:pPr>
      <w:r>
        <w:rPr>
          <w:rFonts w:asciiTheme="majorBidi" w:hAnsiTheme="majorBidi"/>
          <w:sz w:val="22"/>
          <w:szCs w:val="22"/>
        </w:rPr>
        <w:t>Furthermore, limited use of formative assessment impedes the feedback process, which ideally should serve as an integral component of process-oriented learning rather than being solely focused on outcomes. Another prominent issue is resistance to pedagogical paradigm shifts. Many teachers remain attached to traditional teacher-centered methods and show reluctance to adopt innovative practices that would require them to transition into more facilitative and learner-centered roles.</w:t>
      </w:r>
    </w:p>
    <w:p w:rsidR="00085CC6" w:rsidRDefault="00A36BF1">
      <w:pPr>
        <w:ind w:firstLine="420"/>
        <w:rPr>
          <w:rFonts w:asciiTheme="majorBidi" w:hAnsiTheme="majorBidi"/>
          <w:sz w:val="22"/>
          <w:szCs w:val="22"/>
        </w:rPr>
      </w:pPr>
      <w:r>
        <w:rPr>
          <w:rFonts w:asciiTheme="majorBidi" w:hAnsiTheme="majorBidi"/>
          <w:sz w:val="22"/>
          <w:szCs w:val="22"/>
        </w:rPr>
        <w:t xml:space="preserve">In the face of these complex challenges, Driving Teachers emerge as agents of change, actively promoting both theoretical understanding and practical application of the Merdeka Curriculum. They do not merely internalize policy mandates but translate them into concrete strategies. A key example of this is the development of contextually relevant, independently designed learning modules, tailored to student characteristics and local contexts. This strategy reflects their role as active and reflective instructional designers who thoughtfully adapt learning materials to their environment. In addition, the effective use of the Merdeka </w:t>
      </w:r>
      <w:proofErr w:type="spellStart"/>
      <w:r>
        <w:rPr>
          <w:rFonts w:asciiTheme="majorBidi" w:hAnsiTheme="majorBidi"/>
          <w:sz w:val="22"/>
          <w:szCs w:val="22"/>
        </w:rPr>
        <w:t>Mengajar</w:t>
      </w:r>
      <w:proofErr w:type="spellEnd"/>
      <w:r>
        <w:rPr>
          <w:rFonts w:asciiTheme="majorBidi" w:hAnsiTheme="majorBidi"/>
          <w:sz w:val="22"/>
          <w:szCs w:val="22"/>
        </w:rPr>
        <w:t xml:space="preserve"> Platform has become a critical tool in enhancing digital literacy and expanding access to open educational resources. These teachers demonstrate proficiency in integrating technology into the learning process—not merely as a teaching aid, but as part of a comprehensive learning ecosystem that encourages interactivity and student autonomy. The implementation of Project-Based Learning (</w:t>
      </w:r>
      <w:proofErr w:type="spellStart"/>
      <w:r>
        <w:rPr>
          <w:rFonts w:asciiTheme="majorBidi" w:hAnsiTheme="majorBidi"/>
          <w:sz w:val="22"/>
          <w:szCs w:val="22"/>
        </w:rPr>
        <w:t>PjBL</w:t>
      </w:r>
      <w:proofErr w:type="spellEnd"/>
      <w:r>
        <w:rPr>
          <w:rFonts w:asciiTheme="majorBidi" w:hAnsiTheme="majorBidi"/>
          <w:sz w:val="22"/>
          <w:szCs w:val="22"/>
        </w:rPr>
        <w:t>) and differentiated instruction reflects a pedagogical responsiveness that addresses learners’ individual needs and contributes to building a more inclusive and participatory learning culture.</w:t>
      </w:r>
    </w:p>
    <w:p w:rsidR="00085CC6" w:rsidRDefault="00A36BF1">
      <w:pPr>
        <w:ind w:firstLine="420"/>
        <w:rPr>
          <w:rFonts w:asciiTheme="majorBidi" w:hAnsiTheme="majorBidi"/>
          <w:sz w:val="22"/>
          <w:szCs w:val="22"/>
        </w:rPr>
      </w:pPr>
      <w:r>
        <w:rPr>
          <w:rFonts w:asciiTheme="majorBidi" w:hAnsiTheme="majorBidi"/>
          <w:sz w:val="22"/>
          <w:szCs w:val="22"/>
        </w:rPr>
        <w:t>Beyond classroom instruction, Driving Teachers also function as instructional leaders by initiating and nurturing teacher learning communities. These communities serve as strategic spaces for collaboration and the ongoing exchange of best practices. By facilitating peer learning and professional development, Driving Teachers cultivate a culture of reflection and innovation, in line with the concept of instructional leadership, where teachers lead change not only within their own classrooms but across the broader school community (</w:t>
      </w:r>
      <w:proofErr w:type="spellStart"/>
      <w:r>
        <w:rPr>
          <w:rFonts w:asciiTheme="majorBidi" w:hAnsiTheme="majorBidi"/>
          <w:sz w:val="22"/>
          <w:szCs w:val="22"/>
        </w:rPr>
        <w:t>Hallinger</w:t>
      </w:r>
      <w:proofErr w:type="spellEnd"/>
      <w:r>
        <w:rPr>
          <w:rFonts w:asciiTheme="majorBidi" w:hAnsiTheme="majorBidi"/>
          <w:sz w:val="22"/>
          <w:szCs w:val="22"/>
        </w:rPr>
        <w:t>, 2011). Their innovative efforts extend beyond systemic and peer-level impacts and are demonstrably beneficial to student learning quality. Through active and contextual learning approaches, students develop essential 21st-century skills such as critical thinking, collaboration, communication, and creativity. Moreover, Driving Teachers foster psychologically safe learning environments that empower students to feel valued, respected, and intrinsically motivated to participate. This aligns with the vision of the Merdeka Curriculum, which aims to cultivate Pancasila Student Profiles—learners who are intellectually capable, morally grounded, and globally resilient. Ultimately, with a long-term, collaborative, and transformation-oriented mindset, Driving Teachers are not merely addressing present-day educational needs. They are laying the foundation for a sustainable education system, bridging the gap between national policy and classroom realities. Their role ensures that curriculum transformation becomes a tangible reality—driven by deliberate, adaptive, and innovative strategies.</w:t>
      </w:r>
    </w:p>
    <w:p w:rsidR="00085CC6" w:rsidRDefault="00085CC6">
      <w:pPr>
        <w:rPr>
          <w:rFonts w:asciiTheme="majorBidi" w:hAnsiTheme="majorBidi"/>
          <w:sz w:val="22"/>
          <w:szCs w:val="22"/>
        </w:rPr>
      </w:pPr>
    </w:p>
    <w:p w:rsidR="00085CC6" w:rsidRDefault="00A36BF1">
      <w:pPr>
        <w:pStyle w:val="NoSpacing"/>
        <w:jc w:val="both"/>
        <w:rPr>
          <w:rFonts w:ascii="Times New Roman" w:hAnsi="Times New Roman"/>
          <w:b/>
          <w:color w:val="0000CC"/>
        </w:rPr>
      </w:pPr>
      <w:r>
        <w:rPr>
          <w:rFonts w:ascii="Times New Roman" w:hAnsi="Times New Roman"/>
          <w:b/>
          <w:color w:val="0000CC"/>
        </w:rPr>
        <w:lastRenderedPageBreak/>
        <w:t>CONCLUSION</w:t>
      </w:r>
    </w:p>
    <w:p w:rsidR="00085CC6" w:rsidRDefault="00A36BF1">
      <w:pPr>
        <w:ind w:firstLine="420"/>
        <w:rPr>
          <w:rFonts w:asciiTheme="majorBidi" w:hAnsiTheme="majorBidi"/>
          <w:sz w:val="22"/>
          <w:szCs w:val="22"/>
        </w:rPr>
      </w:pPr>
      <w:r>
        <w:rPr>
          <w:rFonts w:asciiTheme="majorBidi" w:hAnsiTheme="majorBidi"/>
          <w:sz w:val="22"/>
          <w:szCs w:val="22"/>
        </w:rPr>
        <w:t xml:space="preserve">Based on the research findings, it can be concluded that Driving Teachers play a strategic and multifaceted role in promoting educational transformation through the implementation of the Merdeka Curriculum at the primary education level. They function not only as classroom educators but also as innovative, collaborative, and reflective learning leaders. Their instructional innovations include the development of contextual learning modules, the integration of digital tools via the Merdeka </w:t>
      </w:r>
      <w:proofErr w:type="spellStart"/>
      <w:r>
        <w:rPr>
          <w:rFonts w:asciiTheme="majorBidi" w:hAnsiTheme="majorBidi"/>
          <w:sz w:val="22"/>
          <w:szCs w:val="22"/>
        </w:rPr>
        <w:t>Mengajar</w:t>
      </w:r>
      <w:proofErr w:type="spellEnd"/>
      <w:r>
        <w:rPr>
          <w:rFonts w:asciiTheme="majorBidi" w:hAnsiTheme="majorBidi"/>
          <w:sz w:val="22"/>
          <w:szCs w:val="22"/>
        </w:rPr>
        <w:t xml:space="preserve"> Platform, and the implementation of student-centered learning models such as Project-Based Learning and differentiated instruction. Through these practices, they enhance student engagement, promote the development of 21st-century competencies, and establish a sustainable culture of learning within their schools. Moreover, Driving Teachers contribute significantly to professional community building among teachers by initiating collaborative learning forums that foster continuous professional growth. They serve as facilitators who bridge the implementation of national education policies with practical classroom realities, inspiring other educators to adopt more adaptive and context-sensitive teaching approaches. Their leadership is instrumental in shaping lifelong learners and reinforcing the values of diversity, mutual cooperation, and civic responsibility—key elements of the Pancasila Student Profile.</w:t>
      </w:r>
    </w:p>
    <w:p w:rsidR="00085CC6" w:rsidRDefault="00A36BF1">
      <w:pPr>
        <w:ind w:firstLine="420"/>
        <w:rPr>
          <w:rFonts w:asciiTheme="majorBidi" w:hAnsiTheme="majorBidi"/>
          <w:sz w:val="24"/>
        </w:rPr>
      </w:pPr>
      <w:r>
        <w:rPr>
          <w:rFonts w:asciiTheme="majorBidi" w:hAnsiTheme="majorBidi"/>
          <w:sz w:val="22"/>
          <w:szCs w:val="22"/>
        </w:rPr>
        <w:t>Thus, the presence of Driving Teachers is a critical catalyst for the effective realization of the Merdeka Curriculum, especially in addressing the multifaceted challenges of 21st-century education. Their proactive role brings about meaningful changes that not only improve teaching and learning quality but also strengthen the participatory, inclusive, and future-ready ecosystem of Indonesia’s educational landscape.</w:t>
      </w:r>
    </w:p>
    <w:p w:rsidR="00085CC6" w:rsidRDefault="00085CC6">
      <w:pPr>
        <w:tabs>
          <w:tab w:val="left" w:pos="709"/>
        </w:tabs>
        <w:ind w:left="709" w:hanging="709"/>
        <w:rPr>
          <w:rFonts w:ascii="Times New Roman Regular" w:hAnsi="Times New Roman Regular" w:hint="eastAsia"/>
          <w:b/>
          <w:bCs/>
          <w:sz w:val="22"/>
          <w:szCs w:val="22"/>
        </w:rPr>
      </w:pPr>
    </w:p>
    <w:p w:rsidR="00B430DF" w:rsidRPr="00B430DF" w:rsidRDefault="00B430DF" w:rsidP="00B430DF">
      <w:pPr>
        <w:pStyle w:val="NoSpacing"/>
        <w:rPr>
          <w:rFonts w:ascii="Times New Roman" w:hAnsi="Times New Roman"/>
          <w:b/>
          <w:bCs/>
          <w:i/>
          <w:iCs/>
          <w:color w:val="000000" w:themeColor="text1"/>
          <w:sz w:val="24"/>
          <w:szCs w:val="24"/>
          <w:lang w:val="en-US"/>
        </w:rPr>
      </w:pPr>
      <w:r w:rsidRPr="00B430DF">
        <w:rPr>
          <w:rFonts w:ascii="Times New Roman" w:hAnsi="Times New Roman"/>
          <w:b/>
          <w:bCs/>
          <w:i/>
          <w:iCs/>
          <w:color w:val="000000" w:themeColor="text1"/>
          <w:sz w:val="24"/>
          <w:szCs w:val="24"/>
          <w:lang w:val="en-US"/>
        </w:rPr>
        <w:t>Ethical Approval:</w:t>
      </w:r>
    </w:p>
    <w:p w:rsidR="00B430DF" w:rsidRPr="00B430DF" w:rsidRDefault="00B430DF" w:rsidP="00B430DF">
      <w:pPr>
        <w:pStyle w:val="NoSpacing"/>
        <w:rPr>
          <w:rFonts w:ascii="Times New Roman" w:hAnsi="Times New Roman"/>
          <w:b/>
          <w:bCs/>
          <w:i/>
          <w:iCs/>
          <w:color w:val="000000" w:themeColor="text1"/>
          <w:sz w:val="24"/>
          <w:szCs w:val="24"/>
          <w:lang w:val="en-US"/>
        </w:rPr>
      </w:pPr>
    </w:p>
    <w:p w:rsidR="00085CC6" w:rsidRDefault="00B430DF" w:rsidP="00B430DF">
      <w:pPr>
        <w:pStyle w:val="NoSpacing"/>
        <w:jc w:val="both"/>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As per international standards or university standards written ethical approval has been collected and preserved by the author(s).</w:t>
      </w:r>
    </w:p>
    <w:p w:rsidR="00B430DF" w:rsidRDefault="00B430DF" w:rsidP="00B430DF">
      <w:pPr>
        <w:pStyle w:val="NoSpacing"/>
        <w:jc w:val="both"/>
        <w:rPr>
          <w:rFonts w:ascii="Times New Roman" w:hAnsi="Times New Roman"/>
          <w:bCs/>
          <w:i/>
          <w:iCs/>
          <w:color w:val="000000" w:themeColor="text1"/>
          <w:sz w:val="24"/>
          <w:szCs w:val="24"/>
          <w:lang w:val="en-US"/>
        </w:rPr>
      </w:pPr>
    </w:p>
    <w:p w:rsidR="00B430DF" w:rsidRPr="00B430DF" w:rsidRDefault="00B430DF" w:rsidP="00B430DF">
      <w:pPr>
        <w:pStyle w:val="NoSpacing"/>
        <w:rPr>
          <w:rFonts w:ascii="Times New Roman" w:hAnsi="Times New Roman"/>
          <w:b/>
          <w:bCs/>
          <w:i/>
          <w:iCs/>
          <w:color w:val="000000" w:themeColor="text1"/>
          <w:sz w:val="24"/>
          <w:szCs w:val="24"/>
          <w:lang w:val="en-US"/>
        </w:rPr>
      </w:pPr>
      <w:r w:rsidRPr="00B430DF">
        <w:rPr>
          <w:rFonts w:ascii="Times New Roman" w:hAnsi="Times New Roman"/>
          <w:b/>
          <w:bCs/>
          <w:i/>
          <w:iCs/>
          <w:color w:val="000000" w:themeColor="text1"/>
          <w:sz w:val="24"/>
          <w:szCs w:val="24"/>
          <w:lang w:val="en-US"/>
        </w:rPr>
        <w:t>Disclaimer (Artificial intelligence)</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 xml:space="preserve">Option 1: </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Author(s) hereby declare that NO generative AI technologies such as Large Language Models (</w:t>
      </w:r>
      <w:proofErr w:type="spellStart"/>
      <w:r w:rsidRPr="00B430DF">
        <w:rPr>
          <w:rFonts w:ascii="Times New Roman" w:hAnsi="Times New Roman"/>
          <w:bCs/>
          <w:i/>
          <w:iCs/>
          <w:color w:val="000000" w:themeColor="text1"/>
          <w:sz w:val="24"/>
          <w:szCs w:val="24"/>
          <w:lang w:val="en-US"/>
        </w:rPr>
        <w:t>ChatGPT</w:t>
      </w:r>
      <w:proofErr w:type="spellEnd"/>
      <w:r w:rsidRPr="00B430DF">
        <w:rPr>
          <w:rFonts w:ascii="Times New Roman" w:hAnsi="Times New Roman"/>
          <w:bCs/>
          <w:i/>
          <w:iCs/>
          <w:color w:val="000000" w:themeColor="text1"/>
          <w:sz w:val="24"/>
          <w:szCs w:val="24"/>
          <w:lang w:val="en-US"/>
        </w:rPr>
        <w:t>, COPIL</w:t>
      </w:r>
      <w:bookmarkStart w:id="0" w:name="_GoBack"/>
      <w:bookmarkEnd w:id="0"/>
      <w:r w:rsidRPr="00B430DF">
        <w:rPr>
          <w:rFonts w:ascii="Times New Roman" w:hAnsi="Times New Roman"/>
          <w:bCs/>
          <w:i/>
          <w:iCs/>
          <w:color w:val="000000" w:themeColor="text1"/>
          <w:sz w:val="24"/>
          <w:szCs w:val="24"/>
          <w:lang w:val="en-US"/>
        </w:rPr>
        <w:t xml:space="preserve">OT, etc.) and text-to-image generators have been used during the writing or editing of this manuscript. </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 xml:space="preserve">Option 2: </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Details of the AI usage are given below:</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1.</w:t>
      </w:r>
    </w:p>
    <w:p w:rsidR="00B430DF" w:rsidRPr="00B430DF" w:rsidRDefault="00B430DF" w:rsidP="00B430DF">
      <w:pPr>
        <w:pStyle w:val="NoSpacing"/>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2.</w:t>
      </w:r>
    </w:p>
    <w:p w:rsidR="00B430DF" w:rsidRPr="00B430DF" w:rsidRDefault="00B430DF" w:rsidP="00B430DF">
      <w:pPr>
        <w:pStyle w:val="NoSpacing"/>
        <w:jc w:val="both"/>
        <w:rPr>
          <w:rFonts w:ascii="Times New Roman" w:hAnsi="Times New Roman"/>
          <w:bCs/>
          <w:i/>
          <w:iCs/>
          <w:color w:val="000000" w:themeColor="text1"/>
          <w:sz w:val="24"/>
          <w:szCs w:val="24"/>
          <w:lang w:val="en-US"/>
        </w:rPr>
      </w:pPr>
      <w:r w:rsidRPr="00B430DF">
        <w:rPr>
          <w:rFonts w:ascii="Times New Roman" w:hAnsi="Times New Roman"/>
          <w:bCs/>
          <w:i/>
          <w:iCs/>
          <w:color w:val="000000" w:themeColor="text1"/>
          <w:sz w:val="24"/>
          <w:szCs w:val="24"/>
          <w:lang w:val="en-US"/>
        </w:rPr>
        <w:t>3.</w:t>
      </w:r>
    </w:p>
    <w:p w:rsidR="00B430DF" w:rsidRDefault="00B430DF" w:rsidP="00B430DF">
      <w:pPr>
        <w:pStyle w:val="NoSpacing"/>
        <w:jc w:val="both"/>
        <w:rPr>
          <w:rFonts w:ascii="Times New Roman" w:hAnsi="Times New Roman"/>
          <w:b/>
          <w:color w:val="0000CC"/>
          <w:sz w:val="24"/>
          <w:szCs w:val="24"/>
        </w:rPr>
      </w:pPr>
    </w:p>
    <w:p w:rsidR="00085CC6" w:rsidRDefault="00A36BF1">
      <w:pPr>
        <w:pStyle w:val="NoSpacing"/>
        <w:jc w:val="both"/>
        <w:rPr>
          <w:rFonts w:ascii="Times New Roman Regular" w:eastAsia="Times New Roman" w:hAnsi="Times New Roman Regular" w:cs="Times New Roman Regular"/>
          <w:color w:val="000000" w:themeColor="text1"/>
        </w:rPr>
      </w:pPr>
      <w:r>
        <w:rPr>
          <w:rFonts w:ascii="Times New Roman" w:hAnsi="Times New Roman"/>
          <w:b/>
          <w:color w:val="0000CC"/>
        </w:rPr>
        <w:t>REFERENCES</w:t>
      </w:r>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Aisyah</w:t>
      </w:r>
      <w:proofErr w:type="spellEnd"/>
      <w:r>
        <w:rPr>
          <w:rFonts w:ascii="Times New Roman Regular" w:hAnsi="Times New Roman Regular" w:cs="Times New Roman Regular"/>
          <w:sz w:val="22"/>
          <w:szCs w:val="28"/>
        </w:rPr>
        <w:t xml:space="preserve">, U. N., &amp; </w:t>
      </w:r>
      <w:proofErr w:type="spellStart"/>
      <w:r>
        <w:rPr>
          <w:rFonts w:ascii="Times New Roman Regular" w:hAnsi="Times New Roman Regular" w:cs="Times New Roman Regular"/>
          <w:sz w:val="22"/>
          <w:szCs w:val="28"/>
        </w:rPr>
        <w:t>Bustam</w:t>
      </w:r>
      <w:proofErr w:type="spellEnd"/>
      <w:r>
        <w:rPr>
          <w:rFonts w:ascii="Times New Roman Regular" w:hAnsi="Times New Roman Regular" w:cs="Times New Roman Regular"/>
          <w:sz w:val="22"/>
          <w:szCs w:val="28"/>
        </w:rPr>
        <w:t xml:space="preserve">, B. M. R. (2024). </w:t>
      </w:r>
      <w:proofErr w:type="spellStart"/>
      <w:r>
        <w:rPr>
          <w:rFonts w:ascii="Times New Roman Regular" w:hAnsi="Times New Roman Regular" w:cs="Times New Roman Regular"/>
          <w:sz w:val="22"/>
          <w:szCs w:val="28"/>
        </w:rPr>
        <w:t>Asesmen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Autentik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w:t>
      </w:r>
      <w:proofErr w:type="spellStart"/>
      <w:r>
        <w:rPr>
          <w:rFonts w:ascii="Times New Roman Regular" w:hAnsi="Times New Roman Regular" w:cs="Times New Roman Regular"/>
          <w:sz w:val="22"/>
          <w:szCs w:val="28"/>
        </w:rPr>
        <w:t>Perspektif</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Teori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Humanisme</w:t>
      </w:r>
      <w:proofErr w:type="spellEnd"/>
      <w:r>
        <w:rPr>
          <w:rFonts w:ascii="Times New Roman Regular" w:hAnsi="Times New Roman Regular" w:cs="Times New Roman Regular"/>
          <w:sz w:val="22"/>
          <w:szCs w:val="28"/>
        </w:rPr>
        <w:t xml:space="preserve">. TAJDID: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Pemikiran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Keislaman</w:t>
      </w:r>
      <w:proofErr w:type="spellEnd"/>
      <w:r>
        <w:rPr>
          <w:rFonts w:ascii="Times New Roman Regular" w:hAnsi="Times New Roman Regular" w:cs="Times New Roman Regular"/>
          <w:sz w:val="22"/>
          <w:szCs w:val="28"/>
        </w:rPr>
        <w:t xml:space="preserve"> dan </w:t>
      </w:r>
      <w:proofErr w:type="spellStart"/>
      <w:r>
        <w:rPr>
          <w:rFonts w:ascii="Times New Roman Regular" w:hAnsi="Times New Roman Regular" w:cs="Times New Roman Regular"/>
          <w:sz w:val="22"/>
          <w:szCs w:val="28"/>
        </w:rPr>
        <w:t>Kemanusiaan</w:t>
      </w:r>
      <w:proofErr w:type="spellEnd"/>
      <w:r>
        <w:rPr>
          <w:rFonts w:ascii="Times New Roman Regular" w:hAnsi="Times New Roman Regular" w:cs="Times New Roman Regular"/>
          <w:sz w:val="22"/>
          <w:szCs w:val="28"/>
        </w:rPr>
        <w:t>, 8(1), 14-27. DOI: 10.52266/</w:t>
      </w:r>
      <w:proofErr w:type="gramStart"/>
      <w:r>
        <w:rPr>
          <w:rFonts w:ascii="Times New Roman Regular" w:hAnsi="Times New Roman Regular" w:cs="Times New Roman Regular"/>
          <w:sz w:val="22"/>
          <w:szCs w:val="28"/>
        </w:rPr>
        <w:t>tadjid.v</w:t>
      </w:r>
      <w:proofErr w:type="gramEnd"/>
      <w:r>
        <w:rPr>
          <w:rFonts w:ascii="Times New Roman Regular" w:hAnsi="Times New Roman Regular" w:cs="Times New Roman Regular"/>
          <w:sz w:val="22"/>
          <w:szCs w:val="28"/>
        </w:rPr>
        <w:t>8i1.2590</w:t>
      </w:r>
    </w:p>
    <w:p w:rsidR="00085CC6" w:rsidRDefault="00A36BF1">
      <w:pPr>
        <w:ind w:left="709" w:hanging="709"/>
        <w:rPr>
          <w:rFonts w:ascii="Times New Roman Regular" w:hAnsi="Times New Roman Regular" w:cs="Times New Roman Regular" w:hint="eastAsia"/>
          <w:sz w:val="22"/>
          <w:szCs w:val="28"/>
        </w:rPr>
      </w:pPr>
      <w:r>
        <w:rPr>
          <w:rFonts w:ascii="Times New Roman Regular" w:hAnsi="Times New Roman Regular" w:cs="Times New Roman Regular"/>
          <w:sz w:val="22"/>
          <w:szCs w:val="28"/>
        </w:rPr>
        <w:t xml:space="preserve">Anwar, R. N. (2023). </w:t>
      </w:r>
      <w:proofErr w:type="spellStart"/>
      <w:r>
        <w:rPr>
          <w:rFonts w:ascii="Times New Roman Regular" w:hAnsi="Times New Roman Regular" w:cs="Times New Roman Regular"/>
          <w:sz w:val="22"/>
          <w:szCs w:val="28"/>
        </w:rPr>
        <w:t>Pelatihan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Penyusunan</w:t>
      </w:r>
      <w:proofErr w:type="spellEnd"/>
      <w:r>
        <w:rPr>
          <w:rFonts w:ascii="Times New Roman Regular" w:hAnsi="Times New Roman Regular" w:cs="Times New Roman Regular"/>
          <w:sz w:val="22"/>
          <w:szCs w:val="28"/>
        </w:rPr>
        <w:t xml:space="preserve"> Modul Ajar </w:t>
      </w:r>
      <w:proofErr w:type="spellStart"/>
      <w:r>
        <w:rPr>
          <w:rFonts w:ascii="Times New Roman Regular" w:hAnsi="Times New Roman Regular" w:cs="Times New Roman Regular"/>
          <w:sz w:val="22"/>
          <w:szCs w:val="28"/>
        </w:rPr>
        <w:t>Projek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Penguatan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Profil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Pelajar</w:t>
      </w:r>
      <w:proofErr w:type="spellEnd"/>
      <w:r>
        <w:rPr>
          <w:rFonts w:ascii="Times New Roman Regular" w:hAnsi="Times New Roman Regular" w:cs="Times New Roman Regular"/>
          <w:sz w:val="22"/>
          <w:szCs w:val="28"/>
        </w:rPr>
        <w:t xml:space="preserve"> Pancasila Pada </w:t>
      </w:r>
      <w:proofErr w:type="spellStart"/>
      <w:r>
        <w:rPr>
          <w:rFonts w:ascii="Times New Roman Regular" w:hAnsi="Times New Roman Regular" w:cs="Times New Roman Regular"/>
          <w:sz w:val="22"/>
          <w:szCs w:val="28"/>
        </w:rPr>
        <w:t>Satuan</w:t>
      </w:r>
      <w:proofErr w:type="spellEnd"/>
      <w:r>
        <w:rPr>
          <w:rFonts w:ascii="Times New Roman Regular" w:hAnsi="Times New Roman Regular" w:cs="Times New Roman Regular"/>
          <w:sz w:val="22"/>
          <w:szCs w:val="28"/>
        </w:rPr>
        <w:t xml:space="preserve"> Pendidikan Program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Gembira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lastRenderedPageBreak/>
        <w:t>Pengabdian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Kepada</w:t>
      </w:r>
      <w:proofErr w:type="spellEnd"/>
      <w:r>
        <w:rPr>
          <w:rFonts w:ascii="Times New Roman Regular" w:hAnsi="Times New Roman Regular" w:cs="Times New Roman Regular"/>
          <w:sz w:val="22"/>
          <w:szCs w:val="28"/>
        </w:rPr>
        <w:t xml:space="preserve"> Masyarakat, 1(1), 102-109. </w:t>
      </w:r>
      <w:hyperlink r:id="rId5" w:history="1">
        <w:r>
          <w:rPr>
            <w:rStyle w:val="Hyperlink"/>
            <w:rFonts w:ascii="Times New Roman Regular" w:hAnsi="Times New Roman Regular" w:cs="Times New Roman Regular"/>
            <w:sz w:val="22"/>
            <w:szCs w:val="28"/>
          </w:rPr>
          <w:t>https://gembirapkm.my.id/index.php/jurnal/article/view/13/13</w:t>
        </w:r>
      </w:hyperlink>
      <w:r>
        <w:rPr>
          <w:rFonts w:ascii="Times New Roman Regular" w:hAnsi="Times New Roman Regular" w:cs="Times New Roman Regular"/>
          <w:sz w:val="22"/>
          <w:szCs w:val="28"/>
        </w:rPr>
        <w:t xml:space="preserve"> </w:t>
      </w:r>
    </w:p>
    <w:p w:rsidR="00085CC6" w:rsidRDefault="00A36BF1">
      <w:pPr>
        <w:ind w:left="709" w:hanging="709"/>
        <w:rPr>
          <w:rFonts w:ascii="Times New Roman Regular" w:hAnsi="Times New Roman Regular" w:cs="Times New Roman Regular" w:hint="eastAsia"/>
          <w:sz w:val="22"/>
          <w:szCs w:val="22"/>
        </w:rPr>
      </w:pPr>
      <w:r>
        <w:rPr>
          <w:rFonts w:ascii="Times New Roman Regular" w:hAnsi="Times New Roman Regular" w:cs="Times New Roman Regular"/>
          <w:sz w:val="22"/>
          <w:szCs w:val="22"/>
        </w:rPr>
        <w:t>Creswell, J. W., &amp; Poth, C. N. (2016). Qualitative inquiry and research design: Choosing among five approaches. Sage publications.</w:t>
      </w:r>
    </w:p>
    <w:p w:rsidR="00085CC6" w:rsidRDefault="00A36BF1">
      <w:pPr>
        <w:ind w:left="709" w:hanging="709"/>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Heryanti</w:t>
      </w:r>
      <w:proofErr w:type="spellEnd"/>
      <w:r>
        <w:rPr>
          <w:rFonts w:ascii="Times New Roman Regular" w:hAnsi="Times New Roman Regular" w:cs="Times New Roman Regular"/>
          <w:sz w:val="22"/>
          <w:szCs w:val="22"/>
        </w:rPr>
        <w:t xml:space="preserve">, Y. Y., Muhtar, T., &amp; </w:t>
      </w:r>
      <w:proofErr w:type="spellStart"/>
      <w:r>
        <w:rPr>
          <w:rFonts w:ascii="Times New Roman Regular" w:hAnsi="Times New Roman Regular" w:cs="Times New Roman Regular"/>
          <w:sz w:val="22"/>
          <w:szCs w:val="22"/>
        </w:rPr>
        <w:t>Herlambang</w:t>
      </w:r>
      <w:proofErr w:type="spellEnd"/>
      <w:r>
        <w:rPr>
          <w:rFonts w:ascii="Times New Roman Regular" w:hAnsi="Times New Roman Regular" w:cs="Times New Roman Regular"/>
          <w:sz w:val="22"/>
          <w:szCs w:val="22"/>
        </w:rPr>
        <w:t xml:space="preserve">, Y. T. (2023). </w:t>
      </w:r>
      <w:proofErr w:type="spellStart"/>
      <w:r>
        <w:rPr>
          <w:rFonts w:ascii="Times New Roman Regular" w:hAnsi="Times New Roman Regular" w:cs="Times New Roman Regular"/>
          <w:sz w:val="22"/>
          <w:szCs w:val="22"/>
        </w:rPr>
        <w:t>Makna</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implementasi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kurikulum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merdeka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belajar</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relevansinya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bagi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perkembangan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siswa</w:t>
      </w:r>
      <w:proofErr w:type="spellEnd"/>
      <w:r>
        <w:rPr>
          <w:rFonts w:ascii="Times New Roman Regular" w:hAnsi="Times New Roman Regular" w:cs="Times New Roman Regular"/>
          <w:sz w:val="22"/>
          <w:szCs w:val="22"/>
        </w:rPr>
        <w:t xml:space="preserve"> di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dasar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telaah</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kritis</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tinjauan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pedagogis</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Elementaria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Edukasia</w:t>
      </w:r>
      <w:proofErr w:type="spellEnd"/>
      <w:r>
        <w:rPr>
          <w:rFonts w:ascii="Times New Roman Regular" w:hAnsi="Times New Roman Regular" w:cs="Times New Roman Regular"/>
          <w:sz w:val="22"/>
          <w:szCs w:val="22"/>
        </w:rPr>
        <w:t>, 6(3), 1270-1280.DOI: </w:t>
      </w:r>
      <w:hyperlink r:id="rId6" w:history="1">
        <w:r>
          <w:rPr>
            <w:rFonts w:ascii="Times New Roman Regular" w:hAnsi="Times New Roman Regular" w:cs="Times New Roman Regular"/>
            <w:sz w:val="22"/>
            <w:szCs w:val="22"/>
          </w:rPr>
          <w:t>https://doi.org/10.31949/jee.v6i3.6118</w:t>
        </w:r>
      </w:hyperlink>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Hutasoit</w:t>
      </w:r>
      <w:proofErr w:type="spellEnd"/>
      <w:r>
        <w:rPr>
          <w:rFonts w:ascii="Times New Roman Regular" w:hAnsi="Times New Roman Regular" w:cs="Times New Roman Regular"/>
          <w:sz w:val="22"/>
          <w:szCs w:val="28"/>
        </w:rPr>
        <w:t xml:space="preserve">, D. T. (2025).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sebagai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Agen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Transformasi</w:t>
      </w:r>
      <w:proofErr w:type="spellEnd"/>
      <w:r>
        <w:rPr>
          <w:rFonts w:ascii="Times New Roman Regular" w:hAnsi="Times New Roman Regular" w:cs="Times New Roman Regular"/>
          <w:sz w:val="22"/>
          <w:szCs w:val="28"/>
        </w:rPr>
        <w:t xml:space="preserve"> Pendidikan: </w:t>
      </w:r>
      <w:proofErr w:type="spellStart"/>
      <w:r>
        <w:rPr>
          <w:rFonts w:ascii="Times New Roman Regular" w:hAnsi="Times New Roman Regular" w:cs="Times New Roman Regular"/>
          <w:sz w:val="22"/>
          <w:szCs w:val="28"/>
        </w:rPr>
        <w:t>Tinjauan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Literatur</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terhadap</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Peran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Tantangan</w:t>
      </w:r>
      <w:proofErr w:type="spellEnd"/>
      <w:r>
        <w:rPr>
          <w:rFonts w:ascii="Times New Roman Regular" w:hAnsi="Times New Roman Regular" w:cs="Times New Roman Regular"/>
          <w:sz w:val="22"/>
          <w:szCs w:val="28"/>
        </w:rPr>
        <w:t xml:space="preserve">, dan </w:t>
      </w:r>
      <w:proofErr w:type="spellStart"/>
      <w:r>
        <w:rPr>
          <w:rFonts w:ascii="Times New Roman Regular" w:hAnsi="Times New Roman Regular" w:cs="Times New Roman Regular"/>
          <w:sz w:val="22"/>
          <w:szCs w:val="28"/>
        </w:rPr>
        <w:t>Kolaborasi</w:t>
      </w:r>
      <w:proofErr w:type="spellEnd"/>
      <w:r>
        <w:rPr>
          <w:rFonts w:ascii="Times New Roman Regular" w:hAnsi="Times New Roman Regular" w:cs="Times New Roman Regular"/>
          <w:sz w:val="22"/>
          <w:szCs w:val="28"/>
        </w:rPr>
        <w:t>. JURNAL PENDIDIKAN MIPA, 15(2), 551-561. DOI: </w:t>
      </w:r>
      <w:hyperlink r:id="rId7" w:history="1">
        <w:r>
          <w:rPr>
            <w:rFonts w:ascii="Times New Roman Regular" w:hAnsi="Times New Roman Regular" w:cs="Times New Roman Regular"/>
            <w:sz w:val="22"/>
            <w:szCs w:val="28"/>
          </w:rPr>
          <w:t>https://doi.org/10.37630/jpm.v15i2.2719</w:t>
        </w:r>
      </w:hyperlink>
    </w:p>
    <w:p w:rsidR="00085CC6" w:rsidRDefault="00A36BF1">
      <w:pPr>
        <w:ind w:left="709" w:hanging="709"/>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Istaryaningtyas</w:t>
      </w:r>
      <w:proofErr w:type="spellEnd"/>
      <w:r>
        <w:rPr>
          <w:rFonts w:ascii="Times New Roman Regular" w:hAnsi="Times New Roman Regular" w:cs="Times New Roman Regular"/>
          <w:sz w:val="22"/>
          <w:szCs w:val="22"/>
        </w:rPr>
        <w:t xml:space="preserve">, I., </w:t>
      </w:r>
      <w:proofErr w:type="spellStart"/>
      <w:r>
        <w:rPr>
          <w:rFonts w:ascii="Times New Roman Regular" w:hAnsi="Times New Roman Regular" w:cs="Times New Roman Regular"/>
          <w:sz w:val="22"/>
          <w:szCs w:val="22"/>
        </w:rPr>
        <w:t>Silviana</w:t>
      </w:r>
      <w:proofErr w:type="spellEnd"/>
      <w:r>
        <w:rPr>
          <w:rFonts w:ascii="Times New Roman Regular" w:hAnsi="Times New Roman Regular" w:cs="Times New Roman Regular"/>
          <w:sz w:val="22"/>
          <w:szCs w:val="22"/>
        </w:rPr>
        <w:t xml:space="preserve">, L., &amp; </w:t>
      </w:r>
      <w:proofErr w:type="spellStart"/>
      <w:r>
        <w:rPr>
          <w:rFonts w:ascii="Times New Roman Regular" w:hAnsi="Times New Roman Regular" w:cs="Times New Roman Regular"/>
          <w:sz w:val="22"/>
          <w:szCs w:val="22"/>
        </w:rPr>
        <w:t>Hidayat</w:t>
      </w:r>
      <w:proofErr w:type="spellEnd"/>
      <w:r>
        <w:rPr>
          <w:rFonts w:ascii="Times New Roman Regular" w:hAnsi="Times New Roman Regular" w:cs="Times New Roman Regular"/>
          <w:sz w:val="22"/>
          <w:szCs w:val="22"/>
        </w:rPr>
        <w:t>, E. (2021). Management of the Independent Learning Curriculum during the Covid-19 Pandemic. Journal of Education Research and Evaluation, 5(2), 176-184.DOI: </w:t>
      </w:r>
      <w:hyperlink r:id="rId8" w:history="1">
        <w:r>
          <w:rPr>
            <w:rFonts w:ascii="Times New Roman Regular" w:hAnsi="Times New Roman Regular" w:cs="Times New Roman Regular"/>
            <w:sz w:val="22"/>
            <w:szCs w:val="22"/>
          </w:rPr>
          <w:t>https://doi.org/10.23887/jere.v5i2.32998</w:t>
        </w:r>
      </w:hyperlink>
    </w:p>
    <w:p w:rsidR="00085CC6" w:rsidRDefault="00A36BF1">
      <w:pPr>
        <w:ind w:left="709" w:hanging="709"/>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Jannati</w:t>
      </w:r>
      <w:proofErr w:type="spellEnd"/>
      <w:r>
        <w:rPr>
          <w:rFonts w:ascii="Times New Roman Regular" w:hAnsi="Times New Roman Regular" w:cs="Times New Roman Regular"/>
          <w:sz w:val="22"/>
          <w:szCs w:val="22"/>
        </w:rPr>
        <w:t xml:space="preserve">, P., Ramadhan, F. A., &amp; </w:t>
      </w:r>
      <w:proofErr w:type="spellStart"/>
      <w:r>
        <w:rPr>
          <w:rFonts w:ascii="Times New Roman Regular" w:hAnsi="Times New Roman Regular" w:cs="Times New Roman Regular"/>
          <w:sz w:val="22"/>
          <w:szCs w:val="22"/>
        </w:rPr>
        <w:t>Rohimawan</w:t>
      </w:r>
      <w:proofErr w:type="spellEnd"/>
      <w:r>
        <w:rPr>
          <w:rFonts w:ascii="Times New Roman Regular" w:hAnsi="Times New Roman Regular" w:cs="Times New Roman Regular"/>
          <w:sz w:val="22"/>
          <w:szCs w:val="22"/>
        </w:rPr>
        <w:t xml:space="preserve">, M. A. (2023).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Guru </w:t>
      </w:r>
      <w:proofErr w:type="spellStart"/>
      <w:r>
        <w:rPr>
          <w:rFonts w:ascii="Times New Roman Regular" w:hAnsi="Times New Roman Regular" w:cs="Times New Roman Regular"/>
          <w:sz w:val="22"/>
          <w:szCs w:val="22"/>
        </w:rPr>
        <w:t>penggerak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implementasi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kurikulum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merdeka</w:t>
      </w:r>
      <w:proofErr w:type="spellEnd"/>
      <w:r>
        <w:rPr>
          <w:rFonts w:ascii="Times New Roman Regular" w:hAnsi="Times New Roman Regular" w:cs="Times New Roman Regular"/>
          <w:sz w:val="22"/>
          <w:szCs w:val="22"/>
        </w:rPr>
        <w:t xml:space="preserve"> di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dasar</w:t>
      </w:r>
      <w:proofErr w:type="spellEnd"/>
      <w:r>
        <w:rPr>
          <w:rFonts w:ascii="Times New Roman Regular" w:hAnsi="Times New Roman Regular" w:cs="Times New Roman Regular"/>
          <w:sz w:val="22"/>
          <w:szCs w:val="22"/>
        </w:rPr>
        <w:t xml:space="preserve">. Al-Madrasah: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Ilmiah</w:t>
      </w:r>
      <w:proofErr w:type="spellEnd"/>
      <w:r>
        <w:rPr>
          <w:rFonts w:ascii="Times New Roman Regular" w:hAnsi="Times New Roman Regular" w:cs="Times New Roman Regular"/>
          <w:sz w:val="22"/>
          <w:szCs w:val="22"/>
        </w:rPr>
        <w:t xml:space="preserve"> Pendidikan Madrasah </w:t>
      </w:r>
      <w:proofErr w:type="spellStart"/>
      <w:r>
        <w:rPr>
          <w:rFonts w:ascii="Times New Roman Regular" w:hAnsi="Times New Roman Regular" w:cs="Times New Roman Regular"/>
          <w:sz w:val="22"/>
          <w:szCs w:val="22"/>
        </w:rPr>
        <w:t>Ibtidaiyah</w:t>
      </w:r>
      <w:proofErr w:type="spellEnd"/>
      <w:r>
        <w:rPr>
          <w:rFonts w:ascii="Times New Roman Regular" w:hAnsi="Times New Roman Regular" w:cs="Times New Roman Regular"/>
          <w:sz w:val="22"/>
          <w:szCs w:val="22"/>
        </w:rPr>
        <w:t>, 7(1), 330-345. DOI: </w:t>
      </w:r>
      <w:hyperlink r:id="rId9" w:history="1">
        <w:r>
          <w:rPr>
            <w:rFonts w:ascii="Times New Roman Regular" w:hAnsi="Times New Roman Regular" w:cs="Times New Roman Regular"/>
            <w:sz w:val="22"/>
            <w:szCs w:val="22"/>
          </w:rPr>
          <w:t>http://dx.doi.org/10.35931/am.v7i1.1714</w:t>
        </w:r>
      </w:hyperlink>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Kusumaningtyas</w:t>
      </w:r>
      <w:proofErr w:type="spellEnd"/>
      <w:r>
        <w:rPr>
          <w:rFonts w:ascii="Times New Roman Regular" w:hAnsi="Times New Roman Regular" w:cs="Times New Roman Regular"/>
          <w:sz w:val="22"/>
          <w:szCs w:val="28"/>
        </w:rPr>
        <w:t xml:space="preserve">, W. (2024). </w:t>
      </w:r>
      <w:proofErr w:type="spellStart"/>
      <w:r>
        <w:rPr>
          <w:rFonts w:ascii="Times New Roman Regular" w:hAnsi="Times New Roman Regular" w:cs="Times New Roman Regular"/>
          <w:sz w:val="22"/>
          <w:szCs w:val="28"/>
        </w:rPr>
        <w:t>Peran</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Meningkatkan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Profesionalisme</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Dasar: </w:t>
      </w:r>
      <w:proofErr w:type="spellStart"/>
      <w:r>
        <w:rPr>
          <w:rFonts w:ascii="Times New Roman Regular" w:hAnsi="Times New Roman Regular" w:cs="Times New Roman Regular"/>
          <w:sz w:val="22"/>
          <w:szCs w:val="28"/>
        </w:rPr>
        <w:t>Sebuah</w:t>
      </w:r>
      <w:proofErr w:type="spellEnd"/>
      <w:r>
        <w:rPr>
          <w:rFonts w:ascii="Times New Roman Regular" w:hAnsi="Times New Roman Regular" w:cs="Times New Roman Regular"/>
          <w:sz w:val="22"/>
          <w:szCs w:val="28"/>
        </w:rPr>
        <w:t xml:space="preserve"> Kajian </w:t>
      </w:r>
      <w:proofErr w:type="spellStart"/>
      <w:r>
        <w:rPr>
          <w:rFonts w:ascii="Times New Roman Regular" w:hAnsi="Times New Roman Regular" w:cs="Times New Roman Regular"/>
          <w:sz w:val="22"/>
          <w:szCs w:val="28"/>
        </w:rPr>
        <w:t>Fenomenologi</w:t>
      </w:r>
      <w:proofErr w:type="spellEnd"/>
      <w:r>
        <w:rPr>
          <w:rFonts w:ascii="Times New Roman Regular" w:hAnsi="Times New Roman Regular" w:cs="Times New Roman Regular"/>
          <w:sz w:val="22"/>
          <w:szCs w:val="28"/>
        </w:rPr>
        <w:t>.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Dasar, 1(2), 10-17. DOI: </w:t>
      </w:r>
      <w:hyperlink r:id="rId10" w:history="1">
        <w:r>
          <w:rPr>
            <w:rFonts w:ascii="Times New Roman Regular" w:hAnsi="Times New Roman Regular" w:cs="Times New Roman Regular"/>
            <w:sz w:val="22"/>
            <w:szCs w:val="28"/>
          </w:rPr>
          <w:t>https://doi.org/10.70277/jgsd.v1i2.2</w:t>
        </w:r>
      </w:hyperlink>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Maslina</w:t>
      </w:r>
      <w:proofErr w:type="spellEnd"/>
      <w:r>
        <w:rPr>
          <w:rFonts w:ascii="Times New Roman Regular" w:hAnsi="Times New Roman Regular" w:cs="Times New Roman Regular"/>
          <w:sz w:val="22"/>
          <w:szCs w:val="28"/>
        </w:rPr>
        <w:t xml:space="preserve">, M., &amp; </w:t>
      </w:r>
      <w:proofErr w:type="spellStart"/>
      <w:r>
        <w:rPr>
          <w:rFonts w:ascii="Times New Roman Regular" w:hAnsi="Times New Roman Regular" w:cs="Times New Roman Regular"/>
          <w:sz w:val="22"/>
          <w:szCs w:val="28"/>
        </w:rPr>
        <w:t>Simaremare</w:t>
      </w:r>
      <w:proofErr w:type="spellEnd"/>
      <w:r>
        <w:rPr>
          <w:rFonts w:ascii="Times New Roman Regular" w:hAnsi="Times New Roman Regular" w:cs="Times New Roman Regular"/>
          <w:sz w:val="22"/>
          <w:szCs w:val="28"/>
        </w:rPr>
        <w:t xml:space="preserve">, A. (2025). Driving Teachers as Catalysts of Innovation: A Literature Review on Teacher Leadership in Indonesia’s Merdeka </w:t>
      </w:r>
      <w:proofErr w:type="spellStart"/>
      <w:r>
        <w:rPr>
          <w:rFonts w:ascii="Times New Roman Regular" w:hAnsi="Times New Roman Regular" w:cs="Times New Roman Regular"/>
          <w:sz w:val="22"/>
          <w:szCs w:val="28"/>
        </w:rPr>
        <w:t>Belajar</w:t>
      </w:r>
      <w:proofErr w:type="spellEnd"/>
      <w:r>
        <w:rPr>
          <w:rFonts w:ascii="Times New Roman Regular" w:hAnsi="Times New Roman Regular" w:cs="Times New Roman Regular"/>
          <w:sz w:val="22"/>
          <w:szCs w:val="28"/>
        </w:rPr>
        <w:t xml:space="preserve"> Reform. Journal of General Education and Humanities, 4(3), 1123-1132. DOI:  </w:t>
      </w:r>
      <w:hyperlink r:id="rId11" w:history="1">
        <w:r>
          <w:rPr>
            <w:rFonts w:ascii="Times New Roman Regular" w:hAnsi="Times New Roman Regular" w:cs="Times New Roman Regular"/>
            <w:sz w:val="22"/>
            <w:szCs w:val="28"/>
          </w:rPr>
          <w:t>https://doi.org/10.58421/gehu.v4i3.638</w:t>
        </w:r>
      </w:hyperlink>
    </w:p>
    <w:p w:rsidR="00085CC6" w:rsidRDefault="00A36BF1">
      <w:pPr>
        <w:ind w:left="709" w:hanging="709"/>
        <w:rPr>
          <w:rFonts w:ascii="Times New Roman Regular" w:eastAsia="SimSun" w:hAnsi="Times New Roman Regular" w:cs="Times New Roman Regular" w:hint="eastAsia"/>
          <w:color w:val="222222"/>
          <w:kern w:val="0"/>
          <w:sz w:val="22"/>
          <w:szCs w:val="22"/>
          <w:shd w:val="clear" w:color="auto" w:fill="FFFFFF"/>
          <w:lang w:bidi="ar"/>
        </w:rPr>
      </w:pPr>
      <w:proofErr w:type="spellStart"/>
      <w:r>
        <w:rPr>
          <w:rFonts w:ascii="Times New Roman Regular" w:eastAsia="SimSun" w:hAnsi="Times New Roman Regular" w:cs="Times New Roman Regular"/>
          <w:color w:val="222222"/>
          <w:kern w:val="0"/>
          <w:sz w:val="22"/>
          <w:szCs w:val="22"/>
          <w:shd w:val="clear" w:color="auto" w:fill="FFFFFF"/>
          <w:lang w:bidi="ar"/>
        </w:rPr>
        <w:t>Mukhlishin</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P. Z. D., </w:t>
      </w:r>
      <w:proofErr w:type="spellStart"/>
      <w:r>
        <w:rPr>
          <w:rFonts w:ascii="Times New Roman Regular" w:eastAsia="SimSun" w:hAnsi="Times New Roman Regular" w:cs="Times New Roman Regular"/>
          <w:color w:val="222222"/>
          <w:kern w:val="0"/>
          <w:sz w:val="22"/>
          <w:szCs w:val="22"/>
          <w:shd w:val="clear" w:color="auto" w:fill="FFFFFF"/>
          <w:lang w:bidi="ar"/>
        </w:rPr>
        <w:t>ShoufikaHilyana</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F., </w:t>
      </w:r>
      <w:proofErr w:type="spellStart"/>
      <w:r>
        <w:rPr>
          <w:rFonts w:ascii="Times New Roman Regular" w:eastAsia="SimSun" w:hAnsi="Times New Roman Regular" w:cs="Times New Roman Regular"/>
          <w:color w:val="222222"/>
          <w:kern w:val="0"/>
          <w:sz w:val="22"/>
          <w:szCs w:val="22"/>
          <w:shd w:val="clear" w:color="auto" w:fill="FFFFFF"/>
          <w:lang w:bidi="ar"/>
        </w:rPr>
        <w:t>Nurnazmi</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L. H. L., &amp; </w:t>
      </w:r>
      <w:proofErr w:type="spellStart"/>
      <w:r>
        <w:rPr>
          <w:rFonts w:ascii="Times New Roman Regular" w:eastAsia="SimSun" w:hAnsi="Times New Roman Regular" w:cs="Times New Roman Regular"/>
          <w:color w:val="222222"/>
          <w:kern w:val="0"/>
          <w:sz w:val="22"/>
          <w:szCs w:val="22"/>
          <w:shd w:val="clear" w:color="auto" w:fill="FFFFFF"/>
          <w:lang w:bidi="ar"/>
        </w:rPr>
        <w:t>Sipahutar</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Y. (2024). </w:t>
      </w:r>
      <w:proofErr w:type="spellStart"/>
      <w:r>
        <w:rPr>
          <w:rFonts w:ascii="Times New Roman Regular" w:eastAsia="SimSun" w:hAnsi="Times New Roman Regular" w:cs="Times New Roman Regular"/>
          <w:color w:val="222222"/>
          <w:kern w:val="0"/>
          <w:sz w:val="22"/>
          <w:szCs w:val="22"/>
          <w:shd w:val="clear" w:color="auto" w:fill="FFFFFF"/>
          <w:lang w:bidi="ar"/>
        </w:rPr>
        <w:t>Paradigma</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w:t>
      </w:r>
      <w:proofErr w:type="spellStart"/>
      <w:r>
        <w:rPr>
          <w:rFonts w:ascii="Times New Roman Regular" w:eastAsia="SimSun" w:hAnsi="Times New Roman Regular" w:cs="Times New Roman Regular"/>
          <w:color w:val="222222"/>
          <w:kern w:val="0"/>
          <w:sz w:val="22"/>
          <w:szCs w:val="22"/>
          <w:shd w:val="clear" w:color="auto" w:fill="FFFFFF"/>
          <w:lang w:bidi="ar"/>
        </w:rPr>
        <w:t>Pembelajaran</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w:t>
      </w:r>
      <w:proofErr w:type="spellStart"/>
      <w:r>
        <w:rPr>
          <w:rFonts w:ascii="Times New Roman Regular" w:eastAsia="SimSun" w:hAnsi="Times New Roman Regular" w:cs="Times New Roman Regular"/>
          <w:color w:val="222222"/>
          <w:kern w:val="0"/>
          <w:sz w:val="22"/>
          <w:szCs w:val="22"/>
          <w:shd w:val="clear" w:color="auto" w:fill="FFFFFF"/>
          <w:lang w:bidi="ar"/>
        </w:rPr>
        <w:t>Kurikulum</w:t>
      </w:r>
      <w:proofErr w:type="spellEnd"/>
      <w:r>
        <w:rPr>
          <w:rFonts w:ascii="Times New Roman Regular" w:eastAsia="SimSun" w:hAnsi="Times New Roman Regular" w:cs="Times New Roman Regular"/>
          <w:color w:val="222222"/>
          <w:kern w:val="0"/>
          <w:sz w:val="22"/>
          <w:szCs w:val="22"/>
          <w:shd w:val="clear" w:color="auto" w:fill="FFFFFF"/>
          <w:lang w:bidi="ar"/>
        </w:rPr>
        <w:t xml:space="preserve"> Merdeka.</w:t>
      </w:r>
    </w:p>
    <w:p w:rsidR="00085CC6" w:rsidRDefault="00A36BF1">
      <w:pPr>
        <w:ind w:left="709" w:hanging="709"/>
        <w:rPr>
          <w:rFonts w:ascii="Times New Roman" w:eastAsia="SimSun" w:hAnsi="Times New Roman" w:cs="Times New Roman"/>
          <w:iCs/>
          <w:color w:val="222222"/>
          <w:kern w:val="0"/>
          <w:sz w:val="22"/>
          <w:szCs w:val="22"/>
          <w:shd w:val="clear" w:color="auto" w:fill="FFFFFF"/>
          <w:lang w:bidi="ar"/>
        </w:rPr>
      </w:pPr>
      <w:proofErr w:type="spellStart"/>
      <w:r>
        <w:rPr>
          <w:rFonts w:ascii="Times New Roman" w:eastAsia="SimSun" w:hAnsi="Times New Roman" w:cs="Times New Roman"/>
          <w:iCs/>
          <w:color w:val="222222"/>
          <w:kern w:val="0"/>
          <w:sz w:val="22"/>
          <w:szCs w:val="22"/>
          <w:shd w:val="clear" w:color="auto" w:fill="FFFFFF"/>
          <w:lang w:bidi="ar"/>
        </w:rPr>
        <w:t>Mulyasa</w:t>
      </w:r>
      <w:proofErr w:type="spellEnd"/>
      <w:r>
        <w:rPr>
          <w:rFonts w:ascii="Times New Roman" w:eastAsia="SimSun" w:hAnsi="Times New Roman" w:cs="Times New Roman"/>
          <w:iCs/>
          <w:color w:val="222222"/>
          <w:kern w:val="0"/>
          <w:sz w:val="22"/>
          <w:szCs w:val="22"/>
          <w:shd w:val="clear" w:color="auto" w:fill="FFFFFF"/>
          <w:lang w:bidi="ar"/>
        </w:rPr>
        <w:t>, H. E. (2023). </w:t>
      </w:r>
      <w:proofErr w:type="spellStart"/>
      <w:r>
        <w:rPr>
          <w:rFonts w:ascii="Times New Roman" w:eastAsia="SimSun" w:hAnsi="Times New Roman" w:cs="Times New Roman"/>
          <w:iCs/>
          <w:color w:val="222222"/>
          <w:kern w:val="0"/>
          <w:sz w:val="22"/>
          <w:szCs w:val="22"/>
          <w:lang w:bidi="ar"/>
        </w:rPr>
        <w:t>Implementasi</w:t>
      </w:r>
      <w:proofErr w:type="spellEnd"/>
      <w:r>
        <w:rPr>
          <w:rFonts w:ascii="Times New Roman" w:eastAsia="SimSun" w:hAnsi="Times New Roman" w:cs="Times New Roman"/>
          <w:iCs/>
          <w:color w:val="222222"/>
          <w:kern w:val="0"/>
          <w:sz w:val="22"/>
          <w:szCs w:val="22"/>
          <w:lang w:bidi="ar"/>
        </w:rPr>
        <w:t xml:space="preserve"> </w:t>
      </w:r>
      <w:proofErr w:type="spellStart"/>
      <w:r>
        <w:rPr>
          <w:rFonts w:ascii="Times New Roman" w:eastAsia="SimSun" w:hAnsi="Times New Roman" w:cs="Times New Roman"/>
          <w:iCs/>
          <w:color w:val="222222"/>
          <w:kern w:val="0"/>
          <w:sz w:val="22"/>
          <w:szCs w:val="22"/>
          <w:lang w:bidi="ar"/>
        </w:rPr>
        <w:t>kurikulum</w:t>
      </w:r>
      <w:proofErr w:type="spellEnd"/>
      <w:r>
        <w:rPr>
          <w:rFonts w:ascii="Times New Roman" w:eastAsia="SimSun" w:hAnsi="Times New Roman" w:cs="Times New Roman"/>
          <w:iCs/>
          <w:color w:val="222222"/>
          <w:kern w:val="0"/>
          <w:sz w:val="22"/>
          <w:szCs w:val="22"/>
          <w:lang w:bidi="ar"/>
        </w:rPr>
        <w:t xml:space="preserve"> </w:t>
      </w:r>
      <w:proofErr w:type="spellStart"/>
      <w:r>
        <w:rPr>
          <w:rFonts w:ascii="Times New Roman" w:eastAsia="SimSun" w:hAnsi="Times New Roman" w:cs="Times New Roman"/>
          <w:iCs/>
          <w:color w:val="222222"/>
          <w:kern w:val="0"/>
          <w:sz w:val="22"/>
          <w:szCs w:val="22"/>
          <w:lang w:bidi="ar"/>
        </w:rPr>
        <w:t>merdeka</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Bumi</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Aksara</w:t>
      </w:r>
      <w:proofErr w:type="spellEnd"/>
      <w:r>
        <w:rPr>
          <w:rFonts w:ascii="Times New Roman" w:eastAsia="SimSun" w:hAnsi="Times New Roman" w:cs="Times New Roman"/>
          <w:iCs/>
          <w:color w:val="222222"/>
          <w:kern w:val="0"/>
          <w:sz w:val="22"/>
          <w:szCs w:val="22"/>
          <w:shd w:val="clear" w:color="auto" w:fill="FFFFFF"/>
          <w:lang w:bidi="ar"/>
        </w:rPr>
        <w:t>.</w:t>
      </w:r>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Muzakky</w:t>
      </w:r>
      <w:proofErr w:type="spellEnd"/>
      <w:r>
        <w:rPr>
          <w:rFonts w:ascii="Times New Roman Regular" w:hAnsi="Times New Roman Regular" w:cs="Times New Roman Regular"/>
          <w:sz w:val="22"/>
          <w:szCs w:val="28"/>
        </w:rPr>
        <w:t xml:space="preserve">, M. I. (2024). </w:t>
      </w:r>
      <w:proofErr w:type="spellStart"/>
      <w:r>
        <w:rPr>
          <w:rFonts w:ascii="Times New Roman Regular" w:hAnsi="Times New Roman Regular" w:cs="Times New Roman Regular"/>
          <w:sz w:val="22"/>
          <w:szCs w:val="28"/>
        </w:rPr>
        <w:t>Peran</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Untuk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Mewujudkan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Karakter</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Siswa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menggunakan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Profil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Pelajar</w:t>
      </w:r>
      <w:proofErr w:type="spellEnd"/>
      <w:r>
        <w:rPr>
          <w:rFonts w:ascii="Times New Roman Regular" w:hAnsi="Times New Roman Regular" w:cs="Times New Roman Regular"/>
          <w:sz w:val="22"/>
          <w:szCs w:val="28"/>
        </w:rPr>
        <w:t xml:space="preserve"> Pancasila pada Abad 21. Proceedings Series of Educational Studies, (2), 277-286. </w:t>
      </w:r>
      <w:hyperlink r:id="rId12" w:history="1">
        <w:r>
          <w:rPr>
            <w:rStyle w:val="Hyperlink"/>
            <w:rFonts w:ascii="Times New Roman Regular" w:hAnsi="Times New Roman Regular" w:cs="Times New Roman Regular"/>
            <w:sz w:val="22"/>
            <w:szCs w:val="28"/>
          </w:rPr>
          <w:t>https://conference.um.ac.id/index.php/pses/article/view/9312/3229</w:t>
        </w:r>
      </w:hyperlink>
      <w:r>
        <w:rPr>
          <w:rFonts w:ascii="Times New Roman Regular" w:hAnsi="Times New Roman Regular" w:cs="Times New Roman Regular"/>
          <w:sz w:val="22"/>
          <w:szCs w:val="28"/>
        </w:rPr>
        <w:t xml:space="preserve"> </w:t>
      </w:r>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Sijabat</w:t>
      </w:r>
      <w:proofErr w:type="spellEnd"/>
      <w:r>
        <w:rPr>
          <w:rFonts w:ascii="Times New Roman Regular" w:hAnsi="Times New Roman Regular" w:cs="Times New Roman Regular"/>
          <w:sz w:val="22"/>
          <w:szCs w:val="28"/>
        </w:rPr>
        <w:t xml:space="preserve">, O. P., </w:t>
      </w:r>
      <w:proofErr w:type="spellStart"/>
      <w:r>
        <w:rPr>
          <w:rFonts w:ascii="Times New Roman Regular" w:hAnsi="Times New Roman Regular" w:cs="Times New Roman Regular"/>
          <w:sz w:val="22"/>
          <w:szCs w:val="28"/>
        </w:rPr>
        <w:t>Manao</w:t>
      </w:r>
      <w:proofErr w:type="spellEnd"/>
      <w:r>
        <w:rPr>
          <w:rFonts w:ascii="Times New Roman Regular" w:hAnsi="Times New Roman Regular" w:cs="Times New Roman Regular"/>
          <w:sz w:val="22"/>
          <w:szCs w:val="28"/>
        </w:rPr>
        <w:t xml:space="preserve">, M. M., </w:t>
      </w:r>
      <w:proofErr w:type="spellStart"/>
      <w:r>
        <w:rPr>
          <w:rFonts w:ascii="Times New Roman Regular" w:hAnsi="Times New Roman Regular" w:cs="Times New Roman Regular"/>
          <w:sz w:val="22"/>
          <w:szCs w:val="28"/>
        </w:rPr>
        <w:t>Situmorang</w:t>
      </w:r>
      <w:proofErr w:type="spellEnd"/>
      <w:r>
        <w:rPr>
          <w:rFonts w:ascii="Times New Roman Regular" w:hAnsi="Times New Roman Regular" w:cs="Times New Roman Regular"/>
          <w:sz w:val="22"/>
          <w:szCs w:val="28"/>
        </w:rPr>
        <w:t xml:space="preserve">, A. R., </w:t>
      </w:r>
      <w:proofErr w:type="spellStart"/>
      <w:r>
        <w:rPr>
          <w:rFonts w:ascii="Times New Roman Regular" w:hAnsi="Times New Roman Regular" w:cs="Times New Roman Regular"/>
          <w:sz w:val="22"/>
          <w:szCs w:val="28"/>
        </w:rPr>
        <w:t>Hutauruk</w:t>
      </w:r>
      <w:proofErr w:type="spellEnd"/>
      <w:r>
        <w:rPr>
          <w:rFonts w:ascii="Times New Roman Regular" w:hAnsi="Times New Roman Regular" w:cs="Times New Roman Regular"/>
          <w:sz w:val="22"/>
          <w:szCs w:val="28"/>
        </w:rPr>
        <w:t xml:space="preserve">, A., &amp; </w:t>
      </w:r>
      <w:proofErr w:type="spellStart"/>
      <w:r>
        <w:rPr>
          <w:rFonts w:ascii="Times New Roman Regular" w:hAnsi="Times New Roman Regular" w:cs="Times New Roman Regular"/>
          <w:sz w:val="22"/>
          <w:szCs w:val="28"/>
        </w:rPr>
        <w:t>Panjaitan</w:t>
      </w:r>
      <w:proofErr w:type="spellEnd"/>
      <w:r>
        <w:rPr>
          <w:rFonts w:ascii="Times New Roman Regular" w:hAnsi="Times New Roman Regular" w:cs="Times New Roman Regular"/>
          <w:sz w:val="22"/>
          <w:szCs w:val="28"/>
        </w:rPr>
        <w:t xml:space="preserve">, S. (2022). </w:t>
      </w:r>
      <w:proofErr w:type="spellStart"/>
      <w:r>
        <w:rPr>
          <w:rFonts w:ascii="Times New Roman Regular" w:hAnsi="Times New Roman Regular" w:cs="Times New Roman Regular"/>
          <w:sz w:val="22"/>
          <w:szCs w:val="28"/>
        </w:rPr>
        <w:t>Mengatur</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kualitas</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melalui</w:t>
      </w:r>
      <w:proofErr w:type="spellEnd"/>
      <w:r>
        <w:rPr>
          <w:rFonts w:ascii="Times New Roman Regular" w:hAnsi="Times New Roman Regular" w:cs="Times New Roman Regular"/>
          <w:sz w:val="22"/>
          <w:szCs w:val="28"/>
        </w:rPr>
        <w:t xml:space="preserve"> program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Journal of Educational Learning and Innovation (</w:t>
      </w:r>
      <w:proofErr w:type="spellStart"/>
      <w:r>
        <w:rPr>
          <w:rFonts w:ascii="Times New Roman Regular" w:hAnsi="Times New Roman Regular" w:cs="Times New Roman Regular"/>
          <w:sz w:val="22"/>
          <w:szCs w:val="28"/>
        </w:rPr>
        <w:t>ELIa</w:t>
      </w:r>
      <w:proofErr w:type="spellEnd"/>
      <w:r>
        <w:rPr>
          <w:rFonts w:ascii="Times New Roman Regular" w:hAnsi="Times New Roman Regular" w:cs="Times New Roman Regular"/>
          <w:sz w:val="22"/>
          <w:szCs w:val="28"/>
        </w:rPr>
        <w:t xml:space="preserve">), 2(1), 130-144. DOI:  </w:t>
      </w:r>
      <w:hyperlink r:id="rId13" w:history="1">
        <w:r>
          <w:rPr>
            <w:rFonts w:ascii="Times New Roman Regular" w:hAnsi="Times New Roman Regular" w:cs="Times New Roman Regular"/>
            <w:sz w:val="22"/>
            <w:szCs w:val="28"/>
          </w:rPr>
          <w:t>https://doi.org/10.46229/elia.v2i1.404</w:t>
        </w:r>
      </w:hyperlink>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Soemardi</w:t>
      </w:r>
      <w:proofErr w:type="spellEnd"/>
      <w:r>
        <w:rPr>
          <w:rFonts w:ascii="Times New Roman Regular" w:hAnsi="Times New Roman Regular" w:cs="Times New Roman Regular"/>
          <w:sz w:val="22"/>
          <w:szCs w:val="28"/>
        </w:rPr>
        <w:t xml:space="preserve">, N. A., &amp; </w:t>
      </w:r>
      <w:proofErr w:type="spellStart"/>
      <w:r>
        <w:rPr>
          <w:rFonts w:ascii="Times New Roman Regular" w:hAnsi="Times New Roman Regular" w:cs="Times New Roman Regular"/>
          <w:sz w:val="22"/>
          <w:szCs w:val="28"/>
        </w:rPr>
        <w:t>Hariani</w:t>
      </w:r>
      <w:proofErr w:type="spellEnd"/>
      <w:r>
        <w:rPr>
          <w:rFonts w:ascii="Times New Roman Regular" w:hAnsi="Times New Roman Regular" w:cs="Times New Roman Regular"/>
          <w:sz w:val="22"/>
          <w:szCs w:val="28"/>
        </w:rPr>
        <w:t xml:space="preserve">, L. S. (2023). </w:t>
      </w:r>
      <w:proofErr w:type="spellStart"/>
      <w:r>
        <w:rPr>
          <w:rFonts w:ascii="Times New Roman Regular" w:hAnsi="Times New Roman Regular" w:cs="Times New Roman Regular"/>
          <w:sz w:val="22"/>
          <w:szCs w:val="28"/>
        </w:rPr>
        <w:t>Pelatihan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berdiferensiasi</w:t>
      </w:r>
      <w:proofErr w:type="spellEnd"/>
      <w:r>
        <w:rPr>
          <w:rFonts w:ascii="Times New Roman Regular" w:hAnsi="Times New Roman Regular" w:cs="Times New Roman Regular"/>
          <w:sz w:val="22"/>
          <w:szCs w:val="28"/>
        </w:rPr>
        <w:t xml:space="preserve"> pada </w:t>
      </w:r>
      <w:proofErr w:type="spellStart"/>
      <w:r>
        <w:rPr>
          <w:rFonts w:ascii="Times New Roman Regular" w:hAnsi="Times New Roman Regular" w:cs="Times New Roman Regular"/>
          <w:sz w:val="22"/>
          <w:szCs w:val="28"/>
        </w:rPr>
        <w:t>implementasi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merdeka</w:t>
      </w:r>
      <w:proofErr w:type="spellEnd"/>
      <w:r>
        <w:rPr>
          <w:rFonts w:ascii="Times New Roman Regular" w:hAnsi="Times New Roman Regular" w:cs="Times New Roman Regular"/>
          <w:sz w:val="22"/>
          <w:szCs w:val="28"/>
        </w:rPr>
        <w:t>.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Pengabdian</w:t>
      </w:r>
      <w:proofErr w:type="spellEnd"/>
      <w:r>
        <w:rPr>
          <w:rFonts w:ascii="Times New Roman Regular" w:hAnsi="Times New Roman Regular" w:cs="Times New Roman Regular"/>
          <w:sz w:val="22"/>
          <w:szCs w:val="28"/>
        </w:rPr>
        <w:t xml:space="preserve"> Masyarakat, 1(2), 49-54. </w:t>
      </w:r>
      <w:hyperlink r:id="rId14" w:history="1">
        <w:r>
          <w:rPr>
            <w:rStyle w:val="Hyperlink"/>
            <w:rFonts w:ascii="Times New Roman Regular" w:hAnsi="Times New Roman Regular" w:cs="Times New Roman Regular"/>
            <w:sz w:val="22"/>
            <w:szCs w:val="28"/>
          </w:rPr>
          <w:t>https://ejournal.unikama.ac.id/index.php/jdimas/article/view/9673/4194</w:t>
        </w:r>
      </w:hyperlink>
      <w:r>
        <w:rPr>
          <w:rFonts w:ascii="Times New Roman Regular" w:hAnsi="Times New Roman Regular" w:cs="Times New Roman Regular"/>
          <w:sz w:val="22"/>
          <w:szCs w:val="28"/>
        </w:rPr>
        <w:t xml:space="preserve"> </w:t>
      </w:r>
    </w:p>
    <w:p w:rsidR="00085CC6" w:rsidRDefault="00A36BF1">
      <w:pPr>
        <w:ind w:left="709" w:hanging="709"/>
        <w:rPr>
          <w:rFonts w:ascii="Times New Roman Regular" w:hAnsi="Times New Roman Regular" w:cs="Times New Roman Regular" w:hint="eastAsia"/>
          <w:sz w:val="22"/>
          <w:szCs w:val="28"/>
        </w:rPr>
      </w:pPr>
      <w:r>
        <w:rPr>
          <w:rFonts w:ascii="Times New Roman Regular" w:hAnsi="Times New Roman Regular" w:cs="Times New Roman Regular"/>
          <w:sz w:val="22"/>
          <w:szCs w:val="28"/>
        </w:rPr>
        <w:t xml:space="preserve">Subramani, P. N., &amp; </w:t>
      </w:r>
      <w:proofErr w:type="spellStart"/>
      <w:r>
        <w:rPr>
          <w:rFonts w:ascii="Times New Roman Regular" w:hAnsi="Times New Roman Regular" w:cs="Times New Roman Regular"/>
          <w:sz w:val="22"/>
          <w:szCs w:val="28"/>
        </w:rPr>
        <w:t>Iyappan</w:t>
      </w:r>
      <w:proofErr w:type="spellEnd"/>
      <w:r>
        <w:rPr>
          <w:rFonts w:ascii="Times New Roman Regular" w:hAnsi="Times New Roman Regular" w:cs="Times New Roman Regular"/>
          <w:sz w:val="22"/>
          <w:szCs w:val="28"/>
        </w:rPr>
        <w:t>, V. (2018). Innovative methods of teaching and learning. Journal of applied and advanced research, 3(1), 20-</w:t>
      </w:r>
      <w:proofErr w:type="gramStart"/>
      <w:r>
        <w:rPr>
          <w:rFonts w:ascii="Times New Roman Regular" w:hAnsi="Times New Roman Regular" w:cs="Times New Roman Regular"/>
          <w:sz w:val="22"/>
          <w:szCs w:val="28"/>
        </w:rPr>
        <w:t>22.https://dx.doi.org/10.21839/jaar.2018.v3S1.161</w:t>
      </w:r>
      <w:proofErr w:type="gramEnd"/>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Susanti</w:t>
      </w:r>
      <w:proofErr w:type="spellEnd"/>
      <w:r>
        <w:rPr>
          <w:rFonts w:ascii="Times New Roman Regular" w:hAnsi="Times New Roman Regular" w:cs="Times New Roman Regular"/>
          <w:sz w:val="22"/>
          <w:szCs w:val="28"/>
        </w:rPr>
        <w:t xml:space="preserve">, A., </w:t>
      </w:r>
      <w:proofErr w:type="spellStart"/>
      <w:r>
        <w:rPr>
          <w:rFonts w:ascii="Times New Roman Regular" w:hAnsi="Times New Roman Regular" w:cs="Times New Roman Regular"/>
          <w:sz w:val="22"/>
          <w:szCs w:val="28"/>
        </w:rPr>
        <w:t>Saeroji</w:t>
      </w:r>
      <w:proofErr w:type="spellEnd"/>
      <w:r>
        <w:rPr>
          <w:rFonts w:ascii="Times New Roman Regular" w:hAnsi="Times New Roman Regular" w:cs="Times New Roman Regular"/>
          <w:sz w:val="22"/>
          <w:szCs w:val="28"/>
        </w:rPr>
        <w:t xml:space="preserve">, A., </w:t>
      </w:r>
      <w:proofErr w:type="spellStart"/>
      <w:r>
        <w:rPr>
          <w:rFonts w:ascii="Times New Roman Regular" w:hAnsi="Times New Roman Regular" w:cs="Times New Roman Regular"/>
          <w:sz w:val="22"/>
          <w:szCs w:val="28"/>
        </w:rPr>
        <w:t>Permana</w:t>
      </w:r>
      <w:proofErr w:type="spellEnd"/>
      <w:r>
        <w:rPr>
          <w:rFonts w:ascii="Times New Roman Regular" w:hAnsi="Times New Roman Regular" w:cs="Times New Roman Regular"/>
          <w:sz w:val="22"/>
          <w:szCs w:val="28"/>
        </w:rPr>
        <w:t xml:space="preserve">, D. F., &amp; </w:t>
      </w:r>
      <w:proofErr w:type="spellStart"/>
      <w:r>
        <w:rPr>
          <w:rFonts w:ascii="Times New Roman Regular" w:hAnsi="Times New Roman Regular" w:cs="Times New Roman Regular"/>
          <w:sz w:val="22"/>
          <w:szCs w:val="28"/>
        </w:rPr>
        <w:t>Oktarina</w:t>
      </w:r>
      <w:proofErr w:type="spellEnd"/>
      <w:r>
        <w:rPr>
          <w:rFonts w:ascii="Times New Roman Regular" w:hAnsi="Times New Roman Regular" w:cs="Times New Roman Regular"/>
          <w:sz w:val="22"/>
          <w:szCs w:val="28"/>
        </w:rPr>
        <w:t xml:space="preserve">, N. (2024). </w:t>
      </w:r>
      <w:proofErr w:type="spellStart"/>
      <w:r>
        <w:rPr>
          <w:rFonts w:ascii="Times New Roman Regular" w:hAnsi="Times New Roman Regular" w:cs="Times New Roman Regular"/>
          <w:sz w:val="22"/>
          <w:szCs w:val="28"/>
        </w:rPr>
        <w:t>Peningkatan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Kompetensi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Profesional</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Melalui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Pelatihan</w:t>
      </w:r>
      <w:proofErr w:type="spellEnd"/>
      <w:r>
        <w:rPr>
          <w:rFonts w:ascii="Times New Roman Regular" w:hAnsi="Times New Roman Regular" w:cs="Times New Roman Regular"/>
          <w:sz w:val="22"/>
          <w:szCs w:val="28"/>
        </w:rPr>
        <w:t xml:space="preserve"> Media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Komik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Berbasis</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Aplikasi</w:t>
      </w:r>
      <w:proofErr w:type="spellEnd"/>
      <w:r>
        <w:rPr>
          <w:rFonts w:ascii="Times New Roman Regular" w:hAnsi="Times New Roman Regular" w:cs="Times New Roman Regular"/>
          <w:sz w:val="22"/>
          <w:szCs w:val="28"/>
        </w:rPr>
        <w:t xml:space="preserve"> Canva.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Pengabdian</w:t>
      </w:r>
      <w:proofErr w:type="spellEnd"/>
      <w:r>
        <w:rPr>
          <w:rFonts w:ascii="Times New Roman Regular" w:hAnsi="Times New Roman Regular" w:cs="Times New Roman Regular"/>
          <w:sz w:val="22"/>
          <w:szCs w:val="28"/>
        </w:rPr>
        <w:t xml:space="preserve"> Masyarakat (JUDIMAS), 2(1), 1-9.DOI: </w:t>
      </w:r>
      <w:hyperlink r:id="rId15" w:history="1">
        <w:r>
          <w:rPr>
            <w:rFonts w:ascii="Times New Roman Regular" w:hAnsi="Times New Roman Regular" w:cs="Times New Roman Regular"/>
            <w:sz w:val="22"/>
            <w:szCs w:val="28"/>
          </w:rPr>
          <w:t>https://doi.org/10.54832/judimas.v2i1.189</w:t>
        </w:r>
      </w:hyperlink>
    </w:p>
    <w:p w:rsidR="00085CC6" w:rsidRDefault="00A36BF1">
      <w:pPr>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Sutanto</w:t>
      </w:r>
      <w:proofErr w:type="spellEnd"/>
      <w:r>
        <w:rPr>
          <w:rFonts w:ascii="Times New Roman Regular" w:hAnsi="Times New Roman Regular" w:cs="Times New Roman Regular"/>
          <w:sz w:val="22"/>
          <w:szCs w:val="28"/>
        </w:rPr>
        <w:t xml:space="preserve">, S. (2024). </w:t>
      </w:r>
      <w:proofErr w:type="spellStart"/>
      <w:r>
        <w:rPr>
          <w:rFonts w:ascii="Times New Roman Regular" w:hAnsi="Times New Roman Regular" w:cs="Times New Roman Regular"/>
          <w:sz w:val="22"/>
          <w:szCs w:val="28"/>
        </w:rPr>
        <w:t>Transformasi</w:t>
      </w:r>
      <w:proofErr w:type="spellEnd"/>
      <w:r>
        <w:rPr>
          <w:rFonts w:ascii="Times New Roman Regular" w:hAnsi="Times New Roman Regular" w:cs="Times New Roman Regular"/>
          <w:sz w:val="22"/>
          <w:szCs w:val="28"/>
        </w:rPr>
        <w:t xml:space="preserve"> Pendidikan di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Dasar: </w:t>
      </w:r>
      <w:proofErr w:type="spellStart"/>
      <w:r>
        <w:rPr>
          <w:rFonts w:ascii="Times New Roman Regular" w:hAnsi="Times New Roman Regular" w:cs="Times New Roman Regular"/>
          <w:sz w:val="22"/>
          <w:szCs w:val="28"/>
        </w:rPr>
        <w:t>Peran</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Mengimplementasikan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di Indonesia.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Dasar, 1(1), 69-76. DOI: </w:t>
      </w:r>
      <w:hyperlink r:id="rId16" w:history="1">
        <w:r>
          <w:rPr>
            <w:rFonts w:ascii="Times New Roman Regular" w:hAnsi="Times New Roman Regular" w:cs="Times New Roman Regular"/>
            <w:sz w:val="22"/>
            <w:szCs w:val="28"/>
          </w:rPr>
          <w:t>https://doi.org/10.70277/jgsd.v1i1.0009</w:t>
        </w:r>
      </w:hyperlink>
    </w:p>
    <w:p w:rsidR="00085CC6" w:rsidRDefault="00A36BF1">
      <w:pPr>
        <w:ind w:left="709" w:hanging="709"/>
        <w:rPr>
          <w:rFonts w:ascii="Times New Roman Regular" w:hAnsi="Times New Roman Regular" w:cs="Times New Roman Regular" w:hint="eastAsia"/>
          <w:sz w:val="22"/>
          <w:szCs w:val="22"/>
        </w:rPr>
      </w:pPr>
      <w:r>
        <w:rPr>
          <w:rFonts w:ascii="Times New Roman Regular" w:hAnsi="Times New Roman Regular" w:cs="Times New Roman Regular"/>
          <w:sz w:val="22"/>
          <w:szCs w:val="22"/>
        </w:rPr>
        <w:t xml:space="preserve">Wijaya, S., </w:t>
      </w:r>
      <w:proofErr w:type="spellStart"/>
      <w:r>
        <w:rPr>
          <w:rFonts w:ascii="Times New Roman Regular" w:hAnsi="Times New Roman Regular" w:cs="Times New Roman Regular"/>
          <w:sz w:val="22"/>
          <w:szCs w:val="22"/>
        </w:rPr>
        <w:t>Sumantri</w:t>
      </w:r>
      <w:proofErr w:type="spellEnd"/>
      <w:r>
        <w:rPr>
          <w:rFonts w:ascii="Times New Roman Regular" w:hAnsi="Times New Roman Regular" w:cs="Times New Roman Regular"/>
          <w:sz w:val="22"/>
          <w:szCs w:val="22"/>
        </w:rPr>
        <w:t xml:space="preserve">, M. S., &amp; </w:t>
      </w:r>
      <w:proofErr w:type="spellStart"/>
      <w:r>
        <w:rPr>
          <w:rFonts w:ascii="Times New Roman Regular" w:hAnsi="Times New Roman Regular" w:cs="Times New Roman Regular"/>
          <w:sz w:val="22"/>
          <w:szCs w:val="22"/>
        </w:rPr>
        <w:t>Nurhasanah</w:t>
      </w:r>
      <w:proofErr w:type="spellEnd"/>
      <w:r>
        <w:rPr>
          <w:rFonts w:ascii="Times New Roman Regular" w:hAnsi="Times New Roman Regular" w:cs="Times New Roman Regular"/>
          <w:sz w:val="22"/>
          <w:szCs w:val="22"/>
        </w:rPr>
        <w:t xml:space="preserve">, N. (2022). </w:t>
      </w:r>
      <w:proofErr w:type="spellStart"/>
      <w:r>
        <w:rPr>
          <w:rFonts w:ascii="Times New Roman Regular" w:hAnsi="Times New Roman Regular" w:cs="Times New Roman Regular"/>
          <w:sz w:val="22"/>
          <w:szCs w:val="22"/>
        </w:rPr>
        <w:t>Implementasi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merdeka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belajar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melalui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strategi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pembelajaran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terdiferensiasi</w:t>
      </w:r>
      <w:proofErr w:type="spellEnd"/>
      <w:r>
        <w:rPr>
          <w:rFonts w:ascii="Times New Roman Regular" w:hAnsi="Times New Roman Regular" w:cs="Times New Roman Regular"/>
          <w:sz w:val="22"/>
          <w:szCs w:val="22"/>
        </w:rPr>
        <w:t xml:space="preserve"> di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dasar</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Didaktik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Ilmiah</w:t>
      </w:r>
      <w:proofErr w:type="spellEnd"/>
      <w:r>
        <w:rPr>
          <w:rFonts w:ascii="Times New Roman Regular" w:hAnsi="Times New Roman Regular" w:cs="Times New Roman Regular"/>
          <w:sz w:val="22"/>
          <w:szCs w:val="22"/>
        </w:rPr>
        <w:t xml:space="preserve"> PGSD STKIP Subang, 8(2), 1495-1506. </w:t>
      </w:r>
      <w:r>
        <w:rPr>
          <w:rFonts w:ascii="Times New Roman Regular" w:hAnsi="Times New Roman Regular" w:cs="Times New Roman Regular"/>
          <w:sz w:val="22"/>
          <w:szCs w:val="22"/>
        </w:rPr>
        <w:lastRenderedPageBreak/>
        <w:t>DOI: </w:t>
      </w:r>
      <w:hyperlink r:id="rId17" w:history="1">
        <w:r>
          <w:rPr>
            <w:rFonts w:ascii="Times New Roman Regular" w:hAnsi="Times New Roman Regular" w:cs="Times New Roman Regular"/>
            <w:sz w:val="22"/>
            <w:szCs w:val="22"/>
          </w:rPr>
          <w:t>https://doi.org/10.36989/didaktik.v8i2.450</w:t>
        </w:r>
      </w:hyperlink>
    </w:p>
    <w:p w:rsidR="00085CC6" w:rsidRDefault="00085CC6">
      <w:pPr>
        <w:ind w:left="709" w:hanging="709"/>
        <w:rPr>
          <w:rFonts w:ascii="Times New Roman Regular" w:hAnsi="Times New Roman Regular" w:cs="Times New Roman Regular" w:hint="eastAsia"/>
          <w:sz w:val="22"/>
          <w:szCs w:val="28"/>
        </w:rPr>
      </w:pPr>
    </w:p>
    <w:p w:rsidR="00085CC6" w:rsidRDefault="00085CC6">
      <w:pPr>
        <w:ind w:left="709" w:hanging="709"/>
        <w:rPr>
          <w:rFonts w:ascii="Times New Roman Regular" w:hAnsi="Times New Roman Regular" w:cs="Times New Roman Regular" w:hint="eastAsia"/>
          <w:sz w:val="22"/>
          <w:szCs w:val="28"/>
        </w:rPr>
      </w:pPr>
    </w:p>
    <w:p w:rsidR="00085CC6" w:rsidRDefault="00085CC6">
      <w:pPr>
        <w:ind w:left="709" w:hanging="709"/>
        <w:rPr>
          <w:rFonts w:ascii="Times New Roman Regular" w:eastAsia="Times New Roman" w:hAnsi="Times New Roman Regular" w:cs="Times New Roman Regular"/>
          <w:color w:val="000000" w:themeColor="text1"/>
          <w:sz w:val="22"/>
          <w:szCs w:val="22"/>
        </w:rPr>
      </w:pPr>
    </w:p>
    <w:p w:rsidR="00085CC6" w:rsidRDefault="00085CC6">
      <w:pPr>
        <w:rPr>
          <w:rFonts w:asciiTheme="majorBidi" w:hAnsiTheme="majorBidi"/>
          <w:sz w:val="24"/>
        </w:rPr>
      </w:pPr>
    </w:p>
    <w:sectPr w:rsidR="00085CC6">
      <w:pgSz w:w="11910" w:h="16840"/>
      <w:pgMar w:top="1699" w:right="1699" w:bottom="1699" w:left="2261"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E7F61C"/>
    <w:multiLevelType w:val="singleLevel"/>
    <w:tmpl w:val="F7E7F61C"/>
    <w:lvl w:ilvl="0">
      <w:start w:val="1"/>
      <w:numFmt w:val="decimal"/>
      <w:lvlText w:val="%1."/>
      <w:lvlJc w:val="left"/>
      <w:pPr>
        <w:tabs>
          <w:tab w:val="left" w:pos="425"/>
        </w:tabs>
        <w:ind w:left="425" w:hanging="425"/>
      </w:pPr>
      <w:rPr>
        <w:rFonts w:hint="default"/>
      </w:rPr>
    </w:lvl>
  </w:abstractNum>
  <w:abstractNum w:abstractNumId="1" w15:restartNumberingAfterBreak="0">
    <w:nsid w:val="FFBD0FDC"/>
    <w:multiLevelType w:val="singleLevel"/>
    <w:tmpl w:val="FFBD0FDC"/>
    <w:lvl w:ilvl="0">
      <w:start w:val="1"/>
      <w:numFmt w:val="decimal"/>
      <w:lvlText w:val="%1."/>
      <w:lvlJc w:val="left"/>
      <w:pPr>
        <w:tabs>
          <w:tab w:val="left" w:pos="425"/>
        </w:tabs>
        <w:ind w:left="425" w:hanging="425"/>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EDF391E"/>
    <w:rsid w:val="B6EF541A"/>
    <w:rsid w:val="BDDFF482"/>
    <w:rsid w:val="DFFDC46D"/>
    <w:rsid w:val="F7D9E36F"/>
    <w:rsid w:val="FC33D3ED"/>
    <w:rsid w:val="FDBB47CD"/>
    <w:rsid w:val="FEDF391E"/>
    <w:rsid w:val="FFEFF852"/>
    <w:rsid w:val="FFFD979D"/>
    <w:rsid w:val="00050A31"/>
    <w:rsid w:val="000716D2"/>
    <w:rsid w:val="00071AAB"/>
    <w:rsid w:val="00085CC6"/>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6BF1"/>
    <w:rsid w:val="00A91424"/>
    <w:rsid w:val="00AA2C77"/>
    <w:rsid w:val="00AC3FB9"/>
    <w:rsid w:val="00AC702A"/>
    <w:rsid w:val="00AD226F"/>
    <w:rsid w:val="00B13A52"/>
    <w:rsid w:val="00B24CF4"/>
    <w:rsid w:val="00B26993"/>
    <w:rsid w:val="00B430DF"/>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D67FF8F"/>
    <w:rsid w:val="167F7C8D"/>
    <w:rsid w:val="3784FB66"/>
    <w:rsid w:val="5DF8B203"/>
    <w:rsid w:val="5E9FACD3"/>
    <w:rsid w:val="6FD5AE50"/>
    <w:rsid w:val="77E6374F"/>
    <w:rsid w:val="7B5F550E"/>
    <w:rsid w:val="7E3EE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BC7D3"/>
  <w15:docId w15:val="{F1C50876-FB17-4BED-90EE-018AFEA1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3887/jere.v5i2.32998" TargetMode="External"/><Relationship Id="rId13" Type="http://schemas.openxmlformats.org/officeDocument/2006/relationships/hyperlink" Target="https://doi.org/10.46229/elia.v2i1.4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7630/jpm.v15i2.2719" TargetMode="External"/><Relationship Id="rId12" Type="http://schemas.openxmlformats.org/officeDocument/2006/relationships/hyperlink" Target="https://conference.um.ac.id/index.php/pses/article/view/9312/3229" TargetMode="External"/><Relationship Id="rId17" Type="http://schemas.openxmlformats.org/officeDocument/2006/relationships/hyperlink" Target="https://doi.org/10.36989/didaktik.v8i2.450" TargetMode="External"/><Relationship Id="rId2" Type="http://schemas.openxmlformats.org/officeDocument/2006/relationships/styles" Target="styles.xml"/><Relationship Id="rId16" Type="http://schemas.openxmlformats.org/officeDocument/2006/relationships/hyperlink" Target="https://doi.org/10.70277/jgsd.v1i1.0009" TargetMode="External"/><Relationship Id="rId1" Type="http://schemas.openxmlformats.org/officeDocument/2006/relationships/numbering" Target="numbering.xml"/><Relationship Id="rId6" Type="http://schemas.openxmlformats.org/officeDocument/2006/relationships/hyperlink" Target="https://doi.org/10.31949/jee.v6i3.6118" TargetMode="External"/><Relationship Id="rId11" Type="http://schemas.openxmlformats.org/officeDocument/2006/relationships/hyperlink" Target="https://doi.org/10.58421/gehu.v4i3.638" TargetMode="External"/><Relationship Id="rId5" Type="http://schemas.openxmlformats.org/officeDocument/2006/relationships/hyperlink" Target="https://gembirapkm.my.id/index.php/jurnal/article/view/13/13" TargetMode="External"/><Relationship Id="rId15" Type="http://schemas.openxmlformats.org/officeDocument/2006/relationships/hyperlink" Target="https://doi.org/10.54832/judimas.v2i1.189" TargetMode="External"/><Relationship Id="rId10" Type="http://schemas.openxmlformats.org/officeDocument/2006/relationships/hyperlink" Target="https://doi.org/10.70277/jgsd.v1i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35931/am.v7i1.1714" TargetMode="External"/><Relationship Id="rId14" Type="http://schemas.openxmlformats.org/officeDocument/2006/relationships/hyperlink" Target="https://ejournal.unikama.ac.id/index.php/jdimas/article/view/9673/419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4030</Words>
  <Characters>22977</Characters>
  <Application>Microsoft Office Word</Application>
  <DocSecurity>0</DocSecurity>
  <Lines>191</Lines>
  <Paragraphs>53</Paragraphs>
  <ScaleCrop>false</ScaleCrop>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1183</cp:lastModifiedBy>
  <cp:revision>3</cp:revision>
  <dcterms:created xsi:type="dcterms:W3CDTF">2025-07-26T04:57:00Z</dcterms:created>
  <dcterms:modified xsi:type="dcterms:W3CDTF">2025-08-12T12:25:00Z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