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3DFC9" w14:textId="77777777" w:rsidR="007B0D42" w:rsidRPr="00304ADD" w:rsidRDefault="007B0D42" w:rsidP="007B0D42">
      <w:pPr>
        <w:pStyle w:val="NormalWeb"/>
        <w:spacing w:line="20" w:lineRule="atLeast"/>
        <w:rPr>
          <w:rFonts w:ascii="Arial" w:eastAsia="Calibri" w:hAnsi="Arial" w:cs="Arial"/>
        </w:rPr>
      </w:pPr>
      <w:r w:rsidRPr="00304ADD">
        <w:rPr>
          <w:rFonts w:ascii="Arial" w:eastAsia="Calibri" w:hAnsi="Arial" w:cs="Arial"/>
        </w:rPr>
        <w:t>Original Research Article</w:t>
      </w:r>
    </w:p>
    <w:p w14:paraId="66215FC4" w14:textId="77777777" w:rsidR="007B0D42" w:rsidRDefault="007B0D42" w:rsidP="001B481F">
      <w:pPr>
        <w:pStyle w:val="Author"/>
        <w:spacing w:line="240" w:lineRule="auto"/>
        <w:rPr>
          <w:rFonts w:ascii="Arial" w:hAnsi="Arial" w:cs="Arial"/>
          <w:bCs/>
          <w:iCs/>
          <w:kern w:val="28"/>
          <w:sz w:val="36"/>
          <w:lang w:val="en-PH"/>
        </w:rPr>
      </w:pPr>
      <w:bookmarkStart w:id="0" w:name="_GoBack"/>
      <w:bookmarkEnd w:id="0"/>
    </w:p>
    <w:p w14:paraId="445772D1" w14:textId="1C9047DB" w:rsidR="001B481F" w:rsidRDefault="001B481F" w:rsidP="001B481F">
      <w:pPr>
        <w:pStyle w:val="Author"/>
        <w:spacing w:line="240" w:lineRule="auto"/>
        <w:rPr>
          <w:rFonts w:ascii="Arial" w:hAnsi="Arial" w:cs="Arial"/>
          <w:bCs/>
          <w:iCs/>
          <w:kern w:val="28"/>
          <w:sz w:val="36"/>
          <w:lang w:val="en-PH"/>
        </w:rPr>
      </w:pPr>
      <w:r w:rsidRPr="001B481F">
        <w:rPr>
          <w:rFonts w:ascii="Arial" w:hAnsi="Arial" w:cs="Arial"/>
          <w:bCs/>
          <w:iCs/>
          <w:kern w:val="28"/>
          <w:sz w:val="36"/>
          <w:lang w:val="en-PH"/>
        </w:rPr>
        <w:t>MITIGATING DISRUPTIVE BEHAVIOR AMONG THE GRADE 2 LEARNERS AT SAN RAFAEL INTEGRATED SCHOOL THROUGH SEATING CONFIGURATION</w:t>
      </w:r>
    </w:p>
    <w:p w14:paraId="1369EA35" w14:textId="77777777" w:rsidR="00E615E3" w:rsidRPr="001B481F" w:rsidRDefault="00E615E3" w:rsidP="001B481F">
      <w:pPr>
        <w:pStyle w:val="Author"/>
        <w:spacing w:line="240" w:lineRule="auto"/>
        <w:rPr>
          <w:rFonts w:ascii="Arial" w:hAnsi="Arial" w:cs="Arial"/>
          <w:bCs/>
          <w:iCs/>
          <w:kern w:val="28"/>
          <w:sz w:val="36"/>
          <w:lang w:val="en-PH"/>
        </w:rPr>
      </w:pPr>
    </w:p>
    <w:p w14:paraId="08D9AEA3" w14:textId="1B31CE23" w:rsidR="00B01FCD" w:rsidRPr="00CE62DA" w:rsidRDefault="003B1485" w:rsidP="00BE6972">
      <w:pPr>
        <w:pStyle w:val="Copyright"/>
        <w:spacing w:after="0" w:line="240" w:lineRule="auto"/>
        <w:jc w:val="both"/>
        <w:rPr>
          <w:rFonts w:ascii="Arial" w:hAnsi="Arial" w:cs="Arial"/>
        </w:rPr>
        <w:sectPr w:rsidR="00B01FCD" w:rsidRPr="00CE62DA" w:rsidSect="00C9343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63B6DE" wp14:editId="1966E37C">
                <wp:extent cx="5303520" cy="0"/>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417A09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1125BB61" w14:textId="77777777" w:rsidR="00BE6972" w:rsidRDefault="00BE6972" w:rsidP="00BE6972">
      <w:pPr>
        <w:pStyle w:val="AbstHead"/>
        <w:spacing w:after="60"/>
        <w:jc w:val="both"/>
        <w:rPr>
          <w:rFonts w:ascii="Arial" w:hAnsi="Arial" w:cs="Arial"/>
        </w:rPr>
      </w:pPr>
    </w:p>
    <w:p w14:paraId="76D47E2C" w14:textId="05A474E9" w:rsidR="00790ADA" w:rsidRPr="00CE62DA" w:rsidRDefault="00B01FCD" w:rsidP="00BE6972">
      <w:pPr>
        <w:pStyle w:val="AbstHead"/>
        <w:spacing w:after="60"/>
        <w:jc w:val="both"/>
        <w:rPr>
          <w:rFonts w:ascii="Arial" w:hAnsi="Arial" w:cs="Arial"/>
        </w:rPr>
      </w:pPr>
      <w:r w:rsidRPr="00CE62DA">
        <w:rPr>
          <w:rFonts w:ascii="Arial" w:hAnsi="Arial" w:cs="Arial"/>
        </w:rPr>
        <w:t>ABSTRACT</w:t>
      </w:r>
      <w:r w:rsidR="0066510A" w:rsidRPr="00CE62D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E62DA" w14:paraId="4B31BA43" w14:textId="77777777" w:rsidTr="001E44FE">
        <w:tc>
          <w:tcPr>
            <w:tcW w:w="9576" w:type="dxa"/>
            <w:shd w:val="clear" w:color="auto" w:fill="F2F2F2"/>
          </w:tcPr>
          <w:p w14:paraId="42301F68" w14:textId="46FE8928" w:rsidR="00505F06" w:rsidRPr="00CE62DA" w:rsidRDefault="000610A9" w:rsidP="00162C8A">
            <w:pPr>
              <w:pStyle w:val="Body"/>
              <w:spacing w:after="0"/>
              <w:rPr>
                <w:rFonts w:ascii="Arial" w:eastAsia="Calibri" w:hAnsi="Arial" w:cs="Arial"/>
                <w:szCs w:val="22"/>
              </w:rPr>
            </w:pPr>
            <w:r w:rsidRPr="00033065">
              <w:rPr>
                <w:rFonts w:ascii="Arial" w:eastAsia="Calibri" w:hAnsi="Arial" w:cs="Arial"/>
                <w:szCs w:val="22"/>
              </w:rPr>
              <w:t>This action research aimed to examine the effectiveness of seating configuration as a classroom management strategy to mitigate disruptive behavior among Grade 2 learners at San Rafael Integrated School. Grounded in B.F. Skinner’s Operant Conditioning Theory, the study investigated how modifications in classroom seating arrangements—such as U-shape, V-shape, Semi-circle, clusters, and paired seating—can influence students’ behavioral outcomes. Employing a quasi-experimental design, the researchers observed 29 Grade 2 pupils before and after a two-week intervention involving daily changes in seating configuration. Data were collected using a researcher-made observational checklist and analyzed using frequency counts, paired t-tests, and Cohen’s d to determine behavioral trends and intervention impact. Results showed a noticeable reduction in common disruptive behaviors—such as talking out of turn, gossiping, and roaming—following the intervention, although the paired t-test did not yield statistically significant results (t = 0.898, p = 0.387). However, the computed effect size (d = 0.480) suggested a small but meaningful practical impact. These findings support the idea that even short-term, environment-based interventions can positively influence student behavior. The study highlights the potential of seating configuration as a proactive and low-cost strategy to create a more structured and focused classroom environment.</w:t>
            </w:r>
          </w:p>
        </w:tc>
      </w:tr>
    </w:tbl>
    <w:p w14:paraId="364CD1F3" w14:textId="697C4E3F" w:rsidR="00505F06" w:rsidRPr="00CE62DA" w:rsidRDefault="00A24E7E" w:rsidP="00162C8A">
      <w:pPr>
        <w:pStyle w:val="Body"/>
        <w:spacing w:after="0"/>
        <w:rPr>
          <w:rFonts w:ascii="Arial" w:hAnsi="Arial" w:cs="Arial"/>
          <w:i/>
        </w:rPr>
      </w:pPr>
      <w:r w:rsidRPr="00BE6972">
        <w:rPr>
          <w:rFonts w:ascii="Arial" w:hAnsi="Arial" w:cs="Arial"/>
          <w:b/>
          <w:bCs/>
          <w:i/>
        </w:rPr>
        <w:t>Keywords:</w:t>
      </w:r>
      <w:r w:rsidRPr="00CE62DA">
        <w:rPr>
          <w:rFonts w:ascii="Arial" w:hAnsi="Arial" w:cs="Arial"/>
          <w:i/>
        </w:rPr>
        <w:t xml:space="preserve"> </w:t>
      </w:r>
      <w:r w:rsidR="00033065" w:rsidRPr="00033065">
        <w:rPr>
          <w:rFonts w:ascii="Arial" w:hAnsi="Arial" w:cs="Arial"/>
          <w:i/>
          <w:lang w:val="en-PH"/>
        </w:rPr>
        <w:t>disruptive behavior, seating configuration, operant conditioning</w:t>
      </w:r>
    </w:p>
    <w:p w14:paraId="12FCC576" w14:textId="0C161432" w:rsidR="00790ADA" w:rsidRPr="00CE62DA" w:rsidRDefault="00902823" w:rsidP="00162C8A">
      <w:pPr>
        <w:pStyle w:val="AbstHead"/>
        <w:spacing w:after="0"/>
        <w:jc w:val="both"/>
        <w:rPr>
          <w:rFonts w:ascii="Arial" w:hAnsi="Arial" w:cs="Arial"/>
        </w:rPr>
      </w:pPr>
      <w:r w:rsidRPr="00CE62DA">
        <w:rPr>
          <w:rFonts w:ascii="Arial" w:hAnsi="Arial" w:cs="Arial"/>
        </w:rPr>
        <w:t xml:space="preserve">1. </w:t>
      </w:r>
      <w:r w:rsidR="00B01FCD" w:rsidRPr="00CE62DA">
        <w:rPr>
          <w:rFonts w:ascii="Arial" w:hAnsi="Arial" w:cs="Arial"/>
        </w:rPr>
        <w:t>INTRODUCTION</w:t>
      </w:r>
      <w:r w:rsidR="007F7B32" w:rsidRPr="00CE62DA">
        <w:rPr>
          <w:rFonts w:ascii="Arial" w:hAnsi="Arial" w:cs="Arial"/>
        </w:rPr>
        <w:t xml:space="preserve"> </w:t>
      </w:r>
    </w:p>
    <w:p w14:paraId="1CD624DB" w14:textId="77777777" w:rsidR="00A56B82" w:rsidRPr="00A56B82" w:rsidRDefault="00A56B82" w:rsidP="00A56B82">
      <w:pPr>
        <w:pStyle w:val="Body"/>
        <w:spacing w:after="0"/>
        <w:rPr>
          <w:rFonts w:ascii="Arial" w:hAnsi="Arial" w:cs="Arial"/>
        </w:rPr>
      </w:pPr>
      <w:r w:rsidRPr="00A56B82">
        <w:rPr>
          <w:rFonts w:ascii="Arial" w:hAnsi="Arial" w:cs="Arial"/>
        </w:rPr>
        <w:t>Disruptive behavior in classrooms, such as talking out of turn, wandering, and defiance, hinders effective teaching and learning (Jiménez et al., 2016). These behaviors negatively affect academic performance, increase teacher stress, and create an unproductive classroom atmosphere (</w:t>
      </w:r>
      <w:proofErr w:type="spellStart"/>
      <w:r w:rsidRPr="00A56B82">
        <w:rPr>
          <w:rFonts w:ascii="Arial" w:hAnsi="Arial" w:cs="Arial"/>
        </w:rPr>
        <w:t>Thoyibi</w:t>
      </w:r>
      <w:proofErr w:type="spellEnd"/>
      <w:r w:rsidRPr="00A56B82">
        <w:rPr>
          <w:rFonts w:ascii="Arial" w:hAnsi="Arial" w:cs="Arial"/>
        </w:rPr>
        <w:t xml:space="preserve"> et al., 2021). Globally, disruptive behaviors have been linked to external factors such as poverty, violence, and low parental involvement (</w:t>
      </w:r>
      <w:proofErr w:type="spellStart"/>
      <w:r w:rsidRPr="00A56B82">
        <w:rPr>
          <w:rFonts w:ascii="Arial" w:hAnsi="Arial" w:cs="Arial"/>
        </w:rPr>
        <w:t>Munje</w:t>
      </w:r>
      <w:proofErr w:type="spellEnd"/>
      <w:r w:rsidRPr="00A56B82">
        <w:rPr>
          <w:rFonts w:ascii="Arial" w:hAnsi="Arial" w:cs="Arial"/>
        </w:rPr>
        <w:t>, 2018). In the Philippines, such behaviors are also common and remain a major classroom management challenge (</w:t>
      </w:r>
      <w:proofErr w:type="spellStart"/>
      <w:r w:rsidRPr="00A56B82">
        <w:rPr>
          <w:rFonts w:ascii="Arial" w:hAnsi="Arial" w:cs="Arial"/>
        </w:rPr>
        <w:t>Alsola</w:t>
      </w:r>
      <w:proofErr w:type="spellEnd"/>
      <w:r w:rsidRPr="00A56B82">
        <w:rPr>
          <w:rFonts w:ascii="Arial" w:hAnsi="Arial" w:cs="Arial"/>
        </w:rPr>
        <w:t>-Dulay, 2020).</w:t>
      </w:r>
    </w:p>
    <w:p w14:paraId="5E50B3C8" w14:textId="7C82C286" w:rsidR="00A56B82" w:rsidRPr="00A56B82" w:rsidRDefault="00A56B82" w:rsidP="00A56B82">
      <w:pPr>
        <w:pStyle w:val="Body"/>
        <w:spacing w:after="0"/>
        <w:rPr>
          <w:rFonts w:ascii="Arial" w:hAnsi="Arial" w:cs="Arial"/>
        </w:rPr>
      </w:pPr>
      <w:r w:rsidRPr="00A56B82">
        <w:rPr>
          <w:rFonts w:ascii="Arial" w:hAnsi="Arial" w:cs="Arial"/>
        </w:rPr>
        <w:t>Although various strategies are used to manage classroom behavior, limited research exists on the effectiveness of seating configurations as a behavioral intervention. While seating arrangement has been discussed in broader classroom design studies (</w:t>
      </w:r>
      <w:r w:rsidRPr="00376864">
        <w:rPr>
          <w:rFonts w:ascii="Arial" w:hAnsi="Arial" w:cs="Arial"/>
          <w:highlight w:val="yellow"/>
        </w:rPr>
        <w:t>Sarwar et al., 2024),</w:t>
      </w:r>
      <w:r w:rsidRPr="00A56B82">
        <w:rPr>
          <w:rFonts w:ascii="Arial" w:hAnsi="Arial" w:cs="Arial"/>
        </w:rPr>
        <w:t xml:space="preserve"> few </w:t>
      </w:r>
      <w:proofErr w:type="gramStart"/>
      <w:r w:rsidRPr="00A56B82">
        <w:rPr>
          <w:rFonts w:ascii="Arial" w:hAnsi="Arial" w:cs="Arial"/>
        </w:rPr>
        <w:t>focus</w:t>
      </w:r>
      <w:proofErr w:type="gramEnd"/>
      <w:r w:rsidRPr="00A56B82">
        <w:rPr>
          <w:rFonts w:ascii="Arial" w:hAnsi="Arial" w:cs="Arial"/>
        </w:rPr>
        <w:t xml:space="preserve"> on its specific impact on mitigating disruptive behaviors among early grade learners. </w:t>
      </w:r>
      <w:r w:rsidR="00A72601" w:rsidRPr="00376864">
        <w:rPr>
          <w:highlight w:val="yellow"/>
        </w:rPr>
        <w:t xml:space="preserve">A recent study by </w:t>
      </w:r>
      <w:proofErr w:type="spellStart"/>
      <w:r w:rsidR="00A72601" w:rsidRPr="00376864">
        <w:rPr>
          <w:highlight w:val="yellow"/>
        </w:rPr>
        <w:t>Nuha</w:t>
      </w:r>
      <w:proofErr w:type="spellEnd"/>
      <w:r w:rsidR="00A72601" w:rsidRPr="00376864">
        <w:rPr>
          <w:highlight w:val="yellow"/>
        </w:rPr>
        <w:t xml:space="preserve"> et al. (2025)</w:t>
      </w:r>
      <w:r w:rsidR="00A72601">
        <w:t xml:space="preserve"> reinforced the relevance of structured seating interventions, reporting reduced disruptive behavior and improved focus among primary school pupils. </w:t>
      </w:r>
      <w:r w:rsidRPr="00A56B82">
        <w:rPr>
          <w:rFonts w:ascii="Arial" w:hAnsi="Arial" w:cs="Arial"/>
        </w:rPr>
        <w:t>Grounded in B.F. Skinner’s theory of Operant Conditioning—which emphasizes that behavior can be shaped by environmental changes and consequences (Pierce &amp; Cheney, 2017)—this study explores how seating adjustments may reduce disruptive conduct and support a positive learning environment.</w:t>
      </w:r>
    </w:p>
    <w:p w14:paraId="123FB306" w14:textId="56FE8783" w:rsidR="007F3462" w:rsidRPr="007F3462" w:rsidRDefault="007F3462" w:rsidP="007F3462">
      <w:pPr>
        <w:pStyle w:val="Body"/>
        <w:spacing w:after="0"/>
        <w:rPr>
          <w:rFonts w:ascii="Arial" w:hAnsi="Arial" w:cs="Arial"/>
        </w:rPr>
      </w:pPr>
      <w:r w:rsidRPr="007F3462">
        <w:rPr>
          <w:rFonts w:ascii="Arial" w:hAnsi="Arial" w:cs="Arial"/>
        </w:rPr>
        <w:lastRenderedPageBreak/>
        <w:t>The study was conducted at San Rafael Integrated School and targeted Grade 2 pupils during the academic year 2024–2025. By comparing pupil behavior before and after the intervention, the study aimed to provide actionable insights for classroom management practices that support both teacher well-being and student engagement.</w:t>
      </w:r>
      <w:r>
        <w:rPr>
          <w:rFonts w:ascii="Arial" w:hAnsi="Arial" w:cs="Arial"/>
        </w:rPr>
        <w:t xml:space="preserve"> </w:t>
      </w:r>
      <w:r w:rsidRPr="007F3462">
        <w:rPr>
          <w:rFonts w:ascii="Arial" w:hAnsi="Arial" w:cs="Arial"/>
        </w:rPr>
        <w:t>Specifically, the study sought to:</w:t>
      </w:r>
    </w:p>
    <w:p w14:paraId="30C39724" w14:textId="77777777" w:rsidR="007F3462" w:rsidRPr="007F3462" w:rsidRDefault="007F3462" w:rsidP="00A56B82">
      <w:pPr>
        <w:pStyle w:val="Body"/>
        <w:numPr>
          <w:ilvl w:val="0"/>
          <w:numId w:val="31"/>
        </w:numPr>
        <w:spacing w:after="0"/>
        <w:rPr>
          <w:rFonts w:ascii="Arial" w:hAnsi="Arial" w:cs="Arial"/>
        </w:rPr>
      </w:pPr>
      <w:r w:rsidRPr="007F3462">
        <w:rPr>
          <w:rFonts w:ascii="Arial" w:hAnsi="Arial" w:cs="Arial"/>
        </w:rPr>
        <w:t>Determine the level of behavior of Grade 2 pupils during pre-intervention;</w:t>
      </w:r>
    </w:p>
    <w:p w14:paraId="5A8A0F20" w14:textId="77777777" w:rsidR="007F3462" w:rsidRPr="007F3462" w:rsidRDefault="007F3462" w:rsidP="00A56B82">
      <w:pPr>
        <w:pStyle w:val="Body"/>
        <w:numPr>
          <w:ilvl w:val="0"/>
          <w:numId w:val="31"/>
        </w:numPr>
        <w:spacing w:after="0"/>
        <w:rPr>
          <w:rFonts w:ascii="Arial" w:hAnsi="Arial" w:cs="Arial"/>
        </w:rPr>
      </w:pPr>
      <w:r w:rsidRPr="007F3462">
        <w:rPr>
          <w:rFonts w:ascii="Arial" w:hAnsi="Arial" w:cs="Arial"/>
        </w:rPr>
        <w:t>Determine the level of behavior of Grade 2 pupils during post-intervention;</w:t>
      </w:r>
    </w:p>
    <w:p w14:paraId="7D7330AA" w14:textId="77777777" w:rsidR="007F3462" w:rsidRPr="007F3462" w:rsidRDefault="007F3462" w:rsidP="00A56B82">
      <w:pPr>
        <w:pStyle w:val="Body"/>
        <w:numPr>
          <w:ilvl w:val="0"/>
          <w:numId w:val="31"/>
        </w:numPr>
        <w:spacing w:after="0"/>
        <w:rPr>
          <w:rFonts w:ascii="Arial" w:hAnsi="Arial" w:cs="Arial"/>
        </w:rPr>
      </w:pPr>
      <w:r w:rsidRPr="007F3462">
        <w:rPr>
          <w:rFonts w:ascii="Arial" w:hAnsi="Arial" w:cs="Arial"/>
        </w:rPr>
        <w:t>Identify if there is a significant difference in the behavior of pupils between the pre- and post-intervention periods;</w:t>
      </w:r>
    </w:p>
    <w:p w14:paraId="2E5484A3" w14:textId="154D7392" w:rsidR="00790ADA" w:rsidRDefault="007F3462" w:rsidP="00A56B82">
      <w:pPr>
        <w:pStyle w:val="Body"/>
        <w:numPr>
          <w:ilvl w:val="0"/>
          <w:numId w:val="31"/>
        </w:numPr>
        <w:spacing w:after="0"/>
        <w:rPr>
          <w:rFonts w:ascii="Arial" w:hAnsi="Arial" w:cs="Arial"/>
        </w:rPr>
      </w:pPr>
      <w:r w:rsidRPr="007F3462">
        <w:rPr>
          <w:rFonts w:ascii="Arial" w:hAnsi="Arial" w:cs="Arial"/>
        </w:rPr>
        <w:t>Determine the effect size of the seating configuration intervention on</w:t>
      </w:r>
      <w:r>
        <w:rPr>
          <w:rFonts w:ascii="Arial" w:hAnsi="Arial" w:cs="Arial"/>
        </w:rPr>
        <w:t xml:space="preserve"> the behavior of Grade 2 pupils.</w:t>
      </w:r>
    </w:p>
    <w:p w14:paraId="133469F7" w14:textId="2B1F0CE1" w:rsidR="00CA5007" w:rsidRDefault="00CA5007" w:rsidP="00CA5007">
      <w:pPr>
        <w:pStyle w:val="AbstHead"/>
        <w:spacing w:after="0"/>
        <w:jc w:val="both"/>
        <w:rPr>
          <w:rFonts w:ascii="Arial" w:hAnsi="Arial" w:cs="Arial"/>
        </w:rPr>
      </w:pPr>
      <w:r>
        <w:rPr>
          <w:rFonts w:ascii="Arial" w:hAnsi="Arial" w:cs="Arial"/>
        </w:rPr>
        <w:t>2. LITERATURE</w:t>
      </w:r>
    </w:p>
    <w:p w14:paraId="183B3023" w14:textId="77777777" w:rsidR="00CA5007" w:rsidRPr="00CA5007" w:rsidRDefault="00CA5007" w:rsidP="00CA5007">
      <w:pPr>
        <w:pStyle w:val="Body"/>
        <w:spacing w:after="0"/>
        <w:rPr>
          <w:rFonts w:ascii="Arial" w:eastAsia="SimSun" w:hAnsi="Arial" w:cs="Arial"/>
        </w:rPr>
      </w:pPr>
      <w:r w:rsidRPr="00CA5007">
        <w:rPr>
          <w:rFonts w:ascii="Arial" w:eastAsia="SimSun" w:hAnsi="Arial" w:cs="Arial"/>
        </w:rPr>
        <w:t xml:space="preserve">This chapter presents a comprehensive synthesis of literature relevant to classroom behavior management, particularly addressing disruptive behaviors and seating configuration strategies. </w:t>
      </w:r>
    </w:p>
    <w:p w14:paraId="6E2709F7" w14:textId="77777777" w:rsidR="00CA5007" w:rsidRPr="00CA5007" w:rsidRDefault="00CA5007" w:rsidP="00CA5007">
      <w:pPr>
        <w:pStyle w:val="Body"/>
        <w:spacing w:after="0"/>
        <w:rPr>
          <w:rFonts w:ascii="Arial" w:hAnsi="Arial" w:cs="Arial"/>
          <w:b/>
          <w:bCs/>
        </w:rPr>
      </w:pPr>
      <w:r w:rsidRPr="00CA5007">
        <w:rPr>
          <w:rFonts w:ascii="Arial" w:hAnsi="Arial" w:cs="Arial"/>
          <w:b/>
          <w:bCs/>
        </w:rPr>
        <w:t>Understanding Disruptive Behavior as a Common Classroom Problem</w:t>
      </w:r>
    </w:p>
    <w:p w14:paraId="16998D54" w14:textId="76C4536F" w:rsidR="00CA5007" w:rsidRPr="00CA5007" w:rsidRDefault="00CA5007" w:rsidP="00CA5007">
      <w:pPr>
        <w:pStyle w:val="Body"/>
        <w:spacing w:after="0"/>
        <w:rPr>
          <w:rFonts w:ascii="Arial" w:hAnsi="Arial" w:cs="Arial"/>
        </w:rPr>
      </w:pPr>
      <w:r w:rsidRPr="00CA5007">
        <w:rPr>
          <w:rFonts w:ascii="Arial" w:hAnsi="Arial" w:cs="Arial"/>
        </w:rPr>
        <w:t>Disruptive behaviors, including defiance, talking out of turn, and peer disrespect, interrupt learning and teaching processes (Gage et al., 2018). Such behaviors are often rooted in poor classroom management (Simonsen et al., 2019) and are exacerbated by inconsist</w:t>
      </w:r>
      <w:r w:rsidR="003B7444">
        <w:rPr>
          <w:rFonts w:ascii="Arial" w:hAnsi="Arial" w:cs="Arial"/>
        </w:rPr>
        <w:t>ent rule enforcement.</w:t>
      </w:r>
    </w:p>
    <w:p w14:paraId="1BCF8923" w14:textId="3465F61B" w:rsidR="00CA5007" w:rsidRPr="00CA5007" w:rsidRDefault="00CA5007" w:rsidP="00CA5007">
      <w:pPr>
        <w:pStyle w:val="Body"/>
        <w:spacing w:after="0"/>
        <w:rPr>
          <w:rFonts w:ascii="Arial" w:hAnsi="Arial" w:cs="Arial"/>
        </w:rPr>
      </w:pPr>
      <w:r w:rsidRPr="00CA5007">
        <w:rPr>
          <w:rFonts w:ascii="Arial" w:hAnsi="Arial" w:cs="Arial"/>
        </w:rPr>
        <w:t xml:space="preserve">Positive teacher-student relationships can mitigate these </w:t>
      </w:r>
      <w:r w:rsidR="00E90FB2">
        <w:rPr>
          <w:rFonts w:ascii="Arial" w:hAnsi="Arial" w:cs="Arial"/>
        </w:rPr>
        <w:t>behaviors (</w:t>
      </w:r>
      <w:proofErr w:type="spellStart"/>
      <w:r w:rsidR="00E90FB2">
        <w:rPr>
          <w:rFonts w:ascii="Arial" w:hAnsi="Arial" w:cs="Arial"/>
        </w:rPr>
        <w:t>Rucinski</w:t>
      </w:r>
      <w:proofErr w:type="spellEnd"/>
      <w:r w:rsidR="00E90FB2">
        <w:rPr>
          <w:rFonts w:ascii="Arial" w:hAnsi="Arial" w:cs="Arial"/>
        </w:rPr>
        <w:t xml:space="preserve"> et al., 2017</w:t>
      </w:r>
      <w:r w:rsidRPr="00CA5007">
        <w:rPr>
          <w:rFonts w:ascii="Arial" w:hAnsi="Arial" w:cs="Arial"/>
        </w:rPr>
        <w:t>), while authoritarian strategies may increase defiance. Socio-emotional challenges and trauma are also strong predictors of disrupti</w:t>
      </w:r>
      <w:r w:rsidR="00532434">
        <w:rPr>
          <w:rFonts w:ascii="Arial" w:hAnsi="Arial" w:cs="Arial"/>
        </w:rPr>
        <w:t>ve behavior (Eklund et al., 2021</w:t>
      </w:r>
      <w:r w:rsidRPr="00CA5007">
        <w:rPr>
          <w:rFonts w:ascii="Arial" w:hAnsi="Arial" w:cs="Arial"/>
        </w:rPr>
        <w:t>). Additionally, peer influence plays a critical role (Farmer et al., 2018), as do environmental factors such as classroom design (Barrett et al., 2015).</w:t>
      </w:r>
    </w:p>
    <w:p w14:paraId="03CCD158" w14:textId="081FD578" w:rsidR="00CA5007" w:rsidRDefault="00CA5007" w:rsidP="00CA5007">
      <w:pPr>
        <w:pStyle w:val="Body"/>
        <w:spacing w:after="0"/>
        <w:rPr>
          <w:rFonts w:ascii="Arial" w:hAnsi="Arial" w:cs="Arial"/>
        </w:rPr>
      </w:pPr>
      <w:r w:rsidRPr="00CA5007">
        <w:rPr>
          <w:rFonts w:ascii="Arial" w:hAnsi="Arial" w:cs="Arial"/>
        </w:rPr>
        <w:t>Constructive teacher responses and positive reinforcement are more e</w:t>
      </w:r>
      <w:r w:rsidR="00532434">
        <w:rPr>
          <w:rFonts w:ascii="Arial" w:hAnsi="Arial" w:cs="Arial"/>
        </w:rPr>
        <w:t xml:space="preserve">ffective than punitive methods. </w:t>
      </w:r>
      <w:r w:rsidRPr="00CA5007">
        <w:rPr>
          <w:rFonts w:ascii="Arial" w:hAnsi="Arial" w:cs="Arial"/>
        </w:rPr>
        <w:t xml:space="preserve">Parental involvement and consistent communication between home and school contribute to improved </w:t>
      </w:r>
      <w:r w:rsidR="00532434">
        <w:rPr>
          <w:rFonts w:ascii="Arial" w:hAnsi="Arial" w:cs="Arial"/>
        </w:rPr>
        <w:t>behavior.</w:t>
      </w:r>
    </w:p>
    <w:p w14:paraId="774B642C" w14:textId="77777777" w:rsidR="00CA5007" w:rsidRPr="00CA5007" w:rsidRDefault="00CA5007" w:rsidP="00CA5007">
      <w:pPr>
        <w:pStyle w:val="Body"/>
        <w:spacing w:after="0"/>
        <w:rPr>
          <w:rFonts w:ascii="Arial" w:hAnsi="Arial" w:cs="Arial"/>
          <w:b/>
          <w:bCs/>
        </w:rPr>
      </w:pPr>
      <w:r w:rsidRPr="00CA5007">
        <w:rPr>
          <w:rFonts w:ascii="Arial" w:hAnsi="Arial" w:cs="Arial"/>
          <w:b/>
          <w:bCs/>
        </w:rPr>
        <w:t>The Impact of Seating Configuration on Classroom Behavior</w:t>
      </w:r>
    </w:p>
    <w:p w14:paraId="798C6267" w14:textId="77777777" w:rsidR="00CA5007" w:rsidRPr="00CA5007" w:rsidRDefault="00CA5007" w:rsidP="00CA5007">
      <w:pPr>
        <w:jc w:val="both"/>
        <w:rPr>
          <w:rFonts w:ascii="Arial" w:hAnsi="Arial" w:cs="Arial"/>
        </w:rPr>
      </w:pPr>
      <w:r w:rsidRPr="00CA5007">
        <w:rPr>
          <w:rFonts w:ascii="Arial" w:hAnsi="Arial" w:cs="Arial"/>
        </w:rPr>
        <w:t xml:space="preserve">Seating arrangements affect focus, participation, and classroom management (Rands &amp; </w:t>
      </w:r>
      <w:proofErr w:type="spellStart"/>
      <w:r w:rsidRPr="00CA5007">
        <w:rPr>
          <w:rFonts w:ascii="Arial" w:hAnsi="Arial" w:cs="Arial"/>
        </w:rPr>
        <w:t>Gansemer-Topf</w:t>
      </w:r>
      <w:proofErr w:type="spellEnd"/>
      <w:r w:rsidRPr="00CA5007">
        <w:rPr>
          <w:rFonts w:ascii="Arial" w:hAnsi="Arial" w:cs="Arial"/>
        </w:rPr>
        <w:t>, 2017). While traditional rows support discipline and individual focus (Wilkins et al., 2023), they may reduce collaboration (</w:t>
      </w:r>
      <w:proofErr w:type="spellStart"/>
      <w:r w:rsidRPr="00CA5007">
        <w:rPr>
          <w:rFonts w:ascii="Arial" w:hAnsi="Arial" w:cs="Arial"/>
        </w:rPr>
        <w:t>Closs</w:t>
      </w:r>
      <w:proofErr w:type="spellEnd"/>
      <w:r w:rsidRPr="00CA5007">
        <w:rPr>
          <w:rFonts w:ascii="Arial" w:hAnsi="Arial" w:cs="Arial"/>
        </w:rPr>
        <w:t xml:space="preserve"> et al., 2021). Group seating promotes interaction (Yang et al., 2021), but may increase distractions (</w:t>
      </w:r>
      <w:proofErr w:type="spellStart"/>
      <w:r w:rsidRPr="00CA5007">
        <w:rPr>
          <w:rFonts w:ascii="Arial" w:hAnsi="Arial" w:cs="Arial"/>
        </w:rPr>
        <w:t>Korpershoek</w:t>
      </w:r>
      <w:proofErr w:type="spellEnd"/>
      <w:r w:rsidRPr="00CA5007">
        <w:rPr>
          <w:rFonts w:ascii="Arial" w:hAnsi="Arial" w:cs="Arial"/>
        </w:rPr>
        <w:t xml:space="preserve"> et al., 2016).</w:t>
      </w:r>
    </w:p>
    <w:p w14:paraId="19A7FDEF" w14:textId="44460743" w:rsidR="00CA5007" w:rsidRDefault="00CA5007" w:rsidP="00CA5007">
      <w:pPr>
        <w:jc w:val="both"/>
        <w:rPr>
          <w:rFonts w:ascii="Arial" w:hAnsi="Arial" w:cs="Arial"/>
        </w:rPr>
      </w:pPr>
      <w:r w:rsidRPr="00CA5007">
        <w:rPr>
          <w:rFonts w:ascii="Arial" w:hAnsi="Arial" w:cs="Arial"/>
        </w:rPr>
        <w:t>U-shaped configurations enhance discussion and teacher-student interaction (</w:t>
      </w:r>
      <w:proofErr w:type="spellStart"/>
      <w:r w:rsidRPr="00CA5007">
        <w:rPr>
          <w:rFonts w:ascii="Arial" w:hAnsi="Arial" w:cs="Arial"/>
        </w:rPr>
        <w:t>Sipayung</w:t>
      </w:r>
      <w:proofErr w:type="spellEnd"/>
      <w:r w:rsidRPr="00CA5007">
        <w:rPr>
          <w:rFonts w:ascii="Arial" w:hAnsi="Arial" w:cs="Arial"/>
        </w:rPr>
        <w:t xml:space="preserve"> &amp; </w:t>
      </w:r>
      <w:proofErr w:type="spellStart"/>
      <w:r w:rsidRPr="00CA5007">
        <w:rPr>
          <w:rFonts w:ascii="Arial" w:hAnsi="Arial" w:cs="Arial"/>
        </w:rPr>
        <w:t>Benarita</w:t>
      </w:r>
      <w:proofErr w:type="spellEnd"/>
      <w:r w:rsidRPr="00CA5007">
        <w:rPr>
          <w:rFonts w:ascii="Arial" w:hAnsi="Arial" w:cs="Arial"/>
        </w:rPr>
        <w:t>, 2021). Daily seating changes encourage attentiveness an</w:t>
      </w:r>
      <w:r>
        <w:rPr>
          <w:rFonts w:ascii="Arial" w:hAnsi="Arial" w:cs="Arial"/>
        </w:rPr>
        <w:t>d engagement (Cole et al., 2021</w:t>
      </w:r>
      <w:r w:rsidRPr="00CA5007">
        <w:rPr>
          <w:rFonts w:ascii="Arial" w:hAnsi="Arial" w:cs="Arial"/>
        </w:rPr>
        <w:t>). Strategic placement can support behavior management (</w:t>
      </w:r>
      <w:proofErr w:type="spellStart"/>
      <w:r w:rsidRPr="00CA5007">
        <w:rPr>
          <w:rFonts w:ascii="Arial" w:hAnsi="Arial" w:cs="Arial"/>
        </w:rPr>
        <w:t>Bayog</w:t>
      </w:r>
      <w:proofErr w:type="spellEnd"/>
      <w:r w:rsidRPr="00CA5007">
        <w:rPr>
          <w:rFonts w:ascii="Arial" w:hAnsi="Arial" w:cs="Arial"/>
        </w:rPr>
        <w:t xml:space="preserve"> et al., 2023).</w:t>
      </w:r>
    </w:p>
    <w:p w14:paraId="05F79159" w14:textId="77777777" w:rsidR="00CA5007" w:rsidRPr="00CA5007" w:rsidRDefault="00CA5007" w:rsidP="00CA5007">
      <w:pPr>
        <w:jc w:val="both"/>
        <w:rPr>
          <w:rFonts w:ascii="Arial" w:hAnsi="Arial" w:cs="Arial"/>
          <w:b/>
          <w:bCs/>
        </w:rPr>
      </w:pPr>
      <w:r w:rsidRPr="00CA5007">
        <w:rPr>
          <w:rFonts w:ascii="Arial" w:hAnsi="Arial" w:cs="Arial"/>
          <w:b/>
          <w:bCs/>
        </w:rPr>
        <w:t>The Role of Classroom Environment in Managing Behavior</w:t>
      </w:r>
    </w:p>
    <w:p w14:paraId="2EAB02C7" w14:textId="77777777" w:rsidR="00CA5007" w:rsidRPr="00CA5007" w:rsidRDefault="00CA5007" w:rsidP="00CA5007">
      <w:pPr>
        <w:jc w:val="both"/>
        <w:rPr>
          <w:rFonts w:ascii="Arial" w:hAnsi="Arial" w:cs="Arial"/>
        </w:rPr>
      </w:pPr>
      <w:r w:rsidRPr="00376864">
        <w:rPr>
          <w:rFonts w:ascii="Arial" w:hAnsi="Arial" w:cs="Arial"/>
          <w:highlight w:val="yellow"/>
        </w:rPr>
        <w:t>A well-structured classroom fosters engagement and reduces disruptions (Kumari &amp; Biswas, 2024</w:t>
      </w:r>
      <w:r w:rsidRPr="00CA5007">
        <w:rPr>
          <w:rFonts w:ascii="Arial" w:hAnsi="Arial" w:cs="Arial"/>
        </w:rPr>
        <w:t>). Organized layouts and flexible seating reduce distractions (</w:t>
      </w:r>
      <w:proofErr w:type="spellStart"/>
      <w:r w:rsidRPr="00CA5007">
        <w:rPr>
          <w:rFonts w:ascii="Arial" w:hAnsi="Arial" w:cs="Arial"/>
        </w:rPr>
        <w:t>Imms</w:t>
      </w:r>
      <w:proofErr w:type="spellEnd"/>
      <w:r w:rsidRPr="00CA5007">
        <w:rPr>
          <w:rFonts w:ascii="Arial" w:hAnsi="Arial" w:cs="Arial"/>
        </w:rPr>
        <w:t xml:space="preserve"> &amp; Byers, 2016), while emotional support enhances cooperation (Paulson et al., 2022).</w:t>
      </w:r>
    </w:p>
    <w:p w14:paraId="719656D8" w14:textId="77777777" w:rsidR="00CA5007" w:rsidRPr="00CA5007" w:rsidRDefault="00CA5007" w:rsidP="00CA5007">
      <w:pPr>
        <w:jc w:val="both"/>
        <w:rPr>
          <w:rFonts w:ascii="Arial" w:hAnsi="Arial" w:cs="Arial"/>
        </w:rPr>
      </w:pPr>
      <w:r w:rsidRPr="00CA5007">
        <w:rPr>
          <w:rFonts w:ascii="Arial" w:hAnsi="Arial" w:cs="Arial"/>
        </w:rPr>
        <w:t>Clear expectations and consistent routines are foundational for discipline (Gamage et al., 2021). Organized materials promote student independence (</w:t>
      </w:r>
      <w:proofErr w:type="spellStart"/>
      <w:r w:rsidRPr="00CA5007">
        <w:rPr>
          <w:rFonts w:ascii="Arial" w:hAnsi="Arial" w:cs="Arial"/>
        </w:rPr>
        <w:t>Vitiello</w:t>
      </w:r>
      <w:proofErr w:type="spellEnd"/>
      <w:r w:rsidRPr="00CA5007">
        <w:rPr>
          <w:rFonts w:ascii="Arial" w:hAnsi="Arial" w:cs="Arial"/>
        </w:rPr>
        <w:t xml:space="preserve"> &amp; Williford, 2019), while poor sensory conditions increase behavioral issues (Tsukahara &amp; Engle, 2021). Teachers who model respectful behavior and involve students in rule-setting create more positive climates (Ahmadi et al., 2023).</w:t>
      </w:r>
    </w:p>
    <w:p w14:paraId="416F73A5" w14:textId="77777777" w:rsidR="00CA5007" w:rsidRPr="00CA5007" w:rsidRDefault="00CA5007" w:rsidP="00CA5007">
      <w:pPr>
        <w:jc w:val="both"/>
        <w:rPr>
          <w:rFonts w:ascii="Arial" w:hAnsi="Arial" w:cs="Arial"/>
          <w:b/>
          <w:bCs/>
        </w:rPr>
      </w:pPr>
      <w:r w:rsidRPr="00CA5007">
        <w:rPr>
          <w:rFonts w:ascii="Arial" w:hAnsi="Arial" w:cs="Arial"/>
          <w:b/>
          <w:bCs/>
        </w:rPr>
        <w:t>Seating Configuration as an Intervention Strategy</w:t>
      </w:r>
    </w:p>
    <w:p w14:paraId="5917D654" w14:textId="77777777" w:rsidR="00A7656A" w:rsidRDefault="00CA5007" w:rsidP="00CA5007">
      <w:pPr>
        <w:jc w:val="both"/>
        <w:rPr>
          <w:rFonts w:ascii="Arial" w:hAnsi="Arial" w:cs="Arial"/>
        </w:rPr>
      </w:pPr>
      <w:r w:rsidRPr="00CA5007">
        <w:rPr>
          <w:rFonts w:ascii="Arial" w:hAnsi="Arial" w:cs="Arial"/>
        </w:rPr>
        <w:t>Seating arrangements can serve as proactive behavior interventions (Fernandes et al., 2017). Traditional rows reduce off-task behavior but hinder social interaction (Park &amp; Choi, 2015). Horseshoe layouts enh</w:t>
      </w:r>
      <w:r w:rsidR="00A7656A">
        <w:rPr>
          <w:rFonts w:ascii="Arial" w:hAnsi="Arial" w:cs="Arial"/>
        </w:rPr>
        <w:t xml:space="preserve">ance engagement and monitoring. </w:t>
      </w:r>
    </w:p>
    <w:p w14:paraId="1B516E23" w14:textId="77777777" w:rsidR="00AA118D" w:rsidRPr="00AA118D" w:rsidRDefault="00CA5007" w:rsidP="00AA118D">
      <w:pPr>
        <w:jc w:val="both"/>
        <w:rPr>
          <w:rFonts w:ascii="Arial" w:hAnsi="Arial" w:cs="Arial"/>
        </w:rPr>
      </w:pPr>
      <w:r w:rsidRPr="00CA5007">
        <w:rPr>
          <w:rFonts w:ascii="Arial" w:hAnsi="Arial" w:cs="Arial"/>
        </w:rPr>
        <w:t>Group seating fosters colla</w:t>
      </w:r>
      <w:r w:rsidR="00A7656A">
        <w:rPr>
          <w:rFonts w:ascii="Arial" w:hAnsi="Arial" w:cs="Arial"/>
        </w:rPr>
        <w:t xml:space="preserve">boration and behavior modeling. </w:t>
      </w:r>
      <w:r w:rsidRPr="00CA5007">
        <w:rPr>
          <w:rFonts w:ascii="Arial" w:hAnsi="Arial" w:cs="Arial"/>
        </w:rPr>
        <w:t>Flexible seati</w:t>
      </w:r>
      <w:r w:rsidR="00E1129D">
        <w:rPr>
          <w:rFonts w:ascii="Arial" w:hAnsi="Arial" w:cs="Arial"/>
        </w:rPr>
        <w:t xml:space="preserve">ng meets diverse sensory needs </w:t>
      </w:r>
      <w:r w:rsidRPr="00CA5007">
        <w:rPr>
          <w:rFonts w:ascii="Arial" w:hAnsi="Arial" w:cs="Arial"/>
        </w:rPr>
        <w:t>and supports autonomy (</w:t>
      </w:r>
      <w:proofErr w:type="spellStart"/>
      <w:r w:rsidR="00E1129D" w:rsidRPr="00E1129D">
        <w:rPr>
          <w:rFonts w:ascii="Arial" w:hAnsi="Arial" w:cs="Arial"/>
        </w:rPr>
        <w:t>Bluteau</w:t>
      </w:r>
      <w:proofErr w:type="spellEnd"/>
      <w:r w:rsidR="00E1129D" w:rsidRPr="00E1129D">
        <w:rPr>
          <w:rFonts w:ascii="Arial" w:hAnsi="Arial" w:cs="Arial"/>
        </w:rPr>
        <w:t xml:space="preserve"> et al., 2022)</w:t>
      </w:r>
      <w:r w:rsidR="00E1129D">
        <w:rPr>
          <w:rFonts w:ascii="Arial" w:hAnsi="Arial" w:cs="Arial"/>
        </w:rPr>
        <w:t xml:space="preserve">. </w:t>
      </w:r>
      <w:r w:rsidRPr="00CA5007">
        <w:rPr>
          <w:rFonts w:ascii="Arial" w:hAnsi="Arial" w:cs="Arial"/>
        </w:rPr>
        <w:t>Individualized and temperament-based seatin</w:t>
      </w:r>
      <w:r w:rsidR="00E1129D">
        <w:rPr>
          <w:rFonts w:ascii="Arial" w:hAnsi="Arial" w:cs="Arial"/>
        </w:rPr>
        <w:t xml:space="preserve">g plans can minimize conflicts </w:t>
      </w:r>
      <w:r w:rsidRPr="00CA5007">
        <w:rPr>
          <w:rFonts w:ascii="Arial" w:hAnsi="Arial" w:cs="Arial"/>
        </w:rPr>
        <w:t xml:space="preserve">and regular adjustments accommodate changing dynamics </w:t>
      </w:r>
      <w:r w:rsidR="00AA118D" w:rsidRPr="00AA118D">
        <w:rPr>
          <w:rFonts w:ascii="Arial" w:hAnsi="Arial" w:cs="Arial"/>
        </w:rPr>
        <w:t>(</w:t>
      </w:r>
      <w:proofErr w:type="spellStart"/>
      <w:r w:rsidR="00AA118D" w:rsidRPr="00AA118D">
        <w:rPr>
          <w:rFonts w:ascii="Arial" w:hAnsi="Arial" w:cs="Arial"/>
        </w:rPr>
        <w:t>Tobia</w:t>
      </w:r>
      <w:proofErr w:type="spellEnd"/>
      <w:r w:rsidR="00AA118D" w:rsidRPr="00AA118D">
        <w:rPr>
          <w:rFonts w:ascii="Arial" w:hAnsi="Arial" w:cs="Arial"/>
        </w:rPr>
        <w:t xml:space="preserve"> et al., 2020)</w:t>
      </w:r>
    </w:p>
    <w:p w14:paraId="31A5D6E7" w14:textId="5B7B113E" w:rsidR="00CA5007" w:rsidRPr="00CA5007" w:rsidRDefault="00CA5007" w:rsidP="00CA5007">
      <w:pPr>
        <w:jc w:val="both"/>
        <w:rPr>
          <w:rFonts w:ascii="Arial" w:hAnsi="Arial" w:cs="Arial"/>
          <w:b/>
          <w:bCs/>
        </w:rPr>
      </w:pPr>
      <w:r w:rsidRPr="00CA5007">
        <w:rPr>
          <w:rFonts w:ascii="Arial" w:hAnsi="Arial" w:cs="Arial"/>
          <w:b/>
          <w:bCs/>
        </w:rPr>
        <w:t>Effects of Disruptive Behavior on Learning Outcomes</w:t>
      </w:r>
    </w:p>
    <w:p w14:paraId="1C546FB0" w14:textId="3CB9EA89" w:rsidR="00CA5007" w:rsidRPr="00CA5007" w:rsidRDefault="00CA5007" w:rsidP="00CA5007">
      <w:pPr>
        <w:jc w:val="both"/>
        <w:rPr>
          <w:rFonts w:ascii="Arial" w:hAnsi="Arial" w:cs="Arial"/>
        </w:rPr>
      </w:pPr>
      <w:r w:rsidRPr="00CA5007">
        <w:rPr>
          <w:rFonts w:ascii="Arial" w:hAnsi="Arial" w:cs="Arial"/>
        </w:rPr>
        <w:lastRenderedPageBreak/>
        <w:t xml:space="preserve">Disruptive behaviors impair academic performance, engagement, and teacher effectiveness (Gage et al., 2017; Day et al., 2015). Emotional well-being suffers as students experience stress and reduced motivation (De Ruiter et al., 2020; </w:t>
      </w:r>
      <w:proofErr w:type="spellStart"/>
      <w:r w:rsidRPr="00CA5007">
        <w:rPr>
          <w:rFonts w:ascii="Arial" w:hAnsi="Arial" w:cs="Arial"/>
        </w:rPr>
        <w:t>Frenzel</w:t>
      </w:r>
      <w:proofErr w:type="spellEnd"/>
      <w:r w:rsidRPr="00CA5007">
        <w:rPr>
          <w:rFonts w:ascii="Arial" w:hAnsi="Arial" w:cs="Arial"/>
        </w:rPr>
        <w:t xml:space="preserve"> et al., 2021). Long-term consequences include lowered aspirations and reduced collaboratio</w:t>
      </w:r>
      <w:r w:rsidR="00BC3B1C">
        <w:rPr>
          <w:rFonts w:ascii="Arial" w:hAnsi="Arial" w:cs="Arial"/>
        </w:rPr>
        <w:t>n skills (Carrell et al., 2018).</w:t>
      </w:r>
    </w:p>
    <w:p w14:paraId="6E4D6B22" w14:textId="77777777" w:rsidR="00CA5007" w:rsidRPr="00CA5007" w:rsidRDefault="00CA5007" w:rsidP="00CA5007">
      <w:pPr>
        <w:jc w:val="both"/>
        <w:rPr>
          <w:rFonts w:ascii="Arial" w:hAnsi="Arial" w:cs="Arial"/>
        </w:rPr>
      </w:pPr>
      <w:r w:rsidRPr="00CA5007">
        <w:rPr>
          <w:rFonts w:ascii="Arial" w:hAnsi="Arial" w:cs="Arial"/>
        </w:rPr>
        <w:t>Teachers face burnout and reduced job satisfaction (</w:t>
      </w:r>
      <w:proofErr w:type="spellStart"/>
      <w:r w:rsidRPr="00CA5007">
        <w:rPr>
          <w:rFonts w:ascii="Arial" w:hAnsi="Arial" w:cs="Arial"/>
        </w:rPr>
        <w:t>Bottian</w:t>
      </w:r>
      <w:proofErr w:type="spellEnd"/>
      <w:r w:rsidRPr="00CA5007">
        <w:rPr>
          <w:rFonts w:ascii="Arial" w:hAnsi="Arial" w:cs="Arial"/>
        </w:rPr>
        <w:t xml:space="preserve"> et al., 2019; Gilmour et al., 2021), while peer relationships deteriorate in disruptive environments (Aguiar et al., 2019; Saroyan, 2021). Disruptive behavior exacerbates achievement gaps (Gregory &amp; Fergus, 2017; Annamma &amp; Morrison, 2018), requiring systemic interventions for equitable education (Darling-Hammond &amp; Cook-Harvey, 2018).</w:t>
      </w:r>
    </w:p>
    <w:p w14:paraId="2C448669" w14:textId="77777777" w:rsidR="00CA5007" w:rsidRPr="00CA5007" w:rsidRDefault="00CA5007" w:rsidP="00CA5007">
      <w:pPr>
        <w:jc w:val="both"/>
        <w:rPr>
          <w:rFonts w:ascii="Arial" w:hAnsi="Arial" w:cs="Arial"/>
          <w:b/>
          <w:bCs/>
        </w:rPr>
      </w:pPr>
      <w:r w:rsidRPr="00CA5007">
        <w:rPr>
          <w:rFonts w:ascii="Arial" w:hAnsi="Arial" w:cs="Arial"/>
          <w:b/>
          <w:bCs/>
        </w:rPr>
        <w:t>The Influence of Operant Conditioning on Classroom Behavior Management</w:t>
      </w:r>
    </w:p>
    <w:p w14:paraId="43512DDC" w14:textId="77777777" w:rsidR="00CA5007" w:rsidRPr="00CA5007" w:rsidRDefault="00CA5007" w:rsidP="00CA5007">
      <w:pPr>
        <w:jc w:val="both"/>
        <w:rPr>
          <w:rFonts w:ascii="Arial" w:hAnsi="Arial" w:cs="Arial"/>
        </w:rPr>
      </w:pPr>
      <w:r w:rsidRPr="00CA5007">
        <w:rPr>
          <w:rFonts w:ascii="Arial" w:hAnsi="Arial" w:cs="Arial"/>
        </w:rPr>
        <w:t>Operant conditioning, based on reinforcement and punishment principles, guides classroom behavior (</w:t>
      </w:r>
      <w:r w:rsidRPr="00A305F6">
        <w:rPr>
          <w:rFonts w:ascii="Arial" w:hAnsi="Arial" w:cs="Arial"/>
        </w:rPr>
        <w:t>Malott &amp; Kohler, 2021).</w:t>
      </w:r>
      <w:r w:rsidRPr="00CA5007">
        <w:rPr>
          <w:rFonts w:ascii="Arial" w:hAnsi="Arial" w:cs="Arial"/>
        </w:rPr>
        <w:t xml:space="preserve"> Positive reinforcement, such as praise and rewards for appropriate behavior, encourages engagement (Martin &amp; Pear, 2019). Strategic seat assignments serve as both motivational tools and behavioral rewards (</w:t>
      </w:r>
      <w:proofErr w:type="spellStart"/>
      <w:r w:rsidRPr="00CA5007">
        <w:rPr>
          <w:rFonts w:ascii="Arial" w:hAnsi="Arial" w:cs="Arial"/>
        </w:rPr>
        <w:t>Zmuda</w:t>
      </w:r>
      <w:proofErr w:type="spellEnd"/>
      <w:r w:rsidRPr="00CA5007">
        <w:rPr>
          <w:rFonts w:ascii="Arial" w:hAnsi="Arial" w:cs="Arial"/>
        </w:rPr>
        <w:t xml:space="preserve"> et al., 2015).</w:t>
      </w:r>
    </w:p>
    <w:p w14:paraId="1C5928AA" w14:textId="77777777" w:rsidR="00CA5007" w:rsidRPr="00CA5007" w:rsidRDefault="00CA5007" w:rsidP="00CA5007">
      <w:pPr>
        <w:jc w:val="both"/>
        <w:rPr>
          <w:rFonts w:ascii="Arial" w:hAnsi="Arial" w:cs="Arial"/>
        </w:rPr>
      </w:pPr>
      <w:r w:rsidRPr="00CA5007">
        <w:rPr>
          <w:rFonts w:ascii="Arial" w:hAnsi="Arial" w:cs="Arial"/>
        </w:rPr>
        <w:t>Negative reinforcement, like removing distractions, and carefully framed punishments can redirect behavior (</w:t>
      </w:r>
      <w:proofErr w:type="spellStart"/>
      <w:r w:rsidRPr="00CA5007">
        <w:rPr>
          <w:rFonts w:ascii="Arial" w:hAnsi="Arial" w:cs="Arial"/>
        </w:rPr>
        <w:t>Gettinger</w:t>
      </w:r>
      <w:proofErr w:type="spellEnd"/>
      <w:r w:rsidRPr="00CA5007">
        <w:rPr>
          <w:rFonts w:ascii="Arial" w:hAnsi="Arial" w:cs="Arial"/>
        </w:rPr>
        <w:t xml:space="preserve"> &amp; Kohler, 2015). Teachers must ensure these strategies focus on behavior change rather than isolation. Equitable reinforcement across seating positions reinforces that engagement is behavior-dependent, not seat-dependent (</w:t>
      </w:r>
      <w:proofErr w:type="spellStart"/>
      <w:r w:rsidRPr="00CA5007">
        <w:rPr>
          <w:rFonts w:ascii="Arial" w:hAnsi="Arial" w:cs="Arial"/>
        </w:rPr>
        <w:t>Gremmen</w:t>
      </w:r>
      <w:proofErr w:type="spellEnd"/>
      <w:r w:rsidRPr="00CA5007">
        <w:rPr>
          <w:rFonts w:ascii="Arial" w:hAnsi="Arial" w:cs="Arial"/>
        </w:rPr>
        <w:t xml:space="preserve"> et al., 2016).</w:t>
      </w:r>
    </w:p>
    <w:p w14:paraId="2C69F483" w14:textId="10709682" w:rsidR="00CA5007" w:rsidRPr="00CA5007" w:rsidRDefault="00CA5007" w:rsidP="00CA5007">
      <w:pPr>
        <w:jc w:val="both"/>
        <w:rPr>
          <w:rFonts w:ascii="Arial" w:hAnsi="Arial" w:cs="Arial"/>
        </w:rPr>
      </w:pPr>
      <w:r w:rsidRPr="00CA5007">
        <w:rPr>
          <w:rFonts w:ascii="Arial" w:hAnsi="Arial" w:cs="Arial"/>
        </w:rPr>
        <w:t>Seating rotation prevents behavioral stagnation and provides fresh engagement opportunities (</w:t>
      </w:r>
      <w:proofErr w:type="spellStart"/>
      <w:r w:rsidRPr="00CA5007">
        <w:rPr>
          <w:rFonts w:ascii="Arial" w:hAnsi="Arial" w:cs="Arial"/>
        </w:rPr>
        <w:t>Kariippanon</w:t>
      </w:r>
      <w:proofErr w:type="spellEnd"/>
      <w:r w:rsidRPr="00CA5007">
        <w:rPr>
          <w:rFonts w:ascii="Arial" w:hAnsi="Arial" w:cs="Arial"/>
        </w:rPr>
        <w:t xml:space="preserve"> et al., 2018), making operant conditioning a dynamic and effective tool for classroom management.</w:t>
      </w:r>
      <w:r w:rsidRPr="00CA5007">
        <w:rPr>
          <w:rFonts w:ascii="Times New Roman" w:hAnsi="Times New Roman"/>
          <w:vanish/>
          <w:sz w:val="24"/>
          <w:szCs w:val="24"/>
        </w:rPr>
        <w:t>Bottom of Form</w:t>
      </w:r>
      <w:r w:rsidRPr="00CA5007">
        <w:rPr>
          <w:rFonts w:ascii="Arial" w:hAnsi="Arial" w:cs="Arial"/>
          <w:vanish/>
          <w:sz w:val="16"/>
          <w:szCs w:val="16"/>
        </w:rPr>
        <w:t>Bottom of Form</w:t>
      </w:r>
    </w:p>
    <w:p w14:paraId="77732AEA" w14:textId="67B432DD" w:rsidR="00CA5007" w:rsidRPr="007F3462" w:rsidRDefault="00CA5007" w:rsidP="00CA5007">
      <w:pPr>
        <w:pStyle w:val="AbstHead"/>
        <w:spacing w:after="0"/>
        <w:jc w:val="both"/>
        <w:rPr>
          <w:rFonts w:ascii="Arial" w:hAnsi="Arial" w:cs="Arial"/>
        </w:rPr>
      </w:pPr>
      <w:r>
        <w:rPr>
          <w:rFonts w:ascii="Arial" w:hAnsi="Arial" w:cs="Arial"/>
        </w:rPr>
        <w:t>3</w:t>
      </w:r>
      <w:r w:rsidRPr="00CE62DA">
        <w:rPr>
          <w:rFonts w:ascii="Arial" w:hAnsi="Arial" w:cs="Arial"/>
        </w:rPr>
        <w:t>. methodology</w:t>
      </w:r>
    </w:p>
    <w:p w14:paraId="5BF565D4"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rPr>
        <w:t xml:space="preserve">This study employed a quantitative experimental design to determine the impact of flexible seating arrangements on reducing disruptive behaviors among Grade 2 learners. The research was conducted at San Rafael Integrated School in </w:t>
      </w:r>
      <w:proofErr w:type="spellStart"/>
      <w:r w:rsidRPr="00A97BD6">
        <w:rPr>
          <w:rFonts w:ascii="Arial" w:eastAsia="SimSun" w:hAnsi="Arial" w:cs="Arial"/>
        </w:rPr>
        <w:t>Cateel</w:t>
      </w:r>
      <w:proofErr w:type="spellEnd"/>
      <w:r w:rsidRPr="00A97BD6">
        <w:rPr>
          <w:rFonts w:ascii="Arial" w:eastAsia="SimSun" w:hAnsi="Arial" w:cs="Arial"/>
        </w:rPr>
        <w:t>, Davao Oriental from February to April 2025, encompassing one week of pre-observation, two weeks of intervention, and one week of post-observation.</w:t>
      </w:r>
    </w:p>
    <w:p w14:paraId="7050510D"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Research Design</w:t>
      </w:r>
    </w:p>
    <w:p w14:paraId="54425429" w14:textId="29509CAD" w:rsidR="00A97BD6" w:rsidRPr="00A97BD6" w:rsidRDefault="00A97BD6" w:rsidP="00A97BD6">
      <w:pPr>
        <w:pStyle w:val="Body"/>
        <w:spacing w:after="0"/>
        <w:rPr>
          <w:rFonts w:ascii="Arial" w:eastAsia="SimSun" w:hAnsi="Arial" w:cs="Arial"/>
        </w:rPr>
      </w:pPr>
      <w:r w:rsidRPr="00A97BD6">
        <w:rPr>
          <w:rFonts w:ascii="Arial" w:eastAsia="SimSun" w:hAnsi="Arial" w:cs="Arial"/>
        </w:rPr>
        <w:t>An experimental design was used to systematically manipulate classroom seating configurations and evaluate th</w:t>
      </w:r>
      <w:r w:rsidR="003E227B">
        <w:rPr>
          <w:rFonts w:ascii="Arial" w:eastAsia="SimSun" w:hAnsi="Arial" w:cs="Arial"/>
        </w:rPr>
        <w:t xml:space="preserve">eir effects on student behavior. </w:t>
      </w:r>
      <w:r w:rsidRPr="00A97BD6">
        <w:rPr>
          <w:rFonts w:ascii="Arial" w:eastAsia="SimSun" w:hAnsi="Arial" w:cs="Arial"/>
        </w:rPr>
        <w:t>Disruptive behaviors were recorded before and after the intervention to determine the impact of the seating changes.</w:t>
      </w:r>
    </w:p>
    <w:p w14:paraId="0FA38D3A"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Respondents</w:t>
      </w:r>
    </w:p>
    <w:p w14:paraId="106DA5DE"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rPr>
        <w:t>The participants included all 29 Grade 2 learners (14 boys and 15 girls) from one section at San Rafael Integrated School. The study used complete enumeration sampling, targeting the entire class to allow comprehensive observation of collective behavioral trends. The age and grade level of the participants were ideal for studying behavioral regulation as they are still in a developmental stage where such behaviors commonly manifest (Simons et al., 2015).</w:t>
      </w:r>
    </w:p>
    <w:p w14:paraId="5980E72D"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Research Instrument</w:t>
      </w:r>
    </w:p>
    <w:p w14:paraId="413185A9" w14:textId="3A36D4D9" w:rsidR="00A97BD6" w:rsidRPr="00A97BD6" w:rsidRDefault="00A97BD6" w:rsidP="00A97BD6">
      <w:pPr>
        <w:pStyle w:val="Body"/>
        <w:spacing w:after="0"/>
        <w:rPr>
          <w:rFonts w:ascii="Arial" w:eastAsia="SimSun" w:hAnsi="Arial" w:cs="Arial"/>
        </w:rPr>
      </w:pPr>
      <w:r w:rsidRPr="00A97BD6">
        <w:rPr>
          <w:rFonts w:ascii="Arial" w:eastAsia="SimSun" w:hAnsi="Arial" w:cs="Arial"/>
        </w:rPr>
        <w:t xml:space="preserve">A researcher-developed behavioral observation checklist was used to record disruptive behaviors. Only behaviors that occurred at least five times during the pre-observation week were included in the checklist. </w:t>
      </w:r>
      <w:r w:rsidR="00E6146C" w:rsidRPr="00376864">
        <w:rPr>
          <w:highlight w:val="yellow"/>
        </w:rPr>
        <w:t xml:space="preserve">The checklist utilized a simple </w:t>
      </w:r>
      <w:r w:rsidR="00E6146C" w:rsidRPr="00376864">
        <w:rPr>
          <w:rStyle w:val="Strong"/>
          <w:b w:val="0"/>
          <w:highlight w:val="yellow"/>
        </w:rPr>
        <w:t>frequency count system</w:t>
      </w:r>
      <w:r w:rsidR="00E6146C" w:rsidRPr="00376864">
        <w:rPr>
          <w:b/>
          <w:highlight w:val="yellow"/>
        </w:rPr>
        <w:t>,</w:t>
      </w:r>
      <w:r w:rsidR="00E6146C" w:rsidRPr="00376864">
        <w:rPr>
          <w:highlight w:val="yellow"/>
        </w:rPr>
        <w:t xml:space="preserve"> wherein each observed instance of a target behavior was tallied during class sessions</w:t>
      </w:r>
      <w:r w:rsidR="00E6146C">
        <w:t xml:space="preserve">. </w:t>
      </w:r>
      <w:r w:rsidRPr="00A97BD6">
        <w:rPr>
          <w:rFonts w:ascii="Arial" w:eastAsia="SimSun" w:hAnsi="Arial" w:cs="Arial"/>
        </w:rPr>
        <w:t>Observations were conducted on a whole-class basis, without identifying individual students, to ensure privacy and generalizability.</w:t>
      </w:r>
    </w:p>
    <w:p w14:paraId="23E175D8"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Data Collection Procedure</w:t>
      </w:r>
    </w:p>
    <w:p w14:paraId="1B72A3F5"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Ethical Clearance</w:t>
      </w:r>
      <w:r w:rsidRPr="00A97BD6">
        <w:rPr>
          <w:rFonts w:ascii="Arial" w:eastAsia="SimSun" w:hAnsi="Arial" w:cs="Arial"/>
        </w:rPr>
        <w:t>: Approval was secured from the University Research Ethics Board (UREB), which reviewed the research proposal, consent forms, and risk management strategies.</w:t>
      </w:r>
    </w:p>
    <w:p w14:paraId="1808A23B"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Permission</w:t>
      </w:r>
      <w:r w:rsidRPr="00A97BD6">
        <w:rPr>
          <w:rFonts w:ascii="Arial" w:eastAsia="SimSun" w:hAnsi="Arial" w:cs="Arial"/>
        </w:rPr>
        <w:t>: Formal requests were made to the school principal and the Grade 2 class adviser. Parental consent was also obtained.</w:t>
      </w:r>
    </w:p>
    <w:p w14:paraId="1E447C11"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lastRenderedPageBreak/>
        <w:t>Pre-Observation (Week 1)</w:t>
      </w:r>
      <w:r w:rsidRPr="00A97BD6">
        <w:rPr>
          <w:rFonts w:ascii="Arial" w:eastAsia="SimSun" w:hAnsi="Arial" w:cs="Arial"/>
        </w:rPr>
        <w:t>: The researcher observed the class using the checklist to identify frequently occurring disruptive behaviors.</w:t>
      </w:r>
    </w:p>
    <w:p w14:paraId="4458485B"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Intervention (Weeks 2–3)</w:t>
      </w:r>
      <w:r w:rsidRPr="00A97BD6">
        <w:rPr>
          <w:rFonts w:ascii="Arial" w:eastAsia="SimSun" w:hAnsi="Arial" w:cs="Arial"/>
        </w:rPr>
        <w:t>: A different seating arrangement was implemented each day (e.g., U-shape, clusters, semi-circles, pair pods, V-shape). No documentation occurred during this phase to allow natural adjustment.</w:t>
      </w:r>
    </w:p>
    <w:p w14:paraId="09DC9D09"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Post-Observation (Week 4)</w:t>
      </w:r>
      <w:r w:rsidRPr="00A97BD6">
        <w:rPr>
          <w:rFonts w:ascii="Arial" w:eastAsia="SimSun" w:hAnsi="Arial" w:cs="Arial"/>
        </w:rPr>
        <w:t>: The same checklist was used to tally disruptive behaviors under the continued seating configurations.</w:t>
      </w:r>
    </w:p>
    <w:p w14:paraId="6F810ACE"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Data Analysis</w:t>
      </w:r>
    </w:p>
    <w:p w14:paraId="448864F1"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Frequency Counts</w:t>
      </w:r>
      <w:r w:rsidRPr="00A97BD6">
        <w:rPr>
          <w:rFonts w:ascii="Arial" w:eastAsia="SimSun" w:hAnsi="Arial" w:cs="Arial"/>
        </w:rPr>
        <w:t>: The total number of disruptive behaviors was tallied before and after the intervention using the observation checklist.</w:t>
      </w:r>
    </w:p>
    <w:p w14:paraId="3F953ECD"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Paired t-test</w:t>
      </w:r>
      <w:r w:rsidRPr="00A97BD6">
        <w:rPr>
          <w:rFonts w:ascii="Arial" w:eastAsia="SimSun" w:hAnsi="Arial" w:cs="Arial"/>
        </w:rPr>
        <w:t>: This was conducted to assess whether there was a statistically significant difference between the pre- and post-intervention means.</w:t>
      </w:r>
    </w:p>
    <w:p w14:paraId="5B9722BA"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Cohen’s d</w:t>
      </w:r>
      <w:r w:rsidRPr="00A97BD6">
        <w:rPr>
          <w:rFonts w:ascii="Arial" w:eastAsia="SimSun" w:hAnsi="Arial" w:cs="Arial"/>
        </w:rPr>
        <w:t>: Effect size was computed to evaluate the magnitude of the change in behavior, providing a measure of practical significance beyond p-values.</w:t>
      </w:r>
    </w:p>
    <w:p w14:paraId="501C14C2"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Ethical Considerations</w:t>
      </w:r>
    </w:p>
    <w:p w14:paraId="6055327D"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rPr>
        <w:t>The study adhered to ethical standards in research involving minors:</w:t>
      </w:r>
    </w:p>
    <w:p w14:paraId="3F7EC159"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Informed Consent</w:t>
      </w:r>
      <w:r w:rsidRPr="00A97BD6">
        <w:rPr>
          <w:rFonts w:ascii="Arial" w:eastAsia="SimSun" w:hAnsi="Arial" w:cs="Arial"/>
        </w:rPr>
        <w:t xml:space="preserve"> was obtained from parents/guardians, with full transparency on the nature and purpose of the research.</w:t>
      </w:r>
    </w:p>
    <w:p w14:paraId="7CCC484C"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Voluntary Participation</w:t>
      </w:r>
      <w:r w:rsidRPr="00A97BD6">
        <w:rPr>
          <w:rFonts w:ascii="Arial" w:eastAsia="SimSun" w:hAnsi="Arial" w:cs="Arial"/>
        </w:rPr>
        <w:t xml:space="preserve"> was ensured, allowing participants to withdraw at any stage without consequences.</w:t>
      </w:r>
    </w:p>
    <w:p w14:paraId="43FE8B10"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Confidentiality</w:t>
      </w:r>
      <w:r w:rsidRPr="00A97BD6">
        <w:rPr>
          <w:rFonts w:ascii="Arial" w:eastAsia="SimSun" w:hAnsi="Arial" w:cs="Arial"/>
        </w:rPr>
        <w:t xml:space="preserve"> was maintained by conducting observations anonymously and avoiding collection of personally identifiable data.</w:t>
      </w:r>
    </w:p>
    <w:p w14:paraId="1729BD9B"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Risk Minimization</w:t>
      </w:r>
      <w:r w:rsidRPr="00A97BD6">
        <w:rPr>
          <w:rFonts w:ascii="Arial" w:eastAsia="SimSun" w:hAnsi="Arial" w:cs="Arial"/>
        </w:rPr>
        <w:t xml:space="preserve"> was prioritized by using non-invasive, classroom-based seating interventions.</w:t>
      </w:r>
    </w:p>
    <w:p w14:paraId="287BA602" w14:textId="621C2D96" w:rsidR="00B85D4C" w:rsidRPr="00A97BD6" w:rsidRDefault="00A97BD6" w:rsidP="00A97BD6">
      <w:pPr>
        <w:pStyle w:val="Body"/>
        <w:spacing w:after="0"/>
        <w:rPr>
          <w:rFonts w:ascii="Arial" w:eastAsia="SimSun" w:hAnsi="Arial" w:cs="Arial"/>
        </w:rPr>
      </w:pPr>
      <w:r w:rsidRPr="00A97BD6">
        <w:rPr>
          <w:rFonts w:ascii="Arial" w:eastAsia="SimSun" w:hAnsi="Arial" w:cs="Arial"/>
          <w:b/>
          <w:bCs/>
        </w:rPr>
        <w:t>Data Use and Protection</w:t>
      </w:r>
      <w:r w:rsidRPr="00A97BD6">
        <w:rPr>
          <w:rFonts w:ascii="Arial" w:eastAsia="SimSun" w:hAnsi="Arial" w:cs="Arial"/>
        </w:rPr>
        <w:t>: Data were securely stored and restricted to academic purposes under the supe</w:t>
      </w:r>
      <w:r>
        <w:rPr>
          <w:rFonts w:ascii="Arial" w:eastAsia="SimSun" w:hAnsi="Arial" w:cs="Arial"/>
        </w:rPr>
        <w:t>rvision of the research adviser</w:t>
      </w:r>
      <w:r w:rsidR="00B85D4C" w:rsidRPr="00CE62DA">
        <w:rPr>
          <w:rFonts w:ascii="Arial" w:hAnsi="Arial" w:cs="Arial"/>
        </w:rPr>
        <w:t>.</w:t>
      </w:r>
    </w:p>
    <w:p w14:paraId="4020527B" w14:textId="797AA55C" w:rsidR="00B024AC" w:rsidRDefault="00B879A8" w:rsidP="00162C8A">
      <w:pPr>
        <w:pStyle w:val="Head1"/>
        <w:spacing w:after="0"/>
        <w:jc w:val="both"/>
        <w:rPr>
          <w:rFonts w:ascii="Arial" w:hAnsi="Arial" w:cs="Arial"/>
        </w:rPr>
      </w:pPr>
      <w:r>
        <w:rPr>
          <w:rFonts w:ascii="Arial" w:hAnsi="Arial" w:cs="Arial"/>
        </w:rPr>
        <w:t>4</w:t>
      </w:r>
      <w:r w:rsidR="00902823" w:rsidRPr="00CE62DA">
        <w:rPr>
          <w:rFonts w:ascii="Arial" w:hAnsi="Arial" w:cs="Arial"/>
        </w:rPr>
        <w:t xml:space="preserve">. </w:t>
      </w:r>
      <w:r w:rsidR="00000F8F" w:rsidRPr="00CE62DA">
        <w:rPr>
          <w:rFonts w:ascii="Arial" w:hAnsi="Arial" w:cs="Arial"/>
        </w:rPr>
        <w:t>results and discussion</w:t>
      </w:r>
    </w:p>
    <w:p w14:paraId="2671DFCD" w14:textId="371A02C3" w:rsidR="000F7542" w:rsidRDefault="000F7542" w:rsidP="00162C8A">
      <w:pPr>
        <w:pStyle w:val="Head1"/>
        <w:spacing w:after="0"/>
        <w:jc w:val="both"/>
        <w:rPr>
          <w:rFonts w:ascii="Arial" w:hAnsi="Arial" w:cs="Arial"/>
        </w:rPr>
      </w:pPr>
      <w:r w:rsidRPr="008506BA">
        <w:rPr>
          <w:rFonts w:ascii="Arial" w:hAnsi="Arial" w:cs="Arial"/>
          <w:b w:val="0"/>
          <w:caps w:val="0"/>
          <w:sz w:val="20"/>
        </w:rPr>
        <w:t>Intervention</w:t>
      </w:r>
    </w:p>
    <w:p w14:paraId="5B77BDD2" w14:textId="050E075F" w:rsidR="000F7542" w:rsidRPr="000F7542" w:rsidRDefault="000F7542" w:rsidP="00162C8A">
      <w:pPr>
        <w:pStyle w:val="Head1"/>
        <w:spacing w:after="0"/>
        <w:jc w:val="both"/>
        <w:rPr>
          <w:rFonts w:ascii="Arial" w:hAnsi="Arial" w:cs="Arial"/>
          <w:b w:val="0"/>
          <w:sz w:val="20"/>
        </w:rPr>
      </w:pPr>
      <w:r w:rsidRPr="000F7542">
        <w:rPr>
          <w:rFonts w:ascii="Arial" w:hAnsi="Arial" w:cs="Arial"/>
          <w:b w:val="0"/>
          <w:caps w:val="0"/>
          <w:sz w:val="20"/>
        </w:rPr>
        <w:t xml:space="preserve">This study determined the effectiveness of seating configuration as a classroom management strategy to mitigate disruptive behavior among grade 2 learners at san </w:t>
      </w:r>
      <w:proofErr w:type="spellStart"/>
      <w:r w:rsidRPr="000F7542">
        <w:rPr>
          <w:rFonts w:ascii="Arial" w:hAnsi="Arial" w:cs="Arial"/>
          <w:b w:val="0"/>
          <w:caps w:val="0"/>
          <w:sz w:val="20"/>
        </w:rPr>
        <w:t>rafael</w:t>
      </w:r>
      <w:proofErr w:type="spellEnd"/>
      <w:r w:rsidRPr="000F7542">
        <w:rPr>
          <w:rFonts w:ascii="Arial" w:hAnsi="Arial" w:cs="Arial"/>
          <w:b w:val="0"/>
          <w:caps w:val="0"/>
          <w:sz w:val="20"/>
        </w:rPr>
        <w:t xml:space="preserve"> integrated school. Disruptive behaviors were observed to impact the learning environment negatively, requiring interventions that support a more focused and organized classroom setting, such as talking out of turn, gossiping with peers, and roaming around.</w:t>
      </w:r>
      <w:r w:rsidRPr="000F7542">
        <w:rPr>
          <w:rFonts w:ascii="Arial" w:eastAsia="Arial" w:hAnsi="Arial" w:cs="Arial"/>
          <w:b w:val="0"/>
          <w:sz w:val="20"/>
        </w:rPr>
        <w:t xml:space="preserve"> </w:t>
      </w:r>
      <w:r w:rsidRPr="000F7542">
        <w:rPr>
          <w:rFonts w:ascii="Arial" w:eastAsia="Arial" w:hAnsi="Arial" w:cs="Arial"/>
          <w:b w:val="0"/>
          <w:caps w:val="0"/>
          <w:sz w:val="20"/>
        </w:rPr>
        <w:t xml:space="preserve">This study was anchored in b.f. skinner's operant conditioning theory investigated how environmental modifications, particularly seating arrangements, </w:t>
      </w:r>
      <w:r w:rsidR="00A72601" w:rsidRPr="00A72601">
        <w:rPr>
          <w:rFonts w:ascii="Arial" w:eastAsia="Arial" w:hAnsi="Arial" w:cs="Arial"/>
          <w:b w:val="0"/>
          <w:caps w:val="0"/>
          <w:sz w:val="20"/>
        </w:rPr>
        <w:t xml:space="preserve">could serve as behavioral stimuli to reinforce positive conduct (Mazur, 2015). In a 2025 study, </w:t>
      </w:r>
      <w:proofErr w:type="spellStart"/>
      <w:r w:rsidR="00A72601" w:rsidRPr="00A72601">
        <w:rPr>
          <w:rFonts w:ascii="Arial" w:eastAsia="Arial" w:hAnsi="Arial" w:cs="Arial"/>
          <w:b w:val="0"/>
          <w:caps w:val="0"/>
          <w:sz w:val="20"/>
        </w:rPr>
        <w:t>Nuha</w:t>
      </w:r>
      <w:proofErr w:type="spellEnd"/>
      <w:r w:rsidR="00A72601" w:rsidRPr="00A72601">
        <w:rPr>
          <w:rFonts w:ascii="Arial" w:eastAsia="Arial" w:hAnsi="Arial" w:cs="Arial"/>
          <w:b w:val="0"/>
          <w:caps w:val="0"/>
          <w:sz w:val="20"/>
        </w:rPr>
        <w:t xml:space="preserve"> et al. found that rotating seating arrangements not only minimized peer distractions but also contributed to sustained student attentiveness during academic tasks—highlighting the behavioral benefits of dynamic seating design </w:t>
      </w:r>
      <w:r w:rsidR="00A72601" w:rsidRPr="00376864">
        <w:rPr>
          <w:rFonts w:ascii="Arial" w:eastAsia="Arial" w:hAnsi="Arial" w:cs="Arial"/>
          <w:b w:val="0"/>
          <w:caps w:val="0"/>
          <w:sz w:val="20"/>
          <w:highlight w:val="yellow"/>
        </w:rPr>
        <w:t>(</w:t>
      </w:r>
      <w:proofErr w:type="spellStart"/>
      <w:r w:rsidR="00A72601" w:rsidRPr="00376864">
        <w:rPr>
          <w:rFonts w:ascii="Arial" w:eastAsia="Arial" w:hAnsi="Arial" w:cs="Arial"/>
          <w:b w:val="0"/>
          <w:caps w:val="0"/>
          <w:sz w:val="20"/>
          <w:highlight w:val="yellow"/>
        </w:rPr>
        <w:t>Nuha</w:t>
      </w:r>
      <w:proofErr w:type="spellEnd"/>
      <w:r w:rsidR="00A72601" w:rsidRPr="00376864">
        <w:rPr>
          <w:rFonts w:ascii="Arial" w:eastAsia="Arial" w:hAnsi="Arial" w:cs="Arial"/>
          <w:b w:val="0"/>
          <w:caps w:val="0"/>
          <w:sz w:val="20"/>
          <w:highlight w:val="yellow"/>
        </w:rPr>
        <w:t xml:space="preserve"> et al., 2025).</w:t>
      </w:r>
      <w:r w:rsidR="00A72601">
        <w:rPr>
          <w:rFonts w:ascii="Arial" w:eastAsia="Arial" w:hAnsi="Arial" w:cs="Arial"/>
          <w:b w:val="0"/>
          <w:caps w:val="0"/>
          <w:sz w:val="20"/>
        </w:rPr>
        <w:t xml:space="preserve"> </w:t>
      </w:r>
      <w:r w:rsidRPr="000F7542">
        <w:rPr>
          <w:rFonts w:ascii="Arial" w:eastAsia="Arial" w:hAnsi="Arial" w:cs="Arial"/>
          <w:b w:val="0"/>
          <w:caps w:val="0"/>
          <w:sz w:val="20"/>
        </w:rPr>
        <w:t>Although existing literature discusses general classroom management strategies and the potential role of seating arrangements, a noticeable gap remains in research specifically examining how structured seating configurations can reduce disruptive behaviors—particularly among grade 2 learners (</w:t>
      </w:r>
      <w:proofErr w:type="spellStart"/>
      <w:r w:rsidRPr="000F7542">
        <w:rPr>
          <w:rFonts w:ascii="Arial" w:eastAsia="Arial" w:hAnsi="Arial" w:cs="Arial"/>
          <w:b w:val="0"/>
          <w:caps w:val="0"/>
          <w:sz w:val="20"/>
        </w:rPr>
        <w:t>thoyibi</w:t>
      </w:r>
      <w:proofErr w:type="spellEnd"/>
      <w:r w:rsidRPr="000F7542">
        <w:rPr>
          <w:rFonts w:ascii="Arial" w:eastAsia="Arial" w:hAnsi="Arial" w:cs="Arial"/>
          <w:b w:val="0"/>
          <w:caps w:val="0"/>
          <w:sz w:val="20"/>
        </w:rPr>
        <w:t xml:space="preserve"> et al., 2021; </w:t>
      </w:r>
      <w:proofErr w:type="spellStart"/>
      <w:r w:rsidRPr="00376864">
        <w:rPr>
          <w:rFonts w:ascii="Arial" w:eastAsia="Arial" w:hAnsi="Arial" w:cs="Arial"/>
          <w:b w:val="0"/>
          <w:caps w:val="0"/>
          <w:sz w:val="20"/>
          <w:highlight w:val="yellow"/>
        </w:rPr>
        <w:t>sarwar</w:t>
      </w:r>
      <w:proofErr w:type="spellEnd"/>
      <w:r w:rsidRPr="00376864">
        <w:rPr>
          <w:rFonts w:ascii="Arial" w:eastAsia="Arial" w:hAnsi="Arial" w:cs="Arial"/>
          <w:b w:val="0"/>
          <w:caps w:val="0"/>
          <w:sz w:val="20"/>
          <w:highlight w:val="yellow"/>
        </w:rPr>
        <w:t xml:space="preserve"> et al., 2024).</w:t>
      </w:r>
    </w:p>
    <w:p w14:paraId="2B982135" w14:textId="22169062" w:rsidR="00790ADA" w:rsidRPr="00CE62DA" w:rsidRDefault="00B879A8" w:rsidP="00162C8A">
      <w:pPr>
        <w:pStyle w:val="Head1"/>
        <w:spacing w:after="0"/>
        <w:jc w:val="both"/>
        <w:rPr>
          <w:rFonts w:ascii="Arial" w:hAnsi="Arial" w:cs="Arial"/>
        </w:rPr>
      </w:pPr>
      <w:r w:rsidRPr="00BC3715">
        <w:rPr>
          <w:rFonts w:ascii="Arial" w:hAnsi="Arial" w:cs="Arial"/>
          <w:caps w:val="0"/>
          <w:sz w:val="20"/>
        </w:rPr>
        <w:t>4</w:t>
      </w:r>
      <w:r w:rsidR="00B024AC" w:rsidRPr="00BC3715">
        <w:rPr>
          <w:rFonts w:ascii="Arial" w:hAnsi="Arial" w:cs="Arial"/>
          <w:caps w:val="0"/>
          <w:sz w:val="20"/>
        </w:rPr>
        <w:t>.1</w:t>
      </w:r>
      <w:r w:rsidR="00B024AC" w:rsidRPr="00CE62DA">
        <w:rPr>
          <w:rFonts w:ascii="Arial" w:hAnsi="Arial" w:cs="Arial"/>
          <w:caps w:val="0"/>
        </w:rPr>
        <w:t xml:space="preserve"> </w:t>
      </w:r>
      <w:r w:rsidR="008506BA" w:rsidRPr="008506BA">
        <w:rPr>
          <w:rFonts w:ascii="Arial" w:hAnsi="Arial" w:cs="Arial"/>
          <w:b w:val="0"/>
          <w:caps w:val="0"/>
          <w:sz w:val="20"/>
        </w:rPr>
        <w:t xml:space="preserve">Level </w:t>
      </w:r>
      <w:proofErr w:type="gramStart"/>
      <w:r w:rsidR="008506BA" w:rsidRPr="008506BA">
        <w:rPr>
          <w:rFonts w:ascii="Arial" w:hAnsi="Arial" w:cs="Arial"/>
          <w:b w:val="0"/>
          <w:caps w:val="0"/>
          <w:sz w:val="20"/>
        </w:rPr>
        <w:t>Of</w:t>
      </w:r>
      <w:proofErr w:type="gramEnd"/>
      <w:r w:rsidR="008506BA" w:rsidRPr="008506BA">
        <w:rPr>
          <w:rFonts w:ascii="Arial" w:hAnsi="Arial" w:cs="Arial"/>
          <w:b w:val="0"/>
          <w:caps w:val="0"/>
          <w:sz w:val="20"/>
        </w:rPr>
        <w:t xml:space="preserve"> Behavior During Pre-Intervention</w:t>
      </w:r>
    </w:p>
    <w:p w14:paraId="5AE8A2C8" w14:textId="77777777" w:rsidR="007B782A" w:rsidRDefault="007B782A" w:rsidP="00162C8A">
      <w:pPr>
        <w:pStyle w:val="Body"/>
        <w:spacing w:after="0"/>
      </w:pPr>
      <w:r w:rsidRPr="007B782A">
        <w:t xml:space="preserve">The baseline data revealed that the most frequent disruptive behavior was </w:t>
      </w:r>
      <w:r w:rsidRPr="004C15AF">
        <w:rPr>
          <w:rStyle w:val="Strong"/>
          <w:b w:val="0"/>
        </w:rPr>
        <w:t>talking out of turn</w:t>
      </w:r>
      <w:r w:rsidRPr="007B782A">
        <w:t xml:space="preserve">, followed by </w:t>
      </w:r>
      <w:r w:rsidRPr="004C15AF">
        <w:rPr>
          <w:rStyle w:val="Strong"/>
          <w:b w:val="0"/>
        </w:rPr>
        <w:t>gossiping with</w:t>
      </w:r>
      <w:r w:rsidRPr="007B782A">
        <w:rPr>
          <w:rStyle w:val="Strong"/>
        </w:rPr>
        <w:t xml:space="preserve"> </w:t>
      </w:r>
      <w:r w:rsidRPr="004C15AF">
        <w:rPr>
          <w:rStyle w:val="Strong"/>
          <w:b w:val="0"/>
        </w:rPr>
        <w:t>peers</w:t>
      </w:r>
      <w:r w:rsidRPr="007B782A">
        <w:t xml:space="preserve"> and </w:t>
      </w:r>
      <w:r w:rsidRPr="004C15AF">
        <w:rPr>
          <w:rStyle w:val="Strong"/>
          <w:b w:val="0"/>
        </w:rPr>
        <w:t>roaming around</w:t>
      </w:r>
      <w:r w:rsidRPr="007B782A">
        <w:t xml:space="preserve">. Other less frequent but present behaviors included </w:t>
      </w:r>
      <w:r w:rsidRPr="004C15AF">
        <w:rPr>
          <w:rStyle w:val="Strong"/>
          <w:b w:val="0"/>
        </w:rPr>
        <w:t>shouting</w:t>
      </w:r>
      <w:r w:rsidRPr="004C15AF">
        <w:rPr>
          <w:b/>
        </w:rPr>
        <w:t xml:space="preserve">, </w:t>
      </w:r>
      <w:r w:rsidRPr="004C15AF">
        <w:rPr>
          <w:rStyle w:val="Strong"/>
          <w:b w:val="0"/>
        </w:rPr>
        <w:t>going out</w:t>
      </w:r>
      <w:r w:rsidRPr="004C15AF">
        <w:rPr>
          <w:b/>
        </w:rPr>
        <w:t xml:space="preserve">, </w:t>
      </w:r>
      <w:r w:rsidRPr="004C15AF">
        <w:rPr>
          <w:rStyle w:val="Strong"/>
          <w:b w:val="0"/>
        </w:rPr>
        <w:t>playing</w:t>
      </w:r>
      <w:r w:rsidRPr="004C15AF">
        <w:rPr>
          <w:b/>
        </w:rPr>
        <w:t>,</w:t>
      </w:r>
      <w:r w:rsidRPr="007B782A">
        <w:t xml:space="preserve"> and </w:t>
      </w:r>
      <w:r w:rsidRPr="004C15AF">
        <w:rPr>
          <w:rStyle w:val="Strong"/>
          <w:b w:val="0"/>
        </w:rPr>
        <w:t>standing</w:t>
      </w:r>
      <w:r w:rsidRPr="004C15AF">
        <w:rPr>
          <w:b/>
        </w:rPr>
        <w:t>.</w:t>
      </w:r>
    </w:p>
    <w:p w14:paraId="2EA28FCB" w14:textId="77777777" w:rsidR="004C15AF" w:rsidRPr="00FE6F92" w:rsidRDefault="004C15AF" w:rsidP="004C15AF">
      <w:pPr>
        <w:jc w:val="both"/>
        <w:rPr>
          <w:rFonts w:ascii="Arial" w:eastAsia="Calibri" w:hAnsi="Arial" w:cs="Arial"/>
          <w:b/>
          <w:bCs/>
        </w:rPr>
      </w:pPr>
      <w:r w:rsidRPr="00FE6F92">
        <w:rPr>
          <w:rFonts w:ascii="Arial" w:eastAsia="Calibri" w:hAnsi="Arial" w:cs="Arial"/>
          <w:b/>
          <w:bCs/>
        </w:rPr>
        <w:t xml:space="preserve">Table 1. </w:t>
      </w:r>
      <w:r w:rsidRPr="00FE6F92">
        <w:rPr>
          <w:rFonts w:ascii="Arial" w:eastAsia="Calibri" w:hAnsi="Arial" w:cs="Arial"/>
          <w:b/>
        </w:rPr>
        <w:t xml:space="preserve">Level of behavior during pre-intervention </w:t>
      </w:r>
    </w:p>
    <w:tbl>
      <w:tblPr>
        <w:tblStyle w:val="TableGrid2"/>
        <w:tblW w:w="8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810"/>
        <w:gridCol w:w="900"/>
        <w:gridCol w:w="810"/>
        <w:gridCol w:w="783"/>
        <w:gridCol w:w="792"/>
        <w:gridCol w:w="765"/>
        <w:gridCol w:w="990"/>
      </w:tblGrid>
      <w:tr w:rsidR="004C15AF" w:rsidRPr="004C15AF" w14:paraId="5329A668" w14:textId="77777777" w:rsidTr="00FE6F92">
        <w:trPr>
          <w:trHeight w:val="300"/>
        </w:trPr>
        <w:tc>
          <w:tcPr>
            <w:tcW w:w="2335" w:type="dxa"/>
            <w:tcBorders>
              <w:top w:val="single" w:sz="4" w:space="0" w:color="auto"/>
              <w:bottom w:val="single" w:sz="4" w:space="0" w:color="auto"/>
            </w:tcBorders>
            <w:shd w:val="clear" w:color="auto" w:fill="auto"/>
            <w:noWrap/>
            <w:vAlign w:val="center"/>
          </w:tcPr>
          <w:p w14:paraId="2D733DE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Disruptive Behavior</w:t>
            </w:r>
          </w:p>
        </w:tc>
        <w:tc>
          <w:tcPr>
            <w:tcW w:w="810" w:type="dxa"/>
            <w:tcBorders>
              <w:top w:val="single" w:sz="4" w:space="0" w:color="auto"/>
              <w:bottom w:val="single" w:sz="4" w:space="0" w:color="auto"/>
            </w:tcBorders>
            <w:shd w:val="clear" w:color="auto" w:fill="auto"/>
            <w:noWrap/>
            <w:vAlign w:val="center"/>
          </w:tcPr>
          <w:p w14:paraId="391ABAF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1</w:t>
            </w:r>
          </w:p>
        </w:tc>
        <w:tc>
          <w:tcPr>
            <w:tcW w:w="900" w:type="dxa"/>
            <w:tcBorders>
              <w:top w:val="single" w:sz="4" w:space="0" w:color="auto"/>
              <w:bottom w:val="single" w:sz="4" w:space="0" w:color="auto"/>
            </w:tcBorders>
            <w:shd w:val="clear" w:color="auto" w:fill="auto"/>
            <w:noWrap/>
            <w:vAlign w:val="center"/>
          </w:tcPr>
          <w:p w14:paraId="518416E2"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2</w:t>
            </w:r>
          </w:p>
        </w:tc>
        <w:tc>
          <w:tcPr>
            <w:tcW w:w="810" w:type="dxa"/>
            <w:tcBorders>
              <w:top w:val="single" w:sz="4" w:space="0" w:color="auto"/>
              <w:bottom w:val="single" w:sz="4" w:space="0" w:color="auto"/>
            </w:tcBorders>
            <w:shd w:val="clear" w:color="auto" w:fill="auto"/>
            <w:noWrap/>
            <w:vAlign w:val="center"/>
          </w:tcPr>
          <w:p w14:paraId="536EC4ED"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3</w:t>
            </w:r>
          </w:p>
        </w:tc>
        <w:tc>
          <w:tcPr>
            <w:tcW w:w="783" w:type="dxa"/>
            <w:tcBorders>
              <w:top w:val="single" w:sz="4" w:space="0" w:color="auto"/>
              <w:bottom w:val="single" w:sz="4" w:space="0" w:color="auto"/>
            </w:tcBorders>
            <w:shd w:val="clear" w:color="auto" w:fill="auto"/>
            <w:noWrap/>
            <w:vAlign w:val="center"/>
          </w:tcPr>
          <w:p w14:paraId="5B85965B"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4</w:t>
            </w:r>
          </w:p>
        </w:tc>
        <w:tc>
          <w:tcPr>
            <w:tcW w:w="792" w:type="dxa"/>
            <w:tcBorders>
              <w:top w:val="single" w:sz="4" w:space="0" w:color="auto"/>
              <w:bottom w:val="single" w:sz="4" w:space="0" w:color="auto"/>
            </w:tcBorders>
            <w:shd w:val="clear" w:color="auto" w:fill="auto"/>
            <w:noWrap/>
            <w:vAlign w:val="center"/>
          </w:tcPr>
          <w:p w14:paraId="2EE60E3B"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5</w:t>
            </w:r>
          </w:p>
        </w:tc>
        <w:tc>
          <w:tcPr>
            <w:tcW w:w="765" w:type="dxa"/>
            <w:tcBorders>
              <w:top w:val="single" w:sz="4" w:space="0" w:color="auto"/>
              <w:bottom w:val="single" w:sz="4" w:space="0" w:color="auto"/>
            </w:tcBorders>
            <w:shd w:val="clear" w:color="auto" w:fill="auto"/>
            <w:noWrap/>
            <w:vAlign w:val="center"/>
          </w:tcPr>
          <w:p w14:paraId="4ABCB9D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Total</w:t>
            </w:r>
          </w:p>
        </w:tc>
        <w:tc>
          <w:tcPr>
            <w:tcW w:w="990" w:type="dxa"/>
            <w:tcBorders>
              <w:top w:val="single" w:sz="4" w:space="0" w:color="auto"/>
              <w:bottom w:val="single" w:sz="4" w:space="0" w:color="auto"/>
            </w:tcBorders>
            <w:shd w:val="clear" w:color="auto" w:fill="auto"/>
            <w:noWrap/>
            <w:vAlign w:val="center"/>
          </w:tcPr>
          <w:p w14:paraId="4533114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Average</w:t>
            </w:r>
          </w:p>
        </w:tc>
      </w:tr>
      <w:tr w:rsidR="004C15AF" w:rsidRPr="004C15AF" w14:paraId="06DBB68D" w14:textId="77777777" w:rsidTr="009647B8">
        <w:trPr>
          <w:trHeight w:val="143"/>
        </w:trPr>
        <w:tc>
          <w:tcPr>
            <w:tcW w:w="2335" w:type="dxa"/>
            <w:tcBorders>
              <w:top w:val="single" w:sz="4" w:space="0" w:color="auto"/>
              <w:bottom w:val="single" w:sz="4" w:space="0" w:color="auto"/>
            </w:tcBorders>
            <w:shd w:val="clear" w:color="auto" w:fill="auto"/>
            <w:noWrap/>
            <w:hideMark/>
          </w:tcPr>
          <w:p w14:paraId="7FE1BBAB"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 Talking Out of Turn</w:t>
            </w:r>
          </w:p>
        </w:tc>
        <w:tc>
          <w:tcPr>
            <w:tcW w:w="810" w:type="dxa"/>
            <w:tcBorders>
              <w:top w:val="single" w:sz="4" w:space="0" w:color="auto"/>
              <w:bottom w:val="single" w:sz="4" w:space="0" w:color="auto"/>
            </w:tcBorders>
            <w:shd w:val="clear" w:color="auto" w:fill="auto"/>
            <w:noWrap/>
            <w:hideMark/>
          </w:tcPr>
          <w:p w14:paraId="11E991CD"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15</w:t>
            </w:r>
          </w:p>
        </w:tc>
        <w:tc>
          <w:tcPr>
            <w:tcW w:w="900" w:type="dxa"/>
            <w:tcBorders>
              <w:top w:val="single" w:sz="4" w:space="0" w:color="auto"/>
              <w:bottom w:val="single" w:sz="4" w:space="0" w:color="auto"/>
            </w:tcBorders>
            <w:shd w:val="clear" w:color="auto" w:fill="auto"/>
            <w:noWrap/>
            <w:hideMark/>
          </w:tcPr>
          <w:p w14:paraId="488B108E"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17</w:t>
            </w:r>
          </w:p>
        </w:tc>
        <w:tc>
          <w:tcPr>
            <w:tcW w:w="810" w:type="dxa"/>
            <w:tcBorders>
              <w:top w:val="single" w:sz="4" w:space="0" w:color="auto"/>
              <w:bottom w:val="single" w:sz="4" w:space="0" w:color="auto"/>
            </w:tcBorders>
            <w:shd w:val="clear" w:color="auto" w:fill="auto"/>
            <w:noWrap/>
            <w:hideMark/>
          </w:tcPr>
          <w:p w14:paraId="1A07027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18</w:t>
            </w:r>
          </w:p>
        </w:tc>
        <w:tc>
          <w:tcPr>
            <w:tcW w:w="783" w:type="dxa"/>
            <w:tcBorders>
              <w:top w:val="single" w:sz="4" w:space="0" w:color="auto"/>
              <w:bottom w:val="single" w:sz="4" w:space="0" w:color="auto"/>
            </w:tcBorders>
            <w:shd w:val="clear" w:color="auto" w:fill="auto"/>
            <w:noWrap/>
            <w:hideMark/>
          </w:tcPr>
          <w:p w14:paraId="19F536EA"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21</w:t>
            </w:r>
          </w:p>
        </w:tc>
        <w:tc>
          <w:tcPr>
            <w:tcW w:w="792" w:type="dxa"/>
            <w:tcBorders>
              <w:top w:val="single" w:sz="4" w:space="0" w:color="auto"/>
              <w:bottom w:val="single" w:sz="4" w:space="0" w:color="auto"/>
            </w:tcBorders>
            <w:shd w:val="clear" w:color="auto" w:fill="auto"/>
            <w:noWrap/>
            <w:hideMark/>
          </w:tcPr>
          <w:p w14:paraId="6F4879A2"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23</w:t>
            </w:r>
          </w:p>
        </w:tc>
        <w:tc>
          <w:tcPr>
            <w:tcW w:w="765" w:type="dxa"/>
            <w:tcBorders>
              <w:top w:val="single" w:sz="4" w:space="0" w:color="auto"/>
              <w:bottom w:val="single" w:sz="4" w:space="0" w:color="auto"/>
            </w:tcBorders>
            <w:shd w:val="clear" w:color="auto" w:fill="auto"/>
            <w:noWrap/>
            <w:hideMark/>
          </w:tcPr>
          <w:p w14:paraId="4A6F38C2"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94</w:t>
            </w:r>
          </w:p>
        </w:tc>
        <w:tc>
          <w:tcPr>
            <w:tcW w:w="990" w:type="dxa"/>
            <w:tcBorders>
              <w:top w:val="single" w:sz="4" w:space="0" w:color="auto"/>
              <w:bottom w:val="single" w:sz="4" w:space="0" w:color="auto"/>
            </w:tcBorders>
            <w:shd w:val="clear" w:color="auto" w:fill="auto"/>
            <w:noWrap/>
            <w:hideMark/>
          </w:tcPr>
          <w:p w14:paraId="27E13C86"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18.80</w:t>
            </w:r>
          </w:p>
        </w:tc>
      </w:tr>
      <w:tr w:rsidR="004C15AF" w:rsidRPr="004C15AF" w14:paraId="235EB929" w14:textId="77777777" w:rsidTr="00FE6F92">
        <w:trPr>
          <w:trHeight w:val="300"/>
        </w:trPr>
        <w:tc>
          <w:tcPr>
            <w:tcW w:w="2335" w:type="dxa"/>
            <w:tcBorders>
              <w:top w:val="single" w:sz="4" w:space="0" w:color="auto"/>
              <w:bottom w:val="single" w:sz="4" w:space="0" w:color="auto"/>
            </w:tcBorders>
            <w:shd w:val="clear" w:color="auto" w:fill="auto"/>
            <w:noWrap/>
            <w:hideMark/>
          </w:tcPr>
          <w:p w14:paraId="35F6F8D8"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 Gossiping w/ Peers</w:t>
            </w:r>
          </w:p>
        </w:tc>
        <w:tc>
          <w:tcPr>
            <w:tcW w:w="810" w:type="dxa"/>
            <w:tcBorders>
              <w:top w:val="single" w:sz="4" w:space="0" w:color="auto"/>
              <w:bottom w:val="single" w:sz="4" w:space="0" w:color="auto"/>
            </w:tcBorders>
            <w:shd w:val="clear" w:color="auto" w:fill="auto"/>
            <w:noWrap/>
            <w:hideMark/>
          </w:tcPr>
          <w:p w14:paraId="5EB5441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12</w:t>
            </w:r>
          </w:p>
        </w:tc>
        <w:tc>
          <w:tcPr>
            <w:tcW w:w="900" w:type="dxa"/>
            <w:tcBorders>
              <w:top w:val="single" w:sz="4" w:space="0" w:color="auto"/>
              <w:bottom w:val="single" w:sz="4" w:space="0" w:color="auto"/>
            </w:tcBorders>
            <w:shd w:val="clear" w:color="auto" w:fill="auto"/>
            <w:noWrap/>
            <w:hideMark/>
          </w:tcPr>
          <w:p w14:paraId="6B022D73"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14</w:t>
            </w:r>
          </w:p>
        </w:tc>
        <w:tc>
          <w:tcPr>
            <w:tcW w:w="810" w:type="dxa"/>
            <w:tcBorders>
              <w:top w:val="single" w:sz="4" w:space="0" w:color="auto"/>
              <w:bottom w:val="single" w:sz="4" w:space="0" w:color="auto"/>
            </w:tcBorders>
            <w:shd w:val="clear" w:color="auto" w:fill="auto"/>
            <w:noWrap/>
            <w:hideMark/>
          </w:tcPr>
          <w:p w14:paraId="4D9681B9"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15</w:t>
            </w:r>
          </w:p>
        </w:tc>
        <w:tc>
          <w:tcPr>
            <w:tcW w:w="783" w:type="dxa"/>
            <w:tcBorders>
              <w:top w:val="single" w:sz="4" w:space="0" w:color="auto"/>
              <w:bottom w:val="single" w:sz="4" w:space="0" w:color="auto"/>
            </w:tcBorders>
            <w:shd w:val="clear" w:color="auto" w:fill="auto"/>
            <w:noWrap/>
            <w:hideMark/>
          </w:tcPr>
          <w:p w14:paraId="21FB743F"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12</w:t>
            </w:r>
          </w:p>
        </w:tc>
        <w:tc>
          <w:tcPr>
            <w:tcW w:w="792" w:type="dxa"/>
            <w:tcBorders>
              <w:top w:val="single" w:sz="4" w:space="0" w:color="auto"/>
              <w:bottom w:val="single" w:sz="4" w:space="0" w:color="auto"/>
            </w:tcBorders>
            <w:shd w:val="clear" w:color="auto" w:fill="auto"/>
            <w:noWrap/>
            <w:hideMark/>
          </w:tcPr>
          <w:p w14:paraId="46A746CA"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19</w:t>
            </w:r>
          </w:p>
        </w:tc>
        <w:tc>
          <w:tcPr>
            <w:tcW w:w="765" w:type="dxa"/>
            <w:tcBorders>
              <w:top w:val="single" w:sz="4" w:space="0" w:color="auto"/>
              <w:bottom w:val="single" w:sz="4" w:space="0" w:color="auto"/>
            </w:tcBorders>
            <w:shd w:val="clear" w:color="auto" w:fill="auto"/>
            <w:noWrap/>
            <w:hideMark/>
          </w:tcPr>
          <w:p w14:paraId="1A538C2D"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77</w:t>
            </w:r>
          </w:p>
        </w:tc>
        <w:tc>
          <w:tcPr>
            <w:tcW w:w="990" w:type="dxa"/>
            <w:tcBorders>
              <w:top w:val="single" w:sz="4" w:space="0" w:color="auto"/>
              <w:bottom w:val="single" w:sz="4" w:space="0" w:color="auto"/>
            </w:tcBorders>
            <w:shd w:val="clear" w:color="auto" w:fill="auto"/>
            <w:noWrap/>
            <w:hideMark/>
          </w:tcPr>
          <w:p w14:paraId="12355731"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15.40</w:t>
            </w:r>
          </w:p>
        </w:tc>
      </w:tr>
      <w:tr w:rsidR="004C15AF" w:rsidRPr="004C15AF" w14:paraId="0A005F0B" w14:textId="77777777" w:rsidTr="009647B8">
        <w:trPr>
          <w:trHeight w:val="233"/>
        </w:trPr>
        <w:tc>
          <w:tcPr>
            <w:tcW w:w="2335" w:type="dxa"/>
            <w:tcBorders>
              <w:top w:val="single" w:sz="4" w:space="0" w:color="auto"/>
              <w:bottom w:val="single" w:sz="4" w:space="0" w:color="auto"/>
            </w:tcBorders>
            <w:shd w:val="clear" w:color="auto" w:fill="auto"/>
            <w:noWrap/>
            <w:hideMark/>
          </w:tcPr>
          <w:p w14:paraId="03F222E1"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3. Roaming Around</w:t>
            </w:r>
          </w:p>
        </w:tc>
        <w:tc>
          <w:tcPr>
            <w:tcW w:w="810" w:type="dxa"/>
            <w:tcBorders>
              <w:top w:val="single" w:sz="4" w:space="0" w:color="auto"/>
              <w:bottom w:val="single" w:sz="4" w:space="0" w:color="auto"/>
            </w:tcBorders>
            <w:shd w:val="clear" w:color="auto" w:fill="auto"/>
            <w:noWrap/>
            <w:hideMark/>
          </w:tcPr>
          <w:p w14:paraId="7B30C21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900" w:type="dxa"/>
            <w:tcBorders>
              <w:top w:val="single" w:sz="4" w:space="0" w:color="auto"/>
              <w:bottom w:val="single" w:sz="4" w:space="0" w:color="auto"/>
            </w:tcBorders>
            <w:shd w:val="clear" w:color="auto" w:fill="auto"/>
            <w:noWrap/>
            <w:hideMark/>
          </w:tcPr>
          <w:p w14:paraId="1891E616"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w:t>
            </w:r>
          </w:p>
        </w:tc>
        <w:tc>
          <w:tcPr>
            <w:tcW w:w="810" w:type="dxa"/>
            <w:tcBorders>
              <w:top w:val="single" w:sz="4" w:space="0" w:color="auto"/>
              <w:bottom w:val="single" w:sz="4" w:space="0" w:color="auto"/>
            </w:tcBorders>
            <w:shd w:val="clear" w:color="auto" w:fill="auto"/>
            <w:noWrap/>
            <w:hideMark/>
          </w:tcPr>
          <w:p w14:paraId="3034A0A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w:t>
            </w:r>
          </w:p>
        </w:tc>
        <w:tc>
          <w:tcPr>
            <w:tcW w:w="783" w:type="dxa"/>
            <w:tcBorders>
              <w:top w:val="single" w:sz="4" w:space="0" w:color="auto"/>
              <w:bottom w:val="single" w:sz="4" w:space="0" w:color="auto"/>
            </w:tcBorders>
            <w:shd w:val="clear" w:color="auto" w:fill="auto"/>
            <w:noWrap/>
            <w:hideMark/>
          </w:tcPr>
          <w:p w14:paraId="6E03E52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9</w:t>
            </w:r>
          </w:p>
        </w:tc>
        <w:tc>
          <w:tcPr>
            <w:tcW w:w="792" w:type="dxa"/>
            <w:tcBorders>
              <w:top w:val="single" w:sz="4" w:space="0" w:color="auto"/>
              <w:bottom w:val="single" w:sz="4" w:space="0" w:color="auto"/>
            </w:tcBorders>
            <w:shd w:val="clear" w:color="auto" w:fill="auto"/>
            <w:noWrap/>
            <w:hideMark/>
          </w:tcPr>
          <w:p w14:paraId="267B1C1B"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11</w:t>
            </w:r>
          </w:p>
        </w:tc>
        <w:tc>
          <w:tcPr>
            <w:tcW w:w="765" w:type="dxa"/>
            <w:tcBorders>
              <w:top w:val="single" w:sz="4" w:space="0" w:color="auto"/>
              <w:bottom w:val="single" w:sz="4" w:space="0" w:color="auto"/>
            </w:tcBorders>
            <w:shd w:val="clear" w:color="auto" w:fill="auto"/>
            <w:noWrap/>
            <w:hideMark/>
          </w:tcPr>
          <w:p w14:paraId="5BF1F2ED"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40</w:t>
            </w:r>
          </w:p>
        </w:tc>
        <w:tc>
          <w:tcPr>
            <w:tcW w:w="990" w:type="dxa"/>
            <w:tcBorders>
              <w:top w:val="single" w:sz="4" w:space="0" w:color="auto"/>
              <w:bottom w:val="single" w:sz="4" w:space="0" w:color="auto"/>
            </w:tcBorders>
            <w:shd w:val="clear" w:color="auto" w:fill="auto"/>
            <w:noWrap/>
            <w:hideMark/>
          </w:tcPr>
          <w:p w14:paraId="6C0153FF"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8.00</w:t>
            </w:r>
          </w:p>
        </w:tc>
      </w:tr>
      <w:tr w:rsidR="004C15AF" w:rsidRPr="004C15AF" w14:paraId="669A8786" w14:textId="77777777" w:rsidTr="009647B8">
        <w:trPr>
          <w:trHeight w:val="242"/>
        </w:trPr>
        <w:tc>
          <w:tcPr>
            <w:tcW w:w="2335" w:type="dxa"/>
            <w:tcBorders>
              <w:top w:val="single" w:sz="4" w:space="0" w:color="auto"/>
              <w:bottom w:val="single" w:sz="4" w:space="0" w:color="auto"/>
            </w:tcBorders>
            <w:shd w:val="clear" w:color="auto" w:fill="auto"/>
            <w:noWrap/>
            <w:hideMark/>
          </w:tcPr>
          <w:p w14:paraId="4B4AD0C8"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 Shouting</w:t>
            </w:r>
          </w:p>
        </w:tc>
        <w:tc>
          <w:tcPr>
            <w:tcW w:w="810" w:type="dxa"/>
            <w:tcBorders>
              <w:top w:val="single" w:sz="4" w:space="0" w:color="auto"/>
              <w:bottom w:val="single" w:sz="4" w:space="0" w:color="auto"/>
            </w:tcBorders>
            <w:shd w:val="clear" w:color="auto" w:fill="auto"/>
            <w:noWrap/>
            <w:hideMark/>
          </w:tcPr>
          <w:p w14:paraId="103873CF"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3</w:t>
            </w:r>
          </w:p>
        </w:tc>
        <w:tc>
          <w:tcPr>
            <w:tcW w:w="900" w:type="dxa"/>
            <w:tcBorders>
              <w:top w:val="single" w:sz="4" w:space="0" w:color="auto"/>
              <w:bottom w:val="single" w:sz="4" w:space="0" w:color="auto"/>
            </w:tcBorders>
            <w:shd w:val="clear" w:color="auto" w:fill="auto"/>
            <w:noWrap/>
            <w:hideMark/>
          </w:tcPr>
          <w:p w14:paraId="60BF75EF"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w:t>
            </w:r>
          </w:p>
        </w:tc>
        <w:tc>
          <w:tcPr>
            <w:tcW w:w="810" w:type="dxa"/>
            <w:tcBorders>
              <w:top w:val="single" w:sz="4" w:space="0" w:color="auto"/>
              <w:bottom w:val="single" w:sz="4" w:space="0" w:color="auto"/>
            </w:tcBorders>
            <w:shd w:val="clear" w:color="auto" w:fill="auto"/>
            <w:noWrap/>
            <w:hideMark/>
          </w:tcPr>
          <w:p w14:paraId="2C1C3255"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783" w:type="dxa"/>
            <w:tcBorders>
              <w:top w:val="single" w:sz="4" w:space="0" w:color="auto"/>
              <w:bottom w:val="single" w:sz="4" w:space="0" w:color="auto"/>
            </w:tcBorders>
            <w:shd w:val="clear" w:color="auto" w:fill="auto"/>
            <w:noWrap/>
            <w:hideMark/>
          </w:tcPr>
          <w:p w14:paraId="50C3BEEB"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792" w:type="dxa"/>
            <w:tcBorders>
              <w:top w:val="single" w:sz="4" w:space="0" w:color="auto"/>
              <w:bottom w:val="single" w:sz="4" w:space="0" w:color="auto"/>
            </w:tcBorders>
            <w:shd w:val="clear" w:color="auto" w:fill="auto"/>
            <w:noWrap/>
            <w:hideMark/>
          </w:tcPr>
          <w:p w14:paraId="008027A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65" w:type="dxa"/>
            <w:tcBorders>
              <w:top w:val="single" w:sz="4" w:space="0" w:color="auto"/>
              <w:bottom w:val="single" w:sz="4" w:space="0" w:color="auto"/>
            </w:tcBorders>
            <w:shd w:val="clear" w:color="auto" w:fill="auto"/>
            <w:noWrap/>
            <w:hideMark/>
          </w:tcPr>
          <w:p w14:paraId="4F7CC7F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23</w:t>
            </w:r>
          </w:p>
        </w:tc>
        <w:tc>
          <w:tcPr>
            <w:tcW w:w="990" w:type="dxa"/>
            <w:tcBorders>
              <w:top w:val="single" w:sz="4" w:space="0" w:color="auto"/>
              <w:bottom w:val="single" w:sz="4" w:space="0" w:color="auto"/>
            </w:tcBorders>
            <w:shd w:val="clear" w:color="auto" w:fill="auto"/>
            <w:noWrap/>
            <w:hideMark/>
          </w:tcPr>
          <w:p w14:paraId="01103A55"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4.60</w:t>
            </w:r>
          </w:p>
        </w:tc>
      </w:tr>
      <w:tr w:rsidR="004C15AF" w:rsidRPr="004C15AF" w14:paraId="302DF172" w14:textId="77777777" w:rsidTr="009647B8">
        <w:trPr>
          <w:trHeight w:val="188"/>
        </w:trPr>
        <w:tc>
          <w:tcPr>
            <w:tcW w:w="2335" w:type="dxa"/>
            <w:tcBorders>
              <w:top w:val="single" w:sz="4" w:space="0" w:color="auto"/>
              <w:bottom w:val="single" w:sz="4" w:space="0" w:color="auto"/>
            </w:tcBorders>
            <w:shd w:val="clear" w:color="auto" w:fill="auto"/>
            <w:noWrap/>
            <w:hideMark/>
          </w:tcPr>
          <w:p w14:paraId="514E05CF" w14:textId="77777777" w:rsidR="004C15AF" w:rsidRPr="004C15AF" w:rsidRDefault="004C15AF" w:rsidP="004C15AF">
            <w:pPr>
              <w:tabs>
                <w:tab w:val="left" w:pos="1731"/>
              </w:tabs>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lastRenderedPageBreak/>
              <w:t>5. Standing</w:t>
            </w:r>
            <w:r w:rsidRPr="004C15AF">
              <w:rPr>
                <w:rFonts w:ascii="Arial" w:eastAsia="Times New Roman" w:hAnsi="Arial" w:cs="Arial"/>
                <w:color w:val="000000"/>
                <w:sz w:val="20"/>
                <w:szCs w:val="20"/>
                <w:lang w:eastAsia="en-PH"/>
              </w:rPr>
              <w:tab/>
            </w:r>
          </w:p>
        </w:tc>
        <w:tc>
          <w:tcPr>
            <w:tcW w:w="810" w:type="dxa"/>
            <w:tcBorders>
              <w:top w:val="single" w:sz="4" w:space="0" w:color="auto"/>
              <w:bottom w:val="single" w:sz="4" w:space="0" w:color="auto"/>
            </w:tcBorders>
            <w:shd w:val="clear" w:color="auto" w:fill="auto"/>
            <w:noWrap/>
            <w:hideMark/>
          </w:tcPr>
          <w:p w14:paraId="3941AB3E"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900" w:type="dxa"/>
            <w:tcBorders>
              <w:top w:val="single" w:sz="4" w:space="0" w:color="auto"/>
              <w:bottom w:val="single" w:sz="4" w:space="0" w:color="auto"/>
            </w:tcBorders>
            <w:shd w:val="clear" w:color="auto" w:fill="auto"/>
            <w:noWrap/>
            <w:hideMark/>
          </w:tcPr>
          <w:p w14:paraId="27534995"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w:t>
            </w:r>
          </w:p>
        </w:tc>
        <w:tc>
          <w:tcPr>
            <w:tcW w:w="810" w:type="dxa"/>
            <w:tcBorders>
              <w:top w:val="single" w:sz="4" w:space="0" w:color="auto"/>
              <w:bottom w:val="single" w:sz="4" w:space="0" w:color="auto"/>
            </w:tcBorders>
            <w:shd w:val="clear" w:color="auto" w:fill="auto"/>
            <w:noWrap/>
            <w:hideMark/>
          </w:tcPr>
          <w:p w14:paraId="413AADB9"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w:t>
            </w:r>
          </w:p>
        </w:tc>
        <w:tc>
          <w:tcPr>
            <w:tcW w:w="783" w:type="dxa"/>
            <w:tcBorders>
              <w:top w:val="single" w:sz="4" w:space="0" w:color="auto"/>
              <w:bottom w:val="single" w:sz="4" w:space="0" w:color="auto"/>
            </w:tcBorders>
            <w:shd w:val="clear" w:color="auto" w:fill="auto"/>
            <w:noWrap/>
            <w:hideMark/>
          </w:tcPr>
          <w:p w14:paraId="03276ED3"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10</w:t>
            </w:r>
          </w:p>
        </w:tc>
        <w:tc>
          <w:tcPr>
            <w:tcW w:w="792" w:type="dxa"/>
            <w:tcBorders>
              <w:top w:val="single" w:sz="4" w:space="0" w:color="auto"/>
              <w:bottom w:val="single" w:sz="4" w:space="0" w:color="auto"/>
            </w:tcBorders>
            <w:shd w:val="clear" w:color="auto" w:fill="auto"/>
            <w:noWrap/>
            <w:hideMark/>
          </w:tcPr>
          <w:p w14:paraId="1AD3354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11</w:t>
            </w:r>
          </w:p>
        </w:tc>
        <w:tc>
          <w:tcPr>
            <w:tcW w:w="765" w:type="dxa"/>
            <w:tcBorders>
              <w:top w:val="single" w:sz="4" w:space="0" w:color="auto"/>
              <w:bottom w:val="single" w:sz="4" w:space="0" w:color="auto"/>
            </w:tcBorders>
            <w:shd w:val="clear" w:color="auto" w:fill="auto"/>
            <w:noWrap/>
            <w:hideMark/>
          </w:tcPr>
          <w:p w14:paraId="33AE8C41"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11</w:t>
            </w:r>
          </w:p>
        </w:tc>
        <w:tc>
          <w:tcPr>
            <w:tcW w:w="990" w:type="dxa"/>
            <w:tcBorders>
              <w:top w:val="single" w:sz="4" w:space="0" w:color="auto"/>
              <w:bottom w:val="single" w:sz="4" w:space="0" w:color="auto"/>
            </w:tcBorders>
            <w:shd w:val="clear" w:color="auto" w:fill="auto"/>
            <w:noWrap/>
            <w:hideMark/>
          </w:tcPr>
          <w:p w14:paraId="4A47665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2.20</w:t>
            </w:r>
          </w:p>
        </w:tc>
      </w:tr>
      <w:tr w:rsidR="004C15AF" w:rsidRPr="004C15AF" w14:paraId="16CFAC25" w14:textId="77777777" w:rsidTr="009647B8">
        <w:trPr>
          <w:trHeight w:val="215"/>
        </w:trPr>
        <w:tc>
          <w:tcPr>
            <w:tcW w:w="2335" w:type="dxa"/>
            <w:tcBorders>
              <w:top w:val="single" w:sz="4" w:space="0" w:color="auto"/>
              <w:bottom w:val="single" w:sz="4" w:space="0" w:color="auto"/>
            </w:tcBorders>
            <w:shd w:val="clear" w:color="auto" w:fill="auto"/>
            <w:noWrap/>
            <w:hideMark/>
          </w:tcPr>
          <w:p w14:paraId="6D947415"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 Going Out</w:t>
            </w:r>
          </w:p>
        </w:tc>
        <w:tc>
          <w:tcPr>
            <w:tcW w:w="810" w:type="dxa"/>
            <w:tcBorders>
              <w:top w:val="single" w:sz="4" w:space="0" w:color="auto"/>
              <w:bottom w:val="single" w:sz="4" w:space="0" w:color="auto"/>
            </w:tcBorders>
            <w:shd w:val="clear" w:color="auto" w:fill="auto"/>
            <w:noWrap/>
            <w:hideMark/>
          </w:tcPr>
          <w:p w14:paraId="73364961"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w:t>
            </w:r>
          </w:p>
        </w:tc>
        <w:tc>
          <w:tcPr>
            <w:tcW w:w="900" w:type="dxa"/>
            <w:tcBorders>
              <w:top w:val="single" w:sz="4" w:space="0" w:color="auto"/>
              <w:bottom w:val="single" w:sz="4" w:space="0" w:color="auto"/>
            </w:tcBorders>
            <w:shd w:val="clear" w:color="auto" w:fill="auto"/>
            <w:noWrap/>
            <w:hideMark/>
          </w:tcPr>
          <w:p w14:paraId="04AA02E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810" w:type="dxa"/>
            <w:tcBorders>
              <w:top w:val="single" w:sz="4" w:space="0" w:color="auto"/>
              <w:bottom w:val="single" w:sz="4" w:space="0" w:color="auto"/>
            </w:tcBorders>
            <w:shd w:val="clear" w:color="auto" w:fill="auto"/>
            <w:noWrap/>
            <w:hideMark/>
          </w:tcPr>
          <w:p w14:paraId="093E2AB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83" w:type="dxa"/>
            <w:tcBorders>
              <w:top w:val="single" w:sz="4" w:space="0" w:color="auto"/>
              <w:bottom w:val="single" w:sz="4" w:space="0" w:color="auto"/>
            </w:tcBorders>
            <w:shd w:val="clear" w:color="auto" w:fill="auto"/>
            <w:noWrap/>
            <w:hideMark/>
          </w:tcPr>
          <w:p w14:paraId="30F97D4E"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92" w:type="dxa"/>
            <w:tcBorders>
              <w:top w:val="single" w:sz="4" w:space="0" w:color="auto"/>
              <w:bottom w:val="single" w:sz="4" w:space="0" w:color="auto"/>
            </w:tcBorders>
            <w:shd w:val="clear" w:color="auto" w:fill="auto"/>
            <w:noWrap/>
            <w:hideMark/>
          </w:tcPr>
          <w:p w14:paraId="6E48F67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w:t>
            </w:r>
          </w:p>
        </w:tc>
        <w:tc>
          <w:tcPr>
            <w:tcW w:w="765" w:type="dxa"/>
            <w:tcBorders>
              <w:top w:val="single" w:sz="4" w:space="0" w:color="auto"/>
              <w:bottom w:val="single" w:sz="4" w:space="0" w:color="auto"/>
            </w:tcBorders>
            <w:shd w:val="clear" w:color="auto" w:fill="auto"/>
            <w:noWrap/>
            <w:hideMark/>
          </w:tcPr>
          <w:p w14:paraId="00245155"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28</w:t>
            </w:r>
          </w:p>
        </w:tc>
        <w:tc>
          <w:tcPr>
            <w:tcW w:w="990" w:type="dxa"/>
            <w:tcBorders>
              <w:top w:val="single" w:sz="4" w:space="0" w:color="auto"/>
              <w:bottom w:val="single" w:sz="4" w:space="0" w:color="auto"/>
            </w:tcBorders>
            <w:shd w:val="clear" w:color="auto" w:fill="auto"/>
            <w:noWrap/>
            <w:hideMark/>
          </w:tcPr>
          <w:p w14:paraId="0C50E78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5.60</w:t>
            </w:r>
          </w:p>
        </w:tc>
      </w:tr>
      <w:tr w:rsidR="004C15AF" w:rsidRPr="004C15AF" w14:paraId="53C7D139" w14:textId="77777777" w:rsidTr="00FE6F92">
        <w:trPr>
          <w:trHeight w:val="224"/>
        </w:trPr>
        <w:tc>
          <w:tcPr>
            <w:tcW w:w="2335" w:type="dxa"/>
            <w:tcBorders>
              <w:top w:val="single" w:sz="4" w:space="0" w:color="auto"/>
              <w:bottom w:val="single" w:sz="4" w:space="0" w:color="auto"/>
            </w:tcBorders>
            <w:shd w:val="clear" w:color="auto" w:fill="auto"/>
            <w:noWrap/>
            <w:hideMark/>
          </w:tcPr>
          <w:p w14:paraId="380BD7D5"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 Playing</w:t>
            </w:r>
          </w:p>
        </w:tc>
        <w:tc>
          <w:tcPr>
            <w:tcW w:w="810" w:type="dxa"/>
            <w:tcBorders>
              <w:top w:val="single" w:sz="4" w:space="0" w:color="auto"/>
              <w:bottom w:val="single" w:sz="4" w:space="0" w:color="auto"/>
            </w:tcBorders>
            <w:shd w:val="clear" w:color="auto" w:fill="auto"/>
            <w:noWrap/>
            <w:hideMark/>
          </w:tcPr>
          <w:p w14:paraId="3963CD26"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w:t>
            </w:r>
          </w:p>
        </w:tc>
        <w:tc>
          <w:tcPr>
            <w:tcW w:w="900" w:type="dxa"/>
            <w:tcBorders>
              <w:top w:val="single" w:sz="4" w:space="0" w:color="auto"/>
              <w:bottom w:val="single" w:sz="4" w:space="0" w:color="auto"/>
            </w:tcBorders>
            <w:shd w:val="clear" w:color="auto" w:fill="auto"/>
            <w:noWrap/>
            <w:hideMark/>
          </w:tcPr>
          <w:p w14:paraId="44C206F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810" w:type="dxa"/>
            <w:tcBorders>
              <w:top w:val="single" w:sz="4" w:space="0" w:color="auto"/>
              <w:bottom w:val="single" w:sz="4" w:space="0" w:color="auto"/>
            </w:tcBorders>
            <w:shd w:val="clear" w:color="auto" w:fill="auto"/>
            <w:noWrap/>
            <w:hideMark/>
          </w:tcPr>
          <w:p w14:paraId="62921B9A"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83" w:type="dxa"/>
            <w:tcBorders>
              <w:top w:val="single" w:sz="4" w:space="0" w:color="auto"/>
              <w:bottom w:val="single" w:sz="4" w:space="0" w:color="auto"/>
            </w:tcBorders>
            <w:shd w:val="clear" w:color="auto" w:fill="auto"/>
            <w:noWrap/>
            <w:hideMark/>
          </w:tcPr>
          <w:p w14:paraId="1A39D60A"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92" w:type="dxa"/>
            <w:tcBorders>
              <w:top w:val="single" w:sz="4" w:space="0" w:color="auto"/>
              <w:bottom w:val="single" w:sz="4" w:space="0" w:color="auto"/>
            </w:tcBorders>
            <w:shd w:val="clear" w:color="auto" w:fill="auto"/>
            <w:noWrap/>
            <w:hideMark/>
          </w:tcPr>
          <w:p w14:paraId="37D4F11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w:t>
            </w:r>
          </w:p>
        </w:tc>
        <w:tc>
          <w:tcPr>
            <w:tcW w:w="765" w:type="dxa"/>
            <w:tcBorders>
              <w:top w:val="single" w:sz="4" w:space="0" w:color="auto"/>
              <w:bottom w:val="single" w:sz="4" w:space="0" w:color="auto"/>
            </w:tcBorders>
            <w:shd w:val="clear" w:color="auto" w:fill="auto"/>
            <w:noWrap/>
            <w:hideMark/>
          </w:tcPr>
          <w:p w14:paraId="7F3290D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29</w:t>
            </w:r>
          </w:p>
        </w:tc>
        <w:tc>
          <w:tcPr>
            <w:tcW w:w="990" w:type="dxa"/>
            <w:tcBorders>
              <w:top w:val="single" w:sz="4" w:space="0" w:color="auto"/>
              <w:bottom w:val="single" w:sz="4" w:space="0" w:color="auto"/>
            </w:tcBorders>
            <w:shd w:val="clear" w:color="auto" w:fill="auto"/>
            <w:noWrap/>
            <w:hideMark/>
          </w:tcPr>
          <w:p w14:paraId="51EB87D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5.80</w:t>
            </w:r>
          </w:p>
        </w:tc>
      </w:tr>
      <w:tr w:rsidR="004C15AF" w:rsidRPr="004C15AF" w14:paraId="3A5DA42F" w14:textId="77777777" w:rsidTr="00FE6F92">
        <w:trPr>
          <w:trHeight w:val="179"/>
        </w:trPr>
        <w:tc>
          <w:tcPr>
            <w:tcW w:w="7195" w:type="dxa"/>
            <w:gridSpan w:val="7"/>
            <w:tcBorders>
              <w:top w:val="single" w:sz="4" w:space="0" w:color="auto"/>
              <w:bottom w:val="single" w:sz="4" w:space="0" w:color="auto"/>
            </w:tcBorders>
            <w:shd w:val="clear" w:color="auto" w:fill="auto"/>
            <w:noWrap/>
            <w:hideMark/>
          </w:tcPr>
          <w:p w14:paraId="33B24A6E"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Overall</w:t>
            </w:r>
          </w:p>
        </w:tc>
        <w:tc>
          <w:tcPr>
            <w:tcW w:w="990" w:type="dxa"/>
            <w:tcBorders>
              <w:top w:val="single" w:sz="4" w:space="0" w:color="auto"/>
              <w:bottom w:val="single" w:sz="4" w:space="0" w:color="auto"/>
            </w:tcBorders>
            <w:shd w:val="clear" w:color="auto" w:fill="auto"/>
            <w:noWrap/>
            <w:hideMark/>
          </w:tcPr>
          <w:p w14:paraId="59DE25D1"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8.63</w:t>
            </w:r>
          </w:p>
        </w:tc>
      </w:tr>
    </w:tbl>
    <w:p w14:paraId="2F0888F3" w14:textId="65011B44" w:rsidR="000F3EB0" w:rsidRDefault="00FE6F92" w:rsidP="00162C8A">
      <w:pPr>
        <w:pStyle w:val="Body"/>
        <w:spacing w:after="0"/>
        <w:rPr>
          <w:rFonts w:ascii="Arial" w:hAnsi="Arial" w:cs="Arial"/>
        </w:rPr>
      </w:pPr>
      <w:r w:rsidRPr="00FE6F92">
        <w:rPr>
          <w:rFonts w:ascii="Arial" w:hAnsi="Arial" w:cs="Arial"/>
        </w:rPr>
        <w:t xml:space="preserve">These findings are consistent with </w:t>
      </w:r>
      <w:proofErr w:type="spellStart"/>
      <w:r w:rsidRPr="00376864">
        <w:rPr>
          <w:rFonts w:ascii="Arial" w:hAnsi="Arial" w:cs="Arial"/>
          <w:highlight w:val="yellow"/>
        </w:rPr>
        <w:t>Hasanah</w:t>
      </w:r>
      <w:proofErr w:type="spellEnd"/>
      <w:r w:rsidRPr="00376864">
        <w:rPr>
          <w:rFonts w:ascii="Arial" w:hAnsi="Arial" w:cs="Arial"/>
          <w:highlight w:val="yellow"/>
        </w:rPr>
        <w:t xml:space="preserve"> et al. (2024),</w:t>
      </w:r>
      <w:r w:rsidRPr="00FE6F92">
        <w:rPr>
          <w:rFonts w:ascii="Arial" w:hAnsi="Arial" w:cs="Arial"/>
        </w:rPr>
        <w:t xml:space="preserve"> who identified verbal and peer-based disruptions as common when environmental control is inconsistent. Similar patterns were reported by Barrett et al. (2015), </w:t>
      </w:r>
      <w:proofErr w:type="spellStart"/>
      <w:r w:rsidRPr="00FE6F92">
        <w:rPr>
          <w:rFonts w:ascii="Arial" w:hAnsi="Arial" w:cs="Arial"/>
        </w:rPr>
        <w:t>Hendrickx</w:t>
      </w:r>
      <w:proofErr w:type="spellEnd"/>
      <w:r w:rsidRPr="00FE6F92">
        <w:rPr>
          <w:rFonts w:ascii="Arial" w:hAnsi="Arial" w:cs="Arial"/>
        </w:rPr>
        <w:t xml:space="preserve"> et al. (2015), and Bear et al. (2017), emphasizing the role of classroom structure and expectations in shaping behavior.</w:t>
      </w:r>
    </w:p>
    <w:p w14:paraId="01EF9DE7" w14:textId="70794B70" w:rsidR="00FE6F92" w:rsidRPr="00FE6F92" w:rsidRDefault="00BC3715" w:rsidP="00FE6F92">
      <w:pPr>
        <w:pStyle w:val="Body"/>
        <w:spacing w:after="0"/>
        <w:rPr>
          <w:rFonts w:ascii="Arial" w:hAnsi="Arial" w:cs="Arial"/>
          <w:b/>
          <w:bCs/>
        </w:rPr>
      </w:pPr>
      <w:r>
        <w:rPr>
          <w:rFonts w:ascii="Arial" w:hAnsi="Arial" w:cs="Arial"/>
          <w:b/>
          <w:bCs/>
        </w:rPr>
        <w:t xml:space="preserve">4.2 </w:t>
      </w:r>
      <w:r w:rsidR="00FE6F92" w:rsidRPr="00FE6F92">
        <w:rPr>
          <w:rFonts w:ascii="Arial" w:hAnsi="Arial" w:cs="Arial"/>
          <w:b/>
          <w:bCs/>
        </w:rPr>
        <w:t>Level of Behavior During Post-Intervention</w:t>
      </w:r>
    </w:p>
    <w:p w14:paraId="3DB1D03C" w14:textId="47710B60" w:rsidR="00FE6F92" w:rsidRPr="00CE62DA" w:rsidRDefault="00FE6F92" w:rsidP="00162C8A">
      <w:pPr>
        <w:pStyle w:val="Body"/>
        <w:spacing w:after="0"/>
        <w:rPr>
          <w:rFonts w:ascii="Arial" w:hAnsi="Arial" w:cs="Arial"/>
        </w:rPr>
      </w:pPr>
      <w:r w:rsidRPr="00FE6F92">
        <w:rPr>
          <w:rFonts w:ascii="Arial" w:hAnsi="Arial" w:cs="Arial"/>
        </w:rPr>
        <w:t>Following the intervention, there was a noticeable reduction in most disruptive behaviors. The frequency of talking out of turn decreased from a mean of 18.80 to 10.80, and gossiping declined from 15.40 to 10.20. Other behaviors such as roaming, playing, and going out also decreased.</w:t>
      </w:r>
    </w:p>
    <w:p w14:paraId="19B54107" w14:textId="77777777" w:rsidR="00FE6F92" w:rsidRPr="00FE6F92" w:rsidRDefault="00FE6F92" w:rsidP="00FE6F92">
      <w:pPr>
        <w:pStyle w:val="Body"/>
        <w:spacing w:after="0"/>
        <w:rPr>
          <w:rFonts w:ascii="Arial" w:hAnsi="Arial" w:cs="Arial"/>
          <w:b/>
          <w:bCs/>
        </w:rPr>
      </w:pPr>
      <w:r w:rsidRPr="00FE6F92">
        <w:rPr>
          <w:rFonts w:ascii="Arial" w:hAnsi="Arial" w:cs="Arial"/>
          <w:b/>
          <w:bCs/>
        </w:rPr>
        <w:t>Table 2. Level of behavior during post-intervention</w:t>
      </w:r>
    </w:p>
    <w:tbl>
      <w:tblPr>
        <w:tblW w:w="8201" w:type="dxa"/>
        <w:tblLook w:val="04A0" w:firstRow="1" w:lastRow="0" w:firstColumn="1" w:lastColumn="0" w:noHBand="0" w:noVBand="1"/>
      </w:tblPr>
      <w:tblGrid>
        <w:gridCol w:w="2340"/>
        <w:gridCol w:w="810"/>
        <w:gridCol w:w="810"/>
        <w:gridCol w:w="810"/>
        <w:gridCol w:w="805"/>
        <w:gridCol w:w="810"/>
        <w:gridCol w:w="810"/>
        <w:gridCol w:w="1006"/>
      </w:tblGrid>
      <w:tr w:rsidR="00FE6F92" w:rsidRPr="00FE6F92" w14:paraId="336B756D" w14:textId="77777777" w:rsidTr="00FE6F92">
        <w:trPr>
          <w:trHeight w:val="300"/>
        </w:trPr>
        <w:tc>
          <w:tcPr>
            <w:tcW w:w="2340" w:type="dxa"/>
            <w:tcBorders>
              <w:top w:val="single" w:sz="4" w:space="0" w:color="auto"/>
              <w:bottom w:val="single" w:sz="4" w:space="0" w:color="auto"/>
            </w:tcBorders>
            <w:shd w:val="clear" w:color="auto" w:fill="auto"/>
            <w:noWrap/>
            <w:vAlign w:val="bottom"/>
            <w:hideMark/>
          </w:tcPr>
          <w:p w14:paraId="598C6C9A" w14:textId="77777777" w:rsidR="00FE6F92" w:rsidRPr="00FE6F92" w:rsidRDefault="00FE6F92" w:rsidP="00FE6F92">
            <w:pPr>
              <w:pStyle w:val="Body"/>
              <w:spacing w:after="0"/>
              <w:rPr>
                <w:rFonts w:ascii="Arial" w:hAnsi="Arial" w:cs="Arial"/>
                <w:b/>
                <w:bCs/>
              </w:rPr>
            </w:pPr>
            <w:r w:rsidRPr="00FE6F92">
              <w:rPr>
                <w:rFonts w:ascii="Arial" w:hAnsi="Arial" w:cs="Arial"/>
                <w:b/>
                <w:bCs/>
              </w:rPr>
              <w:t>Disruptive Behavior</w:t>
            </w:r>
          </w:p>
        </w:tc>
        <w:tc>
          <w:tcPr>
            <w:tcW w:w="810" w:type="dxa"/>
            <w:tcBorders>
              <w:top w:val="single" w:sz="4" w:space="0" w:color="auto"/>
              <w:bottom w:val="single" w:sz="4" w:space="0" w:color="auto"/>
            </w:tcBorders>
            <w:shd w:val="clear" w:color="auto" w:fill="auto"/>
            <w:noWrap/>
            <w:vAlign w:val="bottom"/>
            <w:hideMark/>
          </w:tcPr>
          <w:p w14:paraId="7B2F3F96" w14:textId="77777777" w:rsidR="00FE6F92" w:rsidRPr="00FE6F92" w:rsidRDefault="00FE6F92" w:rsidP="00FE6F92">
            <w:pPr>
              <w:pStyle w:val="Body"/>
              <w:spacing w:after="0"/>
              <w:rPr>
                <w:rFonts w:ascii="Arial" w:hAnsi="Arial" w:cs="Arial"/>
                <w:b/>
                <w:bCs/>
              </w:rPr>
            </w:pPr>
            <w:r w:rsidRPr="00FE6F92">
              <w:rPr>
                <w:rFonts w:ascii="Arial" w:hAnsi="Arial" w:cs="Arial"/>
                <w:b/>
                <w:bCs/>
              </w:rPr>
              <w:t>Day 1</w:t>
            </w:r>
          </w:p>
        </w:tc>
        <w:tc>
          <w:tcPr>
            <w:tcW w:w="810" w:type="dxa"/>
            <w:tcBorders>
              <w:top w:val="single" w:sz="4" w:space="0" w:color="auto"/>
              <w:bottom w:val="single" w:sz="4" w:space="0" w:color="auto"/>
            </w:tcBorders>
            <w:shd w:val="clear" w:color="auto" w:fill="auto"/>
            <w:noWrap/>
            <w:vAlign w:val="bottom"/>
            <w:hideMark/>
          </w:tcPr>
          <w:p w14:paraId="5EA7500E" w14:textId="77777777" w:rsidR="00FE6F92" w:rsidRPr="00FE6F92" w:rsidRDefault="00FE6F92" w:rsidP="00FE6F92">
            <w:pPr>
              <w:pStyle w:val="Body"/>
              <w:spacing w:after="0"/>
              <w:rPr>
                <w:rFonts w:ascii="Arial" w:hAnsi="Arial" w:cs="Arial"/>
                <w:b/>
                <w:bCs/>
              </w:rPr>
            </w:pPr>
            <w:r w:rsidRPr="00FE6F92">
              <w:rPr>
                <w:rFonts w:ascii="Arial" w:hAnsi="Arial" w:cs="Arial"/>
                <w:b/>
                <w:bCs/>
              </w:rPr>
              <w:t>Day 2</w:t>
            </w:r>
          </w:p>
        </w:tc>
        <w:tc>
          <w:tcPr>
            <w:tcW w:w="810" w:type="dxa"/>
            <w:tcBorders>
              <w:top w:val="single" w:sz="4" w:space="0" w:color="auto"/>
              <w:bottom w:val="single" w:sz="4" w:space="0" w:color="auto"/>
            </w:tcBorders>
            <w:shd w:val="clear" w:color="auto" w:fill="auto"/>
            <w:noWrap/>
            <w:vAlign w:val="bottom"/>
            <w:hideMark/>
          </w:tcPr>
          <w:p w14:paraId="53B71EF2" w14:textId="77777777" w:rsidR="00FE6F92" w:rsidRPr="00FE6F92" w:rsidRDefault="00FE6F92" w:rsidP="00FE6F92">
            <w:pPr>
              <w:pStyle w:val="Body"/>
              <w:spacing w:after="0"/>
              <w:rPr>
                <w:rFonts w:ascii="Arial" w:hAnsi="Arial" w:cs="Arial"/>
                <w:b/>
                <w:bCs/>
              </w:rPr>
            </w:pPr>
            <w:r w:rsidRPr="00FE6F92">
              <w:rPr>
                <w:rFonts w:ascii="Arial" w:hAnsi="Arial" w:cs="Arial"/>
                <w:b/>
                <w:bCs/>
              </w:rPr>
              <w:t>Day 3</w:t>
            </w:r>
          </w:p>
        </w:tc>
        <w:tc>
          <w:tcPr>
            <w:tcW w:w="805" w:type="dxa"/>
            <w:tcBorders>
              <w:top w:val="single" w:sz="4" w:space="0" w:color="auto"/>
              <w:bottom w:val="single" w:sz="4" w:space="0" w:color="auto"/>
            </w:tcBorders>
            <w:shd w:val="clear" w:color="auto" w:fill="auto"/>
            <w:noWrap/>
            <w:vAlign w:val="bottom"/>
            <w:hideMark/>
          </w:tcPr>
          <w:p w14:paraId="332B1F67" w14:textId="77777777" w:rsidR="00FE6F92" w:rsidRPr="00FE6F92" w:rsidRDefault="00FE6F92" w:rsidP="00FE6F92">
            <w:pPr>
              <w:pStyle w:val="Body"/>
              <w:spacing w:after="0"/>
              <w:rPr>
                <w:rFonts w:ascii="Arial" w:hAnsi="Arial" w:cs="Arial"/>
                <w:b/>
                <w:bCs/>
              </w:rPr>
            </w:pPr>
            <w:r w:rsidRPr="00FE6F92">
              <w:rPr>
                <w:rFonts w:ascii="Arial" w:hAnsi="Arial" w:cs="Arial"/>
                <w:b/>
                <w:bCs/>
              </w:rPr>
              <w:t>Day 4</w:t>
            </w:r>
          </w:p>
        </w:tc>
        <w:tc>
          <w:tcPr>
            <w:tcW w:w="810" w:type="dxa"/>
            <w:tcBorders>
              <w:top w:val="single" w:sz="4" w:space="0" w:color="auto"/>
              <w:bottom w:val="single" w:sz="4" w:space="0" w:color="auto"/>
            </w:tcBorders>
            <w:shd w:val="clear" w:color="auto" w:fill="auto"/>
            <w:noWrap/>
            <w:vAlign w:val="bottom"/>
            <w:hideMark/>
          </w:tcPr>
          <w:p w14:paraId="18608511" w14:textId="77777777" w:rsidR="00FE6F92" w:rsidRPr="00FE6F92" w:rsidRDefault="00FE6F92" w:rsidP="00FE6F92">
            <w:pPr>
              <w:pStyle w:val="Body"/>
              <w:spacing w:after="0"/>
              <w:rPr>
                <w:rFonts w:ascii="Arial" w:hAnsi="Arial" w:cs="Arial"/>
                <w:b/>
                <w:bCs/>
              </w:rPr>
            </w:pPr>
            <w:r w:rsidRPr="00FE6F92">
              <w:rPr>
                <w:rFonts w:ascii="Arial" w:hAnsi="Arial" w:cs="Arial"/>
                <w:b/>
                <w:bCs/>
              </w:rPr>
              <w:t>Day 5</w:t>
            </w:r>
          </w:p>
        </w:tc>
        <w:tc>
          <w:tcPr>
            <w:tcW w:w="810" w:type="dxa"/>
            <w:tcBorders>
              <w:top w:val="single" w:sz="4" w:space="0" w:color="auto"/>
              <w:bottom w:val="single" w:sz="4" w:space="0" w:color="auto"/>
            </w:tcBorders>
            <w:shd w:val="clear" w:color="auto" w:fill="auto"/>
            <w:noWrap/>
            <w:vAlign w:val="bottom"/>
            <w:hideMark/>
          </w:tcPr>
          <w:p w14:paraId="49DD9E10" w14:textId="77777777" w:rsidR="00FE6F92" w:rsidRPr="00FE6F92" w:rsidRDefault="00FE6F92" w:rsidP="00FE6F92">
            <w:pPr>
              <w:pStyle w:val="Body"/>
              <w:spacing w:after="0"/>
              <w:rPr>
                <w:rFonts w:ascii="Arial" w:hAnsi="Arial" w:cs="Arial"/>
                <w:b/>
                <w:bCs/>
              </w:rPr>
            </w:pPr>
            <w:r w:rsidRPr="00FE6F92">
              <w:rPr>
                <w:rFonts w:ascii="Arial" w:hAnsi="Arial" w:cs="Arial"/>
                <w:b/>
                <w:bCs/>
              </w:rPr>
              <w:t>Total</w:t>
            </w:r>
          </w:p>
        </w:tc>
        <w:tc>
          <w:tcPr>
            <w:tcW w:w="1006" w:type="dxa"/>
            <w:tcBorders>
              <w:top w:val="single" w:sz="4" w:space="0" w:color="auto"/>
              <w:bottom w:val="single" w:sz="4" w:space="0" w:color="auto"/>
            </w:tcBorders>
            <w:shd w:val="clear" w:color="auto" w:fill="auto"/>
            <w:noWrap/>
            <w:vAlign w:val="bottom"/>
            <w:hideMark/>
          </w:tcPr>
          <w:p w14:paraId="5605B131" w14:textId="77777777" w:rsidR="00FE6F92" w:rsidRPr="00FE6F92" w:rsidRDefault="00FE6F92" w:rsidP="00FE6F92">
            <w:pPr>
              <w:pStyle w:val="Body"/>
              <w:spacing w:after="0"/>
              <w:rPr>
                <w:rFonts w:ascii="Arial" w:hAnsi="Arial" w:cs="Arial"/>
                <w:b/>
                <w:bCs/>
              </w:rPr>
            </w:pPr>
            <w:r w:rsidRPr="00FE6F92">
              <w:rPr>
                <w:rFonts w:ascii="Arial" w:hAnsi="Arial" w:cs="Arial"/>
                <w:b/>
                <w:bCs/>
              </w:rPr>
              <w:t>Average</w:t>
            </w:r>
          </w:p>
        </w:tc>
      </w:tr>
      <w:tr w:rsidR="00FE6F92" w:rsidRPr="00FE6F92" w14:paraId="523D4C47" w14:textId="77777777" w:rsidTr="00FE6F92">
        <w:trPr>
          <w:trHeight w:val="300"/>
        </w:trPr>
        <w:tc>
          <w:tcPr>
            <w:tcW w:w="2340" w:type="dxa"/>
            <w:tcBorders>
              <w:top w:val="single" w:sz="4" w:space="0" w:color="auto"/>
              <w:bottom w:val="single" w:sz="4" w:space="0" w:color="auto"/>
            </w:tcBorders>
            <w:shd w:val="clear" w:color="auto" w:fill="auto"/>
            <w:noWrap/>
            <w:vAlign w:val="bottom"/>
            <w:hideMark/>
          </w:tcPr>
          <w:p w14:paraId="3C849B28" w14:textId="77777777" w:rsidR="00FE6F92" w:rsidRPr="00FE6F92" w:rsidRDefault="00FE6F92" w:rsidP="00FE6F92">
            <w:pPr>
              <w:pStyle w:val="Body"/>
              <w:spacing w:after="0"/>
              <w:rPr>
                <w:rFonts w:ascii="Arial" w:hAnsi="Arial" w:cs="Arial"/>
                <w:b/>
                <w:bCs/>
              </w:rPr>
            </w:pPr>
            <w:r w:rsidRPr="00FE6F92">
              <w:rPr>
                <w:rFonts w:ascii="Arial" w:hAnsi="Arial" w:cs="Arial"/>
                <w:b/>
                <w:bCs/>
              </w:rPr>
              <w:t>1. Talking Out of Turn</w:t>
            </w:r>
          </w:p>
        </w:tc>
        <w:tc>
          <w:tcPr>
            <w:tcW w:w="810" w:type="dxa"/>
            <w:tcBorders>
              <w:top w:val="single" w:sz="4" w:space="0" w:color="auto"/>
              <w:bottom w:val="single" w:sz="4" w:space="0" w:color="auto"/>
            </w:tcBorders>
            <w:shd w:val="clear" w:color="auto" w:fill="auto"/>
            <w:noWrap/>
            <w:vAlign w:val="bottom"/>
            <w:hideMark/>
          </w:tcPr>
          <w:p w14:paraId="46412F16" w14:textId="77777777" w:rsidR="00FE6F92" w:rsidRPr="00F47925" w:rsidRDefault="00FE6F92" w:rsidP="00FE6F92">
            <w:pPr>
              <w:pStyle w:val="Body"/>
              <w:spacing w:after="0"/>
              <w:rPr>
                <w:rFonts w:ascii="Arial" w:hAnsi="Arial" w:cs="Arial"/>
                <w:bCs/>
              </w:rPr>
            </w:pPr>
            <w:r w:rsidRPr="00F47925">
              <w:rPr>
                <w:rFonts w:ascii="Arial" w:hAnsi="Arial" w:cs="Arial"/>
                <w:bCs/>
              </w:rPr>
              <w:t>9</w:t>
            </w:r>
          </w:p>
        </w:tc>
        <w:tc>
          <w:tcPr>
            <w:tcW w:w="810" w:type="dxa"/>
            <w:tcBorders>
              <w:top w:val="single" w:sz="4" w:space="0" w:color="auto"/>
              <w:bottom w:val="single" w:sz="4" w:space="0" w:color="auto"/>
            </w:tcBorders>
            <w:shd w:val="clear" w:color="auto" w:fill="auto"/>
            <w:noWrap/>
            <w:vAlign w:val="bottom"/>
            <w:hideMark/>
          </w:tcPr>
          <w:p w14:paraId="4DB84BDD" w14:textId="77777777" w:rsidR="00FE6F92" w:rsidRPr="00F47925" w:rsidRDefault="00FE6F92" w:rsidP="00FE6F92">
            <w:pPr>
              <w:pStyle w:val="Body"/>
              <w:spacing w:after="0"/>
              <w:rPr>
                <w:rFonts w:ascii="Arial" w:hAnsi="Arial" w:cs="Arial"/>
                <w:bCs/>
              </w:rPr>
            </w:pPr>
            <w:r w:rsidRPr="00F47925">
              <w:rPr>
                <w:rFonts w:ascii="Arial" w:hAnsi="Arial" w:cs="Arial"/>
                <w:bCs/>
              </w:rPr>
              <w:t>10</w:t>
            </w:r>
          </w:p>
        </w:tc>
        <w:tc>
          <w:tcPr>
            <w:tcW w:w="810" w:type="dxa"/>
            <w:tcBorders>
              <w:top w:val="single" w:sz="4" w:space="0" w:color="auto"/>
              <w:bottom w:val="single" w:sz="4" w:space="0" w:color="auto"/>
            </w:tcBorders>
            <w:shd w:val="clear" w:color="auto" w:fill="auto"/>
            <w:noWrap/>
            <w:vAlign w:val="bottom"/>
            <w:hideMark/>
          </w:tcPr>
          <w:p w14:paraId="32433434" w14:textId="77777777" w:rsidR="00FE6F92" w:rsidRPr="00F47925" w:rsidRDefault="00FE6F92" w:rsidP="00FE6F92">
            <w:pPr>
              <w:pStyle w:val="Body"/>
              <w:spacing w:after="0"/>
              <w:rPr>
                <w:rFonts w:ascii="Arial" w:hAnsi="Arial" w:cs="Arial"/>
                <w:bCs/>
              </w:rPr>
            </w:pPr>
            <w:r w:rsidRPr="00F47925">
              <w:rPr>
                <w:rFonts w:ascii="Arial" w:hAnsi="Arial" w:cs="Arial"/>
                <w:bCs/>
              </w:rPr>
              <w:t>10</w:t>
            </w:r>
          </w:p>
        </w:tc>
        <w:tc>
          <w:tcPr>
            <w:tcW w:w="805" w:type="dxa"/>
            <w:tcBorders>
              <w:top w:val="single" w:sz="4" w:space="0" w:color="auto"/>
              <w:bottom w:val="single" w:sz="4" w:space="0" w:color="auto"/>
            </w:tcBorders>
            <w:shd w:val="clear" w:color="auto" w:fill="auto"/>
            <w:noWrap/>
            <w:vAlign w:val="bottom"/>
            <w:hideMark/>
          </w:tcPr>
          <w:p w14:paraId="57367D57" w14:textId="77777777" w:rsidR="00FE6F92" w:rsidRPr="00F47925" w:rsidRDefault="00FE6F92" w:rsidP="00FE6F92">
            <w:pPr>
              <w:pStyle w:val="Body"/>
              <w:spacing w:after="0"/>
              <w:rPr>
                <w:rFonts w:ascii="Arial" w:hAnsi="Arial" w:cs="Arial"/>
                <w:bCs/>
              </w:rPr>
            </w:pPr>
            <w:r w:rsidRPr="00F47925">
              <w:rPr>
                <w:rFonts w:ascii="Arial" w:hAnsi="Arial" w:cs="Arial"/>
                <w:bCs/>
              </w:rPr>
              <w:t>12</w:t>
            </w:r>
          </w:p>
        </w:tc>
        <w:tc>
          <w:tcPr>
            <w:tcW w:w="810" w:type="dxa"/>
            <w:tcBorders>
              <w:top w:val="single" w:sz="4" w:space="0" w:color="auto"/>
              <w:bottom w:val="single" w:sz="4" w:space="0" w:color="auto"/>
            </w:tcBorders>
            <w:shd w:val="clear" w:color="auto" w:fill="auto"/>
            <w:noWrap/>
            <w:vAlign w:val="bottom"/>
            <w:hideMark/>
          </w:tcPr>
          <w:p w14:paraId="60735343" w14:textId="77777777" w:rsidR="00FE6F92" w:rsidRPr="00F47925" w:rsidRDefault="00FE6F92" w:rsidP="00FE6F92">
            <w:pPr>
              <w:pStyle w:val="Body"/>
              <w:spacing w:after="0"/>
              <w:rPr>
                <w:rFonts w:ascii="Arial" w:hAnsi="Arial" w:cs="Arial"/>
                <w:bCs/>
              </w:rPr>
            </w:pPr>
            <w:r w:rsidRPr="00F47925">
              <w:rPr>
                <w:rFonts w:ascii="Arial" w:hAnsi="Arial" w:cs="Arial"/>
                <w:bCs/>
              </w:rPr>
              <w:t>13</w:t>
            </w:r>
          </w:p>
        </w:tc>
        <w:tc>
          <w:tcPr>
            <w:tcW w:w="810" w:type="dxa"/>
            <w:tcBorders>
              <w:top w:val="single" w:sz="4" w:space="0" w:color="auto"/>
              <w:bottom w:val="single" w:sz="4" w:space="0" w:color="auto"/>
            </w:tcBorders>
            <w:shd w:val="clear" w:color="auto" w:fill="auto"/>
            <w:noWrap/>
            <w:vAlign w:val="bottom"/>
            <w:hideMark/>
          </w:tcPr>
          <w:p w14:paraId="434E1751" w14:textId="77777777" w:rsidR="00FE6F92" w:rsidRPr="00F47925" w:rsidRDefault="00FE6F92" w:rsidP="00FE6F92">
            <w:pPr>
              <w:pStyle w:val="Body"/>
              <w:spacing w:after="0"/>
              <w:rPr>
                <w:rFonts w:ascii="Arial" w:hAnsi="Arial" w:cs="Arial"/>
                <w:bCs/>
              </w:rPr>
            </w:pPr>
            <w:r w:rsidRPr="00F47925">
              <w:rPr>
                <w:rFonts w:ascii="Arial" w:hAnsi="Arial" w:cs="Arial"/>
                <w:bCs/>
              </w:rPr>
              <w:t>54</w:t>
            </w:r>
          </w:p>
        </w:tc>
        <w:tc>
          <w:tcPr>
            <w:tcW w:w="1006" w:type="dxa"/>
            <w:tcBorders>
              <w:top w:val="single" w:sz="4" w:space="0" w:color="auto"/>
              <w:bottom w:val="single" w:sz="4" w:space="0" w:color="auto"/>
            </w:tcBorders>
            <w:shd w:val="clear" w:color="auto" w:fill="auto"/>
            <w:noWrap/>
            <w:vAlign w:val="bottom"/>
            <w:hideMark/>
          </w:tcPr>
          <w:p w14:paraId="25E1606F" w14:textId="77777777" w:rsidR="00FE6F92" w:rsidRPr="00F47925" w:rsidRDefault="00FE6F92" w:rsidP="00FE6F92">
            <w:pPr>
              <w:pStyle w:val="Body"/>
              <w:spacing w:after="0"/>
              <w:rPr>
                <w:rFonts w:ascii="Arial" w:hAnsi="Arial" w:cs="Arial"/>
                <w:bCs/>
              </w:rPr>
            </w:pPr>
            <w:r w:rsidRPr="00F47925">
              <w:rPr>
                <w:rFonts w:ascii="Arial" w:hAnsi="Arial" w:cs="Arial"/>
                <w:bCs/>
              </w:rPr>
              <w:t>10.80</w:t>
            </w:r>
          </w:p>
        </w:tc>
      </w:tr>
      <w:tr w:rsidR="00FE6F92" w:rsidRPr="00FE6F92" w14:paraId="6A2E1989" w14:textId="77777777" w:rsidTr="00FE6F92">
        <w:trPr>
          <w:trHeight w:val="300"/>
        </w:trPr>
        <w:tc>
          <w:tcPr>
            <w:tcW w:w="2340" w:type="dxa"/>
            <w:tcBorders>
              <w:top w:val="single" w:sz="4" w:space="0" w:color="auto"/>
              <w:bottom w:val="single" w:sz="4" w:space="0" w:color="auto"/>
            </w:tcBorders>
            <w:shd w:val="clear" w:color="auto" w:fill="auto"/>
            <w:noWrap/>
            <w:vAlign w:val="bottom"/>
            <w:hideMark/>
          </w:tcPr>
          <w:p w14:paraId="14A4245A" w14:textId="77777777" w:rsidR="00FE6F92" w:rsidRPr="00FE6F92" w:rsidRDefault="00FE6F92" w:rsidP="00FE6F92">
            <w:pPr>
              <w:pStyle w:val="Body"/>
              <w:spacing w:after="0"/>
              <w:rPr>
                <w:rFonts w:ascii="Arial" w:hAnsi="Arial" w:cs="Arial"/>
                <w:b/>
                <w:bCs/>
              </w:rPr>
            </w:pPr>
            <w:r w:rsidRPr="00FE6F92">
              <w:rPr>
                <w:rFonts w:ascii="Arial" w:hAnsi="Arial" w:cs="Arial"/>
                <w:b/>
                <w:bCs/>
              </w:rPr>
              <w:t>2. Gossiping w/ Peers</w:t>
            </w:r>
          </w:p>
        </w:tc>
        <w:tc>
          <w:tcPr>
            <w:tcW w:w="810" w:type="dxa"/>
            <w:tcBorders>
              <w:top w:val="single" w:sz="4" w:space="0" w:color="auto"/>
              <w:bottom w:val="single" w:sz="4" w:space="0" w:color="auto"/>
            </w:tcBorders>
            <w:shd w:val="clear" w:color="auto" w:fill="auto"/>
            <w:noWrap/>
            <w:vAlign w:val="bottom"/>
            <w:hideMark/>
          </w:tcPr>
          <w:p w14:paraId="78133B07" w14:textId="77777777" w:rsidR="00FE6F92" w:rsidRPr="00F47925" w:rsidRDefault="00FE6F92" w:rsidP="00FE6F92">
            <w:pPr>
              <w:pStyle w:val="Body"/>
              <w:spacing w:after="0"/>
              <w:rPr>
                <w:rFonts w:ascii="Arial" w:hAnsi="Arial" w:cs="Arial"/>
                <w:bCs/>
              </w:rPr>
            </w:pPr>
            <w:r w:rsidRPr="00F47925">
              <w:rPr>
                <w:rFonts w:ascii="Arial" w:hAnsi="Arial" w:cs="Arial"/>
                <w:bCs/>
              </w:rPr>
              <w:t>7</w:t>
            </w:r>
          </w:p>
        </w:tc>
        <w:tc>
          <w:tcPr>
            <w:tcW w:w="810" w:type="dxa"/>
            <w:tcBorders>
              <w:top w:val="single" w:sz="4" w:space="0" w:color="auto"/>
              <w:bottom w:val="single" w:sz="4" w:space="0" w:color="auto"/>
            </w:tcBorders>
            <w:shd w:val="clear" w:color="auto" w:fill="auto"/>
            <w:noWrap/>
            <w:vAlign w:val="bottom"/>
            <w:hideMark/>
          </w:tcPr>
          <w:p w14:paraId="14CC6D70" w14:textId="77777777" w:rsidR="00FE6F92" w:rsidRPr="00F47925" w:rsidRDefault="00FE6F92" w:rsidP="00FE6F92">
            <w:pPr>
              <w:pStyle w:val="Body"/>
              <w:spacing w:after="0"/>
              <w:rPr>
                <w:rFonts w:ascii="Arial" w:hAnsi="Arial" w:cs="Arial"/>
                <w:bCs/>
              </w:rPr>
            </w:pPr>
            <w:r w:rsidRPr="00F47925">
              <w:rPr>
                <w:rFonts w:ascii="Arial" w:hAnsi="Arial" w:cs="Arial"/>
                <w:bCs/>
              </w:rPr>
              <w:t>8</w:t>
            </w:r>
          </w:p>
        </w:tc>
        <w:tc>
          <w:tcPr>
            <w:tcW w:w="810" w:type="dxa"/>
            <w:tcBorders>
              <w:top w:val="single" w:sz="4" w:space="0" w:color="auto"/>
              <w:bottom w:val="single" w:sz="4" w:space="0" w:color="auto"/>
            </w:tcBorders>
            <w:shd w:val="clear" w:color="auto" w:fill="auto"/>
            <w:noWrap/>
            <w:vAlign w:val="bottom"/>
            <w:hideMark/>
          </w:tcPr>
          <w:p w14:paraId="018F18C4" w14:textId="77777777" w:rsidR="00FE6F92" w:rsidRPr="00F47925" w:rsidRDefault="00FE6F92" w:rsidP="00FE6F92">
            <w:pPr>
              <w:pStyle w:val="Body"/>
              <w:spacing w:after="0"/>
              <w:rPr>
                <w:rFonts w:ascii="Arial" w:hAnsi="Arial" w:cs="Arial"/>
                <w:bCs/>
              </w:rPr>
            </w:pPr>
            <w:r w:rsidRPr="00F47925">
              <w:rPr>
                <w:rFonts w:ascii="Arial" w:hAnsi="Arial" w:cs="Arial"/>
                <w:bCs/>
              </w:rPr>
              <w:t>11</w:t>
            </w:r>
          </w:p>
        </w:tc>
        <w:tc>
          <w:tcPr>
            <w:tcW w:w="805" w:type="dxa"/>
            <w:tcBorders>
              <w:top w:val="single" w:sz="4" w:space="0" w:color="auto"/>
              <w:bottom w:val="single" w:sz="4" w:space="0" w:color="auto"/>
            </w:tcBorders>
            <w:shd w:val="clear" w:color="auto" w:fill="auto"/>
            <w:noWrap/>
            <w:vAlign w:val="bottom"/>
            <w:hideMark/>
          </w:tcPr>
          <w:p w14:paraId="69B5B7B8" w14:textId="77777777" w:rsidR="00FE6F92" w:rsidRPr="00F47925" w:rsidRDefault="00FE6F92" w:rsidP="00FE6F92">
            <w:pPr>
              <w:pStyle w:val="Body"/>
              <w:spacing w:after="0"/>
              <w:rPr>
                <w:rFonts w:ascii="Arial" w:hAnsi="Arial" w:cs="Arial"/>
                <w:bCs/>
              </w:rPr>
            </w:pPr>
            <w:r w:rsidRPr="00F47925">
              <w:rPr>
                <w:rFonts w:ascii="Arial" w:hAnsi="Arial" w:cs="Arial"/>
                <w:bCs/>
              </w:rPr>
              <w:t>12</w:t>
            </w:r>
          </w:p>
        </w:tc>
        <w:tc>
          <w:tcPr>
            <w:tcW w:w="810" w:type="dxa"/>
            <w:tcBorders>
              <w:top w:val="single" w:sz="4" w:space="0" w:color="auto"/>
              <w:bottom w:val="single" w:sz="4" w:space="0" w:color="auto"/>
            </w:tcBorders>
            <w:shd w:val="clear" w:color="auto" w:fill="auto"/>
            <w:noWrap/>
            <w:vAlign w:val="bottom"/>
            <w:hideMark/>
          </w:tcPr>
          <w:p w14:paraId="7B56079A" w14:textId="77777777" w:rsidR="00FE6F92" w:rsidRPr="00F47925" w:rsidRDefault="00FE6F92" w:rsidP="00FE6F92">
            <w:pPr>
              <w:pStyle w:val="Body"/>
              <w:spacing w:after="0"/>
              <w:rPr>
                <w:rFonts w:ascii="Arial" w:hAnsi="Arial" w:cs="Arial"/>
                <w:bCs/>
              </w:rPr>
            </w:pPr>
            <w:r w:rsidRPr="00F47925">
              <w:rPr>
                <w:rFonts w:ascii="Arial" w:hAnsi="Arial" w:cs="Arial"/>
                <w:bCs/>
              </w:rPr>
              <w:t>13</w:t>
            </w:r>
          </w:p>
        </w:tc>
        <w:tc>
          <w:tcPr>
            <w:tcW w:w="810" w:type="dxa"/>
            <w:tcBorders>
              <w:top w:val="single" w:sz="4" w:space="0" w:color="auto"/>
              <w:bottom w:val="single" w:sz="4" w:space="0" w:color="auto"/>
            </w:tcBorders>
            <w:shd w:val="clear" w:color="auto" w:fill="auto"/>
            <w:noWrap/>
            <w:vAlign w:val="bottom"/>
            <w:hideMark/>
          </w:tcPr>
          <w:p w14:paraId="2E6E8A9E" w14:textId="77777777" w:rsidR="00FE6F92" w:rsidRPr="00F47925" w:rsidRDefault="00FE6F92" w:rsidP="00FE6F92">
            <w:pPr>
              <w:pStyle w:val="Body"/>
              <w:spacing w:after="0"/>
              <w:rPr>
                <w:rFonts w:ascii="Arial" w:hAnsi="Arial" w:cs="Arial"/>
                <w:bCs/>
              </w:rPr>
            </w:pPr>
            <w:r w:rsidRPr="00F47925">
              <w:rPr>
                <w:rFonts w:ascii="Arial" w:hAnsi="Arial" w:cs="Arial"/>
                <w:bCs/>
              </w:rPr>
              <w:t>51</w:t>
            </w:r>
          </w:p>
        </w:tc>
        <w:tc>
          <w:tcPr>
            <w:tcW w:w="1006" w:type="dxa"/>
            <w:tcBorders>
              <w:top w:val="single" w:sz="4" w:space="0" w:color="auto"/>
              <w:bottom w:val="single" w:sz="4" w:space="0" w:color="auto"/>
            </w:tcBorders>
            <w:shd w:val="clear" w:color="auto" w:fill="auto"/>
            <w:noWrap/>
            <w:vAlign w:val="bottom"/>
            <w:hideMark/>
          </w:tcPr>
          <w:p w14:paraId="61C8A9FC" w14:textId="77777777" w:rsidR="00FE6F92" w:rsidRPr="00F47925" w:rsidRDefault="00FE6F92" w:rsidP="00FE6F92">
            <w:pPr>
              <w:pStyle w:val="Body"/>
              <w:spacing w:after="0"/>
              <w:rPr>
                <w:rFonts w:ascii="Arial" w:hAnsi="Arial" w:cs="Arial"/>
                <w:bCs/>
              </w:rPr>
            </w:pPr>
            <w:r w:rsidRPr="00F47925">
              <w:rPr>
                <w:rFonts w:ascii="Arial" w:hAnsi="Arial" w:cs="Arial"/>
                <w:bCs/>
              </w:rPr>
              <w:t>10.20</w:t>
            </w:r>
          </w:p>
        </w:tc>
      </w:tr>
      <w:tr w:rsidR="00FE6F92" w:rsidRPr="00FE6F92" w14:paraId="5ED63031" w14:textId="77777777" w:rsidTr="00FE6F92">
        <w:trPr>
          <w:trHeight w:val="300"/>
        </w:trPr>
        <w:tc>
          <w:tcPr>
            <w:tcW w:w="2340" w:type="dxa"/>
            <w:tcBorders>
              <w:top w:val="single" w:sz="4" w:space="0" w:color="auto"/>
              <w:bottom w:val="single" w:sz="4" w:space="0" w:color="auto"/>
            </w:tcBorders>
            <w:shd w:val="clear" w:color="auto" w:fill="auto"/>
            <w:noWrap/>
            <w:vAlign w:val="bottom"/>
            <w:hideMark/>
          </w:tcPr>
          <w:p w14:paraId="059699AE" w14:textId="77777777" w:rsidR="00FE6F92" w:rsidRPr="00FE6F92" w:rsidRDefault="00FE6F92" w:rsidP="00FE6F92">
            <w:pPr>
              <w:pStyle w:val="Body"/>
              <w:spacing w:after="0"/>
              <w:rPr>
                <w:rFonts w:ascii="Arial" w:hAnsi="Arial" w:cs="Arial"/>
                <w:b/>
                <w:bCs/>
              </w:rPr>
            </w:pPr>
            <w:r w:rsidRPr="00FE6F92">
              <w:rPr>
                <w:rFonts w:ascii="Arial" w:hAnsi="Arial" w:cs="Arial"/>
                <w:b/>
                <w:bCs/>
              </w:rPr>
              <w:t>3. Roaming Around</w:t>
            </w:r>
          </w:p>
        </w:tc>
        <w:tc>
          <w:tcPr>
            <w:tcW w:w="810" w:type="dxa"/>
            <w:tcBorders>
              <w:top w:val="single" w:sz="4" w:space="0" w:color="auto"/>
              <w:bottom w:val="single" w:sz="4" w:space="0" w:color="auto"/>
            </w:tcBorders>
            <w:shd w:val="clear" w:color="auto" w:fill="auto"/>
            <w:noWrap/>
            <w:vAlign w:val="bottom"/>
            <w:hideMark/>
          </w:tcPr>
          <w:p w14:paraId="7D9253D1"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bottom w:val="single" w:sz="4" w:space="0" w:color="auto"/>
            </w:tcBorders>
            <w:shd w:val="clear" w:color="auto" w:fill="auto"/>
            <w:noWrap/>
            <w:vAlign w:val="bottom"/>
            <w:hideMark/>
          </w:tcPr>
          <w:p w14:paraId="71A66E30"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10" w:type="dxa"/>
            <w:tcBorders>
              <w:top w:val="single" w:sz="4" w:space="0" w:color="auto"/>
              <w:bottom w:val="single" w:sz="4" w:space="0" w:color="auto"/>
            </w:tcBorders>
            <w:shd w:val="clear" w:color="auto" w:fill="auto"/>
            <w:noWrap/>
            <w:vAlign w:val="bottom"/>
            <w:hideMark/>
          </w:tcPr>
          <w:p w14:paraId="18DE0B9F" w14:textId="77777777" w:rsidR="00FE6F92" w:rsidRPr="00F47925" w:rsidRDefault="00FE6F92" w:rsidP="00FE6F92">
            <w:pPr>
              <w:pStyle w:val="Body"/>
              <w:spacing w:after="0"/>
              <w:rPr>
                <w:rFonts w:ascii="Arial" w:hAnsi="Arial" w:cs="Arial"/>
                <w:bCs/>
              </w:rPr>
            </w:pPr>
            <w:r w:rsidRPr="00F47925">
              <w:rPr>
                <w:rFonts w:ascii="Arial" w:hAnsi="Arial" w:cs="Arial"/>
                <w:bCs/>
              </w:rPr>
              <w:t>6</w:t>
            </w:r>
          </w:p>
        </w:tc>
        <w:tc>
          <w:tcPr>
            <w:tcW w:w="805" w:type="dxa"/>
            <w:tcBorders>
              <w:top w:val="single" w:sz="4" w:space="0" w:color="auto"/>
              <w:bottom w:val="single" w:sz="4" w:space="0" w:color="auto"/>
            </w:tcBorders>
            <w:shd w:val="clear" w:color="auto" w:fill="auto"/>
            <w:noWrap/>
            <w:vAlign w:val="bottom"/>
            <w:hideMark/>
          </w:tcPr>
          <w:p w14:paraId="197080B2" w14:textId="77777777" w:rsidR="00FE6F92" w:rsidRPr="00F47925" w:rsidRDefault="00FE6F92" w:rsidP="00FE6F92">
            <w:pPr>
              <w:pStyle w:val="Body"/>
              <w:spacing w:after="0"/>
              <w:rPr>
                <w:rFonts w:ascii="Arial" w:hAnsi="Arial" w:cs="Arial"/>
                <w:bCs/>
              </w:rPr>
            </w:pPr>
            <w:r w:rsidRPr="00F47925">
              <w:rPr>
                <w:rFonts w:ascii="Arial" w:hAnsi="Arial" w:cs="Arial"/>
                <w:bCs/>
              </w:rPr>
              <w:t>8</w:t>
            </w:r>
          </w:p>
        </w:tc>
        <w:tc>
          <w:tcPr>
            <w:tcW w:w="810" w:type="dxa"/>
            <w:tcBorders>
              <w:top w:val="single" w:sz="4" w:space="0" w:color="auto"/>
              <w:bottom w:val="single" w:sz="4" w:space="0" w:color="auto"/>
            </w:tcBorders>
            <w:shd w:val="clear" w:color="auto" w:fill="auto"/>
            <w:noWrap/>
            <w:vAlign w:val="bottom"/>
            <w:hideMark/>
          </w:tcPr>
          <w:p w14:paraId="0C05ED68" w14:textId="77777777" w:rsidR="00FE6F92" w:rsidRPr="00F47925" w:rsidRDefault="00FE6F92" w:rsidP="00FE6F92">
            <w:pPr>
              <w:pStyle w:val="Body"/>
              <w:spacing w:after="0"/>
              <w:rPr>
                <w:rFonts w:ascii="Arial" w:hAnsi="Arial" w:cs="Arial"/>
                <w:bCs/>
              </w:rPr>
            </w:pPr>
            <w:r w:rsidRPr="00F47925">
              <w:rPr>
                <w:rFonts w:ascii="Arial" w:hAnsi="Arial" w:cs="Arial"/>
                <w:bCs/>
              </w:rPr>
              <w:t>11</w:t>
            </w:r>
          </w:p>
        </w:tc>
        <w:tc>
          <w:tcPr>
            <w:tcW w:w="810" w:type="dxa"/>
            <w:tcBorders>
              <w:top w:val="single" w:sz="4" w:space="0" w:color="auto"/>
              <w:bottom w:val="single" w:sz="4" w:space="0" w:color="auto"/>
            </w:tcBorders>
            <w:shd w:val="clear" w:color="auto" w:fill="auto"/>
            <w:noWrap/>
            <w:vAlign w:val="bottom"/>
            <w:hideMark/>
          </w:tcPr>
          <w:p w14:paraId="5A715FDC" w14:textId="77777777" w:rsidR="00FE6F92" w:rsidRPr="00F47925" w:rsidRDefault="00FE6F92" w:rsidP="00FE6F92">
            <w:pPr>
              <w:pStyle w:val="Body"/>
              <w:spacing w:after="0"/>
              <w:rPr>
                <w:rFonts w:ascii="Arial" w:hAnsi="Arial" w:cs="Arial"/>
                <w:bCs/>
              </w:rPr>
            </w:pPr>
            <w:r w:rsidRPr="00F47925">
              <w:rPr>
                <w:rFonts w:ascii="Arial" w:hAnsi="Arial" w:cs="Arial"/>
                <w:bCs/>
              </w:rPr>
              <w:t>31</w:t>
            </w:r>
          </w:p>
        </w:tc>
        <w:tc>
          <w:tcPr>
            <w:tcW w:w="1006" w:type="dxa"/>
            <w:tcBorders>
              <w:top w:val="single" w:sz="4" w:space="0" w:color="auto"/>
              <w:bottom w:val="single" w:sz="4" w:space="0" w:color="auto"/>
            </w:tcBorders>
            <w:shd w:val="clear" w:color="auto" w:fill="auto"/>
            <w:noWrap/>
            <w:vAlign w:val="bottom"/>
            <w:hideMark/>
          </w:tcPr>
          <w:p w14:paraId="4A7753C9" w14:textId="77777777" w:rsidR="00FE6F92" w:rsidRPr="00F47925" w:rsidRDefault="00FE6F92" w:rsidP="00FE6F92">
            <w:pPr>
              <w:pStyle w:val="Body"/>
              <w:spacing w:after="0"/>
              <w:rPr>
                <w:rFonts w:ascii="Arial" w:hAnsi="Arial" w:cs="Arial"/>
                <w:bCs/>
              </w:rPr>
            </w:pPr>
            <w:r w:rsidRPr="00F47925">
              <w:rPr>
                <w:rFonts w:ascii="Arial" w:hAnsi="Arial" w:cs="Arial"/>
                <w:bCs/>
              </w:rPr>
              <w:t>6.20</w:t>
            </w:r>
          </w:p>
        </w:tc>
      </w:tr>
      <w:tr w:rsidR="00FE6F92" w:rsidRPr="00FE6F92" w14:paraId="6836A2BC" w14:textId="77777777" w:rsidTr="00FE6F92">
        <w:trPr>
          <w:trHeight w:val="300"/>
        </w:trPr>
        <w:tc>
          <w:tcPr>
            <w:tcW w:w="2340" w:type="dxa"/>
            <w:tcBorders>
              <w:top w:val="single" w:sz="4" w:space="0" w:color="auto"/>
              <w:bottom w:val="single" w:sz="4" w:space="0" w:color="auto"/>
            </w:tcBorders>
            <w:shd w:val="clear" w:color="auto" w:fill="auto"/>
            <w:noWrap/>
            <w:vAlign w:val="bottom"/>
            <w:hideMark/>
          </w:tcPr>
          <w:p w14:paraId="5A03B066" w14:textId="77777777" w:rsidR="00FE6F92" w:rsidRPr="00FE6F92" w:rsidRDefault="00FE6F92" w:rsidP="00FE6F92">
            <w:pPr>
              <w:pStyle w:val="Body"/>
              <w:spacing w:after="0"/>
              <w:rPr>
                <w:rFonts w:ascii="Arial" w:hAnsi="Arial" w:cs="Arial"/>
                <w:b/>
                <w:bCs/>
              </w:rPr>
            </w:pPr>
            <w:r w:rsidRPr="00FE6F92">
              <w:rPr>
                <w:rFonts w:ascii="Arial" w:hAnsi="Arial" w:cs="Arial"/>
                <w:b/>
                <w:bCs/>
              </w:rPr>
              <w:t>4. Shouting</w:t>
            </w:r>
          </w:p>
        </w:tc>
        <w:tc>
          <w:tcPr>
            <w:tcW w:w="810" w:type="dxa"/>
            <w:tcBorders>
              <w:top w:val="single" w:sz="4" w:space="0" w:color="auto"/>
              <w:bottom w:val="single" w:sz="4" w:space="0" w:color="auto"/>
            </w:tcBorders>
            <w:shd w:val="clear" w:color="auto" w:fill="auto"/>
            <w:noWrap/>
            <w:vAlign w:val="bottom"/>
            <w:hideMark/>
          </w:tcPr>
          <w:p w14:paraId="5A9328C5" w14:textId="77777777" w:rsidR="00FE6F92" w:rsidRPr="00F47925" w:rsidRDefault="00FE6F92" w:rsidP="00FE6F92">
            <w:pPr>
              <w:pStyle w:val="Body"/>
              <w:spacing w:after="0"/>
              <w:rPr>
                <w:rFonts w:ascii="Arial" w:hAnsi="Arial" w:cs="Arial"/>
                <w:bCs/>
              </w:rPr>
            </w:pPr>
            <w:r w:rsidRPr="00F47925">
              <w:rPr>
                <w:rFonts w:ascii="Arial" w:hAnsi="Arial" w:cs="Arial"/>
                <w:bCs/>
              </w:rPr>
              <w:t>2</w:t>
            </w:r>
          </w:p>
        </w:tc>
        <w:tc>
          <w:tcPr>
            <w:tcW w:w="810" w:type="dxa"/>
            <w:tcBorders>
              <w:top w:val="single" w:sz="4" w:space="0" w:color="auto"/>
              <w:bottom w:val="single" w:sz="4" w:space="0" w:color="auto"/>
            </w:tcBorders>
            <w:shd w:val="clear" w:color="auto" w:fill="auto"/>
            <w:noWrap/>
            <w:vAlign w:val="bottom"/>
            <w:hideMark/>
          </w:tcPr>
          <w:p w14:paraId="5A900719"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10" w:type="dxa"/>
            <w:tcBorders>
              <w:top w:val="single" w:sz="4" w:space="0" w:color="auto"/>
              <w:bottom w:val="single" w:sz="4" w:space="0" w:color="auto"/>
            </w:tcBorders>
            <w:shd w:val="clear" w:color="auto" w:fill="auto"/>
            <w:noWrap/>
            <w:vAlign w:val="bottom"/>
            <w:hideMark/>
          </w:tcPr>
          <w:p w14:paraId="626D3BBF"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05" w:type="dxa"/>
            <w:tcBorders>
              <w:top w:val="single" w:sz="4" w:space="0" w:color="auto"/>
              <w:bottom w:val="single" w:sz="4" w:space="0" w:color="auto"/>
            </w:tcBorders>
            <w:shd w:val="clear" w:color="auto" w:fill="auto"/>
            <w:noWrap/>
            <w:vAlign w:val="bottom"/>
            <w:hideMark/>
          </w:tcPr>
          <w:p w14:paraId="1399FD49"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bottom w:val="single" w:sz="4" w:space="0" w:color="auto"/>
            </w:tcBorders>
            <w:shd w:val="clear" w:color="auto" w:fill="auto"/>
            <w:noWrap/>
            <w:vAlign w:val="bottom"/>
            <w:hideMark/>
          </w:tcPr>
          <w:p w14:paraId="15968668" w14:textId="77777777" w:rsidR="00FE6F92" w:rsidRPr="00F47925" w:rsidRDefault="00FE6F92" w:rsidP="00FE6F92">
            <w:pPr>
              <w:pStyle w:val="Body"/>
              <w:spacing w:after="0"/>
              <w:rPr>
                <w:rFonts w:ascii="Arial" w:hAnsi="Arial" w:cs="Arial"/>
                <w:bCs/>
              </w:rPr>
            </w:pPr>
            <w:r w:rsidRPr="00F47925">
              <w:rPr>
                <w:rFonts w:ascii="Arial" w:hAnsi="Arial" w:cs="Arial"/>
                <w:bCs/>
              </w:rPr>
              <w:t>5</w:t>
            </w:r>
          </w:p>
        </w:tc>
        <w:tc>
          <w:tcPr>
            <w:tcW w:w="810" w:type="dxa"/>
            <w:tcBorders>
              <w:top w:val="single" w:sz="4" w:space="0" w:color="auto"/>
              <w:bottom w:val="single" w:sz="4" w:space="0" w:color="auto"/>
            </w:tcBorders>
            <w:shd w:val="clear" w:color="auto" w:fill="auto"/>
            <w:noWrap/>
            <w:vAlign w:val="bottom"/>
            <w:hideMark/>
          </w:tcPr>
          <w:p w14:paraId="4AAEEFB0" w14:textId="77777777" w:rsidR="00FE6F92" w:rsidRPr="00F47925" w:rsidRDefault="00FE6F92" w:rsidP="00FE6F92">
            <w:pPr>
              <w:pStyle w:val="Body"/>
              <w:spacing w:after="0"/>
              <w:rPr>
                <w:rFonts w:ascii="Arial" w:hAnsi="Arial" w:cs="Arial"/>
                <w:bCs/>
              </w:rPr>
            </w:pPr>
            <w:r w:rsidRPr="00F47925">
              <w:rPr>
                <w:rFonts w:ascii="Arial" w:hAnsi="Arial" w:cs="Arial"/>
                <w:bCs/>
              </w:rPr>
              <w:t>19</w:t>
            </w:r>
          </w:p>
        </w:tc>
        <w:tc>
          <w:tcPr>
            <w:tcW w:w="1006" w:type="dxa"/>
            <w:tcBorders>
              <w:top w:val="single" w:sz="4" w:space="0" w:color="auto"/>
              <w:bottom w:val="single" w:sz="4" w:space="0" w:color="auto"/>
            </w:tcBorders>
            <w:shd w:val="clear" w:color="auto" w:fill="auto"/>
            <w:noWrap/>
            <w:vAlign w:val="bottom"/>
            <w:hideMark/>
          </w:tcPr>
          <w:p w14:paraId="342E1DB6" w14:textId="77777777" w:rsidR="00FE6F92" w:rsidRPr="00F47925" w:rsidRDefault="00FE6F92" w:rsidP="00FE6F92">
            <w:pPr>
              <w:pStyle w:val="Body"/>
              <w:spacing w:after="0"/>
              <w:rPr>
                <w:rFonts w:ascii="Arial" w:hAnsi="Arial" w:cs="Arial"/>
                <w:bCs/>
              </w:rPr>
            </w:pPr>
            <w:r w:rsidRPr="00F47925">
              <w:rPr>
                <w:rFonts w:ascii="Arial" w:hAnsi="Arial" w:cs="Arial"/>
                <w:bCs/>
              </w:rPr>
              <w:t>3.80</w:t>
            </w:r>
          </w:p>
        </w:tc>
      </w:tr>
      <w:tr w:rsidR="00FE6F92" w:rsidRPr="00FE6F92" w14:paraId="6C2400D8" w14:textId="77777777" w:rsidTr="00FE6F92">
        <w:trPr>
          <w:trHeight w:val="332"/>
        </w:trPr>
        <w:tc>
          <w:tcPr>
            <w:tcW w:w="2340" w:type="dxa"/>
            <w:tcBorders>
              <w:top w:val="single" w:sz="4" w:space="0" w:color="auto"/>
              <w:bottom w:val="single" w:sz="4" w:space="0" w:color="auto"/>
            </w:tcBorders>
            <w:shd w:val="clear" w:color="auto" w:fill="auto"/>
            <w:noWrap/>
            <w:vAlign w:val="bottom"/>
            <w:hideMark/>
          </w:tcPr>
          <w:p w14:paraId="130DFB6A" w14:textId="77777777" w:rsidR="00FE6F92" w:rsidRPr="00FE6F92" w:rsidRDefault="00FE6F92" w:rsidP="00FE6F92">
            <w:pPr>
              <w:pStyle w:val="Body"/>
              <w:spacing w:after="0"/>
              <w:rPr>
                <w:rFonts w:ascii="Arial" w:hAnsi="Arial" w:cs="Arial"/>
                <w:b/>
                <w:bCs/>
              </w:rPr>
            </w:pPr>
            <w:r w:rsidRPr="00FE6F92">
              <w:rPr>
                <w:rFonts w:ascii="Arial" w:hAnsi="Arial" w:cs="Arial"/>
                <w:b/>
                <w:bCs/>
              </w:rPr>
              <w:t xml:space="preserve">5. Standing </w:t>
            </w:r>
          </w:p>
        </w:tc>
        <w:tc>
          <w:tcPr>
            <w:tcW w:w="810" w:type="dxa"/>
            <w:tcBorders>
              <w:top w:val="single" w:sz="4" w:space="0" w:color="auto"/>
              <w:bottom w:val="single" w:sz="4" w:space="0" w:color="auto"/>
            </w:tcBorders>
            <w:shd w:val="clear" w:color="auto" w:fill="auto"/>
            <w:noWrap/>
            <w:vAlign w:val="bottom"/>
            <w:hideMark/>
          </w:tcPr>
          <w:p w14:paraId="1A72C151"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10" w:type="dxa"/>
            <w:tcBorders>
              <w:top w:val="single" w:sz="4" w:space="0" w:color="auto"/>
              <w:bottom w:val="single" w:sz="4" w:space="0" w:color="auto"/>
            </w:tcBorders>
            <w:shd w:val="clear" w:color="auto" w:fill="auto"/>
            <w:noWrap/>
            <w:vAlign w:val="bottom"/>
            <w:hideMark/>
          </w:tcPr>
          <w:p w14:paraId="3F6EEF8E" w14:textId="77777777" w:rsidR="00FE6F92" w:rsidRPr="00F47925" w:rsidRDefault="00FE6F92" w:rsidP="00FE6F92">
            <w:pPr>
              <w:pStyle w:val="Body"/>
              <w:spacing w:after="0"/>
              <w:rPr>
                <w:rFonts w:ascii="Arial" w:hAnsi="Arial" w:cs="Arial"/>
                <w:bCs/>
              </w:rPr>
            </w:pPr>
            <w:r w:rsidRPr="00F47925">
              <w:rPr>
                <w:rFonts w:ascii="Arial" w:hAnsi="Arial" w:cs="Arial"/>
                <w:bCs/>
              </w:rPr>
              <w:t>6</w:t>
            </w:r>
          </w:p>
        </w:tc>
        <w:tc>
          <w:tcPr>
            <w:tcW w:w="810" w:type="dxa"/>
            <w:tcBorders>
              <w:top w:val="single" w:sz="4" w:space="0" w:color="auto"/>
              <w:bottom w:val="single" w:sz="4" w:space="0" w:color="auto"/>
            </w:tcBorders>
            <w:shd w:val="clear" w:color="auto" w:fill="auto"/>
            <w:noWrap/>
            <w:vAlign w:val="bottom"/>
            <w:hideMark/>
          </w:tcPr>
          <w:p w14:paraId="1DE8FE18" w14:textId="77777777" w:rsidR="00FE6F92" w:rsidRPr="00F47925" w:rsidRDefault="00FE6F92" w:rsidP="00FE6F92">
            <w:pPr>
              <w:pStyle w:val="Body"/>
              <w:spacing w:after="0"/>
              <w:rPr>
                <w:rFonts w:ascii="Arial" w:hAnsi="Arial" w:cs="Arial"/>
                <w:bCs/>
              </w:rPr>
            </w:pPr>
            <w:r w:rsidRPr="00F47925">
              <w:rPr>
                <w:rFonts w:ascii="Arial" w:hAnsi="Arial" w:cs="Arial"/>
                <w:bCs/>
              </w:rPr>
              <w:t>8</w:t>
            </w:r>
          </w:p>
        </w:tc>
        <w:tc>
          <w:tcPr>
            <w:tcW w:w="805" w:type="dxa"/>
            <w:tcBorders>
              <w:top w:val="single" w:sz="4" w:space="0" w:color="auto"/>
              <w:bottom w:val="single" w:sz="4" w:space="0" w:color="auto"/>
            </w:tcBorders>
            <w:shd w:val="clear" w:color="auto" w:fill="auto"/>
            <w:noWrap/>
            <w:vAlign w:val="bottom"/>
            <w:hideMark/>
          </w:tcPr>
          <w:p w14:paraId="0E689A97" w14:textId="77777777" w:rsidR="00FE6F92" w:rsidRPr="00F47925" w:rsidRDefault="00FE6F92" w:rsidP="00FE6F92">
            <w:pPr>
              <w:pStyle w:val="Body"/>
              <w:spacing w:after="0"/>
              <w:rPr>
                <w:rFonts w:ascii="Arial" w:hAnsi="Arial" w:cs="Arial"/>
                <w:bCs/>
              </w:rPr>
            </w:pPr>
            <w:r w:rsidRPr="00F47925">
              <w:rPr>
                <w:rFonts w:ascii="Arial" w:hAnsi="Arial" w:cs="Arial"/>
                <w:bCs/>
              </w:rPr>
              <w:t>6</w:t>
            </w:r>
          </w:p>
        </w:tc>
        <w:tc>
          <w:tcPr>
            <w:tcW w:w="810" w:type="dxa"/>
            <w:tcBorders>
              <w:top w:val="single" w:sz="4" w:space="0" w:color="auto"/>
              <w:bottom w:val="single" w:sz="4" w:space="0" w:color="auto"/>
            </w:tcBorders>
            <w:shd w:val="clear" w:color="auto" w:fill="auto"/>
            <w:noWrap/>
            <w:vAlign w:val="bottom"/>
            <w:hideMark/>
          </w:tcPr>
          <w:p w14:paraId="5DFF4B5A" w14:textId="77777777" w:rsidR="00FE6F92" w:rsidRPr="00F47925" w:rsidRDefault="00FE6F92" w:rsidP="00FE6F92">
            <w:pPr>
              <w:pStyle w:val="Body"/>
              <w:spacing w:after="0"/>
              <w:rPr>
                <w:rFonts w:ascii="Arial" w:hAnsi="Arial" w:cs="Arial"/>
                <w:bCs/>
              </w:rPr>
            </w:pPr>
            <w:r w:rsidRPr="00F47925">
              <w:rPr>
                <w:rFonts w:ascii="Arial" w:hAnsi="Arial" w:cs="Arial"/>
                <w:bCs/>
              </w:rPr>
              <w:t>9</w:t>
            </w:r>
          </w:p>
        </w:tc>
        <w:tc>
          <w:tcPr>
            <w:tcW w:w="810" w:type="dxa"/>
            <w:tcBorders>
              <w:top w:val="single" w:sz="4" w:space="0" w:color="auto"/>
              <w:bottom w:val="single" w:sz="4" w:space="0" w:color="auto"/>
            </w:tcBorders>
            <w:shd w:val="clear" w:color="auto" w:fill="auto"/>
            <w:noWrap/>
            <w:vAlign w:val="bottom"/>
            <w:hideMark/>
          </w:tcPr>
          <w:p w14:paraId="25FA93E3" w14:textId="77777777" w:rsidR="00FE6F92" w:rsidRPr="00F47925" w:rsidRDefault="00FE6F92" w:rsidP="00FE6F92">
            <w:pPr>
              <w:pStyle w:val="Body"/>
              <w:spacing w:after="0"/>
              <w:rPr>
                <w:rFonts w:ascii="Arial" w:hAnsi="Arial" w:cs="Arial"/>
                <w:bCs/>
              </w:rPr>
            </w:pPr>
            <w:r w:rsidRPr="00F47925">
              <w:rPr>
                <w:rFonts w:ascii="Arial" w:hAnsi="Arial" w:cs="Arial"/>
                <w:bCs/>
              </w:rPr>
              <w:t>33</w:t>
            </w:r>
          </w:p>
        </w:tc>
        <w:tc>
          <w:tcPr>
            <w:tcW w:w="1006" w:type="dxa"/>
            <w:tcBorders>
              <w:top w:val="single" w:sz="4" w:space="0" w:color="auto"/>
              <w:bottom w:val="single" w:sz="4" w:space="0" w:color="auto"/>
            </w:tcBorders>
            <w:shd w:val="clear" w:color="auto" w:fill="auto"/>
            <w:noWrap/>
            <w:vAlign w:val="bottom"/>
            <w:hideMark/>
          </w:tcPr>
          <w:p w14:paraId="19083D4A" w14:textId="77777777" w:rsidR="00FE6F92" w:rsidRPr="00F47925" w:rsidRDefault="00FE6F92" w:rsidP="00FE6F92">
            <w:pPr>
              <w:pStyle w:val="Body"/>
              <w:spacing w:after="0"/>
              <w:rPr>
                <w:rFonts w:ascii="Arial" w:hAnsi="Arial" w:cs="Arial"/>
                <w:bCs/>
              </w:rPr>
            </w:pPr>
            <w:r w:rsidRPr="00F47925">
              <w:rPr>
                <w:rFonts w:ascii="Arial" w:hAnsi="Arial" w:cs="Arial"/>
                <w:bCs/>
              </w:rPr>
              <w:t>6.60</w:t>
            </w:r>
          </w:p>
        </w:tc>
      </w:tr>
      <w:tr w:rsidR="00FE6F92" w:rsidRPr="00FE6F92" w14:paraId="16C9E805" w14:textId="77777777" w:rsidTr="00FE6F92">
        <w:trPr>
          <w:trHeight w:val="300"/>
        </w:trPr>
        <w:tc>
          <w:tcPr>
            <w:tcW w:w="2340" w:type="dxa"/>
            <w:tcBorders>
              <w:top w:val="single" w:sz="4" w:space="0" w:color="auto"/>
              <w:bottom w:val="single" w:sz="4" w:space="0" w:color="auto"/>
            </w:tcBorders>
            <w:shd w:val="clear" w:color="auto" w:fill="auto"/>
            <w:noWrap/>
            <w:vAlign w:val="bottom"/>
            <w:hideMark/>
          </w:tcPr>
          <w:p w14:paraId="3C414AD1" w14:textId="77777777" w:rsidR="00FE6F92" w:rsidRPr="00FE6F92" w:rsidRDefault="00FE6F92" w:rsidP="00FE6F92">
            <w:pPr>
              <w:pStyle w:val="Body"/>
              <w:spacing w:after="0"/>
              <w:rPr>
                <w:rFonts w:ascii="Arial" w:hAnsi="Arial" w:cs="Arial"/>
                <w:b/>
                <w:bCs/>
              </w:rPr>
            </w:pPr>
            <w:r w:rsidRPr="00FE6F92">
              <w:rPr>
                <w:rFonts w:ascii="Arial" w:hAnsi="Arial" w:cs="Arial"/>
                <w:b/>
                <w:bCs/>
              </w:rPr>
              <w:t>6. Going Out</w:t>
            </w:r>
          </w:p>
        </w:tc>
        <w:tc>
          <w:tcPr>
            <w:tcW w:w="810" w:type="dxa"/>
            <w:tcBorders>
              <w:top w:val="single" w:sz="4" w:space="0" w:color="auto"/>
              <w:bottom w:val="single" w:sz="4" w:space="0" w:color="auto"/>
            </w:tcBorders>
            <w:shd w:val="clear" w:color="auto" w:fill="auto"/>
            <w:noWrap/>
            <w:vAlign w:val="bottom"/>
            <w:hideMark/>
          </w:tcPr>
          <w:p w14:paraId="2FE00094"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bottom w:val="single" w:sz="4" w:space="0" w:color="auto"/>
            </w:tcBorders>
            <w:shd w:val="clear" w:color="auto" w:fill="auto"/>
            <w:noWrap/>
            <w:vAlign w:val="bottom"/>
            <w:hideMark/>
          </w:tcPr>
          <w:p w14:paraId="3F8300A3" w14:textId="77777777" w:rsidR="00FE6F92" w:rsidRPr="00F47925" w:rsidRDefault="00FE6F92" w:rsidP="00FE6F92">
            <w:pPr>
              <w:pStyle w:val="Body"/>
              <w:spacing w:after="0"/>
              <w:rPr>
                <w:rFonts w:ascii="Arial" w:hAnsi="Arial" w:cs="Arial"/>
                <w:bCs/>
              </w:rPr>
            </w:pPr>
            <w:r w:rsidRPr="00F47925">
              <w:rPr>
                <w:rFonts w:ascii="Arial" w:hAnsi="Arial" w:cs="Arial"/>
                <w:bCs/>
              </w:rPr>
              <w:t>2</w:t>
            </w:r>
          </w:p>
        </w:tc>
        <w:tc>
          <w:tcPr>
            <w:tcW w:w="810" w:type="dxa"/>
            <w:tcBorders>
              <w:top w:val="single" w:sz="4" w:space="0" w:color="auto"/>
              <w:bottom w:val="single" w:sz="4" w:space="0" w:color="auto"/>
            </w:tcBorders>
            <w:shd w:val="clear" w:color="auto" w:fill="auto"/>
            <w:noWrap/>
            <w:vAlign w:val="bottom"/>
            <w:hideMark/>
          </w:tcPr>
          <w:p w14:paraId="1FBC4303" w14:textId="77777777" w:rsidR="00FE6F92" w:rsidRPr="00F47925" w:rsidRDefault="00FE6F92" w:rsidP="00FE6F92">
            <w:pPr>
              <w:pStyle w:val="Body"/>
              <w:spacing w:after="0"/>
              <w:rPr>
                <w:rFonts w:ascii="Arial" w:hAnsi="Arial" w:cs="Arial"/>
                <w:bCs/>
              </w:rPr>
            </w:pPr>
            <w:r w:rsidRPr="00F47925">
              <w:rPr>
                <w:rFonts w:ascii="Arial" w:hAnsi="Arial" w:cs="Arial"/>
                <w:bCs/>
              </w:rPr>
              <w:t>2</w:t>
            </w:r>
          </w:p>
        </w:tc>
        <w:tc>
          <w:tcPr>
            <w:tcW w:w="805" w:type="dxa"/>
            <w:tcBorders>
              <w:top w:val="single" w:sz="4" w:space="0" w:color="auto"/>
              <w:bottom w:val="single" w:sz="4" w:space="0" w:color="auto"/>
            </w:tcBorders>
            <w:shd w:val="clear" w:color="auto" w:fill="auto"/>
            <w:noWrap/>
            <w:vAlign w:val="bottom"/>
            <w:hideMark/>
          </w:tcPr>
          <w:p w14:paraId="14637CBF" w14:textId="77777777" w:rsidR="00FE6F92" w:rsidRPr="00F47925" w:rsidRDefault="00FE6F92" w:rsidP="00FE6F92">
            <w:pPr>
              <w:pStyle w:val="Body"/>
              <w:spacing w:after="0"/>
              <w:rPr>
                <w:rFonts w:ascii="Arial" w:hAnsi="Arial" w:cs="Arial"/>
                <w:bCs/>
              </w:rPr>
            </w:pPr>
            <w:r w:rsidRPr="00F47925">
              <w:rPr>
                <w:rFonts w:ascii="Arial" w:hAnsi="Arial" w:cs="Arial"/>
                <w:bCs/>
              </w:rPr>
              <w:t>1</w:t>
            </w:r>
          </w:p>
        </w:tc>
        <w:tc>
          <w:tcPr>
            <w:tcW w:w="810" w:type="dxa"/>
            <w:tcBorders>
              <w:top w:val="single" w:sz="4" w:space="0" w:color="auto"/>
              <w:bottom w:val="single" w:sz="4" w:space="0" w:color="auto"/>
            </w:tcBorders>
            <w:shd w:val="clear" w:color="auto" w:fill="auto"/>
            <w:noWrap/>
            <w:vAlign w:val="bottom"/>
            <w:hideMark/>
          </w:tcPr>
          <w:p w14:paraId="47B556C5"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10" w:type="dxa"/>
            <w:tcBorders>
              <w:top w:val="single" w:sz="4" w:space="0" w:color="auto"/>
              <w:bottom w:val="single" w:sz="4" w:space="0" w:color="auto"/>
            </w:tcBorders>
            <w:shd w:val="clear" w:color="auto" w:fill="auto"/>
            <w:noWrap/>
            <w:vAlign w:val="bottom"/>
            <w:hideMark/>
          </w:tcPr>
          <w:p w14:paraId="12CEA3ED" w14:textId="77777777" w:rsidR="00FE6F92" w:rsidRPr="00F47925" w:rsidRDefault="00FE6F92" w:rsidP="00FE6F92">
            <w:pPr>
              <w:pStyle w:val="Body"/>
              <w:spacing w:after="0"/>
              <w:rPr>
                <w:rFonts w:ascii="Arial" w:hAnsi="Arial" w:cs="Arial"/>
                <w:bCs/>
              </w:rPr>
            </w:pPr>
            <w:r w:rsidRPr="00F47925">
              <w:rPr>
                <w:rFonts w:ascii="Arial" w:hAnsi="Arial" w:cs="Arial"/>
                <w:bCs/>
              </w:rPr>
              <w:t>13</w:t>
            </w:r>
          </w:p>
        </w:tc>
        <w:tc>
          <w:tcPr>
            <w:tcW w:w="1006" w:type="dxa"/>
            <w:tcBorders>
              <w:top w:val="single" w:sz="4" w:space="0" w:color="auto"/>
              <w:bottom w:val="single" w:sz="4" w:space="0" w:color="auto"/>
            </w:tcBorders>
            <w:shd w:val="clear" w:color="auto" w:fill="auto"/>
            <w:noWrap/>
            <w:vAlign w:val="bottom"/>
            <w:hideMark/>
          </w:tcPr>
          <w:p w14:paraId="1C738534" w14:textId="77777777" w:rsidR="00FE6F92" w:rsidRPr="00F47925" w:rsidRDefault="00FE6F92" w:rsidP="00FE6F92">
            <w:pPr>
              <w:pStyle w:val="Body"/>
              <w:spacing w:after="0"/>
              <w:rPr>
                <w:rFonts w:ascii="Arial" w:hAnsi="Arial" w:cs="Arial"/>
                <w:bCs/>
              </w:rPr>
            </w:pPr>
            <w:r w:rsidRPr="00F47925">
              <w:rPr>
                <w:rFonts w:ascii="Arial" w:hAnsi="Arial" w:cs="Arial"/>
                <w:bCs/>
              </w:rPr>
              <w:t>2.60</w:t>
            </w:r>
          </w:p>
        </w:tc>
      </w:tr>
      <w:tr w:rsidR="00FE6F92" w:rsidRPr="00FE6F92" w14:paraId="51B69F24" w14:textId="77777777" w:rsidTr="00FE6F92">
        <w:trPr>
          <w:trHeight w:val="300"/>
        </w:trPr>
        <w:tc>
          <w:tcPr>
            <w:tcW w:w="2340" w:type="dxa"/>
            <w:tcBorders>
              <w:top w:val="single" w:sz="4" w:space="0" w:color="auto"/>
            </w:tcBorders>
            <w:shd w:val="clear" w:color="auto" w:fill="auto"/>
            <w:noWrap/>
            <w:vAlign w:val="bottom"/>
            <w:hideMark/>
          </w:tcPr>
          <w:p w14:paraId="5AD6D045" w14:textId="77777777" w:rsidR="00FE6F92" w:rsidRPr="00FE6F92" w:rsidRDefault="00FE6F92" w:rsidP="00FE6F92">
            <w:pPr>
              <w:pStyle w:val="Body"/>
              <w:spacing w:after="0"/>
              <w:rPr>
                <w:rFonts w:ascii="Arial" w:hAnsi="Arial" w:cs="Arial"/>
                <w:b/>
                <w:bCs/>
              </w:rPr>
            </w:pPr>
            <w:r w:rsidRPr="00FE6F92">
              <w:rPr>
                <w:rFonts w:ascii="Arial" w:hAnsi="Arial" w:cs="Arial"/>
                <w:b/>
                <w:bCs/>
              </w:rPr>
              <w:t xml:space="preserve">7. Playing </w:t>
            </w:r>
          </w:p>
        </w:tc>
        <w:tc>
          <w:tcPr>
            <w:tcW w:w="810" w:type="dxa"/>
            <w:tcBorders>
              <w:top w:val="single" w:sz="4" w:space="0" w:color="auto"/>
            </w:tcBorders>
            <w:shd w:val="clear" w:color="auto" w:fill="auto"/>
            <w:noWrap/>
            <w:vAlign w:val="bottom"/>
            <w:hideMark/>
          </w:tcPr>
          <w:p w14:paraId="7E00D9B4"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tcBorders>
            <w:shd w:val="clear" w:color="auto" w:fill="auto"/>
            <w:noWrap/>
            <w:vAlign w:val="bottom"/>
            <w:hideMark/>
          </w:tcPr>
          <w:p w14:paraId="01ACCB26" w14:textId="77777777" w:rsidR="00FE6F92" w:rsidRPr="00F47925" w:rsidRDefault="00FE6F92" w:rsidP="00FE6F92">
            <w:pPr>
              <w:pStyle w:val="Body"/>
              <w:spacing w:after="0"/>
              <w:rPr>
                <w:rFonts w:ascii="Arial" w:hAnsi="Arial" w:cs="Arial"/>
                <w:bCs/>
              </w:rPr>
            </w:pPr>
            <w:r w:rsidRPr="00F47925">
              <w:rPr>
                <w:rFonts w:ascii="Arial" w:hAnsi="Arial" w:cs="Arial"/>
                <w:bCs/>
              </w:rPr>
              <w:t>2</w:t>
            </w:r>
          </w:p>
        </w:tc>
        <w:tc>
          <w:tcPr>
            <w:tcW w:w="810" w:type="dxa"/>
            <w:tcBorders>
              <w:top w:val="single" w:sz="4" w:space="0" w:color="auto"/>
            </w:tcBorders>
            <w:shd w:val="clear" w:color="auto" w:fill="auto"/>
            <w:noWrap/>
            <w:vAlign w:val="bottom"/>
            <w:hideMark/>
          </w:tcPr>
          <w:p w14:paraId="5CFA34EA" w14:textId="77777777" w:rsidR="00FE6F92" w:rsidRPr="00F47925" w:rsidRDefault="00FE6F92" w:rsidP="00FE6F92">
            <w:pPr>
              <w:pStyle w:val="Body"/>
              <w:spacing w:after="0"/>
              <w:rPr>
                <w:rFonts w:ascii="Arial" w:hAnsi="Arial" w:cs="Arial"/>
                <w:bCs/>
              </w:rPr>
            </w:pPr>
            <w:r w:rsidRPr="00F47925">
              <w:rPr>
                <w:rFonts w:ascii="Arial" w:hAnsi="Arial" w:cs="Arial"/>
                <w:bCs/>
              </w:rPr>
              <w:t>6</w:t>
            </w:r>
          </w:p>
        </w:tc>
        <w:tc>
          <w:tcPr>
            <w:tcW w:w="805" w:type="dxa"/>
            <w:tcBorders>
              <w:top w:val="single" w:sz="4" w:space="0" w:color="auto"/>
            </w:tcBorders>
            <w:shd w:val="clear" w:color="auto" w:fill="auto"/>
            <w:noWrap/>
            <w:vAlign w:val="bottom"/>
            <w:hideMark/>
          </w:tcPr>
          <w:p w14:paraId="05CCD320"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tcBorders>
            <w:shd w:val="clear" w:color="auto" w:fill="auto"/>
            <w:noWrap/>
            <w:vAlign w:val="bottom"/>
            <w:hideMark/>
          </w:tcPr>
          <w:p w14:paraId="1DCC1C23" w14:textId="77777777" w:rsidR="00FE6F92" w:rsidRPr="00F47925" w:rsidRDefault="00FE6F92" w:rsidP="00FE6F92">
            <w:pPr>
              <w:pStyle w:val="Body"/>
              <w:spacing w:after="0"/>
              <w:rPr>
                <w:rFonts w:ascii="Arial" w:hAnsi="Arial" w:cs="Arial"/>
                <w:bCs/>
              </w:rPr>
            </w:pPr>
            <w:r w:rsidRPr="00F47925">
              <w:rPr>
                <w:rFonts w:ascii="Arial" w:hAnsi="Arial" w:cs="Arial"/>
                <w:bCs/>
              </w:rPr>
              <w:t>5</w:t>
            </w:r>
          </w:p>
        </w:tc>
        <w:tc>
          <w:tcPr>
            <w:tcW w:w="810" w:type="dxa"/>
            <w:tcBorders>
              <w:top w:val="single" w:sz="4" w:space="0" w:color="auto"/>
            </w:tcBorders>
            <w:shd w:val="clear" w:color="auto" w:fill="auto"/>
            <w:noWrap/>
            <w:vAlign w:val="bottom"/>
            <w:hideMark/>
          </w:tcPr>
          <w:p w14:paraId="3A603651" w14:textId="77777777" w:rsidR="00FE6F92" w:rsidRPr="00F47925" w:rsidRDefault="00FE6F92" w:rsidP="00FE6F92">
            <w:pPr>
              <w:pStyle w:val="Body"/>
              <w:spacing w:after="0"/>
              <w:rPr>
                <w:rFonts w:ascii="Arial" w:hAnsi="Arial" w:cs="Arial"/>
                <w:bCs/>
              </w:rPr>
            </w:pPr>
            <w:r w:rsidRPr="00F47925">
              <w:rPr>
                <w:rFonts w:ascii="Arial" w:hAnsi="Arial" w:cs="Arial"/>
                <w:bCs/>
              </w:rPr>
              <w:t>19</w:t>
            </w:r>
          </w:p>
        </w:tc>
        <w:tc>
          <w:tcPr>
            <w:tcW w:w="1006" w:type="dxa"/>
            <w:tcBorders>
              <w:top w:val="single" w:sz="4" w:space="0" w:color="auto"/>
            </w:tcBorders>
            <w:shd w:val="clear" w:color="auto" w:fill="auto"/>
            <w:noWrap/>
            <w:vAlign w:val="bottom"/>
            <w:hideMark/>
          </w:tcPr>
          <w:p w14:paraId="1810A5D5" w14:textId="77777777" w:rsidR="00FE6F92" w:rsidRPr="00F47925" w:rsidRDefault="00FE6F92" w:rsidP="00FE6F92">
            <w:pPr>
              <w:pStyle w:val="Body"/>
              <w:spacing w:after="0"/>
              <w:rPr>
                <w:rFonts w:ascii="Arial" w:hAnsi="Arial" w:cs="Arial"/>
                <w:bCs/>
              </w:rPr>
            </w:pPr>
            <w:r w:rsidRPr="00F47925">
              <w:rPr>
                <w:rFonts w:ascii="Arial" w:hAnsi="Arial" w:cs="Arial"/>
                <w:bCs/>
              </w:rPr>
              <w:t>3.80</w:t>
            </w:r>
          </w:p>
        </w:tc>
      </w:tr>
      <w:tr w:rsidR="00FE6F92" w:rsidRPr="00FE6F92" w14:paraId="05720C3F" w14:textId="77777777" w:rsidTr="00FE6F92">
        <w:trPr>
          <w:trHeight w:val="300"/>
        </w:trPr>
        <w:tc>
          <w:tcPr>
            <w:tcW w:w="7195" w:type="dxa"/>
            <w:gridSpan w:val="7"/>
            <w:tcBorders>
              <w:bottom w:val="nil"/>
            </w:tcBorders>
            <w:shd w:val="clear" w:color="auto" w:fill="auto"/>
            <w:noWrap/>
            <w:vAlign w:val="bottom"/>
            <w:hideMark/>
          </w:tcPr>
          <w:p w14:paraId="6603FBD9" w14:textId="77777777" w:rsidR="00FE6F92" w:rsidRPr="00F47925" w:rsidRDefault="00FE6F92" w:rsidP="00FE6F92">
            <w:pPr>
              <w:pStyle w:val="Body"/>
              <w:spacing w:after="0"/>
              <w:rPr>
                <w:rFonts w:ascii="Arial" w:hAnsi="Arial" w:cs="Arial"/>
                <w:bCs/>
              </w:rPr>
            </w:pPr>
            <w:r w:rsidRPr="00F47925">
              <w:rPr>
                <w:rFonts w:ascii="Arial" w:hAnsi="Arial" w:cs="Arial"/>
                <w:bCs/>
              </w:rPr>
              <w:t>Overall</w:t>
            </w:r>
          </w:p>
        </w:tc>
        <w:tc>
          <w:tcPr>
            <w:tcW w:w="1006" w:type="dxa"/>
            <w:tcBorders>
              <w:bottom w:val="nil"/>
            </w:tcBorders>
            <w:shd w:val="clear" w:color="auto" w:fill="auto"/>
            <w:noWrap/>
            <w:vAlign w:val="bottom"/>
            <w:hideMark/>
          </w:tcPr>
          <w:p w14:paraId="41E19085" w14:textId="77777777" w:rsidR="00FE6F92" w:rsidRPr="00F47925" w:rsidRDefault="00FE6F92" w:rsidP="00FE6F92">
            <w:pPr>
              <w:pStyle w:val="Body"/>
              <w:spacing w:after="0"/>
              <w:rPr>
                <w:rFonts w:ascii="Arial" w:hAnsi="Arial" w:cs="Arial"/>
                <w:bCs/>
              </w:rPr>
            </w:pPr>
            <w:r w:rsidRPr="00F47925">
              <w:rPr>
                <w:rFonts w:ascii="Arial" w:hAnsi="Arial" w:cs="Arial"/>
                <w:bCs/>
              </w:rPr>
              <w:t>6.29</w:t>
            </w:r>
          </w:p>
        </w:tc>
      </w:tr>
    </w:tbl>
    <w:p w14:paraId="570C445A" w14:textId="77777777" w:rsidR="0075116E" w:rsidRPr="0075116E" w:rsidRDefault="0075116E" w:rsidP="0075116E">
      <w:pPr>
        <w:pStyle w:val="Body"/>
        <w:spacing w:after="0"/>
        <w:rPr>
          <w:rFonts w:ascii="Arial" w:hAnsi="Arial" w:cs="Arial"/>
        </w:rPr>
      </w:pPr>
      <w:r w:rsidRPr="0075116E">
        <w:rPr>
          <w:rFonts w:ascii="Arial" w:hAnsi="Arial" w:cs="Arial"/>
        </w:rPr>
        <w:t xml:space="preserve">This supports findings from </w:t>
      </w:r>
      <w:proofErr w:type="spellStart"/>
      <w:r w:rsidRPr="0075116E">
        <w:rPr>
          <w:rFonts w:ascii="Arial" w:hAnsi="Arial" w:cs="Arial"/>
        </w:rPr>
        <w:t>Robichaux</w:t>
      </w:r>
      <w:proofErr w:type="spellEnd"/>
      <w:r w:rsidRPr="0075116E">
        <w:rPr>
          <w:rFonts w:ascii="Arial" w:hAnsi="Arial" w:cs="Arial"/>
        </w:rPr>
        <w:t xml:space="preserve"> (2016) and Barrett et al. (2016), who emphasized the role of seating design in limiting peer distractions. However, </w:t>
      </w:r>
      <w:r w:rsidRPr="00A305F6">
        <w:rPr>
          <w:rFonts w:ascii="Arial" w:hAnsi="Arial" w:cs="Arial"/>
          <w:bCs/>
        </w:rPr>
        <w:t>standing behavior increased</w:t>
      </w:r>
      <w:r w:rsidRPr="0075116E">
        <w:rPr>
          <w:rFonts w:ascii="Arial" w:hAnsi="Arial" w:cs="Arial"/>
        </w:rPr>
        <w:t xml:space="preserve">, confirming observations by </w:t>
      </w:r>
      <w:proofErr w:type="spellStart"/>
      <w:r w:rsidRPr="0075116E">
        <w:rPr>
          <w:rFonts w:ascii="Arial" w:hAnsi="Arial" w:cs="Arial"/>
        </w:rPr>
        <w:t>Dewi</w:t>
      </w:r>
      <w:proofErr w:type="spellEnd"/>
      <w:r w:rsidRPr="0075116E">
        <w:rPr>
          <w:rFonts w:ascii="Arial" w:hAnsi="Arial" w:cs="Arial"/>
        </w:rPr>
        <w:t xml:space="preserve"> et al. (2023) and </w:t>
      </w:r>
      <w:proofErr w:type="spellStart"/>
      <w:r w:rsidRPr="0075116E">
        <w:rPr>
          <w:rFonts w:ascii="Arial" w:hAnsi="Arial" w:cs="Arial"/>
        </w:rPr>
        <w:t>Shernoff</w:t>
      </w:r>
      <w:proofErr w:type="spellEnd"/>
      <w:r w:rsidRPr="0075116E">
        <w:rPr>
          <w:rFonts w:ascii="Arial" w:hAnsi="Arial" w:cs="Arial"/>
        </w:rPr>
        <w:t xml:space="preserve"> et al. (2016), suggesting social reconnection tendencies in physically restrictive seating.</w:t>
      </w:r>
    </w:p>
    <w:p w14:paraId="0CA71C4C" w14:textId="77777777" w:rsidR="0075116E" w:rsidRPr="0075116E" w:rsidRDefault="0075116E" w:rsidP="0075116E">
      <w:pPr>
        <w:pStyle w:val="Body"/>
        <w:spacing w:after="0"/>
        <w:rPr>
          <w:rFonts w:ascii="Arial" w:hAnsi="Arial" w:cs="Arial"/>
        </w:rPr>
      </w:pPr>
      <w:r w:rsidRPr="0075116E">
        <w:rPr>
          <w:rFonts w:ascii="Arial" w:hAnsi="Arial" w:cs="Arial"/>
        </w:rPr>
        <w:t xml:space="preserve">Moreover, variations in behavior by time of day were supported by Blazer and Kraft (2016) and </w:t>
      </w:r>
      <w:proofErr w:type="spellStart"/>
      <w:r w:rsidRPr="0075116E">
        <w:rPr>
          <w:rFonts w:ascii="Arial" w:hAnsi="Arial" w:cs="Arial"/>
        </w:rPr>
        <w:t>Krammer</w:t>
      </w:r>
      <w:proofErr w:type="spellEnd"/>
      <w:r w:rsidRPr="0075116E">
        <w:rPr>
          <w:rFonts w:ascii="Arial" w:hAnsi="Arial" w:cs="Arial"/>
        </w:rPr>
        <w:t xml:space="preserve"> et al. (2023), who noted higher compliance in the early morning, with increased disruptions later.</w:t>
      </w:r>
    </w:p>
    <w:p w14:paraId="01F53CCC" w14:textId="77777777" w:rsidR="0075116E" w:rsidRPr="0075116E" w:rsidRDefault="0075116E" w:rsidP="0075116E">
      <w:pPr>
        <w:pStyle w:val="Body"/>
        <w:spacing w:after="0"/>
        <w:rPr>
          <w:rFonts w:ascii="Arial" w:hAnsi="Arial" w:cs="Arial"/>
          <w:b/>
          <w:bCs/>
        </w:rPr>
      </w:pPr>
      <w:r w:rsidRPr="0075116E">
        <w:rPr>
          <w:rFonts w:ascii="Arial" w:hAnsi="Arial" w:cs="Arial"/>
          <w:b/>
          <w:bCs/>
        </w:rPr>
        <w:t>Significant Difference Between Pre- and Post-Intervention</w:t>
      </w:r>
    </w:p>
    <w:p w14:paraId="10B11EFA" w14:textId="164975B7" w:rsidR="000F3EB0" w:rsidRPr="00CE62DA" w:rsidRDefault="0075116E" w:rsidP="00162C8A">
      <w:pPr>
        <w:pStyle w:val="Body"/>
        <w:spacing w:after="0"/>
        <w:rPr>
          <w:rFonts w:ascii="Arial" w:hAnsi="Arial" w:cs="Arial"/>
        </w:rPr>
      </w:pPr>
      <w:r w:rsidRPr="0075116E">
        <w:rPr>
          <w:rFonts w:ascii="Arial" w:hAnsi="Arial" w:cs="Arial"/>
        </w:rPr>
        <w:t xml:space="preserve">Although reductions were observed, a paired t-test revealed </w:t>
      </w:r>
      <w:r w:rsidRPr="0075116E">
        <w:rPr>
          <w:rFonts w:ascii="Arial" w:hAnsi="Arial" w:cs="Arial"/>
          <w:bCs/>
        </w:rPr>
        <w:t>no statistically significant difference</w:t>
      </w:r>
      <w:r w:rsidRPr="0075116E">
        <w:rPr>
          <w:rFonts w:ascii="Arial" w:hAnsi="Arial" w:cs="Arial"/>
        </w:rPr>
        <w:t xml:space="preserve"> between pre- and post-intervention behavior frequencies (p = 0.387). The mean difference of 11.714 suggests a positive trend but falls short of statistical </w:t>
      </w:r>
      <w:proofErr w:type="gramStart"/>
      <w:r w:rsidRPr="0075116E">
        <w:rPr>
          <w:rFonts w:ascii="Arial" w:hAnsi="Arial" w:cs="Arial"/>
        </w:rPr>
        <w:t>significance.</w:t>
      </w:r>
      <w:r w:rsidR="000F3EB0" w:rsidRPr="00CE62DA">
        <w:rPr>
          <w:rFonts w:ascii="Arial" w:hAnsi="Arial" w:cs="Arial"/>
        </w:rPr>
        <w:t>.</w:t>
      </w:r>
      <w:proofErr w:type="gramEnd"/>
    </w:p>
    <w:p w14:paraId="17216E87" w14:textId="77777777" w:rsidR="0075116E" w:rsidRPr="0075116E" w:rsidRDefault="0075116E" w:rsidP="0075116E">
      <w:pPr>
        <w:pStyle w:val="Body"/>
        <w:spacing w:after="0"/>
        <w:rPr>
          <w:rFonts w:ascii="Arial" w:eastAsia="Calibri" w:hAnsi="Arial" w:cs="Arial"/>
          <w:b/>
          <w:bCs/>
          <w:color w:val="000000"/>
        </w:rPr>
      </w:pPr>
      <w:r w:rsidRPr="0075116E">
        <w:rPr>
          <w:rFonts w:ascii="Arial" w:eastAsia="Calibri" w:hAnsi="Arial" w:cs="Arial"/>
          <w:b/>
          <w:bCs/>
          <w:color w:val="000000"/>
        </w:rPr>
        <w:t>Table 3. Significant difference between pre and post-intervention</w:t>
      </w:r>
    </w:p>
    <w:tbl>
      <w:tblPr>
        <w:tblW w:w="8370" w:type="dxa"/>
        <w:jc w:val="center"/>
        <w:tblLayout w:type="fixed"/>
        <w:tblLook w:val="04A0" w:firstRow="1" w:lastRow="0" w:firstColumn="1" w:lastColumn="0" w:noHBand="0" w:noVBand="1"/>
      </w:tblPr>
      <w:tblGrid>
        <w:gridCol w:w="1345"/>
        <w:gridCol w:w="725"/>
        <w:gridCol w:w="941"/>
        <w:gridCol w:w="941"/>
        <w:gridCol w:w="1255"/>
        <w:gridCol w:w="1113"/>
        <w:gridCol w:w="1127"/>
        <w:gridCol w:w="923"/>
      </w:tblGrid>
      <w:tr w:rsidR="0075116E" w:rsidRPr="0075116E" w14:paraId="34630896" w14:textId="77777777" w:rsidTr="0075116E">
        <w:trPr>
          <w:trHeight w:val="300"/>
          <w:jc w:val="center"/>
        </w:trPr>
        <w:tc>
          <w:tcPr>
            <w:tcW w:w="1345" w:type="dxa"/>
            <w:vMerge w:val="restart"/>
            <w:shd w:val="clear" w:color="auto" w:fill="auto"/>
            <w:vAlign w:val="center"/>
            <w:hideMark/>
          </w:tcPr>
          <w:p w14:paraId="7899F214" w14:textId="77777777" w:rsidR="0075116E" w:rsidRPr="0075116E" w:rsidRDefault="0075116E" w:rsidP="0075116E">
            <w:pPr>
              <w:pStyle w:val="Body"/>
              <w:spacing w:after="0"/>
              <w:rPr>
                <w:rFonts w:ascii="Arial" w:eastAsia="Calibri" w:hAnsi="Arial" w:cs="Arial"/>
                <w:b/>
                <w:bCs/>
                <w:color w:val="000000"/>
              </w:rPr>
            </w:pPr>
            <w:r w:rsidRPr="0075116E">
              <w:rPr>
                <w:rFonts w:ascii="Arial" w:eastAsia="Calibri" w:hAnsi="Arial" w:cs="Arial"/>
                <w:b/>
                <w:bCs/>
                <w:color w:val="000000"/>
              </w:rPr>
              <w:t>Variable</w:t>
            </w:r>
          </w:p>
        </w:tc>
        <w:tc>
          <w:tcPr>
            <w:tcW w:w="7025" w:type="dxa"/>
            <w:gridSpan w:val="7"/>
            <w:shd w:val="clear" w:color="auto" w:fill="auto"/>
            <w:vAlign w:val="bottom"/>
            <w:hideMark/>
          </w:tcPr>
          <w:p w14:paraId="44E8DC95"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T-test for Equality of Means</w:t>
            </w:r>
          </w:p>
        </w:tc>
      </w:tr>
      <w:tr w:rsidR="0075116E" w:rsidRPr="0075116E" w14:paraId="794F184B" w14:textId="77777777" w:rsidTr="0075116E">
        <w:trPr>
          <w:trHeight w:val="300"/>
          <w:jc w:val="center"/>
        </w:trPr>
        <w:tc>
          <w:tcPr>
            <w:tcW w:w="1345" w:type="dxa"/>
            <w:vMerge/>
            <w:vAlign w:val="center"/>
            <w:hideMark/>
          </w:tcPr>
          <w:p w14:paraId="564D2EC5" w14:textId="77777777" w:rsidR="0075116E" w:rsidRPr="0075116E" w:rsidRDefault="0075116E" w:rsidP="0075116E">
            <w:pPr>
              <w:pStyle w:val="Body"/>
              <w:spacing w:after="0"/>
              <w:rPr>
                <w:rFonts w:ascii="Arial" w:eastAsia="Calibri" w:hAnsi="Arial" w:cs="Arial"/>
                <w:b/>
                <w:bCs/>
                <w:color w:val="000000"/>
              </w:rPr>
            </w:pPr>
          </w:p>
        </w:tc>
        <w:tc>
          <w:tcPr>
            <w:tcW w:w="725" w:type="dxa"/>
            <w:vMerge w:val="restart"/>
            <w:tcBorders>
              <w:top w:val="single" w:sz="4" w:space="0" w:color="auto"/>
            </w:tcBorders>
            <w:shd w:val="clear" w:color="auto" w:fill="auto"/>
            <w:vAlign w:val="bottom"/>
            <w:hideMark/>
          </w:tcPr>
          <w:p w14:paraId="6A0811F5"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T</w:t>
            </w:r>
          </w:p>
        </w:tc>
        <w:tc>
          <w:tcPr>
            <w:tcW w:w="941" w:type="dxa"/>
            <w:vMerge w:val="restart"/>
            <w:tcBorders>
              <w:top w:val="single" w:sz="4" w:space="0" w:color="auto"/>
            </w:tcBorders>
            <w:shd w:val="clear" w:color="auto" w:fill="auto"/>
            <w:vAlign w:val="bottom"/>
            <w:hideMark/>
          </w:tcPr>
          <w:p w14:paraId="52A5CE67"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df</w:t>
            </w:r>
          </w:p>
        </w:tc>
        <w:tc>
          <w:tcPr>
            <w:tcW w:w="941" w:type="dxa"/>
            <w:vMerge w:val="restart"/>
            <w:tcBorders>
              <w:top w:val="single" w:sz="4" w:space="0" w:color="auto"/>
            </w:tcBorders>
            <w:shd w:val="clear" w:color="auto" w:fill="auto"/>
            <w:vAlign w:val="bottom"/>
            <w:hideMark/>
          </w:tcPr>
          <w:p w14:paraId="3DEC1C8F"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Sig. (2-tailed)</w:t>
            </w:r>
          </w:p>
        </w:tc>
        <w:tc>
          <w:tcPr>
            <w:tcW w:w="1255" w:type="dxa"/>
            <w:vMerge w:val="restart"/>
            <w:tcBorders>
              <w:top w:val="single" w:sz="4" w:space="0" w:color="auto"/>
            </w:tcBorders>
            <w:shd w:val="clear" w:color="auto" w:fill="auto"/>
            <w:vAlign w:val="bottom"/>
            <w:hideMark/>
          </w:tcPr>
          <w:p w14:paraId="26107D4E"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Mean Difference</w:t>
            </w:r>
          </w:p>
        </w:tc>
        <w:tc>
          <w:tcPr>
            <w:tcW w:w="1113" w:type="dxa"/>
            <w:vMerge w:val="restart"/>
            <w:tcBorders>
              <w:top w:val="single" w:sz="4" w:space="0" w:color="auto"/>
            </w:tcBorders>
            <w:shd w:val="clear" w:color="auto" w:fill="auto"/>
            <w:vAlign w:val="bottom"/>
            <w:hideMark/>
          </w:tcPr>
          <w:p w14:paraId="61A3EDA1"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Std. Error Difference</w:t>
            </w:r>
          </w:p>
        </w:tc>
        <w:tc>
          <w:tcPr>
            <w:tcW w:w="2050" w:type="dxa"/>
            <w:gridSpan w:val="2"/>
            <w:tcBorders>
              <w:top w:val="single" w:sz="4" w:space="0" w:color="auto"/>
            </w:tcBorders>
            <w:shd w:val="clear" w:color="auto" w:fill="auto"/>
            <w:vAlign w:val="bottom"/>
            <w:hideMark/>
          </w:tcPr>
          <w:p w14:paraId="68E02096"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95% Confidence Interval of the Difference</w:t>
            </w:r>
          </w:p>
        </w:tc>
      </w:tr>
      <w:tr w:rsidR="0075116E" w:rsidRPr="0075116E" w14:paraId="5004AF97" w14:textId="77777777" w:rsidTr="0075116E">
        <w:trPr>
          <w:trHeight w:val="300"/>
          <w:jc w:val="center"/>
        </w:trPr>
        <w:tc>
          <w:tcPr>
            <w:tcW w:w="1345" w:type="dxa"/>
            <w:vMerge/>
            <w:tcBorders>
              <w:bottom w:val="single" w:sz="4" w:space="0" w:color="auto"/>
            </w:tcBorders>
            <w:vAlign w:val="center"/>
            <w:hideMark/>
          </w:tcPr>
          <w:p w14:paraId="6A63F479" w14:textId="77777777" w:rsidR="0075116E" w:rsidRPr="0075116E" w:rsidRDefault="0075116E" w:rsidP="0075116E">
            <w:pPr>
              <w:pStyle w:val="Body"/>
              <w:spacing w:after="0"/>
              <w:rPr>
                <w:rFonts w:ascii="Arial" w:eastAsia="Calibri" w:hAnsi="Arial" w:cs="Arial"/>
                <w:b/>
                <w:bCs/>
                <w:color w:val="000000"/>
              </w:rPr>
            </w:pPr>
          </w:p>
        </w:tc>
        <w:tc>
          <w:tcPr>
            <w:tcW w:w="725" w:type="dxa"/>
            <w:vMerge/>
            <w:tcBorders>
              <w:bottom w:val="single" w:sz="4" w:space="0" w:color="auto"/>
            </w:tcBorders>
            <w:vAlign w:val="center"/>
            <w:hideMark/>
          </w:tcPr>
          <w:p w14:paraId="17A6B048" w14:textId="77777777" w:rsidR="0075116E" w:rsidRPr="00F47925" w:rsidRDefault="0075116E" w:rsidP="0075116E">
            <w:pPr>
              <w:pStyle w:val="Body"/>
              <w:spacing w:after="0"/>
              <w:rPr>
                <w:rFonts w:ascii="Arial" w:eastAsia="Calibri" w:hAnsi="Arial" w:cs="Arial"/>
                <w:b/>
                <w:bCs/>
                <w:color w:val="000000"/>
              </w:rPr>
            </w:pPr>
          </w:p>
        </w:tc>
        <w:tc>
          <w:tcPr>
            <w:tcW w:w="941" w:type="dxa"/>
            <w:vMerge/>
            <w:tcBorders>
              <w:bottom w:val="single" w:sz="4" w:space="0" w:color="auto"/>
            </w:tcBorders>
            <w:vAlign w:val="center"/>
            <w:hideMark/>
          </w:tcPr>
          <w:p w14:paraId="70C58A54" w14:textId="77777777" w:rsidR="0075116E" w:rsidRPr="00F47925" w:rsidRDefault="0075116E" w:rsidP="0075116E">
            <w:pPr>
              <w:pStyle w:val="Body"/>
              <w:spacing w:after="0"/>
              <w:rPr>
                <w:rFonts w:ascii="Arial" w:eastAsia="Calibri" w:hAnsi="Arial" w:cs="Arial"/>
                <w:b/>
                <w:bCs/>
                <w:color w:val="000000"/>
              </w:rPr>
            </w:pPr>
          </w:p>
        </w:tc>
        <w:tc>
          <w:tcPr>
            <w:tcW w:w="941" w:type="dxa"/>
            <w:vMerge/>
            <w:tcBorders>
              <w:bottom w:val="single" w:sz="4" w:space="0" w:color="auto"/>
            </w:tcBorders>
            <w:vAlign w:val="center"/>
            <w:hideMark/>
          </w:tcPr>
          <w:p w14:paraId="65589FFD" w14:textId="77777777" w:rsidR="0075116E" w:rsidRPr="00F47925" w:rsidRDefault="0075116E" w:rsidP="0075116E">
            <w:pPr>
              <w:pStyle w:val="Body"/>
              <w:spacing w:after="0"/>
              <w:rPr>
                <w:rFonts w:ascii="Arial" w:eastAsia="Calibri" w:hAnsi="Arial" w:cs="Arial"/>
                <w:b/>
                <w:bCs/>
                <w:color w:val="000000"/>
              </w:rPr>
            </w:pPr>
          </w:p>
        </w:tc>
        <w:tc>
          <w:tcPr>
            <w:tcW w:w="1255" w:type="dxa"/>
            <w:vMerge/>
            <w:tcBorders>
              <w:bottom w:val="single" w:sz="4" w:space="0" w:color="auto"/>
            </w:tcBorders>
            <w:vAlign w:val="center"/>
            <w:hideMark/>
          </w:tcPr>
          <w:p w14:paraId="13FEA745" w14:textId="77777777" w:rsidR="0075116E" w:rsidRPr="00F47925" w:rsidRDefault="0075116E" w:rsidP="0075116E">
            <w:pPr>
              <w:pStyle w:val="Body"/>
              <w:spacing w:after="0"/>
              <w:rPr>
                <w:rFonts w:ascii="Arial" w:eastAsia="Calibri" w:hAnsi="Arial" w:cs="Arial"/>
                <w:b/>
                <w:bCs/>
                <w:color w:val="000000"/>
              </w:rPr>
            </w:pPr>
          </w:p>
        </w:tc>
        <w:tc>
          <w:tcPr>
            <w:tcW w:w="1113" w:type="dxa"/>
            <w:vMerge/>
            <w:tcBorders>
              <w:bottom w:val="single" w:sz="4" w:space="0" w:color="auto"/>
            </w:tcBorders>
            <w:vAlign w:val="center"/>
            <w:hideMark/>
          </w:tcPr>
          <w:p w14:paraId="2B63CD4C" w14:textId="77777777" w:rsidR="0075116E" w:rsidRPr="00F47925" w:rsidRDefault="0075116E" w:rsidP="0075116E">
            <w:pPr>
              <w:pStyle w:val="Body"/>
              <w:spacing w:after="0"/>
              <w:rPr>
                <w:rFonts w:ascii="Arial" w:eastAsia="Calibri" w:hAnsi="Arial" w:cs="Arial"/>
                <w:b/>
                <w:bCs/>
                <w:color w:val="000000"/>
              </w:rPr>
            </w:pPr>
          </w:p>
        </w:tc>
        <w:tc>
          <w:tcPr>
            <w:tcW w:w="1127" w:type="dxa"/>
            <w:tcBorders>
              <w:bottom w:val="single" w:sz="4" w:space="0" w:color="auto"/>
            </w:tcBorders>
            <w:shd w:val="clear" w:color="auto" w:fill="auto"/>
            <w:vAlign w:val="bottom"/>
            <w:hideMark/>
          </w:tcPr>
          <w:p w14:paraId="2EC79E2C"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Lower</w:t>
            </w:r>
          </w:p>
        </w:tc>
        <w:tc>
          <w:tcPr>
            <w:tcW w:w="923" w:type="dxa"/>
            <w:tcBorders>
              <w:bottom w:val="single" w:sz="4" w:space="0" w:color="auto"/>
            </w:tcBorders>
            <w:shd w:val="clear" w:color="auto" w:fill="auto"/>
            <w:vAlign w:val="bottom"/>
            <w:hideMark/>
          </w:tcPr>
          <w:p w14:paraId="3B0BD55A"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Upper</w:t>
            </w:r>
          </w:p>
        </w:tc>
      </w:tr>
      <w:tr w:rsidR="0075116E" w:rsidRPr="0075116E" w14:paraId="2D4C0A38" w14:textId="77777777" w:rsidTr="0075116E">
        <w:trPr>
          <w:trHeight w:val="855"/>
          <w:jc w:val="center"/>
        </w:trPr>
        <w:tc>
          <w:tcPr>
            <w:tcW w:w="1345" w:type="dxa"/>
            <w:tcBorders>
              <w:top w:val="single" w:sz="4" w:space="0" w:color="auto"/>
              <w:bottom w:val="single" w:sz="4" w:space="0" w:color="auto"/>
            </w:tcBorders>
            <w:shd w:val="clear" w:color="auto" w:fill="auto"/>
            <w:hideMark/>
          </w:tcPr>
          <w:p w14:paraId="5ED12226" w14:textId="77777777" w:rsidR="0075116E" w:rsidRPr="0075116E" w:rsidRDefault="0075116E" w:rsidP="0075116E">
            <w:pPr>
              <w:pStyle w:val="Body"/>
              <w:spacing w:after="0"/>
              <w:rPr>
                <w:rFonts w:ascii="Arial" w:eastAsia="Calibri" w:hAnsi="Arial" w:cs="Arial"/>
                <w:b/>
                <w:bCs/>
                <w:color w:val="000000"/>
              </w:rPr>
            </w:pPr>
            <w:r w:rsidRPr="0075116E">
              <w:rPr>
                <w:rFonts w:ascii="Arial" w:eastAsia="Calibri" w:hAnsi="Arial" w:cs="Arial"/>
                <w:b/>
                <w:bCs/>
                <w:color w:val="000000"/>
              </w:rPr>
              <w:t>Occurrence of Disruptive Behaviors</w:t>
            </w:r>
          </w:p>
        </w:tc>
        <w:tc>
          <w:tcPr>
            <w:tcW w:w="725" w:type="dxa"/>
            <w:tcBorders>
              <w:top w:val="single" w:sz="4" w:space="0" w:color="auto"/>
              <w:bottom w:val="single" w:sz="4" w:space="0" w:color="auto"/>
            </w:tcBorders>
            <w:shd w:val="clear" w:color="auto" w:fill="auto"/>
            <w:noWrap/>
            <w:vAlign w:val="center"/>
            <w:hideMark/>
          </w:tcPr>
          <w:p w14:paraId="1817F408"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0.898</w:t>
            </w:r>
          </w:p>
        </w:tc>
        <w:tc>
          <w:tcPr>
            <w:tcW w:w="941" w:type="dxa"/>
            <w:tcBorders>
              <w:top w:val="single" w:sz="4" w:space="0" w:color="auto"/>
              <w:bottom w:val="single" w:sz="4" w:space="0" w:color="auto"/>
            </w:tcBorders>
            <w:shd w:val="clear" w:color="auto" w:fill="auto"/>
            <w:noWrap/>
            <w:vAlign w:val="center"/>
            <w:hideMark/>
          </w:tcPr>
          <w:p w14:paraId="69F9A3C8"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12</w:t>
            </w:r>
          </w:p>
        </w:tc>
        <w:tc>
          <w:tcPr>
            <w:tcW w:w="941" w:type="dxa"/>
            <w:tcBorders>
              <w:top w:val="single" w:sz="4" w:space="0" w:color="auto"/>
              <w:bottom w:val="single" w:sz="4" w:space="0" w:color="auto"/>
            </w:tcBorders>
            <w:shd w:val="clear" w:color="auto" w:fill="auto"/>
            <w:noWrap/>
            <w:vAlign w:val="center"/>
            <w:hideMark/>
          </w:tcPr>
          <w:p w14:paraId="290D176F"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0.387</w:t>
            </w:r>
          </w:p>
        </w:tc>
        <w:tc>
          <w:tcPr>
            <w:tcW w:w="1255" w:type="dxa"/>
            <w:tcBorders>
              <w:bottom w:val="single" w:sz="4" w:space="0" w:color="auto"/>
            </w:tcBorders>
            <w:shd w:val="clear" w:color="auto" w:fill="auto"/>
            <w:noWrap/>
            <w:vAlign w:val="center"/>
            <w:hideMark/>
          </w:tcPr>
          <w:p w14:paraId="7648C6C0"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11.714</w:t>
            </w:r>
          </w:p>
        </w:tc>
        <w:tc>
          <w:tcPr>
            <w:tcW w:w="1113" w:type="dxa"/>
            <w:tcBorders>
              <w:bottom w:val="single" w:sz="4" w:space="0" w:color="auto"/>
            </w:tcBorders>
            <w:shd w:val="clear" w:color="auto" w:fill="auto"/>
            <w:noWrap/>
            <w:vAlign w:val="center"/>
            <w:hideMark/>
          </w:tcPr>
          <w:p w14:paraId="60FDB440"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13.052</w:t>
            </w:r>
          </w:p>
        </w:tc>
        <w:tc>
          <w:tcPr>
            <w:tcW w:w="1127" w:type="dxa"/>
            <w:tcBorders>
              <w:bottom w:val="single" w:sz="4" w:space="0" w:color="auto"/>
            </w:tcBorders>
            <w:shd w:val="clear" w:color="auto" w:fill="auto"/>
            <w:noWrap/>
            <w:vAlign w:val="center"/>
            <w:hideMark/>
          </w:tcPr>
          <w:p w14:paraId="7FF8E8DE"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-16.723</w:t>
            </w:r>
          </w:p>
        </w:tc>
        <w:tc>
          <w:tcPr>
            <w:tcW w:w="923" w:type="dxa"/>
            <w:tcBorders>
              <w:bottom w:val="single" w:sz="4" w:space="0" w:color="auto"/>
            </w:tcBorders>
            <w:shd w:val="clear" w:color="auto" w:fill="auto"/>
            <w:noWrap/>
            <w:vAlign w:val="center"/>
            <w:hideMark/>
          </w:tcPr>
          <w:p w14:paraId="0B0A82E4"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40.152</w:t>
            </w:r>
          </w:p>
        </w:tc>
      </w:tr>
    </w:tbl>
    <w:p w14:paraId="70CC37AF" w14:textId="77777777" w:rsidR="0075116E" w:rsidRPr="0075116E" w:rsidRDefault="0075116E" w:rsidP="0075116E">
      <w:pPr>
        <w:pStyle w:val="Body"/>
        <w:tabs>
          <w:tab w:val="left" w:pos="5906"/>
        </w:tabs>
        <w:spacing w:after="0"/>
        <w:rPr>
          <w:rFonts w:ascii="Arial" w:hAnsi="Arial" w:cs="Arial"/>
        </w:rPr>
      </w:pPr>
      <w:r w:rsidRPr="0075116E">
        <w:rPr>
          <w:rFonts w:ascii="Arial" w:hAnsi="Arial" w:cs="Arial"/>
        </w:rPr>
        <w:t xml:space="preserve">This echoes findings from Braun et al. (2019), Nabors et al. (2022), and </w:t>
      </w:r>
      <w:proofErr w:type="spellStart"/>
      <w:r w:rsidRPr="0075116E">
        <w:rPr>
          <w:rFonts w:ascii="Arial" w:hAnsi="Arial" w:cs="Arial"/>
        </w:rPr>
        <w:t>Gaastra</w:t>
      </w:r>
      <w:proofErr w:type="spellEnd"/>
      <w:r w:rsidRPr="0075116E">
        <w:rPr>
          <w:rFonts w:ascii="Arial" w:hAnsi="Arial" w:cs="Arial"/>
        </w:rPr>
        <w:t xml:space="preserve"> et al. (2016), who emphasize that real-world behavioral gains can occur even without statistical confirmation—especially in small or short-term samples.</w:t>
      </w:r>
    </w:p>
    <w:p w14:paraId="65813227" w14:textId="77777777" w:rsidR="0075116E" w:rsidRPr="0075116E" w:rsidRDefault="0075116E" w:rsidP="0075116E">
      <w:pPr>
        <w:pStyle w:val="Body"/>
        <w:tabs>
          <w:tab w:val="left" w:pos="5906"/>
        </w:tabs>
        <w:spacing w:after="0"/>
        <w:rPr>
          <w:rFonts w:ascii="Arial" w:hAnsi="Arial" w:cs="Arial"/>
        </w:rPr>
      </w:pPr>
      <w:r w:rsidRPr="0075116E">
        <w:rPr>
          <w:rFonts w:ascii="Arial" w:hAnsi="Arial" w:cs="Arial"/>
        </w:rPr>
        <w:lastRenderedPageBreak/>
        <w:t>Skinner’s operant conditioning theory reinforces these findings. Adjusting environmental reinforcements through seating arrangements effectively shifted behavioral patterns (</w:t>
      </w:r>
      <w:proofErr w:type="spellStart"/>
      <w:r w:rsidRPr="0075116E">
        <w:rPr>
          <w:rFonts w:ascii="Arial" w:hAnsi="Arial" w:cs="Arial"/>
        </w:rPr>
        <w:t>Düzey</w:t>
      </w:r>
      <w:proofErr w:type="spellEnd"/>
      <w:r w:rsidRPr="0075116E">
        <w:rPr>
          <w:rFonts w:ascii="Arial" w:hAnsi="Arial" w:cs="Arial"/>
        </w:rPr>
        <w:t xml:space="preserve"> &amp; </w:t>
      </w:r>
      <w:proofErr w:type="spellStart"/>
      <w:r w:rsidRPr="0075116E">
        <w:rPr>
          <w:rFonts w:ascii="Arial" w:hAnsi="Arial" w:cs="Arial"/>
        </w:rPr>
        <w:t>Caganaga</w:t>
      </w:r>
      <w:proofErr w:type="spellEnd"/>
      <w:r w:rsidRPr="0075116E">
        <w:rPr>
          <w:rFonts w:ascii="Arial" w:hAnsi="Arial" w:cs="Arial"/>
        </w:rPr>
        <w:t>, 2017), validating behavior modification through environmental cues.</w:t>
      </w:r>
    </w:p>
    <w:p w14:paraId="286DEC7E" w14:textId="77777777" w:rsidR="0075116E" w:rsidRPr="0075116E" w:rsidRDefault="0075116E" w:rsidP="0075116E">
      <w:pPr>
        <w:pStyle w:val="Body"/>
        <w:tabs>
          <w:tab w:val="left" w:pos="5906"/>
        </w:tabs>
        <w:spacing w:after="0"/>
        <w:rPr>
          <w:rFonts w:ascii="Arial" w:hAnsi="Arial" w:cs="Arial"/>
          <w:b/>
          <w:bCs/>
        </w:rPr>
      </w:pPr>
      <w:r w:rsidRPr="0075116E">
        <w:rPr>
          <w:rFonts w:ascii="Arial" w:hAnsi="Arial" w:cs="Arial"/>
          <w:b/>
          <w:bCs/>
        </w:rPr>
        <w:t>Effect of the Intervention</w:t>
      </w:r>
    </w:p>
    <w:p w14:paraId="2A3011AC" w14:textId="060DB5EF" w:rsidR="000F3EB0" w:rsidRPr="00CE62DA" w:rsidRDefault="0075116E" w:rsidP="0075116E">
      <w:pPr>
        <w:pStyle w:val="Body"/>
        <w:tabs>
          <w:tab w:val="left" w:pos="5906"/>
        </w:tabs>
        <w:spacing w:after="0"/>
        <w:rPr>
          <w:rFonts w:ascii="Arial" w:hAnsi="Arial" w:cs="Arial"/>
        </w:rPr>
      </w:pPr>
      <w:r w:rsidRPr="0075116E">
        <w:rPr>
          <w:rFonts w:ascii="Arial" w:hAnsi="Arial" w:cs="Arial"/>
        </w:rPr>
        <w:t xml:space="preserve">To determine practical impact, Cohen's d was used to calculate effect size. The result (d = 0.480) indicates a </w:t>
      </w:r>
      <w:r w:rsidRPr="0075116E">
        <w:rPr>
          <w:rFonts w:ascii="Arial" w:hAnsi="Arial" w:cs="Arial"/>
          <w:b/>
          <w:bCs/>
        </w:rPr>
        <w:t>small to approaching moderate effect</w:t>
      </w:r>
      <w:r w:rsidRPr="0075116E">
        <w:rPr>
          <w:rFonts w:ascii="Arial" w:hAnsi="Arial" w:cs="Arial"/>
        </w:rPr>
        <w:t xml:space="preserve">, with a wide confidence interval (-0.595 to 1.535), suggesting variability due to limited sample </w:t>
      </w:r>
      <w:proofErr w:type="gramStart"/>
      <w:r w:rsidRPr="0075116E">
        <w:rPr>
          <w:rFonts w:ascii="Arial" w:hAnsi="Arial" w:cs="Arial"/>
        </w:rPr>
        <w:t>size.</w:t>
      </w:r>
      <w:r w:rsidR="000F3EB0" w:rsidRPr="00CE62DA">
        <w:rPr>
          <w:rFonts w:ascii="Arial" w:hAnsi="Arial" w:cs="Arial"/>
        </w:rPr>
        <w:t>.</w:t>
      </w:r>
      <w:proofErr w:type="gramEnd"/>
      <w:r>
        <w:rPr>
          <w:rFonts w:ascii="Arial" w:hAnsi="Arial" w:cs="Arial"/>
        </w:rPr>
        <w:tab/>
      </w:r>
    </w:p>
    <w:p w14:paraId="02C54F5E"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 xml:space="preserve">Table 4. Effect size of the seating configuration </w:t>
      </w:r>
    </w:p>
    <w:tbl>
      <w:tblPr>
        <w:tblW w:w="8354" w:type="dxa"/>
        <w:jc w:val="center"/>
        <w:tblLook w:val="04A0" w:firstRow="1" w:lastRow="0" w:firstColumn="1" w:lastColumn="0" w:noHBand="0" w:noVBand="1"/>
      </w:tblPr>
      <w:tblGrid>
        <w:gridCol w:w="2284"/>
        <w:gridCol w:w="1350"/>
        <w:gridCol w:w="1670"/>
        <w:gridCol w:w="1217"/>
        <w:gridCol w:w="923"/>
        <w:gridCol w:w="910"/>
      </w:tblGrid>
      <w:tr w:rsidR="0075116E" w:rsidRPr="0075116E" w14:paraId="60F30361" w14:textId="77777777" w:rsidTr="00793530">
        <w:trPr>
          <w:cantSplit/>
          <w:trHeight w:val="570"/>
          <w:jc w:val="center"/>
        </w:trPr>
        <w:tc>
          <w:tcPr>
            <w:tcW w:w="2284" w:type="dxa"/>
            <w:vMerge w:val="restart"/>
            <w:tcBorders>
              <w:top w:val="single" w:sz="4" w:space="0" w:color="auto"/>
            </w:tcBorders>
            <w:shd w:val="clear" w:color="auto" w:fill="auto"/>
            <w:vAlign w:val="center"/>
            <w:hideMark/>
          </w:tcPr>
          <w:p w14:paraId="66827C9F"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Variable</w:t>
            </w:r>
          </w:p>
        </w:tc>
        <w:tc>
          <w:tcPr>
            <w:tcW w:w="1350" w:type="dxa"/>
            <w:vMerge w:val="restart"/>
            <w:tcBorders>
              <w:top w:val="single" w:sz="4" w:space="0" w:color="auto"/>
            </w:tcBorders>
            <w:shd w:val="clear" w:color="auto" w:fill="auto"/>
            <w:vAlign w:val="center"/>
            <w:hideMark/>
          </w:tcPr>
          <w:p w14:paraId="36F3D7CD"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Statistical Tool</w:t>
            </w:r>
          </w:p>
        </w:tc>
        <w:tc>
          <w:tcPr>
            <w:tcW w:w="1670" w:type="dxa"/>
            <w:vMerge w:val="restart"/>
            <w:tcBorders>
              <w:top w:val="single" w:sz="4" w:space="0" w:color="auto"/>
            </w:tcBorders>
            <w:shd w:val="clear" w:color="auto" w:fill="auto"/>
            <w:vAlign w:val="center"/>
            <w:hideMark/>
          </w:tcPr>
          <w:p w14:paraId="43AA9D80"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Standardizer</w:t>
            </w:r>
          </w:p>
        </w:tc>
        <w:tc>
          <w:tcPr>
            <w:tcW w:w="1217" w:type="dxa"/>
            <w:vMerge w:val="restart"/>
            <w:tcBorders>
              <w:top w:val="single" w:sz="4" w:space="0" w:color="auto"/>
            </w:tcBorders>
            <w:shd w:val="clear" w:color="auto" w:fill="auto"/>
            <w:vAlign w:val="center"/>
            <w:hideMark/>
          </w:tcPr>
          <w:p w14:paraId="03692307"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Point Estimate</w:t>
            </w:r>
          </w:p>
        </w:tc>
        <w:tc>
          <w:tcPr>
            <w:tcW w:w="1833" w:type="dxa"/>
            <w:gridSpan w:val="2"/>
            <w:tcBorders>
              <w:top w:val="single" w:sz="4" w:space="0" w:color="auto"/>
            </w:tcBorders>
            <w:shd w:val="clear" w:color="auto" w:fill="auto"/>
            <w:vAlign w:val="center"/>
            <w:hideMark/>
          </w:tcPr>
          <w:p w14:paraId="737169C1"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95% Confidence Interval</w:t>
            </w:r>
          </w:p>
        </w:tc>
      </w:tr>
      <w:tr w:rsidR="0075116E" w:rsidRPr="0075116E" w14:paraId="6369B481" w14:textId="77777777" w:rsidTr="00793530">
        <w:trPr>
          <w:trHeight w:val="242"/>
          <w:jc w:val="center"/>
        </w:trPr>
        <w:tc>
          <w:tcPr>
            <w:tcW w:w="2284" w:type="dxa"/>
            <w:vMerge/>
            <w:tcBorders>
              <w:bottom w:val="single" w:sz="4" w:space="0" w:color="auto"/>
            </w:tcBorders>
            <w:vAlign w:val="center"/>
            <w:hideMark/>
          </w:tcPr>
          <w:p w14:paraId="65D57A3A" w14:textId="77777777" w:rsidR="0075116E" w:rsidRPr="0075116E" w:rsidRDefault="0075116E" w:rsidP="0075116E">
            <w:pPr>
              <w:pStyle w:val="Body"/>
              <w:spacing w:after="0"/>
              <w:jc w:val="left"/>
              <w:rPr>
                <w:rFonts w:ascii="Arial" w:eastAsia="Calibri" w:hAnsi="Arial" w:cs="Arial"/>
                <w:b/>
                <w:bCs/>
                <w:color w:val="000000"/>
              </w:rPr>
            </w:pPr>
          </w:p>
        </w:tc>
        <w:tc>
          <w:tcPr>
            <w:tcW w:w="1350" w:type="dxa"/>
            <w:vMerge/>
            <w:tcBorders>
              <w:bottom w:val="single" w:sz="4" w:space="0" w:color="auto"/>
            </w:tcBorders>
            <w:vAlign w:val="center"/>
            <w:hideMark/>
          </w:tcPr>
          <w:p w14:paraId="49BEE2AE" w14:textId="77777777" w:rsidR="0075116E" w:rsidRPr="0075116E" w:rsidRDefault="0075116E" w:rsidP="0075116E">
            <w:pPr>
              <w:pStyle w:val="Body"/>
              <w:spacing w:after="0"/>
              <w:jc w:val="left"/>
              <w:rPr>
                <w:rFonts w:ascii="Arial" w:eastAsia="Calibri" w:hAnsi="Arial" w:cs="Arial"/>
                <w:b/>
                <w:bCs/>
                <w:color w:val="000000"/>
              </w:rPr>
            </w:pPr>
          </w:p>
        </w:tc>
        <w:tc>
          <w:tcPr>
            <w:tcW w:w="1670" w:type="dxa"/>
            <w:vMerge/>
            <w:tcBorders>
              <w:bottom w:val="single" w:sz="4" w:space="0" w:color="auto"/>
            </w:tcBorders>
            <w:vAlign w:val="center"/>
            <w:hideMark/>
          </w:tcPr>
          <w:p w14:paraId="3B0AFE5C" w14:textId="77777777" w:rsidR="0075116E" w:rsidRPr="0075116E" w:rsidRDefault="0075116E" w:rsidP="0075116E">
            <w:pPr>
              <w:pStyle w:val="Body"/>
              <w:spacing w:after="0"/>
              <w:jc w:val="left"/>
              <w:rPr>
                <w:rFonts w:ascii="Arial" w:eastAsia="Calibri" w:hAnsi="Arial" w:cs="Arial"/>
                <w:b/>
                <w:bCs/>
                <w:color w:val="000000"/>
              </w:rPr>
            </w:pPr>
          </w:p>
        </w:tc>
        <w:tc>
          <w:tcPr>
            <w:tcW w:w="1217" w:type="dxa"/>
            <w:vMerge/>
            <w:tcBorders>
              <w:bottom w:val="single" w:sz="4" w:space="0" w:color="auto"/>
            </w:tcBorders>
            <w:vAlign w:val="center"/>
            <w:hideMark/>
          </w:tcPr>
          <w:p w14:paraId="2FCCDE66" w14:textId="77777777" w:rsidR="0075116E" w:rsidRPr="0075116E" w:rsidRDefault="0075116E" w:rsidP="0075116E">
            <w:pPr>
              <w:pStyle w:val="Body"/>
              <w:spacing w:after="0"/>
              <w:jc w:val="left"/>
              <w:rPr>
                <w:rFonts w:ascii="Arial" w:eastAsia="Calibri" w:hAnsi="Arial" w:cs="Arial"/>
                <w:b/>
                <w:bCs/>
                <w:color w:val="000000"/>
              </w:rPr>
            </w:pPr>
          </w:p>
        </w:tc>
        <w:tc>
          <w:tcPr>
            <w:tcW w:w="923" w:type="dxa"/>
            <w:tcBorders>
              <w:bottom w:val="single" w:sz="4" w:space="0" w:color="auto"/>
            </w:tcBorders>
            <w:shd w:val="clear" w:color="auto" w:fill="auto"/>
            <w:vAlign w:val="center"/>
            <w:hideMark/>
          </w:tcPr>
          <w:p w14:paraId="617CB3C3"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Lower</w:t>
            </w:r>
          </w:p>
        </w:tc>
        <w:tc>
          <w:tcPr>
            <w:tcW w:w="910" w:type="dxa"/>
            <w:tcBorders>
              <w:bottom w:val="single" w:sz="4" w:space="0" w:color="auto"/>
            </w:tcBorders>
            <w:shd w:val="clear" w:color="auto" w:fill="auto"/>
            <w:vAlign w:val="center"/>
            <w:hideMark/>
          </w:tcPr>
          <w:p w14:paraId="08092F56"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Upper</w:t>
            </w:r>
          </w:p>
        </w:tc>
      </w:tr>
      <w:tr w:rsidR="0075116E" w:rsidRPr="0075116E" w14:paraId="29CC266E" w14:textId="77777777" w:rsidTr="00793530">
        <w:trPr>
          <w:cantSplit/>
          <w:trHeight w:val="638"/>
          <w:jc w:val="center"/>
        </w:trPr>
        <w:tc>
          <w:tcPr>
            <w:tcW w:w="2284" w:type="dxa"/>
            <w:tcBorders>
              <w:top w:val="single" w:sz="4" w:space="0" w:color="auto"/>
              <w:bottom w:val="single" w:sz="4" w:space="0" w:color="auto"/>
            </w:tcBorders>
            <w:shd w:val="clear" w:color="auto" w:fill="auto"/>
            <w:vAlign w:val="center"/>
            <w:hideMark/>
          </w:tcPr>
          <w:p w14:paraId="693EB6E4"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Occurrences of Disruptive Behavior</w:t>
            </w:r>
          </w:p>
        </w:tc>
        <w:tc>
          <w:tcPr>
            <w:tcW w:w="1350" w:type="dxa"/>
            <w:tcBorders>
              <w:top w:val="single" w:sz="4" w:space="0" w:color="auto"/>
              <w:bottom w:val="single" w:sz="4" w:space="0" w:color="auto"/>
            </w:tcBorders>
            <w:shd w:val="clear" w:color="auto" w:fill="auto"/>
            <w:vAlign w:val="center"/>
            <w:hideMark/>
          </w:tcPr>
          <w:p w14:paraId="25FB369A"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Cohen's d</w:t>
            </w:r>
          </w:p>
        </w:tc>
        <w:tc>
          <w:tcPr>
            <w:tcW w:w="1670" w:type="dxa"/>
            <w:tcBorders>
              <w:top w:val="single" w:sz="4" w:space="0" w:color="auto"/>
              <w:bottom w:val="single" w:sz="4" w:space="0" w:color="auto"/>
            </w:tcBorders>
            <w:shd w:val="clear" w:color="auto" w:fill="auto"/>
            <w:vAlign w:val="center"/>
            <w:hideMark/>
          </w:tcPr>
          <w:p w14:paraId="316A6965"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24.418</w:t>
            </w:r>
          </w:p>
        </w:tc>
        <w:tc>
          <w:tcPr>
            <w:tcW w:w="1217" w:type="dxa"/>
            <w:tcBorders>
              <w:top w:val="single" w:sz="4" w:space="0" w:color="auto"/>
              <w:bottom w:val="single" w:sz="4" w:space="0" w:color="auto"/>
            </w:tcBorders>
            <w:shd w:val="clear" w:color="auto" w:fill="auto"/>
            <w:vAlign w:val="center"/>
            <w:hideMark/>
          </w:tcPr>
          <w:p w14:paraId="5A5A0B0D"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0.480</w:t>
            </w:r>
          </w:p>
        </w:tc>
        <w:tc>
          <w:tcPr>
            <w:tcW w:w="923" w:type="dxa"/>
            <w:tcBorders>
              <w:top w:val="single" w:sz="4" w:space="0" w:color="auto"/>
              <w:bottom w:val="single" w:sz="4" w:space="0" w:color="auto"/>
            </w:tcBorders>
            <w:shd w:val="clear" w:color="auto" w:fill="auto"/>
            <w:vAlign w:val="center"/>
            <w:hideMark/>
          </w:tcPr>
          <w:p w14:paraId="4B66D6E0"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-0.595</w:t>
            </w:r>
          </w:p>
        </w:tc>
        <w:tc>
          <w:tcPr>
            <w:tcW w:w="910" w:type="dxa"/>
            <w:tcBorders>
              <w:top w:val="single" w:sz="4" w:space="0" w:color="auto"/>
              <w:bottom w:val="single" w:sz="4" w:space="0" w:color="auto"/>
            </w:tcBorders>
            <w:shd w:val="clear" w:color="auto" w:fill="auto"/>
            <w:vAlign w:val="center"/>
            <w:hideMark/>
          </w:tcPr>
          <w:p w14:paraId="434E3175"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1.535</w:t>
            </w:r>
          </w:p>
        </w:tc>
      </w:tr>
    </w:tbl>
    <w:p w14:paraId="45D62D14" w14:textId="77777777" w:rsidR="00243752" w:rsidRDefault="00243752" w:rsidP="00243752">
      <w:pPr>
        <w:pStyle w:val="ConcHead"/>
        <w:spacing w:after="0"/>
        <w:jc w:val="both"/>
        <w:rPr>
          <w:rFonts w:ascii="Arial" w:hAnsi="Arial" w:cs="Arial"/>
          <w:b w:val="0"/>
          <w:caps w:val="0"/>
          <w:sz w:val="20"/>
        </w:rPr>
      </w:pPr>
      <w:r w:rsidRPr="00243752">
        <w:rPr>
          <w:rFonts w:ascii="Arial" w:hAnsi="Arial" w:cs="Arial"/>
          <w:b w:val="0"/>
          <w:caps w:val="0"/>
          <w:sz w:val="20"/>
        </w:rPr>
        <w:t>Despite the lack of significance, the small effect size shows potential classroom value, aligning with the argument that even minor improvements are meaningful in early education contexts (Kraft, 2018). Skinner’s behaviorist model is again supported here—showing that minor environmental changes can lead to observable behavioral shifts (Miller et al., 2015). Teachers can thus apply targeted, evidence-based environmental strategies to promote discipline and reduce off-task behavior, even in short interventions.</w:t>
      </w:r>
      <w:r>
        <w:rPr>
          <w:rFonts w:ascii="Arial" w:hAnsi="Arial" w:cs="Arial"/>
          <w:b w:val="0"/>
          <w:caps w:val="0"/>
          <w:sz w:val="20"/>
        </w:rPr>
        <w:t xml:space="preserve"> </w:t>
      </w:r>
    </w:p>
    <w:p w14:paraId="72E00D77" w14:textId="448C3E65" w:rsidR="00B01FCD" w:rsidRPr="00CE62DA" w:rsidRDefault="00B879A8" w:rsidP="00162C8A">
      <w:pPr>
        <w:pStyle w:val="ConcHead"/>
        <w:spacing w:after="0"/>
        <w:jc w:val="both"/>
        <w:rPr>
          <w:rFonts w:ascii="Arial" w:hAnsi="Arial" w:cs="Arial"/>
        </w:rPr>
      </w:pPr>
      <w:r>
        <w:rPr>
          <w:rFonts w:ascii="Arial" w:hAnsi="Arial" w:cs="Arial"/>
        </w:rPr>
        <w:t>5</w:t>
      </w:r>
      <w:r w:rsidR="00000F8F" w:rsidRPr="00CE62DA">
        <w:rPr>
          <w:rFonts w:ascii="Arial" w:hAnsi="Arial" w:cs="Arial"/>
        </w:rPr>
        <w:t xml:space="preserve">. </w:t>
      </w:r>
      <w:r w:rsidR="00B01FCD" w:rsidRPr="00CE62DA">
        <w:rPr>
          <w:rFonts w:ascii="Arial" w:hAnsi="Arial" w:cs="Arial"/>
        </w:rPr>
        <w:t>Conclusion</w:t>
      </w:r>
    </w:p>
    <w:p w14:paraId="58D415F0" w14:textId="77777777" w:rsidR="008506BA" w:rsidRPr="008506BA" w:rsidRDefault="008506BA" w:rsidP="008506BA">
      <w:pPr>
        <w:pStyle w:val="Body"/>
        <w:spacing w:after="0"/>
        <w:rPr>
          <w:rFonts w:ascii="Arial" w:hAnsi="Arial" w:cs="Arial"/>
          <w:bCs/>
          <w:szCs w:val="18"/>
        </w:rPr>
      </w:pPr>
      <w:r w:rsidRPr="008506BA">
        <w:rPr>
          <w:rFonts w:ascii="Arial" w:hAnsi="Arial" w:cs="Arial"/>
          <w:bCs/>
          <w:szCs w:val="18"/>
        </w:rPr>
        <w:t>The following conclusions were drawn from the study on the impact of seating configuration on disruptive behavior among Grade 2 learners:</w:t>
      </w:r>
    </w:p>
    <w:p w14:paraId="5B5A70AD" w14:textId="77777777" w:rsidR="008506BA" w:rsidRPr="008506BA" w:rsidRDefault="008506BA" w:rsidP="008506BA">
      <w:pPr>
        <w:pStyle w:val="Body"/>
        <w:numPr>
          <w:ilvl w:val="0"/>
          <w:numId w:val="46"/>
        </w:numPr>
        <w:spacing w:after="0"/>
        <w:rPr>
          <w:rFonts w:ascii="Arial" w:hAnsi="Arial" w:cs="Arial"/>
          <w:bCs/>
          <w:szCs w:val="18"/>
        </w:rPr>
      </w:pPr>
      <w:r w:rsidRPr="008506BA">
        <w:rPr>
          <w:rFonts w:ascii="Arial" w:hAnsi="Arial" w:cs="Arial"/>
          <w:bCs/>
          <w:szCs w:val="18"/>
        </w:rPr>
        <w:t>Grade 2 pupils demonstrated a high level of disruptive behavior prior to the intervention, primarily involving verbal disruptions (e.g., talking out of turn, gossiping) and movement-based behaviors (e.g., roaming, playing, and leaving the classroom).</w:t>
      </w:r>
    </w:p>
    <w:p w14:paraId="37A18A8B" w14:textId="77777777" w:rsidR="008506BA" w:rsidRPr="008506BA" w:rsidRDefault="008506BA" w:rsidP="008506BA">
      <w:pPr>
        <w:pStyle w:val="Body"/>
        <w:numPr>
          <w:ilvl w:val="0"/>
          <w:numId w:val="46"/>
        </w:numPr>
        <w:spacing w:after="0"/>
        <w:rPr>
          <w:rFonts w:ascii="Arial" w:hAnsi="Arial" w:cs="Arial"/>
          <w:bCs/>
          <w:szCs w:val="18"/>
        </w:rPr>
      </w:pPr>
      <w:r w:rsidRPr="008506BA">
        <w:rPr>
          <w:rFonts w:ascii="Arial" w:hAnsi="Arial" w:cs="Arial"/>
          <w:bCs/>
          <w:szCs w:val="18"/>
        </w:rPr>
        <w:t>After implementing a structured seating configuration, there was a noticeable decrease in disruptive behaviors, suggesting the intervention helped create a more organized and less distracting classroom environment. However, an increase in standing behavior was observed, possibly due to reduced opportunities for peer interaction.</w:t>
      </w:r>
    </w:p>
    <w:p w14:paraId="4B4CCD56" w14:textId="77777777" w:rsidR="008506BA" w:rsidRPr="008506BA" w:rsidRDefault="008506BA" w:rsidP="008506BA">
      <w:pPr>
        <w:pStyle w:val="Body"/>
        <w:numPr>
          <w:ilvl w:val="0"/>
          <w:numId w:val="46"/>
        </w:numPr>
        <w:spacing w:after="0"/>
        <w:rPr>
          <w:rFonts w:ascii="Arial" w:hAnsi="Arial" w:cs="Arial"/>
          <w:bCs/>
          <w:szCs w:val="18"/>
        </w:rPr>
      </w:pPr>
      <w:r w:rsidRPr="008506BA">
        <w:rPr>
          <w:rFonts w:ascii="Arial" w:hAnsi="Arial" w:cs="Arial"/>
          <w:bCs/>
          <w:szCs w:val="18"/>
        </w:rPr>
        <w:t>Although the paired t-test analysis indicated no statistically significant difference between pre- and post-intervention behavior, the general trend showed a favorable improvement. This supports the practical value of structured seating arrangements as a behavioral management tool despite the absence of strong statistical evidence.</w:t>
      </w:r>
    </w:p>
    <w:p w14:paraId="5C6E4A16" w14:textId="77777777" w:rsidR="008506BA" w:rsidRPr="00D745BD" w:rsidRDefault="008506BA" w:rsidP="008506BA">
      <w:pPr>
        <w:pStyle w:val="Body"/>
        <w:numPr>
          <w:ilvl w:val="0"/>
          <w:numId w:val="46"/>
        </w:numPr>
        <w:spacing w:after="0"/>
        <w:rPr>
          <w:rFonts w:ascii="Arial" w:hAnsi="Arial" w:cs="Arial"/>
          <w:bCs/>
        </w:rPr>
      </w:pPr>
      <w:r w:rsidRPr="008506BA">
        <w:rPr>
          <w:rFonts w:ascii="Arial" w:hAnsi="Arial" w:cs="Arial"/>
          <w:bCs/>
          <w:szCs w:val="18"/>
        </w:rPr>
        <w:t xml:space="preserve">The small effect size indicates that while the impact of seating configuration was mild, it was still beneficial. This affirms that even modest changes in classroom setup can positively influence learner behavior and support a more conducive learning </w:t>
      </w:r>
      <w:r w:rsidRPr="00D745BD">
        <w:rPr>
          <w:rFonts w:ascii="Arial" w:hAnsi="Arial" w:cs="Arial"/>
          <w:bCs/>
        </w:rPr>
        <w:t>environment.</w:t>
      </w:r>
    </w:p>
    <w:p w14:paraId="1062663D" w14:textId="77777777" w:rsidR="00D745BD" w:rsidRPr="00D745BD" w:rsidRDefault="00D745BD" w:rsidP="00D745BD">
      <w:pPr>
        <w:jc w:val="both"/>
        <w:rPr>
          <w:rFonts w:ascii="Arial" w:eastAsia="Calibri" w:hAnsi="Arial" w:cs="Arial"/>
          <w:b/>
          <w:bCs/>
        </w:rPr>
      </w:pPr>
      <w:r w:rsidRPr="00D745BD">
        <w:rPr>
          <w:rFonts w:ascii="Arial" w:eastAsia="Calibri" w:hAnsi="Arial" w:cs="Arial"/>
          <w:b/>
          <w:bCs/>
        </w:rPr>
        <w:t>Recommendations</w:t>
      </w:r>
    </w:p>
    <w:p w14:paraId="549AC6D7" w14:textId="18457BB1" w:rsidR="00D745BD" w:rsidRPr="00D745BD" w:rsidRDefault="00D745BD" w:rsidP="00D745BD">
      <w:pPr>
        <w:jc w:val="both"/>
        <w:rPr>
          <w:rFonts w:ascii="Arial" w:eastAsia="Calibri" w:hAnsi="Arial" w:cs="Arial"/>
          <w:b/>
          <w:bCs/>
          <w:sz w:val="24"/>
          <w:szCs w:val="24"/>
        </w:rPr>
      </w:pPr>
      <w:r>
        <w:rPr>
          <w:rFonts w:ascii="Arial" w:eastAsia="Arial" w:hAnsi="Arial" w:cs="Arial"/>
        </w:rPr>
        <w:t xml:space="preserve">1. </w:t>
      </w:r>
      <w:r w:rsidRPr="00D745BD">
        <w:rPr>
          <w:rFonts w:ascii="Arial" w:eastAsia="Arial" w:hAnsi="Arial" w:cs="Arial"/>
        </w:rPr>
        <w:t>Teachers may implement structured and proactive behavioral management strategies—such as consistent rule enforcement, clear communication of expectations, and environmental modifications like strategic seating configurations—to minimize verbal and movement-based disruptions in the classroom.</w:t>
      </w:r>
    </w:p>
    <w:p w14:paraId="50CB0E08" w14:textId="1F1BBCC4" w:rsidR="00D745BD" w:rsidRPr="00D745BD" w:rsidRDefault="00D745BD" w:rsidP="00D745BD">
      <w:pPr>
        <w:widowControl w:val="0"/>
        <w:autoSpaceDE w:val="0"/>
        <w:autoSpaceDN w:val="0"/>
        <w:jc w:val="both"/>
        <w:rPr>
          <w:rFonts w:ascii="Arial" w:eastAsia="Arial" w:hAnsi="Arial" w:cs="Arial"/>
        </w:rPr>
      </w:pPr>
      <w:r>
        <w:rPr>
          <w:rFonts w:ascii="Arial" w:eastAsia="Arial" w:hAnsi="Arial" w:cs="Arial"/>
        </w:rPr>
        <w:t>2.</w:t>
      </w:r>
      <w:r w:rsidRPr="00D745BD">
        <w:rPr>
          <w:rFonts w:ascii="Arial" w:eastAsia="Arial" w:hAnsi="Arial" w:cs="Arial"/>
        </w:rPr>
        <w:t xml:space="preserve"> Future researchers may replicate or refine this study by extending the intervention duration and scope, involving a larger group of learners across multiple grade levels, to determine the long-term impact and statistical significance of seating configuration on behavior modification.</w:t>
      </w:r>
    </w:p>
    <w:p w14:paraId="18E62046" w14:textId="45F0804A" w:rsidR="00D745BD" w:rsidRPr="00D745BD" w:rsidRDefault="00D745BD" w:rsidP="00D745BD">
      <w:pPr>
        <w:widowControl w:val="0"/>
        <w:autoSpaceDE w:val="0"/>
        <w:autoSpaceDN w:val="0"/>
        <w:jc w:val="both"/>
        <w:rPr>
          <w:rFonts w:ascii="Arial" w:eastAsia="Arial" w:hAnsi="Arial" w:cs="Arial"/>
        </w:rPr>
      </w:pPr>
      <w:r>
        <w:rPr>
          <w:rFonts w:ascii="Arial" w:eastAsia="Arial" w:hAnsi="Arial" w:cs="Arial"/>
        </w:rPr>
        <w:t xml:space="preserve">3. </w:t>
      </w:r>
      <w:r w:rsidRPr="00D745BD">
        <w:rPr>
          <w:rFonts w:ascii="Arial" w:eastAsia="Arial" w:hAnsi="Arial" w:cs="Arial"/>
        </w:rPr>
        <w:t xml:space="preserve">Behavior management strategies may be supplemented with positive reinforcement techniques, such as praise, token systems, and peer modeling, to amplify the effects of seating arrangements and promote lasting behavioral improvements among learners. </w:t>
      </w:r>
    </w:p>
    <w:p w14:paraId="4F70EF53" w14:textId="7B4969D2" w:rsidR="00D745BD" w:rsidRPr="00D745BD" w:rsidRDefault="00D745BD" w:rsidP="00D745BD">
      <w:pPr>
        <w:widowControl w:val="0"/>
        <w:autoSpaceDE w:val="0"/>
        <w:autoSpaceDN w:val="0"/>
        <w:jc w:val="both"/>
        <w:rPr>
          <w:rFonts w:ascii="Arial" w:eastAsia="Arial" w:hAnsi="Arial" w:cs="Arial"/>
        </w:rPr>
      </w:pPr>
      <w:r>
        <w:rPr>
          <w:rFonts w:ascii="Arial" w:eastAsia="Arial" w:hAnsi="Arial" w:cs="Arial"/>
        </w:rPr>
        <w:t>4</w:t>
      </w:r>
      <w:r w:rsidRPr="00D745BD">
        <w:rPr>
          <w:rFonts w:ascii="Arial" w:eastAsia="Arial" w:hAnsi="Arial" w:cs="Arial"/>
        </w:rPr>
        <w:t>.</w:t>
      </w:r>
      <w:r w:rsidRPr="00D745BD">
        <w:t xml:space="preserve"> </w:t>
      </w:r>
      <w:r w:rsidRPr="00D745BD">
        <w:rPr>
          <w:rFonts w:ascii="Arial" w:eastAsia="Arial" w:hAnsi="Arial" w:cs="Arial"/>
        </w:rPr>
        <w:t xml:space="preserve">Teachers may identify specific misbehaviors per student to guide the implementation of appropriate behavior management strategies. Tracking individual patterns of disruption may help teachers respond more effectively. </w:t>
      </w:r>
    </w:p>
    <w:p w14:paraId="73B42AEB" w14:textId="34D79EE0" w:rsidR="008B57FD" w:rsidRPr="00D745BD" w:rsidRDefault="00D745BD" w:rsidP="00D745BD">
      <w:pPr>
        <w:widowControl w:val="0"/>
        <w:autoSpaceDE w:val="0"/>
        <w:autoSpaceDN w:val="0"/>
        <w:jc w:val="both"/>
        <w:rPr>
          <w:rFonts w:ascii="Arial" w:eastAsia="Arial" w:hAnsi="Arial" w:cs="Arial"/>
        </w:rPr>
      </w:pPr>
      <w:r>
        <w:rPr>
          <w:rFonts w:ascii="Arial" w:eastAsia="Arial" w:hAnsi="Arial" w:cs="Arial"/>
        </w:rPr>
        <w:t>5</w:t>
      </w:r>
      <w:r w:rsidRPr="00D745BD">
        <w:rPr>
          <w:rFonts w:ascii="Arial" w:eastAsia="Arial" w:hAnsi="Arial" w:cs="Arial"/>
        </w:rPr>
        <w:t xml:space="preserve">. Future researchers may use seating configuration as an intervention in multiple subjects to mitigate disruptive behavior.  </w:t>
      </w:r>
    </w:p>
    <w:p w14:paraId="1A325E3E" w14:textId="254C8DA2" w:rsidR="003E227B" w:rsidRDefault="003E227B" w:rsidP="008B57FD">
      <w:pPr>
        <w:pStyle w:val="Body"/>
        <w:spacing w:after="0"/>
        <w:rPr>
          <w:rFonts w:ascii="Arial" w:hAnsi="Arial" w:cs="Arial"/>
        </w:rPr>
      </w:pPr>
    </w:p>
    <w:p w14:paraId="5F8B73B6" w14:textId="77777777" w:rsidR="00642481" w:rsidRDefault="00642481" w:rsidP="008B57FD">
      <w:pPr>
        <w:pStyle w:val="Body"/>
        <w:spacing w:after="0"/>
        <w:rPr>
          <w:rFonts w:ascii="Arial" w:hAnsi="Arial" w:cs="Arial"/>
        </w:rPr>
      </w:pPr>
    </w:p>
    <w:p w14:paraId="6D166879" w14:textId="77777777" w:rsidR="00642481" w:rsidRDefault="00642481" w:rsidP="00642481">
      <w:pPr>
        <w:pStyle w:val="DefAcrHead"/>
        <w:spacing w:after="0"/>
        <w:jc w:val="both"/>
        <w:rPr>
          <w:rFonts w:ascii="Arial" w:hAnsi="Arial" w:cs="Arial"/>
        </w:rPr>
      </w:pPr>
      <w:r w:rsidRPr="00FB3A86">
        <w:rPr>
          <w:rFonts w:ascii="Arial" w:hAnsi="Arial" w:cs="Arial"/>
        </w:rPr>
        <w:t>Definitions, Acronyms, Abbreviations</w:t>
      </w:r>
    </w:p>
    <w:p w14:paraId="0FB2DCE6" w14:textId="77777777" w:rsidR="00642481" w:rsidRPr="00E05BC6" w:rsidRDefault="00642481" w:rsidP="00642481">
      <w:pPr>
        <w:pStyle w:val="Body"/>
        <w:spacing w:after="0"/>
        <w:rPr>
          <w:rFonts w:ascii="Arial" w:hAnsi="Arial" w:cs="Arial"/>
        </w:rPr>
      </w:pPr>
      <w:r w:rsidRPr="00E05BC6">
        <w:rPr>
          <w:rFonts w:ascii="Arial" w:hAnsi="Arial" w:cs="Arial"/>
          <w:b/>
        </w:rPr>
        <w:t>Behaviorism.</w:t>
      </w:r>
      <w:r w:rsidRPr="00E05BC6">
        <w:rPr>
          <w:rFonts w:ascii="Arial" w:hAnsi="Arial" w:cs="Arial"/>
        </w:rPr>
        <w:t xml:space="preserve"> A learning theory that emphasizes the role of environmental factors in shaping behavior, focusing on observable and measurable actions rather than internal mental states (</w:t>
      </w:r>
      <w:proofErr w:type="spellStart"/>
      <w:r w:rsidRPr="00E05BC6">
        <w:rPr>
          <w:rFonts w:ascii="Arial" w:hAnsi="Arial" w:cs="Arial"/>
        </w:rPr>
        <w:t>Lefrancois</w:t>
      </w:r>
      <w:proofErr w:type="spellEnd"/>
      <w:r w:rsidRPr="00E05BC6">
        <w:rPr>
          <w:rFonts w:ascii="Arial" w:hAnsi="Arial" w:cs="Arial"/>
        </w:rPr>
        <w:t xml:space="preserve">, 2019). </w:t>
      </w:r>
    </w:p>
    <w:p w14:paraId="5BD12F9B" w14:textId="77777777" w:rsidR="00642481" w:rsidRPr="00E05BC6" w:rsidRDefault="00642481" w:rsidP="00642481">
      <w:pPr>
        <w:pStyle w:val="Body"/>
        <w:spacing w:after="0"/>
        <w:rPr>
          <w:rFonts w:ascii="Arial" w:hAnsi="Arial" w:cs="Arial"/>
        </w:rPr>
      </w:pPr>
      <w:r w:rsidRPr="00E05BC6">
        <w:rPr>
          <w:rFonts w:ascii="Arial" w:hAnsi="Arial" w:cs="Arial"/>
          <w:b/>
        </w:rPr>
        <w:t>Disruptive Behavior.</w:t>
      </w:r>
      <w:r w:rsidRPr="00E05BC6">
        <w:rPr>
          <w:rFonts w:ascii="Arial" w:hAnsi="Arial" w:cs="Arial"/>
        </w:rPr>
        <w:t xml:space="preserve"> Actions by pupils that interfere with teaching and learning impede academic progress and negatively affect the classroom environment (</w:t>
      </w:r>
      <w:proofErr w:type="spellStart"/>
      <w:r w:rsidRPr="00E05BC6">
        <w:rPr>
          <w:rFonts w:ascii="Arial" w:hAnsi="Arial" w:cs="Arial"/>
        </w:rPr>
        <w:t>Skura</w:t>
      </w:r>
      <w:proofErr w:type="spellEnd"/>
      <w:r w:rsidRPr="00E05BC6">
        <w:rPr>
          <w:rFonts w:ascii="Arial" w:hAnsi="Arial" w:cs="Arial"/>
        </w:rPr>
        <w:t xml:space="preserve"> &amp; Wheeler, 2023).</w:t>
      </w:r>
    </w:p>
    <w:p w14:paraId="031C352A" w14:textId="77777777" w:rsidR="00642481" w:rsidRPr="00E05BC6" w:rsidRDefault="00642481" w:rsidP="00642481">
      <w:pPr>
        <w:pStyle w:val="Body"/>
        <w:spacing w:after="0"/>
        <w:rPr>
          <w:rFonts w:ascii="Arial" w:hAnsi="Arial" w:cs="Arial"/>
        </w:rPr>
      </w:pPr>
      <w:r w:rsidRPr="00E05BC6">
        <w:rPr>
          <w:rFonts w:ascii="Arial" w:hAnsi="Arial" w:cs="Arial"/>
          <w:b/>
        </w:rPr>
        <w:t>Operant Conditioning.</w:t>
      </w:r>
      <w:r w:rsidRPr="00E05BC6">
        <w:rPr>
          <w:rFonts w:ascii="Arial" w:hAnsi="Arial" w:cs="Arial"/>
        </w:rPr>
        <w:t xml:space="preserve"> A learning process developed by B.F. Skinner, in which behaviors are strengthened or weakened based on the consequences that follow them (</w:t>
      </w:r>
      <w:proofErr w:type="spellStart"/>
      <w:r w:rsidRPr="00E05BC6">
        <w:rPr>
          <w:rFonts w:ascii="Arial" w:hAnsi="Arial" w:cs="Arial"/>
        </w:rPr>
        <w:t>Fetz</w:t>
      </w:r>
      <w:proofErr w:type="spellEnd"/>
      <w:r w:rsidRPr="00E05BC6">
        <w:rPr>
          <w:rFonts w:ascii="Arial" w:hAnsi="Arial" w:cs="Arial"/>
        </w:rPr>
        <w:t xml:space="preserve">, 1969).   </w:t>
      </w:r>
    </w:p>
    <w:p w14:paraId="6C30364A" w14:textId="457E5012" w:rsidR="00642481" w:rsidRDefault="00642481" w:rsidP="00642481">
      <w:pPr>
        <w:pStyle w:val="Body"/>
        <w:spacing w:after="0"/>
        <w:rPr>
          <w:rFonts w:ascii="Arial" w:hAnsi="Arial" w:cs="Arial"/>
        </w:rPr>
      </w:pPr>
      <w:r w:rsidRPr="00E05BC6">
        <w:rPr>
          <w:rFonts w:ascii="Arial" w:hAnsi="Arial" w:cs="Arial"/>
          <w:b/>
        </w:rPr>
        <w:t>Seating Configuration.</w:t>
      </w:r>
      <w:r w:rsidRPr="00E05BC6">
        <w:rPr>
          <w:rFonts w:ascii="Arial" w:hAnsi="Arial" w:cs="Arial"/>
        </w:rPr>
        <w:t xml:space="preserve"> The overall arrangement of seating within the classroom, such as rows, groups, or a U-shape (</w:t>
      </w:r>
      <w:proofErr w:type="spellStart"/>
      <w:r w:rsidRPr="00E05BC6">
        <w:rPr>
          <w:rFonts w:ascii="Arial" w:hAnsi="Arial" w:cs="Arial"/>
        </w:rPr>
        <w:t>Haghighi</w:t>
      </w:r>
      <w:proofErr w:type="spellEnd"/>
      <w:r w:rsidRPr="00E05BC6">
        <w:rPr>
          <w:rFonts w:ascii="Arial" w:hAnsi="Arial" w:cs="Arial"/>
        </w:rPr>
        <w:t xml:space="preserve"> &amp; </w:t>
      </w:r>
      <w:proofErr w:type="spellStart"/>
      <w:r w:rsidRPr="00E05BC6">
        <w:rPr>
          <w:rFonts w:ascii="Arial" w:hAnsi="Arial" w:cs="Arial"/>
        </w:rPr>
        <w:t>Jusan</w:t>
      </w:r>
      <w:proofErr w:type="spellEnd"/>
      <w:r w:rsidRPr="00E05BC6">
        <w:rPr>
          <w:rFonts w:ascii="Arial" w:hAnsi="Arial" w:cs="Arial"/>
        </w:rPr>
        <w:t>, 2013).</w:t>
      </w:r>
    </w:p>
    <w:p w14:paraId="19D29F3A" w14:textId="403341FF" w:rsidR="00DF5F9B" w:rsidRDefault="00DF5F9B" w:rsidP="00642481">
      <w:pPr>
        <w:pStyle w:val="Body"/>
        <w:spacing w:after="0"/>
        <w:rPr>
          <w:rFonts w:ascii="Arial" w:hAnsi="Arial" w:cs="Arial"/>
        </w:rPr>
      </w:pPr>
    </w:p>
    <w:p w14:paraId="773CDFB8" w14:textId="77777777" w:rsidR="0038112F" w:rsidRPr="0038112F" w:rsidRDefault="0038112F" w:rsidP="0038112F">
      <w:pPr>
        <w:spacing w:after="200" w:line="276" w:lineRule="auto"/>
        <w:rPr>
          <w:rFonts w:ascii="Calibri" w:eastAsia="Calibri" w:hAnsi="Calibri"/>
          <w:kern w:val="2"/>
          <w:sz w:val="22"/>
          <w:szCs w:val="22"/>
          <w:highlight w:val="yellow"/>
        </w:rPr>
      </w:pPr>
      <w:bookmarkStart w:id="1" w:name="_Hlk197682619"/>
      <w:bookmarkStart w:id="2" w:name="_Hlk180402183"/>
      <w:bookmarkStart w:id="3" w:name="_Hlk183680988"/>
      <w:r w:rsidRPr="0038112F">
        <w:rPr>
          <w:rFonts w:ascii="Calibri" w:eastAsia="Calibri" w:hAnsi="Calibri"/>
          <w:kern w:val="2"/>
          <w:sz w:val="22"/>
          <w:szCs w:val="22"/>
          <w:highlight w:val="yellow"/>
        </w:rPr>
        <w:t>Disclaimer (Artificial intelligence)</w:t>
      </w:r>
    </w:p>
    <w:p w14:paraId="755F924C"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 xml:space="preserve">Option 1: </w:t>
      </w:r>
    </w:p>
    <w:p w14:paraId="6E7C6292"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Author(s) hereby declare that NO generative AI technologies such as Large Language Models (</w:t>
      </w:r>
      <w:proofErr w:type="spellStart"/>
      <w:r w:rsidRPr="0038112F">
        <w:rPr>
          <w:rFonts w:ascii="Calibri" w:eastAsia="Calibri" w:hAnsi="Calibri"/>
          <w:kern w:val="2"/>
          <w:sz w:val="22"/>
          <w:szCs w:val="22"/>
          <w:highlight w:val="yellow"/>
        </w:rPr>
        <w:t>ChatGPT</w:t>
      </w:r>
      <w:proofErr w:type="spellEnd"/>
      <w:r w:rsidRPr="0038112F">
        <w:rPr>
          <w:rFonts w:ascii="Calibri" w:eastAsia="Calibri" w:hAnsi="Calibri"/>
          <w:kern w:val="2"/>
          <w:sz w:val="22"/>
          <w:szCs w:val="22"/>
          <w:highlight w:val="yellow"/>
        </w:rPr>
        <w:t xml:space="preserve">, COPILOT, etc.) and text-to-image generators have been used during the writing or editing of this manuscript. </w:t>
      </w:r>
    </w:p>
    <w:p w14:paraId="34DE69B6"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 xml:space="preserve">Option 2: </w:t>
      </w:r>
    </w:p>
    <w:p w14:paraId="538A2988"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682C02"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Details of the AI usage are given below:</w:t>
      </w:r>
    </w:p>
    <w:p w14:paraId="156D2E42"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1.</w:t>
      </w:r>
    </w:p>
    <w:p w14:paraId="18945240"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2.</w:t>
      </w:r>
    </w:p>
    <w:p w14:paraId="0D24248A" w14:textId="77777777" w:rsidR="0038112F" w:rsidRPr="0038112F" w:rsidRDefault="0038112F" w:rsidP="0038112F">
      <w:pPr>
        <w:spacing w:after="200" w:line="276" w:lineRule="auto"/>
        <w:rPr>
          <w:rFonts w:ascii="Calibri" w:eastAsia="Calibri" w:hAnsi="Calibri"/>
          <w:kern w:val="2"/>
          <w:sz w:val="22"/>
          <w:szCs w:val="22"/>
        </w:rPr>
      </w:pPr>
      <w:bookmarkStart w:id="4" w:name="_Hlk197682629"/>
      <w:bookmarkEnd w:id="1"/>
      <w:r w:rsidRPr="0038112F">
        <w:rPr>
          <w:rFonts w:ascii="Calibri" w:eastAsia="Calibri" w:hAnsi="Calibri"/>
          <w:kern w:val="2"/>
          <w:sz w:val="22"/>
          <w:szCs w:val="22"/>
          <w:highlight w:val="yellow"/>
        </w:rPr>
        <w:t>3.</w:t>
      </w:r>
    </w:p>
    <w:bookmarkEnd w:id="2"/>
    <w:bookmarkEnd w:id="3"/>
    <w:bookmarkEnd w:id="4"/>
    <w:p w14:paraId="0977A9E2" w14:textId="77777777" w:rsidR="00DF5F9B" w:rsidRPr="00FB3A86" w:rsidRDefault="00DF5F9B" w:rsidP="00642481">
      <w:pPr>
        <w:pStyle w:val="Body"/>
        <w:spacing w:after="0"/>
        <w:rPr>
          <w:rFonts w:ascii="Arial" w:hAnsi="Arial" w:cs="Arial"/>
        </w:rPr>
      </w:pPr>
    </w:p>
    <w:p w14:paraId="17A2DEDE" w14:textId="77777777" w:rsidR="00642481" w:rsidRDefault="00642481" w:rsidP="008B57FD">
      <w:pPr>
        <w:pStyle w:val="Body"/>
        <w:spacing w:after="0"/>
        <w:rPr>
          <w:rFonts w:ascii="Arial" w:hAnsi="Arial" w:cs="Arial"/>
        </w:rPr>
      </w:pPr>
    </w:p>
    <w:p w14:paraId="32176D22" w14:textId="4F0C92CB" w:rsidR="00790ADA" w:rsidRPr="00CE62DA" w:rsidRDefault="00B01FCD" w:rsidP="00162C8A">
      <w:pPr>
        <w:pStyle w:val="ReferHead"/>
        <w:spacing w:after="0"/>
        <w:jc w:val="both"/>
        <w:rPr>
          <w:rFonts w:ascii="Arial" w:hAnsi="Arial" w:cs="Arial"/>
        </w:rPr>
      </w:pPr>
      <w:r w:rsidRPr="00CE62DA">
        <w:rPr>
          <w:rFonts w:ascii="Arial" w:hAnsi="Arial" w:cs="Arial"/>
        </w:rPr>
        <w:t>References</w:t>
      </w:r>
    </w:p>
    <w:p w14:paraId="6AF543EC" w14:textId="77777777" w:rsidR="00611E8D" w:rsidRPr="00611E8D" w:rsidRDefault="00611E8D" w:rsidP="00611E8D">
      <w:pPr>
        <w:pStyle w:val="Body"/>
        <w:spacing w:after="0"/>
      </w:pPr>
      <w:r w:rsidRPr="00611E8D">
        <w:t xml:space="preserve">Aguiar, A. L., Aguiar, C., </w:t>
      </w:r>
      <w:proofErr w:type="spellStart"/>
      <w:r w:rsidRPr="00611E8D">
        <w:t>Cadima</w:t>
      </w:r>
      <w:proofErr w:type="spellEnd"/>
      <w:r w:rsidRPr="00611E8D">
        <w:t xml:space="preserve">, J., Correia, N., &amp; </w:t>
      </w:r>
      <w:proofErr w:type="spellStart"/>
      <w:r w:rsidRPr="00611E8D">
        <w:t>Fialho</w:t>
      </w:r>
      <w:proofErr w:type="spellEnd"/>
      <w:r w:rsidRPr="00611E8D">
        <w:t xml:space="preserve">, M. (2019). Classroom quality and children’s social skills and problem behaviors: Dosage and disability status as moderators. </w:t>
      </w:r>
      <w:r w:rsidRPr="00611E8D">
        <w:rPr>
          <w:i/>
          <w:highlight w:val="yellow"/>
        </w:rPr>
        <w:t>Early Childhood Research Quarterly,</w:t>
      </w:r>
      <w:r w:rsidRPr="00611E8D">
        <w:t xml:space="preserve"> 49, 81–92. </w:t>
      </w:r>
      <w:hyperlink r:id="rId14" w:history="1">
        <w:r w:rsidRPr="00611E8D">
          <w:rPr>
            <w:rStyle w:val="Hyperlink"/>
          </w:rPr>
          <w:t>https://doi.org/10.1016/j.ecresq.2019.05.005</w:t>
        </w:r>
      </w:hyperlink>
      <w:r w:rsidRPr="00611E8D">
        <w:t xml:space="preserve"> </w:t>
      </w:r>
    </w:p>
    <w:p w14:paraId="5E3BA786" w14:textId="77777777" w:rsidR="00611E8D" w:rsidRPr="00611E8D" w:rsidRDefault="00611E8D" w:rsidP="00611E8D">
      <w:pPr>
        <w:pStyle w:val="Body"/>
        <w:spacing w:after="0"/>
      </w:pPr>
      <w:r w:rsidRPr="00611E8D">
        <w:t xml:space="preserve">Ahmadi, A., </w:t>
      </w:r>
      <w:proofErr w:type="spellStart"/>
      <w:r w:rsidRPr="00611E8D">
        <w:t>Noetel</w:t>
      </w:r>
      <w:proofErr w:type="spellEnd"/>
      <w:r w:rsidRPr="00611E8D">
        <w:t xml:space="preserve">, M., Parker, P., Ryan, R. M., Ntoumanis, N., Reeve, J., Beauchamp, M., </w:t>
      </w:r>
      <w:proofErr w:type="spellStart"/>
      <w:r w:rsidRPr="00611E8D">
        <w:t>Dicke</w:t>
      </w:r>
      <w:proofErr w:type="spellEnd"/>
      <w:r w:rsidRPr="00611E8D">
        <w:t xml:space="preserve">, T., Yeung, A., Ahmadi, M., Bartholomew, K., Chiu, T. K. F., Curran, T., </w:t>
      </w:r>
      <w:proofErr w:type="spellStart"/>
      <w:r w:rsidRPr="00611E8D">
        <w:t>Erturan</w:t>
      </w:r>
      <w:proofErr w:type="spellEnd"/>
      <w:r w:rsidRPr="00611E8D">
        <w:t xml:space="preserve">, G., </w:t>
      </w:r>
      <w:proofErr w:type="spellStart"/>
      <w:r w:rsidRPr="00611E8D">
        <w:t>Flunger</w:t>
      </w:r>
      <w:proofErr w:type="spellEnd"/>
      <w:r w:rsidRPr="00611E8D">
        <w:t xml:space="preserve">, B., Frederick, C., </w:t>
      </w:r>
      <w:proofErr w:type="spellStart"/>
      <w:r w:rsidRPr="00611E8D">
        <w:t>Froiland</w:t>
      </w:r>
      <w:proofErr w:type="spellEnd"/>
      <w:r w:rsidRPr="00611E8D">
        <w:t>, J. M., González-</w:t>
      </w:r>
      <w:proofErr w:type="spellStart"/>
      <w:r w:rsidRPr="00611E8D">
        <w:t>Cutre</w:t>
      </w:r>
      <w:proofErr w:type="spellEnd"/>
      <w:r w:rsidRPr="00611E8D">
        <w:t xml:space="preserve">, D., </w:t>
      </w:r>
      <w:proofErr w:type="spellStart"/>
      <w:r w:rsidRPr="00611E8D">
        <w:t>Haerens</w:t>
      </w:r>
      <w:proofErr w:type="spellEnd"/>
      <w:r w:rsidRPr="00611E8D">
        <w:t xml:space="preserve">, L., . . . Lonsdale, C. (2023). A classification system for teachers’ motivational behaviors recommended in self-determination theory interventions. </w:t>
      </w:r>
      <w:r w:rsidRPr="00611E8D">
        <w:rPr>
          <w:i/>
        </w:rPr>
        <w:t>Journal of Educational Psychology,</w:t>
      </w:r>
      <w:r w:rsidRPr="00611E8D">
        <w:t xml:space="preserve"> 115(8), 1158–1176. </w:t>
      </w:r>
      <w:hyperlink r:id="rId15" w:history="1">
        <w:r w:rsidRPr="00611E8D">
          <w:rPr>
            <w:rStyle w:val="Hyperlink"/>
          </w:rPr>
          <w:t>https://doi.org/10.1037/edu0000783</w:t>
        </w:r>
      </w:hyperlink>
      <w:r w:rsidRPr="00611E8D">
        <w:t xml:space="preserve"> </w:t>
      </w:r>
    </w:p>
    <w:p w14:paraId="3196A403" w14:textId="77777777" w:rsidR="00611E8D" w:rsidRPr="00611E8D" w:rsidRDefault="00611E8D" w:rsidP="00611E8D">
      <w:pPr>
        <w:pStyle w:val="Body"/>
        <w:spacing w:after="0"/>
      </w:pPr>
      <w:proofErr w:type="spellStart"/>
      <w:r w:rsidRPr="00611E8D">
        <w:lastRenderedPageBreak/>
        <w:t>Alsola</w:t>
      </w:r>
      <w:proofErr w:type="spellEnd"/>
      <w:r w:rsidRPr="00611E8D">
        <w:t xml:space="preserve">-Dulay, L. (2020). Classroom behavior and academic performance of public elementary school pupils. </w:t>
      </w:r>
      <w:r w:rsidRPr="00611E8D">
        <w:rPr>
          <w:i/>
          <w:iCs/>
        </w:rPr>
        <w:t>International Journal of Research Publications</w:t>
      </w:r>
      <w:r w:rsidRPr="00611E8D">
        <w:t xml:space="preserve">, </w:t>
      </w:r>
      <w:r w:rsidRPr="00611E8D">
        <w:rPr>
          <w:iCs/>
        </w:rPr>
        <w:t>56</w:t>
      </w:r>
      <w:r w:rsidRPr="00611E8D">
        <w:t xml:space="preserve">(1). </w:t>
      </w:r>
      <w:hyperlink r:id="rId16" w:history="1">
        <w:r w:rsidRPr="00611E8D">
          <w:rPr>
            <w:rStyle w:val="Hyperlink"/>
          </w:rPr>
          <w:t>https://doi.org/10.47119/ijrp100561720201297</w:t>
        </w:r>
      </w:hyperlink>
      <w:r w:rsidRPr="00611E8D">
        <w:t xml:space="preserve"> </w:t>
      </w:r>
    </w:p>
    <w:p w14:paraId="7B1EC2E1" w14:textId="77777777" w:rsidR="00611E8D" w:rsidRPr="00611E8D" w:rsidRDefault="00611E8D" w:rsidP="00611E8D">
      <w:pPr>
        <w:pStyle w:val="Body"/>
        <w:spacing w:after="0"/>
      </w:pPr>
      <w:r w:rsidRPr="00611E8D">
        <w:t xml:space="preserve">Barrett, P., Davies, F., Zhang, Y., &amp; Barrett, L. (2015). The impact of classroom design on pupils’ learning: Final results of a holistic, multi-level analysis. </w:t>
      </w:r>
      <w:r w:rsidRPr="001014A0">
        <w:rPr>
          <w:i/>
          <w:highlight w:val="yellow"/>
        </w:rPr>
        <w:t>Building and Environment</w:t>
      </w:r>
      <w:r w:rsidRPr="00611E8D">
        <w:rPr>
          <w:i/>
        </w:rPr>
        <w:t>,</w:t>
      </w:r>
      <w:r w:rsidRPr="00611E8D">
        <w:t xml:space="preserve"> 89, 118–133. </w:t>
      </w:r>
      <w:hyperlink r:id="rId17" w:history="1">
        <w:r w:rsidRPr="00611E8D">
          <w:rPr>
            <w:rStyle w:val="Hyperlink"/>
          </w:rPr>
          <w:t>https://doi.org/10.1016/j.buildenv.2015.02.013</w:t>
        </w:r>
      </w:hyperlink>
      <w:r w:rsidRPr="00611E8D">
        <w:t xml:space="preserve"> </w:t>
      </w:r>
    </w:p>
    <w:p w14:paraId="66272FFE" w14:textId="77777777" w:rsidR="00611E8D" w:rsidRPr="00611E8D" w:rsidRDefault="00611E8D" w:rsidP="00611E8D">
      <w:pPr>
        <w:pStyle w:val="Body"/>
        <w:spacing w:after="0"/>
      </w:pPr>
      <w:r w:rsidRPr="00611E8D">
        <w:t xml:space="preserve">Barrett, P., Davies, F., Zhang, Y., &amp; Barrett, L. (2016). The holistic impact of classroom spaces on learning in specific subjects. </w:t>
      </w:r>
      <w:r w:rsidRPr="001014A0">
        <w:rPr>
          <w:i/>
          <w:highlight w:val="yellow"/>
        </w:rPr>
        <w:t>Environment and Behavior,</w:t>
      </w:r>
      <w:r w:rsidRPr="00611E8D">
        <w:t xml:space="preserve"> 49(4), 425–451. </w:t>
      </w:r>
      <w:hyperlink r:id="rId18" w:history="1">
        <w:r w:rsidRPr="00611E8D">
          <w:rPr>
            <w:rStyle w:val="Hyperlink"/>
          </w:rPr>
          <w:t>https://doi.org/10.1177/0013916516648735</w:t>
        </w:r>
      </w:hyperlink>
      <w:r w:rsidRPr="00611E8D">
        <w:t xml:space="preserve"> </w:t>
      </w:r>
    </w:p>
    <w:p w14:paraId="0868FFAA" w14:textId="4F8A7390" w:rsidR="00611E8D" w:rsidRPr="00611E8D" w:rsidRDefault="00611E8D" w:rsidP="00611E8D">
      <w:pPr>
        <w:pStyle w:val="Body"/>
        <w:spacing w:after="0"/>
      </w:pPr>
      <w:proofErr w:type="spellStart"/>
      <w:r w:rsidRPr="00611E8D">
        <w:t>Bayog</w:t>
      </w:r>
      <w:proofErr w:type="spellEnd"/>
      <w:r w:rsidRPr="00611E8D">
        <w:t xml:space="preserve">, K. B., </w:t>
      </w:r>
      <w:proofErr w:type="spellStart"/>
      <w:r w:rsidRPr="00611E8D">
        <w:t>Torzar</w:t>
      </w:r>
      <w:proofErr w:type="spellEnd"/>
      <w:r w:rsidRPr="00611E8D">
        <w:t xml:space="preserve">, C. D., </w:t>
      </w:r>
      <w:proofErr w:type="spellStart"/>
      <w:r w:rsidRPr="00611E8D">
        <w:t>Bonhoc</w:t>
      </w:r>
      <w:proofErr w:type="spellEnd"/>
      <w:r w:rsidRPr="00611E8D">
        <w:t xml:space="preserve">, N., Salamanca, P., </w:t>
      </w:r>
      <w:proofErr w:type="spellStart"/>
      <w:r w:rsidRPr="00611E8D">
        <w:t>Ramis</w:t>
      </w:r>
      <w:proofErr w:type="spellEnd"/>
      <w:r w:rsidRPr="00611E8D">
        <w:t xml:space="preserve">, D. J., </w:t>
      </w:r>
      <w:proofErr w:type="spellStart"/>
      <w:r w:rsidRPr="00611E8D">
        <w:t>Makilan</w:t>
      </w:r>
      <w:proofErr w:type="spellEnd"/>
      <w:r w:rsidRPr="00611E8D">
        <w:t xml:space="preserve">, A. S., ... &amp; Pineda, C. I. (2023). </w:t>
      </w:r>
      <w:r w:rsidR="001014A0" w:rsidRPr="00611E8D">
        <w:t xml:space="preserve">Effect </w:t>
      </w:r>
      <w:proofErr w:type="gramStart"/>
      <w:r w:rsidR="001014A0" w:rsidRPr="00611E8D">
        <w:t>Of</w:t>
      </w:r>
      <w:proofErr w:type="gramEnd"/>
      <w:r w:rsidR="001014A0" w:rsidRPr="00611E8D">
        <w:t xml:space="preserve"> Classroom Seating Arrangement On Student’s Participation. </w:t>
      </w:r>
      <w:hyperlink r:id="rId19" w:history="1">
        <w:r w:rsidRPr="00611E8D">
          <w:rPr>
            <w:rStyle w:val="Hyperlink"/>
          </w:rPr>
          <w:t>https://www.researchgate.net/profile/Cent-Drixel-Torzar/publication</w:t>
        </w:r>
      </w:hyperlink>
      <w:r w:rsidRPr="00611E8D">
        <w:t xml:space="preserve"> </w:t>
      </w:r>
    </w:p>
    <w:p w14:paraId="3F24CECF" w14:textId="77777777" w:rsidR="00611E8D" w:rsidRPr="00611E8D" w:rsidRDefault="00611E8D" w:rsidP="00611E8D">
      <w:pPr>
        <w:pStyle w:val="Body"/>
        <w:spacing w:after="0"/>
      </w:pPr>
      <w:r w:rsidRPr="00611E8D">
        <w:t xml:space="preserve">Bear, G. G., Slaughter, J. C., </w:t>
      </w:r>
      <w:proofErr w:type="spellStart"/>
      <w:r w:rsidRPr="00611E8D">
        <w:t>Mantz</w:t>
      </w:r>
      <w:proofErr w:type="spellEnd"/>
      <w:r w:rsidRPr="00611E8D">
        <w:t>, L. S., &amp; Farley-Ripple, E. (2017). Rewards, praise, and punitive consequences: Relations with intrinsic and extrinsic motivation</w:t>
      </w:r>
      <w:r w:rsidRPr="001014A0">
        <w:rPr>
          <w:highlight w:val="yellow"/>
        </w:rPr>
        <w:t>.</w:t>
      </w:r>
      <w:r w:rsidRPr="001014A0">
        <w:rPr>
          <w:i/>
          <w:highlight w:val="yellow"/>
        </w:rPr>
        <w:t xml:space="preserve"> Teaching and Teacher Education,</w:t>
      </w:r>
      <w:r w:rsidRPr="001014A0">
        <w:rPr>
          <w:i/>
        </w:rPr>
        <w:t xml:space="preserve"> </w:t>
      </w:r>
      <w:r w:rsidRPr="00611E8D">
        <w:t xml:space="preserve">65, 10–20. </w:t>
      </w:r>
      <w:hyperlink r:id="rId20" w:history="1">
        <w:r w:rsidRPr="00611E8D">
          <w:rPr>
            <w:rStyle w:val="Hyperlink"/>
          </w:rPr>
          <w:t>https://doi.org/10.1016/j.tate.2017.03.001</w:t>
        </w:r>
      </w:hyperlink>
      <w:r w:rsidRPr="00611E8D">
        <w:t xml:space="preserve"> </w:t>
      </w:r>
    </w:p>
    <w:p w14:paraId="021EC1EE" w14:textId="77777777" w:rsidR="00611E8D" w:rsidRPr="00611E8D" w:rsidRDefault="00611E8D" w:rsidP="00611E8D">
      <w:pPr>
        <w:pStyle w:val="Body"/>
        <w:spacing w:after="0"/>
      </w:pPr>
      <w:r w:rsidRPr="00611E8D">
        <w:t xml:space="preserve">Blazar, D., &amp; Kraft, M. A. (2016). Teacher and teaching effects on students’ attitudes and behaviors. </w:t>
      </w:r>
      <w:r w:rsidRPr="001014A0">
        <w:rPr>
          <w:i/>
          <w:highlight w:val="yellow"/>
        </w:rPr>
        <w:t>Educational Evaluation and Policy Analysis,</w:t>
      </w:r>
      <w:r w:rsidRPr="00611E8D">
        <w:t xml:space="preserve"> 39(1), 146–170. </w:t>
      </w:r>
      <w:hyperlink r:id="rId21" w:history="1">
        <w:r w:rsidRPr="00611E8D">
          <w:rPr>
            <w:rStyle w:val="Hyperlink"/>
          </w:rPr>
          <w:t>https://doi.org/10.3102/0162373716670260</w:t>
        </w:r>
      </w:hyperlink>
      <w:r w:rsidRPr="00611E8D">
        <w:t xml:space="preserve"> </w:t>
      </w:r>
    </w:p>
    <w:p w14:paraId="71027C0F" w14:textId="77777777" w:rsidR="00611E8D" w:rsidRPr="00611E8D" w:rsidRDefault="00611E8D" w:rsidP="00611E8D">
      <w:pPr>
        <w:pStyle w:val="Body"/>
        <w:spacing w:after="0"/>
      </w:pPr>
      <w:proofErr w:type="spellStart"/>
      <w:r w:rsidRPr="00611E8D">
        <w:t>Bluteau</w:t>
      </w:r>
      <w:proofErr w:type="spellEnd"/>
      <w:r w:rsidRPr="00611E8D">
        <w:t xml:space="preserve">, J., </w:t>
      </w:r>
      <w:proofErr w:type="spellStart"/>
      <w:r w:rsidRPr="00611E8D">
        <w:t>Aubenas</w:t>
      </w:r>
      <w:proofErr w:type="spellEnd"/>
      <w:r w:rsidRPr="00611E8D">
        <w:t>, S., &amp; Dufour, F. (2022). Influence of flexible classroom seating on the wellbeing and mental health of upper Elementary school students: a gender analysis.</w:t>
      </w:r>
      <w:r w:rsidRPr="001014A0">
        <w:rPr>
          <w:i/>
        </w:rPr>
        <w:t xml:space="preserve"> </w:t>
      </w:r>
      <w:r w:rsidRPr="001014A0">
        <w:rPr>
          <w:i/>
          <w:highlight w:val="yellow"/>
        </w:rPr>
        <w:t>Frontiers in Psychology,</w:t>
      </w:r>
      <w:r w:rsidRPr="001014A0">
        <w:rPr>
          <w:i/>
        </w:rPr>
        <w:t xml:space="preserve"> </w:t>
      </w:r>
      <w:r w:rsidRPr="00611E8D">
        <w:t xml:space="preserve">13. </w:t>
      </w:r>
      <w:hyperlink r:id="rId22" w:history="1">
        <w:r w:rsidRPr="00611E8D">
          <w:rPr>
            <w:rStyle w:val="Hyperlink"/>
          </w:rPr>
          <w:t>https://doi.org/10.3389/fpsyg.2022.821227</w:t>
        </w:r>
      </w:hyperlink>
      <w:r w:rsidRPr="00611E8D">
        <w:t xml:space="preserve"> </w:t>
      </w:r>
    </w:p>
    <w:p w14:paraId="075E38ED" w14:textId="77777777" w:rsidR="00611E8D" w:rsidRPr="00611E8D" w:rsidRDefault="00611E8D" w:rsidP="00611E8D">
      <w:pPr>
        <w:pStyle w:val="Body"/>
        <w:spacing w:after="0"/>
      </w:pPr>
      <w:proofErr w:type="spellStart"/>
      <w:r w:rsidRPr="00611E8D">
        <w:t>Bottiani</w:t>
      </w:r>
      <w:proofErr w:type="spellEnd"/>
      <w:r w:rsidRPr="00611E8D">
        <w:t xml:space="preserve">, J. H., Duran, C. A., Pas, E. T., &amp; Bradshaw, C. P. (2019). Teacher stress and burnout in urban middle schools: Associations with job demands, resources, and effective classroom practices. </w:t>
      </w:r>
      <w:r w:rsidRPr="001014A0">
        <w:rPr>
          <w:i/>
          <w:highlight w:val="yellow"/>
        </w:rPr>
        <w:t>Journal of School Psychology,</w:t>
      </w:r>
      <w:r w:rsidRPr="00611E8D">
        <w:t xml:space="preserve"> 77, 36–51. </w:t>
      </w:r>
      <w:hyperlink r:id="rId23" w:history="1">
        <w:r w:rsidRPr="00611E8D">
          <w:rPr>
            <w:rStyle w:val="Hyperlink"/>
          </w:rPr>
          <w:t>https://doi.org/10.1016/j.jsp.2019.10.002</w:t>
        </w:r>
      </w:hyperlink>
      <w:r w:rsidRPr="00611E8D">
        <w:t xml:space="preserve"> </w:t>
      </w:r>
    </w:p>
    <w:p w14:paraId="44BA8EAD" w14:textId="77777777" w:rsidR="00611E8D" w:rsidRPr="00611E8D" w:rsidRDefault="00611E8D" w:rsidP="00611E8D">
      <w:pPr>
        <w:pStyle w:val="Body"/>
        <w:spacing w:after="0"/>
      </w:pPr>
      <w:r w:rsidRPr="00611E8D">
        <w:t xml:space="preserve">Braun, S. S., Van Den Berg, Y. H., &amp; </w:t>
      </w:r>
      <w:proofErr w:type="spellStart"/>
      <w:r w:rsidRPr="00611E8D">
        <w:t>Cillessen</w:t>
      </w:r>
      <w:proofErr w:type="spellEnd"/>
      <w:r w:rsidRPr="00611E8D">
        <w:t xml:space="preserve">, A. H. (2019). Effects of a seating chart intervention for target and nontarget students. </w:t>
      </w:r>
      <w:r w:rsidRPr="001014A0">
        <w:rPr>
          <w:i/>
          <w:highlight w:val="yellow"/>
        </w:rPr>
        <w:t>Journal of Experimental Child Psychology,</w:t>
      </w:r>
      <w:r w:rsidRPr="00611E8D">
        <w:t xml:space="preserve"> 191, 104742. </w:t>
      </w:r>
      <w:hyperlink r:id="rId24" w:history="1">
        <w:r w:rsidRPr="00611E8D">
          <w:rPr>
            <w:rStyle w:val="Hyperlink"/>
          </w:rPr>
          <w:t>https://doi.org/10.1016/j.jecp.2019.104742</w:t>
        </w:r>
      </w:hyperlink>
      <w:r w:rsidRPr="00611E8D">
        <w:t xml:space="preserve"> </w:t>
      </w:r>
    </w:p>
    <w:p w14:paraId="44004DA0" w14:textId="77777777" w:rsidR="00611E8D" w:rsidRPr="00611E8D" w:rsidRDefault="00611E8D" w:rsidP="00611E8D">
      <w:pPr>
        <w:pStyle w:val="Body"/>
        <w:spacing w:after="0"/>
      </w:pPr>
      <w:r w:rsidRPr="00611E8D">
        <w:t xml:space="preserve">Carrell, S. E., Hoekstra, M., &amp; </w:t>
      </w:r>
      <w:proofErr w:type="spellStart"/>
      <w:r w:rsidRPr="00611E8D">
        <w:t>Kuka</w:t>
      </w:r>
      <w:proofErr w:type="spellEnd"/>
      <w:r w:rsidRPr="00611E8D">
        <w:t xml:space="preserve">, E. (2018). The Long-Run effects of disruptive peers. </w:t>
      </w:r>
      <w:r w:rsidRPr="001014A0">
        <w:rPr>
          <w:i/>
          <w:highlight w:val="yellow"/>
        </w:rPr>
        <w:t>American Economic Review,</w:t>
      </w:r>
      <w:r w:rsidRPr="00611E8D">
        <w:t xml:space="preserve"> 108(11), 3377–3415. </w:t>
      </w:r>
      <w:hyperlink r:id="rId25" w:history="1">
        <w:r w:rsidRPr="00611E8D">
          <w:rPr>
            <w:rStyle w:val="Hyperlink"/>
          </w:rPr>
          <w:t>https://doi.org/10.1257/aer.20160763</w:t>
        </w:r>
      </w:hyperlink>
      <w:r w:rsidRPr="00611E8D">
        <w:t xml:space="preserve"> </w:t>
      </w:r>
    </w:p>
    <w:p w14:paraId="5AAED79A" w14:textId="77777777" w:rsidR="00611E8D" w:rsidRPr="00611E8D" w:rsidRDefault="00611E8D" w:rsidP="00611E8D">
      <w:pPr>
        <w:pStyle w:val="Body"/>
        <w:spacing w:after="0"/>
      </w:pPr>
      <w:proofErr w:type="spellStart"/>
      <w:r w:rsidRPr="00611E8D">
        <w:t>Closs</w:t>
      </w:r>
      <w:proofErr w:type="spellEnd"/>
      <w:r w:rsidRPr="00611E8D">
        <w:t xml:space="preserve">, L., </w:t>
      </w:r>
      <w:proofErr w:type="spellStart"/>
      <w:r w:rsidRPr="00611E8D">
        <w:t>Mahat</w:t>
      </w:r>
      <w:proofErr w:type="spellEnd"/>
      <w:r w:rsidRPr="00611E8D">
        <w:t xml:space="preserve">, M., &amp; </w:t>
      </w:r>
      <w:proofErr w:type="spellStart"/>
      <w:r w:rsidRPr="00611E8D">
        <w:t>Imms</w:t>
      </w:r>
      <w:proofErr w:type="spellEnd"/>
      <w:r w:rsidRPr="00611E8D">
        <w:t xml:space="preserve">, W. (2021). Learning environments’ influence on students’ learning experience in an Australian Faculty of Business and Economics. </w:t>
      </w:r>
      <w:r w:rsidRPr="001014A0">
        <w:rPr>
          <w:i/>
          <w:highlight w:val="yellow"/>
        </w:rPr>
        <w:t>Learning Environments Research,</w:t>
      </w:r>
      <w:r w:rsidRPr="00611E8D">
        <w:t xml:space="preserve"> 25(1), 271–285. </w:t>
      </w:r>
      <w:hyperlink r:id="rId26" w:history="1">
        <w:r w:rsidRPr="00611E8D">
          <w:rPr>
            <w:rStyle w:val="Hyperlink"/>
          </w:rPr>
          <w:t>https://doi.org/10.1007/s10984-021-09361-2</w:t>
        </w:r>
      </w:hyperlink>
      <w:r w:rsidRPr="00611E8D">
        <w:t xml:space="preserve"> </w:t>
      </w:r>
    </w:p>
    <w:p w14:paraId="00921F0B" w14:textId="77777777" w:rsidR="00611E8D" w:rsidRPr="00611E8D" w:rsidRDefault="00611E8D" w:rsidP="00611E8D">
      <w:pPr>
        <w:pStyle w:val="Body"/>
        <w:spacing w:after="0"/>
      </w:pPr>
      <w:r w:rsidRPr="00611E8D">
        <w:t xml:space="preserve">Cole, K., Schroeder, K., </w:t>
      </w:r>
      <w:proofErr w:type="spellStart"/>
      <w:r w:rsidRPr="00611E8D">
        <w:t>Bataineh</w:t>
      </w:r>
      <w:proofErr w:type="spellEnd"/>
      <w:r w:rsidRPr="00611E8D">
        <w:t>, M., &amp; Al-</w:t>
      </w:r>
      <w:proofErr w:type="spellStart"/>
      <w:r w:rsidRPr="00611E8D">
        <w:t>Bataineh</w:t>
      </w:r>
      <w:proofErr w:type="spellEnd"/>
      <w:r w:rsidRPr="00611E8D">
        <w:t xml:space="preserve">, A. (2021). Flexible seating impact on classroom environment. </w:t>
      </w:r>
      <w:r w:rsidRPr="001014A0">
        <w:rPr>
          <w:i/>
        </w:rPr>
        <w:t xml:space="preserve">˜the </w:t>
      </w:r>
      <w:proofErr w:type="spellStart"/>
      <w:r w:rsidRPr="001014A0">
        <w:rPr>
          <w:i/>
        </w:rPr>
        <w:t>œTurkish</w:t>
      </w:r>
      <w:proofErr w:type="spellEnd"/>
      <w:r w:rsidRPr="001014A0">
        <w:rPr>
          <w:i/>
        </w:rPr>
        <w:t xml:space="preserve"> Online Journal of Educational Technology,</w:t>
      </w:r>
      <w:r w:rsidRPr="00611E8D">
        <w:t xml:space="preserve"> 20(2), 62–74. </w:t>
      </w:r>
      <w:hyperlink r:id="rId27" w:history="1">
        <w:r w:rsidRPr="00611E8D">
          <w:rPr>
            <w:rStyle w:val="Hyperlink"/>
          </w:rPr>
          <w:t>https://files.eric.ed.gov/fulltext/EJ1304613.pdf</w:t>
        </w:r>
      </w:hyperlink>
      <w:r w:rsidRPr="00611E8D">
        <w:t xml:space="preserve"> </w:t>
      </w:r>
    </w:p>
    <w:p w14:paraId="00BD9249" w14:textId="77777777" w:rsidR="00611E8D" w:rsidRPr="00611E8D" w:rsidRDefault="00611E8D" w:rsidP="00611E8D">
      <w:pPr>
        <w:pStyle w:val="Body"/>
        <w:spacing w:after="0"/>
      </w:pPr>
      <w:r w:rsidRPr="00611E8D">
        <w:t xml:space="preserve">Darling-Hammond, L., &amp; Cook-Harvey, C. (2018). Educating the whole child: Improving school climate to support student success. </w:t>
      </w:r>
      <w:hyperlink r:id="rId28" w:history="1">
        <w:r w:rsidRPr="00611E8D">
          <w:rPr>
            <w:rStyle w:val="Hyperlink"/>
          </w:rPr>
          <w:t>https://doi.org/10.54300/145.655</w:t>
        </w:r>
      </w:hyperlink>
      <w:r w:rsidRPr="00611E8D">
        <w:t xml:space="preserve"> </w:t>
      </w:r>
    </w:p>
    <w:p w14:paraId="03A1B139" w14:textId="77777777" w:rsidR="00611E8D" w:rsidRPr="00611E8D" w:rsidRDefault="00611E8D" w:rsidP="00611E8D">
      <w:pPr>
        <w:pStyle w:val="Body"/>
        <w:spacing w:after="0"/>
      </w:pPr>
      <w:r w:rsidRPr="00611E8D">
        <w:t xml:space="preserve">Day, S. L., Connor, C. M., &amp; McClelland, M. M. (2015). Children’s behavioral regulation and literacy: The impact of the </w:t>
      </w:r>
      <w:proofErr w:type="gramStart"/>
      <w:r w:rsidRPr="00611E8D">
        <w:t>first grade</w:t>
      </w:r>
      <w:proofErr w:type="gramEnd"/>
      <w:r w:rsidRPr="00611E8D">
        <w:t xml:space="preserve"> classroom environment. </w:t>
      </w:r>
      <w:r w:rsidRPr="001014A0">
        <w:rPr>
          <w:i/>
        </w:rPr>
        <w:t>Journal of School Psychology,</w:t>
      </w:r>
      <w:r w:rsidRPr="00611E8D">
        <w:t xml:space="preserve"> 53(5), 409–428. </w:t>
      </w:r>
      <w:hyperlink r:id="rId29" w:history="1">
        <w:r w:rsidRPr="00611E8D">
          <w:rPr>
            <w:rStyle w:val="Hyperlink"/>
          </w:rPr>
          <w:t>https://doi.org/10.1016/j.jsp.2015.07.004</w:t>
        </w:r>
      </w:hyperlink>
      <w:r w:rsidRPr="00611E8D">
        <w:t xml:space="preserve"> </w:t>
      </w:r>
    </w:p>
    <w:p w14:paraId="6D18873F" w14:textId="77777777" w:rsidR="00611E8D" w:rsidRPr="00611E8D" w:rsidRDefault="00611E8D" w:rsidP="00611E8D">
      <w:pPr>
        <w:pStyle w:val="Body"/>
        <w:spacing w:after="0"/>
      </w:pPr>
      <w:r w:rsidRPr="00611E8D">
        <w:t xml:space="preserve">De Ruiter, J. A., </w:t>
      </w:r>
      <w:proofErr w:type="spellStart"/>
      <w:r w:rsidRPr="00611E8D">
        <w:t>Poorthuis</w:t>
      </w:r>
      <w:proofErr w:type="spellEnd"/>
      <w:r w:rsidRPr="00611E8D">
        <w:t xml:space="preserve">, A. M., </w:t>
      </w:r>
      <w:proofErr w:type="spellStart"/>
      <w:r w:rsidRPr="00611E8D">
        <w:t>Aldrup</w:t>
      </w:r>
      <w:proofErr w:type="spellEnd"/>
      <w:r w:rsidRPr="00611E8D">
        <w:t xml:space="preserve">, K., &amp; </w:t>
      </w:r>
      <w:proofErr w:type="spellStart"/>
      <w:r w:rsidRPr="00611E8D">
        <w:t>Koomen</w:t>
      </w:r>
      <w:proofErr w:type="spellEnd"/>
      <w:r w:rsidRPr="00611E8D">
        <w:t xml:space="preserve">, H. M. (2020). Teachers’ emotional experiences in response to daily events with individual students varying in perceived past disruptive behavior. </w:t>
      </w:r>
      <w:r w:rsidRPr="001014A0">
        <w:rPr>
          <w:i/>
        </w:rPr>
        <w:t>Journal of School Psychology,</w:t>
      </w:r>
      <w:r w:rsidRPr="00611E8D">
        <w:t xml:space="preserve"> 82, 85–102. </w:t>
      </w:r>
      <w:hyperlink r:id="rId30" w:history="1">
        <w:r w:rsidRPr="00611E8D">
          <w:rPr>
            <w:rStyle w:val="Hyperlink"/>
          </w:rPr>
          <w:t>https://doi.org/10.1016/j.jsp.2020.08.005</w:t>
        </w:r>
      </w:hyperlink>
      <w:r w:rsidRPr="00611E8D">
        <w:t xml:space="preserve"> </w:t>
      </w:r>
    </w:p>
    <w:p w14:paraId="61095B8A" w14:textId="77777777" w:rsidR="00611E8D" w:rsidRPr="00611E8D" w:rsidRDefault="00611E8D" w:rsidP="00611E8D">
      <w:pPr>
        <w:pStyle w:val="Body"/>
        <w:spacing w:after="0"/>
      </w:pPr>
      <w:proofErr w:type="spellStart"/>
      <w:r w:rsidRPr="00611E8D">
        <w:t>Dewi</w:t>
      </w:r>
      <w:proofErr w:type="spellEnd"/>
      <w:r w:rsidRPr="00611E8D">
        <w:t xml:space="preserve">, R., </w:t>
      </w:r>
      <w:proofErr w:type="spellStart"/>
      <w:r w:rsidRPr="00611E8D">
        <w:t>Verawati</w:t>
      </w:r>
      <w:proofErr w:type="spellEnd"/>
      <w:r w:rsidRPr="00611E8D">
        <w:t xml:space="preserve">, I., </w:t>
      </w:r>
      <w:proofErr w:type="spellStart"/>
      <w:r w:rsidRPr="00611E8D">
        <w:t>Sukamton</w:t>
      </w:r>
      <w:proofErr w:type="spellEnd"/>
      <w:r w:rsidRPr="00611E8D">
        <w:t xml:space="preserve">, A., Hakim, H., </w:t>
      </w:r>
      <w:proofErr w:type="spellStart"/>
      <w:r w:rsidRPr="00611E8D">
        <w:t>Burhaein</w:t>
      </w:r>
      <w:proofErr w:type="spellEnd"/>
      <w:r w:rsidRPr="00611E8D">
        <w:t xml:space="preserve">, E., &amp; </w:t>
      </w:r>
      <w:proofErr w:type="spellStart"/>
      <w:r w:rsidRPr="00611E8D">
        <w:t>Lourenço</w:t>
      </w:r>
      <w:proofErr w:type="spellEnd"/>
      <w:r w:rsidRPr="00611E8D">
        <w:t xml:space="preserve">, C. C. V. (2023). The impact of basic motion activities on social interaction in elementary school students. </w:t>
      </w:r>
      <w:r w:rsidRPr="001014A0">
        <w:rPr>
          <w:i/>
        </w:rPr>
        <w:t>International Journal of Human Movement and Sports Sciences,</w:t>
      </w:r>
      <w:r w:rsidRPr="00611E8D">
        <w:t xml:space="preserve"> 11(1), 143–151. </w:t>
      </w:r>
      <w:hyperlink r:id="rId31" w:history="1">
        <w:r w:rsidRPr="00611E8D">
          <w:rPr>
            <w:rStyle w:val="Hyperlink"/>
          </w:rPr>
          <w:t>https://doi.org/10.13189/saj.2023.110117</w:t>
        </w:r>
      </w:hyperlink>
      <w:r w:rsidRPr="00611E8D">
        <w:t xml:space="preserve"> </w:t>
      </w:r>
    </w:p>
    <w:p w14:paraId="3F09B458" w14:textId="77777777" w:rsidR="00611E8D" w:rsidRPr="00611E8D" w:rsidRDefault="00611E8D" w:rsidP="00611E8D">
      <w:pPr>
        <w:pStyle w:val="Body"/>
        <w:spacing w:after="0"/>
      </w:pPr>
      <w:proofErr w:type="spellStart"/>
      <w:r w:rsidRPr="00611E8D">
        <w:t>Düzey</w:t>
      </w:r>
      <w:proofErr w:type="spellEnd"/>
      <w:r w:rsidRPr="00611E8D">
        <w:t xml:space="preserve">, G., &amp; </w:t>
      </w:r>
      <w:proofErr w:type="spellStart"/>
      <w:r w:rsidRPr="00611E8D">
        <w:t>Caganaga</w:t>
      </w:r>
      <w:proofErr w:type="spellEnd"/>
      <w:r w:rsidRPr="00611E8D">
        <w:t xml:space="preserve">, C. K. (2017). Strategies Used in Changing and Correcting Student Misbehaviors in Classrooms regarding Evaluation of Teachers of Secondary Education. </w:t>
      </w:r>
      <w:proofErr w:type="spellStart"/>
      <w:r w:rsidRPr="00611E8D">
        <w:t>OALib</w:t>
      </w:r>
      <w:proofErr w:type="spellEnd"/>
      <w:r w:rsidRPr="00611E8D">
        <w:t xml:space="preserve">, 04(08), 1–14. </w:t>
      </w:r>
      <w:hyperlink r:id="rId32" w:history="1">
        <w:r w:rsidRPr="00611E8D">
          <w:rPr>
            <w:rStyle w:val="Hyperlink"/>
          </w:rPr>
          <w:t>https://doi.org/10.4236/oalib.1103532</w:t>
        </w:r>
      </w:hyperlink>
      <w:r w:rsidRPr="00611E8D">
        <w:t xml:space="preserve"> </w:t>
      </w:r>
    </w:p>
    <w:p w14:paraId="72586D6E" w14:textId="77777777" w:rsidR="00611E8D" w:rsidRPr="00611E8D" w:rsidRDefault="00611E8D" w:rsidP="00611E8D">
      <w:pPr>
        <w:pStyle w:val="Body"/>
        <w:spacing w:after="0"/>
      </w:pPr>
      <w:r w:rsidRPr="00611E8D">
        <w:lastRenderedPageBreak/>
        <w:t xml:space="preserve">Eklund, K., </w:t>
      </w:r>
      <w:proofErr w:type="spellStart"/>
      <w:r w:rsidRPr="00611E8D">
        <w:t>Kilgus</w:t>
      </w:r>
      <w:proofErr w:type="spellEnd"/>
      <w:r w:rsidRPr="00611E8D">
        <w:t xml:space="preserve">, S. P., Izumi, J., </w:t>
      </w:r>
      <w:proofErr w:type="spellStart"/>
      <w:r w:rsidRPr="00611E8D">
        <w:t>DeMarchena</w:t>
      </w:r>
      <w:proofErr w:type="spellEnd"/>
      <w:r w:rsidRPr="00611E8D">
        <w:t xml:space="preserve">, S. L., &amp; </w:t>
      </w:r>
      <w:proofErr w:type="spellStart"/>
      <w:r w:rsidRPr="00611E8D">
        <w:t>McCollom</w:t>
      </w:r>
      <w:proofErr w:type="spellEnd"/>
      <w:r w:rsidRPr="00611E8D">
        <w:t xml:space="preserve">, E. M. (2021). The Resilience Education Program: Examining the efficacy of a Tier 2 internalizing intervention. </w:t>
      </w:r>
      <w:r w:rsidRPr="001014A0">
        <w:rPr>
          <w:i/>
        </w:rPr>
        <w:t>Psychology in the Schools</w:t>
      </w:r>
      <w:r w:rsidRPr="00611E8D">
        <w:t xml:space="preserve">, 58(11), 2114–2129. </w:t>
      </w:r>
      <w:hyperlink r:id="rId33" w:history="1">
        <w:r w:rsidRPr="00611E8D">
          <w:rPr>
            <w:rStyle w:val="Hyperlink"/>
          </w:rPr>
          <w:t>https://doi.org/10.1002/pits.22580</w:t>
        </w:r>
      </w:hyperlink>
      <w:r w:rsidRPr="00611E8D">
        <w:t xml:space="preserve"> </w:t>
      </w:r>
    </w:p>
    <w:p w14:paraId="456B1085" w14:textId="77777777" w:rsidR="00611E8D" w:rsidRPr="00611E8D" w:rsidRDefault="00611E8D" w:rsidP="00611E8D">
      <w:pPr>
        <w:pStyle w:val="Body"/>
        <w:spacing w:after="0"/>
      </w:pPr>
      <w:r w:rsidRPr="00611E8D">
        <w:t>Farmer, T. W., Talbott, B., Dawes, M., Huber, H. B., Brooks, D. S., &amp; Powers, E. E. (2018). Social Dynamics Management: What is it and why is it important for intervention?</w:t>
      </w:r>
      <w:r w:rsidRPr="001014A0">
        <w:rPr>
          <w:i/>
        </w:rPr>
        <w:t xml:space="preserve"> Journal of Emotional and Behavioral Disorders</w:t>
      </w:r>
      <w:r w:rsidRPr="00611E8D">
        <w:t xml:space="preserve">, 26(1), 3–10. </w:t>
      </w:r>
      <w:hyperlink r:id="rId34" w:history="1">
        <w:r w:rsidRPr="00611E8D">
          <w:rPr>
            <w:rStyle w:val="Hyperlink"/>
          </w:rPr>
          <w:t>https://doi.org/10.1177/1063426617752139</w:t>
        </w:r>
      </w:hyperlink>
      <w:r w:rsidRPr="00611E8D">
        <w:t xml:space="preserve"> </w:t>
      </w:r>
    </w:p>
    <w:p w14:paraId="37658606" w14:textId="77777777" w:rsidR="00611E8D" w:rsidRPr="00611E8D" w:rsidRDefault="00611E8D" w:rsidP="00611E8D">
      <w:pPr>
        <w:pStyle w:val="Body"/>
        <w:spacing w:after="0"/>
      </w:pPr>
      <w:r w:rsidRPr="00611E8D">
        <w:t xml:space="preserve">Fernandes, A. C., Huang, J., &amp; Rinaldo, V. (2017). Does Where A Student Sits Really </w:t>
      </w:r>
      <w:proofErr w:type="gramStart"/>
      <w:r w:rsidRPr="00611E8D">
        <w:t>Matter?-</w:t>
      </w:r>
      <w:proofErr w:type="gramEnd"/>
      <w:r w:rsidRPr="00611E8D">
        <w:t xml:space="preserve">The Impact of Seating Locations on Student Classroom Learning. </w:t>
      </w:r>
      <w:r w:rsidRPr="001014A0">
        <w:rPr>
          <w:i/>
          <w:highlight w:val="yellow"/>
        </w:rPr>
        <w:t>International Journal of Applied Educational Studies,</w:t>
      </w:r>
      <w:r w:rsidRPr="001014A0">
        <w:rPr>
          <w:i/>
        </w:rPr>
        <w:t xml:space="preserve"> </w:t>
      </w:r>
      <w:r w:rsidRPr="00611E8D">
        <w:t xml:space="preserve">10(1) </w:t>
      </w:r>
    </w:p>
    <w:p w14:paraId="4CD36780" w14:textId="77777777" w:rsidR="00611E8D" w:rsidRPr="00611E8D" w:rsidRDefault="00611E8D" w:rsidP="00611E8D">
      <w:pPr>
        <w:pStyle w:val="Body"/>
        <w:spacing w:after="0"/>
      </w:pPr>
      <w:proofErr w:type="spellStart"/>
      <w:r w:rsidRPr="00611E8D">
        <w:t>Frenzel</w:t>
      </w:r>
      <w:proofErr w:type="spellEnd"/>
      <w:r w:rsidRPr="00611E8D">
        <w:t xml:space="preserve">, A. C., Daniels, L., &amp; </w:t>
      </w:r>
      <w:proofErr w:type="spellStart"/>
      <w:r w:rsidRPr="00611E8D">
        <w:t>Burić</w:t>
      </w:r>
      <w:proofErr w:type="spellEnd"/>
      <w:r w:rsidRPr="00611E8D">
        <w:t xml:space="preserve">, I. (2021). Teacher emotions in the classroom and their implications for students. </w:t>
      </w:r>
      <w:r w:rsidRPr="001014A0">
        <w:rPr>
          <w:i/>
        </w:rPr>
        <w:t>Educational Psychologist,</w:t>
      </w:r>
      <w:r w:rsidRPr="00611E8D">
        <w:t xml:space="preserve"> 56(4), 250–264. </w:t>
      </w:r>
      <w:hyperlink r:id="rId35" w:history="1">
        <w:r w:rsidRPr="00611E8D">
          <w:rPr>
            <w:rStyle w:val="Hyperlink"/>
          </w:rPr>
          <w:t>https://doi.org/10.1080/00461520.2021.1985501</w:t>
        </w:r>
      </w:hyperlink>
      <w:r w:rsidRPr="00611E8D">
        <w:t xml:space="preserve"> </w:t>
      </w:r>
    </w:p>
    <w:p w14:paraId="653672BD" w14:textId="77777777" w:rsidR="00611E8D" w:rsidRPr="00611E8D" w:rsidRDefault="00611E8D" w:rsidP="00611E8D">
      <w:pPr>
        <w:pStyle w:val="Body"/>
        <w:spacing w:after="0"/>
      </w:pPr>
      <w:proofErr w:type="spellStart"/>
      <w:r w:rsidRPr="00611E8D">
        <w:t>Gaastra</w:t>
      </w:r>
      <w:proofErr w:type="spellEnd"/>
      <w:r w:rsidRPr="00611E8D">
        <w:t xml:space="preserve">, G. F., Groen, Y., </w:t>
      </w:r>
      <w:proofErr w:type="spellStart"/>
      <w:r w:rsidRPr="00611E8D">
        <w:t>Tucha</w:t>
      </w:r>
      <w:proofErr w:type="spellEnd"/>
      <w:r w:rsidRPr="00611E8D">
        <w:t xml:space="preserve">, L., &amp; </w:t>
      </w:r>
      <w:proofErr w:type="spellStart"/>
      <w:r w:rsidRPr="00611E8D">
        <w:t>Tucha</w:t>
      </w:r>
      <w:proofErr w:type="spellEnd"/>
      <w:r w:rsidRPr="00611E8D">
        <w:t xml:space="preserve">, O. (2016). The effects of classroom interventions on off-task and disruptive classroom behavior in children with symptoms of attention-deficit/hyperactivity disorder: A meta-analytic review. </w:t>
      </w:r>
      <w:proofErr w:type="spellStart"/>
      <w:r w:rsidRPr="00611E8D">
        <w:t>PloS</w:t>
      </w:r>
      <w:proofErr w:type="spellEnd"/>
      <w:r w:rsidRPr="00611E8D">
        <w:t xml:space="preserve"> one, 11(2), e0148841. </w:t>
      </w:r>
    </w:p>
    <w:p w14:paraId="74DCA34F" w14:textId="77777777" w:rsidR="00611E8D" w:rsidRPr="00611E8D" w:rsidRDefault="00611E8D" w:rsidP="00611E8D">
      <w:pPr>
        <w:pStyle w:val="Body"/>
        <w:spacing w:after="0"/>
        <w:rPr>
          <w:lang w:val="en-PH"/>
        </w:rPr>
      </w:pPr>
      <w:r w:rsidRPr="00611E8D">
        <w:rPr>
          <w:lang w:val="en-PH"/>
        </w:rPr>
        <w:t xml:space="preserve">Gage, N. A., Lee, A., </w:t>
      </w:r>
      <w:proofErr w:type="spellStart"/>
      <w:r w:rsidRPr="00611E8D">
        <w:rPr>
          <w:lang w:val="en-PH"/>
        </w:rPr>
        <w:t>Grasley</w:t>
      </w:r>
      <w:proofErr w:type="spellEnd"/>
      <w:r w:rsidRPr="00611E8D">
        <w:rPr>
          <w:lang w:val="en-PH"/>
        </w:rPr>
        <w:t xml:space="preserve">-Boy, N., &amp; George, H. P. (2018). The Impact of School-Wide Positive Behavior Interventions and Supports on school suspensions: A Statewide Quasi-Experimental Analysis. </w:t>
      </w:r>
      <w:r w:rsidRPr="001014A0">
        <w:rPr>
          <w:i/>
          <w:highlight w:val="yellow"/>
          <w:lang w:val="en-PH"/>
        </w:rPr>
        <w:t>Journal of Positive Behavior Interventions,</w:t>
      </w:r>
      <w:r w:rsidRPr="00611E8D">
        <w:rPr>
          <w:lang w:val="en-PH"/>
        </w:rPr>
        <w:t xml:space="preserve"> 20(4), 217–226. </w:t>
      </w:r>
      <w:hyperlink r:id="rId36" w:history="1">
        <w:r w:rsidRPr="00611E8D">
          <w:rPr>
            <w:rStyle w:val="Hyperlink"/>
            <w:lang w:val="en-PH"/>
          </w:rPr>
          <w:t>https://doi.org/10.1177/1098300718768204</w:t>
        </w:r>
      </w:hyperlink>
      <w:r w:rsidRPr="00611E8D">
        <w:rPr>
          <w:lang w:val="en-PH"/>
        </w:rPr>
        <w:t xml:space="preserve"> </w:t>
      </w:r>
    </w:p>
    <w:p w14:paraId="4F72080E" w14:textId="77777777" w:rsidR="00611E8D" w:rsidRPr="00611E8D" w:rsidRDefault="00611E8D" w:rsidP="00611E8D">
      <w:pPr>
        <w:pStyle w:val="Body"/>
        <w:spacing w:after="0"/>
      </w:pPr>
      <w:r w:rsidRPr="00611E8D">
        <w:t xml:space="preserve">Gage, N. A., Scott, T., </w:t>
      </w:r>
      <w:proofErr w:type="spellStart"/>
      <w:r w:rsidRPr="00611E8D">
        <w:t>Hirn</w:t>
      </w:r>
      <w:proofErr w:type="spellEnd"/>
      <w:r w:rsidRPr="00611E8D">
        <w:t xml:space="preserve">, R., &amp; </w:t>
      </w:r>
      <w:proofErr w:type="spellStart"/>
      <w:r w:rsidRPr="00611E8D">
        <w:t>MacSuga</w:t>
      </w:r>
      <w:proofErr w:type="spellEnd"/>
      <w:r w:rsidRPr="00611E8D">
        <w:t xml:space="preserve">-Gage, A. S. (2017). The relationship between teachers’ implementation of classroom management practices and student behavior in elementary school. Behavioral Disorders, 43(2), 302–315. </w:t>
      </w:r>
      <w:hyperlink r:id="rId37" w:history="1">
        <w:r w:rsidRPr="00611E8D">
          <w:rPr>
            <w:rStyle w:val="Hyperlink"/>
          </w:rPr>
          <w:t>https://doi.org/10.1177/0198742917714809</w:t>
        </w:r>
      </w:hyperlink>
      <w:r w:rsidRPr="00611E8D">
        <w:t xml:space="preserve"> </w:t>
      </w:r>
    </w:p>
    <w:p w14:paraId="64ABF2C0" w14:textId="77777777" w:rsidR="00611E8D" w:rsidRPr="00611E8D" w:rsidRDefault="00611E8D" w:rsidP="00611E8D">
      <w:pPr>
        <w:pStyle w:val="Body"/>
        <w:spacing w:after="0"/>
      </w:pPr>
      <w:r w:rsidRPr="00611E8D">
        <w:t xml:space="preserve">Gamage, K. a. A., </w:t>
      </w:r>
      <w:proofErr w:type="spellStart"/>
      <w:r w:rsidRPr="00611E8D">
        <w:t>Dehideniya</w:t>
      </w:r>
      <w:proofErr w:type="spellEnd"/>
      <w:r w:rsidRPr="00611E8D">
        <w:t xml:space="preserve">, D. M. S. C. P. K., &amp; </w:t>
      </w:r>
      <w:proofErr w:type="spellStart"/>
      <w:r w:rsidRPr="00611E8D">
        <w:t>Ekanayake</w:t>
      </w:r>
      <w:proofErr w:type="spellEnd"/>
      <w:r w:rsidRPr="00611E8D">
        <w:t xml:space="preserve">, S. Y. (2021). The role of personal values in learning approaches and student achievements. </w:t>
      </w:r>
      <w:r w:rsidRPr="00E44379">
        <w:rPr>
          <w:i/>
        </w:rPr>
        <w:t>Behavioral Sciences,</w:t>
      </w:r>
      <w:r w:rsidRPr="00611E8D">
        <w:t xml:space="preserve"> 11(7), 102. </w:t>
      </w:r>
      <w:hyperlink r:id="rId38" w:history="1">
        <w:r w:rsidRPr="00611E8D">
          <w:rPr>
            <w:rStyle w:val="Hyperlink"/>
          </w:rPr>
          <w:t>https://doi.org/10.3390/bs11070102</w:t>
        </w:r>
      </w:hyperlink>
      <w:r w:rsidRPr="00611E8D">
        <w:t xml:space="preserve"> </w:t>
      </w:r>
    </w:p>
    <w:p w14:paraId="338C9EA5" w14:textId="77777777" w:rsidR="00611E8D" w:rsidRPr="00611E8D" w:rsidRDefault="00611E8D" w:rsidP="00611E8D">
      <w:pPr>
        <w:pStyle w:val="Body"/>
        <w:spacing w:after="0"/>
      </w:pPr>
      <w:proofErr w:type="spellStart"/>
      <w:r w:rsidRPr="00611E8D">
        <w:t>Gettinger</w:t>
      </w:r>
      <w:proofErr w:type="spellEnd"/>
      <w:r w:rsidRPr="00611E8D">
        <w:t>, M., &amp; Kohler, K. M. (2015). Process-Outcome approaches to classroom management and effective teaching. I</w:t>
      </w:r>
      <w:r w:rsidRPr="00E44379">
        <w:rPr>
          <w:i/>
          <w:highlight w:val="yellow"/>
        </w:rPr>
        <w:t>n Routledge eBooks.</w:t>
      </w:r>
      <w:r w:rsidRPr="00E44379">
        <w:rPr>
          <w:i/>
        </w:rPr>
        <w:t xml:space="preserve"> </w:t>
      </w:r>
      <w:hyperlink r:id="rId39" w:history="1">
        <w:r w:rsidRPr="00611E8D">
          <w:rPr>
            <w:rStyle w:val="Hyperlink"/>
          </w:rPr>
          <w:t>https://doi.org/10.4324/9780203874783.ch4</w:t>
        </w:r>
      </w:hyperlink>
      <w:r w:rsidRPr="00611E8D">
        <w:t xml:space="preserve"> </w:t>
      </w:r>
    </w:p>
    <w:p w14:paraId="34AEF330" w14:textId="77777777" w:rsidR="00611E8D" w:rsidRPr="00611E8D" w:rsidRDefault="00611E8D" w:rsidP="00611E8D">
      <w:pPr>
        <w:pStyle w:val="Body"/>
        <w:spacing w:after="0"/>
      </w:pPr>
      <w:r w:rsidRPr="00611E8D">
        <w:t xml:space="preserve">Gilmour, A. F., </w:t>
      </w:r>
      <w:proofErr w:type="spellStart"/>
      <w:r w:rsidRPr="00611E8D">
        <w:t>Sandilos</w:t>
      </w:r>
      <w:proofErr w:type="spellEnd"/>
      <w:r w:rsidRPr="00611E8D">
        <w:t xml:space="preserve">, L. E., </w:t>
      </w:r>
      <w:proofErr w:type="spellStart"/>
      <w:r w:rsidRPr="00611E8D">
        <w:t>Pilny</w:t>
      </w:r>
      <w:proofErr w:type="spellEnd"/>
      <w:r w:rsidRPr="00611E8D">
        <w:t xml:space="preserve">, W. V., Schwartz, S., &amp; </w:t>
      </w:r>
      <w:proofErr w:type="spellStart"/>
      <w:r w:rsidRPr="00611E8D">
        <w:t>Wehby</w:t>
      </w:r>
      <w:proofErr w:type="spellEnd"/>
      <w:r w:rsidRPr="00611E8D">
        <w:t xml:space="preserve">, J. H. (2021). Teaching Students </w:t>
      </w:r>
      <w:proofErr w:type="gramStart"/>
      <w:r w:rsidRPr="00611E8D">
        <w:t>With</w:t>
      </w:r>
      <w:proofErr w:type="gramEnd"/>
      <w:r w:rsidRPr="00611E8D">
        <w:t xml:space="preserve"> Emotional/Behavioral Disorders: Teachers’ burnout profiles and classroom management. </w:t>
      </w:r>
      <w:r w:rsidRPr="00E44379">
        <w:rPr>
          <w:i/>
          <w:highlight w:val="yellow"/>
        </w:rPr>
        <w:t>Journal of Emotional and Behavioral Disorders,</w:t>
      </w:r>
      <w:r w:rsidRPr="00611E8D">
        <w:t xml:space="preserve"> 30(1), 16–28. </w:t>
      </w:r>
      <w:hyperlink r:id="rId40" w:history="1">
        <w:r w:rsidRPr="00611E8D">
          <w:rPr>
            <w:rStyle w:val="Hyperlink"/>
          </w:rPr>
          <w:t>https://doi.org/10.1177/10634266211020258</w:t>
        </w:r>
      </w:hyperlink>
      <w:r w:rsidRPr="00611E8D">
        <w:t xml:space="preserve"> </w:t>
      </w:r>
    </w:p>
    <w:p w14:paraId="36B44AB6" w14:textId="77777777" w:rsidR="00611E8D" w:rsidRPr="00611E8D" w:rsidRDefault="00611E8D" w:rsidP="00611E8D">
      <w:pPr>
        <w:pStyle w:val="Body"/>
        <w:spacing w:after="0"/>
      </w:pPr>
      <w:r w:rsidRPr="00611E8D">
        <w:t xml:space="preserve">Gregory, A., &amp; Fergus, E. (2017). Social and emotional learning and equity in school discipline. </w:t>
      </w:r>
      <w:r w:rsidRPr="00E44379">
        <w:rPr>
          <w:i/>
        </w:rPr>
        <w:t>The Future of Children</w:t>
      </w:r>
      <w:r w:rsidRPr="00611E8D">
        <w:t xml:space="preserve">, 27(1), 117–136. </w:t>
      </w:r>
      <w:hyperlink r:id="rId41" w:history="1">
        <w:r w:rsidRPr="00611E8D">
          <w:rPr>
            <w:rStyle w:val="Hyperlink"/>
          </w:rPr>
          <w:t>https://doi.org/10.1353/foc.2017.0006</w:t>
        </w:r>
      </w:hyperlink>
      <w:r w:rsidRPr="00611E8D">
        <w:t xml:space="preserve"> </w:t>
      </w:r>
    </w:p>
    <w:p w14:paraId="3DA2EC87" w14:textId="77777777" w:rsidR="00611E8D" w:rsidRPr="00611E8D" w:rsidRDefault="00611E8D" w:rsidP="00611E8D">
      <w:pPr>
        <w:pStyle w:val="Body"/>
        <w:spacing w:after="0"/>
      </w:pPr>
      <w:proofErr w:type="spellStart"/>
      <w:r w:rsidRPr="00611E8D">
        <w:t>Gremmen</w:t>
      </w:r>
      <w:proofErr w:type="spellEnd"/>
      <w:r w:rsidRPr="00611E8D">
        <w:t xml:space="preserve">, M. C., Van Den Berg, Y. H. M., </w:t>
      </w:r>
      <w:proofErr w:type="spellStart"/>
      <w:r w:rsidRPr="00611E8D">
        <w:t>Segers</w:t>
      </w:r>
      <w:proofErr w:type="spellEnd"/>
      <w:r w:rsidRPr="00611E8D">
        <w:t xml:space="preserve">, E., &amp; </w:t>
      </w:r>
      <w:proofErr w:type="spellStart"/>
      <w:r w:rsidRPr="00611E8D">
        <w:t>Cillessen</w:t>
      </w:r>
      <w:proofErr w:type="spellEnd"/>
      <w:r w:rsidRPr="00611E8D">
        <w:t xml:space="preserve">, A. H. N. (2016). Considerations for classroom seating arrangements and the role of teacher characteristics and beliefs. </w:t>
      </w:r>
      <w:r w:rsidRPr="00E44379">
        <w:rPr>
          <w:i/>
        </w:rPr>
        <w:t>Social Psychology of Education,</w:t>
      </w:r>
      <w:r w:rsidRPr="00611E8D">
        <w:t xml:space="preserve"> 19(4), 749–774. </w:t>
      </w:r>
      <w:hyperlink r:id="rId42" w:history="1">
        <w:r w:rsidRPr="00611E8D">
          <w:rPr>
            <w:rStyle w:val="Hyperlink"/>
          </w:rPr>
          <w:t>https://doi.org/10.1007/s11218-016-9353-y</w:t>
        </w:r>
      </w:hyperlink>
      <w:r w:rsidRPr="00611E8D">
        <w:t xml:space="preserve"> </w:t>
      </w:r>
    </w:p>
    <w:p w14:paraId="2E58CAAA" w14:textId="77777777" w:rsidR="00611E8D" w:rsidRPr="00611E8D" w:rsidRDefault="00611E8D" w:rsidP="00611E8D">
      <w:pPr>
        <w:pStyle w:val="Body"/>
        <w:spacing w:after="0"/>
      </w:pPr>
      <w:proofErr w:type="spellStart"/>
      <w:r w:rsidRPr="00611E8D">
        <w:rPr>
          <w:highlight w:val="yellow"/>
        </w:rPr>
        <w:t>Hasanah</w:t>
      </w:r>
      <w:proofErr w:type="spellEnd"/>
      <w:r w:rsidRPr="00611E8D">
        <w:rPr>
          <w:highlight w:val="yellow"/>
        </w:rPr>
        <w:t xml:space="preserve">, N. M., Arafat, N. Y., </w:t>
      </w:r>
      <w:proofErr w:type="spellStart"/>
      <w:r w:rsidRPr="00611E8D">
        <w:rPr>
          <w:highlight w:val="yellow"/>
        </w:rPr>
        <w:t>Barni</w:t>
      </w:r>
      <w:proofErr w:type="spellEnd"/>
      <w:r w:rsidRPr="00611E8D">
        <w:rPr>
          <w:highlight w:val="yellow"/>
        </w:rPr>
        <w:t xml:space="preserve">, N. M., Raya, N. a. T., &amp; </w:t>
      </w:r>
      <w:proofErr w:type="spellStart"/>
      <w:r w:rsidRPr="00611E8D">
        <w:rPr>
          <w:highlight w:val="yellow"/>
        </w:rPr>
        <w:t>Aprilianto</w:t>
      </w:r>
      <w:proofErr w:type="spellEnd"/>
      <w:r w:rsidRPr="00611E8D">
        <w:rPr>
          <w:highlight w:val="yellow"/>
        </w:rPr>
        <w:t xml:space="preserve">, A. (2024). Teachers’ Strategies for Managing Disruptive Behavior in the classroom during the learning process. </w:t>
      </w:r>
      <w:proofErr w:type="spellStart"/>
      <w:r w:rsidRPr="00E44379">
        <w:rPr>
          <w:i/>
          <w:highlight w:val="yellow"/>
        </w:rPr>
        <w:t>Nazhruna</w:t>
      </w:r>
      <w:proofErr w:type="spellEnd"/>
      <w:r w:rsidRPr="00E44379">
        <w:rPr>
          <w:i/>
          <w:highlight w:val="yellow"/>
        </w:rPr>
        <w:t xml:space="preserve"> </w:t>
      </w:r>
      <w:proofErr w:type="spellStart"/>
      <w:r w:rsidRPr="00E44379">
        <w:rPr>
          <w:i/>
          <w:highlight w:val="yellow"/>
        </w:rPr>
        <w:t>Jurnal</w:t>
      </w:r>
      <w:proofErr w:type="spellEnd"/>
      <w:r w:rsidRPr="00E44379">
        <w:rPr>
          <w:i/>
          <w:highlight w:val="yellow"/>
        </w:rPr>
        <w:t xml:space="preserve"> Pendidikan Islam,</w:t>
      </w:r>
      <w:r w:rsidRPr="00611E8D">
        <w:rPr>
          <w:highlight w:val="yellow"/>
        </w:rPr>
        <w:t xml:space="preserve"> 7(3), 628–645. </w:t>
      </w:r>
      <w:hyperlink r:id="rId43" w:history="1">
        <w:r w:rsidRPr="00611E8D">
          <w:rPr>
            <w:rStyle w:val="Hyperlink"/>
            <w:highlight w:val="yellow"/>
          </w:rPr>
          <w:t>https://doi.org/10.31538/nzh.v7i3.7</w:t>
        </w:r>
      </w:hyperlink>
      <w:r w:rsidRPr="00611E8D">
        <w:t xml:space="preserve"> </w:t>
      </w:r>
    </w:p>
    <w:p w14:paraId="1F63AA82" w14:textId="77777777" w:rsidR="00611E8D" w:rsidRPr="00611E8D" w:rsidRDefault="00611E8D" w:rsidP="00611E8D">
      <w:pPr>
        <w:pStyle w:val="Body"/>
        <w:spacing w:after="0"/>
      </w:pPr>
      <w:proofErr w:type="spellStart"/>
      <w:r w:rsidRPr="00611E8D">
        <w:t>Hendrickx</w:t>
      </w:r>
      <w:proofErr w:type="spellEnd"/>
      <w:r w:rsidRPr="00611E8D">
        <w:t xml:space="preserve">, M. M., </w:t>
      </w:r>
      <w:proofErr w:type="spellStart"/>
      <w:r w:rsidRPr="00611E8D">
        <w:t>Mainhard</w:t>
      </w:r>
      <w:proofErr w:type="spellEnd"/>
      <w:r w:rsidRPr="00611E8D">
        <w:t>, M., Boor-</w:t>
      </w:r>
      <w:proofErr w:type="spellStart"/>
      <w:r w:rsidRPr="00611E8D">
        <w:t>Klip</w:t>
      </w:r>
      <w:proofErr w:type="spellEnd"/>
      <w:r w:rsidRPr="00611E8D">
        <w:t xml:space="preserve">, H. J., </w:t>
      </w:r>
      <w:proofErr w:type="spellStart"/>
      <w:r w:rsidRPr="00611E8D">
        <w:t>Cillessen</w:t>
      </w:r>
      <w:proofErr w:type="spellEnd"/>
      <w:r w:rsidRPr="00611E8D">
        <w:t xml:space="preserve">, A. H., &amp; </w:t>
      </w:r>
      <w:proofErr w:type="spellStart"/>
      <w:r w:rsidRPr="00611E8D">
        <w:t>Brekelmans</w:t>
      </w:r>
      <w:proofErr w:type="spellEnd"/>
      <w:r w:rsidRPr="00611E8D">
        <w:t xml:space="preserve">, M. (2015). Social dynamics in the classroom: Teacher support and conflict and the peer ecology. </w:t>
      </w:r>
      <w:r w:rsidRPr="00E44379">
        <w:rPr>
          <w:i/>
        </w:rPr>
        <w:t>Teaching and Teacher Education,</w:t>
      </w:r>
      <w:r w:rsidRPr="00611E8D">
        <w:t xml:space="preserve"> 53, 30–40. </w:t>
      </w:r>
      <w:hyperlink r:id="rId44" w:history="1">
        <w:r w:rsidRPr="00611E8D">
          <w:rPr>
            <w:rStyle w:val="Hyperlink"/>
          </w:rPr>
          <w:t>https://doi.org/10.1016/j.tate.2015.10.004</w:t>
        </w:r>
      </w:hyperlink>
      <w:r w:rsidRPr="00611E8D">
        <w:t xml:space="preserve"> </w:t>
      </w:r>
    </w:p>
    <w:p w14:paraId="4D911365" w14:textId="77777777" w:rsidR="00611E8D" w:rsidRPr="00611E8D" w:rsidRDefault="00611E8D" w:rsidP="00611E8D">
      <w:pPr>
        <w:pStyle w:val="Body"/>
        <w:spacing w:after="0"/>
      </w:pPr>
      <w:proofErr w:type="spellStart"/>
      <w:r w:rsidRPr="00611E8D">
        <w:t>Imms</w:t>
      </w:r>
      <w:proofErr w:type="spellEnd"/>
      <w:r w:rsidRPr="00611E8D">
        <w:t xml:space="preserve">, W., &amp; Byers, T. (2016). Impact of classroom design on teacher pedagogy and student engagement and performance in mathematics. </w:t>
      </w:r>
      <w:r w:rsidRPr="00E44379">
        <w:rPr>
          <w:i/>
          <w:highlight w:val="yellow"/>
        </w:rPr>
        <w:t>Learning Environments Research,</w:t>
      </w:r>
      <w:r w:rsidRPr="00611E8D">
        <w:t xml:space="preserve"> 20(1), 139–152. </w:t>
      </w:r>
      <w:hyperlink r:id="rId45" w:history="1">
        <w:r w:rsidRPr="00611E8D">
          <w:rPr>
            <w:rStyle w:val="Hyperlink"/>
          </w:rPr>
          <w:t>https://doi.org/10.1007/s10984-016-9210-0</w:t>
        </w:r>
      </w:hyperlink>
      <w:r w:rsidRPr="00611E8D">
        <w:t xml:space="preserve"> </w:t>
      </w:r>
    </w:p>
    <w:p w14:paraId="51A1DF2F" w14:textId="77777777" w:rsidR="00611E8D" w:rsidRPr="00611E8D" w:rsidRDefault="00611E8D" w:rsidP="00611E8D">
      <w:pPr>
        <w:pStyle w:val="Body"/>
        <w:spacing w:after="0"/>
      </w:pPr>
      <w:r w:rsidRPr="00611E8D">
        <w:t xml:space="preserve">Jiménez, J. L., Valero-Valenzuela, A., </w:t>
      </w:r>
      <w:proofErr w:type="spellStart"/>
      <w:r w:rsidRPr="00611E8D">
        <w:t>Anguera</w:t>
      </w:r>
      <w:proofErr w:type="spellEnd"/>
      <w:r w:rsidRPr="00611E8D">
        <w:t xml:space="preserve">, M. T., &amp; Suárez, A. D. (2016). Disruptive behavior among elementary students in physical education. </w:t>
      </w:r>
      <w:proofErr w:type="spellStart"/>
      <w:r w:rsidRPr="00E44379">
        <w:rPr>
          <w:i/>
          <w:iCs/>
        </w:rPr>
        <w:t>SpringerPlus</w:t>
      </w:r>
      <w:proofErr w:type="spellEnd"/>
      <w:r w:rsidRPr="00E44379">
        <w:rPr>
          <w:i/>
        </w:rPr>
        <w:t>,</w:t>
      </w:r>
      <w:r w:rsidRPr="00611E8D">
        <w:t xml:space="preserve"> </w:t>
      </w:r>
      <w:r w:rsidRPr="00611E8D">
        <w:rPr>
          <w:iCs/>
        </w:rPr>
        <w:t>5</w:t>
      </w:r>
      <w:r w:rsidRPr="00611E8D">
        <w:t xml:space="preserve">(1). </w:t>
      </w:r>
      <w:hyperlink r:id="rId46" w:history="1">
        <w:r w:rsidRPr="00611E8D">
          <w:rPr>
            <w:rStyle w:val="Hyperlink"/>
          </w:rPr>
          <w:t>https://doi.org/10.1186/s40064-016-2764-6</w:t>
        </w:r>
      </w:hyperlink>
      <w:r w:rsidRPr="00611E8D">
        <w:t xml:space="preserve"> </w:t>
      </w:r>
    </w:p>
    <w:p w14:paraId="49FBF194" w14:textId="77777777" w:rsidR="00611E8D" w:rsidRPr="00611E8D" w:rsidRDefault="00611E8D" w:rsidP="00611E8D">
      <w:pPr>
        <w:pStyle w:val="Body"/>
        <w:spacing w:after="0"/>
      </w:pPr>
      <w:proofErr w:type="spellStart"/>
      <w:r w:rsidRPr="00611E8D">
        <w:t>Korpershoek</w:t>
      </w:r>
      <w:proofErr w:type="spellEnd"/>
      <w:r w:rsidRPr="00611E8D">
        <w:t xml:space="preserve">, H., Harms, T., De Boer, H., Van </w:t>
      </w:r>
      <w:proofErr w:type="spellStart"/>
      <w:r w:rsidRPr="00611E8D">
        <w:t>Kuijk</w:t>
      </w:r>
      <w:proofErr w:type="spellEnd"/>
      <w:r w:rsidRPr="00611E8D">
        <w:t xml:space="preserve">, M., &amp; </w:t>
      </w:r>
      <w:proofErr w:type="spellStart"/>
      <w:r w:rsidRPr="00611E8D">
        <w:t>Doolaard</w:t>
      </w:r>
      <w:proofErr w:type="spellEnd"/>
      <w:r w:rsidRPr="00611E8D">
        <w:t xml:space="preserve">, S. (2016). A Meta-Analysis of the effects of classroom management strategies and classroom management </w:t>
      </w:r>
      <w:r w:rsidRPr="00611E8D">
        <w:lastRenderedPageBreak/>
        <w:t xml:space="preserve">programs on students’ academic, behavioral, emotional, and motivational outcomes. </w:t>
      </w:r>
      <w:r w:rsidRPr="00E44379">
        <w:rPr>
          <w:i/>
          <w:highlight w:val="yellow"/>
        </w:rPr>
        <w:t>Review of Educational Research,</w:t>
      </w:r>
      <w:r w:rsidRPr="00611E8D">
        <w:t xml:space="preserve"> 86(3), 643–680. </w:t>
      </w:r>
      <w:hyperlink r:id="rId47" w:history="1">
        <w:r w:rsidRPr="00611E8D">
          <w:rPr>
            <w:rStyle w:val="Hyperlink"/>
          </w:rPr>
          <w:t>https://doi.org/10.3102/0034654315626799</w:t>
        </w:r>
      </w:hyperlink>
      <w:r w:rsidRPr="00611E8D">
        <w:t xml:space="preserve"> </w:t>
      </w:r>
    </w:p>
    <w:p w14:paraId="616F9CFF" w14:textId="77777777" w:rsidR="00611E8D" w:rsidRPr="00611E8D" w:rsidRDefault="00611E8D" w:rsidP="00611E8D">
      <w:pPr>
        <w:pStyle w:val="Body"/>
        <w:spacing w:after="0"/>
      </w:pPr>
      <w:r w:rsidRPr="00611E8D">
        <w:t xml:space="preserve">Kraft, M. A. (2020). Interpreting effect sizes of education interventions. </w:t>
      </w:r>
      <w:r w:rsidRPr="00E44379">
        <w:rPr>
          <w:i/>
        </w:rPr>
        <w:t xml:space="preserve">Educational researcher, </w:t>
      </w:r>
      <w:r w:rsidRPr="00611E8D">
        <w:t xml:space="preserve">49(4), 241-253. </w:t>
      </w:r>
      <w:hyperlink r:id="rId48" w:history="1">
        <w:r w:rsidRPr="00611E8D">
          <w:rPr>
            <w:rStyle w:val="Hyperlink"/>
          </w:rPr>
          <w:t>https://journals.sagepub.com/doi/abs/10.3102/0013189X20912798</w:t>
        </w:r>
      </w:hyperlink>
      <w:r w:rsidRPr="00611E8D">
        <w:t xml:space="preserve"> </w:t>
      </w:r>
    </w:p>
    <w:p w14:paraId="11E6C180" w14:textId="77777777" w:rsidR="00611E8D" w:rsidRPr="00611E8D" w:rsidRDefault="00611E8D" w:rsidP="00611E8D">
      <w:pPr>
        <w:pStyle w:val="Body"/>
        <w:spacing w:after="0"/>
      </w:pPr>
      <w:proofErr w:type="spellStart"/>
      <w:r w:rsidRPr="00611E8D">
        <w:t>Krammer</w:t>
      </w:r>
      <w:proofErr w:type="spellEnd"/>
      <w:r w:rsidRPr="00611E8D">
        <w:t xml:space="preserve">, I., </w:t>
      </w:r>
      <w:proofErr w:type="spellStart"/>
      <w:r w:rsidRPr="00611E8D">
        <w:t>Schrank</w:t>
      </w:r>
      <w:proofErr w:type="spellEnd"/>
      <w:r w:rsidRPr="00611E8D">
        <w:t xml:space="preserve">, B., Pollak, I., </w:t>
      </w:r>
      <w:proofErr w:type="spellStart"/>
      <w:r w:rsidRPr="00611E8D">
        <w:t>Stiehl</w:t>
      </w:r>
      <w:proofErr w:type="spellEnd"/>
      <w:r w:rsidRPr="00611E8D">
        <w:t xml:space="preserve">, K. A., </w:t>
      </w:r>
      <w:proofErr w:type="spellStart"/>
      <w:r w:rsidRPr="00611E8D">
        <w:t>Nater</w:t>
      </w:r>
      <w:proofErr w:type="spellEnd"/>
      <w:r w:rsidRPr="00611E8D">
        <w:t xml:space="preserve">, U. M., &amp; Woodcock, K. A. (2023). Early adolescents' perspectives on factors that facilitate and hinder friendship development with peers at the time of school transition. </w:t>
      </w:r>
      <w:r w:rsidRPr="00E44379">
        <w:rPr>
          <w:i/>
        </w:rPr>
        <w:t>Journal of School Psychology,</w:t>
      </w:r>
      <w:r w:rsidRPr="00611E8D">
        <w:t xml:space="preserve"> 98, 113-132. </w:t>
      </w:r>
      <w:hyperlink r:id="rId49" w:history="1">
        <w:r w:rsidRPr="00611E8D">
          <w:rPr>
            <w:rStyle w:val="Hyperlink"/>
          </w:rPr>
          <w:t>https://www.sciencedirect.com/science/article/pii/</w:t>
        </w:r>
      </w:hyperlink>
      <w:r w:rsidRPr="00611E8D">
        <w:t xml:space="preserve"> </w:t>
      </w:r>
    </w:p>
    <w:p w14:paraId="5C99FD53" w14:textId="77777777" w:rsidR="00611E8D" w:rsidRPr="00611E8D" w:rsidRDefault="00611E8D" w:rsidP="00611E8D">
      <w:pPr>
        <w:pStyle w:val="Body"/>
        <w:spacing w:after="0"/>
      </w:pPr>
      <w:r w:rsidRPr="00611E8D">
        <w:t xml:space="preserve">Kumari, N. M., &amp; Biswas, N. D. S. (2024). Classroom management strategies and their influence on student social behavior. International journal of humanities engineering science and management, 5(1). </w:t>
      </w:r>
      <w:hyperlink r:id="rId50" w:history="1">
        <w:r w:rsidRPr="00611E8D">
          <w:rPr>
            <w:rStyle w:val="Hyperlink"/>
          </w:rPr>
          <w:t>https://doi.org/10.59364/ijhesm.v5i1.272</w:t>
        </w:r>
      </w:hyperlink>
      <w:r w:rsidRPr="00611E8D">
        <w:t xml:space="preserve"> </w:t>
      </w:r>
    </w:p>
    <w:p w14:paraId="1A985157" w14:textId="77777777" w:rsidR="00611E8D" w:rsidRPr="00611E8D" w:rsidRDefault="00611E8D" w:rsidP="00611E8D">
      <w:pPr>
        <w:pStyle w:val="Body"/>
        <w:spacing w:after="0"/>
      </w:pPr>
      <w:r w:rsidRPr="00611E8D">
        <w:t xml:space="preserve">Malott, R.W., &amp; Kohler, K.T. (2021). Principles of Behavior (8th ed.). </w:t>
      </w:r>
      <w:r w:rsidRPr="00E44379">
        <w:rPr>
          <w:i/>
        </w:rPr>
        <w:t xml:space="preserve">Routledge. </w:t>
      </w:r>
      <w:hyperlink r:id="rId51" w:history="1">
        <w:r w:rsidRPr="00611E8D">
          <w:rPr>
            <w:rStyle w:val="Hyperlink"/>
          </w:rPr>
          <w:t>https://doi.org/10.4324/9781003157014</w:t>
        </w:r>
      </w:hyperlink>
      <w:r w:rsidRPr="00611E8D">
        <w:t xml:space="preserve"> </w:t>
      </w:r>
    </w:p>
    <w:p w14:paraId="60753791" w14:textId="77777777" w:rsidR="00611E8D" w:rsidRPr="00611E8D" w:rsidRDefault="00611E8D" w:rsidP="00611E8D">
      <w:pPr>
        <w:pStyle w:val="Body"/>
        <w:spacing w:after="0"/>
      </w:pPr>
      <w:r w:rsidRPr="00611E8D">
        <w:t xml:space="preserve">Martin, G., &amp; Pear, J.J. (2019). Behavior Modification: What It Is and How </w:t>
      </w:r>
      <w:proofErr w:type="gramStart"/>
      <w:r w:rsidRPr="00611E8D">
        <w:t>To</w:t>
      </w:r>
      <w:proofErr w:type="gramEnd"/>
      <w:r w:rsidRPr="00611E8D">
        <w:t xml:space="preserve"> Do It (11th ed.). </w:t>
      </w:r>
      <w:r w:rsidRPr="00E44379">
        <w:rPr>
          <w:i/>
        </w:rPr>
        <w:t>Routledge.</w:t>
      </w:r>
      <w:r w:rsidRPr="00611E8D">
        <w:t xml:space="preserve"> </w:t>
      </w:r>
      <w:hyperlink r:id="rId52" w:history="1">
        <w:r w:rsidRPr="00611E8D">
          <w:rPr>
            <w:rStyle w:val="Hyperlink"/>
          </w:rPr>
          <w:t>https://doi.org/10.4324/9780429020599</w:t>
        </w:r>
      </w:hyperlink>
      <w:r w:rsidRPr="00611E8D">
        <w:t xml:space="preserve"> </w:t>
      </w:r>
    </w:p>
    <w:p w14:paraId="0BE1A207" w14:textId="77777777" w:rsidR="00611E8D" w:rsidRPr="00611E8D" w:rsidRDefault="00611E8D" w:rsidP="00611E8D">
      <w:pPr>
        <w:pStyle w:val="Body"/>
        <w:spacing w:after="0"/>
      </w:pPr>
      <w:r w:rsidRPr="00611E8D">
        <w:t xml:space="preserve">Miller, K., Schell, J., Ho, A., </w:t>
      </w:r>
      <w:proofErr w:type="spellStart"/>
      <w:r w:rsidRPr="00611E8D">
        <w:t>Lukoff</w:t>
      </w:r>
      <w:proofErr w:type="spellEnd"/>
      <w:r w:rsidRPr="00611E8D">
        <w:t>, B., &amp; Mazur, E. (2015). Response switching and self-efficacy in Peer Instruction classrooms.</w:t>
      </w:r>
      <w:r w:rsidRPr="00E44379">
        <w:rPr>
          <w:i/>
        </w:rPr>
        <w:t xml:space="preserve"> Physical Review Special Topics - Physics Education Research, </w:t>
      </w:r>
      <w:r w:rsidRPr="00611E8D">
        <w:t xml:space="preserve">11(1). </w:t>
      </w:r>
      <w:hyperlink r:id="rId53" w:history="1">
        <w:r w:rsidRPr="00611E8D">
          <w:rPr>
            <w:rStyle w:val="Hyperlink"/>
          </w:rPr>
          <w:t>https://doi.org/10.1103/physrevstper.11.010104</w:t>
        </w:r>
      </w:hyperlink>
      <w:r w:rsidRPr="00611E8D">
        <w:t xml:space="preserve"> </w:t>
      </w:r>
    </w:p>
    <w:p w14:paraId="6A118CAE" w14:textId="77777777" w:rsidR="00611E8D" w:rsidRPr="00611E8D" w:rsidRDefault="00611E8D" w:rsidP="00611E8D">
      <w:pPr>
        <w:pStyle w:val="Body"/>
        <w:spacing w:after="0"/>
      </w:pPr>
      <w:proofErr w:type="spellStart"/>
      <w:r w:rsidRPr="00611E8D">
        <w:rPr>
          <w:highlight w:val="yellow"/>
        </w:rPr>
        <w:t>Nuha</w:t>
      </w:r>
      <w:proofErr w:type="spellEnd"/>
      <w:r w:rsidRPr="00611E8D">
        <w:rPr>
          <w:highlight w:val="yellow"/>
        </w:rPr>
        <w:t xml:space="preserve">, M. S., Jalil, M. K., </w:t>
      </w:r>
      <w:proofErr w:type="spellStart"/>
      <w:r w:rsidRPr="00611E8D">
        <w:rPr>
          <w:highlight w:val="yellow"/>
        </w:rPr>
        <w:t>Indreswari</w:t>
      </w:r>
      <w:proofErr w:type="spellEnd"/>
      <w:r w:rsidRPr="00611E8D">
        <w:rPr>
          <w:highlight w:val="yellow"/>
        </w:rPr>
        <w:t xml:space="preserve">, H., &amp; </w:t>
      </w:r>
      <w:proofErr w:type="spellStart"/>
      <w:r w:rsidRPr="00611E8D">
        <w:rPr>
          <w:highlight w:val="yellow"/>
        </w:rPr>
        <w:t>Bariyyah</w:t>
      </w:r>
      <w:proofErr w:type="spellEnd"/>
      <w:r w:rsidRPr="00611E8D">
        <w:rPr>
          <w:highlight w:val="yellow"/>
        </w:rPr>
        <w:t xml:space="preserve">, K. (2025). Behavior Modification in Juvenile </w:t>
      </w:r>
      <w:proofErr w:type="spellStart"/>
      <w:r w:rsidRPr="00611E8D">
        <w:rPr>
          <w:highlight w:val="yellow"/>
        </w:rPr>
        <w:t>Deliquency</w:t>
      </w:r>
      <w:proofErr w:type="spellEnd"/>
      <w:r w:rsidRPr="00611E8D">
        <w:rPr>
          <w:highlight w:val="yellow"/>
        </w:rPr>
        <w:t xml:space="preserve">: A Systematic Literature review. </w:t>
      </w:r>
      <w:r w:rsidRPr="00E44379">
        <w:rPr>
          <w:i/>
          <w:highlight w:val="yellow"/>
        </w:rPr>
        <w:t>Al-</w:t>
      </w:r>
      <w:proofErr w:type="spellStart"/>
      <w:r w:rsidRPr="00E44379">
        <w:rPr>
          <w:i/>
          <w:highlight w:val="yellow"/>
        </w:rPr>
        <w:t>Ihath</w:t>
      </w:r>
      <w:proofErr w:type="spellEnd"/>
      <w:r w:rsidRPr="00E44379">
        <w:rPr>
          <w:i/>
          <w:highlight w:val="yellow"/>
        </w:rPr>
        <w:t xml:space="preserve"> </w:t>
      </w:r>
      <w:proofErr w:type="spellStart"/>
      <w:r w:rsidRPr="00E44379">
        <w:rPr>
          <w:i/>
          <w:highlight w:val="yellow"/>
        </w:rPr>
        <w:t>Jurnal</w:t>
      </w:r>
      <w:proofErr w:type="spellEnd"/>
      <w:r w:rsidRPr="00E44379">
        <w:rPr>
          <w:i/>
          <w:highlight w:val="yellow"/>
        </w:rPr>
        <w:t xml:space="preserve"> </w:t>
      </w:r>
      <w:proofErr w:type="spellStart"/>
      <w:r w:rsidRPr="00E44379">
        <w:rPr>
          <w:i/>
          <w:highlight w:val="yellow"/>
        </w:rPr>
        <w:t>Bimbingan</w:t>
      </w:r>
      <w:proofErr w:type="spellEnd"/>
      <w:r w:rsidRPr="00E44379">
        <w:rPr>
          <w:i/>
          <w:highlight w:val="yellow"/>
        </w:rPr>
        <w:t xml:space="preserve"> Dan </w:t>
      </w:r>
      <w:proofErr w:type="spellStart"/>
      <w:r w:rsidRPr="00E44379">
        <w:rPr>
          <w:i/>
          <w:highlight w:val="yellow"/>
        </w:rPr>
        <w:t>Konseling</w:t>
      </w:r>
      <w:proofErr w:type="spellEnd"/>
      <w:r w:rsidRPr="00E44379">
        <w:rPr>
          <w:i/>
          <w:highlight w:val="yellow"/>
        </w:rPr>
        <w:t xml:space="preserve"> Islam,</w:t>
      </w:r>
      <w:r w:rsidRPr="00611E8D">
        <w:rPr>
          <w:highlight w:val="yellow"/>
        </w:rPr>
        <w:t xml:space="preserve"> 5(1), 42–50. </w:t>
      </w:r>
      <w:hyperlink r:id="rId54" w:history="1">
        <w:r w:rsidRPr="00611E8D">
          <w:rPr>
            <w:rStyle w:val="Hyperlink"/>
            <w:highlight w:val="yellow"/>
          </w:rPr>
          <w:t>https://doi.org/10.53915/jbki.v5i1.608</w:t>
        </w:r>
      </w:hyperlink>
      <w:r w:rsidRPr="00611E8D">
        <w:t xml:space="preserve"> </w:t>
      </w:r>
    </w:p>
    <w:p w14:paraId="3E4EDA82" w14:textId="77777777" w:rsidR="00611E8D" w:rsidRPr="00611E8D" w:rsidRDefault="00611E8D" w:rsidP="00611E8D">
      <w:pPr>
        <w:pStyle w:val="Body"/>
        <w:spacing w:after="0"/>
      </w:pPr>
      <w:r w:rsidRPr="00611E8D">
        <w:t xml:space="preserve">Park, E. L., &amp; Choi, B. K. (2015). Transformation of classroom spaces: Traditional versus active learning classroom in colleges. Higher Education, 68, 749-771. </w:t>
      </w:r>
      <w:hyperlink r:id="rId55" w:history="1">
        <w:r w:rsidRPr="00611E8D">
          <w:rPr>
            <w:rStyle w:val="Hyperlink"/>
          </w:rPr>
          <w:t>https://link.springer.com/article/10.1007/s10734-014-9742-0</w:t>
        </w:r>
      </w:hyperlink>
      <w:r w:rsidRPr="00611E8D">
        <w:t xml:space="preserve"> </w:t>
      </w:r>
    </w:p>
    <w:p w14:paraId="72218B42" w14:textId="77777777" w:rsidR="00611E8D" w:rsidRPr="00611E8D" w:rsidRDefault="00611E8D" w:rsidP="00611E8D">
      <w:pPr>
        <w:pStyle w:val="Body"/>
        <w:spacing w:after="0"/>
      </w:pPr>
      <w:r w:rsidRPr="00611E8D">
        <w:t xml:space="preserve">Paulson, K., Moss, S., Olive, C., &amp; Gaudreault, K. L. (2022). Building Trust to Decrease Disruptive Behavior: A classroom management intervention. Strategies, 35(4), 15–22. </w:t>
      </w:r>
      <w:hyperlink r:id="rId56" w:history="1">
        <w:r w:rsidRPr="00611E8D">
          <w:rPr>
            <w:rStyle w:val="Hyperlink"/>
          </w:rPr>
          <w:t>https://doi.org/10.1080/08924562.2022.2069620</w:t>
        </w:r>
      </w:hyperlink>
      <w:r w:rsidRPr="00611E8D">
        <w:t xml:space="preserve"> </w:t>
      </w:r>
    </w:p>
    <w:p w14:paraId="0BE8619C" w14:textId="77777777" w:rsidR="00611E8D" w:rsidRPr="00611E8D" w:rsidRDefault="00611E8D" w:rsidP="00611E8D">
      <w:pPr>
        <w:pStyle w:val="Body"/>
        <w:spacing w:after="0"/>
      </w:pPr>
      <w:r w:rsidRPr="00611E8D">
        <w:t xml:space="preserve">Pierce, W. D., &amp; Cheney, C. D. (2017). </w:t>
      </w:r>
      <w:r w:rsidRPr="00611E8D">
        <w:rPr>
          <w:iCs/>
        </w:rPr>
        <w:t xml:space="preserve">Behavior Analysis and </w:t>
      </w:r>
      <w:proofErr w:type="gramStart"/>
      <w:r w:rsidRPr="00611E8D">
        <w:rPr>
          <w:iCs/>
        </w:rPr>
        <w:t>Learning :</w:t>
      </w:r>
      <w:proofErr w:type="gramEnd"/>
      <w:r w:rsidRPr="00611E8D">
        <w:rPr>
          <w:iCs/>
        </w:rPr>
        <w:t xml:space="preserve"> A Biobehavioral Approach, Sixth edition</w:t>
      </w:r>
      <w:r w:rsidRPr="00611E8D">
        <w:t xml:space="preserve">. </w:t>
      </w:r>
      <w:hyperlink r:id="rId57" w:history="1">
        <w:r w:rsidRPr="00611E8D">
          <w:rPr>
            <w:rStyle w:val="Hyperlink"/>
          </w:rPr>
          <w:t>https://www.taylorfrancis.com/books/mono/10.4324/9781315200682</w:t>
        </w:r>
      </w:hyperlink>
    </w:p>
    <w:p w14:paraId="6CF5503F" w14:textId="77777777" w:rsidR="00611E8D" w:rsidRPr="00611E8D" w:rsidRDefault="00611E8D" w:rsidP="00611E8D">
      <w:pPr>
        <w:pStyle w:val="Body"/>
        <w:spacing w:after="0"/>
      </w:pPr>
      <w:r w:rsidRPr="00611E8D">
        <w:t xml:space="preserve"> Rands, M. L., &amp; </w:t>
      </w:r>
      <w:proofErr w:type="spellStart"/>
      <w:r w:rsidRPr="00611E8D">
        <w:t>Gansemer-Topf</w:t>
      </w:r>
      <w:proofErr w:type="spellEnd"/>
      <w:r w:rsidRPr="00611E8D">
        <w:t xml:space="preserve">, A. M. (2017). The room itself is active: How classroom design impacts student engagement. </w:t>
      </w:r>
      <w:r w:rsidRPr="00E44379">
        <w:rPr>
          <w:i/>
          <w:highlight w:val="yellow"/>
        </w:rPr>
        <w:t>Journal of Learning Spaces,</w:t>
      </w:r>
      <w:r w:rsidRPr="00611E8D">
        <w:t xml:space="preserve"> 6(1), 26–33. </w:t>
      </w:r>
      <w:hyperlink r:id="rId58" w:history="1">
        <w:r w:rsidRPr="00611E8D">
          <w:rPr>
            <w:rStyle w:val="Hyperlink"/>
          </w:rPr>
          <w:t>http://files.eric.ed.gov/fulltext/EJ1152568.pdf</w:t>
        </w:r>
      </w:hyperlink>
      <w:r w:rsidRPr="00611E8D">
        <w:t xml:space="preserve"> </w:t>
      </w:r>
    </w:p>
    <w:p w14:paraId="1A147208" w14:textId="77777777" w:rsidR="00611E8D" w:rsidRPr="00611E8D" w:rsidRDefault="00611E8D" w:rsidP="00611E8D">
      <w:pPr>
        <w:pStyle w:val="Body"/>
        <w:spacing w:after="0"/>
      </w:pPr>
      <w:proofErr w:type="spellStart"/>
      <w:r w:rsidRPr="00611E8D">
        <w:t>Robichaux</w:t>
      </w:r>
      <w:proofErr w:type="spellEnd"/>
      <w:r w:rsidRPr="00611E8D">
        <w:t xml:space="preserve">, N. (2016). Effects of various seating arrangements on disruptive classroom behavior. </w:t>
      </w:r>
      <w:hyperlink r:id="rId59" w:history="1">
        <w:r w:rsidRPr="00611E8D">
          <w:rPr>
            <w:rStyle w:val="Hyperlink"/>
          </w:rPr>
          <w:t>https://doi.org/10.31390/gradschool_dissertations.3696</w:t>
        </w:r>
      </w:hyperlink>
      <w:r w:rsidRPr="00611E8D">
        <w:t xml:space="preserve"> </w:t>
      </w:r>
    </w:p>
    <w:p w14:paraId="1D675B2D" w14:textId="77777777" w:rsidR="00611E8D" w:rsidRPr="00611E8D" w:rsidRDefault="00611E8D" w:rsidP="00611E8D">
      <w:pPr>
        <w:pStyle w:val="Body"/>
        <w:spacing w:after="0"/>
      </w:pPr>
      <w:r w:rsidRPr="00611E8D">
        <w:t xml:space="preserve"> </w:t>
      </w:r>
      <w:proofErr w:type="spellStart"/>
      <w:r w:rsidRPr="00611E8D">
        <w:t>Rucinski</w:t>
      </w:r>
      <w:proofErr w:type="spellEnd"/>
      <w:r w:rsidRPr="00611E8D">
        <w:t>, C. L., Brown, J. L., &amp; Downer, J. T. (2017). Teacher–child relationships, classroom climate, and children’s social-emotional and academic development.</w:t>
      </w:r>
      <w:r w:rsidRPr="00E44379">
        <w:rPr>
          <w:i/>
        </w:rPr>
        <w:t xml:space="preserve"> </w:t>
      </w:r>
      <w:r w:rsidRPr="00E44379">
        <w:rPr>
          <w:i/>
          <w:iCs/>
        </w:rPr>
        <w:t>Journal of Educational Psychology</w:t>
      </w:r>
      <w:r w:rsidRPr="00E44379">
        <w:rPr>
          <w:i/>
        </w:rPr>
        <w:t xml:space="preserve">, </w:t>
      </w:r>
      <w:r w:rsidRPr="00E44379">
        <w:rPr>
          <w:i/>
          <w:iCs/>
        </w:rPr>
        <w:t>110</w:t>
      </w:r>
      <w:r w:rsidRPr="00611E8D">
        <w:t xml:space="preserve">(7), 992–1004. </w:t>
      </w:r>
      <w:hyperlink r:id="rId60" w:history="1">
        <w:r w:rsidRPr="00611E8D">
          <w:rPr>
            <w:rStyle w:val="Hyperlink"/>
          </w:rPr>
          <w:t>https://doi.org/10.1037/edu0000240</w:t>
        </w:r>
      </w:hyperlink>
      <w:r w:rsidRPr="00611E8D">
        <w:t xml:space="preserve"> </w:t>
      </w:r>
    </w:p>
    <w:p w14:paraId="21217EA7" w14:textId="77777777" w:rsidR="00611E8D" w:rsidRPr="00611E8D" w:rsidRDefault="00611E8D" w:rsidP="00611E8D">
      <w:pPr>
        <w:pStyle w:val="Body"/>
        <w:spacing w:after="0"/>
      </w:pPr>
      <w:r w:rsidRPr="00611E8D">
        <w:t xml:space="preserve">Saroyan, J. S. (2021). Developing a supportive peer environment: Engaging students through cooperative skills in the classroom. </w:t>
      </w:r>
      <w:r w:rsidRPr="00E44379">
        <w:rPr>
          <w:i/>
        </w:rPr>
        <w:t>Advances in Developmental and Educational Psychology,</w:t>
      </w:r>
      <w:r w:rsidRPr="00611E8D">
        <w:t xml:space="preserve"> 3(1), 81–89. </w:t>
      </w:r>
      <w:hyperlink r:id="rId61" w:history="1">
        <w:r w:rsidRPr="00611E8D">
          <w:rPr>
            <w:rStyle w:val="Hyperlink"/>
          </w:rPr>
          <w:t>https://doi.org/10.25082/adep.2021.01.001</w:t>
        </w:r>
      </w:hyperlink>
      <w:r w:rsidRPr="00611E8D">
        <w:t xml:space="preserve"> </w:t>
      </w:r>
    </w:p>
    <w:p w14:paraId="1D049414" w14:textId="77777777" w:rsidR="00611E8D" w:rsidRPr="00611E8D" w:rsidRDefault="00611E8D" w:rsidP="00611E8D">
      <w:pPr>
        <w:pStyle w:val="Body"/>
        <w:spacing w:after="0"/>
        <w:rPr>
          <w:lang w:val="en-PH"/>
        </w:rPr>
      </w:pPr>
      <w:r w:rsidRPr="00611E8D">
        <w:rPr>
          <w:highlight w:val="yellow"/>
          <w:lang w:val="en-PH"/>
        </w:rPr>
        <w:t>Sarwar, M. T., Hafeez, S., &amp; Azam, H. (2024). Spatial Preferences in Educational Environments: Insights into Seating Choices and Influences. </w:t>
      </w:r>
      <w:r w:rsidRPr="00611E8D">
        <w:rPr>
          <w:iCs/>
          <w:highlight w:val="yellow"/>
          <w:lang w:val="en-PH"/>
        </w:rPr>
        <w:t>Remittances Review</w:t>
      </w:r>
      <w:r w:rsidRPr="00611E8D">
        <w:rPr>
          <w:highlight w:val="yellow"/>
          <w:lang w:val="en-PH"/>
        </w:rPr>
        <w:t>, </w:t>
      </w:r>
      <w:r w:rsidRPr="00611E8D">
        <w:rPr>
          <w:iCs/>
          <w:highlight w:val="yellow"/>
          <w:lang w:val="en-PH"/>
        </w:rPr>
        <w:t>9</w:t>
      </w:r>
      <w:r w:rsidRPr="00611E8D">
        <w:rPr>
          <w:highlight w:val="yellow"/>
          <w:lang w:val="en-PH"/>
        </w:rPr>
        <w:t xml:space="preserve">(4), 1199-1212. </w:t>
      </w:r>
      <w:hyperlink r:id="rId62" w:history="1">
        <w:r w:rsidRPr="00611E8D">
          <w:rPr>
            <w:rStyle w:val="Hyperlink"/>
            <w:highlight w:val="yellow"/>
            <w:lang w:val="en-PH"/>
          </w:rPr>
          <w:t>https://d1wqtxts1xzle7.cloudfront.net/120632389/704</w:t>
        </w:r>
      </w:hyperlink>
      <w:r w:rsidRPr="00611E8D">
        <w:rPr>
          <w:lang w:val="en-PH"/>
        </w:rPr>
        <w:t xml:space="preserve"> </w:t>
      </w:r>
    </w:p>
    <w:p w14:paraId="53B17AB6" w14:textId="77777777" w:rsidR="00611E8D" w:rsidRPr="00611E8D" w:rsidRDefault="00611E8D" w:rsidP="00611E8D">
      <w:pPr>
        <w:pStyle w:val="Body"/>
        <w:spacing w:after="0"/>
      </w:pPr>
      <w:proofErr w:type="spellStart"/>
      <w:r w:rsidRPr="00611E8D">
        <w:t>Shernoff</w:t>
      </w:r>
      <w:proofErr w:type="spellEnd"/>
      <w:r w:rsidRPr="00611E8D">
        <w:t xml:space="preserve">, D. J., </w:t>
      </w:r>
      <w:proofErr w:type="spellStart"/>
      <w:r w:rsidRPr="00611E8D">
        <w:t>Ruzek</w:t>
      </w:r>
      <w:proofErr w:type="spellEnd"/>
      <w:r w:rsidRPr="00611E8D">
        <w:t xml:space="preserve">, E. A., &amp; Sinha, S. (2016). The influence of the high school classroom environment on learning as mediated by student engagement. </w:t>
      </w:r>
      <w:r w:rsidRPr="00E44379">
        <w:rPr>
          <w:i/>
        </w:rPr>
        <w:t>School Psychology International,</w:t>
      </w:r>
      <w:r w:rsidRPr="00611E8D">
        <w:t xml:space="preserve"> 38(2), 201–218. </w:t>
      </w:r>
      <w:hyperlink r:id="rId63" w:history="1">
        <w:r w:rsidRPr="00611E8D">
          <w:rPr>
            <w:rStyle w:val="Hyperlink"/>
          </w:rPr>
          <w:t>https://doi.org/10.1177/0143034316666413</w:t>
        </w:r>
      </w:hyperlink>
      <w:r w:rsidRPr="00611E8D">
        <w:t xml:space="preserve"> </w:t>
      </w:r>
    </w:p>
    <w:p w14:paraId="5ABD81D7" w14:textId="77777777" w:rsidR="00611E8D" w:rsidRPr="00611E8D" w:rsidRDefault="00611E8D" w:rsidP="00611E8D">
      <w:pPr>
        <w:pStyle w:val="Body"/>
        <w:spacing w:after="0"/>
      </w:pPr>
      <w:r w:rsidRPr="00611E8D">
        <w:t xml:space="preserve">Simmons, K., Carpenter, L., Crenshaw, S., &amp; Hinton, V. (2015). Exploration of classroom seating arrangement and student behavior in a </w:t>
      </w:r>
      <w:proofErr w:type="gramStart"/>
      <w:r w:rsidRPr="00611E8D">
        <w:t>second grade</w:t>
      </w:r>
      <w:proofErr w:type="gramEnd"/>
      <w:r w:rsidRPr="00611E8D">
        <w:t xml:space="preserve"> classroom. </w:t>
      </w:r>
      <w:r w:rsidRPr="00E44379">
        <w:rPr>
          <w:i/>
        </w:rPr>
        <w:t xml:space="preserve">Georgia Educational Researcher, </w:t>
      </w:r>
      <w:r w:rsidRPr="00611E8D">
        <w:t xml:space="preserve">12(1). </w:t>
      </w:r>
      <w:hyperlink r:id="rId64" w:history="1">
        <w:r w:rsidRPr="00611E8D">
          <w:rPr>
            <w:rStyle w:val="Hyperlink"/>
          </w:rPr>
          <w:t>https://doi.org/10.20429/ger.2015.120103</w:t>
        </w:r>
      </w:hyperlink>
      <w:r w:rsidRPr="00611E8D">
        <w:t xml:space="preserve"> </w:t>
      </w:r>
    </w:p>
    <w:p w14:paraId="332AFA43" w14:textId="77777777" w:rsidR="00611E8D" w:rsidRPr="00611E8D" w:rsidRDefault="00611E8D" w:rsidP="00611E8D">
      <w:pPr>
        <w:pStyle w:val="Body"/>
        <w:spacing w:after="0"/>
      </w:pPr>
      <w:r w:rsidRPr="00611E8D">
        <w:t>Simonsen, B., Freeman, J., Swain-</w:t>
      </w:r>
      <w:proofErr w:type="spellStart"/>
      <w:r w:rsidRPr="00611E8D">
        <w:t>Bradway</w:t>
      </w:r>
      <w:proofErr w:type="spellEnd"/>
      <w:r w:rsidRPr="00611E8D">
        <w:t xml:space="preserve">, J., George, H. P., Putnam, R., Lane, K. L., Sprague, J., &amp; </w:t>
      </w:r>
      <w:proofErr w:type="spellStart"/>
      <w:r w:rsidRPr="00611E8D">
        <w:t>Hershfeldt</w:t>
      </w:r>
      <w:proofErr w:type="spellEnd"/>
      <w:r w:rsidRPr="00611E8D">
        <w:t xml:space="preserve">, P. (2019). Using data to support educators’ implementation of </w:t>
      </w:r>
      <w:r w:rsidRPr="00611E8D">
        <w:lastRenderedPageBreak/>
        <w:t xml:space="preserve">positive Classroom Behavior Support (PCBS) practices. </w:t>
      </w:r>
      <w:r w:rsidRPr="00E44379">
        <w:rPr>
          <w:i/>
        </w:rPr>
        <w:t>Education and Treatment of Children,</w:t>
      </w:r>
      <w:r w:rsidRPr="00611E8D">
        <w:t xml:space="preserve"> 42(2), 265–289. </w:t>
      </w:r>
      <w:hyperlink r:id="rId65" w:history="1">
        <w:r w:rsidRPr="00611E8D">
          <w:rPr>
            <w:rStyle w:val="Hyperlink"/>
          </w:rPr>
          <w:t>https://doi.org/10.1353/etc.2019.0013</w:t>
        </w:r>
      </w:hyperlink>
      <w:r w:rsidRPr="00611E8D">
        <w:t xml:space="preserve"> </w:t>
      </w:r>
    </w:p>
    <w:p w14:paraId="12CF9810" w14:textId="77777777" w:rsidR="00611E8D" w:rsidRPr="00611E8D" w:rsidRDefault="00611E8D" w:rsidP="00611E8D">
      <w:pPr>
        <w:jc w:val="both"/>
      </w:pPr>
      <w:proofErr w:type="spellStart"/>
      <w:r w:rsidRPr="00611E8D">
        <w:t>Sipayung</w:t>
      </w:r>
      <w:proofErr w:type="spellEnd"/>
      <w:r w:rsidRPr="00611E8D">
        <w:t xml:space="preserve">, R. W., &amp; </w:t>
      </w:r>
      <w:proofErr w:type="spellStart"/>
      <w:r w:rsidRPr="00611E8D">
        <w:t>Benarita</w:t>
      </w:r>
      <w:proofErr w:type="spellEnd"/>
      <w:r w:rsidRPr="00611E8D">
        <w:t xml:space="preserve">, B. (2021). The effectiveness of U-Shape seating Arrangement Strategy for discussion in speaking class. </w:t>
      </w:r>
      <w:r w:rsidRPr="00E44379">
        <w:rPr>
          <w:i/>
          <w:highlight w:val="yellow"/>
        </w:rPr>
        <w:t>Budapest International Research and Critics in Linguistics and Education (</w:t>
      </w:r>
      <w:proofErr w:type="spellStart"/>
      <w:r w:rsidRPr="00E44379">
        <w:rPr>
          <w:i/>
          <w:highlight w:val="yellow"/>
        </w:rPr>
        <w:t>BirLE</w:t>
      </w:r>
      <w:proofErr w:type="spellEnd"/>
      <w:r w:rsidRPr="00E44379">
        <w:rPr>
          <w:i/>
          <w:highlight w:val="yellow"/>
        </w:rPr>
        <w:t>) Journal,</w:t>
      </w:r>
      <w:r w:rsidRPr="00611E8D">
        <w:t xml:space="preserve"> 4(1), 664–676. </w:t>
      </w:r>
      <w:hyperlink r:id="rId66" w:history="1">
        <w:r w:rsidRPr="00611E8D">
          <w:rPr>
            <w:rStyle w:val="Hyperlink"/>
          </w:rPr>
          <w:t>https://doi.org/10.33258/birle.v4i1.1794</w:t>
        </w:r>
      </w:hyperlink>
      <w:r w:rsidRPr="00611E8D">
        <w:t xml:space="preserve"> </w:t>
      </w:r>
    </w:p>
    <w:p w14:paraId="4109485F" w14:textId="77777777" w:rsidR="00611E8D" w:rsidRPr="00E44379" w:rsidRDefault="00611E8D" w:rsidP="00611E8D">
      <w:pPr>
        <w:pStyle w:val="Body"/>
        <w:spacing w:after="0"/>
      </w:pPr>
      <w:proofErr w:type="spellStart"/>
      <w:r w:rsidRPr="00611E8D">
        <w:t>Thoyibi</w:t>
      </w:r>
      <w:proofErr w:type="spellEnd"/>
      <w:r w:rsidRPr="00611E8D">
        <w:t xml:space="preserve">, M., </w:t>
      </w:r>
      <w:proofErr w:type="spellStart"/>
      <w:r w:rsidRPr="00611E8D">
        <w:t>Hikmat</w:t>
      </w:r>
      <w:proofErr w:type="spellEnd"/>
      <w:r w:rsidRPr="00611E8D">
        <w:t xml:space="preserve">, M. H., &amp; </w:t>
      </w:r>
      <w:proofErr w:type="spellStart"/>
      <w:r w:rsidRPr="00611E8D">
        <w:t>Prasetyarini</w:t>
      </w:r>
      <w:proofErr w:type="spellEnd"/>
      <w:r w:rsidRPr="00611E8D">
        <w:t xml:space="preserve">, A. (2021). Teachers’ perspective on student’s right to participation in classroom management. </w:t>
      </w:r>
      <w:r w:rsidRPr="00E44379">
        <w:rPr>
          <w:i/>
          <w:iCs/>
        </w:rPr>
        <w:t>Asian Journal of University Education</w:t>
      </w:r>
      <w:r w:rsidRPr="00611E8D">
        <w:t xml:space="preserve">, </w:t>
      </w:r>
      <w:r w:rsidRPr="00E44379">
        <w:rPr>
          <w:iCs/>
        </w:rPr>
        <w:t>17</w:t>
      </w:r>
      <w:r w:rsidRPr="00E44379">
        <w:t xml:space="preserve">(1), 63. </w:t>
      </w:r>
      <w:hyperlink r:id="rId67" w:history="1">
        <w:r w:rsidRPr="00E44379">
          <w:rPr>
            <w:rStyle w:val="Hyperlink"/>
          </w:rPr>
          <w:t>https://doi.org/10.24191/ajue.v17i1.12602</w:t>
        </w:r>
      </w:hyperlink>
      <w:r w:rsidRPr="00E44379">
        <w:t xml:space="preserve"> </w:t>
      </w:r>
    </w:p>
    <w:p w14:paraId="1C2A44F2" w14:textId="77777777" w:rsidR="00611E8D" w:rsidRPr="00611E8D" w:rsidRDefault="00611E8D" w:rsidP="00611E8D">
      <w:pPr>
        <w:pStyle w:val="Body"/>
        <w:spacing w:after="0"/>
      </w:pPr>
      <w:proofErr w:type="spellStart"/>
      <w:r w:rsidRPr="00611E8D">
        <w:t>Tobia</w:t>
      </w:r>
      <w:proofErr w:type="spellEnd"/>
      <w:r w:rsidRPr="00611E8D">
        <w:t xml:space="preserve">, V., </w:t>
      </w:r>
      <w:proofErr w:type="spellStart"/>
      <w:r w:rsidRPr="00611E8D">
        <w:t>Sacchi</w:t>
      </w:r>
      <w:proofErr w:type="spellEnd"/>
      <w:r w:rsidRPr="00611E8D">
        <w:t xml:space="preserve">, S., </w:t>
      </w:r>
      <w:proofErr w:type="spellStart"/>
      <w:r w:rsidRPr="00611E8D">
        <w:t>Cerina</w:t>
      </w:r>
      <w:proofErr w:type="spellEnd"/>
      <w:r w:rsidRPr="00611E8D">
        <w:t xml:space="preserve">, V., </w:t>
      </w:r>
      <w:proofErr w:type="spellStart"/>
      <w:r w:rsidRPr="00611E8D">
        <w:t>Manca</w:t>
      </w:r>
      <w:proofErr w:type="spellEnd"/>
      <w:r w:rsidRPr="00611E8D">
        <w:t xml:space="preserve">, S., &amp; </w:t>
      </w:r>
      <w:proofErr w:type="spellStart"/>
      <w:r w:rsidRPr="00611E8D">
        <w:t>Fornara</w:t>
      </w:r>
      <w:proofErr w:type="spellEnd"/>
      <w:r w:rsidRPr="00611E8D">
        <w:t xml:space="preserve">, F. (2020). The influence of classroom seating arrangement on children’s cognitive processes in primary school: the role of individual variables. Current Psychology, 41(9), 6522–6533. </w:t>
      </w:r>
      <w:hyperlink r:id="rId68" w:history="1">
        <w:r w:rsidRPr="00611E8D">
          <w:rPr>
            <w:rStyle w:val="Hyperlink"/>
          </w:rPr>
          <w:t>https://doi.org/10.1007/s12144-020-01154-9</w:t>
        </w:r>
      </w:hyperlink>
      <w:r w:rsidRPr="00611E8D">
        <w:t xml:space="preserve"> </w:t>
      </w:r>
    </w:p>
    <w:p w14:paraId="1CA3C8FD" w14:textId="77777777" w:rsidR="00611E8D" w:rsidRPr="00611E8D" w:rsidRDefault="00611E8D" w:rsidP="00611E8D">
      <w:pPr>
        <w:pStyle w:val="Body"/>
        <w:spacing w:after="0"/>
      </w:pPr>
      <w:r w:rsidRPr="00611E8D">
        <w:t xml:space="preserve">Tsukahara, J. S., &amp; Engle, R. W. (2021). Is baseline pupil size related to cognitive ability? Yes (under proper lighting conditions). Cognition, 211, 104643. </w:t>
      </w:r>
      <w:hyperlink r:id="rId69" w:history="1">
        <w:r w:rsidRPr="00611E8D">
          <w:rPr>
            <w:rStyle w:val="Hyperlink"/>
          </w:rPr>
          <w:t>https://doi.org/10.1016/j.cognition.2021.104643</w:t>
        </w:r>
      </w:hyperlink>
      <w:r w:rsidRPr="00611E8D">
        <w:t xml:space="preserve"> </w:t>
      </w:r>
    </w:p>
    <w:p w14:paraId="526259EA" w14:textId="77777777" w:rsidR="00611E8D" w:rsidRPr="00611E8D" w:rsidRDefault="00611E8D" w:rsidP="00611E8D">
      <w:pPr>
        <w:pStyle w:val="Body"/>
        <w:spacing w:after="0"/>
      </w:pPr>
      <w:proofErr w:type="spellStart"/>
      <w:r w:rsidRPr="00611E8D">
        <w:t>Vitiello</w:t>
      </w:r>
      <w:proofErr w:type="spellEnd"/>
      <w:r w:rsidRPr="00611E8D">
        <w:t xml:space="preserve">, V. E., &amp; Williford, A. P. (2019). Context influences on task orientation among preschoolers who display disruptive behavior problems. </w:t>
      </w:r>
      <w:r w:rsidRPr="00E44379">
        <w:rPr>
          <w:i/>
        </w:rPr>
        <w:t>Early Childhood Research Quarterly,</w:t>
      </w:r>
      <w:r w:rsidRPr="00611E8D">
        <w:t xml:space="preserve"> 51, 256–266. </w:t>
      </w:r>
      <w:hyperlink r:id="rId70" w:history="1">
        <w:r w:rsidRPr="00611E8D">
          <w:rPr>
            <w:rStyle w:val="Hyperlink"/>
          </w:rPr>
          <w:t>https://doi.org/10.1016/j.ecresq.2019.09.004</w:t>
        </w:r>
      </w:hyperlink>
      <w:r w:rsidRPr="00611E8D">
        <w:t xml:space="preserve"> </w:t>
      </w:r>
    </w:p>
    <w:p w14:paraId="22205534" w14:textId="77777777" w:rsidR="00611E8D" w:rsidRPr="00611E8D" w:rsidRDefault="00611E8D" w:rsidP="00611E8D">
      <w:pPr>
        <w:pStyle w:val="Body"/>
        <w:spacing w:after="0"/>
      </w:pPr>
      <w:r w:rsidRPr="00611E8D">
        <w:t xml:space="preserve">Wilkins, N. J., </w:t>
      </w:r>
      <w:proofErr w:type="spellStart"/>
      <w:r w:rsidRPr="00611E8D">
        <w:t>Verlenden</w:t>
      </w:r>
      <w:proofErr w:type="spellEnd"/>
      <w:r w:rsidRPr="00611E8D">
        <w:t xml:space="preserve">, J. M., </w:t>
      </w:r>
      <w:proofErr w:type="spellStart"/>
      <w:r w:rsidRPr="00611E8D">
        <w:t>Szucs</w:t>
      </w:r>
      <w:proofErr w:type="spellEnd"/>
      <w:r w:rsidRPr="00611E8D">
        <w:t xml:space="preserve">, L. E., &amp; Johns, M. M. (2023). Classroom management and facilitation approaches that promote school connectedness. </w:t>
      </w:r>
      <w:r w:rsidRPr="00E44379">
        <w:rPr>
          <w:i/>
          <w:highlight w:val="yellow"/>
        </w:rPr>
        <w:t>Journal of School Health,</w:t>
      </w:r>
      <w:r w:rsidRPr="00611E8D">
        <w:t xml:space="preserve"> 93(7), 582-593. </w:t>
      </w:r>
    </w:p>
    <w:p w14:paraId="4D7174A5" w14:textId="77777777" w:rsidR="00611E8D" w:rsidRPr="00611E8D" w:rsidRDefault="00611E8D" w:rsidP="00611E8D">
      <w:pPr>
        <w:pStyle w:val="Body"/>
        <w:spacing w:after="0"/>
      </w:pPr>
      <w:r w:rsidRPr="00611E8D">
        <w:t xml:space="preserve">Yang, X., Zhou, X., &amp; Hu, J. (2021). Students’ preferences for seating arrangements and their engagement in cooperative learning activities in college English blended learning classrooms in higher education. </w:t>
      </w:r>
      <w:r w:rsidRPr="00E44379">
        <w:rPr>
          <w:i/>
        </w:rPr>
        <w:t>Higher Education Research &amp; Development,</w:t>
      </w:r>
      <w:r w:rsidRPr="00611E8D">
        <w:t xml:space="preserve"> 41(4), 1356–1371. </w:t>
      </w:r>
      <w:hyperlink r:id="rId71" w:history="1">
        <w:r w:rsidRPr="00611E8D">
          <w:rPr>
            <w:rStyle w:val="Hyperlink"/>
          </w:rPr>
          <w:t>https://doi.org/10.1080/07294360.2021.1901667</w:t>
        </w:r>
      </w:hyperlink>
      <w:r w:rsidRPr="00611E8D">
        <w:t xml:space="preserve"> </w:t>
      </w:r>
    </w:p>
    <w:p w14:paraId="1494C618" w14:textId="77777777" w:rsidR="00611E8D" w:rsidRPr="00611E8D" w:rsidRDefault="00611E8D" w:rsidP="00611E8D">
      <w:pPr>
        <w:pStyle w:val="Body"/>
        <w:spacing w:after="0"/>
      </w:pPr>
      <w:proofErr w:type="spellStart"/>
      <w:r w:rsidRPr="00611E8D">
        <w:t>Zmuda</w:t>
      </w:r>
      <w:proofErr w:type="spellEnd"/>
      <w:r w:rsidRPr="00611E8D">
        <w:t xml:space="preserve">, A., Curtis, G., Ullman, D., &amp; Jacobs, H. H. (2015). Learning Personalized: the evolution of the contemporary classroom. </w:t>
      </w:r>
      <w:hyperlink r:id="rId72" w:history="1">
        <w:r w:rsidRPr="00611E8D">
          <w:rPr>
            <w:rStyle w:val="Hyperlink"/>
          </w:rPr>
          <w:t>https://www.amazon.com/Learning-Personalized-Evolution-Contemporary-Classroom/dp/1118904796</w:t>
        </w:r>
      </w:hyperlink>
      <w:r w:rsidRPr="00611E8D">
        <w:t xml:space="preserve"> </w:t>
      </w:r>
    </w:p>
    <w:p w14:paraId="01214634" w14:textId="77777777" w:rsidR="00E615E3" w:rsidRDefault="00E615E3" w:rsidP="00926A98">
      <w:pPr>
        <w:pStyle w:val="Appendix"/>
        <w:spacing w:after="0"/>
        <w:jc w:val="both"/>
        <w:rPr>
          <w:rFonts w:ascii="Arial" w:hAnsi="Arial" w:cs="Arial"/>
        </w:rPr>
      </w:pPr>
    </w:p>
    <w:p w14:paraId="1EC2EFC6" w14:textId="77777777" w:rsidR="00E615E3" w:rsidRDefault="00E615E3" w:rsidP="00926A98">
      <w:pPr>
        <w:pStyle w:val="Appendix"/>
        <w:spacing w:after="0"/>
        <w:jc w:val="both"/>
        <w:rPr>
          <w:rFonts w:ascii="Arial" w:hAnsi="Arial" w:cs="Arial"/>
        </w:rPr>
      </w:pPr>
    </w:p>
    <w:p w14:paraId="2EAF2105" w14:textId="77777777" w:rsidR="00E615E3" w:rsidRDefault="00E615E3" w:rsidP="00926A98">
      <w:pPr>
        <w:pStyle w:val="Appendix"/>
        <w:spacing w:after="0"/>
        <w:jc w:val="both"/>
        <w:rPr>
          <w:rFonts w:ascii="Arial" w:hAnsi="Arial" w:cs="Arial"/>
        </w:rPr>
      </w:pPr>
    </w:p>
    <w:p w14:paraId="45303FC9" w14:textId="081BD460" w:rsidR="003E227B" w:rsidRDefault="00926A98" w:rsidP="00926A98">
      <w:pPr>
        <w:pStyle w:val="Appendix"/>
        <w:spacing w:after="0"/>
        <w:jc w:val="both"/>
        <w:rPr>
          <w:rFonts w:ascii="Arial" w:hAnsi="Arial" w:cs="Arial"/>
        </w:rPr>
      </w:pPr>
      <w:r w:rsidRPr="00FB3A86">
        <w:rPr>
          <w:rFonts w:ascii="Arial" w:hAnsi="Arial" w:cs="Arial"/>
        </w:rPr>
        <w:t>APPENDI</w:t>
      </w:r>
      <w:r>
        <w:rPr>
          <w:rFonts w:ascii="Arial" w:hAnsi="Arial" w:cs="Arial"/>
        </w:rPr>
        <w:t>X</w:t>
      </w:r>
    </w:p>
    <w:p w14:paraId="23CC6F1D" w14:textId="172DC12C" w:rsidR="00926A98" w:rsidRDefault="00926A98" w:rsidP="00374B7B">
      <w:pPr>
        <w:pStyle w:val="NormalWeb"/>
        <w:spacing w:before="0" w:beforeAutospacing="0" w:after="0" w:afterAutospacing="0" w:line="20" w:lineRule="atLeast"/>
        <w:jc w:val="center"/>
        <w:rPr>
          <w:rFonts w:ascii="Arial" w:eastAsia="Calibri" w:hAnsi="Arial" w:cs="Arial"/>
          <w:b/>
        </w:rPr>
      </w:pPr>
      <w:r>
        <w:rPr>
          <w:rFonts w:ascii="Arial" w:eastAsia="Calibri" w:hAnsi="Arial" w:cs="Arial"/>
          <w:b/>
        </w:rPr>
        <w:t>APPENDIX A. Researcher-Made Checklist</w:t>
      </w:r>
    </w:p>
    <w:tbl>
      <w:tblPr>
        <w:tblStyle w:val="TableGrid3"/>
        <w:tblpPr w:leftFromText="180" w:rightFromText="180" w:vertAnchor="text" w:horzAnchor="margin" w:tblpY="168"/>
        <w:tblW w:w="8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875"/>
        <w:gridCol w:w="635"/>
        <w:gridCol w:w="635"/>
        <w:gridCol w:w="635"/>
        <w:gridCol w:w="726"/>
        <w:gridCol w:w="838"/>
      </w:tblGrid>
      <w:tr w:rsidR="00926A98" w:rsidRPr="00926A98" w14:paraId="7EEA5B2E" w14:textId="77777777" w:rsidTr="00926A98">
        <w:trPr>
          <w:trHeight w:val="440"/>
        </w:trPr>
        <w:tc>
          <w:tcPr>
            <w:tcW w:w="4495" w:type="dxa"/>
            <w:tcBorders>
              <w:bottom w:val="single" w:sz="4" w:space="0" w:color="auto"/>
            </w:tcBorders>
          </w:tcPr>
          <w:p w14:paraId="74CF70B1" w14:textId="77777777" w:rsidR="00926A98" w:rsidRPr="00926A98" w:rsidRDefault="00926A98" w:rsidP="00926A98">
            <w:pPr>
              <w:jc w:val="center"/>
              <w:rPr>
                <w:rFonts w:ascii="Arial" w:hAnsi="Arial" w:cs="Arial"/>
                <w:b/>
                <w:sz w:val="20"/>
                <w:szCs w:val="20"/>
              </w:rPr>
            </w:pPr>
          </w:p>
          <w:p w14:paraId="5523293D" w14:textId="77777777" w:rsidR="00926A98" w:rsidRPr="00926A98" w:rsidRDefault="00926A98" w:rsidP="00926A98">
            <w:pPr>
              <w:jc w:val="center"/>
              <w:rPr>
                <w:rFonts w:ascii="Arial" w:hAnsi="Arial" w:cs="Arial"/>
                <w:b/>
                <w:sz w:val="20"/>
                <w:szCs w:val="20"/>
              </w:rPr>
            </w:pPr>
            <w:r w:rsidRPr="00926A98">
              <w:rPr>
                <w:rFonts w:ascii="Arial" w:hAnsi="Arial" w:cs="Arial"/>
                <w:b/>
                <w:sz w:val="20"/>
                <w:szCs w:val="20"/>
              </w:rPr>
              <w:t>DISRUPTIVE BEHAVIOR</w:t>
            </w:r>
          </w:p>
        </w:tc>
        <w:tc>
          <w:tcPr>
            <w:tcW w:w="875" w:type="dxa"/>
            <w:tcBorders>
              <w:bottom w:val="single" w:sz="4" w:space="0" w:color="auto"/>
            </w:tcBorders>
          </w:tcPr>
          <w:p w14:paraId="40F1FB93" w14:textId="77777777" w:rsidR="00926A98" w:rsidRPr="00926A98" w:rsidRDefault="00926A98" w:rsidP="00926A98">
            <w:pPr>
              <w:jc w:val="center"/>
              <w:rPr>
                <w:rFonts w:ascii="Arial" w:hAnsi="Arial" w:cs="Arial"/>
                <w:b/>
                <w:sz w:val="20"/>
                <w:szCs w:val="20"/>
              </w:rPr>
            </w:pPr>
          </w:p>
        </w:tc>
        <w:tc>
          <w:tcPr>
            <w:tcW w:w="635" w:type="dxa"/>
            <w:tcBorders>
              <w:bottom w:val="single" w:sz="4" w:space="0" w:color="auto"/>
            </w:tcBorders>
          </w:tcPr>
          <w:p w14:paraId="1E4D1E41" w14:textId="77777777" w:rsidR="00926A98" w:rsidRPr="00926A98" w:rsidRDefault="00926A98" w:rsidP="00926A98">
            <w:pPr>
              <w:jc w:val="center"/>
              <w:rPr>
                <w:rFonts w:ascii="Arial" w:hAnsi="Arial" w:cs="Arial"/>
                <w:b/>
                <w:sz w:val="20"/>
                <w:szCs w:val="20"/>
              </w:rPr>
            </w:pPr>
          </w:p>
        </w:tc>
        <w:tc>
          <w:tcPr>
            <w:tcW w:w="635" w:type="dxa"/>
            <w:tcBorders>
              <w:bottom w:val="single" w:sz="4" w:space="0" w:color="auto"/>
            </w:tcBorders>
          </w:tcPr>
          <w:p w14:paraId="0F8E7404" w14:textId="77777777" w:rsidR="00926A98" w:rsidRPr="00926A98" w:rsidRDefault="00926A98" w:rsidP="00374B7B">
            <w:pPr>
              <w:rPr>
                <w:rFonts w:ascii="Arial" w:hAnsi="Arial" w:cs="Arial"/>
                <w:b/>
                <w:sz w:val="20"/>
                <w:szCs w:val="20"/>
              </w:rPr>
            </w:pPr>
          </w:p>
        </w:tc>
        <w:tc>
          <w:tcPr>
            <w:tcW w:w="635" w:type="dxa"/>
            <w:tcBorders>
              <w:bottom w:val="single" w:sz="4" w:space="0" w:color="auto"/>
            </w:tcBorders>
          </w:tcPr>
          <w:p w14:paraId="67056D1B" w14:textId="77777777" w:rsidR="00926A98" w:rsidRPr="00926A98" w:rsidRDefault="00926A98" w:rsidP="00926A98">
            <w:pPr>
              <w:jc w:val="center"/>
              <w:rPr>
                <w:rFonts w:ascii="Arial" w:hAnsi="Arial" w:cs="Arial"/>
                <w:b/>
                <w:sz w:val="20"/>
                <w:szCs w:val="20"/>
              </w:rPr>
            </w:pPr>
          </w:p>
        </w:tc>
        <w:tc>
          <w:tcPr>
            <w:tcW w:w="726" w:type="dxa"/>
            <w:tcBorders>
              <w:bottom w:val="single" w:sz="4" w:space="0" w:color="auto"/>
            </w:tcBorders>
          </w:tcPr>
          <w:p w14:paraId="563792BA" w14:textId="77777777" w:rsidR="00926A98" w:rsidRPr="00926A98" w:rsidRDefault="00926A98" w:rsidP="00926A98">
            <w:pPr>
              <w:jc w:val="center"/>
              <w:rPr>
                <w:rFonts w:ascii="Arial" w:hAnsi="Arial" w:cs="Arial"/>
                <w:b/>
                <w:sz w:val="20"/>
                <w:szCs w:val="20"/>
              </w:rPr>
            </w:pPr>
          </w:p>
        </w:tc>
        <w:tc>
          <w:tcPr>
            <w:tcW w:w="838" w:type="dxa"/>
            <w:tcBorders>
              <w:bottom w:val="single" w:sz="4" w:space="0" w:color="auto"/>
            </w:tcBorders>
          </w:tcPr>
          <w:p w14:paraId="2D04D552" w14:textId="77777777" w:rsidR="00926A98" w:rsidRPr="00926A98" w:rsidRDefault="00926A98" w:rsidP="00926A98">
            <w:pPr>
              <w:jc w:val="center"/>
              <w:rPr>
                <w:rFonts w:ascii="Arial" w:hAnsi="Arial" w:cs="Arial"/>
                <w:b/>
                <w:sz w:val="20"/>
                <w:szCs w:val="20"/>
              </w:rPr>
            </w:pPr>
          </w:p>
          <w:p w14:paraId="2D7865E9" w14:textId="77777777" w:rsidR="00926A98" w:rsidRPr="00926A98" w:rsidRDefault="00926A98" w:rsidP="00926A98">
            <w:pPr>
              <w:jc w:val="center"/>
              <w:rPr>
                <w:rFonts w:ascii="Arial" w:hAnsi="Arial" w:cs="Arial"/>
                <w:b/>
                <w:sz w:val="20"/>
                <w:szCs w:val="20"/>
              </w:rPr>
            </w:pPr>
            <w:r w:rsidRPr="00926A98">
              <w:rPr>
                <w:rFonts w:ascii="Arial" w:hAnsi="Arial" w:cs="Arial"/>
                <w:b/>
                <w:sz w:val="20"/>
                <w:szCs w:val="20"/>
              </w:rPr>
              <w:t>Total</w:t>
            </w:r>
          </w:p>
        </w:tc>
      </w:tr>
      <w:tr w:rsidR="00926A98" w:rsidRPr="00926A98" w14:paraId="0C7547BF" w14:textId="77777777" w:rsidTr="00926A98">
        <w:trPr>
          <w:trHeight w:val="238"/>
        </w:trPr>
        <w:tc>
          <w:tcPr>
            <w:tcW w:w="4495" w:type="dxa"/>
            <w:tcBorders>
              <w:top w:val="single" w:sz="4" w:space="0" w:color="auto"/>
              <w:bottom w:val="single" w:sz="4" w:space="0" w:color="auto"/>
            </w:tcBorders>
          </w:tcPr>
          <w:p w14:paraId="75A027AF" w14:textId="77777777" w:rsidR="00926A98" w:rsidRPr="00926A98" w:rsidRDefault="00926A98" w:rsidP="00926A98">
            <w:pPr>
              <w:rPr>
                <w:rFonts w:ascii="Arial" w:hAnsi="Arial" w:cs="Arial"/>
                <w:sz w:val="20"/>
                <w:szCs w:val="20"/>
              </w:rPr>
            </w:pPr>
            <w:r w:rsidRPr="00926A98">
              <w:rPr>
                <w:rFonts w:ascii="Arial" w:hAnsi="Arial" w:cs="Arial"/>
                <w:sz w:val="20"/>
                <w:szCs w:val="20"/>
              </w:rPr>
              <w:t>1. Talking out of turn</w:t>
            </w:r>
          </w:p>
        </w:tc>
        <w:tc>
          <w:tcPr>
            <w:tcW w:w="875" w:type="dxa"/>
            <w:tcBorders>
              <w:top w:val="single" w:sz="4" w:space="0" w:color="auto"/>
              <w:bottom w:val="single" w:sz="4" w:space="0" w:color="auto"/>
            </w:tcBorders>
          </w:tcPr>
          <w:p w14:paraId="1C1F4FCD"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78451C3F"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0E59A69C"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20595CC1"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1F4826CA"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2E04E295" w14:textId="77777777" w:rsidR="00926A98" w:rsidRPr="00926A98" w:rsidRDefault="00926A98" w:rsidP="00926A98">
            <w:pPr>
              <w:jc w:val="center"/>
              <w:rPr>
                <w:rFonts w:ascii="Arial" w:hAnsi="Arial" w:cs="Arial"/>
                <w:sz w:val="20"/>
                <w:szCs w:val="20"/>
              </w:rPr>
            </w:pPr>
          </w:p>
        </w:tc>
      </w:tr>
      <w:tr w:rsidR="00926A98" w:rsidRPr="00926A98" w14:paraId="0C989641" w14:textId="77777777" w:rsidTr="00926A98">
        <w:trPr>
          <w:trHeight w:val="265"/>
        </w:trPr>
        <w:tc>
          <w:tcPr>
            <w:tcW w:w="4495" w:type="dxa"/>
            <w:tcBorders>
              <w:top w:val="single" w:sz="4" w:space="0" w:color="auto"/>
              <w:bottom w:val="single" w:sz="4" w:space="0" w:color="auto"/>
            </w:tcBorders>
          </w:tcPr>
          <w:p w14:paraId="7340E8EB" w14:textId="77777777" w:rsidR="00926A98" w:rsidRPr="00926A98" w:rsidRDefault="00926A98" w:rsidP="00926A98">
            <w:pPr>
              <w:rPr>
                <w:rFonts w:ascii="Arial" w:hAnsi="Arial" w:cs="Arial"/>
                <w:sz w:val="20"/>
                <w:szCs w:val="20"/>
              </w:rPr>
            </w:pPr>
            <w:r w:rsidRPr="00926A98">
              <w:rPr>
                <w:rFonts w:ascii="Arial" w:hAnsi="Arial" w:cs="Arial"/>
                <w:sz w:val="20"/>
                <w:szCs w:val="20"/>
              </w:rPr>
              <w:t>2. Gossiping w/ peers</w:t>
            </w:r>
          </w:p>
        </w:tc>
        <w:tc>
          <w:tcPr>
            <w:tcW w:w="875" w:type="dxa"/>
            <w:tcBorders>
              <w:top w:val="single" w:sz="4" w:space="0" w:color="auto"/>
              <w:bottom w:val="single" w:sz="4" w:space="0" w:color="auto"/>
            </w:tcBorders>
          </w:tcPr>
          <w:p w14:paraId="1C3472D7"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23265223"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1029CCC1"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2EA0B8E5"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66E1E62E"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03486D5F" w14:textId="77777777" w:rsidR="00926A98" w:rsidRPr="00926A98" w:rsidRDefault="00926A98" w:rsidP="00926A98">
            <w:pPr>
              <w:jc w:val="center"/>
              <w:rPr>
                <w:rFonts w:ascii="Arial" w:hAnsi="Arial" w:cs="Arial"/>
                <w:sz w:val="20"/>
                <w:szCs w:val="20"/>
              </w:rPr>
            </w:pPr>
          </w:p>
        </w:tc>
      </w:tr>
      <w:tr w:rsidR="00926A98" w:rsidRPr="00926A98" w14:paraId="310FDBF8" w14:textId="77777777" w:rsidTr="00926A98">
        <w:trPr>
          <w:trHeight w:val="265"/>
        </w:trPr>
        <w:tc>
          <w:tcPr>
            <w:tcW w:w="4495" w:type="dxa"/>
            <w:tcBorders>
              <w:top w:val="single" w:sz="4" w:space="0" w:color="auto"/>
              <w:bottom w:val="single" w:sz="4" w:space="0" w:color="auto"/>
            </w:tcBorders>
          </w:tcPr>
          <w:p w14:paraId="3B2D3229" w14:textId="77777777" w:rsidR="00926A98" w:rsidRPr="00926A98" w:rsidRDefault="00926A98" w:rsidP="00926A98">
            <w:pPr>
              <w:rPr>
                <w:rFonts w:ascii="Arial" w:hAnsi="Arial" w:cs="Arial"/>
                <w:sz w:val="20"/>
                <w:szCs w:val="20"/>
              </w:rPr>
            </w:pPr>
            <w:r w:rsidRPr="00926A98">
              <w:rPr>
                <w:rFonts w:ascii="Arial" w:hAnsi="Arial" w:cs="Arial"/>
                <w:sz w:val="20"/>
                <w:szCs w:val="20"/>
              </w:rPr>
              <w:t>3. Roaming around</w:t>
            </w:r>
          </w:p>
        </w:tc>
        <w:tc>
          <w:tcPr>
            <w:tcW w:w="875" w:type="dxa"/>
            <w:tcBorders>
              <w:top w:val="single" w:sz="4" w:space="0" w:color="auto"/>
              <w:bottom w:val="single" w:sz="4" w:space="0" w:color="auto"/>
            </w:tcBorders>
          </w:tcPr>
          <w:p w14:paraId="4FEA20B7"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63F5F3CE"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6D97122E"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57A16193"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65292FC6"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781AA3EE" w14:textId="77777777" w:rsidR="00926A98" w:rsidRPr="00926A98" w:rsidRDefault="00926A98" w:rsidP="00926A98">
            <w:pPr>
              <w:jc w:val="center"/>
              <w:rPr>
                <w:rFonts w:ascii="Arial" w:hAnsi="Arial" w:cs="Arial"/>
                <w:sz w:val="20"/>
                <w:szCs w:val="20"/>
              </w:rPr>
            </w:pPr>
          </w:p>
        </w:tc>
      </w:tr>
      <w:tr w:rsidR="00926A98" w:rsidRPr="00926A98" w14:paraId="4FC6A65A" w14:textId="77777777" w:rsidTr="00926A98">
        <w:trPr>
          <w:trHeight w:val="256"/>
        </w:trPr>
        <w:tc>
          <w:tcPr>
            <w:tcW w:w="4495" w:type="dxa"/>
            <w:tcBorders>
              <w:top w:val="single" w:sz="4" w:space="0" w:color="auto"/>
              <w:bottom w:val="single" w:sz="4" w:space="0" w:color="auto"/>
            </w:tcBorders>
          </w:tcPr>
          <w:p w14:paraId="07D8AD89" w14:textId="77777777" w:rsidR="00926A98" w:rsidRPr="00926A98" w:rsidRDefault="00926A98" w:rsidP="00926A98">
            <w:pPr>
              <w:rPr>
                <w:rFonts w:ascii="Arial" w:hAnsi="Arial" w:cs="Arial"/>
                <w:sz w:val="20"/>
                <w:szCs w:val="20"/>
              </w:rPr>
            </w:pPr>
            <w:r w:rsidRPr="00926A98">
              <w:rPr>
                <w:rFonts w:ascii="Arial" w:hAnsi="Arial" w:cs="Arial"/>
                <w:sz w:val="20"/>
                <w:szCs w:val="20"/>
              </w:rPr>
              <w:t xml:space="preserve">4. Shouting </w:t>
            </w:r>
          </w:p>
        </w:tc>
        <w:tc>
          <w:tcPr>
            <w:tcW w:w="875" w:type="dxa"/>
            <w:tcBorders>
              <w:top w:val="single" w:sz="4" w:space="0" w:color="auto"/>
              <w:bottom w:val="single" w:sz="4" w:space="0" w:color="auto"/>
            </w:tcBorders>
          </w:tcPr>
          <w:p w14:paraId="1E860E67"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17E350A6"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0699B1DF"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51496904"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084E905A"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490494A0" w14:textId="77777777" w:rsidR="00926A98" w:rsidRPr="00926A98" w:rsidRDefault="00926A98" w:rsidP="00926A98">
            <w:pPr>
              <w:jc w:val="center"/>
              <w:rPr>
                <w:rFonts w:ascii="Arial" w:hAnsi="Arial" w:cs="Arial"/>
                <w:sz w:val="20"/>
                <w:szCs w:val="20"/>
              </w:rPr>
            </w:pPr>
          </w:p>
        </w:tc>
      </w:tr>
      <w:tr w:rsidR="00926A98" w:rsidRPr="00926A98" w14:paraId="2760A8B8" w14:textId="77777777" w:rsidTr="00926A98">
        <w:trPr>
          <w:trHeight w:val="256"/>
        </w:trPr>
        <w:tc>
          <w:tcPr>
            <w:tcW w:w="4495" w:type="dxa"/>
            <w:tcBorders>
              <w:top w:val="single" w:sz="4" w:space="0" w:color="auto"/>
              <w:bottom w:val="single" w:sz="4" w:space="0" w:color="auto"/>
            </w:tcBorders>
          </w:tcPr>
          <w:p w14:paraId="000BA3D2" w14:textId="77777777" w:rsidR="00926A98" w:rsidRPr="00926A98" w:rsidRDefault="00926A98" w:rsidP="00926A98">
            <w:pPr>
              <w:rPr>
                <w:rFonts w:ascii="Arial" w:hAnsi="Arial" w:cs="Arial"/>
                <w:sz w:val="20"/>
                <w:szCs w:val="20"/>
              </w:rPr>
            </w:pPr>
            <w:r w:rsidRPr="00926A98">
              <w:rPr>
                <w:rFonts w:ascii="Arial" w:hAnsi="Arial" w:cs="Arial"/>
                <w:sz w:val="20"/>
                <w:szCs w:val="20"/>
              </w:rPr>
              <w:t xml:space="preserve">5. Standing </w:t>
            </w:r>
          </w:p>
        </w:tc>
        <w:tc>
          <w:tcPr>
            <w:tcW w:w="875" w:type="dxa"/>
            <w:tcBorders>
              <w:top w:val="single" w:sz="4" w:space="0" w:color="auto"/>
              <w:bottom w:val="single" w:sz="4" w:space="0" w:color="auto"/>
            </w:tcBorders>
          </w:tcPr>
          <w:p w14:paraId="5998525B"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439C4733"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5D644458"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6A9ED57C"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6A70D700"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05F51CDB" w14:textId="77777777" w:rsidR="00926A98" w:rsidRPr="00926A98" w:rsidRDefault="00926A98" w:rsidP="00926A98">
            <w:pPr>
              <w:jc w:val="center"/>
              <w:rPr>
                <w:rFonts w:ascii="Arial" w:hAnsi="Arial" w:cs="Arial"/>
                <w:sz w:val="20"/>
                <w:szCs w:val="20"/>
              </w:rPr>
            </w:pPr>
          </w:p>
        </w:tc>
      </w:tr>
      <w:tr w:rsidR="00926A98" w:rsidRPr="00926A98" w14:paraId="2847754D" w14:textId="77777777" w:rsidTr="00926A98">
        <w:trPr>
          <w:trHeight w:val="265"/>
        </w:trPr>
        <w:tc>
          <w:tcPr>
            <w:tcW w:w="4495" w:type="dxa"/>
            <w:tcBorders>
              <w:top w:val="single" w:sz="4" w:space="0" w:color="auto"/>
              <w:bottom w:val="single" w:sz="4" w:space="0" w:color="auto"/>
            </w:tcBorders>
          </w:tcPr>
          <w:p w14:paraId="15A24814" w14:textId="77777777" w:rsidR="00926A98" w:rsidRPr="00926A98" w:rsidRDefault="00926A98" w:rsidP="00926A98">
            <w:pPr>
              <w:rPr>
                <w:rFonts w:ascii="Arial" w:hAnsi="Arial" w:cs="Arial"/>
                <w:sz w:val="20"/>
                <w:szCs w:val="20"/>
              </w:rPr>
            </w:pPr>
            <w:r w:rsidRPr="00926A98">
              <w:rPr>
                <w:rFonts w:ascii="Arial" w:hAnsi="Arial" w:cs="Arial"/>
                <w:sz w:val="20"/>
                <w:szCs w:val="20"/>
              </w:rPr>
              <w:t xml:space="preserve">6. Going Out </w:t>
            </w:r>
          </w:p>
        </w:tc>
        <w:tc>
          <w:tcPr>
            <w:tcW w:w="875" w:type="dxa"/>
            <w:tcBorders>
              <w:top w:val="single" w:sz="4" w:space="0" w:color="auto"/>
              <w:bottom w:val="single" w:sz="4" w:space="0" w:color="auto"/>
            </w:tcBorders>
          </w:tcPr>
          <w:p w14:paraId="0DB3F246"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4B621416"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0CA973BA"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5BC950FA"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55347FAE"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5A130F86" w14:textId="77777777" w:rsidR="00926A98" w:rsidRPr="00926A98" w:rsidRDefault="00926A98" w:rsidP="00926A98">
            <w:pPr>
              <w:jc w:val="center"/>
              <w:rPr>
                <w:rFonts w:ascii="Arial" w:hAnsi="Arial" w:cs="Arial"/>
                <w:sz w:val="20"/>
                <w:szCs w:val="20"/>
              </w:rPr>
            </w:pPr>
          </w:p>
        </w:tc>
      </w:tr>
      <w:tr w:rsidR="00926A98" w:rsidRPr="00926A98" w14:paraId="2D9A6888" w14:textId="77777777" w:rsidTr="00926A98">
        <w:trPr>
          <w:trHeight w:val="274"/>
        </w:trPr>
        <w:tc>
          <w:tcPr>
            <w:tcW w:w="4495" w:type="dxa"/>
            <w:tcBorders>
              <w:top w:val="single" w:sz="4" w:space="0" w:color="auto"/>
              <w:bottom w:val="single" w:sz="4" w:space="0" w:color="auto"/>
            </w:tcBorders>
          </w:tcPr>
          <w:p w14:paraId="3CB7826F" w14:textId="77777777" w:rsidR="00926A98" w:rsidRPr="00926A98" w:rsidRDefault="00926A98" w:rsidP="00926A98">
            <w:pPr>
              <w:rPr>
                <w:rFonts w:ascii="Arial" w:hAnsi="Arial" w:cs="Arial"/>
                <w:sz w:val="20"/>
                <w:szCs w:val="20"/>
              </w:rPr>
            </w:pPr>
            <w:r w:rsidRPr="00926A98">
              <w:rPr>
                <w:rFonts w:ascii="Arial" w:hAnsi="Arial" w:cs="Arial"/>
                <w:sz w:val="20"/>
                <w:szCs w:val="20"/>
              </w:rPr>
              <w:t>7. Playing</w:t>
            </w:r>
          </w:p>
        </w:tc>
        <w:tc>
          <w:tcPr>
            <w:tcW w:w="875" w:type="dxa"/>
            <w:tcBorders>
              <w:top w:val="single" w:sz="4" w:space="0" w:color="auto"/>
              <w:bottom w:val="single" w:sz="4" w:space="0" w:color="auto"/>
            </w:tcBorders>
          </w:tcPr>
          <w:p w14:paraId="6713C0BA"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7BD588B1"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49E9E86F"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2D86C729"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26934BC2"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7BCE1F79" w14:textId="77777777" w:rsidR="00926A98" w:rsidRPr="00926A98" w:rsidRDefault="00926A98" w:rsidP="00926A98">
            <w:pPr>
              <w:jc w:val="center"/>
              <w:rPr>
                <w:rFonts w:ascii="Arial" w:hAnsi="Arial" w:cs="Arial"/>
                <w:sz w:val="20"/>
                <w:szCs w:val="20"/>
              </w:rPr>
            </w:pPr>
          </w:p>
        </w:tc>
      </w:tr>
    </w:tbl>
    <w:p w14:paraId="582175B8" w14:textId="77777777" w:rsidR="00926A98" w:rsidRDefault="00926A98" w:rsidP="00926A98">
      <w:pPr>
        <w:pStyle w:val="NormalWeb"/>
        <w:spacing w:before="0" w:beforeAutospacing="0" w:after="0" w:afterAutospacing="0" w:line="20" w:lineRule="atLeast"/>
        <w:jc w:val="center"/>
        <w:rPr>
          <w:rFonts w:ascii="Arial" w:eastAsia="Calibri" w:hAnsi="Arial" w:cs="Arial"/>
          <w:b/>
        </w:rPr>
      </w:pPr>
    </w:p>
    <w:p w14:paraId="6263546E" w14:textId="77777777" w:rsidR="00E05BC6" w:rsidRDefault="00E05BC6" w:rsidP="00926A98">
      <w:pPr>
        <w:pStyle w:val="NormalWeb"/>
        <w:spacing w:before="0" w:beforeAutospacing="0" w:after="0" w:afterAutospacing="0" w:line="20" w:lineRule="atLeast"/>
        <w:jc w:val="center"/>
        <w:rPr>
          <w:rFonts w:ascii="Arial" w:eastAsia="Calibri" w:hAnsi="Arial" w:cs="Arial"/>
          <w:b/>
        </w:rPr>
      </w:pPr>
    </w:p>
    <w:p w14:paraId="04D25314" w14:textId="3293030E" w:rsidR="00E05BC6" w:rsidRDefault="00E05BC6" w:rsidP="00304ADD">
      <w:pPr>
        <w:pStyle w:val="NormalWeb"/>
        <w:spacing w:before="0" w:beforeAutospacing="0" w:after="0" w:afterAutospacing="0" w:line="20" w:lineRule="atLeast"/>
        <w:rPr>
          <w:rFonts w:ascii="Arial" w:eastAsia="Calibri" w:hAnsi="Arial" w:cs="Arial"/>
          <w:b/>
        </w:rPr>
      </w:pPr>
    </w:p>
    <w:sectPr w:rsidR="00E05BC6" w:rsidSect="00C93434">
      <w:headerReference w:type="even" r:id="rId73"/>
      <w:headerReference w:type="default" r:id="rId74"/>
      <w:footerReference w:type="default" r:id="rId75"/>
      <w:headerReference w:type="first" r:id="rId7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58503" w14:textId="77777777" w:rsidR="005C7F98" w:rsidRDefault="005C7F98" w:rsidP="00C37E61">
      <w:r>
        <w:separator/>
      </w:r>
    </w:p>
  </w:endnote>
  <w:endnote w:type="continuationSeparator" w:id="0">
    <w:p w14:paraId="50FA5270" w14:textId="77777777" w:rsidR="005C7F98" w:rsidRDefault="005C7F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3C5F5" w14:textId="77777777" w:rsidR="00BD43FE" w:rsidRDefault="00BD4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4D1DE" w14:textId="77777777" w:rsidR="00BD43FE" w:rsidRDefault="00BD4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B6E8" w14:textId="77777777" w:rsidR="00BD43FE" w:rsidRDefault="00BD43FE">
    <w:pPr>
      <w:pStyle w:val="Footer"/>
      <w:rPr>
        <w:rFonts w:ascii="Arial" w:hAnsi="Arial" w:cs="Arial"/>
        <w:sz w:val="16"/>
      </w:rPr>
    </w:pPr>
  </w:p>
  <w:p w14:paraId="2F6AC304" w14:textId="77777777" w:rsidR="00BD43FE" w:rsidRDefault="00BD43F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DC83709" w14:textId="77777777" w:rsidR="00BD43FE" w:rsidRDefault="00BD43FE">
    <w:pPr>
      <w:pStyle w:val="Footer"/>
      <w:rPr>
        <w:rFonts w:ascii="Arial" w:hAnsi="Arial" w:cs="Arial"/>
        <w:sz w:val="16"/>
      </w:rPr>
    </w:pPr>
  </w:p>
  <w:p w14:paraId="74F43227" w14:textId="77777777" w:rsidR="00BD43FE" w:rsidRPr="009E048A" w:rsidRDefault="00BD43F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C2F5" w14:textId="77777777" w:rsidR="00BD43FE" w:rsidRPr="00C37E61" w:rsidRDefault="00BD43F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EF250" w14:textId="77777777" w:rsidR="005C7F98" w:rsidRDefault="005C7F98" w:rsidP="00C37E61">
      <w:r>
        <w:separator/>
      </w:r>
    </w:p>
  </w:footnote>
  <w:footnote w:type="continuationSeparator" w:id="0">
    <w:p w14:paraId="40EAD02E" w14:textId="77777777" w:rsidR="005C7F98" w:rsidRDefault="005C7F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0FC6" w14:textId="1DE350AD" w:rsidR="00BD43FE" w:rsidRDefault="005C7F98">
    <w:pPr>
      <w:pStyle w:val="Header"/>
    </w:pPr>
    <w:r>
      <w:rPr>
        <w:noProof/>
      </w:rPr>
      <w:pict w14:anchorId="2BF2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80E2" w14:textId="26FE0E50" w:rsidR="00BD43FE" w:rsidRDefault="005C7F98">
    <w:pPr>
      <w:pStyle w:val="Header"/>
    </w:pPr>
    <w:r>
      <w:rPr>
        <w:noProof/>
      </w:rPr>
      <w:pict w14:anchorId="32A96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3F9A" w14:textId="2071CCC9" w:rsidR="00BD43FE" w:rsidRPr="00296529" w:rsidRDefault="005C7F98" w:rsidP="00296529">
    <w:pPr>
      <w:ind w:left="2160"/>
      <w:jc w:val="center"/>
      <w:rPr>
        <w:rFonts w:ascii="Times New Roman" w:eastAsia="Calibri" w:hAnsi="Times New Roman"/>
        <w:i/>
        <w:sz w:val="18"/>
        <w:szCs w:val="22"/>
      </w:rPr>
    </w:pPr>
    <w:r>
      <w:rPr>
        <w:noProof/>
      </w:rPr>
      <w:pict w14:anchorId="49822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ADC312" w14:textId="77777777" w:rsidR="00BD43FE" w:rsidRPr="00296529" w:rsidRDefault="00BD43F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21785B" w14:textId="77777777" w:rsidR="00BD43FE" w:rsidRPr="00296529" w:rsidRDefault="00BD43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132DB2" w14:textId="77777777" w:rsidR="00BD43FE" w:rsidRPr="00296529" w:rsidRDefault="00BD43F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CD0291" w14:textId="77777777" w:rsidR="00BD43FE" w:rsidRDefault="00BD43F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E86D16" w14:textId="77777777" w:rsidR="00BD43FE" w:rsidRDefault="00BD43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AADBADD" w14:textId="77777777" w:rsidR="00BD43FE" w:rsidRDefault="00BD43F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ED995" w14:textId="48B76DD2" w:rsidR="00BD43FE" w:rsidRDefault="005C7F98">
    <w:pPr>
      <w:pStyle w:val="Header"/>
    </w:pPr>
    <w:r>
      <w:rPr>
        <w:noProof/>
      </w:rPr>
      <w:pict w14:anchorId="0C62E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77AA" w14:textId="14C4E32F" w:rsidR="00BD43FE" w:rsidRDefault="005C7F98">
    <w:pPr>
      <w:pStyle w:val="Header"/>
    </w:pPr>
    <w:r>
      <w:rPr>
        <w:noProof/>
      </w:rPr>
      <w:pict w14:anchorId="6D70A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FD272" w14:textId="49F08B7E" w:rsidR="00BD43FE" w:rsidRDefault="005C7F98">
    <w:pPr>
      <w:pStyle w:val="Header"/>
    </w:pPr>
    <w:r>
      <w:rPr>
        <w:noProof/>
      </w:rPr>
      <w:pict w14:anchorId="66118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CDF88"/>
    <w:multiLevelType w:val="singleLevel"/>
    <w:tmpl w:val="94DCDF88"/>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870CBB"/>
    <w:multiLevelType w:val="hybridMultilevel"/>
    <w:tmpl w:val="2D267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E677C5"/>
    <w:multiLevelType w:val="multilevel"/>
    <w:tmpl w:val="0CE677C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732CDE"/>
    <w:multiLevelType w:val="hybridMultilevel"/>
    <w:tmpl w:val="182CB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B50234"/>
    <w:multiLevelType w:val="hybridMultilevel"/>
    <w:tmpl w:val="68F4E756"/>
    <w:lvl w:ilvl="0" w:tplc="4A120196">
      <w:start w:val="1"/>
      <w:numFmt w:val="decimal"/>
      <w:lvlText w:val="%1."/>
      <w:lvlJc w:val="left"/>
      <w:pPr>
        <w:ind w:left="360" w:hanging="360"/>
      </w:pPr>
    </w:lvl>
    <w:lvl w:ilvl="1" w:tplc="4368477E" w:tentative="1">
      <w:start w:val="1"/>
      <w:numFmt w:val="lowerLetter"/>
      <w:lvlText w:val="%2."/>
      <w:lvlJc w:val="left"/>
      <w:pPr>
        <w:ind w:left="1080" w:hanging="360"/>
      </w:pPr>
    </w:lvl>
    <w:lvl w:ilvl="2" w:tplc="1D107820" w:tentative="1">
      <w:start w:val="1"/>
      <w:numFmt w:val="lowerRoman"/>
      <w:lvlText w:val="%3."/>
      <w:lvlJc w:val="right"/>
      <w:pPr>
        <w:ind w:left="1800" w:hanging="180"/>
      </w:pPr>
    </w:lvl>
    <w:lvl w:ilvl="3" w:tplc="F6F497F8" w:tentative="1">
      <w:start w:val="1"/>
      <w:numFmt w:val="decimal"/>
      <w:lvlText w:val="%4."/>
      <w:lvlJc w:val="left"/>
      <w:pPr>
        <w:ind w:left="2520" w:hanging="360"/>
      </w:pPr>
    </w:lvl>
    <w:lvl w:ilvl="4" w:tplc="6D84EF58" w:tentative="1">
      <w:start w:val="1"/>
      <w:numFmt w:val="lowerLetter"/>
      <w:lvlText w:val="%5."/>
      <w:lvlJc w:val="left"/>
      <w:pPr>
        <w:ind w:left="3240" w:hanging="360"/>
      </w:pPr>
    </w:lvl>
    <w:lvl w:ilvl="5" w:tplc="8516FDA4" w:tentative="1">
      <w:start w:val="1"/>
      <w:numFmt w:val="lowerRoman"/>
      <w:lvlText w:val="%6."/>
      <w:lvlJc w:val="right"/>
      <w:pPr>
        <w:ind w:left="3960" w:hanging="180"/>
      </w:pPr>
    </w:lvl>
    <w:lvl w:ilvl="6" w:tplc="49EC7420" w:tentative="1">
      <w:start w:val="1"/>
      <w:numFmt w:val="decimal"/>
      <w:lvlText w:val="%7."/>
      <w:lvlJc w:val="left"/>
      <w:pPr>
        <w:ind w:left="4680" w:hanging="360"/>
      </w:pPr>
    </w:lvl>
    <w:lvl w:ilvl="7" w:tplc="906C2524" w:tentative="1">
      <w:start w:val="1"/>
      <w:numFmt w:val="lowerLetter"/>
      <w:lvlText w:val="%8."/>
      <w:lvlJc w:val="left"/>
      <w:pPr>
        <w:ind w:left="5400" w:hanging="360"/>
      </w:pPr>
    </w:lvl>
    <w:lvl w:ilvl="8" w:tplc="238E6418" w:tentative="1">
      <w:start w:val="1"/>
      <w:numFmt w:val="lowerRoman"/>
      <w:lvlText w:val="%9."/>
      <w:lvlJc w:val="right"/>
      <w:pPr>
        <w:ind w:left="6120" w:hanging="180"/>
      </w:pPr>
    </w:lvl>
  </w:abstractNum>
  <w:abstractNum w:abstractNumId="12" w15:restartNumberingAfterBreak="0">
    <w:nsid w:val="1899A43C"/>
    <w:multiLevelType w:val="multilevel"/>
    <w:tmpl w:val="1899A43C"/>
    <w:lvl w:ilvl="0">
      <w:start w:val="1"/>
      <w:numFmt w:val="decimal"/>
      <w:lvlText w:val="%1."/>
      <w:lvlJc w:val="left"/>
      <w:pPr>
        <w:tabs>
          <w:tab w:val="left" w:pos="425"/>
        </w:tabs>
        <w:ind w:left="425" w:hanging="325"/>
      </w:pPr>
      <w:rPr>
        <w:rFonts w:eastAsia="Arial" w:hint="default"/>
      </w:rPr>
    </w:lvl>
    <w:lvl w:ilvl="1">
      <w:start w:val="1"/>
      <w:numFmt w:val="lowerLetter"/>
      <w:lvlText w:val="%2."/>
      <w:lvlJc w:val="left"/>
      <w:pPr>
        <w:tabs>
          <w:tab w:val="left" w:pos="425"/>
        </w:tabs>
        <w:ind w:left="425" w:firstLine="395"/>
      </w:pPr>
      <w:rPr>
        <w:rFonts w:hint="default"/>
      </w:rPr>
    </w:lvl>
    <w:lvl w:ilvl="2">
      <w:start w:val="1"/>
      <w:numFmt w:val="lowerRoman"/>
      <w:lvlText w:val="%3."/>
      <w:lvlJc w:val="right"/>
      <w:pPr>
        <w:tabs>
          <w:tab w:val="left" w:pos="425"/>
        </w:tabs>
        <w:ind w:left="425" w:firstLine="1295"/>
      </w:pPr>
      <w:rPr>
        <w:rFonts w:hint="default"/>
      </w:rPr>
    </w:lvl>
    <w:lvl w:ilvl="3">
      <w:start w:val="1"/>
      <w:numFmt w:val="decimal"/>
      <w:lvlText w:val="%4."/>
      <w:lvlJc w:val="left"/>
      <w:pPr>
        <w:tabs>
          <w:tab w:val="left" w:pos="425"/>
        </w:tabs>
        <w:ind w:left="425" w:firstLine="1835"/>
      </w:pPr>
      <w:rPr>
        <w:rFonts w:hint="default"/>
      </w:rPr>
    </w:lvl>
    <w:lvl w:ilvl="4">
      <w:start w:val="1"/>
      <w:numFmt w:val="lowerLetter"/>
      <w:lvlText w:val="%5."/>
      <w:lvlJc w:val="left"/>
      <w:pPr>
        <w:tabs>
          <w:tab w:val="left" w:pos="425"/>
        </w:tabs>
        <w:ind w:left="425" w:firstLine="2555"/>
      </w:pPr>
      <w:rPr>
        <w:rFonts w:hint="default"/>
      </w:rPr>
    </w:lvl>
    <w:lvl w:ilvl="5">
      <w:start w:val="1"/>
      <w:numFmt w:val="lowerRoman"/>
      <w:lvlText w:val="%6."/>
      <w:lvlJc w:val="right"/>
      <w:pPr>
        <w:tabs>
          <w:tab w:val="left" w:pos="425"/>
        </w:tabs>
        <w:ind w:left="425" w:firstLine="3455"/>
      </w:pPr>
      <w:rPr>
        <w:rFonts w:hint="default"/>
      </w:rPr>
    </w:lvl>
    <w:lvl w:ilvl="6">
      <w:start w:val="1"/>
      <w:numFmt w:val="decimal"/>
      <w:lvlText w:val="%7."/>
      <w:lvlJc w:val="left"/>
      <w:pPr>
        <w:tabs>
          <w:tab w:val="left" w:pos="425"/>
        </w:tabs>
        <w:ind w:left="425" w:firstLine="3995"/>
      </w:pPr>
      <w:rPr>
        <w:rFonts w:hint="default"/>
      </w:rPr>
    </w:lvl>
    <w:lvl w:ilvl="7">
      <w:start w:val="1"/>
      <w:numFmt w:val="lowerLetter"/>
      <w:lvlText w:val="%8."/>
      <w:lvlJc w:val="left"/>
      <w:pPr>
        <w:tabs>
          <w:tab w:val="left" w:pos="425"/>
        </w:tabs>
        <w:ind w:left="425" w:firstLine="4715"/>
      </w:pPr>
      <w:rPr>
        <w:rFonts w:hint="default"/>
      </w:rPr>
    </w:lvl>
    <w:lvl w:ilvl="8">
      <w:start w:val="1"/>
      <w:numFmt w:val="lowerRoman"/>
      <w:lvlText w:val="%9."/>
      <w:lvlJc w:val="right"/>
      <w:pPr>
        <w:tabs>
          <w:tab w:val="left" w:pos="425"/>
        </w:tabs>
        <w:ind w:left="425" w:firstLine="5615"/>
      </w:pPr>
      <w:rPr>
        <w:rFonts w:hint="default"/>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C0B4F11"/>
    <w:multiLevelType w:val="hybridMultilevel"/>
    <w:tmpl w:val="019AA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617DC3"/>
    <w:multiLevelType w:val="multilevel"/>
    <w:tmpl w:val="017C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4A46723"/>
    <w:multiLevelType w:val="singleLevel"/>
    <w:tmpl w:val="34A46723"/>
    <w:lvl w:ilvl="0">
      <w:start w:val="9"/>
      <w:numFmt w:val="decimal"/>
      <w:suff w:val="space"/>
      <w:lvlText w:val="%1."/>
      <w:lvlJc w:val="left"/>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11268B"/>
    <w:multiLevelType w:val="multilevel"/>
    <w:tmpl w:val="A168B3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26B86"/>
    <w:multiLevelType w:val="multilevel"/>
    <w:tmpl w:val="6064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415FD"/>
    <w:multiLevelType w:val="multilevel"/>
    <w:tmpl w:val="5BD415FD"/>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E53A47"/>
    <w:multiLevelType w:val="multilevel"/>
    <w:tmpl w:val="C734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F8230B"/>
    <w:multiLevelType w:val="multilevel"/>
    <w:tmpl w:val="32A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796233"/>
    <w:multiLevelType w:val="multilevel"/>
    <w:tmpl w:val="6B796233"/>
    <w:lvl w:ilvl="0">
      <w:start w:val="1"/>
      <w:numFmt w:val="decimal"/>
      <w:lvlText w:val="%1."/>
      <w:lvlJc w:val="left"/>
      <w:pPr>
        <w:ind w:left="460" w:hanging="360"/>
      </w:pPr>
      <w:rPr>
        <w:rFonts w:eastAsia="Arial"/>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4" w15:restartNumberingAfterBreak="0">
    <w:nsid w:val="6D337D41"/>
    <w:multiLevelType w:val="hybridMultilevel"/>
    <w:tmpl w:val="D9D8D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83B4F57"/>
    <w:multiLevelType w:val="multilevel"/>
    <w:tmpl w:val="1899A43C"/>
    <w:lvl w:ilvl="0">
      <w:start w:val="1"/>
      <w:numFmt w:val="decimal"/>
      <w:lvlText w:val="%1."/>
      <w:lvlJc w:val="left"/>
      <w:pPr>
        <w:tabs>
          <w:tab w:val="left" w:pos="425"/>
        </w:tabs>
        <w:ind w:left="425" w:hanging="325"/>
      </w:pPr>
      <w:rPr>
        <w:rFonts w:eastAsia="Arial" w:hint="default"/>
      </w:rPr>
    </w:lvl>
    <w:lvl w:ilvl="1">
      <w:start w:val="1"/>
      <w:numFmt w:val="lowerLetter"/>
      <w:lvlText w:val="%2."/>
      <w:lvlJc w:val="left"/>
      <w:pPr>
        <w:tabs>
          <w:tab w:val="left" w:pos="425"/>
        </w:tabs>
        <w:ind w:left="425" w:firstLine="395"/>
      </w:pPr>
      <w:rPr>
        <w:rFonts w:hint="default"/>
      </w:rPr>
    </w:lvl>
    <w:lvl w:ilvl="2">
      <w:start w:val="1"/>
      <w:numFmt w:val="lowerRoman"/>
      <w:lvlText w:val="%3."/>
      <w:lvlJc w:val="right"/>
      <w:pPr>
        <w:tabs>
          <w:tab w:val="left" w:pos="425"/>
        </w:tabs>
        <w:ind w:left="425" w:firstLine="1295"/>
      </w:pPr>
      <w:rPr>
        <w:rFonts w:hint="default"/>
      </w:rPr>
    </w:lvl>
    <w:lvl w:ilvl="3">
      <w:start w:val="1"/>
      <w:numFmt w:val="decimal"/>
      <w:lvlText w:val="%4."/>
      <w:lvlJc w:val="left"/>
      <w:pPr>
        <w:tabs>
          <w:tab w:val="left" w:pos="425"/>
        </w:tabs>
        <w:ind w:left="425" w:firstLine="1835"/>
      </w:pPr>
      <w:rPr>
        <w:rFonts w:hint="default"/>
      </w:rPr>
    </w:lvl>
    <w:lvl w:ilvl="4">
      <w:start w:val="1"/>
      <w:numFmt w:val="lowerLetter"/>
      <w:lvlText w:val="%5."/>
      <w:lvlJc w:val="left"/>
      <w:pPr>
        <w:tabs>
          <w:tab w:val="left" w:pos="425"/>
        </w:tabs>
        <w:ind w:left="425" w:firstLine="2555"/>
      </w:pPr>
      <w:rPr>
        <w:rFonts w:hint="default"/>
      </w:rPr>
    </w:lvl>
    <w:lvl w:ilvl="5">
      <w:start w:val="1"/>
      <w:numFmt w:val="lowerRoman"/>
      <w:lvlText w:val="%6."/>
      <w:lvlJc w:val="right"/>
      <w:pPr>
        <w:tabs>
          <w:tab w:val="left" w:pos="425"/>
        </w:tabs>
        <w:ind w:left="425" w:firstLine="3455"/>
      </w:pPr>
      <w:rPr>
        <w:rFonts w:hint="default"/>
      </w:rPr>
    </w:lvl>
    <w:lvl w:ilvl="6">
      <w:start w:val="1"/>
      <w:numFmt w:val="decimal"/>
      <w:lvlText w:val="%7."/>
      <w:lvlJc w:val="left"/>
      <w:pPr>
        <w:tabs>
          <w:tab w:val="left" w:pos="425"/>
        </w:tabs>
        <w:ind w:left="425" w:firstLine="3995"/>
      </w:pPr>
      <w:rPr>
        <w:rFonts w:hint="default"/>
      </w:rPr>
    </w:lvl>
    <w:lvl w:ilvl="7">
      <w:start w:val="1"/>
      <w:numFmt w:val="lowerLetter"/>
      <w:lvlText w:val="%8."/>
      <w:lvlJc w:val="left"/>
      <w:pPr>
        <w:tabs>
          <w:tab w:val="left" w:pos="425"/>
        </w:tabs>
        <w:ind w:left="425" w:firstLine="4715"/>
      </w:pPr>
      <w:rPr>
        <w:rFonts w:hint="default"/>
      </w:rPr>
    </w:lvl>
    <w:lvl w:ilvl="8">
      <w:start w:val="1"/>
      <w:numFmt w:val="lowerRoman"/>
      <w:lvlText w:val="%9."/>
      <w:lvlJc w:val="right"/>
      <w:pPr>
        <w:tabs>
          <w:tab w:val="left" w:pos="425"/>
        </w:tabs>
        <w:ind w:left="425" w:firstLine="5615"/>
      </w:pPr>
      <w:rPr>
        <w:rFonts w:hint="default"/>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9"/>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3"/>
  </w:num>
  <w:num w:numId="6">
    <w:abstractNumId w:val="9"/>
  </w:num>
  <w:num w:numId="7">
    <w:abstractNumId w:val="2"/>
  </w:num>
  <w:num w:numId="8">
    <w:abstractNumId w:val="19"/>
  </w:num>
  <w:num w:numId="9">
    <w:abstractNumId w:val="41"/>
  </w:num>
  <w:num w:numId="10">
    <w:abstractNumId w:val="3"/>
  </w:num>
  <w:num w:numId="11">
    <w:abstractNumId w:val="30"/>
  </w:num>
  <w:num w:numId="12">
    <w:abstractNumId w:val="5"/>
  </w:num>
  <w:num w:numId="13">
    <w:abstractNumId w:val="29"/>
  </w:num>
  <w:num w:numId="14">
    <w:abstractNumId w:val="14"/>
  </w:num>
  <w:num w:numId="15">
    <w:abstractNumId w:val="37"/>
  </w:num>
  <w:num w:numId="16">
    <w:abstractNumId w:val="7"/>
  </w:num>
  <w:num w:numId="17">
    <w:abstractNumId w:val="38"/>
  </w:num>
  <w:num w:numId="18">
    <w:abstractNumId w:val="22"/>
  </w:num>
  <w:num w:numId="19">
    <w:abstractNumId w:val="45"/>
  </w:num>
  <w:num w:numId="20">
    <w:abstractNumId w:val="17"/>
  </w:num>
  <w:num w:numId="21">
    <w:abstractNumId w:val="15"/>
  </w:num>
  <w:num w:numId="22">
    <w:abstractNumId w:val="21"/>
  </w:num>
  <w:num w:numId="23">
    <w:abstractNumId w:val="35"/>
  </w:num>
  <w:num w:numId="24">
    <w:abstractNumId w:val="43"/>
  </w:num>
  <w:num w:numId="25">
    <w:abstractNumId w:val="6"/>
  </w:num>
  <w:num w:numId="26">
    <w:abstractNumId w:val="26"/>
  </w:num>
  <w:num w:numId="27">
    <w:abstractNumId w:val="36"/>
  </w:num>
  <w:num w:numId="28">
    <w:abstractNumId w:val="44"/>
  </w:num>
  <w:num w:numId="29">
    <w:abstractNumId w:val="40"/>
  </w:num>
  <w:num w:numId="30">
    <w:abstractNumId w:val="16"/>
  </w:num>
  <w:num w:numId="31">
    <w:abstractNumId w:val="28"/>
  </w:num>
  <w:num w:numId="32">
    <w:abstractNumId w:val="11"/>
  </w:num>
  <w:num w:numId="33">
    <w:abstractNumId w:val="8"/>
  </w:num>
  <w:num w:numId="34">
    <w:abstractNumId w:val="33"/>
  </w:num>
  <w:num w:numId="35">
    <w:abstractNumId w:val="18"/>
  </w:num>
  <w:num w:numId="36">
    <w:abstractNumId w:val="0"/>
  </w:num>
  <w:num w:numId="37">
    <w:abstractNumId w:val="12"/>
  </w:num>
  <w:num w:numId="38">
    <w:abstractNumId w:val="23"/>
  </w:num>
  <w:num w:numId="39">
    <w:abstractNumId w:val="42"/>
  </w:num>
  <w:num w:numId="40">
    <w:abstractNumId w:val="10"/>
  </w:num>
  <w:num w:numId="41">
    <w:abstractNumId w:val="34"/>
  </w:num>
  <w:num w:numId="42">
    <w:abstractNumId w:val="4"/>
  </w:num>
  <w:num w:numId="43">
    <w:abstractNumId w:val="20"/>
  </w:num>
  <w:num w:numId="44">
    <w:abstractNumId w:val="27"/>
  </w:num>
  <w:num w:numId="45">
    <w:abstractNumId w:val="32"/>
  </w:num>
  <w:num w:numId="46">
    <w:abstractNumId w:val="2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065"/>
    <w:rsid w:val="0004579C"/>
    <w:rsid w:val="000610A9"/>
    <w:rsid w:val="0008588E"/>
    <w:rsid w:val="000A47FA"/>
    <w:rsid w:val="000A65D3"/>
    <w:rsid w:val="000B1E33"/>
    <w:rsid w:val="000B36FD"/>
    <w:rsid w:val="000B37BF"/>
    <w:rsid w:val="000D689F"/>
    <w:rsid w:val="000E7B7B"/>
    <w:rsid w:val="000E7D62"/>
    <w:rsid w:val="000F3EB0"/>
    <w:rsid w:val="000F7542"/>
    <w:rsid w:val="0010136C"/>
    <w:rsid w:val="001014A0"/>
    <w:rsid w:val="00103357"/>
    <w:rsid w:val="00120D8F"/>
    <w:rsid w:val="00123C9F"/>
    <w:rsid w:val="00126190"/>
    <w:rsid w:val="00130F17"/>
    <w:rsid w:val="001320BF"/>
    <w:rsid w:val="00162C8A"/>
    <w:rsid w:val="00163BC4"/>
    <w:rsid w:val="00191062"/>
    <w:rsid w:val="00192B72"/>
    <w:rsid w:val="001A29D8"/>
    <w:rsid w:val="001A5CAA"/>
    <w:rsid w:val="001B0427"/>
    <w:rsid w:val="001B481F"/>
    <w:rsid w:val="001D3A51"/>
    <w:rsid w:val="001D6529"/>
    <w:rsid w:val="001E10D2"/>
    <w:rsid w:val="001E25B4"/>
    <w:rsid w:val="001E44FE"/>
    <w:rsid w:val="001F7E0D"/>
    <w:rsid w:val="00200595"/>
    <w:rsid w:val="00204835"/>
    <w:rsid w:val="0022370F"/>
    <w:rsid w:val="00231920"/>
    <w:rsid w:val="0023195C"/>
    <w:rsid w:val="0024282C"/>
    <w:rsid w:val="00243752"/>
    <w:rsid w:val="002460DC"/>
    <w:rsid w:val="00250985"/>
    <w:rsid w:val="002556F6"/>
    <w:rsid w:val="00283105"/>
    <w:rsid w:val="00284C4C"/>
    <w:rsid w:val="00287E68"/>
    <w:rsid w:val="00296529"/>
    <w:rsid w:val="002A0EA7"/>
    <w:rsid w:val="002B22CC"/>
    <w:rsid w:val="002B27FB"/>
    <w:rsid w:val="002B685A"/>
    <w:rsid w:val="002C57D2"/>
    <w:rsid w:val="002E0D56"/>
    <w:rsid w:val="002E48CE"/>
    <w:rsid w:val="002F5122"/>
    <w:rsid w:val="00304ADD"/>
    <w:rsid w:val="00315186"/>
    <w:rsid w:val="00331A93"/>
    <w:rsid w:val="0033343E"/>
    <w:rsid w:val="00347E87"/>
    <w:rsid w:val="003512C2"/>
    <w:rsid w:val="00360632"/>
    <w:rsid w:val="00371F75"/>
    <w:rsid w:val="00371FB6"/>
    <w:rsid w:val="00372397"/>
    <w:rsid w:val="00374B7B"/>
    <w:rsid w:val="003763C1"/>
    <w:rsid w:val="00376864"/>
    <w:rsid w:val="00376BBE"/>
    <w:rsid w:val="0038112F"/>
    <w:rsid w:val="0039224F"/>
    <w:rsid w:val="003A43A4"/>
    <w:rsid w:val="003A7E18"/>
    <w:rsid w:val="003B1485"/>
    <w:rsid w:val="003B7444"/>
    <w:rsid w:val="003C4C86"/>
    <w:rsid w:val="003C6258"/>
    <w:rsid w:val="003C6A24"/>
    <w:rsid w:val="003E227B"/>
    <w:rsid w:val="003E2904"/>
    <w:rsid w:val="003F0073"/>
    <w:rsid w:val="003F053C"/>
    <w:rsid w:val="00401927"/>
    <w:rsid w:val="0041027F"/>
    <w:rsid w:val="00412475"/>
    <w:rsid w:val="00423789"/>
    <w:rsid w:val="004403B7"/>
    <w:rsid w:val="00440F43"/>
    <w:rsid w:val="00441B6F"/>
    <w:rsid w:val="00446221"/>
    <w:rsid w:val="00450E62"/>
    <w:rsid w:val="00451265"/>
    <w:rsid w:val="004539DB"/>
    <w:rsid w:val="00454421"/>
    <w:rsid w:val="00471A80"/>
    <w:rsid w:val="00496B4E"/>
    <w:rsid w:val="004B4286"/>
    <w:rsid w:val="004C15AF"/>
    <w:rsid w:val="004D2DFB"/>
    <w:rsid w:val="004D305E"/>
    <w:rsid w:val="004D4277"/>
    <w:rsid w:val="00502516"/>
    <w:rsid w:val="00505F06"/>
    <w:rsid w:val="00506828"/>
    <w:rsid w:val="00513DD1"/>
    <w:rsid w:val="0053056E"/>
    <w:rsid w:val="00532434"/>
    <w:rsid w:val="00552E8C"/>
    <w:rsid w:val="00554FDA"/>
    <w:rsid w:val="00571802"/>
    <w:rsid w:val="00576057"/>
    <w:rsid w:val="00583D4E"/>
    <w:rsid w:val="00586A24"/>
    <w:rsid w:val="00592D32"/>
    <w:rsid w:val="00597F1E"/>
    <w:rsid w:val="005A1604"/>
    <w:rsid w:val="005C5635"/>
    <w:rsid w:val="005C67F0"/>
    <w:rsid w:val="005C784C"/>
    <w:rsid w:val="005C7F98"/>
    <w:rsid w:val="005D17F6"/>
    <w:rsid w:val="005E5539"/>
    <w:rsid w:val="00602BF5"/>
    <w:rsid w:val="0060380C"/>
    <w:rsid w:val="00611E8D"/>
    <w:rsid w:val="00617FDD"/>
    <w:rsid w:val="0063087D"/>
    <w:rsid w:val="00633614"/>
    <w:rsid w:val="00633F68"/>
    <w:rsid w:val="00636EB2"/>
    <w:rsid w:val="006375B8"/>
    <w:rsid w:val="00642481"/>
    <w:rsid w:val="0066510A"/>
    <w:rsid w:val="00673F9F"/>
    <w:rsid w:val="00675D0F"/>
    <w:rsid w:val="00677C01"/>
    <w:rsid w:val="00686953"/>
    <w:rsid w:val="00687DEA"/>
    <w:rsid w:val="00687E67"/>
    <w:rsid w:val="006967F7"/>
    <w:rsid w:val="006A250C"/>
    <w:rsid w:val="006B21D3"/>
    <w:rsid w:val="006B22A3"/>
    <w:rsid w:val="006B57D0"/>
    <w:rsid w:val="006B70F5"/>
    <w:rsid w:val="006C1BE5"/>
    <w:rsid w:val="006D30FF"/>
    <w:rsid w:val="006D6940"/>
    <w:rsid w:val="006D6C35"/>
    <w:rsid w:val="006F11EC"/>
    <w:rsid w:val="0070082C"/>
    <w:rsid w:val="00701351"/>
    <w:rsid w:val="00723B7E"/>
    <w:rsid w:val="00723E69"/>
    <w:rsid w:val="00727C12"/>
    <w:rsid w:val="00734F21"/>
    <w:rsid w:val="007369E6"/>
    <w:rsid w:val="00746E59"/>
    <w:rsid w:val="0075116E"/>
    <w:rsid w:val="00754C9A"/>
    <w:rsid w:val="0075599A"/>
    <w:rsid w:val="00761D52"/>
    <w:rsid w:val="0077749E"/>
    <w:rsid w:val="00790ADA"/>
    <w:rsid w:val="00793530"/>
    <w:rsid w:val="007962E8"/>
    <w:rsid w:val="007B0D42"/>
    <w:rsid w:val="007B500E"/>
    <w:rsid w:val="007B782A"/>
    <w:rsid w:val="007D2288"/>
    <w:rsid w:val="007D4581"/>
    <w:rsid w:val="007D5060"/>
    <w:rsid w:val="007D7B2F"/>
    <w:rsid w:val="007D7B33"/>
    <w:rsid w:val="007E088F"/>
    <w:rsid w:val="007F230B"/>
    <w:rsid w:val="007F3462"/>
    <w:rsid w:val="007F7B32"/>
    <w:rsid w:val="00804BC2"/>
    <w:rsid w:val="0081431A"/>
    <w:rsid w:val="0083216F"/>
    <w:rsid w:val="00846438"/>
    <w:rsid w:val="008506BA"/>
    <w:rsid w:val="00860000"/>
    <w:rsid w:val="0086351A"/>
    <w:rsid w:val="00863BD3"/>
    <w:rsid w:val="008641ED"/>
    <w:rsid w:val="00866D66"/>
    <w:rsid w:val="008671C6"/>
    <w:rsid w:val="008738A8"/>
    <w:rsid w:val="00875803"/>
    <w:rsid w:val="008B459E"/>
    <w:rsid w:val="008B57FD"/>
    <w:rsid w:val="008C13F6"/>
    <w:rsid w:val="008E13AE"/>
    <w:rsid w:val="008E1506"/>
    <w:rsid w:val="008E710C"/>
    <w:rsid w:val="008E7DFA"/>
    <w:rsid w:val="008F6868"/>
    <w:rsid w:val="008F69D6"/>
    <w:rsid w:val="00900195"/>
    <w:rsid w:val="009008DF"/>
    <w:rsid w:val="00902823"/>
    <w:rsid w:val="00914DC8"/>
    <w:rsid w:val="00915CA6"/>
    <w:rsid w:val="00926A98"/>
    <w:rsid w:val="00927834"/>
    <w:rsid w:val="00940A91"/>
    <w:rsid w:val="009500A6"/>
    <w:rsid w:val="00957C18"/>
    <w:rsid w:val="009631F7"/>
    <w:rsid w:val="009647B8"/>
    <w:rsid w:val="009659BA"/>
    <w:rsid w:val="00982606"/>
    <w:rsid w:val="00983040"/>
    <w:rsid w:val="009848E8"/>
    <w:rsid w:val="009B3228"/>
    <w:rsid w:val="009B3FB9"/>
    <w:rsid w:val="009B5021"/>
    <w:rsid w:val="009C2465"/>
    <w:rsid w:val="009D35A0"/>
    <w:rsid w:val="009D7EB7"/>
    <w:rsid w:val="009E048A"/>
    <w:rsid w:val="009E08E9"/>
    <w:rsid w:val="009E3DB9"/>
    <w:rsid w:val="009E6E35"/>
    <w:rsid w:val="009F0EDA"/>
    <w:rsid w:val="009F1ED5"/>
    <w:rsid w:val="00A03B96"/>
    <w:rsid w:val="00A05B19"/>
    <w:rsid w:val="00A074FE"/>
    <w:rsid w:val="00A1134E"/>
    <w:rsid w:val="00A2087D"/>
    <w:rsid w:val="00A24E7E"/>
    <w:rsid w:val="00A258C3"/>
    <w:rsid w:val="00A305F6"/>
    <w:rsid w:val="00A347C0"/>
    <w:rsid w:val="00A51431"/>
    <w:rsid w:val="00A539AD"/>
    <w:rsid w:val="00A56B82"/>
    <w:rsid w:val="00A72601"/>
    <w:rsid w:val="00A7656A"/>
    <w:rsid w:val="00A85483"/>
    <w:rsid w:val="00A94063"/>
    <w:rsid w:val="00A97BD6"/>
    <w:rsid w:val="00AA118D"/>
    <w:rsid w:val="00AA2C92"/>
    <w:rsid w:val="00AA6219"/>
    <w:rsid w:val="00AA667D"/>
    <w:rsid w:val="00AA74E0"/>
    <w:rsid w:val="00AB703F"/>
    <w:rsid w:val="00AC6BB8"/>
    <w:rsid w:val="00AD260C"/>
    <w:rsid w:val="00AE008F"/>
    <w:rsid w:val="00B01FCD"/>
    <w:rsid w:val="00B024AC"/>
    <w:rsid w:val="00B033EC"/>
    <w:rsid w:val="00B1776C"/>
    <w:rsid w:val="00B52583"/>
    <w:rsid w:val="00B52896"/>
    <w:rsid w:val="00B65F35"/>
    <w:rsid w:val="00B8482D"/>
    <w:rsid w:val="00B85D4C"/>
    <w:rsid w:val="00B879A8"/>
    <w:rsid w:val="00B95236"/>
    <w:rsid w:val="00B96BD9"/>
    <w:rsid w:val="00BA1B01"/>
    <w:rsid w:val="00BA2641"/>
    <w:rsid w:val="00BB37AA"/>
    <w:rsid w:val="00BC3715"/>
    <w:rsid w:val="00BC3B1C"/>
    <w:rsid w:val="00BC53A0"/>
    <w:rsid w:val="00BD43FE"/>
    <w:rsid w:val="00BE62AD"/>
    <w:rsid w:val="00BE6972"/>
    <w:rsid w:val="00BF0F10"/>
    <w:rsid w:val="00BF121F"/>
    <w:rsid w:val="00BF1F80"/>
    <w:rsid w:val="00C026F6"/>
    <w:rsid w:val="00C158A0"/>
    <w:rsid w:val="00C166EF"/>
    <w:rsid w:val="00C17EB0"/>
    <w:rsid w:val="00C21107"/>
    <w:rsid w:val="00C23225"/>
    <w:rsid w:val="00C27F5F"/>
    <w:rsid w:val="00C30A0F"/>
    <w:rsid w:val="00C37E61"/>
    <w:rsid w:val="00C70F1B"/>
    <w:rsid w:val="00C71A47"/>
    <w:rsid w:val="00C73FBF"/>
    <w:rsid w:val="00C7464C"/>
    <w:rsid w:val="00C85588"/>
    <w:rsid w:val="00C93434"/>
    <w:rsid w:val="00CA4BE2"/>
    <w:rsid w:val="00CA5007"/>
    <w:rsid w:val="00CB055C"/>
    <w:rsid w:val="00CC2425"/>
    <w:rsid w:val="00CC24D9"/>
    <w:rsid w:val="00CD01B4"/>
    <w:rsid w:val="00CD6755"/>
    <w:rsid w:val="00CD6856"/>
    <w:rsid w:val="00CE0089"/>
    <w:rsid w:val="00CE0734"/>
    <w:rsid w:val="00CE62DA"/>
    <w:rsid w:val="00CE793C"/>
    <w:rsid w:val="00CF193C"/>
    <w:rsid w:val="00CF3A38"/>
    <w:rsid w:val="00D173F1"/>
    <w:rsid w:val="00D22A47"/>
    <w:rsid w:val="00D47468"/>
    <w:rsid w:val="00D50A3D"/>
    <w:rsid w:val="00D63358"/>
    <w:rsid w:val="00D6667F"/>
    <w:rsid w:val="00D745BD"/>
    <w:rsid w:val="00D74CB0"/>
    <w:rsid w:val="00D8295D"/>
    <w:rsid w:val="00DC2A65"/>
    <w:rsid w:val="00DE15F0"/>
    <w:rsid w:val="00DE5663"/>
    <w:rsid w:val="00DE78AA"/>
    <w:rsid w:val="00DF5B18"/>
    <w:rsid w:val="00DF5F9B"/>
    <w:rsid w:val="00DF63D2"/>
    <w:rsid w:val="00DF6ED2"/>
    <w:rsid w:val="00E053D0"/>
    <w:rsid w:val="00E05BC6"/>
    <w:rsid w:val="00E1129D"/>
    <w:rsid w:val="00E15994"/>
    <w:rsid w:val="00E3114E"/>
    <w:rsid w:val="00E31A70"/>
    <w:rsid w:val="00E35B02"/>
    <w:rsid w:val="00E40267"/>
    <w:rsid w:val="00E44379"/>
    <w:rsid w:val="00E6146C"/>
    <w:rsid w:val="00E615E3"/>
    <w:rsid w:val="00E640DD"/>
    <w:rsid w:val="00E66496"/>
    <w:rsid w:val="00E66B35"/>
    <w:rsid w:val="00E66E10"/>
    <w:rsid w:val="00E769F6"/>
    <w:rsid w:val="00E8407C"/>
    <w:rsid w:val="00E84F3C"/>
    <w:rsid w:val="00E90FB2"/>
    <w:rsid w:val="00E9657F"/>
    <w:rsid w:val="00EA012C"/>
    <w:rsid w:val="00EA183C"/>
    <w:rsid w:val="00EC6A55"/>
    <w:rsid w:val="00ED0288"/>
    <w:rsid w:val="00EE52CB"/>
    <w:rsid w:val="00EF581D"/>
    <w:rsid w:val="00EF7FD8"/>
    <w:rsid w:val="00F06F59"/>
    <w:rsid w:val="00F07E48"/>
    <w:rsid w:val="00F17988"/>
    <w:rsid w:val="00F32FAA"/>
    <w:rsid w:val="00F35E6D"/>
    <w:rsid w:val="00F469F0"/>
    <w:rsid w:val="00F47925"/>
    <w:rsid w:val="00F53273"/>
    <w:rsid w:val="00F755E4"/>
    <w:rsid w:val="00F77D02"/>
    <w:rsid w:val="00FA529D"/>
    <w:rsid w:val="00FA7FE0"/>
    <w:rsid w:val="00FB1ADD"/>
    <w:rsid w:val="00FB3A86"/>
    <w:rsid w:val="00FC575F"/>
    <w:rsid w:val="00FD36C8"/>
    <w:rsid w:val="00FE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0ED152"/>
  <w15:docId w15:val="{9A1EE779-1B2B-4B59-ADF0-337F4F48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A500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97BD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9">
    <w:name w:val="Table Grid9"/>
    <w:basedOn w:val="TableNormal"/>
    <w:next w:val="TableGrid"/>
    <w:uiPriority w:val="39"/>
    <w:qFormat/>
    <w:rsid w:val="00B85D4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B85D4C"/>
    <w:pPr>
      <w:spacing w:after="120" w:line="480" w:lineRule="auto"/>
      <w:ind w:left="360"/>
    </w:pPr>
  </w:style>
  <w:style w:type="character" w:customStyle="1" w:styleId="BodyTextIndent2Char">
    <w:name w:val="Body Text Indent 2 Char"/>
    <w:basedOn w:val="DefaultParagraphFont"/>
    <w:link w:val="BodyTextIndent2"/>
    <w:semiHidden/>
    <w:rsid w:val="00B85D4C"/>
    <w:rPr>
      <w:rFonts w:ascii="Helvetica" w:hAnsi="Helvetica"/>
    </w:rPr>
  </w:style>
  <w:style w:type="table" w:customStyle="1" w:styleId="TableGrid12">
    <w:name w:val="Table Grid12"/>
    <w:basedOn w:val="TableNormal"/>
    <w:uiPriority w:val="39"/>
    <w:rsid w:val="0060380C"/>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F1E"/>
    <w:pPr>
      <w:ind w:left="720"/>
      <w:contextualSpacing/>
    </w:pPr>
  </w:style>
  <w:style w:type="character" w:customStyle="1" w:styleId="Heading3Char">
    <w:name w:val="Heading 3 Char"/>
    <w:basedOn w:val="DefaultParagraphFont"/>
    <w:link w:val="Heading3"/>
    <w:semiHidden/>
    <w:rsid w:val="00CA500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CA500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A5007"/>
    <w:rPr>
      <w:b/>
      <w:bCs/>
    </w:rPr>
  </w:style>
  <w:style w:type="character" w:customStyle="1" w:styleId="sr-only">
    <w:name w:val="sr-only"/>
    <w:basedOn w:val="DefaultParagraphFont"/>
    <w:rsid w:val="00CA5007"/>
  </w:style>
  <w:style w:type="paragraph" w:styleId="z-TopofForm">
    <w:name w:val="HTML Top of Form"/>
    <w:basedOn w:val="Normal"/>
    <w:next w:val="Normal"/>
    <w:link w:val="z-TopofFormChar"/>
    <w:hidden/>
    <w:uiPriority w:val="99"/>
    <w:semiHidden/>
    <w:unhideWhenUsed/>
    <w:rsid w:val="00CA500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A500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A500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5007"/>
    <w:rPr>
      <w:rFonts w:ascii="Arial" w:hAnsi="Arial" w:cs="Arial"/>
      <w:vanish/>
      <w:sz w:val="16"/>
      <w:szCs w:val="16"/>
    </w:rPr>
  </w:style>
  <w:style w:type="character" w:customStyle="1" w:styleId="Heading4Char">
    <w:name w:val="Heading 4 Char"/>
    <w:basedOn w:val="DefaultParagraphFont"/>
    <w:link w:val="Heading4"/>
    <w:semiHidden/>
    <w:rsid w:val="00A97BD6"/>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39"/>
    <w:rsid w:val="004C15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7E0D"/>
    <w:rPr>
      <w:rFonts w:ascii="Arial" w:hAnsi="Arial"/>
      <w:b/>
      <w:kern w:val="28"/>
      <w:sz w:val="28"/>
    </w:rPr>
  </w:style>
  <w:style w:type="table" w:customStyle="1" w:styleId="TableGrid3">
    <w:name w:val="Table Grid3"/>
    <w:basedOn w:val="TableNormal"/>
    <w:next w:val="TableGrid"/>
    <w:uiPriority w:val="59"/>
    <w:rsid w:val="00926A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01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945328">
      <w:bodyDiv w:val="1"/>
      <w:marLeft w:val="0"/>
      <w:marRight w:val="0"/>
      <w:marTop w:val="0"/>
      <w:marBottom w:val="0"/>
      <w:divBdr>
        <w:top w:val="none" w:sz="0" w:space="0" w:color="auto"/>
        <w:left w:val="none" w:sz="0" w:space="0" w:color="auto"/>
        <w:bottom w:val="none" w:sz="0" w:space="0" w:color="auto"/>
        <w:right w:val="none" w:sz="0" w:space="0" w:color="auto"/>
      </w:divBdr>
    </w:div>
    <w:div w:id="30150336">
      <w:bodyDiv w:val="1"/>
      <w:marLeft w:val="0"/>
      <w:marRight w:val="0"/>
      <w:marTop w:val="0"/>
      <w:marBottom w:val="0"/>
      <w:divBdr>
        <w:top w:val="none" w:sz="0" w:space="0" w:color="auto"/>
        <w:left w:val="none" w:sz="0" w:space="0" w:color="auto"/>
        <w:bottom w:val="none" w:sz="0" w:space="0" w:color="auto"/>
        <w:right w:val="none" w:sz="0" w:space="0" w:color="auto"/>
      </w:divBdr>
    </w:div>
    <w:div w:id="42222536">
      <w:bodyDiv w:val="1"/>
      <w:marLeft w:val="0"/>
      <w:marRight w:val="0"/>
      <w:marTop w:val="0"/>
      <w:marBottom w:val="0"/>
      <w:divBdr>
        <w:top w:val="none" w:sz="0" w:space="0" w:color="auto"/>
        <w:left w:val="none" w:sz="0" w:space="0" w:color="auto"/>
        <w:bottom w:val="none" w:sz="0" w:space="0" w:color="auto"/>
        <w:right w:val="none" w:sz="0" w:space="0" w:color="auto"/>
      </w:divBdr>
    </w:div>
    <w:div w:id="52125652">
      <w:bodyDiv w:val="1"/>
      <w:marLeft w:val="0"/>
      <w:marRight w:val="0"/>
      <w:marTop w:val="0"/>
      <w:marBottom w:val="0"/>
      <w:divBdr>
        <w:top w:val="none" w:sz="0" w:space="0" w:color="auto"/>
        <w:left w:val="none" w:sz="0" w:space="0" w:color="auto"/>
        <w:bottom w:val="none" w:sz="0" w:space="0" w:color="auto"/>
        <w:right w:val="none" w:sz="0" w:space="0" w:color="auto"/>
      </w:divBdr>
    </w:div>
    <w:div w:id="53237285">
      <w:bodyDiv w:val="1"/>
      <w:marLeft w:val="0"/>
      <w:marRight w:val="0"/>
      <w:marTop w:val="0"/>
      <w:marBottom w:val="0"/>
      <w:divBdr>
        <w:top w:val="none" w:sz="0" w:space="0" w:color="auto"/>
        <w:left w:val="none" w:sz="0" w:space="0" w:color="auto"/>
        <w:bottom w:val="none" w:sz="0" w:space="0" w:color="auto"/>
        <w:right w:val="none" w:sz="0" w:space="0" w:color="auto"/>
      </w:divBdr>
    </w:div>
    <w:div w:id="65149892">
      <w:bodyDiv w:val="1"/>
      <w:marLeft w:val="0"/>
      <w:marRight w:val="0"/>
      <w:marTop w:val="0"/>
      <w:marBottom w:val="0"/>
      <w:divBdr>
        <w:top w:val="none" w:sz="0" w:space="0" w:color="auto"/>
        <w:left w:val="none" w:sz="0" w:space="0" w:color="auto"/>
        <w:bottom w:val="none" w:sz="0" w:space="0" w:color="auto"/>
        <w:right w:val="none" w:sz="0" w:space="0" w:color="auto"/>
      </w:divBdr>
    </w:div>
    <w:div w:id="86316868">
      <w:bodyDiv w:val="1"/>
      <w:marLeft w:val="0"/>
      <w:marRight w:val="0"/>
      <w:marTop w:val="0"/>
      <w:marBottom w:val="0"/>
      <w:divBdr>
        <w:top w:val="none" w:sz="0" w:space="0" w:color="auto"/>
        <w:left w:val="none" w:sz="0" w:space="0" w:color="auto"/>
        <w:bottom w:val="none" w:sz="0" w:space="0" w:color="auto"/>
        <w:right w:val="none" w:sz="0" w:space="0" w:color="auto"/>
      </w:divBdr>
    </w:div>
    <w:div w:id="90903328">
      <w:bodyDiv w:val="1"/>
      <w:marLeft w:val="0"/>
      <w:marRight w:val="0"/>
      <w:marTop w:val="0"/>
      <w:marBottom w:val="0"/>
      <w:divBdr>
        <w:top w:val="none" w:sz="0" w:space="0" w:color="auto"/>
        <w:left w:val="none" w:sz="0" w:space="0" w:color="auto"/>
        <w:bottom w:val="none" w:sz="0" w:space="0" w:color="auto"/>
        <w:right w:val="none" w:sz="0" w:space="0" w:color="auto"/>
      </w:divBdr>
    </w:div>
    <w:div w:id="107553526">
      <w:bodyDiv w:val="1"/>
      <w:marLeft w:val="0"/>
      <w:marRight w:val="0"/>
      <w:marTop w:val="0"/>
      <w:marBottom w:val="0"/>
      <w:divBdr>
        <w:top w:val="none" w:sz="0" w:space="0" w:color="auto"/>
        <w:left w:val="none" w:sz="0" w:space="0" w:color="auto"/>
        <w:bottom w:val="none" w:sz="0" w:space="0" w:color="auto"/>
        <w:right w:val="none" w:sz="0" w:space="0" w:color="auto"/>
      </w:divBdr>
    </w:div>
    <w:div w:id="142747043">
      <w:bodyDiv w:val="1"/>
      <w:marLeft w:val="0"/>
      <w:marRight w:val="0"/>
      <w:marTop w:val="0"/>
      <w:marBottom w:val="0"/>
      <w:divBdr>
        <w:top w:val="none" w:sz="0" w:space="0" w:color="auto"/>
        <w:left w:val="none" w:sz="0" w:space="0" w:color="auto"/>
        <w:bottom w:val="none" w:sz="0" w:space="0" w:color="auto"/>
        <w:right w:val="none" w:sz="0" w:space="0" w:color="auto"/>
      </w:divBdr>
    </w:div>
    <w:div w:id="155458698">
      <w:bodyDiv w:val="1"/>
      <w:marLeft w:val="0"/>
      <w:marRight w:val="0"/>
      <w:marTop w:val="0"/>
      <w:marBottom w:val="0"/>
      <w:divBdr>
        <w:top w:val="none" w:sz="0" w:space="0" w:color="auto"/>
        <w:left w:val="none" w:sz="0" w:space="0" w:color="auto"/>
        <w:bottom w:val="none" w:sz="0" w:space="0" w:color="auto"/>
        <w:right w:val="none" w:sz="0" w:space="0" w:color="auto"/>
      </w:divBdr>
      <w:divsChild>
        <w:div w:id="1264877450">
          <w:marLeft w:val="0"/>
          <w:marRight w:val="0"/>
          <w:marTop w:val="0"/>
          <w:marBottom w:val="0"/>
          <w:divBdr>
            <w:top w:val="none" w:sz="0" w:space="0" w:color="auto"/>
            <w:left w:val="none" w:sz="0" w:space="0" w:color="auto"/>
            <w:bottom w:val="none" w:sz="0" w:space="0" w:color="auto"/>
            <w:right w:val="none" w:sz="0" w:space="0" w:color="auto"/>
          </w:divBdr>
          <w:divsChild>
            <w:div w:id="1322198975">
              <w:marLeft w:val="0"/>
              <w:marRight w:val="0"/>
              <w:marTop w:val="0"/>
              <w:marBottom w:val="0"/>
              <w:divBdr>
                <w:top w:val="none" w:sz="0" w:space="0" w:color="auto"/>
                <w:left w:val="none" w:sz="0" w:space="0" w:color="auto"/>
                <w:bottom w:val="none" w:sz="0" w:space="0" w:color="auto"/>
                <w:right w:val="none" w:sz="0" w:space="0" w:color="auto"/>
              </w:divBdr>
              <w:divsChild>
                <w:div w:id="1169639187">
                  <w:marLeft w:val="0"/>
                  <w:marRight w:val="0"/>
                  <w:marTop w:val="0"/>
                  <w:marBottom w:val="0"/>
                  <w:divBdr>
                    <w:top w:val="none" w:sz="0" w:space="0" w:color="auto"/>
                    <w:left w:val="none" w:sz="0" w:space="0" w:color="auto"/>
                    <w:bottom w:val="none" w:sz="0" w:space="0" w:color="auto"/>
                    <w:right w:val="none" w:sz="0" w:space="0" w:color="auto"/>
                  </w:divBdr>
                  <w:divsChild>
                    <w:div w:id="1807697179">
                      <w:marLeft w:val="0"/>
                      <w:marRight w:val="0"/>
                      <w:marTop w:val="0"/>
                      <w:marBottom w:val="0"/>
                      <w:divBdr>
                        <w:top w:val="none" w:sz="0" w:space="0" w:color="auto"/>
                        <w:left w:val="none" w:sz="0" w:space="0" w:color="auto"/>
                        <w:bottom w:val="none" w:sz="0" w:space="0" w:color="auto"/>
                        <w:right w:val="none" w:sz="0" w:space="0" w:color="auto"/>
                      </w:divBdr>
                      <w:divsChild>
                        <w:div w:id="1355770160">
                          <w:marLeft w:val="0"/>
                          <w:marRight w:val="0"/>
                          <w:marTop w:val="0"/>
                          <w:marBottom w:val="0"/>
                          <w:divBdr>
                            <w:top w:val="none" w:sz="0" w:space="0" w:color="auto"/>
                            <w:left w:val="none" w:sz="0" w:space="0" w:color="auto"/>
                            <w:bottom w:val="none" w:sz="0" w:space="0" w:color="auto"/>
                            <w:right w:val="none" w:sz="0" w:space="0" w:color="auto"/>
                          </w:divBdr>
                          <w:divsChild>
                            <w:div w:id="1725517338">
                              <w:marLeft w:val="0"/>
                              <w:marRight w:val="0"/>
                              <w:marTop w:val="0"/>
                              <w:marBottom w:val="0"/>
                              <w:divBdr>
                                <w:top w:val="none" w:sz="0" w:space="0" w:color="auto"/>
                                <w:left w:val="none" w:sz="0" w:space="0" w:color="auto"/>
                                <w:bottom w:val="none" w:sz="0" w:space="0" w:color="auto"/>
                                <w:right w:val="none" w:sz="0" w:space="0" w:color="auto"/>
                              </w:divBdr>
                              <w:divsChild>
                                <w:div w:id="1327318731">
                                  <w:marLeft w:val="0"/>
                                  <w:marRight w:val="0"/>
                                  <w:marTop w:val="0"/>
                                  <w:marBottom w:val="0"/>
                                  <w:divBdr>
                                    <w:top w:val="none" w:sz="0" w:space="0" w:color="auto"/>
                                    <w:left w:val="none" w:sz="0" w:space="0" w:color="auto"/>
                                    <w:bottom w:val="none" w:sz="0" w:space="0" w:color="auto"/>
                                    <w:right w:val="none" w:sz="0" w:space="0" w:color="auto"/>
                                  </w:divBdr>
                                  <w:divsChild>
                                    <w:div w:id="913245059">
                                      <w:marLeft w:val="0"/>
                                      <w:marRight w:val="0"/>
                                      <w:marTop w:val="0"/>
                                      <w:marBottom w:val="0"/>
                                      <w:divBdr>
                                        <w:top w:val="none" w:sz="0" w:space="0" w:color="auto"/>
                                        <w:left w:val="none" w:sz="0" w:space="0" w:color="auto"/>
                                        <w:bottom w:val="none" w:sz="0" w:space="0" w:color="auto"/>
                                        <w:right w:val="none" w:sz="0" w:space="0" w:color="auto"/>
                                      </w:divBdr>
                                      <w:divsChild>
                                        <w:div w:id="2046254311">
                                          <w:marLeft w:val="0"/>
                                          <w:marRight w:val="0"/>
                                          <w:marTop w:val="0"/>
                                          <w:marBottom w:val="0"/>
                                          <w:divBdr>
                                            <w:top w:val="none" w:sz="0" w:space="0" w:color="auto"/>
                                            <w:left w:val="none" w:sz="0" w:space="0" w:color="auto"/>
                                            <w:bottom w:val="none" w:sz="0" w:space="0" w:color="auto"/>
                                            <w:right w:val="none" w:sz="0" w:space="0" w:color="auto"/>
                                          </w:divBdr>
                                          <w:divsChild>
                                            <w:div w:id="852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35906">
                                  <w:marLeft w:val="0"/>
                                  <w:marRight w:val="0"/>
                                  <w:marTop w:val="0"/>
                                  <w:marBottom w:val="0"/>
                                  <w:divBdr>
                                    <w:top w:val="none" w:sz="0" w:space="0" w:color="auto"/>
                                    <w:left w:val="none" w:sz="0" w:space="0" w:color="auto"/>
                                    <w:bottom w:val="none" w:sz="0" w:space="0" w:color="auto"/>
                                    <w:right w:val="none" w:sz="0" w:space="0" w:color="auto"/>
                                  </w:divBdr>
                                  <w:divsChild>
                                    <w:div w:id="323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2226">
          <w:marLeft w:val="0"/>
          <w:marRight w:val="0"/>
          <w:marTop w:val="0"/>
          <w:marBottom w:val="0"/>
          <w:divBdr>
            <w:top w:val="none" w:sz="0" w:space="0" w:color="auto"/>
            <w:left w:val="none" w:sz="0" w:space="0" w:color="auto"/>
            <w:bottom w:val="none" w:sz="0" w:space="0" w:color="auto"/>
            <w:right w:val="none" w:sz="0" w:space="0" w:color="auto"/>
          </w:divBdr>
          <w:divsChild>
            <w:div w:id="1322736021">
              <w:marLeft w:val="0"/>
              <w:marRight w:val="0"/>
              <w:marTop w:val="0"/>
              <w:marBottom w:val="0"/>
              <w:divBdr>
                <w:top w:val="none" w:sz="0" w:space="0" w:color="auto"/>
                <w:left w:val="none" w:sz="0" w:space="0" w:color="auto"/>
                <w:bottom w:val="none" w:sz="0" w:space="0" w:color="auto"/>
                <w:right w:val="none" w:sz="0" w:space="0" w:color="auto"/>
              </w:divBdr>
              <w:divsChild>
                <w:div w:id="161092892">
                  <w:marLeft w:val="0"/>
                  <w:marRight w:val="0"/>
                  <w:marTop w:val="0"/>
                  <w:marBottom w:val="0"/>
                  <w:divBdr>
                    <w:top w:val="none" w:sz="0" w:space="0" w:color="auto"/>
                    <w:left w:val="none" w:sz="0" w:space="0" w:color="auto"/>
                    <w:bottom w:val="none" w:sz="0" w:space="0" w:color="auto"/>
                    <w:right w:val="none" w:sz="0" w:space="0" w:color="auto"/>
                  </w:divBdr>
                  <w:divsChild>
                    <w:div w:id="234516425">
                      <w:marLeft w:val="0"/>
                      <w:marRight w:val="0"/>
                      <w:marTop w:val="0"/>
                      <w:marBottom w:val="0"/>
                      <w:divBdr>
                        <w:top w:val="none" w:sz="0" w:space="0" w:color="auto"/>
                        <w:left w:val="none" w:sz="0" w:space="0" w:color="auto"/>
                        <w:bottom w:val="none" w:sz="0" w:space="0" w:color="auto"/>
                        <w:right w:val="none" w:sz="0" w:space="0" w:color="auto"/>
                      </w:divBdr>
                      <w:divsChild>
                        <w:div w:id="1393964593">
                          <w:marLeft w:val="0"/>
                          <w:marRight w:val="0"/>
                          <w:marTop w:val="0"/>
                          <w:marBottom w:val="0"/>
                          <w:divBdr>
                            <w:top w:val="none" w:sz="0" w:space="0" w:color="auto"/>
                            <w:left w:val="none" w:sz="0" w:space="0" w:color="auto"/>
                            <w:bottom w:val="none" w:sz="0" w:space="0" w:color="auto"/>
                            <w:right w:val="none" w:sz="0" w:space="0" w:color="auto"/>
                          </w:divBdr>
                          <w:divsChild>
                            <w:div w:id="704671470">
                              <w:marLeft w:val="0"/>
                              <w:marRight w:val="0"/>
                              <w:marTop w:val="0"/>
                              <w:marBottom w:val="0"/>
                              <w:divBdr>
                                <w:top w:val="none" w:sz="0" w:space="0" w:color="auto"/>
                                <w:left w:val="none" w:sz="0" w:space="0" w:color="auto"/>
                                <w:bottom w:val="none" w:sz="0" w:space="0" w:color="auto"/>
                                <w:right w:val="none" w:sz="0" w:space="0" w:color="auto"/>
                              </w:divBdr>
                              <w:divsChild>
                                <w:div w:id="876239152">
                                  <w:marLeft w:val="0"/>
                                  <w:marRight w:val="0"/>
                                  <w:marTop w:val="0"/>
                                  <w:marBottom w:val="0"/>
                                  <w:divBdr>
                                    <w:top w:val="none" w:sz="0" w:space="0" w:color="auto"/>
                                    <w:left w:val="none" w:sz="0" w:space="0" w:color="auto"/>
                                    <w:bottom w:val="none" w:sz="0" w:space="0" w:color="auto"/>
                                    <w:right w:val="none" w:sz="0" w:space="0" w:color="auto"/>
                                  </w:divBdr>
                                  <w:divsChild>
                                    <w:div w:id="347101705">
                                      <w:marLeft w:val="0"/>
                                      <w:marRight w:val="0"/>
                                      <w:marTop w:val="0"/>
                                      <w:marBottom w:val="0"/>
                                      <w:divBdr>
                                        <w:top w:val="none" w:sz="0" w:space="0" w:color="auto"/>
                                        <w:left w:val="none" w:sz="0" w:space="0" w:color="auto"/>
                                        <w:bottom w:val="none" w:sz="0" w:space="0" w:color="auto"/>
                                        <w:right w:val="none" w:sz="0" w:space="0" w:color="auto"/>
                                      </w:divBdr>
                                      <w:divsChild>
                                        <w:div w:id="2037539087">
                                          <w:marLeft w:val="0"/>
                                          <w:marRight w:val="0"/>
                                          <w:marTop w:val="0"/>
                                          <w:marBottom w:val="0"/>
                                          <w:divBdr>
                                            <w:top w:val="none" w:sz="0" w:space="0" w:color="auto"/>
                                            <w:left w:val="none" w:sz="0" w:space="0" w:color="auto"/>
                                            <w:bottom w:val="none" w:sz="0" w:space="0" w:color="auto"/>
                                            <w:right w:val="none" w:sz="0" w:space="0" w:color="auto"/>
                                          </w:divBdr>
                                          <w:divsChild>
                                            <w:div w:id="19422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474331">
      <w:bodyDiv w:val="1"/>
      <w:marLeft w:val="0"/>
      <w:marRight w:val="0"/>
      <w:marTop w:val="0"/>
      <w:marBottom w:val="0"/>
      <w:divBdr>
        <w:top w:val="none" w:sz="0" w:space="0" w:color="auto"/>
        <w:left w:val="none" w:sz="0" w:space="0" w:color="auto"/>
        <w:bottom w:val="none" w:sz="0" w:space="0" w:color="auto"/>
        <w:right w:val="none" w:sz="0" w:space="0" w:color="auto"/>
      </w:divBdr>
    </w:div>
    <w:div w:id="171381340">
      <w:bodyDiv w:val="1"/>
      <w:marLeft w:val="0"/>
      <w:marRight w:val="0"/>
      <w:marTop w:val="0"/>
      <w:marBottom w:val="0"/>
      <w:divBdr>
        <w:top w:val="none" w:sz="0" w:space="0" w:color="auto"/>
        <w:left w:val="none" w:sz="0" w:space="0" w:color="auto"/>
        <w:bottom w:val="none" w:sz="0" w:space="0" w:color="auto"/>
        <w:right w:val="none" w:sz="0" w:space="0" w:color="auto"/>
      </w:divBdr>
    </w:div>
    <w:div w:id="181745371">
      <w:bodyDiv w:val="1"/>
      <w:marLeft w:val="0"/>
      <w:marRight w:val="0"/>
      <w:marTop w:val="0"/>
      <w:marBottom w:val="0"/>
      <w:divBdr>
        <w:top w:val="none" w:sz="0" w:space="0" w:color="auto"/>
        <w:left w:val="none" w:sz="0" w:space="0" w:color="auto"/>
        <w:bottom w:val="none" w:sz="0" w:space="0" w:color="auto"/>
        <w:right w:val="none" w:sz="0" w:space="0" w:color="auto"/>
      </w:divBdr>
    </w:div>
    <w:div w:id="183204245">
      <w:bodyDiv w:val="1"/>
      <w:marLeft w:val="0"/>
      <w:marRight w:val="0"/>
      <w:marTop w:val="0"/>
      <w:marBottom w:val="0"/>
      <w:divBdr>
        <w:top w:val="none" w:sz="0" w:space="0" w:color="auto"/>
        <w:left w:val="none" w:sz="0" w:space="0" w:color="auto"/>
        <w:bottom w:val="none" w:sz="0" w:space="0" w:color="auto"/>
        <w:right w:val="none" w:sz="0" w:space="0" w:color="auto"/>
      </w:divBdr>
    </w:div>
    <w:div w:id="197664909">
      <w:bodyDiv w:val="1"/>
      <w:marLeft w:val="0"/>
      <w:marRight w:val="0"/>
      <w:marTop w:val="0"/>
      <w:marBottom w:val="0"/>
      <w:divBdr>
        <w:top w:val="none" w:sz="0" w:space="0" w:color="auto"/>
        <w:left w:val="none" w:sz="0" w:space="0" w:color="auto"/>
        <w:bottom w:val="none" w:sz="0" w:space="0" w:color="auto"/>
        <w:right w:val="none" w:sz="0" w:space="0" w:color="auto"/>
      </w:divBdr>
    </w:div>
    <w:div w:id="201330978">
      <w:bodyDiv w:val="1"/>
      <w:marLeft w:val="0"/>
      <w:marRight w:val="0"/>
      <w:marTop w:val="0"/>
      <w:marBottom w:val="0"/>
      <w:divBdr>
        <w:top w:val="none" w:sz="0" w:space="0" w:color="auto"/>
        <w:left w:val="none" w:sz="0" w:space="0" w:color="auto"/>
        <w:bottom w:val="none" w:sz="0" w:space="0" w:color="auto"/>
        <w:right w:val="none" w:sz="0" w:space="0" w:color="auto"/>
      </w:divBdr>
      <w:divsChild>
        <w:div w:id="1950509153">
          <w:marLeft w:val="0"/>
          <w:marRight w:val="0"/>
          <w:marTop w:val="0"/>
          <w:marBottom w:val="0"/>
          <w:divBdr>
            <w:top w:val="none" w:sz="0" w:space="0" w:color="auto"/>
            <w:left w:val="none" w:sz="0" w:space="0" w:color="auto"/>
            <w:bottom w:val="none" w:sz="0" w:space="0" w:color="auto"/>
            <w:right w:val="none" w:sz="0" w:space="0" w:color="auto"/>
          </w:divBdr>
          <w:divsChild>
            <w:div w:id="1368870914">
              <w:marLeft w:val="0"/>
              <w:marRight w:val="0"/>
              <w:marTop w:val="0"/>
              <w:marBottom w:val="0"/>
              <w:divBdr>
                <w:top w:val="none" w:sz="0" w:space="0" w:color="auto"/>
                <w:left w:val="none" w:sz="0" w:space="0" w:color="auto"/>
                <w:bottom w:val="none" w:sz="0" w:space="0" w:color="auto"/>
                <w:right w:val="none" w:sz="0" w:space="0" w:color="auto"/>
              </w:divBdr>
              <w:divsChild>
                <w:div w:id="135875598">
                  <w:marLeft w:val="0"/>
                  <w:marRight w:val="0"/>
                  <w:marTop w:val="0"/>
                  <w:marBottom w:val="0"/>
                  <w:divBdr>
                    <w:top w:val="none" w:sz="0" w:space="0" w:color="auto"/>
                    <w:left w:val="none" w:sz="0" w:space="0" w:color="auto"/>
                    <w:bottom w:val="none" w:sz="0" w:space="0" w:color="auto"/>
                    <w:right w:val="none" w:sz="0" w:space="0" w:color="auto"/>
                  </w:divBdr>
                  <w:divsChild>
                    <w:div w:id="123694938">
                      <w:marLeft w:val="0"/>
                      <w:marRight w:val="0"/>
                      <w:marTop w:val="0"/>
                      <w:marBottom w:val="0"/>
                      <w:divBdr>
                        <w:top w:val="none" w:sz="0" w:space="0" w:color="auto"/>
                        <w:left w:val="none" w:sz="0" w:space="0" w:color="auto"/>
                        <w:bottom w:val="none" w:sz="0" w:space="0" w:color="auto"/>
                        <w:right w:val="none" w:sz="0" w:space="0" w:color="auto"/>
                      </w:divBdr>
                      <w:divsChild>
                        <w:div w:id="1114711403">
                          <w:marLeft w:val="0"/>
                          <w:marRight w:val="0"/>
                          <w:marTop w:val="0"/>
                          <w:marBottom w:val="0"/>
                          <w:divBdr>
                            <w:top w:val="none" w:sz="0" w:space="0" w:color="auto"/>
                            <w:left w:val="none" w:sz="0" w:space="0" w:color="auto"/>
                            <w:bottom w:val="none" w:sz="0" w:space="0" w:color="auto"/>
                            <w:right w:val="none" w:sz="0" w:space="0" w:color="auto"/>
                          </w:divBdr>
                          <w:divsChild>
                            <w:div w:id="842932405">
                              <w:marLeft w:val="0"/>
                              <w:marRight w:val="0"/>
                              <w:marTop w:val="0"/>
                              <w:marBottom w:val="0"/>
                              <w:divBdr>
                                <w:top w:val="none" w:sz="0" w:space="0" w:color="auto"/>
                                <w:left w:val="none" w:sz="0" w:space="0" w:color="auto"/>
                                <w:bottom w:val="none" w:sz="0" w:space="0" w:color="auto"/>
                                <w:right w:val="none" w:sz="0" w:space="0" w:color="auto"/>
                              </w:divBdr>
                              <w:divsChild>
                                <w:div w:id="772749499">
                                  <w:marLeft w:val="0"/>
                                  <w:marRight w:val="0"/>
                                  <w:marTop w:val="0"/>
                                  <w:marBottom w:val="0"/>
                                  <w:divBdr>
                                    <w:top w:val="none" w:sz="0" w:space="0" w:color="auto"/>
                                    <w:left w:val="none" w:sz="0" w:space="0" w:color="auto"/>
                                    <w:bottom w:val="none" w:sz="0" w:space="0" w:color="auto"/>
                                    <w:right w:val="none" w:sz="0" w:space="0" w:color="auto"/>
                                  </w:divBdr>
                                  <w:divsChild>
                                    <w:div w:id="2018535426">
                                      <w:marLeft w:val="0"/>
                                      <w:marRight w:val="0"/>
                                      <w:marTop w:val="0"/>
                                      <w:marBottom w:val="0"/>
                                      <w:divBdr>
                                        <w:top w:val="none" w:sz="0" w:space="0" w:color="auto"/>
                                        <w:left w:val="none" w:sz="0" w:space="0" w:color="auto"/>
                                        <w:bottom w:val="none" w:sz="0" w:space="0" w:color="auto"/>
                                        <w:right w:val="none" w:sz="0" w:space="0" w:color="auto"/>
                                      </w:divBdr>
                                      <w:divsChild>
                                        <w:div w:id="532422878">
                                          <w:marLeft w:val="0"/>
                                          <w:marRight w:val="0"/>
                                          <w:marTop w:val="0"/>
                                          <w:marBottom w:val="0"/>
                                          <w:divBdr>
                                            <w:top w:val="none" w:sz="0" w:space="0" w:color="auto"/>
                                            <w:left w:val="none" w:sz="0" w:space="0" w:color="auto"/>
                                            <w:bottom w:val="none" w:sz="0" w:space="0" w:color="auto"/>
                                            <w:right w:val="none" w:sz="0" w:space="0" w:color="auto"/>
                                          </w:divBdr>
                                          <w:divsChild>
                                            <w:div w:id="18282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0968">
                                  <w:marLeft w:val="0"/>
                                  <w:marRight w:val="0"/>
                                  <w:marTop w:val="0"/>
                                  <w:marBottom w:val="0"/>
                                  <w:divBdr>
                                    <w:top w:val="none" w:sz="0" w:space="0" w:color="auto"/>
                                    <w:left w:val="none" w:sz="0" w:space="0" w:color="auto"/>
                                    <w:bottom w:val="none" w:sz="0" w:space="0" w:color="auto"/>
                                    <w:right w:val="none" w:sz="0" w:space="0" w:color="auto"/>
                                  </w:divBdr>
                                  <w:divsChild>
                                    <w:div w:id="18629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610983">
          <w:marLeft w:val="0"/>
          <w:marRight w:val="0"/>
          <w:marTop w:val="0"/>
          <w:marBottom w:val="0"/>
          <w:divBdr>
            <w:top w:val="none" w:sz="0" w:space="0" w:color="auto"/>
            <w:left w:val="none" w:sz="0" w:space="0" w:color="auto"/>
            <w:bottom w:val="none" w:sz="0" w:space="0" w:color="auto"/>
            <w:right w:val="none" w:sz="0" w:space="0" w:color="auto"/>
          </w:divBdr>
          <w:divsChild>
            <w:div w:id="1062215054">
              <w:marLeft w:val="0"/>
              <w:marRight w:val="0"/>
              <w:marTop w:val="0"/>
              <w:marBottom w:val="0"/>
              <w:divBdr>
                <w:top w:val="none" w:sz="0" w:space="0" w:color="auto"/>
                <w:left w:val="none" w:sz="0" w:space="0" w:color="auto"/>
                <w:bottom w:val="none" w:sz="0" w:space="0" w:color="auto"/>
                <w:right w:val="none" w:sz="0" w:space="0" w:color="auto"/>
              </w:divBdr>
              <w:divsChild>
                <w:div w:id="403374388">
                  <w:marLeft w:val="0"/>
                  <w:marRight w:val="0"/>
                  <w:marTop w:val="0"/>
                  <w:marBottom w:val="0"/>
                  <w:divBdr>
                    <w:top w:val="none" w:sz="0" w:space="0" w:color="auto"/>
                    <w:left w:val="none" w:sz="0" w:space="0" w:color="auto"/>
                    <w:bottom w:val="none" w:sz="0" w:space="0" w:color="auto"/>
                    <w:right w:val="none" w:sz="0" w:space="0" w:color="auto"/>
                  </w:divBdr>
                  <w:divsChild>
                    <w:div w:id="1352534457">
                      <w:marLeft w:val="0"/>
                      <w:marRight w:val="0"/>
                      <w:marTop w:val="0"/>
                      <w:marBottom w:val="0"/>
                      <w:divBdr>
                        <w:top w:val="none" w:sz="0" w:space="0" w:color="auto"/>
                        <w:left w:val="none" w:sz="0" w:space="0" w:color="auto"/>
                        <w:bottom w:val="none" w:sz="0" w:space="0" w:color="auto"/>
                        <w:right w:val="none" w:sz="0" w:space="0" w:color="auto"/>
                      </w:divBdr>
                      <w:divsChild>
                        <w:div w:id="1410422956">
                          <w:marLeft w:val="0"/>
                          <w:marRight w:val="0"/>
                          <w:marTop w:val="0"/>
                          <w:marBottom w:val="0"/>
                          <w:divBdr>
                            <w:top w:val="none" w:sz="0" w:space="0" w:color="auto"/>
                            <w:left w:val="none" w:sz="0" w:space="0" w:color="auto"/>
                            <w:bottom w:val="none" w:sz="0" w:space="0" w:color="auto"/>
                            <w:right w:val="none" w:sz="0" w:space="0" w:color="auto"/>
                          </w:divBdr>
                          <w:divsChild>
                            <w:div w:id="1296524000">
                              <w:marLeft w:val="0"/>
                              <w:marRight w:val="0"/>
                              <w:marTop w:val="0"/>
                              <w:marBottom w:val="0"/>
                              <w:divBdr>
                                <w:top w:val="none" w:sz="0" w:space="0" w:color="auto"/>
                                <w:left w:val="none" w:sz="0" w:space="0" w:color="auto"/>
                                <w:bottom w:val="none" w:sz="0" w:space="0" w:color="auto"/>
                                <w:right w:val="none" w:sz="0" w:space="0" w:color="auto"/>
                              </w:divBdr>
                              <w:divsChild>
                                <w:div w:id="312223455">
                                  <w:marLeft w:val="0"/>
                                  <w:marRight w:val="0"/>
                                  <w:marTop w:val="0"/>
                                  <w:marBottom w:val="0"/>
                                  <w:divBdr>
                                    <w:top w:val="none" w:sz="0" w:space="0" w:color="auto"/>
                                    <w:left w:val="none" w:sz="0" w:space="0" w:color="auto"/>
                                    <w:bottom w:val="none" w:sz="0" w:space="0" w:color="auto"/>
                                    <w:right w:val="none" w:sz="0" w:space="0" w:color="auto"/>
                                  </w:divBdr>
                                  <w:divsChild>
                                    <w:div w:id="1368023384">
                                      <w:marLeft w:val="0"/>
                                      <w:marRight w:val="0"/>
                                      <w:marTop w:val="0"/>
                                      <w:marBottom w:val="0"/>
                                      <w:divBdr>
                                        <w:top w:val="none" w:sz="0" w:space="0" w:color="auto"/>
                                        <w:left w:val="none" w:sz="0" w:space="0" w:color="auto"/>
                                        <w:bottom w:val="none" w:sz="0" w:space="0" w:color="auto"/>
                                        <w:right w:val="none" w:sz="0" w:space="0" w:color="auto"/>
                                      </w:divBdr>
                                      <w:divsChild>
                                        <w:div w:id="1027636752">
                                          <w:marLeft w:val="0"/>
                                          <w:marRight w:val="0"/>
                                          <w:marTop w:val="0"/>
                                          <w:marBottom w:val="0"/>
                                          <w:divBdr>
                                            <w:top w:val="none" w:sz="0" w:space="0" w:color="auto"/>
                                            <w:left w:val="none" w:sz="0" w:space="0" w:color="auto"/>
                                            <w:bottom w:val="none" w:sz="0" w:space="0" w:color="auto"/>
                                            <w:right w:val="none" w:sz="0" w:space="0" w:color="auto"/>
                                          </w:divBdr>
                                          <w:divsChild>
                                            <w:div w:id="21317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60180">
      <w:bodyDiv w:val="1"/>
      <w:marLeft w:val="0"/>
      <w:marRight w:val="0"/>
      <w:marTop w:val="0"/>
      <w:marBottom w:val="0"/>
      <w:divBdr>
        <w:top w:val="none" w:sz="0" w:space="0" w:color="auto"/>
        <w:left w:val="none" w:sz="0" w:space="0" w:color="auto"/>
        <w:bottom w:val="none" w:sz="0" w:space="0" w:color="auto"/>
        <w:right w:val="none" w:sz="0" w:space="0" w:color="auto"/>
      </w:divBdr>
    </w:div>
    <w:div w:id="209464729">
      <w:bodyDiv w:val="1"/>
      <w:marLeft w:val="0"/>
      <w:marRight w:val="0"/>
      <w:marTop w:val="0"/>
      <w:marBottom w:val="0"/>
      <w:divBdr>
        <w:top w:val="none" w:sz="0" w:space="0" w:color="auto"/>
        <w:left w:val="none" w:sz="0" w:space="0" w:color="auto"/>
        <w:bottom w:val="none" w:sz="0" w:space="0" w:color="auto"/>
        <w:right w:val="none" w:sz="0" w:space="0" w:color="auto"/>
      </w:divBdr>
    </w:div>
    <w:div w:id="212159738">
      <w:bodyDiv w:val="1"/>
      <w:marLeft w:val="0"/>
      <w:marRight w:val="0"/>
      <w:marTop w:val="0"/>
      <w:marBottom w:val="0"/>
      <w:divBdr>
        <w:top w:val="none" w:sz="0" w:space="0" w:color="auto"/>
        <w:left w:val="none" w:sz="0" w:space="0" w:color="auto"/>
        <w:bottom w:val="none" w:sz="0" w:space="0" w:color="auto"/>
        <w:right w:val="none" w:sz="0" w:space="0" w:color="auto"/>
      </w:divBdr>
    </w:div>
    <w:div w:id="220412727">
      <w:bodyDiv w:val="1"/>
      <w:marLeft w:val="0"/>
      <w:marRight w:val="0"/>
      <w:marTop w:val="0"/>
      <w:marBottom w:val="0"/>
      <w:divBdr>
        <w:top w:val="none" w:sz="0" w:space="0" w:color="auto"/>
        <w:left w:val="none" w:sz="0" w:space="0" w:color="auto"/>
        <w:bottom w:val="none" w:sz="0" w:space="0" w:color="auto"/>
        <w:right w:val="none" w:sz="0" w:space="0" w:color="auto"/>
      </w:divBdr>
    </w:div>
    <w:div w:id="225385695">
      <w:bodyDiv w:val="1"/>
      <w:marLeft w:val="0"/>
      <w:marRight w:val="0"/>
      <w:marTop w:val="0"/>
      <w:marBottom w:val="0"/>
      <w:divBdr>
        <w:top w:val="none" w:sz="0" w:space="0" w:color="auto"/>
        <w:left w:val="none" w:sz="0" w:space="0" w:color="auto"/>
        <w:bottom w:val="none" w:sz="0" w:space="0" w:color="auto"/>
        <w:right w:val="none" w:sz="0" w:space="0" w:color="auto"/>
      </w:divBdr>
    </w:div>
    <w:div w:id="2335906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3171355">
      <w:bodyDiv w:val="1"/>
      <w:marLeft w:val="0"/>
      <w:marRight w:val="0"/>
      <w:marTop w:val="0"/>
      <w:marBottom w:val="0"/>
      <w:divBdr>
        <w:top w:val="none" w:sz="0" w:space="0" w:color="auto"/>
        <w:left w:val="none" w:sz="0" w:space="0" w:color="auto"/>
        <w:bottom w:val="none" w:sz="0" w:space="0" w:color="auto"/>
        <w:right w:val="none" w:sz="0" w:space="0" w:color="auto"/>
      </w:divBdr>
    </w:div>
    <w:div w:id="257060299">
      <w:bodyDiv w:val="1"/>
      <w:marLeft w:val="0"/>
      <w:marRight w:val="0"/>
      <w:marTop w:val="0"/>
      <w:marBottom w:val="0"/>
      <w:divBdr>
        <w:top w:val="none" w:sz="0" w:space="0" w:color="auto"/>
        <w:left w:val="none" w:sz="0" w:space="0" w:color="auto"/>
        <w:bottom w:val="none" w:sz="0" w:space="0" w:color="auto"/>
        <w:right w:val="none" w:sz="0" w:space="0" w:color="auto"/>
      </w:divBdr>
    </w:div>
    <w:div w:id="275479722">
      <w:bodyDiv w:val="1"/>
      <w:marLeft w:val="0"/>
      <w:marRight w:val="0"/>
      <w:marTop w:val="0"/>
      <w:marBottom w:val="0"/>
      <w:divBdr>
        <w:top w:val="none" w:sz="0" w:space="0" w:color="auto"/>
        <w:left w:val="none" w:sz="0" w:space="0" w:color="auto"/>
        <w:bottom w:val="none" w:sz="0" w:space="0" w:color="auto"/>
        <w:right w:val="none" w:sz="0" w:space="0" w:color="auto"/>
      </w:divBdr>
    </w:div>
    <w:div w:id="276568730">
      <w:bodyDiv w:val="1"/>
      <w:marLeft w:val="0"/>
      <w:marRight w:val="0"/>
      <w:marTop w:val="0"/>
      <w:marBottom w:val="0"/>
      <w:divBdr>
        <w:top w:val="none" w:sz="0" w:space="0" w:color="auto"/>
        <w:left w:val="none" w:sz="0" w:space="0" w:color="auto"/>
        <w:bottom w:val="none" w:sz="0" w:space="0" w:color="auto"/>
        <w:right w:val="none" w:sz="0" w:space="0" w:color="auto"/>
      </w:divBdr>
    </w:div>
    <w:div w:id="339897457">
      <w:bodyDiv w:val="1"/>
      <w:marLeft w:val="0"/>
      <w:marRight w:val="0"/>
      <w:marTop w:val="0"/>
      <w:marBottom w:val="0"/>
      <w:divBdr>
        <w:top w:val="none" w:sz="0" w:space="0" w:color="auto"/>
        <w:left w:val="none" w:sz="0" w:space="0" w:color="auto"/>
        <w:bottom w:val="none" w:sz="0" w:space="0" w:color="auto"/>
        <w:right w:val="none" w:sz="0" w:space="0" w:color="auto"/>
      </w:divBdr>
    </w:div>
    <w:div w:id="342054284">
      <w:bodyDiv w:val="1"/>
      <w:marLeft w:val="0"/>
      <w:marRight w:val="0"/>
      <w:marTop w:val="0"/>
      <w:marBottom w:val="0"/>
      <w:divBdr>
        <w:top w:val="none" w:sz="0" w:space="0" w:color="auto"/>
        <w:left w:val="none" w:sz="0" w:space="0" w:color="auto"/>
        <w:bottom w:val="none" w:sz="0" w:space="0" w:color="auto"/>
        <w:right w:val="none" w:sz="0" w:space="0" w:color="auto"/>
      </w:divBdr>
    </w:div>
    <w:div w:id="349450470">
      <w:bodyDiv w:val="1"/>
      <w:marLeft w:val="0"/>
      <w:marRight w:val="0"/>
      <w:marTop w:val="0"/>
      <w:marBottom w:val="0"/>
      <w:divBdr>
        <w:top w:val="none" w:sz="0" w:space="0" w:color="auto"/>
        <w:left w:val="none" w:sz="0" w:space="0" w:color="auto"/>
        <w:bottom w:val="none" w:sz="0" w:space="0" w:color="auto"/>
        <w:right w:val="none" w:sz="0" w:space="0" w:color="auto"/>
      </w:divBdr>
    </w:div>
    <w:div w:id="375006081">
      <w:bodyDiv w:val="1"/>
      <w:marLeft w:val="0"/>
      <w:marRight w:val="0"/>
      <w:marTop w:val="0"/>
      <w:marBottom w:val="0"/>
      <w:divBdr>
        <w:top w:val="none" w:sz="0" w:space="0" w:color="auto"/>
        <w:left w:val="none" w:sz="0" w:space="0" w:color="auto"/>
        <w:bottom w:val="none" w:sz="0" w:space="0" w:color="auto"/>
        <w:right w:val="none" w:sz="0" w:space="0" w:color="auto"/>
      </w:divBdr>
    </w:div>
    <w:div w:id="384254916">
      <w:bodyDiv w:val="1"/>
      <w:marLeft w:val="0"/>
      <w:marRight w:val="0"/>
      <w:marTop w:val="0"/>
      <w:marBottom w:val="0"/>
      <w:divBdr>
        <w:top w:val="none" w:sz="0" w:space="0" w:color="auto"/>
        <w:left w:val="none" w:sz="0" w:space="0" w:color="auto"/>
        <w:bottom w:val="none" w:sz="0" w:space="0" w:color="auto"/>
        <w:right w:val="none" w:sz="0" w:space="0" w:color="auto"/>
      </w:divBdr>
    </w:div>
    <w:div w:id="397359984">
      <w:bodyDiv w:val="1"/>
      <w:marLeft w:val="0"/>
      <w:marRight w:val="0"/>
      <w:marTop w:val="0"/>
      <w:marBottom w:val="0"/>
      <w:divBdr>
        <w:top w:val="none" w:sz="0" w:space="0" w:color="auto"/>
        <w:left w:val="none" w:sz="0" w:space="0" w:color="auto"/>
        <w:bottom w:val="none" w:sz="0" w:space="0" w:color="auto"/>
        <w:right w:val="none" w:sz="0" w:space="0" w:color="auto"/>
      </w:divBdr>
    </w:div>
    <w:div w:id="536704815">
      <w:bodyDiv w:val="1"/>
      <w:marLeft w:val="0"/>
      <w:marRight w:val="0"/>
      <w:marTop w:val="0"/>
      <w:marBottom w:val="0"/>
      <w:divBdr>
        <w:top w:val="none" w:sz="0" w:space="0" w:color="auto"/>
        <w:left w:val="none" w:sz="0" w:space="0" w:color="auto"/>
        <w:bottom w:val="none" w:sz="0" w:space="0" w:color="auto"/>
        <w:right w:val="none" w:sz="0" w:space="0" w:color="auto"/>
      </w:divBdr>
    </w:div>
    <w:div w:id="562713214">
      <w:bodyDiv w:val="1"/>
      <w:marLeft w:val="0"/>
      <w:marRight w:val="0"/>
      <w:marTop w:val="0"/>
      <w:marBottom w:val="0"/>
      <w:divBdr>
        <w:top w:val="none" w:sz="0" w:space="0" w:color="auto"/>
        <w:left w:val="none" w:sz="0" w:space="0" w:color="auto"/>
        <w:bottom w:val="none" w:sz="0" w:space="0" w:color="auto"/>
        <w:right w:val="none" w:sz="0" w:space="0" w:color="auto"/>
      </w:divBdr>
    </w:div>
    <w:div w:id="580528155">
      <w:bodyDiv w:val="1"/>
      <w:marLeft w:val="0"/>
      <w:marRight w:val="0"/>
      <w:marTop w:val="0"/>
      <w:marBottom w:val="0"/>
      <w:divBdr>
        <w:top w:val="none" w:sz="0" w:space="0" w:color="auto"/>
        <w:left w:val="none" w:sz="0" w:space="0" w:color="auto"/>
        <w:bottom w:val="none" w:sz="0" w:space="0" w:color="auto"/>
        <w:right w:val="none" w:sz="0" w:space="0" w:color="auto"/>
      </w:divBdr>
    </w:div>
    <w:div w:id="59729889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3628274">
      <w:bodyDiv w:val="1"/>
      <w:marLeft w:val="0"/>
      <w:marRight w:val="0"/>
      <w:marTop w:val="0"/>
      <w:marBottom w:val="0"/>
      <w:divBdr>
        <w:top w:val="none" w:sz="0" w:space="0" w:color="auto"/>
        <w:left w:val="none" w:sz="0" w:space="0" w:color="auto"/>
        <w:bottom w:val="none" w:sz="0" w:space="0" w:color="auto"/>
        <w:right w:val="none" w:sz="0" w:space="0" w:color="auto"/>
      </w:divBdr>
    </w:div>
    <w:div w:id="683900667">
      <w:bodyDiv w:val="1"/>
      <w:marLeft w:val="0"/>
      <w:marRight w:val="0"/>
      <w:marTop w:val="0"/>
      <w:marBottom w:val="0"/>
      <w:divBdr>
        <w:top w:val="none" w:sz="0" w:space="0" w:color="auto"/>
        <w:left w:val="none" w:sz="0" w:space="0" w:color="auto"/>
        <w:bottom w:val="none" w:sz="0" w:space="0" w:color="auto"/>
        <w:right w:val="none" w:sz="0" w:space="0" w:color="auto"/>
      </w:divBdr>
    </w:div>
    <w:div w:id="688261481">
      <w:bodyDiv w:val="1"/>
      <w:marLeft w:val="0"/>
      <w:marRight w:val="0"/>
      <w:marTop w:val="0"/>
      <w:marBottom w:val="0"/>
      <w:divBdr>
        <w:top w:val="none" w:sz="0" w:space="0" w:color="auto"/>
        <w:left w:val="none" w:sz="0" w:space="0" w:color="auto"/>
        <w:bottom w:val="none" w:sz="0" w:space="0" w:color="auto"/>
        <w:right w:val="none" w:sz="0" w:space="0" w:color="auto"/>
      </w:divBdr>
    </w:div>
    <w:div w:id="692682635">
      <w:bodyDiv w:val="1"/>
      <w:marLeft w:val="0"/>
      <w:marRight w:val="0"/>
      <w:marTop w:val="0"/>
      <w:marBottom w:val="0"/>
      <w:divBdr>
        <w:top w:val="none" w:sz="0" w:space="0" w:color="auto"/>
        <w:left w:val="none" w:sz="0" w:space="0" w:color="auto"/>
        <w:bottom w:val="none" w:sz="0" w:space="0" w:color="auto"/>
        <w:right w:val="none" w:sz="0" w:space="0" w:color="auto"/>
      </w:divBdr>
    </w:div>
    <w:div w:id="713195370">
      <w:bodyDiv w:val="1"/>
      <w:marLeft w:val="0"/>
      <w:marRight w:val="0"/>
      <w:marTop w:val="0"/>
      <w:marBottom w:val="0"/>
      <w:divBdr>
        <w:top w:val="none" w:sz="0" w:space="0" w:color="auto"/>
        <w:left w:val="none" w:sz="0" w:space="0" w:color="auto"/>
        <w:bottom w:val="none" w:sz="0" w:space="0" w:color="auto"/>
        <w:right w:val="none" w:sz="0" w:space="0" w:color="auto"/>
      </w:divBdr>
    </w:div>
    <w:div w:id="750665003">
      <w:bodyDiv w:val="1"/>
      <w:marLeft w:val="0"/>
      <w:marRight w:val="0"/>
      <w:marTop w:val="0"/>
      <w:marBottom w:val="0"/>
      <w:divBdr>
        <w:top w:val="none" w:sz="0" w:space="0" w:color="auto"/>
        <w:left w:val="none" w:sz="0" w:space="0" w:color="auto"/>
        <w:bottom w:val="none" w:sz="0" w:space="0" w:color="auto"/>
        <w:right w:val="none" w:sz="0" w:space="0" w:color="auto"/>
      </w:divBdr>
    </w:div>
    <w:div w:id="776679359">
      <w:bodyDiv w:val="1"/>
      <w:marLeft w:val="0"/>
      <w:marRight w:val="0"/>
      <w:marTop w:val="0"/>
      <w:marBottom w:val="0"/>
      <w:divBdr>
        <w:top w:val="none" w:sz="0" w:space="0" w:color="auto"/>
        <w:left w:val="none" w:sz="0" w:space="0" w:color="auto"/>
        <w:bottom w:val="none" w:sz="0" w:space="0" w:color="auto"/>
        <w:right w:val="none" w:sz="0" w:space="0" w:color="auto"/>
      </w:divBdr>
    </w:div>
    <w:div w:id="788016760">
      <w:bodyDiv w:val="1"/>
      <w:marLeft w:val="0"/>
      <w:marRight w:val="0"/>
      <w:marTop w:val="0"/>
      <w:marBottom w:val="0"/>
      <w:divBdr>
        <w:top w:val="none" w:sz="0" w:space="0" w:color="auto"/>
        <w:left w:val="none" w:sz="0" w:space="0" w:color="auto"/>
        <w:bottom w:val="none" w:sz="0" w:space="0" w:color="auto"/>
        <w:right w:val="none" w:sz="0" w:space="0" w:color="auto"/>
      </w:divBdr>
    </w:div>
    <w:div w:id="802774882">
      <w:bodyDiv w:val="1"/>
      <w:marLeft w:val="0"/>
      <w:marRight w:val="0"/>
      <w:marTop w:val="0"/>
      <w:marBottom w:val="0"/>
      <w:divBdr>
        <w:top w:val="none" w:sz="0" w:space="0" w:color="auto"/>
        <w:left w:val="none" w:sz="0" w:space="0" w:color="auto"/>
        <w:bottom w:val="none" w:sz="0" w:space="0" w:color="auto"/>
        <w:right w:val="none" w:sz="0" w:space="0" w:color="auto"/>
      </w:divBdr>
    </w:div>
    <w:div w:id="828643121">
      <w:bodyDiv w:val="1"/>
      <w:marLeft w:val="0"/>
      <w:marRight w:val="0"/>
      <w:marTop w:val="0"/>
      <w:marBottom w:val="0"/>
      <w:divBdr>
        <w:top w:val="none" w:sz="0" w:space="0" w:color="auto"/>
        <w:left w:val="none" w:sz="0" w:space="0" w:color="auto"/>
        <w:bottom w:val="none" w:sz="0" w:space="0" w:color="auto"/>
        <w:right w:val="none" w:sz="0" w:space="0" w:color="auto"/>
      </w:divBdr>
    </w:div>
    <w:div w:id="834689048">
      <w:bodyDiv w:val="1"/>
      <w:marLeft w:val="0"/>
      <w:marRight w:val="0"/>
      <w:marTop w:val="0"/>
      <w:marBottom w:val="0"/>
      <w:divBdr>
        <w:top w:val="none" w:sz="0" w:space="0" w:color="auto"/>
        <w:left w:val="none" w:sz="0" w:space="0" w:color="auto"/>
        <w:bottom w:val="none" w:sz="0" w:space="0" w:color="auto"/>
        <w:right w:val="none" w:sz="0" w:space="0" w:color="auto"/>
      </w:divBdr>
    </w:div>
    <w:div w:id="866062930">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934292486">
      <w:bodyDiv w:val="1"/>
      <w:marLeft w:val="0"/>
      <w:marRight w:val="0"/>
      <w:marTop w:val="0"/>
      <w:marBottom w:val="0"/>
      <w:divBdr>
        <w:top w:val="none" w:sz="0" w:space="0" w:color="auto"/>
        <w:left w:val="none" w:sz="0" w:space="0" w:color="auto"/>
        <w:bottom w:val="none" w:sz="0" w:space="0" w:color="auto"/>
        <w:right w:val="none" w:sz="0" w:space="0" w:color="auto"/>
      </w:divBdr>
    </w:div>
    <w:div w:id="939025131">
      <w:bodyDiv w:val="1"/>
      <w:marLeft w:val="0"/>
      <w:marRight w:val="0"/>
      <w:marTop w:val="0"/>
      <w:marBottom w:val="0"/>
      <w:divBdr>
        <w:top w:val="none" w:sz="0" w:space="0" w:color="auto"/>
        <w:left w:val="none" w:sz="0" w:space="0" w:color="auto"/>
        <w:bottom w:val="none" w:sz="0" w:space="0" w:color="auto"/>
        <w:right w:val="none" w:sz="0" w:space="0" w:color="auto"/>
      </w:divBdr>
    </w:div>
    <w:div w:id="964502136">
      <w:bodyDiv w:val="1"/>
      <w:marLeft w:val="0"/>
      <w:marRight w:val="0"/>
      <w:marTop w:val="0"/>
      <w:marBottom w:val="0"/>
      <w:divBdr>
        <w:top w:val="none" w:sz="0" w:space="0" w:color="auto"/>
        <w:left w:val="none" w:sz="0" w:space="0" w:color="auto"/>
        <w:bottom w:val="none" w:sz="0" w:space="0" w:color="auto"/>
        <w:right w:val="none" w:sz="0" w:space="0" w:color="auto"/>
      </w:divBdr>
    </w:div>
    <w:div w:id="965811609">
      <w:bodyDiv w:val="1"/>
      <w:marLeft w:val="0"/>
      <w:marRight w:val="0"/>
      <w:marTop w:val="0"/>
      <w:marBottom w:val="0"/>
      <w:divBdr>
        <w:top w:val="none" w:sz="0" w:space="0" w:color="auto"/>
        <w:left w:val="none" w:sz="0" w:space="0" w:color="auto"/>
        <w:bottom w:val="none" w:sz="0" w:space="0" w:color="auto"/>
        <w:right w:val="none" w:sz="0" w:space="0" w:color="auto"/>
      </w:divBdr>
    </w:div>
    <w:div w:id="97120700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39214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763135">
      <w:bodyDiv w:val="1"/>
      <w:marLeft w:val="0"/>
      <w:marRight w:val="0"/>
      <w:marTop w:val="0"/>
      <w:marBottom w:val="0"/>
      <w:divBdr>
        <w:top w:val="none" w:sz="0" w:space="0" w:color="auto"/>
        <w:left w:val="none" w:sz="0" w:space="0" w:color="auto"/>
        <w:bottom w:val="none" w:sz="0" w:space="0" w:color="auto"/>
        <w:right w:val="none" w:sz="0" w:space="0" w:color="auto"/>
      </w:divBdr>
      <w:divsChild>
        <w:div w:id="1306158593">
          <w:marLeft w:val="0"/>
          <w:marRight w:val="0"/>
          <w:marTop w:val="0"/>
          <w:marBottom w:val="0"/>
          <w:divBdr>
            <w:top w:val="none" w:sz="0" w:space="0" w:color="auto"/>
            <w:left w:val="none" w:sz="0" w:space="0" w:color="auto"/>
            <w:bottom w:val="none" w:sz="0" w:space="0" w:color="auto"/>
            <w:right w:val="none" w:sz="0" w:space="0" w:color="auto"/>
          </w:divBdr>
          <w:divsChild>
            <w:div w:id="21056923">
              <w:marLeft w:val="0"/>
              <w:marRight w:val="0"/>
              <w:marTop w:val="0"/>
              <w:marBottom w:val="0"/>
              <w:divBdr>
                <w:top w:val="none" w:sz="0" w:space="0" w:color="auto"/>
                <w:left w:val="none" w:sz="0" w:space="0" w:color="auto"/>
                <w:bottom w:val="none" w:sz="0" w:space="0" w:color="auto"/>
                <w:right w:val="none" w:sz="0" w:space="0" w:color="auto"/>
              </w:divBdr>
              <w:divsChild>
                <w:div w:id="297498499">
                  <w:marLeft w:val="0"/>
                  <w:marRight w:val="0"/>
                  <w:marTop w:val="0"/>
                  <w:marBottom w:val="0"/>
                  <w:divBdr>
                    <w:top w:val="none" w:sz="0" w:space="0" w:color="auto"/>
                    <w:left w:val="none" w:sz="0" w:space="0" w:color="auto"/>
                    <w:bottom w:val="none" w:sz="0" w:space="0" w:color="auto"/>
                    <w:right w:val="none" w:sz="0" w:space="0" w:color="auto"/>
                  </w:divBdr>
                  <w:divsChild>
                    <w:div w:id="472256804">
                      <w:marLeft w:val="0"/>
                      <w:marRight w:val="0"/>
                      <w:marTop w:val="0"/>
                      <w:marBottom w:val="0"/>
                      <w:divBdr>
                        <w:top w:val="none" w:sz="0" w:space="0" w:color="auto"/>
                        <w:left w:val="none" w:sz="0" w:space="0" w:color="auto"/>
                        <w:bottom w:val="none" w:sz="0" w:space="0" w:color="auto"/>
                        <w:right w:val="none" w:sz="0" w:space="0" w:color="auto"/>
                      </w:divBdr>
                      <w:divsChild>
                        <w:div w:id="429857714">
                          <w:marLeft w:val="0"/>
                          <w:marRight w:val="0"/>
                          <w:marTop w:val="0"/>
                          <w:marBottom w:val="0"/>
                          <w:divBdr>
                            <w:top w:val="none" w:sz="0" w:space="0" w:color="auto"/>
                            <w:left w:val="none" w:sz="0" w:space="0" w:color="auto"/>
                            <w:bottom w:val="none" w:sz="0" w:space="0" w:color="auto"/>
                            <w:right w:val="none" w:sz="0" w:space="0" w:color="auto"/>
                          </w:divBdr>
                          <w:divsChild>
                            <w:div w:id="1662345270">
                              <w:marLeft w:val="0"/>
                              <w:marRight w:val="0"/>
                              <w:marTop w:val="0"/>
                              <w:marBottom w:val="0"/>
                              <w:divBdr>
                                <w:top w:val="none" w:sz="0" w:space="0" w:color="auto"/>
                                <w:left w:val="none" w:sz="0" w:space="0" w:color="auto"/>
                                <w:bottom w:val="none" w:sz="0" w:space="0" w:color="auto"/>
                                <w:right w:val="none" w:sz="0" w:space="0" w:color="auto"/>
                              </w:divBdr>
                              <w:divsChild>
                                <w:div w:id="854659009">
                                  <w:marLeft w:val="0"/>
                                  <w:marRight w:val="0"/>
                                  <w:marTop w:val="0"/>
                                  <w:marBottom w:val="0"/>
                                  <w:divBdr>
                                    <w:top w:val="none" w:sz="0" w:space="0" w:color="auto"/>
                                    <w:left w:val="none" w:sz="0" w:space="0" w:color="auto"/>
                                    <w:bottom w:val="none" w:sz="0" w:space="0" w:color="auto"/>
                                    <w:right w:val="none" w:sz="0" w:space="0" w:color="auto"/>
                                  </w:divBdr>
                                  <w:divsChild>
                                    <w:div w:id="1653833331">
                                      <w:marLeft w:val="0"/>
                                      <w:marRight w:val="0"/>
                                      <w:marTop w:val="0"/>
                                      <w:marBottom w:val="0"/>
                                      <w:divBdr>
                                        <w:top w:val="none" w:sz="0" w:space="0" w:color="auto"/>
                                        <w:left w:val="none" w:sz="0" w:space="0" w:color="auto"/>
                                        <w:bottom w:val="none" w:sz="0" w:space="0" w:color="auto"/>
                                        <w:right w:val="none" w:sz="0" w:space="0" w:color="auto"/>
                                      </w:divBdr>
                                      <w:divsChild>
                                        <w:div w:id="828252568">
                                          <w:marLeft w:val="0"/>
                                          <w:marRight w:val="0"/>
                                          <w:marTop w:val="0"/>
                                          <w:marBottom w:val="0"/>
                                          <w:divBdr>
                                            <w:top w:val="none" w:sz="0" w:space="0" w:color="auto"/>
                                            <w:left w:val="none" w:sz="0" w:space="0" w:color="auto"/>
                                            <w:bottom w:val="none" w:sz="0" w:space="0" w:color="auto"/>
                                            <w:right w:val="none" w:sz="0" w:space="0" w:color="auto"/>
                                          </w:divBdr>
                                          <w:divsChild>
                                            <w:div w:id="8013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7251">
                                  <w:marLeft w:val="0"/>
                                  <w:marRight w:val="0"/>
                                  <w:marTop w:val="0"/>
                                  <w:marBottom w:val="0"/>
                                  <w:divBdr>
                                    <w:top w:val="none" w:sz="0" w:space="0" w:color="auto"/>
                                    <w:left w:val="none" w:sz="0" w:space="0" w:color="auto"/>
                                    <w:bottom w:val="none" w:sz="0" w:space="0" w:color="auto"/>
                                    <w:right w:val="none" w:sz="0" w:space="0" w:color="auto"/>
                                  </w:divBdr>
                                  <w:divsChild>
                                    <w:div w:id="17901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684316">
          <w:marLeft w:val="0"/>
          <w:marRight w:val="0"/>
          <w:marTop w:val="0"/>
          <w:marBottom w:val="0"/>
          <w:divBdr>
            <w:top w:val="none" w:sz="0" w:space="0" w:color="auto"/>
            <w:left w:val="none" w:sz="0" w:space="0" w:color="auto"/>
            <w:bottom w:val="none" w:sz="0" w:space="0" w:color="auto"/>
            <w:right w:val="none" w:sz="0" w:space="0" w:color="auto"/>
          </w:divBdr>
          <w:divsChild>
            <w:div w:id="890579126">
              <w:marLeft w:val="0"/>
              <w:marRight w:val="0"/>
              <w:marTop w:val="0"/>
              <w:marBottom w:val="0"/>
              <w:divBdr>
                <w:top w:val="none" w:sz="0" w:space="0" w:color="auto"/>
                <w:left w:val="none" w:sz="0" w:space="0" w:color="auto"/>
                <w:bottom w:val="none" w:sz="0" w:space="0" w:color="auto"/>
                <w:right w:val="none" w:sz="0" w:space="0" w:color="auto"/>
              </w:divBdr>
              <w:divsChild>
                <w:div w:id="2033340806">
                  <w:marLeft w:val="0"/>
                  <w:marRight w:val="0"/>
                  <w:marTop w:val="0"/>
                  <w:marBottom w:val="0"/>
                  <w:divBdr>
                    <w:top w:val="none" w:sz="0" w:space="0" w:color="auto"/>
                    <w:left w:val="none" w:sz="0" w:space="0" w:color="auto"/>
                    <w:bottom w:val="none" w:sz="0" w:space="0" w:color="auto"/>
                    <w:right w:val="none" w:sz="0" w:space="0" w:color="auto"/>
                  </w:divBdr>
                  <w:divsChild>
                    <w:div w:id="846867095">
                      <w:marLeft w:val="0"/>
                      <w:marRight w:val="0"/>
                      <w:marTop w:val="0"/>
                      <w:marBottom w:val="0"/>
                      <w:divBdr>
                        <w:top w:val="none" w:sz="0" w:space="0" w:color="auto"/>
                        <w:left w:val="none" w:sz="0" w:space="0" w:color="auto"/>
                        <w:bottom w:val="none" w:sz="0" w:space="0" w:color="auto"/>
                        <w:right w:val="none" w:sz="0" w:space="0" w:color="auto"/>
                      </w:divBdr>
                      <w:divsChild>
                        <w:div w:id="1732921107">
                          <w:marLeft w:val="0"/>
                          <w:marRight w:val="0"/>
                          <w:marTop w:val="0"/>
                          <w:marBottom w:val="0"/>
                          <w:divBdr>
                            <w:top w:val="none" w:sz="0" w:space="0" w:color="auto"/>
                            <w:left w:val="none" w:sz="0" w:space="0" w:color="auto"/>
                            <w:bottom w:val="none" w:sz="0" w:space="0" w:color="auto"/>
                            <w:right w:val="none" w:sz="0" w:space="0" w:color="auto"/>
                          </w:divBdr>
                          <w:divsChild>
                            <w:div w:id="1609384327">
                              <w:marLeft w:val="0"/>
                              <w:marRight w:val="0"/>
                              <w:marTop w:val="0"/>
                              <w:marBottom w:val="0"/>
                              <w:divBdr>
                                <w:top w:val="none" w:sz="0" w:space="0" w:color="auto"/>
                                <w:left w:val="none" w:sz="0" w:space="0" w:color="auto"/>
                                <w:bottom w:val="none" w:sz="0" w:space="0" w:color="auto"/>
                                <w:right w:val="none" w:sz="0" w:space="0" w:color="auto"/>
                              </w:divBdr>
                              <w:divsChild>
                                <w:div w:id="567807907">
                                  <w:marLeft w:val="0"/>
                                  <w:marRight w:val="0"/>
                                  <w:marTop w:val="0"/>
                                  <w:marBottom w:val="0"/>
                                  <w:divBdr>
                                    <w:top w:val="none" w:sz="0" w:space="0" w:color="auto"/>
                                    <w:left w:val="none" w:sz="0" w:space="0" w:color="auto"/>
                                    <w:bottom w:val="none" w:sz="0" w:space="0" w:color="auto"/>
                                    <w:right w:val="none" w:sz="0" w:space="0" w:color="auto"/>
                                  </w:divBdr>
                                  <w:divsChild>
                                    <w:div w:id="1904757696">
                                      <w:marLeft w:val="0"/>
                                      <w:marRight w:val="0"/>
                                      <w:marTop w:val="0"/>
                                      <w:marBottom w:val="0"/>
                                      <w:divBdr>
                                        <w:top w:val="none" w:sz="0" w:space="0" w:color="auto"/>
                                        <w:left w:val="none" w:sz="0" w:space="0" w:color="auto"/>
                                        <w:bottom w:val="none" w:sz="0" w:space="0" w:color="auto"/>
                                        <w:right w:val="none" w:sz="0" w:space="0" w:color="auto"/>
                                      </w:divBdr>
                                      <w:divsChild>
                                        <w:div w:id="1563832636">
                                          <w:marLeft w:val="0"/>
                                          <w:marRight w:val="0"/>
                                          <w:marTop w:val="0"/>
                                          <w:marBottom w:val="0"/>
                                          <w:divBdr>
                                            <w:top w:val="none" w:sz="0" w:space="0" w:color="auto"/>
                                            <w:left w:val="none" w:sz="0" w:space="0" w:color="auto"/>
                                            <w:bottom w:val="none" w:sz="0" w:space="0" w:color="auto"/>
                                            <w:right w:val="none" w:sz="0" w:space="0" w:color="auto"/>
                                          </w:divBdr>
                                          <w:divsChild>
                                            <w:div w:id="12797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2790022">
      <w:bodyDiv w:val="1"/>
      <w:marLeft w:val="0"/>
      <w:marRight w:val="0"/>
      <w:marTop w:val="0"/>
      <w:marBottom w:val="0"/>
      <w:divBdr>
        <w:top w:val="none" w:sz="0" w:space="0" w:color="auto"/>
        <w:left w:val="none" w:sz="0" w:space="0" w:color="auto"/>
        <w:bottom w:val="none" w:sz="0" w:space="0" w:color="auto"/>
        <w:right w:val="none" w:sz="0" w:space="0" w:color="auto"/>
      </w:divBdr>
    </w:div>
    <w:div w:id="1139496914">
      <w:bodyDiv w:val="1"/>
      <w:marLeft w:val="0"/>
      <w:marRight w:val="0"/>
      <w:marTop w:val="0"/>
      <w:marBottom w:val="0"/>
      <w:divBdr>
        <w:top w:val="none" w:sz="0" w:space="0" w:color="auto"/>
        <w:left w:val="none" w:sz="0" w:space="0" w:color="auto"/>
        <w:bottom w:val="none" w:sz="0" w:space="0" w:color="auto"/>
        <w:right w:val="none" w:sz="0" w:space="0" w:color="auto"/>
      </w:divBdr>
    </w:div>
    <w:div w:id="1187132142">
      <w:bodyDiv w:val="1"/>
      <w:marLeft w:val="0"/>
      <w:marRight w:val="0"/>
      <w:marTop w:val="0"/>
      <w:marBottom w:val="0"/>
      <w:divBdr>
        <w:top w:val="none" w:sz="0" w:space="0" w:color="auto"/>
        <w:left w:val="none" w:sz="0" w:space="0" w:color="auto"/>
        <w:bottom w:val="none" w:sz="0" w:space="0" w:color="auto"/>
        <w:right w:val="none" w:sz="0" w:space="0" w:color="auto"/>
      </w:divBdr>
    </w:div>
    <w:div w:id="1196960895">
      <w:bodyDiv w:val="1"/>
      <w:marLeft w:val="0"/>
      <w:marRight w:val="0"/>
      <w:marTop w:val="0"/>
      <w:marBottom w:val="0"/>
      <w:divBdr>
        <w:top w:val="none" w:sz="0" w:space="0" w:color="auto"/>
        <w:left w:val="none" w:sz="0" w:space="0" w:color="auto"/>
        <w:bottom w:val="none" w:sz="0" w:space="0" w:color="auto"/>
        <w:right w:val="none" w:sz="0" w:space="0" w:color="auto"/>
      </w:divBdr>
    </w:div>
    <w:div w:id="1267274849">
      <w:bodyDiv w:val="1"/>
      <w:marLeft w:val="0"/>
      <w:marRight w:val="0"/>
      <w:marTop w:val="0"/>
      <w:marBottom w:val="0"/>
      <w:divBdr>
        <w:top w:val="none" w:sz="0" w:space="0" w:color="auto"/>
        <w:left w:val="none" w:sz="0" w:space="0" w:color="auto"/>
        <w:bottom w:val="none" w:sz="0" w:space="0" w:color="auto"/>
        <w:right w:val="none" w:sz="0" w:space="0" w:color="auto"/>
      </w:divBdr>
    </w:div>
    <w:div w:id="1278173267">
      <w:bodyDiv w:val="1"/>
      <w:marLeft w:val="0"/>
      <w:marRight w:val="0"/>
      <w:marTop w:val="0"/>
      <w:marBottom w:val="0"/>
      <w:divBdr>
        <w:top w:val="none" w:sz="0" w:space="0" w:color="auto"/>
        <w:left w:val="none" w:sz="0" w:space="0" w:color="auto"/>
        <w:bottom w:val="none" w:sz="0" w:space="0" w:color="auto"/>
        <w:right w:val="none" w:sz="0" w:space="0" w:color="auto"/>
      </w:divBdr>
    </w:div>
    <w:div w:id="1295327400">
      <w:bodyDiv w:val="1"/>
      <w:marLeft w:val="0"/>
      <w:marRight w:val="0"/>
      <w:marTop w:val="0"/>
      <w:marBottom w:val="0"/>
      <w:divBdr>
        <w:top w:val="none" w:sz="0" w:space="0" w:color="auto"/>
        <w:left w:val="none" w:sz="0" w:space="0" w:color="auto"/>
        <w:bottom w:val="none" w:sz="0" w:space="0" w:color="auto"/>
        <w:right w:val="none" w:sz="0" w:space="0" w:color="auto"/>
      </w:divBdr>
    </w:div>
    <w:div w:id="1313633954">
      <w:bodyDiv w:val="1"/>
      <w:marLeft w:val="0"/>
      <w:marRight w:val="0"/>
      <w:marTop w:val="0"/>
      <w:marBottom w:val="0"/>
      <w:divBdr>
        <w:top w:val="none" w:sz="0" w:space="0" w:color="auto"/>
        <w:left w:val="none" w:sz="0" w:space="0" w:color="auto"/>
        <w:bottom w:val="none" w:sz="0" w:space="0" w:color="auto"/>
        <w:right w:val="none" w:sz="0" w:space="0" w:color="auto"/>
      </w:divBdr>
    </w:div>
    <w:div w:id="1313825442">
      <w:bodyDiv w:val="1"/>
      <w:marLeft w:val="0"/>
      <w:marRight w:val="0"/>
      <w:marTop w:val="0"/>
      <w:marBottom w:val="0"/>
      <w:divBdr>
        <w:top w:val="none" w:sz="0" w:space="0" w:color="auto"/>
        <w:left w:val="none" w:sz="0" w:space="0" w:color="auto"/>
        <w:bottom w:val="none" w:sz="0" w:space="0" w:color="auto"/>
        <w:right w:val="none" w:sz="0" w:space="0" w:color="auto"/>
      </w:divBdr>
    </w:div>
    <w:div w:id="1322737845">
      <w:bodyDiv w:val="1"/>
      <w:marLeft w:val="0"/>
      <w:marRight w:val="0"/>
      <w:marTop w:val="0"/>
      <w:marBottom w:val="0"/>
      <w:divBdr>
        <w:top w:val="none" w:sz="0" w:space="0" w:color="auto"/>
        <w:left w:val="none" w:sz="0" w:space="0" w:color="auto"/>
        <w:bottom w:val="none" w:sz="0" w:space="0" w:color="auto"/>
        <w:right w:val="none" w:sz="0" w:space="0" w:color="auto"/>
      </w:divBdr>
    </w:div>
    <w:div w:id="1346635970">
      <w:bodyDiv w:val="1"/>
      <w:marLeft w:val="0"/>
      <w:marRight w:val="0"/>
      <w:marTop w:val="0"/>
      <w:marBottom w:val="0"/>
      <w:divBdr>
        <w:top w:val="none" w:sz="0" w:space="0" w:color="auto"/>
        <w:left w:val="none" w:sz="0" w:space="0" w:color="auto"/>
        <w:bottom w:val="none" w:sz="0" w:space="0" w:color="auto"/>
        <w:right w:val="none" w:sz="0" w:space="0" w:color="auto"/>
      </w:divBdr>
    </w:div>
    <w:div w:id="1407265714">
      <w:bodyDiv w:val="1"/>
      <w:marLeft w:val="0"/>
      <w:marRight w:val="0"/>
      <w:marTop w:val="0"/>
      <w:marBottom w:val="0"/>
      <w:divBdr>
        <w:top w:val="none" w:sz="0" w:space="0" w:color="auto"/>
        <w:left w:val="none" w:sz="0" w:space="0" w:color="auto"/>
        <w:bottom w:val="none" w:sz="0" w:space="0" w:color="auto"/>
        <w:right w:val="none" w:sz="0" w:space="0" w:color="auto"/>
      </w:divBdr>
    </w:div>
    <w:div w:id="1475367288">
      <w:bodyDiv w:val="1"/>
      <w:marLeft w:val="0"/>
      <w:marRight w:val="0"/>
      <w:marTop w:val="0"/>
      <w:marBottom w:val="0"/>
      <w:divBdr>
        <w:top w:val="none" w:sz="0" w:space="0" w:color="auto"/>
        <w:left w:val="none" w:sz="0" w:space="0" w:color="auto"/>
        <w:bottom w:val="none" w:sz="0" w:space="0" w:color="auto"/>
        <w:right w:val="none" w:sz="0" w:space="0" w:color="auto"/>
      </w:divBdr>
    </w:div>
    <w:div w:id="1487672065">
      <w:bodyDiv w:val="1"/>
      <w:marLeft w:val="0"/>
      <w:marRight w:val="0"/>
      <w:marTop w:val="0"/>
      <w:marBottom w:val="0"/>
      <w:divBdr>
        <w:top w:val="none" w:sz="0" w:space="0" w:color="auto"/>
        <w:left w:val="none" w:sz="0" w:space="0" w:color="auto"/>
        <w:bottom w:val="none" w:sz="0" w:space="0" w:color="auto"/>
        <w:right w:val="none" w:sz="0" w:space="0" w:color="auto"/>
      </w:divBdr>
    </w:div>
    <w:div w:id="1497572339">
      <w:bodyDiv w:val="1"/>
      <w:marLeft w:val="0"/>
      <w:marRight w:val="0"/>
      <w:marTop w:val="0"/>
      <w:marBottom w:val="0"/>
      <w:divBdr>
        <w:top w:val="none" w:sz="0" w:space="0" w:color="auto"/>
        <w:left w:val="none" w:sz="0" w:space="0" w:color="auto"/>
        <w:bottom w:val="none" w:sz="0" w:space="0" w:color="auto"/>
        <w:right w:val="none" w:sz="0" w:space="0" w:color="auto"/>
      </w:divBdr>
    </w:div>
    <w:div w:id="1509758371">
      <w:bodyDiv w:val="1"/>
      <w:marLeft w:val="0"/>
      <w:marRight w:val="0"/>
      <w:marTop w:val="0"/>
      <w:marBottom w:val="0"/>
      <w:divBdr>
        <w:top w:val="none" w:sz="0" w:space="0" w:color="auto"/>
        <w:left w:val="none" w:sz="0" w:space="0" w:color="auto"/>
        <w:bottom w:val="none" w:sz="0" w:space="0" w:color="auto"/>
        <w:right w:val="none" w:sz="0" w:space="0" w:color="auto"/>
      </w:divBdr>
    </w:div>
    <w:div w:id="1511406590">
      <w:bodyDiv w:val="1"/>
      <w:marLeft w:val="0"/>
      <w:marRight w:val="0"/>
      <w:marTop w:val="0"/>
      <w:marBottom w:val="0"/>
      <w:divBdr>
        <w:top w:val="none" w:sz="0" w:space="0" w:color="auto"/>
        <w:left w:val="none" w:sz="0" w:space="0" w:color="auto"/>
        <w:bottom w:val="none" w:sz="0" w:space="0" w:color="auto"/>
        <w:right w:val="none" w:sz="0" w:space="0" w:color="auto"/>
      </w:divBdr>
    </w:div>
    <w:div w:id="1589851317">
      <w:bodyDiv w:val="1"/>
      <w:marLeft w:val="0"/>
      <w:marRight w:val="0"/>
      <w:marTop w:val="0"/>
      <w:marBottom w:val="0"/>
      <w:divBdr>
        <w:top w:val="none" w:sz="0" w:space="0" w:color="auto"/>
        <w:left w:val="none" w:sz="0" w:space="0" w:color="auto"/>
        <w:bottom w:val="none" w:sz="0" w:space="0" w:color="auto"/>
        <w:right w:val="none" w:sz="0" w:space="0" w:color="auto"/>
      </w:divBdr>
    </w:div>
    <w:div w:id="1611275345">
      <w:bodyDiv w:val="1"/>
      <w:marLeft w:val="0"/>
      <w:marRight w:val="0"/>
      <w:marTop w:val="0"/>
      <w:marBottom w:val="0"/>
      <w:divBdr>
        <w:top w:val="none" w:sz="0" w:space="0" w:color="auto"/>
        <w:left w:val="none" w:sz="0" w:space="0" w:color="auto"/>
        <w:bottom w:val="none" w:sz="0" w:space="0" w:color="auto"/>
        <w:right w:val="none" w:sz="0" w:space="0" w:color="auto"/>
      </w:divBdr>
    </w:div>
    <w:div w:id="1649742567">
      <w:bodyDiv w:val="1"/>
      <w:marLeft w:val="0"/>
      <w:marRight w:val="0"/>
      <w:marTop w:val="0"/>
      <w:marBottom w:val="0"/>
      <w:divBdr>
        <w:top w:val="none" w:sz="0" w:space="0" w:color="auto"/>
        <w:left w:val="none" w:sz="0" w:space="0" w:color="auto"/>
        <w:bottom w:val="none" w:sz="0" w:space="0" w:color="auto"/>
        <w:right w:val="none" w:sz="0" w:space="0" w:color="auto"/>
      </w:divBdr>
    </w:div>
    <w:div w:id="1689942367">
      <w:bodyDiv w:val="1"/>
      <w:marLeft w:val="0"/>
      <w:marRight w:val="0"/>
      <w:marTop w:val="0"/>
      <w:marBottom w:val="0"/>
      <w:divBdr>
        <w:top w:val="none" w:sz="0" w:space="0" w:color="auto"/>
        <w:left w:val="none" w:sz="0" w:space="0" w:color="auto"/>
        <w:bottom w:val="none" w:sz="0" w:space="0" w:color="auto"/>
        <w:right w:val="none" w:sz="0" w:space="0" w:color="auto"/>
      </w:divBdr>
    </w:div>
    <w:div w:id="1726834075">
      <w:bodyDiv w:val="1"/>
      <w:marLeft w:val="0"/>
      <w:marRight w:val="0"/>
      <w:marTop w:val="0"/>
      <w:marBottom w:val="0"/>
      <w:divBdr>
        <w:top w:val="none" w:sz="0" w:space="0" w:color="auto"/>
        <w:left w:val="none" w:sz="0" w:space="0" w:color="auto"/>
        <w:bottom w:val="none" w:sz="0" w:space="0" w:color="auto"/>
        <w:right w:val="none" w:sz="0" w:space="0" w:color="auto"/>
      </w:divBdr>
    </w:div>
    <w:div w:id="1737313109">
      <w:bodyDiv w:val="1"/>
      <w:marLeft w:val="0"/>
      <w:marRight w:val="0"/>
      <w:marTop w:val="0"/>
      <w:marBottom w:val="0"/>
      <w:divBdr>
        <w:top w:val="none" w:sz="0" w:space="0" w:color="auto"/>
        <w:left w:val="none" w:sz="0" w:space="0" w:color="auto"/>
        <w:bottom w:val="none" w:sz="0" w:space="0" w:color="auto"/>
        <w:right w:val="none" w:sz="0" w:space="0" w:color="auto"/>
      </w:divBdr>
    </w:div>
    <w:div w:id="17380938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7142364">
      <w:bodyDiv w:val="1"/>
      <w:marLeft w:val="0"/>
      <w:marRight w:val="0"/>
      <w:marTop w:val="0"/>
      <w:marBottom w:val="0"/>
      <w:divBdr>
        <w:top w:val="none" w:sz="0" w:space="0" w:color="auto"/>
        <w:left w:val="none" w:sz="0" w:space="0" w:color="auto"/>
        <w:bottom w:val="none" w:sz="0" w:space="0" w:color="auto"/>
        <w:right w:val="none" w:sz="0" w:space="0" w:color="auto"/>
      </w:divBdr>
    </w:div>
    <w:div w:id="1762557031">
      <w:bodyDiv w:val="1"/>
      <w:marLeft w:val="0"/>
      <w:marRight w:val="0"/>
      <w:marTop w:val="0"/>
      <w:marBottom w:val="0"/>
      <w:divBdr>
        <w:top w:val="none" w:sz="0" w:space="0" w:color="auto"/>
        <w:left w:val="none" w:sz="0" w:space="0" w:color="auto"/>
        <w:bottom w:val="none" w:sz="0" w:space="0" w:color="auto"/>
        <w:right w:val="none" w:sz="0" w:space="0" w:color="auto"/>
      </w:divBdr>
    </w:div>
    <w:div w:id="1762725892">
      <w:bodyDiv w:val="1"/>
      <w:marLeft w:val="0"/>
      <w:marRight w:val="0"/>
      <w:marTop w:val="0"/>
      <w:marBottom w:val="0"/>
      <w:divBdr>
        <w:top w:val="none" w:sz="0" w:space="0" w:color="auto"/>
        <w:left w:val="none" w:sz="0" w:space="0" w:color="auto"/>
        <w:bottom w:val="none" w:sz="0" w:space="0" w:color="auto"/>
        <w:right w:val="none" w:sz="0" w:space="0" w:color="auto"/>
      </w:divBdr>
    </w:div>
    <w:div w:id="1765607751">
      <w:bodyDiv w:val="1"/>
      <w:marLeft w:val="0"/>
      <w:marRight w:val="0"/>
      <w:marTop w:val="0"/>
      <w:marBottom w:val="0"/>
      <w:divBdr>
        <w:top w:val="none" w:sz="0" w:space="0" w:color="auto"/>
        <w:left w:val="none" w:sz="0" w:space="0" w:color="auto"/>
        <w:bottom w:val="none" w:sz="0" w:space="0" w:color="auto"/>
        <w:right w:val="none" w:sz="0" w:space="0" w:color="auto"/>
      </w:divBdr>
    </w:div>
    <w:div w:id="1781993799">
      <w:bodyDiv w:val="1"/>
      <w:marLeft w:val="0"/>
      <w:marRight w:val="0"/>
      <w:marTop w:val="0"/>
      <w:marBottom w:val="0"/>
      <w:divBdr>
        <w:top w:val="none" w:sz="0" w:space="0" w:color="auto"/>
        <w:left w:val="none" w:sz="0" w:space="0" w:color="auto"/>
        <w:bottom w:val="none" w:sz="0" w:space="0" w:color="auto"/>
        <w:right w:val="none" w:sz="0" w:space="0" w:color="auto"/>
      </w:divBdr>
    </w:div>
    <w:div w:id="1785074054">
      <w:bodyDiv w:val="1"/>
      <w:marLeft w:val="0"/>
      <w:marRight w:val="0"/>
      <w:marTop w:val="0"/>
      <w:marBottom w:val="0"/>
      <w:divBdr>
        <w:top w:val="none" w:sz="0" w:space="0" w:color="auto"/>
        <w:left w:val="none" w:sz="0" w:space="0" w:color="auto"/>
        <w:bottom w:val="none" w:sz="0" w:space="0" w:color="auto"/>
        <w:right w:val="none" w:sz="0" w:space="0" w:color="auto"/>
      </w:divBdr>
    </w:div>
    <w:div w:id="1793596150">
      <w:bodyDiv w:val="1"/>
      <w:marLeft w:val="0"/>
      <w:marRight w:val="0"/>
      <w:marTop w:val="0"/>
      <w:marBottom w:val="0"/>
      <w:divBdr>
        <w:top w:val="none" w:sz="0" w:space="0" w:color="auto"/>
        <w:left w:val="none" w:sz="0" w:space="0" w:color="auto"/>
        <w:bottom w:val="none" w:sz="0" w:space="0" w:color="auto"/>
        <w:right w:val="none" w:sz="0" w:space="0" w:color="auto"/>
      </w:divBdr>
    </w:div>
    <w:div w:id="1801026012">
      <w:bodyDiv w:val="1"/>
      <w:marLeft w:val="0"/>
      <w:marRight w:val="0"/>
      <w:marTop w:val="0"/>
      <w:marBottom w:val="0"/>
      <w:divBdr>
        <w:top w:val="none" w:sz="0" w:space="0" w:color="auto"/>
        <w:left w:val="none" w:sz="0" w:space="0" w:color="auto"/>
        <w:bottom w:val="none" w:sz="0" w:space="0" w:color="auto"/>
        <w:right w:val="none" w:sz="0" w:space="0" w:color="auto"/>
      </w:divBdr>
    </w:div>
    <w:div w:id="1806586621">
      <w:bodyDiv w:val="1"/>
      <w:marLeft w:val="0"/>
      <w:marRight w:val="0"/>
      <w:marTop w:val="0"/>
      <w:marBottom w:val="0"/>
      <w:divBdr>
        <w:top w:val="none" w:sz="0" w:space="0" w:color="auto"/>
        <w:left w:val="none" w:sz="0" w:space="0" w:color="auto"/>
        <w:bottom w:val="none" w:sz="0" w:space="0" w:color="auto"/>
        <w:right w:val="none" w:sz="0" w:space="0" w:color="auto"/>
      </w:divBdr>
    </w:div>
    <w:div w:id="1807619383">
      <w:bodyDiv w:val="1"/>
      <w:marLeft w:val="0"/>
      <w:marRight w:val="0"/>
      <w:marTop w:val="0"/>
      <w:marBottom w:val="0"/>
      <w:divBdr>
        <w:top w:val="none" w:sz="0" w:space="0" w:color="auto"/>
        <w:left w:val="none" w:sz="0" w:space="0" w:color="auto"/>
        <w:bottom w:val="none" w:sz="0" w:space="0" w:color="auto"/>
        <w:right w:val="none" w:sz="0" w:space="0" w:color="auto"/>
      </w:divBdr>
    </w:div>
    <w:div w:id="1833176549">
      <w:bodyDiv w:val="1"/>
      <w:marLeft w:val="0"/>
      <w:marRight w:val="0"/>
      <w:marTop w:val="0"/>
      <w:marBottom w:val="0"/>
      <w:divBdr>
        <w:top w:val="none" w:sz="0" w:space="0" w:color="auto"/>
        <w:left w:val="none" w:sz="0" w:space="0" w:color="auto"/>
        <w:bottom w:val="none" w:sz="0" w:space="0" w:color="auto"/>
        <w:right w:val="none" w:sz="0" w:space="0" w:color="auto"/>
      </w:divBdr>
    </w:div>
    <w:div w:id="1855458114">
      <w:bodyDiv w:val="1"/>
      <w:marLeft w:val="0"/>
      <w:marRight w:val="0"/>
      <w:marTop w:val="0"/>
      <w:marBottom w:val="0"/>
      <w:divBdr>
        <w:top w:val="none" w:sz="0" w:space="0" w:color="auto"/>
        <w:left w:val="none" w:sz="0" w:space="0" w:color="auto"/>
        <w:bottom w:val="none" w:sz="0" w:space="0" w:color="auto"/>
        <w:right w:val="none" w:sz="0" w:space="0" w:color="auto"/>
      </w:divBdr>
    </w:div>
    <w:div w:id="1857190962">
      <w:bodyDiv w:val="1"/>
      <w:marLeft w:val="0"/>
      <w:marRight w:val="0"/>
      <w:marTop w:val="0"/>
      <w:marBottom w:val="0"/>
      <w:divBdr>
        <w:top w:val="none" w:sz="0" w:space="0" w:color="auto"/>
        <w:left w:val="none" w:sz="0" w:space="0" w:color="auto"/>
        <w:bottom w:val="none" w:sz="0" w:space="0" w:color="auto"/>
        <w:right w:val="none" w:sz="0" w:space="0" w:color="auto"/>
      </w:divBdr>
    </w:div>
    <w:div w:id="1869903711">
      <w:bodyDiv w:val="1"/>
      <w:marLeft w:val="0"/>
      <w:marRight w:val="0"/>
      <w:marTop w:val="0"/>
      <w:marBottom w:val="0"/>
      <w:divBdr>
        <w:top w:val="none" w:sz="0" w:space="0" w:color="auto"/>
        <w:left w:val="none" w:sz="0" w:space="0" w:color="auto"/>
        <w:bottom w:val="none" w:sz="0" w:space="0" w:color="auto"/>
        <w:right w:val="none" w:sz="0" w:space="0" w:color="auto"/>
      </w:divBdr>
    </w:div>
    <w:div w:id="1883512387">
      <w:bodyDiv w:val="1"/>
      <w:marLeft w:val="0"/>
      <w:marRight w:val="0"/>
      <w:marTop w:val="0"/>
      <w:marBottom w:val="0"/>
      <w:divBdr>
        <w:top w:val="none" w:sz="0" w:space="0" w:color="auto"/>
        <w:left w:val="none" w:sz="0" w:space="0" w:color="auto"/>
        <w:bottom w:val="none" w:sz="0" w:space="0" w:color="auto"/>
        <w:right w:val="none" w:sz="0" w:space="0" w:color="auto"/>
      </w:divBdr>
    </w:div>
    <w:div w:id="1908803028">
      <w:bodyDiv w:val="1"/>
      <w:marLeft w:val="0"/>
      <w:marRight w:val="0"/>
      <w:marTop w:val="0"/>
      <w:marBottom w:val="0"/>
      <w:divBdr>
        <w:top w:val="none" w:sz="0" w:space="0" w:color="auto"/>
        <w:left w:val="none" w:sz="0" w:space="0" w:color="auto"/>
        <w:bottom w:val="none" w:sz="0" w:space="0" w:color="auto"/>
        <w:right w:val="none" w:sz="0" w:space="0" w:color="auto"/>
      </w:divBdr>
    </w:div>
    <w:div w:id="192186956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9872974">
      <w:bodyDiv w:val="1"/>
      <w:marLeft w:val="0"/>
      <w:marRight w:val="0"/>
      <w:marTop w:val="0"/>
      <w:marBottom w:val="0"/>
      <w:divBdr>
        <w:top w:val="none" w:sz="0" w:space="0" w:color="auto"/>
        <w:left w:val="none" w:sz="0" w:space="0" w:color="auto"/>
        <w:bottom w:val="none" w:sz="0" w:space="0" w:color="auto"/>
        <w:right w:val="none" w:sz="0" w:space="0" w:color="auto"/>
      </w:divBdr>
    </w:div>
    <w:div w:id="1990861453">
      <w:bodyDiv w:val="1"/>
      <w:marLeft w:val="0"/>
      <w:marRight w:val="0"/>
      <w:marTop w:val="0"/>
      <w:marBottom w:val="0"/>
      <w:divBdr>
        <w:top w:val="none" w:sz="0" w:space="0" w:color="auto"/>
        <w:left w:val="none" w:sz="0" w:space="0" w:color="auto"/>
        <w:bottom w:val="none" w:sz="0" w:space="0" w:color="auto"/>
        <w:right w:val="none" w:sz="0" w:space="0" w:color="auto"/>
      </w:divBdr>
    </w:div>
    <w:div w:id="1998875054">
      <w:bodyDiv w:val="1"/>
      <w:marLeft w:val="0"/>
      <w:marRight w:val="0"/>
      <w:marTop w:val="0"/>
      <w:marBottom w:val="0"/>
      <w:divBdr>
        <w:top w:val="none" w:sz="0" w:space="0" w:color="auto"/>
        <w:left w:val="none" w:sz="0" w:space="0" w:color="auto"/>
        <w:bottom w:val="none" w:sz="0" w:space="0" w:color="auto"/>
        <w:right w:val="none" w:sz="0" w:space="0" w:color="auto"/>
      </w:divBdr>
    </w:div>
    <w:div w:id="2002007540">
      <w:bodyDiv w:val="1"/>
      <w:marLeft w:val="0"/>
      <w:marRight w:val="0"/>
      <w:marTop w:val="0"/>
      <w:marBottom w:val="0"/>
      <w:divBdr>
        <w:top w:val="none" w:sz="0" w:space="0" w:color="auto"/>
        <w:left w:val="none" w:sz="0" w:space="0" w:color="auto"/>
        <w:bottom w:val="none" w:sz="0" w:space="0" w:color="auto"/>
        <w:right w:val="none" w:sz="0" w:space="0" w:color="auto"/>
      </w:divBdr>
    </w:div>
    <w:div w:id="2038306509">
      <w:bodyDiv w:val="1"/>
      <w:marLeft w:val="0"/>
      <w:marRight w:val="0"/>
      <w:marTop w:val="0"/>
      <w:marBottom w:val="0"/>
      <w:divBdr>
        <w:top w:val="none" w:sz="0" w:space="0" w:color="auto"/>
        <w:left w:val="none" w:sz="0" w:space="0" w:color="auto"/>
        <w:bottom w:val="none" w:sz="0" w:space="0" w:color="auto"/>
        <w:right w:val="none" w:sz="0" w:space="0" w:color="auto"/>
      </w:divBdr>
    </w:div>
    <w:div w:id="2099059230">
      <w:bodyDiv w:val="1"/>
      <w:marLeft w:val="0"/>
      <w:marRight w:val="0"/>
      <w:marTop w:val="0"/>
      <w:marBottom w:val="0"/>
      <w:divBdr>
        <w:top w:val="none" w:sz="0" w:space="0" w:color="auto"/>
        <w:left w:val="none" w:sz="0" w:space="0" w:color="auto"/>
        <w:bottom w:val="none" w:sz="0" w:space="0" w:color="auto"/>
        <w:right w:val="none" w:sz="0" w:space="0" w:color="auto"/>
      </w:divBdr>
    </w:div>
    <w:div w:id="210576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984-021-09361-2" TargetMode="External"/><Relationship Id="rId21" Type="http://schemas.openxmlformats.org/officeDocument/2006/relationships/hyperlink" Target="https://doi.org/10.3102/0162373716670260" TargetMode="External"/><Relationship Id="rId42" Type="http://schemas.openxmlformats.org/officeDocument/2006/relationships/hyperlink" Target="https://doi.org/10.1007/s11218-016-9353-y" TargetMode="External"/><Relationship Id="rId47" Type="http://schemas.openxmlformats.org/officeDocument/2006/relationships/hyperlink" Target="https://doi.org/10.3102/0034654315626799" TargetMode="External"/><Relationship Id="rId63" Type="http://schemas.openxmlformats.org/officeDocument/2006/relationships/hyperlink" Target="https://doi.org/10.1177/0143034316666413" TargetMode="External"/><Relationship Id="rId68" Type="http://schemas.openxmlformats.org/officeDocument/2006/relationships/hyperlink" Target="https://doi.org/10.1007/s12144-020-01154-9" TargetMode="External"/><Relationship Id="rId16" Type="http://schemas.openxmlformats.org/officeDocument/2006/relationships/hyperlink" Target="https://doi.org/10.47119/ijrp100561720201297" TargetMode="External"/><Relationship Id="rId11" Type="http://schemas.openxmlformats.org/officeDocument/2006/relationships/footer" Target="footer2.xml"/><Relationship Id="rId24" Type="http://schemas.openxmlformats.org/officeDocument/2006/relationships/hyperlink" Target="https://doi.org/10.1016/j.jecp.2019.104742" TargetMode="External"/><Relationship Id="rId32" Type="http://schemas.openxmlformats.org/officeDocument/2006/relationships/hyperlink" Target="https://doi.org/10.4236/oalib.1103532" TargetMode="External"/><Relationship Id="rId37" Type="http://schemas.openxmlformats.org/officeDocument/2006/relationships/hyperlink" Target="https://doi.org/10.1177/0198742917714809" TargetMode="External"/><Relationship Id="rId40" Type="http://schemas.openxmlformats.org/officeDocument/2006/relationships/hyperlink" Target="https://doi.org/10.1177/10634266211020258" TargetMode="External"/><Relationship Id="rId45" Type="http://schemas.openxmlformats.org/officeDocument/2006/relationships/hyperlink" Target="https://doi.org/10.1007/s10984-016-9210-0" TargetMode="External"/><Relationship Id="rId53" Type="http://schemas.openxmlformats.org/officeDocument/2006/relationships/hyperlink" Target="https://doi.org/10.1103/physrevstper.11.010104" TargetMode="External"/><Relationship Id="rId58" Type="http://schemas.openxmlformats.org/officeDocument/2006/relationships/hyperlink" Target="http://files.eric.ed.gov/fulltext/EJ1152568.pdf" TargetMode="External"/><Relationship Id="rId66" Type="http://schemas.openxmlformats.org/officeDocument/2006/relationships/hyperlink" Target="https://doi.org/10.33258/birle.v4i1.1794" TargetMode="External"/><Relationship Id="rId74"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doi.org/10.25082/adep.2021.01.001" TargetMode="External"/><Relationship Id="rId19" Type="http://schemas.openxmlformats.org/officeDocument/2006/relationships/hyperlink" Target="https://www.researchgate.net/profile/Cent-Drixel-Torzar/publication" TargetMode="External"/><Relationship Id="rId14" Type="http://schemas.openxmlformats.org/officeDocument/2006/relationships/hyperlink" Target="https://doi.org/10.1016/j.ecresq.2019.05.005" TargetMode="External"/><Relationship Id="rId22" Type="http://schemas.openxmlformats.org/officeDocument/2006/relationships/hyperlink" Target="https://doi.org/10.3389/fpsyg.2022.821227" TargetMode="External"/><Relationship Id="rId27" Type="http://schemas.openxmlformats.org/officeDocument/2006/relationships/hyperlink" Target="https://files.eric.ed.gov/fulltext/EJ1304613.pdf" TargetMode="External"/><Relationship Id="rId30" Type="http://schemas.openxmlformats.org/officeDocument/2006/relationships/hyperlink" Target="https://doi.org/10.1016/j.jsp.2020.08.005" TargetMode="External"/><Relationship Id="rId35" Type="http://schemas.openxmlformats.org/officeDocument/2006/relationships/hyperlink" Target="https://doi.org/10.1080/00461520.2021.1985501" TargetMode="External"/><Relationship Id="rId43" Type="http://schemas.openxmlformats.org/officeDocument/2006/relationships/hyperlink" Target="https://doi.org/10.31538/nzh.v7i3.7" TargetMode="External"/><Relationship Id="rId48" Type="http://schemas.openxmlformats.org/officeDocument/2006/relationships/hyperlink" Target="https://journals.sagepub.com/doi/abs/10.3102/0013189X20912798" TargetMode="External"/><Relationship Id="rId56" Type="http://schemas.openxmlformats.org/officeDocument/2006/relationships/hyperlink" Target="https://doi.org/10.1080/08924562.2022.2069620" TargetMode="External"/><Relationship Id="rId64" Type="http://schemas.openxmlformats.org/officeDocument/2006/relationships/hyperlink" Target="https://doi.org/10.20429/ger.2015.120103" TargetMode="External"/><Relationship Id="rId69" Type="http://schemas.openxmlformats.org/officeDocument/2006/relationships/hyperlink" Target="https://doi.org/10.1016/j.cognition.2021.104643"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4324/9781003157014" TargetMode="External"/><Relationship Id="rId72" Type="http://schemas.openxmlformats.org/officeDocument/2006/relationships/hyperlink" Target="https://www.amazon.com/Learning-Personalized-Evolution-Contemporary-Classroom/dp/111890479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buildenv.2015.02.013" TargetMode="External"/><Relationship Id="rId25" Type="http://schemas.openxmlformats.org/officeDocument/2006/relationships/hyperlink" Target="https://doi.org/10.1257/aer.20160763" TargetMode="External"/><Relationship Id="rId33" Type="http://schemas.openxmlformats.org/officeDocument/2006/relationships/hyperlink" Target="https://doi.org/10.1002/pits.22580" TargetMode="External"/><Relationship Id="rId38" Type="http://schemas.openxmlformats.org/officeDocument/2006/relationships/hyperlink" Target="https://doi.org/10.3390/bs11070102" TargetMode="External"/><Relationship Id="rId46" Type="http://schemas.openxmlformats.org/officeDocument/2006/relationships/hyperlink" Target="https://doi.org/10.1186/s40064-016-2764-6" TargetMode="External"/><Relationship Id="rId59" Type="http://schemas.openxmlformats.org/officeDocument/2006/relationships/hyperlink" Target="https://doi.org/10.31390/gradschool_dissertations.3696" TargetMode="External"/><Relationship Id="rId67" Type="http://schemas.openxmlformats.org/officeDocument/2006/relationships/hyperlink" Target="https://doi.org/10.24191/ajue.v17i1.12602" TargetMode="External"/><Relationship Id="rId20" Type="http://schemas.openxmlformats.org/officeDocument/2006/relationships/hyperlink" Target="https://doi.org/10.1016/j.tate.2017.03.001" TargetMode="External"/><Relationship Id="rId41" Type="http://schemas.openxmlformats.org/officeDocument/2006/relationships/hyperlink" Target="https://doi.org/10.1353/foc.2017.0006" TargetMode="External"/><Relationship Id="rId54" Type="http://schemas.openxmlformats.org/officeDocument/2006/relationships/hyperlink" Target="https://doi.org/10.53915/jbki.v5i1.608" TargetMode="External"/><Relationship Id="rId62" Type="http://schemas.openxmlformats.org/officeDocument/2006/relationships/hyperlink" Target="https://d1wqtxts1xzle7.cloudfront.net/120632389/704" TargetMode="External"/><Relationship Id="rId70" Type="http://schemas.openxmlformats.org/officeDocument/2006/relationships/hyperlink" Target="https://doi.org/10.1016/j.ecresq.2019.09.004"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7/edu0000783" TargetMode="External"/><Relationship Id="rId23" Type="http://schemas.openxmlformats.org/officeDocument/2006/relationships/hyperlink" Target="https://doi.org/10.1016/j.jsp.2019.10.002" TargetMode="External"/><Relationship Id="rId28" Type="http://schemas.openxmlformats.org/officeDocument/2006/relationships/hyperlink" Target="https://doi.org/10.54300/145.655" TargetMode="External"/><Relationship Id="rId36" Type="http://schemas.openxmlformats.org/officeDocument/2006/relationships/hyperlink" Target="https://doi.org/10.1177/1098300718768204" TargetMode="External"/><Relationship Id="rId49" Type="http://schemas.openxmlformats.org/officeDocument/2006/relationships/hyperlink" Target="https://www.sciencedirect.com/science/article/pii/" TargetMode="External"/><Relationship Id="rId57" Type="http://schemas.openxmlformats.org/officeDocument/2006/relationships/hyperlink" Target="https://www.taylorfrancis.com/books/mono/10.4324/9781315200682" TargetMode="External"/><Relationship Id="rId10" Type="http://schemas.openxmlformats.org/officeDocument/2006/relationships/footer" Target="footer1.xml"/><Relationship Id="rId31" Type="http://schemas.openxmlformats.org/officeDocument/2006/relationships/hyperlink" Target="https://doi.org/10.13189/saj.2023.110117" TargetMode="External"/><Relationship Id="rId44" Type="http://schemas.openxmlformats.org/officeDocument/2006/relationships/hyperlink" Target="https://doi.org/10.1016/j.tate.2015.10.004" TargetMode="External"/><Relationship Id="rId52" Type="http://schemas.openxmlformats.org/officeDocument/2006/relationships/hyperlink" Target="https://doi.org/10.4324/9780429020599" TargetMode="External"/><Relationship Id="rId60" Type="http://schemas.openxmlformats.org/officeDocument/2006/relationships/hyperlink" Target="https://doi.org/10.1037/edu0000240" TargetMode="External"/><Relationship Id="rId65" Type="http://schemas.openxmlformats.org/officeDocument/2006/relationships/hyperlink" Target="https://doi.org/10.1353/etc.2019.0013" TargetMode="External"/><Relationship Id="rId73" Type="http://schemas.openxmlformats.org/officeDocument/2006/relationships/header" Target="header4.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177/0013916516648735" TargetMode="External"/><Relationship Id="rId39" Type="http://schemas.openxmlformats.org/officeDocument/2006/relationships/hyperlink" Target="https://doi.org/10.4324/9780203874783.ch4" TargetMode="External"/><Relationship Id="rId34" Type="http://schemas.openxmlformats.org/officeDocument/2006/relationships/hyperlink" Target="https://doi.org/10.1177/1063426617752139" TargetMode="External"/><Relationship Id="rId50" Type="http://schemas.openxmlformats.org/officeDocument/2006/relationships/hyperlink" Target="https://doi.org/10.59364/ijhesm.v5i1.272" TargetMode="External"/><Relationship Id="rId55" Type="http://schemas.openxmlformats.org/officeDocument/2006/relationships/hyperlink" Target="https://link.springer.com/article/10.1007/s10734-014-9742-0" TargetMode="External"/><Relationship Id="rId76"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s://doi.org/10.1080/07294360.2021.1901667" TargetMode="External"/><Relationship Id="rId2" Type="http://schemas.openxmlformats.org/officeDocument/2006/relationships/numbering" Target="numbering.xml"/><Relationship Id="rId29" Type="http://schemas.openxmlformats.org/officeDocument/2006/relationships/hyperlink" Target="https://doi.org/10.1016/j.jsp.2015.07.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07A35-6495-423E-ACC1-77B861BC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206</TotalTime>
  <Pages>11</Pages>
  <Words>6106</Words>
  <Characters>34810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40835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1137</cp:lastModifiedBy>
  <cp:revision>65</cp:revision>
  <cp:lastPrinted>1999-07-06T11:00:00Z</cp:lastPrinted>
  <dcterms:created xsi:type="dcterms:W3CDTF">2025-07-30T13:23:00Z</dcterms:created>
  <dcterms:modified xsi:type="dcterms:W3CDTF">2025-08-05T06:29:00Z</dcterms:modified>
</cp:coreProperties>
</file>