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79F73" w14:textId="54B72CB2" w:rsidR="006B7A85" w:rsidRPr="006B7A85" w:rsidRDefault="006B7A85" w:rsidP="002F53C4">
      <w:pPr>
        <w:spacing w:after="0"/>
        <w:ind w:left="1440"/>
        <w:jc w:val="right"/>
        <w:rPr>
          <w:rFonts w:ascii="Arial" w:hAnsi="Arial" w:cs="Arial"/>
          <w:b/>
          <w:i/>
          <w:sz w:val="44"/>
          <w:szCs w:val="44"/>
          <w:u w:val="single"/>
        </w:rPr>
      </w:pPr>
    </w:p>
    <w:p w14:paraId="2C311C19" w14:textId="0F642F39" w:rsidR="00804B23" w:rsidRDefault="0021516A" w:rsidP="002F53C4">
      <w:pPr>
        <w:spacing w:after="0"/>
        <w:ind w:left="1440"/>
        <w:jc w:val="right"/>
        <w:rPr>
          <w:rFonts w:ascii="Arial" w:hAnsi="Arial" w:cs="Arial"/>
          <w:b/>
          <w:sz w:val="36"/>
          <w:szCs w:val="36"/>
        </w:rPr>
      </w:pPr>
      <w:r w:rsidRPr="00703848">
        <w:rPr>
          <w:rFonts w:ascii="Arial" w:hAnsi="Arial" w:cs="Arial"/>
          <w:b/>
          <w:sz w:val="36"/>
          <w:szCs w:val="36"/>
        </w:rPr>
        <w:t>Academic Performance as a Predictor of LET Success: A Regression Analysis among BEED Graduates at Davao Oriental State University – Cateel Campus</w:t>
      </w:r>
    </w:p>
    <w:p w14:paraId="4C03BCC1" w14:textId="77777777" w:rsidR="003D5167" w:rsidRDefault="003D5167" w:rsidP="003D5167">
      <w:pPr>
        <w:spacing w:after="0"/>
        <w:rPr>
          <w:rFonts w:ascii="Arial" w:eastAsia="Arial" w:hAnsi="Arial" w:cs="Arial"/>
          <w:b/>
          <w:smallCaps/>
          <w:color w:val="000000"/>
          <w:lang w:val="en-US" w:eastAsia="en-PH"/>
        </w:rPr>
      </w:pPr>
    </w:p>
    <w:p w14:paraId="466D0570" w14:textId="77777777" w:rsidR="00FA3ACF" w:rsidRDefault="0021516A" w:rsidP="003D5167">
      <w:pPr>
        <w:spacing w:after="0"/>
        <w:rPr>
          <w:rFonts w:ascii="Arial" w:eastAsia="Arial" w:hAnsi="Arial" w:cs="Arial"/>
          <w:noProof/>
          <w:color w:val="000000"/>
          <w:sz w:val="16"/>
          <w:szCs w:val="16"/>
          <w:lang w:eastAsia="en-PH"/>
        </w:rPr>
      </w:pPr>
      <w:r w:rsidRPr="003D5167">
        <w:rPr>
          <w:rFonts w:ascii="Arial" w:eastAsia="Arial" w:hAnsi="Arial" w:cs="Arial"/>
          <w:b/>
          <w:smallCaps/>
          <w:color w:val="000000"/>
          <w:lang w:val="en-US" w:eastAsia="en-PH"/>
        </w:rPr>
        <w:t>ABSTRACT</w:t>
      </w:r>
      <w:r w:rsidRPr="00FA3ACF">
        <w:rPr>
          <w:rFonts w:ascii="Arial" w:eastAsia="Arial" w:hAnsi="Arial" w:cs="Arial"/>
          <w:noProof/>
          <w:color w:val="000000"/>
          <w:sz w:val="16"/>
          <w:szCs w:val="16"/>
          <w:lang w:eastAsia="en-PH"/>
        </w:rPr>
        <w:t xml:space="preserve"> </w:t>
      </w:r>
    </w:p>
    <w:p w14:paraId="5F7684E9" w14:textId="77777777" w:rsidR="00597F5E" w:rsidRDefault="00597F5E" w:rsidP="003D5167">
      <w:pPr>
        <w:spacing w:after="0"/>
        <w:rPr>
          <w:rFonts w:ascii="Arial" w:eastAsia="Arial" w:hAnsi="Arial" w:cs="Arial"/>
          <w:noProof/>
          <w:color w:val="000000"/>
          <w:sz w:val="16"/>
          <w:szCs w:val="16"/>
          <w:lang w:eastAsia="en-PH"/>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012032" w14:paraId="01A8E382" w14:textId="77777777" w:rsidTr="007C2C1D">
        <w:tc>
          <w:tcPr>
            <w:tcW w:w="8198" w:type="dxa"/>
            <w:shd w:val="clear" w:color="auto" w:fill="F2F2F2"/>
          </w:tcPr>
          <w:p w14:paraId="60D5B5B6" w14:textId="36176FED" w:rsidR="003D5167" w:rsidRPr="0068791B" w:rsidRDefault="0021516A" w:rsidP="00500341">
            <w:pPr>
              <w:jc w:val="both"/>
              <w:rPr>
                <w:rFonts w:ascii="Arial" w:eastAsia="Times New Roman" w:hAnsi="Arial" w:cs="Arial"/>
                <w:sz w:val="20"/>
                <w:szCs w:val="20"/>
                <w:lang w:eastAsia="en-PH"/>
              </w:rPr>
            </w:pPr>
            <w:r w:rsidRPr="00500341">
              <w:rPr>
                <w:rFonts w:ascii="Arial" w:eastAsia="Times New Roman" w:hAnsi="Arial" w:cs="Arial"/>
                <w:sz w:val="20"/>
                <w:szCs w:val="20"/>
                <w:lang w:eastAsia="en-PH"/>
              </w:rPr>
              <w:t>This study examined the predictive relationship between General Weighted Average (GWA) and performance in the Licensure Examination for Teachers (LET) among Bachelor of Elementary Education (BEED) graduates of Davao Oriental State University – Cateel Camp</w:t>
            </w:r>
            <w:r w:rsidRPr="00500341">
              <w:rPr>
                <w:rFonts w:ascii="Arial" w:eastAsia="Times New Roman" w:hAnsi="Arial" w:cs="Arial"/>
                <w:sz w:val="20"/>
                <w:szCs w:val="20"/>
                <w:lang w:eastAsia="en-PH"/>
              </w:rPr>
              <w:t>us. Recognizing GWA as a key indicator of academic achievement, the research aimed to determine whether undergraduate academic performance could significantly predict licensure outcomes. Utilizing a correlational research design and employing complete enum</w:t>
            </w:r>
            <w:r w:rsidRPr="00500341">
              <w:rPr>
                <w:rFonts w:ascii="Arial" w:eastAsia="Times New Roman" w:hAnsi="Arial" w:cs="Arial"/>
                <w:sz w:val="20"/>
                <w:szCs w:val="20"/>
                <w:lang w:eastAsia="en-PH"/>
              </w:rPr>
              <w:t>eration of BEED graduates from the 2022 and 2023 cohorts, the study used descriptive statistics, Pearson’s correlation, and simple linear regression to analyze secondary data obtained from institutional records. Findings revealed a strong positive associat</w:t>
            </w:r>
            <w:r w:rsidRPr="00500341">
              <w:rPr>
                <w:rFonts w:ascii="Arial" w:eastAsia="Times New Roman" w:hAnsi="Arial" w:cs="Arial"/>
                <w:sz w:val="20"/>
                <w:szCs w:val="20"/>
                <w:lang w:eastAsia="en-PH"/>
              </w:rPr>
              <w:t>ion between academic performance and LET outcomes, indicating that graduates with better GWAs were more likely to achieve higher licensure exam scores. These results emphasize the importance of sustained academic performance in building foundational knowle</w:t>
            </w:r>
            <w:r w:rsidRPr="00500341">
              <w:rPr>
                <w:rFonts w:ascii="Arial" w:eastAsia="Times New Roman" w:hAnsi="Arial" w:cs="Arial"/>
                <w:sz w:val="20"/>
                <w:szCs w:val="20"/>
                <w:lang w:eastAsia="en-PH"/>
              </w:rPr>
              <w:t>dge for licensure success. While GWA emerged as a significant predictor, the study acknowledges that other factors—such as student motivation, test preparation, and support systems—may also influence LET results. The findings offer practical insights for s</w:t>
            </w:r>
            <w:r w:rsidRPr="00500341">
              <w:rPr>
                <w:rFonts w:ascii="Arial" w:eastAsia="Times New Roman" w:hAnsi="Arial" w:cs="Arial"/>
                <w:sz w:val="20"/>
                <w:szCs w:val="20"/>
                <w:lang w:eastAsia="en-PH"/>
              </w:rPr>
              <w:t>tudents, educators, administrators, and policymakers in enhancing teacher education programs and licensure preparation efforts. This study addresses a gap in institutional research and contributes to evidence-based strategies for improving academic and pro</w:t>
            </w:r>
            <w:r w:rsidRPr="00500341">
              <w:rPr>
                <w:rFonts w:ascii="Arial" w:eastAsia="Times New Roman" w:hAnsi="Arial" w:cs="Arial"/>
                <w:sz w:val="20"/>
                <w:szCs w:val="20"/>
                <w:lang w:eastAsia="en-PH"/>
              </w:rPr>
              <w:t>fessional outcomes among future educators.</w:t>
            </w:r>
          </w:p>
        </w:tc>
      </w:tr>
    </w:tbl>
    <w:p w14:paraId="472CA447" w14:textId="77777777" w:rsidR="003D5167" w:rsidRDefault="003D5167" w:rsidP="003D5167">
      <w:pPr>
        <w:spacing w:after="0"/>
        <w:rPr>
          <w:rFonts w:ascii="Arial" w:hAnsi="Arial" w:cs="Arial"/>
          <w:b/>
          <w:sz w:val="36"/>
          <w:szCs w:val="36"/>
        </w:rPr>
      </w:pPr>
    </w:p>
    <w:p w14:paraId="16A71E86" w14:textId="77777777" w:rsidR="00580FBF" w:rsidRDefault="0021516A" w:rsidP="003D5167">
      <w:pPr>
        <w:spacing w:after="0"/>
        <w:rPr>
          <w:rFonts w:ascii="Arial" w:hAnsi="Arial" w:cs="Arial"/>
          <w:i/>
          <w:sz w:val="20"/>
          <w:szCs w:val="20"/>
        </w:rPr>
      </w:pPr>
      <w:r w:rsidRPr="00EF692B">
        <w:rPr>
          <w:rFonts w:ascii="Arial" w:hAnsi="Arial" w:cs="Arial"/>
          <w:i/>
          <w:sz w:val="20"/>
          <w:szCs w:val="20"/>
        </w:rPr>
        <w:t>Keywords:</w:t>
      </w:r>
      <w:r w:rsidR="004E071F" w:rsidRPr="00EF692B">
        <w:rPr>
          <w:rFonts w:ascii="Arial" w:hAnsi="Arial" w:cs="Arial"/>
          <w:i/>
          <w:sz w:val="20"/>
          <w:szCs w:val="20"/>
        </w:rPr>
        <w:t xml:space="preserve"> </w:t>
      </w:r>
      <w:r w:rsidR="00A20719">
        <w:rPr>
          <w:rFonts w:ascii="Arial" w:hAnsi="Arial" w:cs="Arial"/>
          <w:i/>
          <w:sz w:val="20"/>
          <w:szCs w:val="20"/>
        </w:rPr>
        <w:t>LET, GWA, BEED graduates, academic performance, regression analysis</w:t>
      </w:r>
    </w:p>
    <w:p w14:paraId="244ABABF" w14:textId="77777777" w:rsidR="005E5256" w:rsidRPr="002F53C4" w:rsidRDefault="005E5256" w:rsidP="003D5167">
      <w:pPr>
        <w:spacing w:after="0"/>
        <w:rPr>
          <w:rFonts w:ascii="Arial" w:hAnsi="Arial" w:cs="Arial"/>
          <w:sz w:val="20"/>
          <w:szCs w:val="20"/>
        </w:rPr>
      </w:pPr>
    </w:p>
    <w:p w14:paraId="61EAF079" w14:textId="77777777" w:rsidR="004E071F" w:rsidRPr="001E27A1" w:rsidRDefault="0021516A" w:rsidP="004E071F">
      <w:pPr>
        <w:spacing w:after="0"/>
        <w:rPr>
          <w:rFonts w:ascii="Arial" w:eastAsia="Arial" w:hAnsi="Arial" w:cs="Arial"/>
          <w:b/>
          <w:smallCaps/>
          <w:color w:val="000000"/>
          <w:lang w:val="en-US" w:eastAsia="en-PH"/>
        </w:rPr>
      </w:pPr>
      <w:r w:rsidRPr="001E27A1">
        <w:rPr>
          <w:rFonts w:ascii="Arial" w:eastAsia="Arial" w:hAnsi="Arial" w:cs="Arial"/>
          <w:b/>
          <w:smallCaps/>
          <w:color w:val="000000"/>
          <w:lang w:val="en-US" w:eastAsia="en-PH"/>
        </w:rPr>
        <w:t xml:space="preserve">1. INTRODUCTION   </w:t>
      </w:r>
    </w:p>
    <w:p w14:paraId="0D184FEA" w14:textId="77777777" w:rsidR="004E071F" w:rsidRPr="002F53C4" w:rsidRDefault="0021516A" w:rsidP="004E071F">
      <w:pPr>
        <w:spacing w:after="0"/>
        <w:rPr>
          <w:rFonts w:ascii="Arial" w:eastAsia="Arial" w:hAnsi="Arial" w:cs="Arial"/>
          <w:b/>
          <w:smallCaps/>
          <w:color w:val="000000"/>
          <w:sz w:val="20"/>
          <w:szCs w:val="20"/>
          <w:lang w:val="en-US" w:eastAsia="en-PH"/>
        </w:rPr>
      </w:pPr>
      <w:r w:rsidRPr="002F53C4">
        <w:rPr>
          <w:rFonts w:ascii="Arial" w:eastAsia="Arial" w:hAnsi="Arial" w:cs="Arial"/>
          <w:b/>
          <w:smallCaps/>
          <w:color w:val="000000"/>
          <w:sz w:val="20"/>
          <w:szCs w:val="20"/>
          <w:lang w:val="en-US" w:eastAsia="en-PH"/>
        </w:rPr>
        <w:t xml:space="preserve">                </w:t>
      </w:r>
    </w:p>
    <w:p w14:paraId="76B46132" w14:textId="77777777" w:rsidR="00E7760D" w:rsidRPr="00E7760D" w:rsidRDefault="0021516A" w:rsidP="00E7760D">
      <w:pPr>
        <w:tabs>
          <w:tab w:val="left" w:pos="720"/>
        </w:tabs>
        <w:spacing w:after="0"/>
        <w:jc w:val="both"/>
        <w:rPr>
          <w:rFonts w:ascii="Arial" w:hAnsi="Arial" w:cs="Arial"/>
          <w:sz w:val="20"/>
          <w:szCs w:val="20"/>
        </w:rPr>
      </w:pPr>
      <w:r w:rsidRPr="002F53C4">
        <w:rPr>
          <w:rFonts w:ascii="Arial" w:eastAsia="Arial" w:hAnsi="Arial" w:cs="Arial"/>
          <w:b/>
          <w:smallCaps/>
          <w:color w:val="000000"/>
          <w:sz w:val="20"/>
          <w:szCs w:val="20"/>
          <w:lang w:val="en-US" w:eastAsia="en-PH"/>
        </w:rPr>
        <w:t xml:space="preserve">            </w:t>
      </w:r>
      <w:r w:rsidR="004E071F" w:rsidRPr="002F53C4">
        <w:rPr>
          <w:rFonts w:ascii="Arial" w:eastAsia="Arial" w:hAnsi="Arial" w:cs="Arial"/>
          <w:b/>
          <w:smallCaps/>
          <w:color w:val="000000"/>
          <w:sz w:val="20"/>
          <w:szCs w:val="20"/>
          <w:lang w:val="en-US" w:eastAsia="en-PH"/>
        </w:rPr>
        <w:t xml:space="preserve">  </w:t>
      </w:r>
      <w:r w:rsidRPr="00E7760D">
        <w:rPr>
          <w:rFonts w:ascii="Arial" w:hAnsi="Arial" w:cs="Arial"/>
          <w:sz w:val="20"/>
          <w:szCs w:val="20"/>
        </w:rPr>
        <w:t xml:space="preserve">Teacher education programs are instrumental in shaping competent and qualified </w:t>
      </w:r>
      <w:r w:rsidRPr="00E7760D">
        <w:rPr>
          <w:rFonts w:ascii="Arial" w:hAnsi="Arial" w:cs="Arial"/>
          <w:sz w:val="20"/>
          <w:szCs w:val="20"/>
        </w:rPr>
        <w:t>educators. One widely recognized indicator of academic success within these programs is the General Weighted Average (GWA), which reflects a student's cumulative performance across coursework. In the Philippines, academic achievement alone is not sufficien</w:t>
      </w:r>
      <w:r w:rsidRPr="00E7760D">
        <w:rPr>
          <w:rFonts w:ascii="Arial" w:hAnsi="Arial" w:cs="Arial"/>
          <w:sz w:val="20"/>
          <w:szCs w:val="20"/>
        </w:rPr>
        <w:t>t for entry into the teaching profession; candidates must also pass the Licensure Examination for Teachers (LET), which serves as the national benchmark for teacher readiness.</w:t>
      </w:r>
    </w:p>
    <w:p w14:paraId="0101BDFE" w14:textId="77777777" w:rsidR="00E7760D" w:rsidRPr="00E7760D" w:rsidRDefault="00E7760D" w:rsidP="00E7760D">
      <w:pPr>
        <w:tabs>
          <w:tab w:val="left" w:pos="720"/>
        </w:tabs>
        <w:spacing w:after="0"/>
        <w:jc w:val="both"/>
        <w:rPr>
          <w:rFonts w:ascii="Arial" w:hAnsi="Arial" w:cs="Arial"/>
          <w:sz w:val="20"/>
          <w:szCs w:val="20"/>
        </w:rPr>
      </w:pPr>
    </w:p>
    <w:p w14:paraId="3AE27272" w14:textId="1EA73F75" w:rsidR="00E7760D" w:rsidRPr="00E7760D" w:rsidRDefault="0021516A" w:rsidP="00E7760D">
      <w:pPr>
        <w:tabs>
          <w:tab w:val="left" w:pos="720"/>
        </w:tabs>
        <w:spacing w:after="0"/>
        <w:jc w:val="both"/>
        <w:rPr>
          <w:rFonts w:ascii="Arial" w:hAnsi="Arial" w:cs="Arial"/>
          <w:sz w:val="20"/>
          <w:szCs w:val="20"/>
        </w:rPr>
      </w:pPr>
      <w:r>
        <w:rPr>
          <w:rFonts w:ascii="Arial" w:hAnsi="Arial" w:cs="Arial"/>
          <w:sz w:val="20"/>
          <w:szCs w:val="20"/>
        </w:rPr>
        <w:tab/>
      </w:r>
      <w:r w:rsidRPr="00E7760D">
        <w:rPr>
          <w:rFonts w:ascii="Arial" w:hAnsi="Arial" w:cs="Arial"/>
          <w:sz w:val="20"/>
          <w:szCs w:val="20"/>
        </w:rPr>
        <w:t>Despite efforts to align pre-service training with licensure requirements, man</w:t>
      </w:r>
      <w:r w:rsidRPr="00E7760D">
        <w:rPr>
          <w:rFonts w:ascii="Arial" w:hAnsi="Arial" w:cs="Arial"/>
          <w:sz w:val="20"/>
          <w:szCs w:val="20"/>
        </w:rPr>
        <w:t xml:space="preserve">y education graduates continue to underperform in the LET. Nationally, elementary-level LET passing rates have fluctuated between 27% and 55% in the past decade, raising questions </w:t>
      </w:r>
      <w:r w:rsidRPr="00E7760D">
        <w:rPr>
          <w:rFonts w:ascii="Arial" w:hAnsi="Arial" w:cs="Arial"/>
          <w:sz w:val="20"/>
          <w:szCs w:val="20"/>
        </w:rPr>
        <w:lastRenderedPageBreak/>
        <w:t>about the efficacy of teacher education programs. This concern is echoed glo</w:t>
      </w:r>
      <w:r w:rsidRPr="00E7760D">
        <w:rPr>
          <w:rFonts w:ascii="Arial" w:hAnsi="Arial" w:cs="Arial"/>
          <w:sz w:val="20"/>
          <w:szCs w:val="20"/>
        </w:rPr>
        <w:t>bally, as several studies highlight the mismatch between academic preparation and licensure outcomes (Bardelli et al., 2022; Petchauer, 2018). While a strong academic background is often assumed to support licensure success, this assumption requires furthe</w:t>
      </w:r>
      <w:r w:rsidRPr="00E7760D">
        <w:rPr>
          <w:rFonts w:ascii="Arial" w:hAnsi="Arial" w:cs="Arial"/>
          <w:sz w:val="20"/>
          <w:szCs w:val="20"/>
        </w:rPr>
        <w:t>r validation at the institutional level.</w:t>
      </w:r>
    </w:p>
    <w:p w14:paraId="1C4D4999" w14:textId="77777777" w:rsidR="00E7760D" w:rsidRPr="00E7760D" w:rsidRDefault="00E7760D" w:rsidP="00E7760D">
      <w:pPr>
        <w:tabs>
          <w:tab w:val="left" w:pos="720"/>
        </w:tabs>
        <w:spacing w:after="0"/>
        <w:jc w:val="both"/>
        <w:rPr>
          <w:rFonts w:ascii="Arial" w:hAnsi="Arial" w:cs="Arial"/>
          <w:sz w:val="20"/>
          <w:szCs w:val="20"/>
        </w:rPr>
      </w:pPr>
    </w:p>
    <w:p w14:paraId="5C0D2AC7" w14:textId="10BDA474" w:rsidR="00E7760D" w:rsidRPr="00E7760D" w:rsidRDefault="0021516A" w:rsidP="00E7760D">
      <w:pPr>
        <w:tabs>
          <w:tab w:val="left" w:pos="720"/>
        </w:tabs>
        <w:spacing w:after="0"/>
        <w:jc w:val="both"/>
        <w:rPr>
          <w:rFonts w:ascii="Arial" w:hAnsi="Arial" w:cs="Arial"/>
          <w:sz w:val="20"/>
          <w:szCs w:val="20"/>
        </w:rPr>
      </w:pPr>
      <w:r>
        <w:rPr>
          <w:rFonts w:ascii="Arial" w:hAnsi="Arial" w:cs="Arial"/>
          <w:sz w:val="20"/>
          <w:szCs w:val="20"/>
        </w:rPr>
        <w:tab/>
      </w:r>
      <w:r w:rsidRPr="00E7760D">
        <w:rPr>
          <w:rFonts w:ascii="Arial" w:hAnsi="Arial" w:cs="Arial"/>
          <w:sz w:val="20"/>
          <w:szCs w:val="20"/>
        </w:rPr>
        <w:t>At Davao Oriental State University – Cateel Campus (DOrSU-CC), no empirical study has been conducted to investigate whether GWA can serve as a meaningful predictor of LET performance among Bachelor of Elementary E</w:t>
      </w:r>
      <w:r w:rsidRPr="00E7760D">
        <w:rPr>
          <w:rFonts w:ascii="Arial" w:hAnsi="Arial" w:cs="Arial"/>
          <w:sz w:val="20"/>
          <w:szCs w:val="20"/>
        </w:rPr>
        <w:t>ducation (BEED) graduates. This gap in local research is significant, especially considering the need for data-driven strategies to improve licensure outcomes. If GWA is found to be a reliable indicator, it could inform admission, retention, and instructio</w:t>
      </w:r>
      <w:r w:rsidRPr="00E7760D">
        <w:rPr>
          <w:rFonts w:ascii="Arial" w:hAnsi="Arial" w:cs="Arial"/>
          <w:sz w:val="20"/>
          <w:szCs w:val="20"/>
        </w:rPr>
        <w:t>nal policies within the BEED program.</w:t>
      </w:r>
    </w:p>
    <w:p w14:paraId="002EF6FA" w14:textId="77777777" w:rsidR="00E7760D" w:rsidRPr="00E7760D" w:rsidRDefault="00E7760D" w:rsidP="00E7760D">
      <w:pPr>
        <w:tabs>
          <w:tab w:val="left" w:pos="720"/>
        </w:tabs>
        <w:spacing w:after="0"/>
        <w:jc w:val="both"/>
        <w:rPr>
          <w:rFonts w:ascii="Arial" w:hAnsi="Arial" w:cs="Arial"/>
          <w:sz w:val="20"/>
          <w:szCs w:val="20"/>
        </w:rPr>
      </w:pPr>
    </w:p>
    <w:p w14:paraId="4E942572" w14:textId="565AA2B9" w:rsidR="005E5256" w:rsidRDefault="0021516A" w:rsidP="00E7760D">
      <w:pPr>
        <w:tabs>
          <w:tab w:val="left" w:pos="720"/>
        </w:tabs>
        <w:spacing w:after="0"/>
        <w:jc w:val="both"/>
        <w:rPr>
          <w:rFonts w:ascii="Arial" w:hAnsi="Arial" w:cs="Arial"/>
          <w:sz w:val="20"/>
          <w:szCs w:val="20"/>
        </w:rPr>
      </w:pPr>
      <w:r>
        <w:rPr>
          <w:rFonts w:ascii="Arial" w:hAnsi="Arial" w:cs="Arial"/>
          <w:sz w:val="20"/>
          <w:szCs w:val="20"/>
        </w:rPr>
        <w:tab/>
      </w:r>
      <w:r w:rsidRPr="00E7760D">
        <w:rPr>
          <w:rFonts w:ascii="Arial" w:hAnsi="Arial" w:cs="Arial"/>
          <w:sz w:val="20"/>
          <w:szCs w:val="20"/>
        </w:rPr>
        <w:t>This study, therefore, aims to examine the predictive relationship between undergraduate academic performance (GWA) and LET results. Beyond its academic contribution, the study offers practical implications for curri</w:t>
      </w:r>
      <w:r w:rsidRPr="00E7760D">
        <w:rPr>
          <w:rFonts w:ascii="Arial" w:hAnsi="Arial" w:cs="Arial"/>
          <w:sz w:val="20"/>
          <w:szCs w:val="20"/>
        </w:rPr>
        <w:t>culum review, academic advising, and the design of targeted interventions for students at risk of failing the LET. It also supports evidence-based decision-making for institutional administrators and program developers committed to improving the quality an</w:t>
      </w:r>
      <w:r w:rsidRPr="00E7760D">
        <w:rPr>
          <w:rFonts w:ascii="Arial" w:hAnsi="Arial" w:cs="Arial"/>
          <w:sz w:val="20"/>
          <w:szCs w:val="20"/>
        </w:rPr>
        <w:t>d effectiveness of teacher education.</w:t>
      </w:r>
    </w:p>
    <w:p w14:paraId="64557893" w14:textId="77777777" w:rsidR="00E7760D" w:rsidRDefault="00E7760D" w:rsidP="00E7760D">
      <w:pPr>
        <w:tabs>
          <w:tab w:val="left" w:pos="720"/>
        </w:tabs>
        <w:spacing w:after="0"/>
        <w:jc w:val="both"/>
        <w:rPr>
          <w:rFonts w:ascii="Arial" w:hAnsi="Arial" w:cs="Arial"/>
          <w:sz w:val="20"/>
          <w:szCs w:val="20"/>
        </w:rPr>
      </w:pPr>
    </w:p>
    <w:p w14:paraId="246D5D2F" w14:textId="77777777" w:rsidR="00690128" w:rsidRDefault="0021516A" w:rsidP="005E5256">
      <w:pPr>
        <w:spacing w:after="0"/>
        <w:jc w:val="both"/>
        <w:rPr>
          <w:rFonts w:ascii="Arial" w:eastAsia="Arial" w:hAnsi="Arial" w:cs="Arial"/>
          <w:b/>
          <w:smallCaps/>
          <w:color w:val="000000"/>
          <w:lang w:val="en-US"/>
        </w:rPr>
      </w:pPr>
      <w:r w:rsidRPr="005E5256">
        <w:rPr>
          <w:rFonts w:ascii="Arial" w:eastAsia="Arial" w:hAnsi="Arial" w:cs="Arial"/>
          <w:b/>
          <w:smallCaps/>
          <w:color w:val="000000"/>
          <w:lang w:val="en-US"/>
        </w:rPr>
        <w:t>2. OBJECTIVES</w:t>
      </w:r>
    </w:p>
    <w:p w14:paraId="129C9497" w14:textId="77777777" w:rsidR="005E5256" w:rsidRPr="005E5256" w:rsidRDefault="005E5256" w:rsidP="005E5256">
      <w:pPr>
        <w:spacing w:after="0"/>
        <w:jc w:val="both"/>
        <w:rPr>
          <w:rFonts w:ascii="Arial" w:hAnsi="Arial" w:cs="Arial"/>
        </w:rPr>
      </w:pPr>
    </w:p>
    <w:p w14:paraId="1BFD2765" w14:textId="77777777" w:rsidR="003B1C1E" w:rsidRDefault="0021516A" w:rsidP="005E5256">
      <w:pPr>
        <w:pStyle w:val="NoSpacing"/>
        <w:ind w:firstLine="720"/>
        <w:jc w:val="both"/>
        <w:rPr>
          <w:rFonts w:ascii="Arial" w:hAnsi="Arial" w:cs="Arial"/>
          <w:sz w:val="20"/>
          <w:szCs w:val="20"/>
        </w:rPr>
      </w:pPr>
      <w:r w:rsidRPr="003B1C1E">
        <w:rPr>
          <w:rFonts w:ascii="Arial" w:hAnsi="Arial" w:cs="Arial"/>
          <w:sz w:val="20"/>
          <w:szCs w:val="20"/>
        </w:rPr>
        <w:t>This study aimed to determine the predictive relationship between GWA and LET performance among BEED graduates of Davao Oriental State University – Cateel Campus</w:t>
      </w:r>
      <w:r>
        <w:rPr>
          <w:rFonts w:ascii="Arial" w:hAnsi="Arial" w:cs="Arial"/>
          <w:sz w:val="20"/>
          <w:szCs w:val="20"/>
        </w:rPr>
        <w:t>, s</w:t>
      </w:r>
      <w:r w:rsidRPr="003B1C1E">
        <w:rPr>
          <w:rFonts w:ascii="Arial" w:hAnsi="Arial" w:cs="Arial"/>
          <w:sz w:val="20"/>
          <w:szCs w:val="20"/>
        </w:rPr>
        <w:t>pecificall</w:t>
      </w:r>
      <w:r>
        <w:rPr>
          <w:rFonts w:ascii="Arial" w:hAnsi="Arial" w:cs="Arial"/>
          <w:sz w:val="20"/>
          <w:szCs w:val="20"/>
        </w:rPr>
        <w:t xml:space="preserve">y: </w:t>
      </w:r>
    </w:p>
    <w:p w14:paraId="59DD0C8E" w14:textId="77777777" w:rsidR="005E5256" w:rsidRDefault="005E5256" w:rsidP="005E5256">
      <w:pPr>
        <w:pStyle w:val="NoSpacing"/>
        <w:ind w:firstLine="360"/>
        <w:jc w:val="both"/>
        <w:rPr>
          <w:rFonts w:ascii="Arial" w:hAnsi="Arial" w:cs="Arial"/>
          <w:sz w:val="20"/>
          <w:szCs w:val="20"/>
        </w:rPr>
      </w:pPr>
    </w:p>
    <w:p w14:paraId="10378CA3" w14:textId="77777777" w:rsidR="003B1C1E" w:rsidRDefault="0021516A" w:rsidP="003B1C1E">
      <w:pPr>
        <w:pStyle w:val="NoSpacing"/>
        <w:numPr>
          <w:ilvl w:val="0"/>
          <w:numId w:val="11"/>
        </w:numPr>
        <w:rPr>
          <w:rFonts w:ascii="Arial" w:hAnsi="Arial" w:cs="Arial"/>
          <w:sz w:val="20"/>
          <w:szCs w:val="20"/>
        </w:rPr>
      </w:pPr>
      <w:r w:rsidRPr="003B1C1E">
        <w:rPr>
          <w:rFonts w:ascii="Arial" w:hAnsi="Arial" w:cs="Arial"/>
          <w:sz w:val="20"/>
          <w:szCs w:val="20"/>
        </w:rPr>
        <w:t>To describe the average</w:t>
      </w:r>
      <w:r w:rsidRPr="003B1C1E">
        <w:rPr>
          <w:rFonts w:ascii="Arial" w:hAnsi="Arial" w:cs="Arial"/>
          <w:sz w:val="20"/>
          <w:szCs w:val="20"/>
        </w:rPr>
        <w:t xml:space="preserve"> academic performance (GWA) and LET performance of BEED graduates.</w:t>
      </w:r>
    </w:p>
    <w:p w14:paraId="3E1B1604" w14:textId="77777777" w:rsidR="003B1C1E" w:rsidRDefault="0021516A" w:rsidP="003B1C1E">
      <w:pPr>
        <w:pStyle w:val="NoSpacing"/>
        <w:numPr>
          <w:ilvl w:val="0"/>
          <w:numId w:val="11"/>
        </w:numPr>
        <w:rPr>
          <w:rFonts w:ascii="Arial" w:hAnsi="Arial" w:cs="Arial"/>
          <w:sz w:val="20"/>
          <w:szCs w:val="20"/>
        </w:rPr>
      </w:pPr>
      <w:r w:rsidRPr="003B1C1E">
        <w:rPr>
          <w:rFonts w:ascii="Arial" w:hAnsi="Arial" w:cs="Arial"/>
          <w:sz w:val="20"/>
          <w:szCs w:val="20"/>
        </w:rPr>
        <w:t>To determine the degree of correlation between GWA and LET performance of BEED graduates.</w:t>
      </w:r>
    </w:p>
    <w:p w14:paraId="30287843" w14:textId="77777777" w:rsidR="00690128" w:rsidRDefault="0021516A" w:rsidP="003B1C1E">
      <w:pPr>
        <w:pStyle w:val="NoSpacing"/>
        <w:numPr>
          <w:ilvl w:val="0"/>
          <w:numId w:val="11"/>
        </w:numPr>
        <w:rPr>
          <w:rFonts w:ascii="Arial" w:hAnsi="Arial" w:cs="Arial"/>
          <w:sz w:val="20"/>
          <w:szCs w:val="20"/>
        </w:rPr>
      </w:pPr>
      <w:r w:rsidRPr="003B1C1E">
        <w:rPr>
          <w:rFonts w:ascii="Arial" w:hAnsi="Arial" w:cs="Arial"/>
          <w:sz w:val="20"/>
          <w:szCs w:val="20"/>
        </w:rPr>
        <w:t>To assess whether GWA is a significant predictor of LET performance among BEED graduates.</w:t>
      </w:r>
    </w:p>
    <w:p w14:paraId="1B9A6FE5" w14:textId="77777777" w:rsidR="001E27A1" w:rsidRPr="003B1C1E" w:rsidRDefault="001E27A1" w:rsidP="001E27A1">
      <w:pPr>
        <w:pStyle w:val="NoSpacing"/>
        <w:ind w:left="720"/>
        <w:rPr>
          <w:rFonts w:ascii="Arial" w:hAnsi="Arial" w:cs="Arial"/>
          <w:sz w:val="20"/>
          <w:szCs w:val="20"/>
        </w:rPr>
      </w:pPr>
    </w:p>
    <w:p w14:paraId="6D30E20A" w14:textId="559C8CC1" w:rsidR="009328FD" w:rsidRDefault="0021516A" w:rsidP="00690128">
      <w:pPr>
        <w:spacing w:after="0"/>
        <w:jc w:val="both"/>
        <w:rPr>
          <w:rFonts w:ascii="Arial" w:eastAsia="Arial" w:hAnsi="Arial" w:cs="Arial"/>
          <w:b/>
          <w:smallCaps/>
          <w:color w:val="000000"/>
        </w:rPr>
      </w:pPr>
      <w:r w:rsidRPr="001E27A1">
        <w:rPr>
          <w:rFonts w:ascii="Arial" w:eastAsia="Arial" w:hAnsi="Arial" w:cs="Arial"/>
          <w:b/>
          <w:smallCaps/>
          <w:color w:val="000000"/>
        </w:rPr>
        <w:t xml:space="preserve">3. </w:t>
      </w:r>
      <w:r>
        <w:rPr>
          <w:rFonts w:ascii="Arial" w:eastAsia="Arial" w:hAnsi="Arial" w:cs="Arial"/>
          <w:b/>
          <w:smallCaps/>
          <w:color w:val="000000"/>
        </w:rPr>
        <w:t>LITER</w:t>
      </w:r>
      <w:r>
        <w:rPr>
          <w:rFonts w:ascii="Arial" w:eastAsia="Arial" w:hAnsi="Arial" w:cs="Arial"/>
          <w:b/>
          <w:smallCaps/>
          <w:color w:val="000000"/>
        </w:rPr>
        <w:t>ATURE REVIEW</w:t>
      </w:r>
    </w:p>
    <w:p w14:paraId="71D09D01" w14:textId="7B532E31" w:rsidR="009328FD" w:rsidRDefault="009328FD" w:rsidP="00690128">
      <w:pPr>
        <w:spacing w:after="0"/>
        <w:jc w:val="both"/>
        <w:rPr>
          <w:rFonts w:ascii="Arial" w:eastAsia="Arial" w:hAnsi="Arial" w:cs="Arial"/>
          <w:b/>
          <w:smallCaps/>
          <w:color w:val="000000"/>
        </w:rPr>
      </w:pPr>
    </w:p>
    <w:p w14:paraId="27E95066" w14:textId="0DBC2E39" w:rsidR="009328FD" w:rsidRPr="009328FD" w:rsidRDefault="0021516A" w:rsidP="009328FD">
      <w:pPr>
        <w:spacing w:after="0"/>
        <w:jc w:val="both"/>
        <w:rPr>
          <w:rFonts w:ascii="Arial" w:hAnsi="Arial" w:cs="Arial"/>
          <w:b/>
          <w:sz w:val="20"/>
          <w:szCs w:val="20"/>
        </w:rPr>
      </w:pPr>
      <w:r w:rsidRPr="009328FD">
        <w:rPr>
          <w:rFonts w:ascii="Arial" w:hAnsi="Arial" w:cs="Arial"/>
          <w:b/>
          <w:sz w:val="20"/>
          <w:szCs w:val="20"/>
        </w:rPr>
        <w:t>GWA as an Academic Performance Indicator</w:t>
      </w:r>
    </w:p>
    <w:p w14:paraId="3CBE3178" w14:textId="77777777" w:rsidR="009328FD" w:rsidRPr="009328FD" w:rsidRDefault="0021516A" w:rsidP="009328FD">
      <w:pPr>
        <w:spacing w:after="0"/>
        <w:ind w:firstLine="720"/>
        <w:jc w:val="both"/>
        <w:rPr>
          <w:rFonts w:ascii="Arial" w:hAnsi="Arial" w:cs="Arial"/>
          <w:sz w:val="20"/>
          <w:szCs w:val="20"/>
        </w:rPr>
      </w:pPr>
      <w:r w:rsidRPr="009328FD">
        <w:rPr>
          <w:rFonts w:ascii="Arial" w:hAnsi="Arial" w:cs="Arial"/>
          <w:sz w:val="20"/>
          <w:szCs w:val="20"/>
        </w:rPr>
        <w:t>The General Weighted Average (GWA) is a comprehensive academic metric used in the Philippines to evaluate a student's cumulative academic performance (Anwar et al., 2024). Computed through the weighted</w:t>
      </w:r>
      <w:r w:rsidRPr="009328FD">
        <w:rPr>
          <w:rFonts w:ascii="Arial" w:hAnsi="Arial" w:cs="Arial"/>
          <w:sz w:val="20"/>
          <w:szCs w:val="20"/>
        </w:rPr>
        <w:t xml:space="preserve"> mean of grades across all enrolled subjects, GWA offers an integrative view of a student’s scholastic trajectory. Scholars such as Papadogiannis et al. (2023) and Calaguas (2011) emphasized that a high GWA reflects sustained academic excellence and discip</w:t>
      </w:r>
      <w:r w:rsidRPr="009328FD">
        <w:rPr>
          <w:rFonts w:ascii="Arial" w:hAnsi="Arial" w:cs="Arial"/>
          <w:sz w:val="20"/>
          <w:szCs w:val="20"/>
        </w:rPr>
        <w:t>line mastery, while lower GWA scores may signal learning challenges requiring intervention (Jenkins, 2022). Thus, GWA functions as both a historical record and a forward-looking indicator of performance potential (Bashiru et al., 2022).</w:t>
      </w:r>
    </w:p>
    <w:p w14:paraId="677CAF51" w14:textId="77777777" w:rsidR="009328FD" w:rsidRPr="009328FD" w:rsidRDefault="009328FD" w:rsidP="009328FD">
      <w:pPr>
        <w:spacing w:after="0"/>
        <w:jc w:val="both"/>
        <w:rPr>
          <w:rFonts w:ascii="Arial" w:hAnsi="Arial" w:cs="Arial"/>
          <w:sz w:val="20"/>
          <w:szCs w:val="20"/>
        </w:rPr>
      </w:pPr>
    </w:p>
    <w:p w14:paraId="355EB7C1" w14:textId="074602A6" w:rsidR="009328FD" w:rsidRDefault="0021516A" w:rsidP="009328FD">
      <w:pPr>
        <w:spacing w:after="0"/>
        <w:ind w:firstLine="720"/>
        <w:jc w:val="both"/>
        <w:rPr>
          <w:rFonts w:ascii="Arial" w:hAnsi="Arial" w:cs="Arial"/>
          <w:sz w:val="20"/>
          <w:szCs w:val="20"/>
        </w:rPr>
      </w:pPr>
      <w:r w:rsidRPr="009328FD">
        <w:rPr>
          <w:rFonts w:ascii="Arial" w:hAnsi="Arial" w:cs="Arial"/>
          <w:sz w:val="20"/>
          <w:szCs w:val="20"/>
        </w:rPr>
        <w:t>Beyond its academic diagnostic utility, GWA plays a pivotal role in institutional decisions related to honors, scholarships, and graduate school admissions (Aciro et al., 2023). Academic institutions often set GWA thresholds to ensure students meet defined</w:t>
      </w:r>
      <w:r w:rsidRPr="009328FD">
        <w:rPr>
          <w:rFonts w:ascii="Arial" w:hAnsi="Arial" w:cs="Arial"/>
          <w:sz w:val="20"/>
          <w:szCs w:val="20"/>
        </w:rPr>
        <w:t xml:space="preserve"> standards of proficiency and are equipped for advanced study or professional application (Alshawwa, </w:t>
      </w:r>
      <w:r w:rsidRPr="009328FD">
        <w:rPr>
          <w:rFonts w:ascii="Arial" w:hAnsi="Arial" w:cs="Arial"/>
          <w:sz w:val="20"/>
          <w:szCs w:val="20"/>
        </w:rPr>
        <w:lastRenderedPageBreak/>
        <w:t>2023). In this context, GWA becomes more than a numerical average—it emerges as a critical benchmark of academic readiness and achievement.</w:t>
      </w:r>
    </w:p>
    <w:p w14:paraId="23E047CA" w14:textId="6E2ECDAC" w:rsidR="009328FD" w:rsidRDefault="009328FD" w:rsidP="009328FD">
      <w:pPr>
        <w:spacing w:after="0"/>
        <w:jc w:val="both"/>
        <w:rPr>
          <w:rFonts w:ascii="Arial" w:hAnsi="Arial" w:cs="Arial"/>
          <w:sz w:val="20"/>
          <w:szCs w:val="20"/>
        </w:rPr>
      </w:pPr>
    </w:p>
    <w:p w14:paraId="69058D7B" w14:textId="77777777" w:rsidR="009328FD" w:rsidRPr="009328FD" w:rsidRDefault="0021516A" w:rsidP="009328FD">
      <w:pPr>
        <w:spacing w:after="0"/>
        <w:jc w:val="both"/>
        <w:rPr>
          <w:rFonts w:ascii="Arial" w:hAnsi="Arial" w:cs="Arial"/>
          <w:b/>
          <w:sz w:val="20"/>
          <w:szCs w:val="20"/>
        </w:rPr>
      </w:pPr>
      <w:r w:rsidRPr="009328FD">
        <w:rPr>
          <w:rFonts w:ascii="Arial" w:hAnsi="Arial" w:cs="Arial"/>
          <w:b/>
          <w:sz w:val="20"/>
          <w:szCs w:val="20"/>
        </w:rPr>
        <w:t xml:space="preserve">Impact of LET </w:t>
      </w:r>
      <w:r w:rsidRPr="009328FD">
        <w:rPr>
          <w:rFonts w:ascii="Arial" w:hAnsi="Arial" w:cs="Arial"/>
          <w:b/>
          <w:sz w:val="20"/>
          <w:szCs w:val="20"/>
        </w:rPr>
        <w:t>Performance on Teacher Quality</w:t>
      </w:r>
    </w:p>
    <w:p w14:paraId="49BDDFEC" w14:textId="5DFA5E6E" w:rsidR="009328FD" w:rsidRPr="009328FD" w:rsidRDefault="0021516A" w:rsidP="009328FD">
      <w:pPr>
        <w:spacing w:after="0"/>
        <w:ind w:firstLine="720"/>
        <w:jc w:val="both"/>
        <w:rPr>
          <w:rFonts w:ascii="Arial" w:hAnsi="Arial" w:cs="Arial"/>
          <w:sz w:val="20"/>
          <w:szCs w:val="20"/>
        </w:rPr>
      </w:pPr>
      <w:r w:rsidRPr="009328FD">
        <w:rPr>
          <w:rFonts w:ascii="Arial" w:hAnsi="Arial" w:cs="Arial"/>
          <w:sz w:val="20"/>
          <w:szCs w:val="20"/>
        </w:rPr>
        <w:t>The Licensure Examination for Teachers (LET) serves as the national credentialing exam for aspiring teachers in the Philippines, designed to ensure that educators meet minimum standards of content and pedagogical knowledge. A</w:t>
      </w:r>
      <w:r w:rsidRPr="009328FD">
        <w:rPr>
          <w:rFonts w:ascii="Arial" w:hAnsi="Arial" w:cs="Arial"/>
          <w:sz w:val="20"/>
          <w:szCs w:val="20"/>
        </w:rPr>
        <w:t>s Delos Angeles (2020) notes, LET performance is often considered a direct indicator of teacher quality. Supporting this claim, Cahapay (2020) found a strong positive correlation between college-level GWA and LET outcomes, suggesting academic achievement m</w:t>
      </w:r>
      <w:r w:rsidRPr="009328FD">
        <w:rPr>
          <w:rFonts w:ascii="Arial" w:hAnsi="Arial" w:cs="Arial"/>
          <w:sz w:val="20"/>
          <w:szCs w:val="20"/>
        </w:rPr>
        <w:t>ay forecast success in professional exams.</w:t>
      </w:r>
    </w:p>
    <w:p w14:paraId="14443E19" w14:textId="77777777" w:rsidR="009328FD" w:rsidRPr="009328FD" w:rsidRDefault="009328FD" w:rsidP="009328FD">
      <w:pPr>
        <w:spacing w:after="0"/>
        <w:jc w:val="both"/>
        <w:rPr>
          <w:rFonts w:ascii="Arial" w:hAnsi="Arial" w:cs="Arial"/>
          <w:sz w:val="20"/>
          <w:szCs w:val="20"/>
        </w:rPr>
      </w:pPr>
    </w:p>
    <w:p w14:paraId="14952FA8" w14:textId="15119AA0" w:rsidR="009328FD" w:rsidRDefault="0021516A" w:rsidP="009328FD">
      <w:pPr>
        <w:spacing w:after="0"/>
        <w:ind w:firstLine="720"/>
        <w:jc w:val="both"/>
        <w:rPr>
          <w:rFonts w:ascii="Arial" w:hAnsi="Arial" w:cs="Arial"/>
          <w:sz w:val="20"/>
          <w:szCs w:val="20"/>
        </w:rPr>
      </w:pPr>
      <w:r w:rsidRPr="009328FD">
        <w:rPr>
          <w:rFonts w:ascii="Arial" w:hAnsi="Arial" w:cs="Arial"/>
          <w:sz w:val="20"/>
          <w:szCs w:val="20"/>
        </w:rPr>
        <w:t>LET outcomes have also been linked to classroom performance. Teachers who perform well in the LET tend to demonstrate better mastery of subject matter and instructional strategies (Abao et al., 2023), essential e</w:t>
      </w:r>
      <w:r w:rsidRPr="009328FD">
        <w:rPr>
          <w:rFonts w:ascii="Arial" w:hAnsi="Arial" w:cs="Arial"/>
          <w:sz w:val="20"/>
          <w:szCs w:val="20"/>
        </w:rPr>
        <w:t>lements for effective teaching and student learning. These findings underscore the need for teacher education institutions to prepare students not only academically but also in terms of exam readiness (Tolete et al., 2024; Antiojo, 2017).</w:t>
      </w:r>
    </w:p>
    <w:p w14:paraId="5F65B807" w14:textId="5C51BE75" w:rsidR="009328FD" w:rsidRDefault="009328FD" w:rsidP="009328FD">
      <w:pPr>
        <w:spacing w:after="0"/>
        <w:jc w:val="both"/>
        <w:rPr>
          <w:rFonts w:ascii="Arial" w:hAnsi="Arial" w:cs="Arial"/>
          <w:sz w:val="20"/>
          <w:szCs w:val="20"/>
        </w:rPr>
      </w:pPr>
    </w:p>
    <w:p w14:paraId="06483855" w14:textId="77777777" w:rsidR="009328FD" w:rsidRPr="009328FD" w:rsidRDefault="0021516A" w:rsidP="009328FD">
      <w:pPr>
        <w:spacing w:after="0"/>
        <w:jc w:val="both"/>
        <w:rPr>
          <w:rFonts w:ascii="Arial" w:hAnsi="Arial" w:cs="Arial"/>
          <w:b/>
          <w:sz w:val="20"/>
          <w:szCs w:val="20"/>
        </w:rPr>
      </w:pPr>
      <w:r w:rsidRPr="009328FD">
        <w:rPr>
          <w:rFonts w:ascii="Arial" w:hAnsi="Arial" w:cs="Arial"/>
          <w:b/>
          <w:sz w:val="20"/>
          <w:szCs w:val="20"/>
        </w:rPr>
        <w:t>The Relationship</w:t>
      </w:r>
      <w:r w:rsidRPr="009328FD">
        <w:rPr>
          <w:rFonts w:ascii="Arial" w:hAnsi="Arial" w:cs="Arial"/>
          <w:b/>
          <w:sz w:val="20"/>
          <w:szCs w:val="20"/>
        </w:rPr>
        <w:t xml:space="preserve"> Between GWA and Licensure Exams</w:t>
      </w:r>
    </w:p>
    <w:p w14:paraId="1BA5D026" w14:textId="77777777" w:rsidR="009328FD" w:rsidRPr="009328FD" w:rsidRDefault="0021516A" w:rsidP="009328FD">
      <w:pPr>
        <w:spacing w:after="0"/>
        <w:ind w:firstLine="720"/>
        <w:jc w:val="both"/>
        <w:rPr>
          <w:rFonts w:ascii="Arial" w:hAnsi="Arial" w:cs="Arial"/>
          <w:sz w:val="20"/>
          <w:szCs w:val="20"/>
        </w:rPr>
      </w:pPr>
      <w:r w:rsidRPr="009328FD">
        <w:rPr>
          <w:rFonts w:ascii="Arial" w:hAnsi="Arial" w:cs="Arial"/>
          <w:sz w:val="20"/>
          <w:szCs w:val="20"/>
        </w:rPr>
        <w:t>The predictive validity of GWA in relation to licensure examination outcomes has been widely examined. As Tulud (2023) explains, GWA is a strong indicator of a student’s conceptual mastery, critical thinking ability, and ov</w:t>
      </w:r>
      <w:r w:rsidRPr="009328FD">
        <w:rPr>
          <w:rFonts w:ascii="Arial" w:hAnsi="Arial" w:cs="Arial"/>
          <w:sz w:val="20"/>
          <w:szCs w:val="20"/>
        </w:rPr>
        <w:t>erall academic competence—factors that underpin licensure exam success. Jiwan et al. (2023) similarly note that students with higher cumulative academic performance tend to exhibit higher proficiency in standardized assessments, including licensure tests.</w:t>
      </w:r>
    </w:p>
    <w:p w14:paraId="432F0F48" w14:textId="77777777" w:rsidR="009328FD" w:rsidRPr="009328FD" w:rsidRDefault="009328FD" w:rsidP="009328FD">
      <w:pPr>
        <w:spacing w:after="0"/>
        <w:jc w:val="both"/>
        <w:rPr>
          <w:rFonts w:ascii="Arial" w:hAnsi="Arial" w:cs="Arial"/>
          <w:sz w:val="20"/>
          <w:szCs w:val="20"/>
        </w:rPr>
      </w:pPr>
    </w:p>
    <w:p w14:paraId="7F6A0FF3" w14:textId="77777777" w:rsidR="009328FD" w:rsidRPr="009328FD" w:rsidRDefault="0021516A" w:rsidP="009328FD">
      <w:pPr>
        <w:spacing w:after="0"/>
        <w:ind w:firstLine="720"/>
        <w:jc w:val="both"/>
        <w:rPr>
          <w:rFonts w:ascii="Arial" w:hAnsi="Arial" w:cs="Arial"/>
          <w:sz w:val="20"/>
          <w:szCs w:val="20"/>
        </w:rPr>
      </w:pPr>
      <w:r w:rsidRPr="009328FD">
        <w:rPr>
          <w:rFonts w:ascii="Arial" w:hAnsi="Arial" w:cs="Arial"/>
          <w:sz w:val="20"/>
          <w:szCs w:val="20"/>
        </w:rPr>
        <w:t>In a study by Amanonce and Maramag (2020), higher education graduates with superior GWAs demonstrated higher success rates in the LET, especially among BEED and BSEd cohorts. Similarly, Navida and Cocal (2022) found that students’ performance in professio</w:t>
      </w:r>
      <w:r w:rsidRPr="009328FD">
        <w:rPr>
          <w:rFonts w:ascii="Arial" w:hAnsi="Arial" w:cs="Arial"/>
          <w:sz w:val="20"/>
          <w:szCs w:val="20"/>
        </w:rPr>
        <w:t>nal education subjects significantly predicted their LET outcomes, affirming the link between academic preparation and exam results.</w:t>
      </w:r>
    </w:p>
    <w:p w14:paraId="22F2D278" w14:textId="77777777" w:rsidR="009328FD" w:rsidRPr="009328FD" w:rsidRDefault="009328FD" w:rsidP="009328FD">
      <w:pPr>
        <w:spacing w:after="0"/>
        <w:jc w:val="both"/>
        <w:rPr>
          <w:rFonts w:ascii="Arial" w:hAnsi="Arial" w:cs="Arial"/>
          <w:sz w:val="20"/>
          <w:szCs w:val="20"/>
        </w:rPr>
      </w:pPr>
    </w:p>
    <w:p w14:paraId="5880FC5D" w14:textId="77777777" w:rsidR="009328FD" w:rsidRPr="009328FD" w:rsidRDefault="0021516A" w:rsidP="009328FD">
      <w:pPr>
        <w:spacing w:after="0"/>
        <w:ind w:firstLine="720"/>
        <w:jc w:val="both"/>
        <w:rPr>
          <w:rFonts w:ascii="Arial" w:hAnsi="Arial" w:cs="Arial"/>
          <w:sz w:val="20"/>
          <w:szCs w:val="20"/>
        </w:rPr>
      </w:pPr>
      <w:r w:rsidRPr="009328FD">
        <w:rPr>
          <w:rFonts w:ascii="Arial" w:hAnsi="Arial" w:cs="Arial"/>
          <w:sz w:val="20"/>
          <w:szCs w:val="20"/>
        </w:rPr>
        <w:t>Further evidence from Abao et al. (2023) revealed that students who maintained high academic averages developed greater ma</w:t>
      </w:r>
      <w:r w:rsidRPr="009328FD">
        <w:rPr>
          <w:rFonts w:ascii="Arial" w:hAnsi="Arial" w:cs="Arial"/>
          <w:sz w:val="20"/>
          <w:szCs w:val="20"/>
        </w:rPr>
        <w:t>stery of concepts and better test-taking strategies—two components that led to higher LET performance. Esmeralda and Perez-Espinosa (2015) also found a significant correlation between GWA and board exam results among BEED graduates, reinforcing the argumen</w:t>
      </w:r>
      <w:r w:rsidRPr="009328FD">
        <w:rPr>
          <w:rFonts w:ascii="Arial" w:hAnsi="Arial" w:cs="Arial"/>
          <w:sz w:val="20"/>
          <w:szCs w:val="20"/>
        </w:rPr>
        <w:t>t that academic achievement is a valid predictor of professional licensure success.</w:t>
      </w:r>
    </w:p>
    <w:p w14:paraId="675E7385" w14:textId="77777777" w:rsidR="009328FD" w:rsidRPr="009328FD" w:rsidRDefault="009328FD" w:rsidP="009328FD">
      <w:pPr>
        <w:spacing w:after="0"/>
        <w:jc w:val="both"/>
        <w:rPr>
          <w:rFonts w:ascii="Arial" w:hAnsi="Arial" w:cs="Arial"/>
          <w:sz w:val="20"/>
          <w:szCs w:val="20"/>
        </w:rPr>
      </w:pPr>
    </w:p>
    <w:p w14:paraId="47046725" w14:textId="6E027D65" w:rsidR="009328FD" w:rsidRDefault="0021516A" w:rsidP="009328FD">
      <w:pPr>
        <w:spacing w:after="0"/>
        <w:ind w:firstLine="720"/>
        <w:jc w:val="both"/>
        <w:rPr>
          <w:rFonts w:ascii="Arial" w:hAnsi="Arial" w:cs="Arial"/>
          <w:sz w:val="20"/>
          <w:szCs w:val="20"/>
        </w:rPr>
      </w:pPr>
      <w:r w:rsidRPr="009328FD">
        <w:rPr>
          <w:rFonts w:ascii="Arial" w:hAnsi="Arial" w:cs="Arial"/>
          <w:sz w:val="20"/>
          <w:szCs w:val="20"/>
        </w:rPr>
        <w:t xml:space="preserve">This relationship is also observed in other professional fields. Banua (2019) found that nursing graduates with strong GWAs were more likely to pass the Nursing Licensure </w:t>
      </w:r>
      <w:r w:rsidRPr="009328FD">
        <w:rPr>
          <w:rFonts w:ascii="Arial" w:hAnsi="Arial" w:cs="Arial"/>
          <w:sz w:val="20"/>
          <w:szCs w:val="20"/>
        </w:rPr>
        <w:t>Examination (NLE) on their first attempt. Similarly, Salcedo et al. (2021) reported that GWA significantly influenced success in the Certified Public Accountant Licensure Examination (CPALE). These findings from diverse disciplines strengthen the propositi</w:t>
      </w:r>
      <w:r w:rsidRPr="009328FD">
        <w:rPr>
          <w:rFonts w:ascii="Arial" w:hAnsi="Arial" w:cs="Arial"/>
          <w:sz w:val="20"/>
          <w:szCs w:val="20"/>
        </w:rPr>
        <w:t>on that academic achievement predicts performance in high-stakes licensure assessments.</w:t>
      </w:r>
    </w:p>
    <w:p w14:paraId="70918872" w14:textId="1A2C67E4" w:rsidR="00703848" w:rsidRDefault="00703848" w:rsidP="00703848">
      <w:pPr>
        <w:spacing w:after="0"/>
        <w:jc w:val="both"/>
        <w:rPr>
          <w:rFonts w:ascii="Arial" w:hAnsi="Arial" w:cs="Arial"/>
          <w:sz w:val="20"/>
          <w:szCs w:val="20"/>
        </w:rPr>
      </w:pPr>
    </w:p>
    <w:p w14:paraId="7AEE52D7" w14:textId="77777777" w:rsidR="00D33B7B" w:rsidRDefault="00D33B7B" w:rsidP="00703848">
      <w:pPr>
        <w:spacing w:after="0"/>
        <w:jc w:val="both"/>
        <w:rPr>
          <w:rFonts w:ascii="Arial" w:hAnsi="Arial" w:cs="Arial"/>
          <w:b/>
          <w:sz w:val="20"/>
          <w:szCs w:val="20"/>
        </w:rPr>
      </w:pPr>
    </w:p>
    <w:p w14:paraId="018A14FD" w14:textId="0B45417F" w:rsidR="00703848" w:rsidRPr="00703848" w:rsidRDefault="0021516A" w:rsidP="00703848">
      <w:pPr>
        <w:spacing w:after="0"/>
        <w:jc w:val="both"/>
        <w:rPr>
          <w:rFonts w:ascii="Arial" w:hAnsi="Arial" w:cs="Arial"/>
          <w:b/>
          <w:sz w:val="20"/>
          <w:szCs w:val="20"/>
        </w:rPr>
      </w:pPr>
      <w:r w:rsidRPr="00703848">
        <w:rPr>
          <w:rFonts w:ascii="Arial" w:hAnsi="Arial" w:cs="Arial"/>
          <w:b/>
          <w:sz w:val="20"/>
          <w:szCs w:val="20"/>
        </w:rPr>
        <w:t>Beyond GWA: Other Influencing Factors</w:t>
      </w:r>
    </w:p>
    <w:p w14:paraId="2953EA61" w14:textId="77777777" w:rsidR="00703848" w:rsidRPr="00703848" w:rsidRDefault="0021516A" w:rsidP="00703848">
      <w:pPr>
        <w:spacing w:after="0"/>
        <w:ind w:firstLine="720"/>
        <w:jc w:val="both"/>
        <w:rPr>
          <w:rFonts w:ascii="Arial" w:hAnsi="Arial" w:cs="Arial"/>
          <w:sz w:val="20"/>
          <w:szCs w:val="20"/>
        </w:rPr>
      </w:pPr>
      <w:r w:rsidRPr="00703848">
        <w:rPr>
          <w:rFonts w:ascii="Arial" w:hAnsi="Arial" w:cs="Arial"/>
          <w:sz w:val="20"/>
          <w:szCs w:val="20"/>
        </w:rPr>
        <w:lastRenderedPageBreak/>
        <w:t>While GWA provides a strong foundation for predicting licensure outcomes, it is not the sole determinant. Several studies highli</w:t>
      </w:r>
      <w:r w:rsidRPr="00703848">
        <w:rPr>
          <w:rFonts w:ascii="Arial" w:hAnsi="Arial" w:cs="Arial"/>
          <w:sz w:val="20"/>
          <w:szCs w:val="20"/>
        </w:rPr>
        <w:t>ght the role of other factors in exam success. Tulud (2023) emphasizes the importance of test-taking strategies, while Jeyaraju et al. (2022) point to psychological variables such as motivation and emotional preparedness. Maghinay (2024) and Camañero et al</w:t>
      </w:r>
      <w:r w:rsidRPr="00703848">
        <w:rPr>
          <w:rFonts w:ascii="Arial" w:hAnsi="Arial" w:cs="Arial"/>
          <w:sz w:val="20"/>
          <w:szCs w:val="20"/>
        </w:rPr>
        <w:t>. (2024) found that review programs and structured exam preparation also significantly affect LET performance.</w:t>
      </w:r>
    </w:p>
    <w:p w14:paraId="1353551F" w14:textId="77777777" w:rsidR="00703848" w:rsidRPr="00703848" w:rsidRDefault="00703848" w:rsidP="00703848">
      <w:pPr>
        <w:spacing w:after="0"/>
        <w:jc w:val="both"/>
        <w:rPr>
          <w:rFonts w:ascii="Arial" w:hAnsi="Arial" w:cs="Arial"/>
          <w:sz w:val="20"/>
          <w:szCs w:val="20"/>
        </w:rPr>
      </w:pPr>
    </w:p>
    <w:p w14:paraId="349A4DA7" w14:textId="22FDCF04" w:rsidR="00703848" w:rsidRDefault="0021516A" w:rsidP="00703848">
      <w:pPr>
        <w:spacing w:after="0"/>
        <w:ind w:firstLine="720"/>
        <w:jc w:val="both"/>
        <w:rPr>
          <w:rFonts w:ascii="Arial" w:hAnsi="Arial" w:cs="Arial"/>
          <w:sz w:val="20"/>
          <w:szCs w:val="20"/>
        </w:rPr>
      </w:pPr>
      <w:r w:rsidRPr="00703848">
        <w:rPr>
          <w:rFonts w:ascii="Arial" w:hAnsi="Arial" w:cs="Arial"/>
          <w:sz w:val="20"/>
          <w:szCs w:val="20"/>
        </w:rPr>
        <w:t>Moreover, licensure exams assess not just recall of knowledge but also critical reasoning, situational analysis, and problem-solving (To`qsonovn</w:t>
      </w:r>
      <w:r w:rsidRPr="00703848">
        <w:rPr>
          <w:rFonts w:ascii="Arial" w:hAnsi="Arial" w:cs="Arial"/>
          <w:sz w:val="20"/>
          <w:szCs w:val="20"/>
        </w:rPr>
        <w:t>a, 2023; Lee &amp; Wimmers, 2016). Ramirez et al. (2024) argue that exam readiness includes not only content mastery but also familiarity with test formats and confidence under pressure—elements that GWA alone may not capture.</w:t>
      </w:r>
    </w:p>
    <w:p w14:paraId="7DFB980D" w14:textId="3805357E" w:rsidR="00703848" w:rsidRDefault="00703848" w:rsidP="00703848">
      <w:pPr>
        <w:spacing w:after="0"/>
        <w:jc w:val="both"/>
        <w:rPr>
          <w:rFonts w:ascii="Arial" w:hAnsi="Arial" w:cs="Arial"/>
          <w:sz w:val="20"/>
          <w:szCs w:val="20"/>
        </w:rPr>
      </w:pPr>
    </w:p>
    <w:p w14:paraId="4E6FDD33" w14:textId="77777777" w:rsidR="00703848" w:rsidRPr="00703848" w:rsidRDefault="0021516A" w:rsidP="00703848">
      <w:pPr>
        <w:spacing w:after="0"/>
        <w:jc w:val="both"/>
        <w:rPr>
          <w:rFonts w:ascii="Arial" w:hAnsi="Arial" w:cs="Arial"/>
          <w:b/>
          <w:sz w:val="20"/>
          <w:szCs w:val="20"/>
        </w:rPr>
      </w:pPr>
      <w:r w:rsidRPr="00703848">
        <w:rPr>
          <w:rFonts w:ascii="Arial" w:hAnsi="Arial" w:cs="Arial"/>
          <w:b/>
          <w:sz w:val="20"/>
          <w:szCs w:val="20"/>
        </w:rPr>
        <w:t>Relevance to the Current Study</w:t>
      </w:r>
    </w:p>
    <w:p w14:paraId="179C8F7A" w14:textId="14D81BBF" w:rsidR="00703848" w:rsidRDefault="0021516A" w:rsidP="00703848">
      <w:pPr>
        <w:spacing w:after="0"/>
        <w:ind w:firstLine="720"/>
        <w:jc w:val="both"/>
        <w:rPr>
          <w:rFonts w:ascii="Arial" w:hAnsi="Arial" w:cs="Arial"/>
          <w:sz w:val="20"/>
          <w:szCs w:val="20"/>
        </w:rPr>
      </w:pPr>
      <w:r w:rsidRPr="00703848">
        <w:rPr>
          <w:rFonts w:ascii="Arial" w:hAnsi="Arial" w:cs="Arial"/>
          <w:sz w:val="20"/>
          <w:szCs w:val="20"/>
        </w:rPr>
        <w:t>While prior research supports the relationship between academic achievement and licensure examination outcomes, most existing studies focus on national-level data or broader institutional populations. There remains a lack of evidence examining this relatio</w:t>
      </w:r>
      <w:r w:rsidRPr="00703848">
        <w:rPr>
          <w:rFonts w:ascii="Arial" w:hAnsi="Arial" w:cs="Arial"/>
          <w:sz w:val="20"/>
          <w:szCs w:val="20"/>
        </w:rPr>
        <w:t>nship within specific local contexts where academic policies, instructional strategies, and student support structures may vary. This study addresses that gap by exploring whether the GWA of BEED graduates from Davao Oriental State University – Cateel Camp</w:t>
      </w:r>
      <w:r w:rsidRPr="00703848">
        <w:rPr>
          <w:rFonts w:ascii="Arial" w:hAnsi="Arial" w:cs="Arial"/>
          <w:sz w:val="20"/>
          <w:szCs w:val="20"/>
        </w:rPr>
        <w:t>us serves as a significant predictor of their LET performance. By situating the investigation within a localized institutional framework, the study aims to generate findings that can inform evidence-based improvements to academic advising, curriculum deliv</w:t>
      </w:r>
      <w:r w:rsidRPr="00703848">
        <w:rPr>
          <w:rFonts w:ascii="Arial" w:hAnsi="Arial" w:cs="Arial"/>
          <w:sz w:val="20"/>
          <w:szCs w:val="20"/>
        </w:rPr>
        <w:t>ery, and licensure preparation initiatives specific to the university's teacher education program.</w:t>
      </w:r>
    </w:p>
    <w:p w14:paraId="41AD2D40" w14:textId="2BADD94D" w:rsidR="00703848" w:rsidRDefault="00703848" w:rsidP="00703848">
      <w:pPr>
        <w:spacing w:after="0"/>
        <w:jc w:val="both"/>
        <w:rPr>
          <w:rFonts w:ascii="Arial" w:hAnsi="Arial" w:cs="Arial"/>
          <w:sz w:val="20"/>
          <w:szCs w:val="20"/>
        </w:rPr>
      </w:pPr>
    </w:p>
    <w:p w14:paraId="66325417" w14:textId="77777777" w:rsidR="00703848" w:rsidRPr="00703848" w:rsidRDefault="0021516A" w:rsidP="00703848">
      <w:pPr>
        <w:spacing w:after="0"/>
        <w:jc w:val="both"/>
        <w:rPr>
          <w:rFonts w:ascii="Arial" w:hAnsi="Arial" w:cs="Arial"/>
          <w:b/>
          <w:sz w:val="20"/>
          <w:szCs w:val="20"/>
        </w:rPr>
      </w:pPr>
      <w:r w:rsidRPr="00703848">
        <w:rPr>
          <w:rFonts w:ascii="Arial" w:hAnsi="Arial" w:cs="Arial"/>
          <w:b/>
          <w:sz w:val="20"/>
          <w:szCs w:val="20"/>
        </w:rPr>
        <w:t>Implications from the Literature</w:t>
      </w:r>
    </w:p>
    <w:p w14:paraId="7D17EA53" w14:textId="33D0E780" w:rsidR="00703848" w:rsidRPr="00703848" w:rsidRDefault="0021516A" w:rsidP="00703848">
      <w:pPr>
        <w:spacing w:after="0"/>
        <w:ind w:firstLine="720"/>
        <w:jc w:val="both"/>
        <w:rPr>
          <w:rFonts w:ascii="Arial" w:hAnsi="Arial" w:cs="Arial"/>
          <w:sz w:val="20"/>
          <w:szCs w:val="20"/>
        </w:rPr>
      </w:pPr>
      <w:r w:rsidRPr="00703848">
        <w:rPr>
          <w:rFonts w:ascii="Arial" w:hAnsi="Arial" w:cs="Arial"/>
          <w:sz w:val="20"/>
          <w:szCs w:val="20"/>
        </w:rPr>
        <w:t>In summary, the reviewed literature consistently highlights the value of GWA as a measure of academic performance and a pot</w:t>
      </w:r>
      <w:r w:rsidRPr="00703848">
        <w:rPr>
          <w:rFonts w:ascii="Arial" w:hAnsi="Arial" w:cs="Arial"/>
          <w:sz w:val="20"/>
          <w:szCs w:val="20"/>
        </w:rPr>
        <w:t>ential predictor of success in licensure examinations. LET outcomes have also been shown to reflect teacher preparedness and instructional quality, reinforcing the importance of robust academic training during pre-service education. While strong academic r</w:t>
      </w:r>
      <w:r w:rsidRPr="00703848">
        <w:rPr>
          <w:rFonts w:ascii="Arial" w:hAnsi="Arial" w:cs="Arial"/>
          <w:sz w:val="20"/>
          <w:szCs w:val="20"/>
        </w:rPr>
        <w:t>ecords are linked to licensure performance, multiple studies also emphasize the role of non-academic factors such as motivation, test-taking strategies, and review programs. This multidimensional understanding suggests that institutions must not only uphol</w:t>
      </w:r>
      <w:r w:rsidRPr="00703848">
        <w:rPr>
          <w:rFonts w:ascii="Arial" w:hAnsi="Arial" w:cs="Arial"/>
          <w:sz w:val="20"/>
          <w:szCs w:val="20"/>
        </w:rPr>
        <w:t>d academic standards but also provide comprehensive support to improve licensure success. Anchored in this literature, the present study seeks to contribute context-specific insights that strengthen teacher preparation within DOrSU–Cateel Campus.</w:t>
      </w:r>
    </w:p>
    <w:p w14:paraId="1CDA3C97" w14:textId="77777777" w:rsidR="009328FD" w:rsidRDefault="009328FD" w:rsidP="00690128">
      <w:pPr>
        <w:spacing w:after="0"/>
        <w:jc w:val="both"/>
        <w:rPr>
          <w:rFonts w:ascii="Arial" w:eastAsia="Arial" w:hAnsi="Arial" w:cs="Arial"/>
          <w:b/>
          <w:smallCaps/>
          <w:color w:val="000000"/>
        </w:rPr>
      </w:pPr>
    </w:p>
    <w:p w14:paraId="0EC35798" w14:textId="7676C8D0" w:rsidR="00690128" w:rsidRPr="001E27A1" w:rsidRDefault="0021516A" w:rsidP="00690128">
      <w:pPr>
        <w:spacing w:after="0"/>
        <w:jc w:val="both"/>
        <w:rPr>
          <w:rFonts w:ascii="Arial" w:eastAsia="Arial" w:hAnsi="Arial" w:cs="Arial"/>
          <w:b/>
          <w:smallCaps/>
          <w:color w:val="000000"/>
        </w:rPr>
      </w:pPr>
      <w:r>
        <w:rPr>
          <w:rFonts w:ascii="Arial" w:eastAsia="Arial" w:hAnsi="Arial" w:cs="Arial"/>
          <w:b/>
          <w:smallCaps/>
          <w:color w:val="000000"/>
        </w:rPr>
        <w:t xml:space="preserve">4. </w:t>
      </w:r>
      <w:r w:rsidR="009619F5" w:rsidRPr="001E27A1">
        <w:rPr>
          <w:rFonts w:ascii="Arial" w:eastAsia="Arial" w:hAnsi="Arial" w:cs="Arial"/>
          <w:b/>
          <w:smallCaps/>
          <w:color w:val="000000"/>
        </w:rPr>
        <w:t>MATERIALS AND METHODS</w:t>
      </w:r>
    </w:p>
    <w:p w14:paraId="77042CEB" w14:textId="77777777" w:rsidR="00690128" w:rsidRPr="002F53C4" w:rsidRDefault="00690128" w:rsidP="00690128">
      <w:pPr>
        <w:spacing w:after="0"/>
        <w:jc w:val="both"/>
        <w:rPr>
          <w:rFonts w:ascii="Arial" w:eastAsia="Arial" w:hAnsi="Arial" w:cs="Arial"/>
          <w:b/>
          <w:smallCaps/>
          <w:color w:val="000000"/>
          <w:sz w:val="20"/>
          <w:szCs w:val="20"/>
        </w:rPr>
      </w:pPr>
    </w:p>
    <w:p w14:paraId="763C373E" w14:textId="77777777" w:rsidR="00690128" w:rsidRPr="002F53C4" w:rsidRDefault="0021516A" w:rsidP="00690128">
      <w:pPr>
        <w:spacing w:after="0"/>
        <w:jc w:val="both"/>
        <w:rPr>
          <w:rFonts w:ascii="Arial" w:hAnsi="Arial" w:cs="Arial"/>
          <w:b/>
          <w:bCs/>
          <w:sz w:val="20"/>
          <w:szCs w:val="20"/>
        </w:rPr>
      </w:pPr>
      <w:r w:rsidRPr="002F53C4">
        <w:rPr>
          <w:rFonts w:ascii="Arial" w:hAnsi="Arial" w:cs="Arial"/>
          <w:b/>
          <w:bCs/>
          <w:sz w:val="20"/>
          <w:szCs w:val="20"/>
        </w:rPr>
        <w:t>Research Design</w:t>
      </w:r>
    </w:p>
    <w:p w14:paraId="1253D703" w14:textId="5EE06519" w:rsidR="005E5256" w:rsidRDefault="0021516A" w:rsidP="00FB453D">
      <w:pPr>
        <w:spacing w:after="0" w:line="240" w:lineRule="auto"/>
        <w:jc w:val="both"/>
        <w:rPr>
          <w:rFonts w:ascii="Arial" w:hAnsi="Arial" w:cs="Arial"/>
          <w:b/>
          <w:bCs/>
          <w:sz w:val="20"/>
          <w:szCs w:val="20"/>
        </w:rPr>
      </w:pPr>
      <w:r w:rsidRPr="002F53C4">
        <w:rPr>
          <w:rFonts w:ascii="Arial" w:hAnsi="Arial" w:cs="Arial"/>
          <w:sz w:val="20"/>
          <w:szCs w:val="20"/>
        </w:rPr>
        <w:t xml:space="preserve">              </w:t>
      </w:r>
      <w:r w:rsidR="00FB453D" w:rsidRPr="00FB453D">
        <w:rPr>
          <w:rFonts w:ascii="Arial" w:hAnsi="Arial" w:cs="Arial"/>
          <w:sz w:val="20"/>
          <w:szCs w:val="20"/>
        </w:rPr>
        <w:t>This study utilized a correlational research design to investigate the relationship between General Weighted Average (GWA) and Licensure Examination for Teachers (LET) performance among Bachelor of Elementary Education (BEED) graduates of Davao Oriental State University – Cateel Campus. The design was appropriate for determining both the strength and direction of the relationship between the variables, as well as the predictive value of GWA on LET performance. The study used quantitative methods, specifically descriptive statistics, Pearson’s correlation, and simple linear regression analysis, to examine the data. As a non-experimental study, it relied solely on existing secondary data without manipulation of variables. All analyses were conducted using SPSS Version 2</w:t>
      </w:r>
      <w:r w:rsidR="00FB453D">
        <w:rPr>
          <w:rFonts w:ascii="Arial" w:hAnsi="Arial" w:cs="Arial"/>
          <w:sz w:val="20"/>
          <w:szCs w:val="20"/>
        </w:rPr>
        <w:t>2.</w:t>
      </w:r>
    </w:p>
    <w:p w14:paraId="356C4F5A" w14:textId="77777777" w:rsidR="009C499C" w:rsidRPr="009C499C" w:rsidRDefault="0021516A" w:rsidP="009C499C">
      <w:pPr>
        <w:spacing w:after="0"/>
        <w:jc w:val="both"/>
        <w:rPr>
          <w:rFonts w:ascii="Arial" w:hAnsi="Arial" w:cs="Arial"/>
          <w:b/>
          <w:bCs/>
          <w:sz w:val="20"/>
          <w:szCs w:val="20"/>
        </w:rPr>
      </w:pPr>
      <w:r w:rsidRPr="009C499C">
        <w:rPr>
          <w:rFonts w:ascii="Arial" w:hAnsi="Arial" w:cs="Arial"/>
          <w:b/>
          <w:bCs/>
          <w:sz w:val="20"/>
          <w:szCs w:val="20"/>
        </w:rPr>
        <w:t>Research Locale</w:t>
      </w:r>
    </w:p>
    <w:p w14:paraId="172D118E" w14:textId="77777777" w:rsidR="009C499C" w:rsidRPr="009C499C" w:rsidRDefault="0021516A" w:rsidP="009C499C">
      <w:pPr>
        <w:spacing w:after="0"/>
        <w:ind w:firstLine="720"/>
        <w:jc w:val="both"/>
        <w:rPr>
          <w:rFonts w:ascii="Arial" w:hAnsi="Arial" w:cs="Arial"/>
          <w:bCs/>
          <w:sz w:val="20"/>
          <w:szCs w:val="20"/>
        </w:rPr>
      </w:pPr>
      <w:r w:rsidRPr="009C499C">
        <w:rPr>
          <w:rFonts w:ascii="Arial" w:hAnsi="Arial" w:cs="Arial"/>
          <w:bCs/>
          <w:sz w:val="20"/>
          <w:szCs w:val="20"/>
        </w:rPr>
        <w:lastRenderedPageBreak/>
        <w:t>The study was conducted at Davao Oriental State University – Cateel Campus, a public higher educational institution in District 1, Davao Oriental, that offers a Bachelor of Elemen</w:t>
      </w:r>
      <w:r w:rsidRPr="009C499C">
        <w:rPr>
          <w:rFonts w:ascii="Arial" w:hAnsi="Arial" w:cs="Arial"/>
          <w:bCs/>
          <w:sz w:val="20"/>
          <w:szCs w:val="20"/>
        </w:rPr>
        <w:t>tary Education (BEED) program. The institution is dedicated to cultivating proficient educators who comply with the national criteria established by the Professional Regulation Commission (PRC) and the Commission on Higher Education (CHED).</w:t>
      </w:r>
    </w:p>
    <w:p w14:paraId="3707309B" w14:textId="77777777" w:rsidR="005E5256" w:rsidRDefault="005E5256" w:rsidP="009C499C">
      <w:pPr>
        <w:spacing w:after="0"/>
        <w:jc w:val="both"/>
        <w:rPr>
          <w:rFonts w:ascii="Arial" w:hAnsi="Arial" w:cs="Arial"/>
          <w:bCs/>
          <w:sz w:val="20"/>
          <w:szCs w:val="20"/>
        </w:rPr>
      </w:pPr>
    </w:p>
    <w:p w14:paraId="3DC93B07" w14:textId="77777777" w:rsidR="009C499C" w:rsidRPr="009C499C" w:rsidRDefault="0021516A" w:rsidP="009C499C">
      <w:pPr>
        <w:spacing w:after="0"/>
        <w:jc w:val="both"/>
        <w:rPr>
          <w:rFonts w:ascii="Arial" w:hAnsi="Arial" w:cs="Arial"/>
          <w:b/>
          <w:bCs/>
          <w:sz w:val="20"/>
          <w:szCs w:val="20"/>
        </w:rPr>
      </w:pPr>
      <w:r w:rsidRPr="009C499C">
        <w:rPr>
          <w:rFonts w:ascii="Arial" w:hAnsi="Arial" w:cs="Arial"/>
          <w:b/>
          <w:bCs/>
          <w:sz w:val="20"/>
          <w:szCs w:val="20"/>
        </w:rPr>
        <w:t>Respondents an</w:t>
      </w:r>
      <w:r w:rsidRPr="009C499C">
        <w:rPr>
          <w:rFonts w:ascii="Arial" w:hAnsi="Arial" w:cs="Arial"/>
          <w:b/>
          <w:bCs/>
          <w:sz w:val="20"/>
          <w:szCs w:val="20"/>
        </w:rPr>
        <w:t>d Sampling</w:t>
      </w:r>
    </w:p>
    <w:p w14:paraId="28AC0D4C" w14:textId="77777777" w:rsidR="00866594" w:rsidRPr="00866594" w:rsidRDefault="0021516A" w:rsidP="00866594">
      <w:pPr>
        <w:spacing w:after="0"/>
        <w:ind w:firstLine="720"/>
        <w:jc w:val="both"/>
        <w:rPr>
          <w:rFonts w:ascii="Arial" w:hAnsi="Arial" w:cs="Arial"/>
          <w:bCs/>
          <w:sz w:val="20"/>
          <w:szCs w:val="20"/>
        </w:rPr>
      </w:pPr>
      <w:r w:rsidRPr="00866594">
        <w:rPr>
          <w:rFonts w:ascii="Arial" w:hAnsi="Arial" w:cs="Arial"/>
          <w:bCs/>
          <w:sz w:val="20"/>
          <w:szCs w:val="20"/>
        </w:rPr>
        <w:t>The respondents of this study were the 54 BEED graduates of 2022 and 2023 from Davao Oriental State University – Cateel Campus who had taken the Licensure Examination for Teachers (LET). This timeframe was selected to reflect the most recent tre</w:t>
      </w:r>
      <w:r w:rsidRPr="00866594">
        <w:rPr>
          <w:rFonts w:ascii="Arial" w:hAnsi="Arial" w:cs="Arial"/>
          <w:bCs/>
          <w:sz w:val="20"/>
          <w:szCs w:val="20"/>
        </w:rPr>
        <w:t>nds in academic performance and licensure outcomes among the university’s graduates.</w:t>
      </w:r>
    </w:p>
    <w:p w14:paraId="6B86E630" w14:textId="77777777" w:rsidR="00866594" w:rsidRPr="00866594" w:rsidRDefault="00866594" w:rsidP="00866594">
      <w:pPr>
        <w:spacing w:after="0"/>
        <w:jc w:val="both"/>
        <w:rPr>
          <w:rFonts w:ascii="Arial" w:hAnsi="Arial" w:cs="Arial"/>
          <w:bCs/>
          <w:sz w:val="20"/>
          <w:szCs w:val="20"/>
        </w:rPr>
      </w:pPr>
    </w:p>
    <w:p w14:paraId="3BA0836B" w14:textId="38E1699A" w:rsidR="009C499C" w:rsidRPr="009C499C" w:rsidRDefault="0021516A" w:rsidP="00866594">
      <w:pPr>
        <w:spacing w:after="0"/>
        <w:ind w:firstLine="720"/>
        <w:jc w:val="both"/>
        <w:rPr>
          <w:rFonts w:ascii="Arial" w:hAnsi="Arial" w:cs="Arial"/>
          <w:bCs/>
          <w:sz w:val="20"/>
          <w:szCs w:val="20"/>
        </w:rPr>
      </w:pPr>
      <w:r w:rsidRPr="00866594">
        <w:rPr>
          <w:rFonts w:ascii="Arial" w:hAnsi="Arial" w:cs="Arial"/>
          <w:bCs/>
          <w:sz w:val="20"/>
          <w:szCs w:val="20"/>
        </w:rPr>
        <w:t>Since the total number of eligible BEE</w:t>
      </w:r>
      <w:r>
        <w:rPr>
          <w:rFonts w:ascii="Arial" w:hAnsi="Arial" w:cs="Arial"/>
          <w:bCs/>
          <w:sz w:val="20"/>
          <w:szCs w:val="20"/>
        </w:rPr>
        <w:t>D</w:t>
      </w:r>
      <w:r w:rsidRPr="00866594">
        <w:rPr>
          <w:rFonts w:ascii="Arial" w:hAnsi="Arial" w:cs="Arial"/>
          <w:bCs/>
          <w:sz w:val="20"/>
          <w:szCs w:val="20"/>
        </w:rPr>
        <w:t xml:space="preserve"> graduates from these two academic years was manageable, the study employed a complete enumeration sampling method. All graduates w</w:t>
      </w:r>
      <w:r w:rsidRPr="00866594">
        <w:rPr>
          <w:rFonts w:ascii="Arial" w:hAnsi="Arial" w:cs="Arial"/>
          <w:bCs/>
          <w:sz w:val="20"/>
          <w:szCs w:val="20"/>
        </w:rPr>
        <w:t>ith accessible records for both their General Weighted Average (GWA) and LET results were included in the analysis. Among the 54 respondents, 8 were male and 46 were female, reflecting the typical gender distribution of pre-service elementary education pro</w:t>
      </w:r>
      <w:r w:rsidRPr="00866594">
        <w:rPr>
          <w:rFonts w:ascii="Arial" w:hAnsi="Arial" w:cs="Arial"/>
          <w:bCs/>
          <w:sz w:val="20"/>
          <w:szCs w:val="20"/>
        </w:rPr>
        <w:t>grams. This approach minimized sampling bias and ensured that the entire target population was represented.</w:t>
      </w:r>
    </w:p>
    <w:p w14:paraId="1975C7B8" w14:textId="77777777" w:rsidR="00866594" w:rsidRDefault="00866594" w:rsidP="009C499C">
      <w:pPr>
        <w:spacing w:after="0"/>
        <w:jc w:val="both"/>
        <w:rPr>
          <w:rFonts w:ascii="Arial" w:hAnsi="Arial" w:cs="Arial"/>
          <w:b/>
          <w:bCs/>
          <w:sz w:val="20"/>
          <w:szCs w:val="20"/>
        </w:rPr>
      </w:pPr>
    </w:p>
    <w:p w14:paraId="17DE67F4" w14:textId="0BDC31F9" w:rsidR="009C499C" w:rsidRPr="009C499C" w:rsidRDefault="0021516A" w:rsidP="009C499C">
      <w:pPr>
        <w:spacing w:after="0"/>
        <w:jc w:val="both"/>
        <w:rPr>
          <w:rFonts w:ascii="Arial" w:hAnsi="Arial" w:cs="Arial"/>
          <w:b/>
          <w:bCs/>
          <w:sz w:val="20"/>
          <w:szCs w:val="20"/>
        </w:rPr>
      </w:pPr>
      <w:r w:rsidRPr="009C499C">
        <w:rPr>
          <w:rFonts w:ascii="Arial" w:hAnsi="Arial" w:cs="Arial"/>
          <w:b/>
          <w:bCs/>
          <w:sz w:val="20"/>
          <w:szCs w:val="20"/>
        </w:rPr>
        <w:t>Data Collection</w:t>
      </w:r>
    </w:p>
    <w:p w14:paraId="4A46CB70" w14:textId="77777777" w:rsidR="009C499C" w:rsidRPr="009C499C" w:rsidRDefault="0021516A" w:rsidP="009C499C">
      <w:pPr>
        <w:spacing w:after="0"/>
        <w:ind w:firstLine="720"/>
        <w:jc w:val="both"/>
        <w:rPr>
          <w:rFonts w:ascii="Arial" w:hAnsi="Arial" w:cs="Arial"/>
          <w:bCs/>
          <w:sz w:val="20"/>
          <w:szCs w:val="20"/>
        </w:rPr>
      </w:pPr>
      <w:r w:rsidRPr="009C499C">
        <w:rPr>
          <w:rFonts w:ascii="Arial" w:hAnsi="Arial" w:cs="Arial"/>
          <w:bCs/>
          <w:sz w:val="20"/>
          <w:szCs w:val="20"/>
        </w:rPr>
        <w:t xml:space="preserve">This study utilized secondary data obtained from institutional and BEED graduate sources to ensure accuracy and reliability. The </w:t>
      </w:r>
      <w:r w:rsidRPr="009C499C">
        <w:rPr>
          <w:rFonts w:ascii="Arial" w:hAnsi="Arial" w:cs="Arial"/>
          <w:bCs/>
          <w:sz w:val="20"/>
          <w:szCs w:val="20"/>
        </w:rPr>
        <w:t>Grade Weighted Average (GWA) records were collected from the university registrar's office. At the same time, performance data from the Licensure Examination for Teachers (LET) was gathered from graduates and the program’s licensure performance database. T</w:t>
      </w:r>
      <w:r w:rsidRPr="009C499C">
        <w:rPr>
          <w:rFonts w:ascii="Arial" w:hAnsi="Arial" w:cs="Arial"/>
          <w:bCs/>
          <w:sz w:val="20"/>
          <w:szCs w:val="20"/>
        </w:rPr>
        <w:t xml:space="preserve">o ensure the validity of self-reported LET results, graduates were requested to provide screenshots of their official LET results from their PRC accounts. Before data collection, the researcher sought official permission from the university administration </w:t>
      </w:r>
      <w:r w:rsidRPr="009C499C">
        <w:rPr>
          <w:rFonts w:ascii="Arial" w:hAnsi="Arial" w:cs="Arial"/>
          <w:bCs/>
          <w:sz w:val="20"/>
          <w:szCs w:val="20"/>
        </w:rPr>
        <w:t>and relevant offices to access the necessary academic and licensure records. To uphold ethical research standards, all personal identifiers, such as student names and ID numbers, were removed to ensure confidentiality and compliance with data privacy regul</w:t>
      </w:r>
      <w:r w:rsidRPr="009C499C">
        <w:rPr>
          <w:rFonts w:ascii="Arial" w:hAnsi="Arial" w:cs="Arial"/>
          <w:bCs/>
          <w:sz w:val="20"/>
          <w:szCs w:val="20"/>
        </w:rPr>
        <w:t>ations.</w:t>
      </w:r>
    </w:p>
    <w:p w14:paraId="18F772B0" w14:textId="77777777" w:rsidR="009C499C" w:rsidRDefault="009C499C" w:rsidP="009C499C">
      <w:pPr>
        <w:spacing w:after="0"/>
        <w:jc w:val="both"/>
        <w:rPr>
          <w:rFonts w:ascii="Arial" w:hAnsi="Arial" w:cs="Arial"/>
          <w:bCs/>
          <w:sz w:val="20"/>
          <w:szCs w:val="20"/>
        </w:rPr>
      </w:pPr>
    </w:p>
    <w:p w14:paraId="67F78C19" w14:textId="77777777" w:rsidR="009C499C" w:rsidRPr="009C499C" w:rsidRDefault="0021516A" w:rsidP="009C499C">
      <w:pPr>
        <w:spacing w:after="0"/>
        <w:jc w:val="both"/>
        <w:rPr>
          <w:rFonts w:ascii="Arial" w:hAnsi="Arial" w:cs="Arial"/>
          <w:b/>
          <w:bCs/>
          <w:sz w:val="20"/>
          <w:szCs w:val="20"/>
        </w:rPr>
      </w:pPr>
      <w:r w:rsidRPr="009C499C">
        <w:rPr>
          <w:rFonts w:ascii="Arial" w:hAnsi="Arial" w:cs="Arial"/>
          <w:b/>
          <w:bCs/>
          <w:sz w:val="20"/>
          <w:szCs w:val="20"/>
        </w:rPr>
        <w:t>Research Instrument</w:t>
      </w:r>
    </w:p>
    <w:p w14:paraId="1EC683D6" w14:textId="77777777" w:rsidR="009C499C" w:rsidRPr="009C499C" w:rsidRDefault="0021516A" w:rsidP="009C499C">
      <w:pPr>
        <w:spacing w:after="0"/>
        <w:ind w:firstLine="720"/>
        <w:jc w:val="both"/>
        <w:rPr>
          <w:rFonts w:ascii="Arial" w:hAnsi="Arial" w:cs="Arial"/>
          <w:bCs/>
          <w:sz w:val="20"/>
          <w:szCs w:val="20"/>
        </w:rPr>
      </w:pPr>
      <w:r w:rsidRPr="009C499C">
        <w:rPr>
          <w:rFonts w:ascii="Arial" w:hAnsi="Arial" w:cs="Arial"/>
          <w:bCs/>
          <w:sz w:val="20"/>
          <w:szCs w:val="20"/>
        </w:rPr>
        <w:t>As this study relied on secondary data, no direct survey or test instrument was required. Instead, data recording sheets were used to organize and analyze GWA and LET scores systematically.</w:t>
      </w:r>
    </w:p>
    <w:p w14:paraId="40BC59AC" w14:textId="77777777" w:rsidR="009C499C" w:rsidRDefault="009C499C" w:rsidP="009C499C">
      <w:pPr>
        <w:spacing w:after="0"/>
        <w:jc w:val="both"/>
        <w:rPr>
          <w:rFonts w:ascii="Arial" w:hAnsi="Arial" w:cs="Arial"/>
          <w:bCs/>
          <w:sz w:val="20"/>
          <w:szCs w:val="20"/>
        </w:rPr>
      </w:pPr>
    </w:p>
    <w:p w14:paraId="14C8E66A" w14:textId="77777777" w:rsidR="009C499C" w:rsidRPr="009C499C" w:rsidRDefault="0021516A" w:rsidP="009C499C">
      <w:pPr>
        <w:spacing w:after="0"/>
        <w:jc w:val="both"/>
        <w:rPr>
          <w:rFonts w:ascii="Arial" w:hAnsi="Arial" w:cs="Arial"/>
          <w:b/>
          <w:bCs/>
          <w:sz w:val="20"/>
          <w:szCs w:val="20"/>
        </w:rPr>
      </w:pPr>
      <w:r w:rsidRPr="009C499C">
        <w:rPr>
          <w:rFonts w:ascii="Arial" w:hAnsi="Arial" w:cs="Arial"/>
          <w:b/>
          <w:bCs/>
          <w:sz w:val="20"/>
          <w:szCs w:val="20"/>
        </w:rPr>
        <w:t xml:space="preserve">Data Analysis </w:t>
      </w:r>
    </w:p>
    <w:p w14:paraId="7A3C3C8F" w14:textId="77777777" w:rsidR="009C499C" w:rsidRPr="009C499C" w:rsidRDefault="0021516A" w:rsidP="009C499C">
      <w:pPr>
        <w:spacing w:after="0"/>
        <w:ind w:firstLine="720"/>
        <w:jc w:val="both"/>
        <w:rPr>
          <w:rFonts w:ascii="Arial" w:hAnsi="Arial" w:cs="Arial"/>
          <w:bCs/>
          <w:sz w:val="20"/>
          <w:szCs w:val="20"/>
        </w:rPr>
      </w:pPr>
      <w:r w:rsidRPr="009C499C">
        <w:rPr>
          <w:rFonts w:ascii="Arial" w:hAnsi="Arial" w:cs="Arial"/>
          <w:bCs/>
          <w:sz w:val="20"/>
          <w:szCs w:val="20"/>
        </w:rPr>
        <w:t>Descriptive statistic</w:t>
      </w:r>
      <w:r w:rsidRPr="009C499C">
        <w:rPr>
          <w:rFonts w:ascii="Arial" w:hAnsi="Arial" w:cs="Arial"/>
          <w:bCs/>
          <w:sz w:val="20"/>
          <w:szCs w:val="20"/>
        </w:rPr>
        <w:t>s, including means and standard deviations, were computed to provide a comprehensive assessment of the academic performance (GWA) and licensure outcomes (LET scores) of BEED graduates. To facilitate interpretability, GWA was classified into performance cat</w:t>
      </w:r>
      <w:r w:rsidRPr="009C499C">
        <w:rPr>
          <w:rFonts w:ascii="Arial" w:hAnsi="Arial" w:cs="Arial"/>
          <w:bCs/>
          <w:sz w:val="20"/>
          <w:szCs w:val="20"/>
        </w:rPr>
        <w:t>egories as follows: 1.00–1.25 (Excellent), 1.50–1.75 (Very Good), 2.00–2.25 (Good), 2.50–2.75 (Satisfactory), 3.00 (Passing), 4.00 (Conditional Failure), INC (Incomplete), and 5.00 (Failure). Similarly, LET performance was categorized into the following ca</w:t>
      </w:r>
      <w:r w:rsidRPr="009C499C">
        <w:rPr>
          <w:rFonts w:ascii="Arial" w:hAnsi="Arial" w:cs="Arial"/>
          <w:bCs/>
          <w:sz w:val="20"/>
          <w:szCs w:val="20"/>
        </w:rPr>
        <w:t xml:space="preserve">tegories: 90% and above (Excellent), 85%–89% (Very Satisfactory), 80%–84% (Satisfactory), 75%–79% (Fair), and 74% and below (Poor). </w:t>
      </w:r>
    </w:p>
    <w:p w14:paraId="73EC21CC" w14:textId="77777777" w:rsidR="009C499C" w:rsidRPr="009C499C" w:rsidRDefault="0021516A" w:rsidP="009C499C">
      <w:pPr>
        <w:spacing w:after="0"/>
        <w:ind w:firstLine="720"/>
        <w:jc w:val="both"/>
        <w:rPr>
          <w:rFonts w:ascii="Arial" w:hAnsi="Arial" w:cs="Arial"/>
          <w:bCs/>
          <w:sz w:val="20"/>
          <w:szCs w:val="20"/>
        </w:rPr>
      </w:pPr>
      <w:r w:rsidRPr="009C499C">
        <w:rPr>
          <w:rFonts w:ascii="Arial" w:hAnsi="Arial" w:cs="Arial"/>
          <w:bCs/>
          <w:sz w:val="20"/>
          <w:szCs w:val="20"/>
        </w:rPr>
        <w:t xml:space="preserve">To examine the relationship between academic performance and licensure outcomes, Pearson’s correlation coefficient (r) was </w:t>
      </w:r>
      <w:r w:rsidRPr="009C499C">
        <w:rPr>
          <w:rFonts w:ascii="Arial" w:hAnsi="Arial" w:cs="Arial"/>
          <w:bCs/>
          <w:sz w:val="20"/>
          <w:szCs w:val="20"/>
        </w:rPr>
        <w:t xml:space="preserve">computed to assess the strength and direction of the </w:t>
      </w:r>
      <w:r w:rsidRPr="009C499C">
        <w:rPr>
          <w:rFonts w:ascii="Arial" w:hAnsi="Arial" w:cs="Arial"/>
          <w:bCs/>
          <w:sz w:val="20"/>
          <w:szCs w:val="20"/>
        </w:rPr>
        <w:lastRenderedPageBreak/>
        <w:t>relationship between GWA and LET scores. The correlation coefficient was interpreted using the classification of Emmanuel and Isiaq (2024): -0.7 to -1 (Very Strong Negative), -.5 to -.7 (Strong Negative)</w:t>
      </w:r>
      <w:r w:rsidRPr="009C499C">
        <w:rPr>
          <w:rFonts w:ascii="Arial" w:hAnsi="Arial" w:cs="Arial"/>
          <w:bCs/>
          <w:sz w:val="20"/>
          <w:szCs w:val="20"/>
        </w:rPr>
        <w:t xml:space="preserve">, -.3 to -.5 (Moderate Negative), 0 to -.3 (Weak Negative), 0 (None), 0 to 3 (Weak Positive), .3 to .5 (Moderate Positive), .5 to .7 (Strong Positive), and .7 to 1 (Very Strong Positive). </w:t>
      </w:r>
    </w:p>
    <w:p w14:paraId="44D98605" w14:textId="77777777" w:rsidR="009C499C" w:rsidRPr="009C499C" w:rsidRDefault="0021516A" w:rsidP="009C499C">
      <w:pPr>
        <w:spacing w:after="0"/>
        <w:ind w:firstLine="720"/>
        <w:jc w:val="both"/>
        <w:rPr>
          <w:rFonts w:ascii="Arial" w:hAnsi="Arial" w:cs="Arial"/>
          <w:bCs/>
          <w:sz w:val="20"/>
          <w:szCs w:val="20"/>
        </w:rPr>
      </w:pPr>
      <w:r w:rsidRPr="009C499C">
        <w:rPr>
          <w:rFonts w:ascii="Arial" w:hAnsi="Arial" w:cs="Arial"/>
          <w:bCs/>
          <w:sz w:val="20"/>
          <w:szCs w:val="20"/>
        </w:rPr>
        <w:t>A simple linear regression analysis was conducted to determine whet</w:t>
      </w:r>
      <w:r w:rsidRPr="009C499C">
        <w:rPr>
          <w:rFonts w:ascii="Arial" w:hAnsi="Arial" w:cs="Arial"/>
          <w:bCs/>
          <w:sz w:val="20"/>
          <w:szCs w:val="20"/>
        </w:rPr>
        <w:t>her GWA significantly predicts LET performance. The regression model follows the equation: LET Score=β0+β1(GPA)+ε, where: β</w:t>
      </w:r>
      <w:r w:rsidRPr="009C499C">
        <w:rPr>
          <w:rFonts w:ascii="Cambria Math" w:hAnsi="Cambria Math" w:cs="Cambria Math"/>
          <w:bCs/>
          <w:sz w:val="20"/>
          <w:szCs w:val="20"/>
        </w:rPr>
        <w:t>₀</w:t>
      </w:r>
      <w:r w:rsidRPr="009C499C">
        <w:rPr>
          <w:rFonts w:ascii="Arial" w:hAnsi="Arial" w:cs="Arial"/>
          <w:bCs/>
          <w:sz w:val="20"/>
          <w:szCs w:val="20"/>
        </w:rPr>
        <w:t xml:space="preserve"> = Intercept (constant); β</w:t>
      </w:r>
      <w:r w:rsidRPr="009C499C">
        <w:rPr>
          <w:rFonts w:ascii="Cambria Math" w:hAnsi="Cambria Math" w:cs="Cambria Math"/>
          <w:bCs/>
          <w:sz w:val="20"/>
          <w:szCs w:val="20"/>
        </w:rPr>
        <w:t>₁</w:t>
      </w:r>
      <w:r w:rsidRPr="009C499C">
        <w:rPr>
          <w:rFonts w:ascii="Arial" w:hAnsi="Arial" w:cs="Arial"/>
          <w:bCs/>
          <w:sz w:val="20"/>
          <w:szCs w:val="20"/>
        </w:rPr>
        <w:t xml:space="preserve"> = Regression coefficient (change in LET score per unit increase in GWA); and ε = Error term. </w:t>
      </w:r>
    </w:p>
    <w:p w14:paraId="67F751D8" w14:textId="77777777" w:rsidR="009C499C" w:rsidRPr="009C499C" w:rsidRDefault="0021516A" w:rsidP="009C499C">
      <w:pPr>
        <w:spacing w:after="0"/>
        <w:ind w:firstLine="720"/>
        <w:jc w:val="both"/>
        <w:rPr>
          <w:rFonts w:ascii="Arial" w:hAnsi="Arial" w:cs="Arial"/>
          <w:bCs/>
          <w:sz w:val="20"/>
          <w:szCs w:val="20"/>
        </w:rPr>
      </w:pPr>
      <w:r w:rsidRPr="009C499C">
        <w:rPr>
          <w:rFonts w:ascii="Arial" w:hAnsi="Arial" w:cs="Arial"/>
          <w:bCs/>
          <w:sz w:val="20"/>
          <w:szCs w:val="20"/>
        </w:rPr>
        <w:t xml:space="preserve">Since GWA </w:t>
      </w:r>
      <w:r w:rsidRPr="009C499C">
        <w:rPr>
          <w:rFonts w:ascii="Arial" w:hAnsi="Arial" w:cs="Arial"/>
          <w:bCs/>
          <w:sz w:val="20"/>
          <w:szCs w:val="20"/>
        </w:rPr>
        <w:t>was initially measured on a scale where lower values indicate better academic performance (1.00 as the highest and 5.00 as the lowest), it was transformed so that higher values correspond to better academic performance (5.00 as the highest instead of 1.00)</w:t>
      </w:r>
      <w:r w:rsidRPr="009C499C">
        <w:rPr>
          <w:rFonts w:ascii="Arial" w:hAnsi="Arial" w:cs="Arial"/>
          <w:bCs/>
          <w:sz w:val="20"/>
          <w:szCs w:val="20"/>
        </w:rPr>
        <w:t>. This transformation was applied to ensure an intuitive interpretation of correlation and regression results, aligning GWA and LET scores in the same directional relationship, where higher values indicate better performance.</w:t>
      </w:r>
    </w:p>
    <w:p w14:paraId="160BB81E" w14:textId="0E6FD0D2" w:rsidR="009C499C" w:rsidRDefault="0021516A" w:rsidP="009C499C">
      <w:pPr>
        <w:spacing w:after="0"/>
        <w:ind w:firstLine="720"/>
        <w:jc w:val="both"/>
        <w:rPr>
          <w:rFonts w:ascii="Arial" w:hAnsi="Arial" w:cs="Arial"/>
          <w:bCs/>
          <w:sz w:val="20"/>
          <w:szCs w:val="20"/>
        </w:rPr>
      </w:pPr>
      <w:r w:rsidRPr="009C499C">
        <w:rPr>
          <w:rFonts w:ascii="Arial" w:hAnsi="Arial" w:cs="Arial"/>
          <w:bCs/>
          <w:sz w:val="20"/>
          <w:szCs w:val="20"/>
        </w:rPr>
        <w:t>The significance of the regres</w:t>
      </w:r>
      <w:r w:rsidRPr="009C499C">
        <w:rPr>
          <w:rFonts w:ascii="Arial" w:hAnsi="Arial" w:cs="Arial"/>
          <w:bCs/>
          <w:sz w:val="20"/>
          <w:szCs w:val="20"/>
        </w:rPr>
        <w:t>sion model was tested using the p-value (α = 0.05) to determine statistical significance. Additionally, the R² value was computed to indicate the proportion of variance in LET scores explained by GWA.</w:t>
      </w:r>
    </w:p>
    <w:p w14:paraId="72AAB59E" w14:textId="5A4E55CD" w:rsidR="00866594" w:rsidRDefault="00866594" w:rsidP="00866594">
      <w:pPr>
        <w:spacing w:after="0"/>
        <w:jc w:val="both"/>
        <w:rPr>
          <w:rFonts w:ascii="Arial" w:hAnsi="Arial" w:cs="Arial"/>
          <w:bCs/>
          <w:sz w:val="20"/>
          <w:szCs w:val="20"/>
        </w:rPr>
      </w:pPr>
    </w:p>
    <w:p w14:paraId="0A3E7976" w14:textId="1FFCCFE1" w:rsidR="00866594" w:rsidRPr="00866594" w:rsidRDefault="0021516A" w:rsidP="00866594">
      <w:pPr>
        <w:spacing w:after="0"/>
        <w:jc w:val="both"/>
        <w:rPr>
          <w:rFonts w:ascii="Arial" w:hAnsi="Arial" w:cs="Arial"/>
          <w:b/>
          <w:bCs/>
          <w:sz w:val="20"/>
          <w:szCs w:val="20"/>
        </w:rPr>
      </w:pPr>
      <w:r w:rsidRPr="00866594">
        <w:rPr>
          <w:rFonts w:ascii="Arial" w:hAnsi="Arial" w:cs="Arial"/>
          <w:b/>
          <w:bCs/>
          <w:sz w:val="20"/>
          <w:szCs w:val="20"/>
        </w:rPr>
        <w:t>Limitations of the Study</w:t>
      </w:r>
    </w:p>
    <w:p w14:paraId="40BF9EAA" w14:textId="1D630876" w:rsidR="00866594" w:rsidRPr="009C499C" w:rsidRDefault="0021516A" w:rsidP="00866594">
      <w:pPr>
        <w:spacing w:after="0"/>
        <w:ind w:firstLine="720"/>
        <w:jc w:val="both"/>
        <w:rPr>
          <w:rFonts w:ascii="Arial" w:hAnsi="Arial" w:cs="Arial"/>
          <w:bCs/>
          <w:sz w:val="20"/>
          <w:szCs w:val="20"/>
        </w:rPr>
      </w:pPr>
      <w:r w:rsidRPr="00866594">
        <w:rPr>
          <w:rFonts w:ascii="Arial" w:hAnsi="Arial" w:cs="Arial"/>
          <w:bCs/>
          <w:sz w:val="20"/>
          <w:szCs w:val="20"/>
        </w:rPr>
        <w:t xml:space="preserve">This study was limited to </w:t>
      </w:r>
      <w:r w:rsidRPr="00866594">
        <w:rPr>
          <w:rFonts w:ascii="Arial" w:hAnsi="Arial" w:cs="Arial"/>
          <w:bCs/>
          <w:sz w:val="20"/>
          <w:szCs w:val="20"/>
        </w:rPr>
        <w:t>BEED graduates from a single institution and relied solely on secondary data. Other factors that may influence LET performance, such as motivation, study habits, or review attendance, were not included. Additionally, the study focused exclusively on quanti</w:t>
      </w:r>
      <w:r w:rsidRPr="00866594">
        <w:rPr>
          <w:rFonts w:ascii="Arial" w:hAnsi="Arial" w:cs="Arial"/>
          <w:bCs/>
          <w:sz w:val="20"/>
          <w:szCs w:val="20"/>
        </w:rPr>
        <w:t>tative analysis; future research may explore qualitative insights to enhance understanding of licensure success.</w:t>
      </w:r>
    </w:p>
    <w:p w14:paraId="5AA318E9" w14:textId="77777777" w:rsidR="002F53C4" w:rsidRPr="002F53C4" w:rsidRDefault="002F53C4" w:rsidP="00580FBF">
      <w:pPr>
        <w:spacing w:after="0"/>
        <w:jc w:val="both"/>
        <w:rPr>
          <w:rFonts w:ascii="Arial" w:hAnsi="Arial" w:cs="Arial"/>
          <w:sz w:val="20"/>
          <w:szCs w:val="20"/>
        </w:rPr>
      </w:pPr>
    </w:p>
    <w:p w14:paraId="3DFF7D75" w14:textId="77777777" w:rsidR="007C2C1D" w:rsidRPr="001E27A1" w:rsidRDefault="0021516A" w:rsidP="00580FBF">
      <w:pPr>
        <w:spacing w:after="0"/>
        <w:jc w:val="both"/>
        <w:rPr>
          <w:rFonts w:ascii="Arial" w:eastAsia="Arial" w:hAnsi="Arial" w:cs="Arial"/>
          <w:b/>
          <w:smallCaps/>
          <w:color w:val="000000"/>
          <w:lang w:val="en-US" w:eastAsia="en-PH"/>
        </w:rPr>
      </w:pPr>
      <w:r w:rsidRPr="001E27A1">
        <w:rPr>
          <w:rFonts w:ascii="Arial" w:eastAsia="Arial" w:hAnsi="Arial" w:cs="Arial"/>
          <w:b/>
          <w:smallCaps/>
          <w:color w:val="000000"/>
          <w:lang w:val="en-US" w:eastAsia="en-PH"/>
        </w:rPr>
        <w:t>4. RESULTS AND DISCUSSION</w:t>
      </w:r>
    </w:p>
    <w:p w14:paraId="0D7CD10A" w14:textId="77777777" w:rsidR="007C2C1D" w:rsidRPr="002F53C4" w:rsidRDefault="007C2C1D" w:rsidP="00580FBF">
      <w:pPr>
        <w:spacing w:after="0"/>
        <w:jc w:val="both"/>
        <w:rPr>
          <w:rFonts w:ascii="Arial" w:hAnsi="Arial" w:cs="Arial"/>
          <w:sz w:val="20"/>
          <w:szCs w:val="20"/>
        </w:rPr>
      </w:pPr>
    </w:p>
    <w:p w14:paraId="086C36D1" w14:textId="77777777" w:rsidR="008A1A9B" w:rsidRDefault="0021516A" w:rsidP="009C499C">
      <w:pPr>
        <w:shd w:val="clear" w:color="auto" w:fill="FFFFFF" w:themeFill="background1"/>
        <w:spacing w:after="0" w:line="240" w:lineRule="auto"/>
        <w:rPr>
          <w:rFonts w:ascii="Arial" w:hAnsi="Arial" w:cs="Arial"/>
          <w:b/>
          <w:sz w:val="20"/>
          <w:szCs w:val="20"/>
        </w:rPr>
      </w:pPr>
      <w:r w:rsidRPr="009C499C">
        <w:rPr>
          <w:rFonts w:ascii="Arial" w:hAnsi="Arial" w:cs="Arial"/>
          <w:b/>
          <w:sz w:val="20"/>
          <w:szCs w:val="20"/>
        </w:rPr>
        <w:t>Average Academic Performance (GWA) and LET Performance of BEED Graduates</w:t>
      </w:r>
    </w:p>
    <w:p w14:paraId="3A7F9CA9" w14:textId="77777777" w:rsidR="009C499C" w:rsidRPr="002F53C4" w:rsidRDefault="009C499C" w:rsidP="00BE59DE">
      <w:pPr>
        <w:shd w:val="clear" w:color="auto" w:fill="FFFFFF" w:themeFill="background1"/>
        <w:spacing w:after="0" w:line="240" w:lineRule="auto"/>
        <w:jc w:val="center"/>
        <w:rPr>
          <w:rFonts w:ascii="Arial" w:hAnsi="Arial" w:cs="Arial"/>
          <w:b/>
          <w:sz w:val="20"/>
          <w:szCs w:val="20"/>
        </w:rPr>
      </w:pPr>
    </w:p>
    <w:p w14:paraId="4CA9C3BB" w14:textId="77777777" w:rsidR="009C499C" w:rsidRDefault="0021516A" w:rsidP="009C499C">
      <w:pPr>
        <w:spacing w:line="240" w:lineRule="auto"/>
        <w:ind w:firstLine="720"/>
        <w:jc w:val="both"/>
        <w:rPr>
          <w:rFonts w:ascii="Arial" w:hAnsi="Arial" w:cs="Arial"/>
          <w:sz w:val="20"/>
          <w:szCs w:val="20"/>
          <w:lang w:val="en-US"/>
        </w:rPr>
      </w:pPr>
      <w:r w:rsidRPr="009C499C">
        <w:rPr>
          <w:rFonts w:ascii="Arial" w:hAnsi="Arial" w:cs="Arial"/>
          <w:sz w:val="20"/>
          <w:szCs w:val="20"/>
          <w:lang w:val="en-US"/>
        </w:rPr>
        <w:t>Descriptive statistics were computed to a</w:t>
      </w:r>
      <w:r w:rsidRPr="009C499C">
        <w:rPr>
          <w:rFonts w:ascii="Arial" w:hAnsi="Arial" w:cs="Arial"/>
          <w:sz w:val="20"/>
          <w:szCs w:val="20"/>
          <w:lang w:val="en-US"/>
        </w:rPr>
        <w:t xml:space="preserve">ssess the academic performance (GWA) and licensure outcomes (LET scores) of BEED graduates. The results indicate that the average LET score was M = 84.89 (SD = 4.39), falling under the </w:t>
      </w:r>
      <w:r w:rsidRPr="009C499C">
        <w:rPr>
          <w:rFonts w:ascii="Arial" w:hAnsi="Arial" w:cs="Arial"/>
          <w:i/>
          <w:sz w:val="20"/>
          <w:szCs w:val="20"/>
          <w:lang w:val="en-US"/>
        </w:rPr>
        <w:t xml:space="preserve">"Satisfactory" </w:t>
      </w:r>
      <w:r w:rsidRPr="009C499C">
        <w:rPr>
          <w:rFonts w:ascii="Arial" w:hAnsi="Arial" w:cs="Arial"/>
          <w:sz w:val="20"/>
          <w:szCs w:val="20"/>
          <w:lang w:val="en-US"/>
        </w:rPr>
        <w:t xml:space="preserve">category (80%–84%) based on the predefined classification. However, since 84.89 is close to the </w:t>
      </w:r>
      <w:r w:rsidRPr="009C499C">
        <w:rPr>
          <w:rFonts w:ascii="Arial" w:hAnsi="Arial" w:cs="Arial"/>
          <w:i/>
          <w:sz w:val="20"/>
          <w:szCs w:val="20"/>
          <w:lang w:val="en-US"/>
        </w:rPr>
        <w:t>"Very Satisfactory"</w:t>
      </w:r>
      <w:r w:rsidRPr="009C499C">
        <w:rPr>
          <w:rFonts w:ascii="Arial" w:hAnsi="Arial" w:cs="Arial"/>
          <w:sz w:val="20"/>
          <w:szCs w:val="20"/>
          <w:lang w:val="en-US"/>
        </w:rPr>
        <w:t xml:space="preserve"> range (85%–89%), this suggests that, on average, graduates nearly attained the next performance level, indicating a generally strong LET per</w:t>
      </w:r>
      <w:r w:rsidRPr="009C499C">
        <w:rPr>
          <w:rFonts w:ascii="Arial" w:hAnsi="Arial" w:cs="Arial"/>
          <w:sz w:val="20"/>
          <w:szCs w:val="20"/>
          <w:lang w:val="en-US"/>
        </w:rPr>
        <w:t>formance.</w:t>
      </w:r>
    </w:p>
    <w:p w14:paraId="27C6A996" w14:textId="77777777" w:rsidR="00F85DF3" w:rsidRDefault="0021516A" w:rsidP="00901801">
      <w:pPr>
        <w:pStyle w:val="ListParagraph"/>
        <w:spacing w:line="240" w:lineRule="auto"/>
        <w:ind w:left="0"/>
        <w:rPr>
          <w:rFonts w:cs="Arial"/>
          <w:b/>
          <w:sz w:val="20"/>
          <w:szCs w:val="20"/>
          <w:lang w:val="en-US"/>
        </w:rPr>
      </w:pPr>
      <w:bookmarkStart w:id="0" w:name="_GoBack"/>
      <w:r w:rsidRPr="00F85DF3">
        <w:rPr>
          <w:rFonts w:cs="Arial"/>
          <w:b/>
          <w:sz w:val="20"/>
          <w:szCs w:val="20"/>
          <w:lang w:val="en-US"/>
        </w:rPr>
        <w:t>Table</w:t>
      </w:r>
      <w:bookmarkEnd w:id="0"/>
      <w:r w:rsidRPr="00F85DF3">
        <w:rPr>
          <w:rFonts w:cs="Arial"/>
          <w:b/>
          <w:sz w:val="20"/>
          <w:szCs w:val="20"/>
          <w:lang w:val="en-US"/>
        </w:rPr>
        <w:t xml:space="preserve"> 1. Average academic performance (GWA) and LET performance of BEED graduates</w:t>
      </w:r>
    </w:p>
    <w:p w14:paraId="0B64B25E" w14:textId="77777777" w:rsidR="00F85DF3" w:rsidRPr="00F85DF3" w:rsidRDefault="00F85DF3" w:rsidP="00F85DF3">
      <w:pPr>
        <w:pStyle w:val="ListParagraph"/>
        <w:spacing w:line="240" w:lineRule="auto"/>
        <w:ind w:left="-105"/>
        <w:rPr>
          <w:rFonts w:cs="Arial"/>
          <w:b/>
          <w:sz w:val="20"/>
          <w:szCs w:val="20"/>
          <w:lang w:val="en-US"/>
        </w:rPr>
      </w:pPr>
    </w:p>
    <w:tbl>
      <w:tblPr>
        <w:tblStyle w:val="TableGrid0"/>
        <w:tblW w:w="778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906"/>
        <w:gridCol w:w="2030"/>
        <w:gridCol w:w="1812"/>
      </w:tblGrid>
      <w:tr w:rsidR="00012032" w14:paraId="2155A666" w14:textId="77777777" w:rsidTr="00A34FE2">
        <w:trPr>
          <w:trHeight w:val="253"/>
          <w:jc w:val="center"/>
        </w:trPr>
        <w:tc>
          <w:tcPr>
            <w:tcW w:w="2039" w:type="dxa"/>
            <w:tcBorders>
              <w:top w:val="single" w:sz="4" w:space="0" w:color="auto"/>
              <w:bottom w:val="single" w:sz="4" w:space="0" w:color="auto"/>
            </w:tcBorders>
          </w:tcPr>
          <w:p w14:paraId="311B6F94" w14:textId="77777777" w:rsidR="009C499C" w:rsidRPr="009C499C" w:rsidRDefault="0021516A" w:rsidP="00F85DF3">
            <w:pPr>
              <w:pStyle w:val="ListParagraph"/>
              <w:spacing w:line="240" w:lineRule="auto"/>
              <w:ind w:left="0"/>
              <w:rPr>
                <w:rFonts w:cs="Arial"/>
                <w:sz w:val="20"/>
                <w:szCs w:val="20"/>
                <w:lang w:val="en-US"/>
              </w:rPr>
            </w:pPr>
            <w:r w:rsidRPr="009C499C">
              <w:rPr>
                <w:rFonts w:cs="Arial"/>
                <w:sz w:val="20"/>
                <w:szCs w:val="20"/>
                <w:lang w:val="en-US"/>
              </w:rPr>
              <w:t>Variable</w:t>
            </w:r>
          </w:p>
        </w:tc>
        <w:tc>
          <w:tcPr>
            <w:tcW w:w="1906" w:type="dxa"/>
            <w:tcBorders>
              <w:top w:val="single" w:sz="4" w:space="0" w:color="auto"/>
              <w:bottom w:val="single" w:sz="4" w:space="0" w:color="auto"/>
            </w:tcBorders>
            <w:vAlign w:val="center"/>
          </w:tcPr>
          <w:p w14:paraId="049459C9" w14:textId="77777777" w:rsidR="009C499C" w:rsidRPr="009C499C" w:rsidRDefault="0021516A" w:rsidP="00F85DF3">
            <w:pPr>
              <w:pStyle w:val="ListParagraph"/>
              <w:spacing w:line="240" w:lineRule="auto"/>
              <w:ind w:left="0"/>
              <w:jc w:val="center"/>
              <w:rPr>
                <w:rFonts w:cs="Arial"/>
                <w:color w:val="000000"/>
                <w:sz w:val="20"/>
                <w:szCs w:val="20"/>
              </w:rPr>
            </w:pPr>
            <w:r w:rsidRPr="009C499C">
              <w:rPr>
                <w:rFonts w:cs="Arial"/>
                <w:color w:val="000000"/>
                <w:sz w:val="20"/>
                <w:szCs w:val="20"/>
              </w:rPr>
              <w:t>Mean</w:t>
            </w:r>
          </w:p>
        </w:tc>
        <w:tc>
          <w:tcPr>
            <w:tcW w:w="2030" w:type="dxa"/>
            <w:tcBorders>
              <w:top w:val="single" w:sz="4" w:space="0" w:color="auto"/>
              <w:bottom w:val="single" w:sz="4" w:space="0" w:color="auto"/>
            </w:tcBorders>
            <w:vAlign w:val="center"/>
          </w:tcPr>
          <w:p w14:paraId="4A451F67" w14:textId="77777777" w:rsidR="009C499C" w:rsidRPr="009C499C" w:rsidRDefault="0021516A" w:rsidP="00F85DF3">
            <w:pPr>
              <w:pStyle w:val="ListParagraph"/>
              <w:spacing w:line="240" w:lineRule="auto"/>
              <w:ind w:left="0"/>
              <w:jc w:val="center"/>
              <w:rPr>
                <w:rFonts w:cs="Arial"/>
                <w:color w:val="000000"/>
                <w:sz w:val="20"/>
                <w:szCs w:val="20"/>
              </w:rPr>
            </w:pPr>
            <w:r w:rsidRPr="009C499C">
              <w:rPr>
                <w:rFonts w:cs="Arial"/>
                <w:color w:val="000000"/>
                <w:sz w:val="20"/>
                <w:szCs w:val="20"/>
              </w:rPr>
              <w:t>Std. Deviation</w:t>
            </w:r>
          </w:p>
        </w:tc>
        <w:tc>
          <w:tcPr>
            <w:tcW w:w="1812" w:type="dxa"/>
            <w:tcBorders>
              <w:top w:val="single" w:sz="4" w:space="0" w:color="auto"/>
              <w:bottom w:val="single" w:sz="4" w:space="0" w:color="auto"/>
            </w:tcBorders>
          </w:tcPr>
          <w:p w14:paraId="58D292C6" w14:textId="77777777" w:rsidR="009C499C" w:rsidRPr="009C499C" w:rsidRDefault="0021516A" w:rsidP="00F85DF3">
            <w:pPr>
              <w:pStyle w:val="ListParagraph"/>
              <w:spacing w:line="240" w:lineRule="auto"/>
              <w:ind w:left="0"/>
              <w:jc w:val="center"/>
              <w:rPr>
                <w:rFonts w:cs="Arial"/>
                <w:color w:val="000000"/>
                <w:sz w:val="20"/>
                <w:szCs w:val="20"/>
              </w:rPr>
            </w:pPr>
            <w:r w:rsidRPr="009C499C">
              <w:rPr>
                <w:rFonts w:cs="Arial"/>
                <w:color w:val="000000"/>
                <w:sz w:val="20"/>
                <w:szCs w:val="20"/>
              </w:rPr>
              <w:t>Descriptive Value</w:t>
            </w:r>
          </w:p>
        </w:tc>
      </w:tr>
      <w:tr w:rsidR="00012032" w14:paraId="22F6122C" w14:textId="77777777" w:rsidTr="00A34FE2">
        <w:trPr>
          <w:trHeight w:val="272"/>
          <w:jc w:val="center"/>
        </w:trPr>
        <w:tc>
          <w:tcPr>
            <w:tcW w:w="2039" w:type="dxa"/>
            <w:tcBorders>
              <w:top w:val="single" w:sz="4" w:space="0" w:color="auto"/>
            </w:tcBorders>
          </w:tcPr>
          <w:p w14:paraId="6DDD632E" w14:textId="77777777" w:rsidR="009C499C" w:rsidRPr="009C499C" w:rsidRDefault="0021516A" w:rsidP="00F85DF3">
            <w:pPr>
              <w:pStyle w:val="ListParagraph"/>
              <w:spacing w:line="240" w:lineRule="auto"/>
              <w:ind w:left="0"/>
              <w:rPr>
                <w:rFonts w:cs="Arial"/>
                <w:sz w:val="20"/>
                <w:szCs w:val="20"/>
                <w:lang w:val="en-US"/>
              </w:rPr>
            </w:pPr>
            <w:r w:rsidRPr="009C499C">
              <w:rPr>
                <w:rFonts w:cs="Arial"/>
                <w:sz w:val="20"/>
                <w:szCs w:val="20"/>
                <w:lang w:val="en-US"/>
              </w:rPr>
              <w:t>LET Average</w:t>
            </w:r>
          </w:p>
        </w:tc>
        <w:tc>
          <w:tcPr>
            <w:tcW w:w="1906" w:type="dxa"/>
            <w:tcBorders>
              <w:top w:val="single" w:sz="4" w:space="0" w:color="auto"/>
            </w:tcBorders>
            <w:vAlign w:val="center"/>
          </w:tcPr>
          <w:p w14:paraId="6132CA87" w14:textId="77777777" w:rsidR="009C499C" w:rsidRPr="009C499C" w:rsidRDefault="0021516A" w:rsidP="00F85DF3">
            <w:pPr>
              <w:pStyle w:val="ListParagraph"/>
              <w:spacing w:line="240" w:lineRule="auto"/>
              <w:ind w:left="0"/>
              <w:jc w:val="center"/>
              <w:rPr>
                <w:rFonts w:cs="Arial"/>
                <w:sz w:val="20"/>
                <w:szCs w:val="20"/>
                <w:lang w:val="en-US"/>
              </w:rPr>
            </w:pPr>
            <w:r w:rsidRPr="009C499C">
              <w:rPr>
                <w:rFonts w:cs="Arial"/>
                <w:color w:val="000000"/>
                <w:sz w:val="20"/>
                <w:szCs w:val="20"/>
              </w:rPr>
              <w:t>84.89</w:t>
            </w:r>
          </w:p>
        </w:tc>
        <w:tc>
          <w:tcPr>
            <w:tcW w:w="2030" w:type="dxa"/>
            <w:tcBorders>
              <w:top w:val="single" w:sz="4" w:space="0" w:color="auto"/>
            </w:tcBorders>
            <w:vAlign w:val="center"/>
          </w:tcPr>
          <w:p w14:paraId="74908FC1" w14:textId="77777777" w:rsidR="009C499C" w:rsidRPr="009C499C" w:rsidRDefault="0021516A" w:rsidP="00F85DF3">
            <w:pPr>
              <w:pStyle w:val="ListParagraph"/>
              <w:spacing w:line="240" w:lineRule="auto"/>
              <w:ind w:left="0"/>
              <w:jc w:val="center"/>
              <w:rPr>
                <w:rFonts w:cs="Arial"/>
                <w:sz w:val="20"/>
                <w:szCs w:val="20"/>
                <w:lang w:val="en-US"/>
              </w:rPr>
            </w:pPr>
            <w:r w:rsidRPr="009C499C">
              <w:rPr>
                <w:rFonts w:cs="Arial"/>
                <w:color w:val="000000"/>
                <w:sz w:val="20"/>
                <w:szCs w:val="20"/>
              </w:rPr>
              <w:t>4.39</w:t>
            </w:r>
          </w:p>
        </w:tc>
        <w:tc>
          <w:tcPr>
            <w:tcW w:w="1812" w:type="dxa"/>
            <w:tcBorders>
              <w:top w:val="single" w:sz="4" w:space="0" w:color="auto"/>
            </w:tcBorders>
          </w:tcPr>
          <w:p w14:paraId="68E7E2D6" w14:textId="77777777" w:rsidR="009C499C" w:rsidRPr="009C499C" w:rsidRDefault="0021516A" w:rsidP="00F85DF3">
            <w:pPr>
              <w:pStyle w:val="ListParagraph"/>
              <w:spacing w:line="240" w:lineRule="auto"/>
              <w:ind w:left="0"/>
              <w:jc w:val="center"/>
              <w:rPr>
                <w:rFonts w:cs="Arial"/>
                <w:color w:val="000000"/>
                <w:sz w:val="20"/>
                <w:szCs w:val="20"/>
              </w:rPr>
            </w:pPr>
            <w:r w:rsidRPr="009C499C">
              <w:rPr>
                <w:rFonts w:cs="Arial"/>
                <w:color w:val="000000"/>
                <w:sz w:val="20"/>
                <w:szCs w:val="20"/>
              </w:rPr>
              <w:t>Satisfactory</w:t>
            </w:r>
          </w:p>
        </w:tc>
      </w:tr>
      <w:tr w:rsidR="00012032" w14:paraId="0A9A744E" w14:textId="77777777" w:rsidTr="00A34FE2">
        <w:trPr>
          <w:trHeight w:val="253"/>
          <w:jc w:val="center"/>
        </w:trPr>
        <w:tc>
          <w:tcPr>
            <w:tcW w:w="2039" w:type="dxa"/>
          </w:tcPr>
          <w:p w14:paraId="5523E113" w14:textId="77777777" w:rsidR="009C499C" w:rsidRPr="009C499C" w:rsidRDefault="0021516A" w:rsidP="00F85DF3">
            <w:pPr>
              <w:pStyle w:val="ListParagraph"/>
              <w:spacing w:line="240" w:lineRule="auto"/>
              <w:ind w:left="0"/>
              <w:rPr>
                <w:rFonts w:cs="Arial"/>
                <w:sz w:val="20"/>
                <w:szCs w:val="20"/>
                <w:lang w:val="en-US"/>
              </w:rPr>
            </w:pPr>
            <w:r w:rsidRPr="009C499C">
              <w:rPr>
                <w:rFonts w:cs="Arial"/>
                <w:sz w:val="20"/>
                <w:szCs w:val="20"/>
                <w:lang w:val="en-US"/>
              </w:rPr>
              <w:t>GWA</w:t>
            </w:r>
          </w:p>
        </w:tc>
        <w:tc>
          <w:tcPr>
            <w:tcW w:w="1906" w:type="dxa"/>
            <w:vAlign w:val="center"/>
          </w:tcPr>
          <w:p w14:paraId="5C7E6D7E" w14:textId="77777777" w:rsidR="009C499C" w:rsidRPr="009C499C" w:rsidRDefault="0021516A" w:rsidP="00F85DF3">
            <w:pPr>
              <w:pStyle w:val="ListParagraph"/>
              <w:spacing w:line="240" w:lineRule="auto"/>
              <w:ind w:left="0"/>
              <w:jc w:val="center"/>
              <w:rPr>
                <w:rFonts w:cs="Arial"/>
                <w:sz w:val="20"/>
                <w:szCs w:val="20"/>
                <w:lang w:val="en-US"/>
              </w:rPr>
            </w:pPr>
            <w:r w:rsidRPr="009C499C">
              <w:rPr>
                <w:rFonts w:cs="Arial"/>
                <w:sz w:val="20"/>
                <w:szCs w:val="20"/>
                <w:lang w:val="en-US"/>
              </w:rPr>
              <w:t>1.98</w:t>
            </w:r>
          </w:p>
        </w:tc>
        <w:tc>
          <w:tcPr>
            <w:tcW w:w="2030" w:type="dxa"/>
            <w:vAlign w:val="center"/>
          </w:tcPr>
          <w:p w14:paraId="793B6192" w14:textId="77777777" w:rsidR="009C499C" w:rsidRPr="009C499C" w:rsidRDefault="0021516A" w:rsidP="00F85DF3">
            <w:pPr>
              <w:pStyle w:val="ListParagraph"/>
              <w:spacing w:line="240" w:lineRule="auto"/>
              <w:ind w:left="0"/>
              <w:jc w:val="center"/>
              <w:rPr>
                <w:rFonts w:cs="Arial"/>
                <w:sz w:val="20"/>
                <w:szCs w:val="20"/>
                <w:lang w:val="en-US"/>
              </w:rPr>
            </w:pPr>
            <w:r w:rsidRPr="009C499C">
              <w:rPr>
                <w:rFonts w:cs="Arial"/>
                <w:color w:val="000000"/>
                <w:sz w:val="20"/>
                <w:szCs w:val="20"/>
              </w:rPr>
              <w:t>.20</w:t>
            </w:r>
          </w:p>
        </w:tc>
        <w:tc>
          <w:tcPr>
            <w:tcW w:w="1812" w:type="dxa"/>
          </w:tcPr>
          <w:p w14:paraId="761B2655" w14:textId="77777777" w:rsidR="009C499C" w:rsidRPr="009C499C" w:rsidRDefault="0021516A" w:rsidP="00F85DF3">
            <w:pPr>
              <w:pStyle w:val="ListParagraph"/>
              <w:spacing w:line="240" w:lineRule="auto"/>
              <w:ind w:left="0"/>
              <w:jc w:val="center"/>
              <w:rPr>
                <w:rFonts w:cs="Arial"/>
                <w:color w:val="000000"/>
                <w:sz w:val="20"/>
                <w:szCs w:val="20"/>
              </w:rPr>
            </w:pPr>
            <w:r w:rsidRPr="009C499C">
              <w:rPr>
                <w:rFonts w:cs="Arial"/>
                <w:color w:val="000000"/>
                <w:sz w:val="20"/>
                <w:szCs w:val="20"/>
              </w:rPr>
              <w:t xml:space="preserve">Good </w:t>
            </w:r>
          </w:p>
        </w:tc>
      </w:tr>
    </w:tbl>
    <w:p w14:paraId="626C9DB0" w14:textId="77777777" w:rsidR="009C499C" w:rsidRPr="009C499C" w:rsidRDefault="009C499C" w:rsidP="009C499C">
      <w:pPr>
        <w:spacing w:line="240" w:lineRule="auto"/>
        <w:jc w:val="both"/>
        <w:rPr>
          <w:rFonts w:ascii="Arial" w:hAnsi="Arial" w:cs="Arial"/>
          <w:sz w:val="20"/>
          <w:szCs w:val="20"/>
          <w:lang w:val="en-US"/>
        </w:rPr>
      </w:pPr>
    </w:p>
    <w:p w14:paraId="7BEA6278" w14:textId="77777777" w:rsidR="009C499C" w:rsidRPr="009C499C" w:rsidRDefault="0021516A" w:rsidP="009C499C">
      <w:pPr>
        <w:spacing w:line="240" w:lineRule="auto"/>
        <w:ind w:firstLine="720"/>
        <w:jc w:val="both"/>
        <w:rPr>
          <w:rFonts w:ascii="Arial" w:hAnsi="Arial" w:cs="Arial"/>
          <w:sz w:val="20"/>
          <w:szCs w:val="20"/>
          <w:lang w:val="en-US"/>
        </w:rPr>
      </w:pPr>
      <w:r w:rsidRPr="009C499C">
        <w:rPr>
          <w:rFonts w:ascii="Arial" w:hAnsi="Arial" w:cs="Arial"/>
          <w:sz w:val="20"/>
          <w:szCs w:val="20"/>
          <w:lang w:val="en-US"/>
        </w:rPr>
        <w:t xml:space="preserve">The mean GWA in its original scale was M = 1.98 (SD = 0.20), corresponding to the </w:t>
      </w:r>
      <w:r w:rsidRPr="009C499C">
        <w:rPr>
          <w:rFonts w:ascii="Arial" w:hAnsi="Arial" w:cs="Arial"/>
          <w:i/>
          <w:sz w:val="20"/>
          <w:szCs w:val="20"/>
          <w:lang w:val="en-US"/>
        </w:rPr>
        <w:t>"Good"</w:t>
      </w:r>
      <w:r w:rsidRPr="009C499C">
        <w:rPr>
          <w:rFonts w:ascii="Arial" w:hAnsi="Arial" w:cs="Arial"/>
          <w:sz w:val="20"/>
          <w:szCs w:val="20"/>
          <w:lang w:val="en-US"/>
        </w:rPr>
        <w:t xml:space="preserve"> category (2.00–2.25). The low standard deviation of GWA (SD = 0.20) indicates that academic performance among graduates was relatively consistent, with most students having similar GWAs. In contrast, the standard deviation of LET scores (SD = 4.39) indica</w:t>
      </w:r>
      <w:r w:rsidRPr="009C499C">
        <w:rPr>
          <w:rFonts w:ascii="Arial" w:hAnsi="Arial" w:cs="Arial"/>
          <w:sz w:val="20"/>
          <w:szCs w:val="20"/>
          <w:lang w:val="en-US"/>
        </w:rPr>
        <w:t>tes moderate variability, suggesting that performance in the licensure examination was more spread out across graduates.</w:t>
      </w:r>
    </w:p>
    <w:p w14:paraId="69D08742" w14:textId="77777777" w:rsidR="005E5256" w:rsidRDefault="0021516A" w:rsidP="009C499C">
      <w:pPr>
        <w:spacing w:line="240" w:lineRule="auto"/>
        <w:ind w:firstLine="720"/>
        <w:jc w:val="both"/>
        <w:rPr>
          <w:sz w:val="20"/>
          <w:szCs w:val="20"/>
        </w:rPr>
      </w:pPr>
      <w:r w:rsidRPr="009C499C">
        <w:rPr>
          <w:rFonts w:ascii="Arial" w:hAnsi="Arial" w:cs="Arial"/>
          <w:sz w:val="20"/>
          <w:szCs w:val="20"/>
          <w:lang w:val="en-US"/>
        </w:rPr>
        <w:lastRenderedPageBreak/>
        <w:t>These findings align with previous studies suggesting that students with strong undergraduate academic performance are more likely to a</w:t>
      </w:r>
      <w:r w:rsidRPr="009C499C">
        <w:rPr>
          <w:rFonts w:ascii="Arial" w:hAnsi="Arial" w:cs="Arial"/>
          <w:sz w:val="20"/>
          <w:szCs w:val="20"/>
          <w:lang w:val="en-US"/>
        </w:rPr>
        <w:t>chieve higher scores on professional licensure examinations (Ferrer, 2024; Navida &amp; Cocal, 2022; Amanonce &amp; Maramag, 2020). Prior research has emphasized that academic success during a teacher education program builds the foundational knowledge and compete</w:t>
      </w:r>
      <w:r w:rsidRPr="009C499C">
        <w:rPr>
          <w:rFonts w:ascii="Arial" w:hAnsi="Arial" w:cs="Arial"/>
          <w:sz w:val="20"/>
          <w:szCs w:val="20"/>
          <w:lang w:val="en-US"/>
        </w:rPr>
        <w:t>ncies necessary for the LET (Ferrer, 2024; Esmeralda &amp; Perez-Espinosa, 2015). Furthermore, the consistency in GWA scores may indicate that BEED graduates maintain a stable level of academic achievement, supporting the notion that sustained effort throughou</w:t>
      </w:r>
      <w:r w:rsidRPr="009C499C">
        <w:rPr>
          <w:rFonts w:ascii="Arial" w:hAnsi="Arial" w:cs="Arial"/>
          <w:sz w:val="20"/>
          <w:szCs w:val="20"/>
          <w:lang w:val="en-US"/>
        </w:rPr>
        <w:t>t undergraduate studies contributes to success in licensure examinations (Sicuan &amp; Junio, 2025).</w:t>
      </w:r>
      <w:r w:rsidR="001178EC" w:rsidRPr="002F53C4">
        <w:rPr>
          <w:sz w:val="20"/>
          <w:szCs w:val="20"/>
        </w:rPr>
        <w:t xml:space="preserve">    </w:t>
      </w:r>
    </w:p>
    <w:p w14:paraId="51DD2B23" w14:textId="61AB301D" w:rsidR="00901801" w:rsidRPr="00866594" w:rsidRDefault="0021516A" w:rsidP="00866594">
      <w:pPr>
        <w:tabs>
          <w:tab w:val="left" w:pos="720"/>
        </w:tabs>
        <w:spacing w:line="240" w:lineRule="auto"/>
        <w:jc w:val="both"/>
        <w:rPr>
          <w:rFonts w:ascii="Arial" w:hAnsi="Arial" w:cs="Arial"/>
          <w:sz w:val="20"/>
          <w:szCs w:val="20"/>
          <w:lang w:val="en-US"/>
        </w:rPr>
      </w:pPr>
      <w:bookmarkStart w:id="1" w:name="_Hlk197333618"/>
      <w:r w:rsidRPr="00901801">
        <w:rPr>
          <w:rFonts w:ascii="Arial" w:hAnsi="Arial" w:cs="Arial"/>
          <w:b/>
          <w:sz w:val="20"/>
          <w:szCs w:val="20"/>
          <w:lang w:val="en-US"/>
        </w:rPr>
        <w:t>Relationship Between GWA and LET Performance of BEED Graduates</w:t>
      </w:r>
    </w:p>
    <w:p w14:paraId="2CCCC8DD" w14:textId="77777777" w:rsidR="00901801" w:rsidRDefault="0021516A" w:rsidP="00901801">
      <w:pPr>
        <w:spacing w:after="200" w:line="240" w:lineRule="auto"/>
        <w:ind w:firstLine="720"/>
        <w:jc w:val="both"/>
        <w:rPr>
          <w:rFonts w:ascii="Arial" w:hAnsi="Arial" w:cs="Arial"/>
          <w:b/>
          <w:sz w:val="20"/>
          <w:szCs w:val="20"/>
          <w:lang w:val="en-US"/>
        </w:rPr>
      </w:pPr>
      <w:r w:rsidRPr="00901801">
        <w:rPr>
          <w:rFonts w:ascii="Arial" w:hAnsi="Arial" w:cs="Arial"/>
          <w:sz w:val="20"/>
          <w:szCs w:val="20"/>
          <w:lang w:val="en-US"/>
        </w:rPr>
        <w:t>To determine the relationship between undergraduate academic (GWA) and LET performance, a Pe</w:t>
      </w:r>
      <w:r w:rsidRPr="00901801">
        <w:rPr>
          <w:rFonts w:ascii="Arial" w:hAnsi="Arial" w:cs="Arial"/>
          <w:sz w:val="20"/>
          <w:szCs w:val="20"/>
          <w:lang w:val="en-US"/>
        </w:rPr>
        <w:t>arson correlation analysis was performed. Since GWA was transformed so that higher values indicate better academic performance, this transformation ensures an intuitive interpretation of the results.</w:t>
      </w:r>
    </w:p>
    <w:p w14:paraId="47429662" w14:textId="77777777" w:rsidR="00901801" w:rsidRDefault="0021516A" w:rsidP="00901801">
      <w:pPr>
        <w:spacing w:after="200" w:line="240" w:lineRule="auto"/>
        <w:ind w:firstLine="720"/>
        <w:jc w:val="both"/>
        <w:rPr>
          <w:rFonts w:ascii="Arial" w:hAnsi="Arial" w:cs="Arial"/>
          <w:sz w:val="20"/>
          <w:szCs w:val="20"/>
          <w:lang w:val="en-US"/>
        </w:rPr>
      </w:pPr>
      <w:r w:rsidRPr="00901801">
        <w:rPr>
          <w:rFonts w:ascii="Arial" w:hAnsi="Arial" w:cs="Arial"/>
          <w:sz w:val="20"/>
          <w:szCs w:val="20"/>
          <w:lang w:val="en-US"/>
        </w:rPr>
        <w:t>The analysis revealed a statistically significant, stron</w:t>
      </w:r>
      <w:r w:rsidRPr="00901801">
        <w:rPr>
          <w:rFonts w:ascii="Arial" w:hAnsi="Arial" w:cs="Arial"/>
          <w:sz w:val="20"/>
          <w:szCs w:val="20"/>
          <w:lang w:val="en-US"/>
        </w:rPr>
        <w:t>g positive correlation between transformed GWA and LET performance (</w:t>
      </w:r>
      <w:r w:rsidRPr="00901801">
        <w:rPr>
          <w:rFonts w:ascii="Cambria Math" w:hAnsi="Cambria Math" w:cs="Cambria Math"/>
          <w:sz w:val="20"/>
          <w:szCs w:val="20"/>
          <w:lang w:val="en-US"/>
        </w:rPr>
        <w:t>𝑟</w:t>
      </w:r>
      <w:r w:rsidRPr="00901801">
        <w:rPr>
          <w:rFonts w:ascii="Arial" w:hAnsi="Arial" w:cs="Arial"/>
          <w:sz w:val="20"/>
          <w:szCs w:val="20"/>
          <w:lang w:val="en-US"/>
        </w:rPr>
        <w:t xml:space="preserve">=.694, </w:t>
      </w:r>
      <w:r w:rsidRPr="00901801">
        <w:rPr>
          <w:rFonts w:ascii="Cambria Math" w:hAnsi="Cambria Math" w:cs="Cambria Math"/>
          <w:sz w:val="20"/>
          <w:szCs w:val="20"/>
          <w:lang w:val="en-US"/>
        </w:rPr>
        <w:t>𝑝</w:t>
      </w:r>
      <w:r w:rsidRPr="00901801">
        <w:rPr>
          <w:rFonts w:ascii="Arial" w:hAnsi="Arial" w:cs="Arial"/>
          <w:sz w:val="20"/>
          <w:szCs w:val="20"/>
          <w:lang w:val="en-US"/>
        </w:rPr>
        <w:t xml:space="preserve"> &lt;.000). According to Emmanuel and Isiaq's (2024) correlation scale, this falls within the "</w:t>
      </w:r>
      <w:r w:rsidRPr="00901801">
        <w:rPr>
          <w:rFonts w:ascii="Arial" w:hAnsi="Arial" w:cs="Arial"/>
          <w:i/>
          <w:sz w:val="20"/>
          <w:szCs w:val="20"/>
          <w:lang w:val="en-US"/>
        </w:rPr>
        <w:t>strong positive correlation</w:t>
      </w:r>
      <w:r w:rsidRPr="00901801">
        <w:rPr>
          <w:rFonts w:ascii="Arial" w:hAnsi="Arial" w:cs="Arial"/>
          <w:sz w:val="20"/>
          <w:szCs w:val="20"/>
          <w:lang w:val="en-US"/>
        </w:rPr>
        <w:t xml:space="preserve">" range (.5 to .7), indicating that graduates with higher </w:t>
      </w:r>
      <w:r w:rsidRPr="00901801">
        <w:rPr>
          <w:rFonts w:ascii="Arial" w:hAnsi="Arial" w:cs="Arial"/>
          <w:sz w:val="20"/>
          <w:szCs w:val="20"/>
          <w:lang w:val="en-US"/>
        </w:rPr>
        <w:t>academic performance tend to achieve higher LET scores.</w:t>
      </w:r>
    </w:p>
    <w:p w14:paraId="60900E1C" w14:textId="10853049" w:rsidR="00901801" w:rsidRPr="00901801" w:rsidRDefault="0021516A" w:rsidP="00901801">
      <w:pPr>
        <w:jc w:val="both"/>
        <w:rPr>
          <w:rFonts w:ascii="Arial" w:hAnsi="Arial" w:cs="Arial"/>
          <w:b/>
          <w:sz w:val="20"/>
          <w:szCs w:val="20"/>
          <w:lang w:val="en-US"/>
        </w:rPr>
      </w:pPr>
      <w:r w:rsidRPr="00901801">
        <w:rPr>
          <w:rFonts w:ascii="Arial" w:hAnsi="Arial" w:cs="Arial"/>
          <w:b/>
          <w:sz w:val="20"/>
          <w:szCs w:val="20"/>
          <w:lang w:val="en-US"/>
        </w:rPr>
        <w:t xml:space="preserve">Table 2. </w:t>
      </w:r>
      <w:r w:rsidR="00FD5FFE" w:rsidRPr="00FD5FFE">
        <w:rPr>
          <w:rFonts w:ascii="Arial" w:hAnsi="Arial" w:cs="Arial"/>
          <w:b/>
          <w:sz w:val="20"/>
          <w:szCs w:val="20"/>
          <w:lang w:val="en-US"/>
        </w:rPr>
        <w:t xml:space="preserve">Relationship Between </w:t>
      </w:r>
      <w:r w:rsidRPr="00901801">
        <w:rPr>
          <w:rFonts w:ascii="Arial" w:hAnsi="Arial" w:cs="Arial"/>
          <w:b/>
          <w:sz w:val="20"/>
          <w:szCs w:val="20"/>
          <w:lang w:val="en-US"/>
        </w:rPr>
        <w:t>GWA</w:t>
      </w:r>
      <w:r w:rsidRPr="00901801">
        <w:rPr>
          <w:rFonts w:ascii="Arial" w:hAnsi="Arial" w:cs="Arial"/>
          <w:b/>
          <w:sz w:val="20"/>
          <w:szCs w:val="20"/>
          <w:lang w:val="en-US"/>
        </w:rPr>
        <w:t xml:space="preserve"> and LET performance of BEED graduates</w:t>
      </w:r>
    </w:p>
    <w:tbl>
      <w:tblPr>
        <w:tblStyle w:val="TableGrid0"/>
        <w:tblW w:w="753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1736"/>
        <w:gridCol w:w="629"/>
        <w:gridCol w:w="682"/>
        <w:gridCol w:w="695"/>
        <w:gridCol w:w="719"/>
        <w:gridCol w:w="1395"/>
      </w:tblGrid>
      <w:tr w:rsidR="00012032" w14:paraId="5AC4F842" w14:textId="77777777" w:rsidTr="00901801">
        <w:trPr>
          <w:trHeight w:val="347"/>
          <w:jc w:val="center"/>
        </w:trPr>
        <w:tc>
          <w:tcPr>
            <w:tcW w:w="1712" w:type="dxa"/>
            <w:tcBorders>
              <w:top w:val="single" w:sz="4" w:space="0" w:color="auto"/>
              <w:bottom w:val="single" w:sz="4" w:space="0" w:color="auto"/>
            </w:tcBorders>
            <w:vAlign w:val="center"/>
          </w:tcPr>
          <w:p w14:paraId="117A2037"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Predictor Variable</w:t>
            </w:r>
          </w:p>
        </w:tc>
        <w:tc>
          <w:tcPr>
            <w:tcW w:w="1811" w:type="dxa"/>
            <w:tcBorders>
              <w:top w:val="single" w:sz="4" w:space="0" w:color="auto"/>
              <w:bottom w:val="single" w:sz="4" w:space="0" w:color="auto"/>
            </w:tcBorders>
            <w:vAlign w:val="center"/>
          </w:tcPr>
          <w:p w14:paraId="1532A1DE"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Outcome Variable</w:t>
            </w:r>
          </w:p>
        </w:tc>
        <w:tc>
          <w:tcPr>
            <w:tcW w:w="631" w:type="dxa"/>
            <w:tcBorders>
              <w:top w:val="single" w:sz="4" w:space="0" w:color="auto"/>
              <w:bottom w:val="single" w:sz="4" w:space="0" w:color="auto"/>
            </w:tcBorders>
            <w:vAlign w:val="center"/>
          </w:tcPr>
          <w:p w14:paraId="52788ADA"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M</w:t>
            </w:r>
          </w:p>
        </w:tc>
        <w:tc>
          <w:tcPr>
            <w:tcW w:w="702" w:type="dxa"/>
            <w:tcBorders>
              <w:top w:val="single" w:sz="4" w:space="0" w:color="auto"/>
              <w:bottom w:val="single" w:sz="4" w:space="0" w:color="auto"/>
            </w:tcBorders>
            <w:vAlign w:val="center"/>
          </w:tcPr>
          <w:p w14:paraId="7573B8CA"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SD</w:t>
            </w:r>
          </w:p>
        </w:tc>
        <w:tc>
          <w:tcPr>
            <w:tcW w:w="674" w:type="dxa"/>
            <w:tcBorders>
              <w:top w:val="single" w:sz="4" w:space="0" w:color="auto"/>
              <w:bottom w:val="single" w:sz="4" w:space="0" w:color="auto"/>
            </w:tcBorders>
            <w:vAlign w:val="center"/>
          </w:tcPr>
          <w:p w14:paraId="7385174A"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p-value</w:t>
            </w:r>
          </w:p>
        </w:tc>
        <w:tc>
          <w:tcPr>
            <w:tcW w:w="722" w:type="dxa"/>
            <w:tcBorders>
              <w:top w:val="single" w:sz="4" w:space="0" w:color="auto"/>
              <w:bottom w:val="single" w:sz="4" w:space="0" w:color="auto"/>
            </w:tcBorders>
            <w:vAlign w:val="center"/>
          </w:tcPr>
          <w:p w14:paraId="53DB601A"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R value</w:t>
            </w:r>
          </w:p>
        </w:tc>
        <w:tc>
          <w:tcPr>
            <w:tcW w:w="1281" w:type="dxa"/>
            <w:tcBorders>
              <w:top w:val="single" w:sz="4" w:space="0" w:color="auto"/>
              <w:bottom w:val="single" w:sz="4" w:space="0" w:color="auto"/>
            </w:tcBorders>
            <w:vAlign w:val="center"/>
          </w:tcPr>
          <w:p w14:paraId="2202A6C8"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Interpretation</w:t>
            </w:r>
          </w:p>
        </w:tc>
      </w:tr>
      <w:tr w:rsidR="00012032" w14:paraId="7050F344" w14:textId="77777777" w:rsidTr="00901801">
        <w:trPr>
          <w:trHeight w:val="347"/>
          <w:jc w:val="center"/>
        </w:trPr>
        <w:tc>
          <w:tcPr>
            <w:tcW w:w="1712" w:type="dxa"/>
            <w:tcBorders>
              <w:top w:val="single" w:sz="4" w:space="0" w:color="auto"/>
            </w:tcBorders>
            <w:vAlign w:val="center"/>
          </w:tcPr>
          <w:p w14:paraId="5174DF41"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Transformed GWA</w:t>
            </w:r>
          </w:p>
        </w:tc>
        <w:tc>
          <w:tcPr>
            <w:tcW w:w="1811" w:type="dxa"/>
            <w:tcBorders>
              <w:top w:val="single" w:sz="4" w:space="0" w:color="auto"/>
            </w:tcBorders>
            <w:vAlign w:val="center"/>
          </w:tcPr>
          <w:p w14:paraId="0BA5B44E"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LET Average</w:t>
            </w:r>
          </w:p>
        </w:tc>
        <w:tc>
          <w:tcPr>
            <w:tcW w:w="631" w:type="dxa"/>
            <w:tcBorders>
              <w:top w:val="single" w:sz="4" w:space="0" w:color="auto"/>
            </w:tcBorders>
            <w:vAlign w:val="center"/>
          </w:tcPr>
          <w:p w14:paraId="6F02D931"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3.02</w:t>
            </w:r>
          </w:p>
        </w:tc>
        <w:tc>
          <w:tcPr>
            <w:tcW w:w="702" w:type="dxa"/>
            <w:tcBorders>
              <w:top w:val="single" w:sz="4" w:space="0" w:color="auto"/>
            </w:tcBorders>
            <w:vAlign w:val="center"/>
          </w:tcPr>
          <w:p w14:paraId="5B532A3B"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.20</w:t>
            </w:r>
          </w:p>
        </w:tc>
        <w:tc>
          <w:tcPr>
            <w:tcW w:w="674" w:type="dxa"/>
            <w:tcBorders>
              <w:top w:val="single" w:sz="4" w:space="0" w:color="auto"/>
            </w:tcBorders>
            <w:vAlign w:val="center"/>
          </w:tcPr>
          <w:p w14:paraId="2087F5F9"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.000</w:t>
            </w:r>
          </w:p>
        </w:tc>
        <w:tc>
          <w:tcPr>
            <w:tcW w:w="722" w:type="dxa"/>
            <w:tcBorders>
              <w:top w:val="single" w:sz="4" w:space="0" w:color="auto"/>
            </w:tcBorders>
            <w:vAlign w:val="center"/>
          </w:tcPr>
          <w:p w14:paraId="1AF41173"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.694</w:t>
            </w:r>
          </w:p>
        </w:tc>
        <w:tc>
          <w:tcPr>
            <w:tcW w:w="1281" w:type="dxa"/>
            <w:tcBorders>
              <w:top w:val="single" w:sz="4" w:space="0" w:color="auto"/>
            </w:tcBorders>
            <w:vAlign w:val="center"/>
          </w:tcPr>
          <w:p w14:paraId="204E20E7" w14:textId="77777777" w:rsidR="00901801" w:rsidRPr="00901801" w:rsidRDefault="0021516A" w:rsidP="00A34FE2">
            <w:pPr>
              <w:rPr>
                <w:rFonts w:ascii="Arial" w:hAnsi="Arial" w:cs="Arial"/>
                <w:sz w:val="20"/>
                <w:szCs w:val="20"/>
                <w:lang w:val="en-US"/>
              </w:rPr>
            </w:pPr>
            <w:r w:rsidRPr="00901801">
              <w:rPr>
                <w:rFonts w:ascii="Arial" w:hAnsi="Arial" w:cs="Arial"/>
                <w:sz w:val="20"/>
                <w:szCs w:val="20"/>
                <w:lang w:val="en-US"/>
              </w:rPr>
              <w:t>Strong</w:t>
            </w:r>
          </w:p>
        </w:tc>
      </w:tr>
    </w:tbl>
    <w:p w14:paraId="6C915E21" w14:textId="77777777" w:rsidR="00901801" w:rsidRPr="00901801" w:rsidRDefault="0021516A" w:rsidP="00901801">
      <w:pPr>
        <w:spacing w:after="0" w:line="240" w:lineRule="auto"/>
        <w:jc w:val="both"/>
        <w:rPr>
          <w:rFonts w:ascii="Arial" w:hAnsi="Arial" w:cs="Arial"/>
          <w:i/>
          <w:sz w:val="18"/>
          <w:szCs w:val="20"/>
          <w:lang w:val="en-US"/>
        </w:rPr>
      </w:pPr>
      <w:r w:rsidRPr="00901801">
        <w:rPr>
          <w:rFonts w:ascii="Arial" w:hAnsi="Arial" w:cs="Arial"/>
          <w:i/>
          <w:sz w:val="20"/>
          <w:szCs w:val="20"/>
          <w:lang w:val="en-US"/>
        </w:rPr>
        <w:t xml:space="preserve">     </w:t>
      </w:r>
      <w:r>
        <w:rPr>
          <w:rFonts w:ascii="Arial" w:hAnsi="Arial" w:cs="Arial"/>
          <w:i/>
          <w:sz w:val="20"/>
          <w:szCs w:val="20"/>
          <w:lang w:val="en-US"/>
        </w:rPr>
        <w:t xml:space="preserve"> </w:t>
      </w:r>
      <w:r w:rsidRPr="00901801">
        <w:rPr>
          <w:rFonts w:ascii="Arial" w:hAnsi="Arial" w:cs="Arial"/>
          <w:i/>
          <w:sz w:val="18"/>
          <w:szCs w:val="20"/>
          <w:lang w:val="en-US"/>
        </w:rPr>
        <w:t xml:space="preserve">Note: N = 54. p &lt; .05 (2-tailed). Interpretation is based on Emmanuel and Isiaq’s (2024)    </w:t>
      </w:r>
    </w:p>
    <w:p w14:paraId="1FD4FD85" w14:textId="77777777" w:rsidR="00901801" w:rsidRPr="00901801" w:rsidRDefault="0021516A" w:rsidP="00901801">
      <w:pPr>
        <w:spacing w:after="0" w:line="240" w:lineRule="auto"/>
        <w:jc w:val="both"/>
        <w:rPr>
          <w:rFonts w:ascii="Arial" w:hAnsi="Arial" w:cs="Arial"/>
          <w:i/>
          <w:sz w:val="18"/>
          <w:szCs w:val="20"/>
          <w:lang w:val="en-US"/>
        </w:rPr>
      </w:pPr>
      <w:r w:rsidRPr="00901801">
        <w:rPr>
          <w:rFonts w:ascii="Arial" w:hAnsi="Arial" w:cs="Arial"/>
          <w:i/>
          <w:sz w:val="18"/>
          <w:szCs w:val="20"/>
          <w:lang w:val="en-US"/>
        </w:rPr>
        <w:t xml:space="preserve">   </w:t>
      </w:r>
      <w:r>
        <w:rPr>
          <w:rFonts w:ascii="Arial" w:hAnsi="Arial" w:cs="Arial"/>
          <w:i/>
          <w:sz w:val="18"/>
          <w:szCs w:val="20"/>
          <w:lang w:val="en-US"/>
        </w:rPr>
        <w:t xml:space="preserve"> </w:t>
      </w:r>
      <w:r w:rsidRPr="00901801">
        <w:rPr>
          <w:rFonts w:ascii="Arial" w:hAnsi="Arial" w:cs="Arial"/>
          <w:i/>
          <w:sz w:val="18"/>
          <w:szCs w:val="20"/>
          <w:lang w:val="en-US"/>
        </w:rPr>
        <w:t xml:space="preserve">  correlation scale.</w:t>
      </w:r>
    </w:p>
    <w:p w14:paraId="490E8F96" w14:textId="77777777" w:rsidR="00901801" w:rsidRPr="00901801" w:rsidRDefault="00901801" w:rsidP="00901801">
      <w:pPr>
        <w:spacing w:after="0" w:line="240" w:lineRule="auto"/>
        <w:jc w:val="both"/>
        <w:rPr>
          <w:rFonts w:ascii="Arial" w:hAnsi="Arial" w:cs="Arial"/>
          <w:i/>
          <w:sz w:val="20"/>
          <w:szCs w:val="20"/>
          <w:lang w:val="en-US"/>
        </w:rPr>
      </w:pPr>
    </w:p>
    <w:p w14:paraId="4EA75724" w14:textId="77777777" w:rsidR="00901801" w:rsidRPr="00901801" w:rsidRDefault="0021516A" w:rsidP="00901801">
      <w:pPr>
        <w:ind w:firstLine="720"/>
        <w:jc w:val="both"/>
        <w:rPr>
          <w:rFonts w:ascii="Arial" w:hAnsi="Arial" w:cs="Arial"/>
          <w:i/>
          <w:sz w:val="20"/>
          <w:szCs w:val="20"/>
          <w:lang w:val="en-US"/>
        </w:rPr>
      </w:pPr>
      <w:r w:rsidRPr="00901801">
        <w:rPr>
          <w:rFonts w:ascii="Arial" w:hAnsi="Arial" w:cs="Arial"/>
          <w:sz w:val="20"/>
          <w:szCs w:val="20"/>
          <w:lang w:val="en-US"/>
        </w:rPr>
        <w:t>These findings align with previous studies emphasizing the importance of undergraduate academic performance in professional licensure examinations (Muico et al., 2024; Amanonce &amp; Maramag, 2020; Puertos, 2015). Research has shown that students who perform w</w:t>
      </w:r>
      <w:r w:rsidRPr="00901801">
        <w:rPr>
          <w:rFonts w:ascii="Arial" w:hAnsi="Arial" w:cs="Arial"/>
          <w:sz w:val="20"/>
          <w:szCs w:val="20"/>
          <w:lang w:val="en-US"/>
        </w:rPr>
        <w:t xml:space="preserve">ell academically tend to develop effective study habits, critical thinking skills, and content mastery (Bose, 2024; Adeoye et al., 2024; Rivas et al., 2023), which are essential for success in high-stakes standardized tests like the LET. </w:t>
      </w:r>
    </w:p>
    <w:p w14:paraId="04C6DE44" w14:textId="77777777" w:rsidR="00901801" w:rsidRPr="00901801" w:rsidRDefault="0021516A" w:rsidP="00901801">
      <w:pPr>
        <w:spacing w:line="240" w:lineRule="auto"/>
        <w:ind w:firstLine="720"/>
        <w:jc w:val="both"/>
        <w:rPr>
          <w:rFonts w:ascii="Arial" w:hAnsi="Arial" w:cs="Arial"/>
          <w:sz w:val="20"/>
          <w:szCs w:val="20"/>
          <w:lang w:val="en-US"/>
        </w:rPr>
      </w:pPr>
      <w:r w:rsidRPr="00901801">
        <w:rPr>
          <w:rFonts w:ascii="Arial" w:hAnsi="Arial" w:cs="Arial"/>
          <w:sz w:val="20"/>
          <w:szCs w:val="20"/>
          <w:lang w:val="en-US"/>
        </w:rPr>
        <w:t>Moreover, the sta</w:t>
      </w:r>
      <w:r w:rsidRPr="00901801">
        <w:rPr>
          <w:rFonts w:ascii="Arial" w:hAnsi="Arial" w:cs="Arial"/>
          <w:sz w:val="20"/>
          <w:szCs w:val="20"/>
          <w:lang w:val="en-US"/>
        </w:rPr>
        <w:t>tistical significance of the correlation (</w:t>
      </w:r>
      <w:r w:rsidRPr="00901801">
        <w:rPr>
          <w:rFonts w:ascii="Cambria Math" w:hAnsi="Cambria Math" w:cs="Cambria Math"/>
          <w:sz w:val="20"/>
          <w:szCs w:val="20"/>
          <w:lang w:val="en-US"/>
        </w:rPr>
        <w:t>𝑝</w:t>
      </w:r>
      <w:r w:rsidRPr="00901801">
        <w:rPr>
          <w:rFonts w:ascii="Arial" w:hAnsi="Arial" w:cs="Arial"/>
          <w:sz w:val="20"/>
          <w:szCs w:val="20"/>
          <w:lang w:val="en-US"/>
        </w:rPr>
        <w:t xml:space="preserve"> &lt;.000) confirms that the relationship between GWA and LET performance is unlikely to have occurred by chance. The positive direction of the correlation further supports the notion that higher academic performance is associated with better licensure exam r</w:t>
      </w:r>
      <w:r w:rsidRPr="00901801">
        <w:rPr>
          <w:rFonts w:ascii="Arial" w:hAnsi="Arial" w:cs="Arial"/>
          <w:sz w:val="20"/>
          <w:szCs w:val="20"/>
          <w:lang w:val="en-US"/>
        </w:rPr>
        <w:t>esults (Ferrer, 2024), reinforcing the role of undergraduate education in preparing teacher education graduates for professional certification.</w:t>
      </w:r>
    </w:p>
    <w:p w14:paraId="5C49968A" w14:textId="77777777" w:rsidR="00901801" w:rsidRPr="00901801" w:rsidRDefault="0021516A" w:rsidP="00901801">
      <w:pPr>
        <w:spacing w:line="240" w:lineRule="auto"/>
        <w:ind w:firstLine="720"/>
        <w:jc w:val="both"/>
        <w:rPr>
          <w:rFonts w:ascii="Arial" w:hAnsi="Arial" w:cs="Arial"/>
          <w:sz w:val="20"/>
          <w:szCs w:val="20"/>
          <w:lang w:val="en-US"/>
        </w:rPr>
      </w:pPr>
      <w:r w:rsidRPr="00901801">
        <w:rPr>
          <w:rFonts w:ascii="Arial" w:hAnsi="Arial" w:cs="Arial"/>
          <w:sz w:val="20"/>
          <w:szCs w:val="20"/>
          <w:lang w:val="en-US"/>
        </w:rPr>
        <w:t>However, while the correlation is strong, it is important to note that correlation does not imply causation. The</w:t>
      </w:r>
      <w:r w:rsidRPr="00901801">
        <w:rPr>
          <w:rFonts w:ascii="Arial" w:hAnsi="Arial" w:cs="Arial"/>
          <w:sz w:val="20"/>
          <w:szCs w:val="20"/>
          <w:lang w:val="en-US"/>
        </w:rPr>
        <w:t xml:space="preserve"> relationship between GWA and LET performance does not mean that high GWA directly causes higher LET scores (Cahapay, 2020). Other factors, such as test-taking strategies, participation in review programs, and individual motivation, may also influence LET </w:t>
      </w:r>
      <w:r w:rsidRPr="00901801">
        <w:rPr>
          <w:rFonts w:ascii="Arial" w:hAnsi="Arial" w:cs="Arial"/>
          <w:sz w:val="20"/>
          <w:szCs w:val="20"/>
          <w:lang w:val="en-US"/>
        </w:rPr>
        <w:t>outcomes (Maghinay, 2024; Camañero et al., 2024; Tulud, 2023; Dela Fuente, 2021). Future studies may explore these additional factors to develop a more comprehensive understanding of LET performance predictors</w:t>
      </w:r>
      <w:bookmarkEnd w:id="1"/>
      <w:r w:rsidRPr="00901801">
        <w:rPr>
          <w:rFonts w:ascii="Arial" w:hAnsi="Arial" w:cs="Arial"/>
          <w:sz w:val="20"/>
          <w:szCs w:val="20"/>
          <w:lang w:val="en-US"/>
        </w:rPr>
        <w:t>.</w:t>
      </w:r>
    </w:p>
    <w:p w14:paraId="0E21230C" w14:textId="77777777" w:rsidR="00901801" w:rsidRPr="00901801" w:rsidRDefault="0021516A" w:rsidP="00901801">
      <w:pPr>
        <w:spacing w:after="200" w:line="240" w:lineRule="auto"/>
        <w:rPr>
          <w:rFonts w:ascii="Arial" w:hAnsi="Arial" w:cs="Arial"/>
          <w:sz w:val="20"/>
          <w:szCs w:val="20"/>
          <w:lang w:val="en-US"/>
        </w:rPr>
      </w:pPr>
      <w:r w:rsidRPr="00901801">
        <w:rPr>
          <w:rFonts w:ascii="Arial" w:hAnsi="Arial" w:cs="Arial"/>
          <w:b/>
          <w:sz w:val="20"/>
          <w:szCs w:val="20"/>
          <w:lang w:val="en-US"/>
        </w:rPr>
        <w:t>GWA as a Predictor of LET Performance of BEED</w:t>
      </w:r>
      <w:r w:rsidRPr="00901801">
        <w:rPr>
          <w:rFonts w:ascii="Arial" w:hAnsi="Arial" w:cs="Arial"/>
          <w:b/>
          <w:sz w:val="20"/>
          <w:szCs w:val="20"/>
          <w:lang w:val="en-US"/>
        </w:rPr>
        <w:t xml:space="preserve"> Graduates</w:t>
      </w:r>
    </w:p>
    <w:p w14:paraId="284A40F4" w14:textId="77777777" w:rsidR="00901801" w:rsidRDefault="0021516A" w:rsidP="00901801">
      <w:pPr>
        <w:spacing w:line="240" w:lineRule="auto"/>
        <w:ind w:left="-90" w:firstLine="810"/>
        <w:jc w:val="both"/>
        <w:rPr>
          <w:rFonts w:ascii="Arial" w:hAnsi="Arial" w:cs="Arial"/>
          <w:sz w:val="20"/>
          <w:szCs w:val="20"/>
          <w:lang w:val="en-US"/>
        </w:rPr>
      </w:pPr>
      <w:r w:rsidRPr="00901801">
        <w:rPr>
          <w:rFonts w:ascii="Arial" w:hAnsi="Arial" w:cs="Arial"/>
          <w:sz w:val="20"/>
          <w:szCs w:val="20"/>
          <w:lang w:val="en-US"/>
        </w:rPr>
        <w:lastRenderedPageBreak/>
        <w:t xml:space="preserve">A simple linear regression analysis was performed to examine whether undergraduate academic performance (Transformed GWA) significantly predicts LET performance. As presented in Table 3, the model revealed that GWA significantly predicts LET </w:t>
      </w:r>
      <w:r w:rsidRPr="00901801">
        <w:rPr>
          <w:rFonts w:ascii="Arial" w:hAnsi="Arial" w:cs="Arial"/>
          <w:sz w:val="20"/>
          <w:szCs w:val="20"/>
          <w:lang w:val="en-US"/>
        </w:rPr>
        <w:t>performance (R = .694,</w:t>
      </w:r>
      <w:r w:rsidRPr="00901801">
        <w:rPr>
          <w:rFonts w:ascii="Arial" w:hAnsi="Arial" w:cs="Arial"/>
          <w:sz w:val="20"/>
          <w:szCs w:val="20"/>
        </w:rPr>
        <w:t xml:space="preserve"> R</w:t>
      </w:r>
      <w:r w:rsidRPr="00901801">
        <w:rPr>
          <w:rFonts w:ascii="Arial" w:hAnsi="Arial" w:cs="Arial"/>
          <w:sz w:val="20"/>
          <w:szCs w:val="20"/>
          <w:vertAlign w:val="superscript"/>
        </w:rPr>
        <w:t xml:space="preserve">² </w:t>
      </w:r>
      <w:r w:rsidRPr="00901801">
        <w:rPr>
          <w:rFonts w:ascii="Arial" w:hAnsi="Arial" w:cs="Arial"/>
          <w:sz w:val="20"/>
          <w:szCs w:val="20"/>
          <w:lang w:val="en-US"/>
        </w:rPr>
        <w:t>= .482, p &lt; .000), indicating that 48.2% of the variance in LET scores can be explained by undergraduate academic performance.</w:t>
      </w:r>
    </w:p>
    <w:p w14:paraId="43AA8FF5" w14:textId="77777777" w:rsidR="005E5256" w:rsidRDefault="005E5256" w:rsidP="00901801">
      <w:pPr>
        <w:spacing w:line="240" w:lineRule="auto"/>
        <w:ind w:left="-90" w:firstLine="810"/>
        <w:jc w:val="both"/>
        <w:rPr>
          <w:rFonts w:ascii="Arial" w:hAnsi="Arial" w:cs="Arial"/>
          <w:sz w:val="20"/>
          <w:szCs w:val="20"/>
          <w:lang w:val="en-US"/>
        </w:rPr>
      </w:pPr>
    </w:p>
    <w:p w14:paraId="01617024" w14:textId="77777777" w:rsidR="00901801" w:rsidRPr="00901801" w:rsidRDefault="0021516A" w:rsidP="00901801">
      <w:pPr>
        <w:spacing w:line="240" w:lineRule="auto"/>
        <w:ind w:left="-90"/>
        <w:jc w:val="both"/>
        <w:rPr>
          <w:rFonts w:ascii="Arial" w:hAnsi="Arial" w:cs="Arial"/>
          <w:b/>
          <w:sz w:val="20"/>
          <w:szCs w:val="20"/>
          <w:lang w:val="en-US"/>
        </w:rPr>
      </w:pPr>
      <w:r w:rsidRPr="00901801">
        <w:rPr>
          <w:rFonts w:ascii="Arial" w:hAnsi="Arial" w:cs="Arial"/>
          <w:b/>
          <w:sz w:val="20"/>
          <w:szCs w:val="20"/>
          <w:lang w:val="en-US"/>
        </w:rPr>
        <w:t>Table 3. Regression model summary for GWA as a predictor of LET performance</w:t>
      </w:r>
    </w:p>
    <w:tbl>
      <w:tblPr>
        <w:tblStyle w:val="TableGrid0"/>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418"/>
        <w:gridCol w:w="1418"/>
        <w:gridCol w:w="1485"/>
        <w:gridCol w:w="1366"/>
      </w:tblGrid>
      <w:tr w:rsidR="00012032" w14:paraId="27C44BCA" w14:textId="77777777" w:rsidTr="00A34FE2">
        <w:trPr>
          <w:trHeight w:val="298"/>
          <w:jc w:val="center"/>
        </w:trPr>
        <w:tc>
          <w:tcPr>
            <w:tcW w:w="1255" w:type="dxa"/>
            <w:tcBorders>
              <w:top w:val="single" w:sz="4" w:space="0" w:color="auto"/>
              <w:bottom w:val="single" w:sz="4" w:space="0" w:color="auto"/>
            </w:tcBorders>
            <w:vAlign w:val="center"/>
          </w:tcPr>
          <w:p w14:paraId="1217C928" w14:textId="77777777" w:rsidR="00901801" w:rsidRPr="00901801" w:rsidRDefault="0021516A" w:rsidP="00A34FE2">
            <w:pPr>
              <w:autoSpaceDE w:val="0"/>
              <w:autoSpaceDN w:val="0"/>
              <w:adjustRightInd w:val="0"/>
              <w:rPr>
                <w:rFonts w:ascii="Arial" w:hAnsi="Arial" w:cs="Arial"/>
                <w:sz w:val="20"/>
                <w:szCs w:val="20"/>
              </w:rPr>
            </w:pPr>
            <w:r w:rsidRPr="00901801">
              <w:rPr>
                <w:rFonts w:ascii="Arial" w:hAnsi="Arial" w:cs="Arial"/>
                <w:sz w:val="20"/>
                <w:szCs w:val="20"/>
              </w:rPr>
              <w:t>Model</w:t>
            </w:r>
          </w:p>
        </w:tc>
        <w:tc>
          <w:tcPr>
            <w:tcW w:w="1418" w:type="dxa"/>
            <w:tcBorders>
              <w:top w:val="single" w:sz="4" w:space="0" w:color="auto"/>
              <w:bottom w:val="single" w:sz="4" w:space="0" w:color="auto"/>
            </w:tcBorders>
            <w:vAlign w:val="center"/>
          </w:tcPr>
          <w:p w14:paraId="358CC03A" w14:textId="77777777" w:rsidR="00901801" w:rsidRPr="00901801" w:rsidRDefault="0021516A" w:rsidP="00A34FE2">
            <w:pPr>
              <w:autoSpaceDE w:val="0"/>
              <w:autoSpaceDN w:val="0"/>
              <w:adjustRightInd w:val="0"/>
              <w:rPr>
                <w:rFonts w:ascii="Arial" w:hAnsi="Arial" w:cs="Arial"/>
                <w:sz w:val="20"/>
                <w:szCs w:val="20"/>
              </w:rPr>
            </w:pPr>
            <w:r w:rsidRPr="00901801">
              <w:rPr>
                <w:rFonts w:ascii="Arial" w:hAnsi="Arial" w:cs="Arial"/>
                <w:sz w:val="20"/>
                <w:szCs w:val="20"/>
              </w:rPr>
              <w:t>R</w:t>
            </w:r>
          </w:p>
        </w:tc>
        <w:tc>
          <w:tcPr>
            <w:tcW w:w="1418" w:type="dxa"/>
            <w:tcBorders>
              <w:top w:val="single" w:sz="4" w:space="0" w:color="auto"/>
              <w:bottom w:val="single" w:sz="4" w:space="0" w:color="auto"/>
            </w:tcBorders>
            <w:vAlign w:val="center"/>
          </w:tcPr>
          <w:p w14:paraId="73B734FD" w14:textId="77777777" w:rsidR="00901801" w:rsidRPr="00901801" w:rsidRDefault="0021516A" w:rsidP="00A34FE2">
            <w:pPr>
              <w:autoSpaceDE w:val="0"/>
              <w:autoSpaceDN w:val="0"/>
              <w:adjustRightInd w:val="0"/>
              <w:rPr>
                <w:rFonts w:ascii="Arial" w:hAnsi="Arial" w:cs="Arial"/>
                <w:sz w:val="20"/>
                <w:szCs w:val="20"/>
                <w:vertAlign w:val="superscript"/>
              </w:rPr>
            </w:pPr>
            <w:r w:rsidRPr="00901801">
              <w:rPr>
                <w:rFonts w:ascii="Arial" w:hAnsi="Arial" w:cs="Arial"/>
                <w:sz w:val="20"/>
                <w:szCs w:val="20"/>
              </w:rPr>
              <w:t>R</w:t>
            </w:r>
            <w:r w:rsidRPr="00901801">
              <w:rPr>
                <w:rFonts w:ascii="Arial" w:hAnsi="Arial" w:cs="Arial"/>
                <w:sz w:val="20"/>
                <w:szCs w:val="20"/>
                <w:vertAlign w:val="superscript"/>
              </w:rPr>
              <w:t>2</w:t>
            </w:r>
          </w:p>
        </w:tc>
        <w:tc>
          <w:tcPr>
            <w:tcW w:w="1485" w:type="dxa"/>
            <w:tcBorders>
              <w:top w:val="single" w:sz="4" w:space="0" w:color="auto"/>
              <w:bottom w:val="single" w:sz="4" w:space="0" w:color="auto"/>
            </w:tcBorders>
            <w:vAlign w:val="center"/>
          </w:tcPr>
          <w:p w14:paraId="5678D42E" w14:textId="77777777" w:rsidR="00901801" w:rsidRPr="00901801" w:rsidRDefault="0021516A" w:rsidP="00A34FE2">
            <w:pPr>
              <w:autoSpaceDE w:val="0"/>
              <w:autoSpaceDN w:val="0"/>
              <w:adjustRightInd w:val="0"/>
              <w:rPr>
                <w:rFonts w:ascii="Arial" w:hAnsi="Arial" w:cs="Arial"/>
                <w:sz w:val="20"/>
                <w:szCs w:val="20"/>
              </w:rPr>
            </w:pPr>
            <w:r w:rsidRPr="00901801">
              <w:rPr>
                <w:rFonts w:ascii="Arial" w:hAnsi="Arial" w:cs="Arial"/>
                <w:sz w:val="20"/>
                <w:szCs w:val="20"/>
              </w:rPr>
              <w:t>Adjusted R</w:t>
            </w:r>
            <w:r w:rsidRPr="00901801">
              <w:rPr>
                <w:rFonts w:ascii="Arial" w:hAnsi="Arial" w:cs="Arial"/>
                <w:sz w:val="20"/>
                <w:szCs w:val="20"/>
                <w:vertAlign w:val="superscript"/>
              </w:rPr>
              <w:t>2</w:t>
            </w:r>
          </w:p>
        </w:tc>
        <w:tc>
          <w:tcPr>
            <w:tcW w:w="1366" w:type="dxa"/>
            <w:tcBorders>
              <w:top w:val="single" w:sz="4" w:space="0" w:color="auto"/>
              <w:bottom w:val="single" w:sz="4" w:space="0" w:color="auto"/>
            </w:tcBorders>
            <w:vAlign w:val="center"/>
          </w:tcPr>
          <w:p w14:paraId="7470D5BB" w14:textId="77777777" w:rsidR="00901801" w:rsidRPr="00901801" w:rsidRDefault="0021516A" w:rsidP="00A34FE2">
            <w:pPr>
              <w:autoSpaceDE w:val="0"/>
              <w:autoSpaceDN w:val="0"/>
              <w:adjustRightInd w:val="0"/>
              <w:rPr>
                <w:rFonts w:ascii="Arial" w:hAnsi="Arial" w:cs="Arial"/>
                <w:sz w:val="20"/>
                <w:szCs w:val="20"/>
              </w:rPr>
            </w:pPr>
            <w:r w:rsidRPr="00901801">
              <w:rPr>
                <w:rFonts w:ascii="Arial" w:hAnsi="Arial" w:cs="Arial"/>
                <w:sz w:val="20"/>
                <w:szCs w:val="20"/>
              </w:rPr>
              <w:t xml:space="preserve">SE </w:t>
            </w:r>
            <w:r w:rsidRPr="00901801">
              <w:rPr>
                <w:rFonts w:ascii="Arial" w:hAnsi="Arial" w:cs="Arial"/>
                <w:sz w:val="20"/>
                <w:szCs w:val="20"/>
              </w:rPr>
              <w:t>of Estimate</w:t>
            </w:r>
          </w:p>
        </w:tc>
      </w:tr>
      <w:tr w:rsidR="00012032" w14:paraId="1D7981FE" w14:textId="77777777" w:rsidTr="00A34FE2">
        <w:trPr>
          <w:trHeight w:val="278"/>
          <w:jc w:val="center"/>
        </w:trPr>
        <w:tc>
          <w:tcPr>
            <w:tcW w:w="1255" w:type="dxa"/>
            <w:tcBorders>
              <w:top w:val="single" w:sz="4" w:space="0" w:color="auto"/>
            </w:tcBorders>
            <w:vAlign w:val="center"/>
          </w:tcPr>
          <w:p w14:paraId="309C4ABE" w14:textId="77777777" w:rsidR="00901801" w:rsidRPr="00901801" w:rsidRDefault="0021516A" w:rsidP="00A34FE2">
            <w:pPr>
              <w:autoSpaceDE w:val="0"/>
              <w:autoSpaceDN w:val="0"/>
              <w:adjustRightInd w:val="0"/>
              <w:rPr>
                <w:rFonts w:ascii="Arial" w:hAnsi="Arial" w:cs="Arial"/>
                <w:sz w:val="20"/>
                <w:szCs w:val="20"/>
              </w:rPr>
            </w:pPr>
            <w:r w:rsidRPr="00901801">
              <w:rPr>
                <w:rFonts w:ascii="Arial" w:hAnsi="Arial" w:cs="Arial"/>
                <w:sz w:val="20"/>
                <w:szCs w:val="20"/>
              </w:rPr>
              <w:t>1</w:t>
            </w:r>
          </w:p>
        </w:tc>
        <w:tc>
          <w:tcPr>
            <w:tcW w:w="1418" w:type="dxa"/>
            <w:tcBorders>
              <w:top w:val="single" w:sz="4" w:space="0" w:color="auto"/>
            </w:tcBorders>
            <w:vAlign w:val="center"/>
          </w:tcPr>
          <w:p w14:paraId="76EC2400" w14:textId="77777777" w:rsidR="00901801" w:rsidRPr="00901801" w:rsidRDefault="0021516A" w:rsidP="00A34FE2">
            <w:pPr>
              <w:autoSpaceDE w:val="0"/>
              <w:autoSpaceDN w:val="0"/>
              <w:adjustRightInd w:val="0"/>
              <w:rPr>
                <w:rFonts w:ascii="Arial" w:hAnsi="Arial" w:cs="Arial"/>
                <w:sz w:val="20"/>
                <w:szCs w:val="20"/>
              </w:rPr>
            </w:pPr>
            <w:r w:rsidRPr="00901801">
              <w:rPr>
                <w:rFonts w:ascii="Arial" w:hAnsi="Arial" w:cs="Arial"/>
                <w:sz w:val="20"/>
                <w:szCs w:val="20"/>
              </w:rPr>
              <w:t>.694</w:t>
            </w:r>
          </w:p>
        </w:tc>
        <w:tc>
          <w:tcPr>
            <w:tcW w:w="1418" w:type="dxa"/>
            <w:tcBorders>
              <w:top w:val="single" w:sz="4" w:space="0" w:color="auto"/>
            </w:tcBorders>
            <w:vAlign w:val="center"/>
          </w:tcPr>
          <w:p w14:paraId="5C2E110E" w14:textId="77777777" w:rsidR="00901801" w:rsidRPr="00901801" w:rsidRDefault="0021516A" w:rsidP="00A34FE2">
            <w:pPr>
              <w:autoSpaceDE w:val="0"/>
              <w:autoSpaceDN w:val="0"/>
              <w:adjustRightInd w:val="0"/>
              <w:rPr>
                <w:rFonts w:ascii="Arial" w:hAnsi="Arial" w:cs="Arial"/>
                <w:sz w:val="20"/>
                <w:szCs w:val="20"/>
              </w:rPr>
            </w:pPr>
            <w:r w:rsidRPr="00901801">
              <w:rPr>
                <w:rFonts w:ascii="Arial" w:hAnsi="Arial" w:cs="Arial"/>
                <w:sz w:val="20"/>
                <w:szCs w:val="20"/>
              </w:rPr>
              <w:t>.482</w:t>
            </w:r>
          </w:p>
        </w:tc>
        <w:tc>
          <w:tcPr>
            <w:tcW w:w="1485" w:type="dxa"/>
            <w:tcBorders>
              <w:top w:val="single" w:sz="4" w:space="0" w:color="auto"/>
            </w:tcBorders>
            <w:vAlign w:val="center"/>
          </w:tcPr>
          <w:p w14:paraId="6E512611" w14:textId="77777777" w:rsidR="00901801" w:rsidRPr="00901801" w:rsidRDefault="0021516A" w:rsidP="00A34FE2">
            <w:pPr>
              <w:autoSpaceDE w:val="0"/>
              <w:autoSpaceDN w:val="0"/>
              <w:adjustRightInd w:val="0"/>
              <w:rPr>
                <w:rFonts w:ascii="Arial" w:hAnsi="Arial" w:cs="Arial"/>
                <w:sz w:val="20"/>
                <w:szCs w:val="20"/>
              </w:rPr>
            </w:pPr>
            <w:r w:rsidRPr="00901801">
              <w:rPr>
                <w:rFonts w:ascii="Arial" w:hAnsi="Arial" w:cs="Arial"/>
                <w:sz w:val="20"/>
                <w:szCs w:val="20"/>
              </w:rPr>
              <w:t>.472</w:t>
            </w:r>
          </w:p>
        </w:tc>
        <w:tc>
          <w:tcPr>
            <w:tcW w:w="1366" w:type="dxa"/>
            <w:tcBorders>
              <w:top w:val="single" w:sz="4" w:space="0" w:color="auto"/>
            </w:tcBorders>
            <w:vAlign w:val="center"/>
          </w:tcPr>
          <w:p w14:paraId="3A2E4E2A" w14:textId="77777777" w:rsidR="00901801" w:rsidRPr="00901801" w:rsidRDefault="0021516A" w:rsidP="00A34FE2">
            <w:pPr>
              <w:autoSpaceDE w:val="0"/>
              <w:autoSpaceDN w:val="0"/>
              <w:adjustRightInd w:val="0"/>
              <w:rPr>
                <w:rFonts w:ascii="Arial" w:hAnsi="Arial" w:cs="Arial"/>
                <w:sz w:val="20"/>
                <w:szCs w:val="20"/>
              </w:rPr>
            </w:pPr>
            <w:r w:rsidRPr="00901801">
              <w:rPr>
                <w:rFonts w:ascii="Arial" w:hAnsi="Arial" w:cs="Arial"/>
                <w:sz w:val="20"/>
                <w:szCs w:val="20"/>
              </w:rPr>
              <w:t>.145</w:t>
            </w:r>
          </w:p>
        </w:tc>
      </w:tr>
    </w:tbl>
    <w:p w14:paraId="597CB3DB" w14:textId="77777777" w:rsidR="00901801" w:rsidRPr="00901801" w:rsidRDefault="00901801" w:rsidP="00901801">
      <w:pPr>
        <w:spacing w:line="240" w:lineRule="auto"/>
        <w:jc w:val="both"/>
        <w:rPr>
          <w:rFonts w:ascii="Arial" w:hAnsi="Arial" w:cs="Arial"/>
          <w:sz w:val="20"/>
          <w:szCs w:val="20"/>
          <w:lang w:val="en-US"/>
        </w:rPr>
      </w:pPr>
    </w:p>
    <w:p w14:paraId="200CB672" w14:textId="77777777" w:rsidR="00BA07FA" w:rsidRPr="005E5256" w:rsidRDefault="0021516A" w:rsidP="005E5256">
      <w:pPr>
        <w:ind w:firstLine="720"/>
        <w:jc w:val="both"/>
        <w:rPr>
          <w:rFonts w:ascii="Arial" w:hAnsi="Arial" w:cs="Arial"/>
          <w:sz w:val="20"/>
          <w:szCs w:val="20"/>
        </w:rPr>
      </w:pPr>
      <w:r w:rsidRPr="00901801">
        <w:rPr>
          <w:rFonts w:ascii="Arial" w:hAnsi="Arial" w:cs="Arial"/>
          <w:sz w:val="20"/>
          <w:szCs w:val="20"/>
        </w:rPr>
        <w:t>The ANOVA results in Table 4 confirm that the regression model is statistically significant, F (1,52) = 48.35, p &lt; .000, indicating that GWA makes a meaningful contribution to the variance in LET scores.</w:t>
      </w:r>
    </w:p>
    <w:p w14:paraId="22BFFDBF" w14:textId="77777777" w:rsidR="00BA07FA" w:rsidRPr="00BA07FA" w:rsidRDefault="0021516A" w:rsidP="00BA07FA">
      <w:pPr>
        <w:jc w:val="both"/>
        <w:rPr>
          <w:rFonts w:ascii="Arial" w:hAnsi="Arial" w:cs="Arial"/>
          <w:b/>
          <w:sz w:val="20"/>
          <w:szCs w:val="20"/>
        </w:rPr>
      </w:pPr>
      <w:r w:rsidRPr="00BA07FA">
        <w:rPr>
          <w:rFonts w:ascii="Arial" w:hAnsi="Arial" w:cs="Arial"/>
          <w:b/>
          <w:sz w:val="20"/>
          <w:szCs w:val="20"/>
          <w:lang w:val="en-US"/>
        </w:rPr>
        <w:t xml:space="preserve">Table 4. ANOVA </w:t>
      </w:r>
      <w:r w:rsidRPr="00BA07FA">
        <w:rPr>
          <w:rFonts w:ascii="Arial" w:hAnsi="Arial" w:cs="Arial"/>
          <w:b/>
          <w:sz w:val="20"/>
          <w:szCs w:val="20"/>
          <w:lang w:val="en-US"/>
        </w:rPr>
        <w:t>for the regression model</w:t>
      </w:r>
    </w:p>
    <w:tbl>
      <w:tblPr>
        <w:tblStyle w:val="TableGrid0"/>
        <w:tblW w:w="709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1445"/>
        <w:gridCol w:w="1032"/>
        <w:gridCol w:w="1300"/>
        <w:gridCol w:w="1150"/>
        <w:gridCol w:w="942"/>
      </w:tblGrid>
      <w:tr w:rsidR="00012032" w14:paraId="4F9B7FA8" w14:textId="77777777" w:rsidTr="00A34FE2">
        <w:trPr>
          <w:trHeight w:val="18"/>
          <w:jc w:val="center"/>
        </w:trPr>
        <w:tc>
          <w:tcPr>
            <w:tcW w:w="1226" w:type="dxa"/>
            <w:tcBorders>
              <w:top w:val="single" w:sz="4" w:space="0" w:color="auto"/>
              <w:bottom w:val="single" w:sz="4" w:space="0" w:color="auto"/>
            </w:tcBorders>
            <w:vAlign w:val="center"/>
          </w:tcPr>
          <w:p w14:paraId="3A76430E"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Model</w:t>
            </w:r>
          </w:p>
        </w:tc>
        <w:tc>
          <w:tcPr>
            <w:tcW w:w="1446" w:type="dxa"/>
            <w:tcBorders>
              <w:top w:val="single" w:sz="4" w:space="0" w:color="auto"/>
              <w:bottom w:val="single" w:sz="4" w:space="0" w:color="auto"/>
            </w:tcBorders>
            <w:vAlign w:val="center"/>
          </w:tcPr>
          <w:p w14:paraId="65F7528A"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Sum of Squares</w:t>
            </w:r>
          </w:p>
        </w:tc>
        <w:tc>
          <w:tcPr>
            <w:tcW w:w="1033" w:type="dxa"/>
            <w:tcBorders>
              <w:top w:val="single" w:sz="4" w:space="0" w:color="auto"/>
              <w:bottom w:val="single" w:sz="4" w:space="0" w:color="auto"/>
            </w:tcBorders>
            <w:vAlign w:val="center"/>
          </w:tcPr>
          <w:p w14:paraId="5C266BE5" w14:textId="77777777" w:rsidR="00901801" w:rsidRPr="00901801" w:rsidRDefault="0021516A" w:rsidP="00BA07FA">
            <w:pPr>
              <w:autoSpaceDE w:val="0"/>
              <w:autoSpaceDN w:val="0"/>
              <w:adjustRightInd w:val="0"/>
              <w:rPr>
                <w:rFonts w:ascii="Arial" w:hAnsi="Arial" w:cs="Arial"/>
                <w:sz w:val="20"/>
                <w:szCs w:val="20"/>
                <w:vertAlign w:val="superscript"/>
              </w:rPr>
            </w:pPr>
            <w:r w:rsidRPr="00901801">
              <w:rPr>
                <w:rFonts w:ascii="Arial" w:hAnsi="Arial" w:cs="Arial"/>
                <w:sz w:val="20"/>
                <w:szCs w:val="20"/>
              </w:rPr>
              <w:t>df</w:t>
            </w:r>
          </w:p>
        </w:tc>
        <w:tc>
          <w:tcPr>
            <w:tcW w:w="1300" w:type="dxa"/>
            <w:tcBorders>
              <w:top w:val="single" w:sz="4" w:space="0" w:color="auto"/>
              <w:bottom w:val="single" w:sz="4" w:space="0" w:color="auto"/>
            </w:tcBorders>
            <w:vAlign w:val="center"/>
          </w:tcPr>
          <w:p w14:paraId="49062262"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Mean Square</w:t>
            </w:r>
          </w:p>
        </w:tc>
        <w:tc>
          <w:tcPr>
            <w:tcW w:w="1150" w:type="dxa"/>
            <w:tcBorders>
              <w:top w:val="single" w:sz="4" w:space="0" w:color="auto"/>
              <w:bottom w:val="single" w:sz="4" w:space="0" w:color="auto"/>
            </w:tcBorders>
            <w:vAlign w:val="center"/>
          </w:tcPr>
          <w:p w14:paraId="0B61DC8D"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F</w:t>
            </w:r>
          </w:p>
        </w:tc>
        <w:tc>
          <w:tcPr>
            <w:tcW w:w="942" w:type="dxa"/>
            <w:tcBorders>
              <w:top w:val="single" w:sz="4" w:space="0" w:color="auto"/>
              <w:bottom w:val="single" w:sz="4" w:space="0" w:color="auto"/>
            </w:tcBorders>
            <w:vAlign w:val="center"/>
          </w:tcPr>
          <w:p w14:paraId="4456C39F"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p-value</w:t>
            </w:r>
          </w:p>
        </w:tc>
      </w:tr>
      <w:tr w:rsidR="00012032" w14:paraId="7C92FF1C" w14:textId="77777777" w:rsidTr="00A34FE2">
        <w:trPr>
          <w:trHeight w:val="18"/>
          <w:jc w:val="center"/>
        </w:trPr>
        <w:tc>
          <w:tcPr>
            <w:tcW w:w="1226" w:type="dxa"/>
            <w:tcBorders>
              <w:top w:val="single" w:sz="4" w:space="0" w:color="auto"/>
            </w:tcBorders>
          </w:tcPr>
          <w:p w14:paraId="1B7D2228"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Regression</w:t>
            </w:r>
          </w:p>
        </w:tc>
        <w:tc>
          <w:tcPr>
            <w:tcW w:w="1446" w:type="dxa"/>
            <w:tcBorders>
              <w:top w:val="single" w:sz="4" w:space="0" w:color="auto"/>
            </w:tcBorders>
            <w:vAlign w:val="center"/>
          </w:tcPr>
          <w:p w14:paraId="2A940F01"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492.989</w:t>
            </w:r>
          </w:p>
        </w:tc>
        <w:tc>
          <w:tcPr>
            <w:tcW w:w="1033" w:type="dxa"/>
            <w:tcBorders>
              <w:top w:val="single" w:sz="4" w:space="0" w:color="auto"/>
            </w:tcBorders>
            <w:vAlign w:val="center"/>
          </w:tcPr>
          <w:p w14:paraId="0D10753B"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1</w:t>
            </w:r>
          </w:p>
        </w:tc>
        <w:tc>
          <w:tcPr>
            <w:tcW w:w="1300" w:type="dxa"/>
            <w:tcBorders>
              <w:top w:val="single" w:sz="4" w:space="0" w:color="auto"/>
            </w:tcBorders>
            <w:vAlign w:val="center"/>
          </w:tcPr>
          <w:p w14:paraId="4B6E0012"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492.989</w:t>
            </w:r>
          </w:p>
        </w:tc>
        <w:tc>
          <w:tcPr>
            <w:tcW w:w="1150" w:type="dxa"/>
            <w:tcBorders>
              <w:top w:val="single" w:sz="4" w:space="0" w:color="auto"/>
            </w:tcBorders>
            <w:vAlign w:val="center"/>
          </w:tcPr>
          <w:p w14:paraId="56058FC0"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48.345</w:t>
            </w:r>
          </w:p>
        </w:tc>
        <w:tc>
          <w:tcPr>
            <w:tcW w:w="942" w:type="dxa"/>
            <w:tcBorders>
              <w:top w:val="single" w:sz="4" w:space="0" w:color="auto"/>
            </w:tcBorders>
            <w:vAlign w:val="center"/>
          </w:tcPr>
          <w:p w14:paraId="2E689118"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&lt;.000</w:t>
            </w:r>
          </w:p>
        </w:tc>
      </w:tr>
      <w:tr w:rsidR="00012032" w14:paraId="7A21AC56" w14:textId="77777777" w:rsidTr="00A34FE2">
        <w:trPr>
          <w:trHeight w:val="18"/>
          <w:jc w:val="center"/>
        </w:trPr>
        <w:tc>
          <w:tcPr>
            <w:tcW w:w="1226" w:type="dxa"/>
          </w:tcPr>
          <w:p w14:paraId="2E51DA9F"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Residual</w:t>
            </w:r>
          </w:p>
        </w:tc>
        <w:tc>
          <w:tcPr>
            <w:tcW w:w="1446" w:type="dxa"/>
            <w:vAlign w:val="center"/>
          </w:tcPr>
          <w:p w14:paraId="153CCC92"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530.259</w:t>
            </w:r>
          </w:p>
        </w:tc>
        <w:tc>
          <w:tcPr>
            <w:tcW w:w="1033" w:type="dxa"/>
            <w:vAlign w:val="center"/>
          </w:tcPr>
          <w:p w14:paraId="5880C977"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52</w:t>
            </w:r>
          </w:p>
        </w:tc>
        <w:tc>
          <w:tcPr>
            <w:tcW w:w="1300" w:type="dxa"/>
            <w:vAlign w:val="center"/>
          </w:tcPr>
          <w:p w14:paraId="5FBDBE8F"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10.197</w:t>
            </w:r>
          </w:p>
        </w:tc>
        <w:tc>
          <w:tcPr>
            <w:tcW w:w="1150" w:type="dxa"/>
            <w:vAlign w:val="center"/>
          </w:tcPr>
          <w:p w14:paraId="0D44561C" w14:textId="77777777" w:rsidR="00901801" w:rsidRPr="00901801" w:rsidRDefault="00901801" w:rsidP="00BA07FA">
            <w:pPr>
              <w:autoSpaceDE w:val="0"/>
              <w:autoSpaceDN w:val="0"/>
              <w:adjustRightInd w:val="0"/>
              <w:rPr>
                <w:rFonts w:ascii="Arial" w:hAnsi="Arial" w:cs="Arial"/>
                <w:sz w:val="20"/>
                <w:szCs w:val="20"/>
              </w:rPr>
            </w:pPr>
          </w:p>
        </w:tc>
        <w:tc>
          <w:tcPr>
            <w:tcW w:w="942" w:type="dxa"/>
            <w:vAlign w:val="center"/>
          </w:tcPr>
          <w:p w14:paraId="11A821B4" w14:textId="77777777" w:rsidR="00901801" w:rsidRPr="00901801" w:rsidRDefault="00901801" w:rsidP="00BA07FA">
            <w:pPr>
              <w:autoSpaceDE w:val="0"/>
              <w:autoSpaceDN w:val="0"/>
              <w:adjustRightInd w:val="0"/>
              <w:rPr>
                <w:rFonts w:ascii="Arial" w:hAnsi="Arial" w:cs="Arial"/>
                <w:sz w:val="20"/>
                <w:szCs w:val="20"/>
              </w:rPr>
            </w:pPr>
          </w:p>
        </w:tc>
      </w:tr>
      <w:tr w:rsidR="00012032" w14:paraId="3B2B035B" w14:textId="77777777" w:rsidTr="00A34FE2">
        <w:trPr>
          <w:trHeight w:val="18"/>
          <w:jc w:val="center"/>
        </w:trPr>
        <w:tc>
          <w:tcPr>
            <w:tcW w:w="1226" w:type="dxa"/>
          </w:tcPr>
          <w:p w14:paraId="78DD570D"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 xml:space="preserve">Total </w:t>
            </w:r>
          </w:p>
        </w:tc>
        <w:tc>
          <w:tcPr>
            <w:tcW w:w="1446" w:type="dxa"/>
            <w:vAlign w:val="center"/>
          </w:tcPr>
          <w:p w14:paraId="5E6178A5"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1023.248</w:t>
            </w:r>
          </w:p>
        </w:tc>
        <w:tc>
          <w:tcPr>
            <w:tcW w:w="1033" w:type="dxa"/>
            <w:vAlign w:val="center"/>
          </w:tcPr>
          <w:p w14:paraId="5C5E3392" w14:textId="77777777" w:rsidR="00901801" w:rsidRPr="00901801" w:rsidRDefault="0021516A" w:rsidP="00BA07FA">
            <w:pPr>
              <w:autoSpaceDE w:val="0"/>
              <w:autoSpaceDN w:val="0"/>
              <w:adjustRightInd w:val="0"/>
              <w:rPr>
                <w:rFonts w:ascii="Arial" w:hAnsi="Arial" w:cs="Arial"/>
                <w:sz w:val="20"/>
                <w:szCs w:val="20"/>
              </w:rPr>
            </w:pPr>
            <w:r w:rsidRPr="00901801">
              <w:rPr>
                <w:rFonts w:ascii="Arial" w:hAnsi="Arial" w:cs="Arial"/>
                <w:sz w:val="20"/>
                <w:szCs w:val="20"/>
              </w:rPr>
              <w:t>53</w:t>
            </w:r>
          </w:p>
        </w:tc>
        <w:tc>
          <w:tcPr>
            <w:tcW w:w="1300" w:type="dxa"/>
            <w:vAlign w:val="center"/>
          </w:tcPr>
          <w:p w14:paraId="24ED5BE1" w14:textId="77777777" w:rsidR="00901801" w:rsidRPr="00901801" w:rsidRDefault="00901801" w:rsidP="00BA07FA">
            <w:pPr>
              <w:autoSpaceDE w:val="0"/>
              <w:autoSpaceDN w:val="0"/>
              <w:adjustRightInd w:val="0"/>
              <w:rPr>
                <w:rFonts w:ascii="Arial" w:hAnsi="Arial" w:cs="Arial"/>
                <w:sz w:val="20"/>
                <w:szCs w:val="20"/>
              </w:rPr>
            </w:pPr>
          </w:p>
        </w:tc>
        <w:tc>
          <w:tcPr>
            <w:tcW w:w="1150" w:type="dxa"/>
            <w:vAlign w:val="center"/>
          </w:tcPr>
          <w:p w14:paraId="40EA9989" w14:textId="77777777" w:rsidR="00901801" w:rsidRPr="00901801" w:rsidRDefault="00901801" w:rsidP="00BA07FA">
            <w:pPr>
              <w:autoSpaceDE w:val="0"/>
              <w:autoSpaceDN w:val="0"/>
              <w:adjustRightInd w:val="0"/>
              <w:rPr>
                <w:rFonts w:ascii="Arial" w:hAnsi="Arial" w:cs="Arial"/>
                <w:sz w:val="20"/>
                <w:szCs w:val="20"/>
              </w:rPr>
            </w:pPr>
          </w:p>
        </w:tc>
        <w:tc>
          <w:tcPr>
            <w:tcW w:w="942" w:type="dxa"/>
            <w:vAlign w:val="center"/>
          </w:tcPr>
          <w:p w14:paraId="0310EB99" w14:textId="77777777" w:rsidR="00901801" w:rsidRPr="00901801" w:rsidRDefault="00901801" w:rsidP="00BA07FA">
            <w:pPr>
              <w:autoSpaceDE w:val="0"/>
              <w:autoSpaceDN w:val="0"/>
              <w:adjustRightInd w:val="0"/>
              <w:rPr>
                <w:rFonts w:ascii="Arial" w:hAnsi="Arial" w:cs="Arial"/>
                <w:sz w:val="20"/>
                <w:szCs w:val="20"/>
              </w:rPr>
            </w:pPr>
          </w:p>
        </w:tc>
      </w:tr>
    </w:tbl>
    <w:p w14:paraId="7C2C8B6E" w14:textId="77777777" w:rsidR="00901801" w:rsidRPr="00901801" w:rsidRDefault="00901801" w:rsidP="00901801">
      <w:pPr>
        <w:jc w:val="both"/>
        <w:rPr>
          <w:rFonts w:ascii="Arial" w:hAnsi="Arial" w:cs="Arial"/>
          <w:sz w:val="20"/>
          <w:szCs w:val="20"/>
        </w:rPr>
      </w:pPr>
    </w:p>
    <w:p w14:paraId="53EDF5D8" w14:textId="77777777" w:rsidR="00901801" w:rsidRDefault="0021516A" w:rsidP="00A34FE2">
      <w:pPr>
        <w:ind w:firstLine="720"/>
        <w:jc w:val="both"/>
        <w:rPr>
          <w:rFonts w:ascii="Arial" w:hAnsi="Arial" w:cs="Arial"/>
          <w:sz w:val="20"/>
          <w:szCs w:val="20"/>
        </w:rPr>
      </w:pPr>
      <w:r w:rsidRPr="00901801">
        <w:rPr>
          <w:rFonts w:ascii="Arial" w:hAnsi="Arial" w:cs="Arial"/>
          <w:sz w:val="20"/>
          <w:szCs w:val="20"/>
        </w:rPr>
        <w:t>As shown in Table 5, the regression coefficient for Transformed GWA (B = 15.284, p &lt;.000) suggests that for every one-unit increase in GWA, the LET score is expected to increase by 15.284 points. Since GWA was transformed such that higher values indicate b</w:t>
      </w:r>
      <w:r w:rsidRPr="00901801">
        <w:rPr>
          <w:rFonts w:ascii="Arial" w:hAnsi="Arial" w:cs="Arial"/>
          <w:sz w:val="20"/>
          <w:szCs w:val="20"/>
        </w:rPr>
        <w:t>etter academic performance (5.00 as the highest instead of 1.00), this means that students with higher GWA scores are more likely to achieve higher LET scores. This positive relationship aligns with previous findings that academic achievement is a key fact</w:t>
      </w:r>
      <w:r w:rsidRPr="00901801">
        <w:rPr>
          <w:rFonts w:ascii="Arial" w:hAnsi="Arial" w:cs="Arial"/>
          <w:sz w:val="20"/>
          <w:szCs w:val="20"/>
        </w:rPr>
        <w:t xml:space="preserve">or in licensure exam success (Ucol, 2024; Cahapay, 2020; Solis-Foronda, 2017). </w:t>
      </w:r>
    </w:p>
    <w:p w14:paraId="6AFD351C" w14:textId="77777777" w:rsidR="00A52E75" w:rsidRPr="00A52E75" w:rsidRDefault="0021516A" w:rsidP="00A52E75">
      <w:pPr>
        <w:jc w:val="both"/>
        <w:rPr>
          <w:rFonts w:ascii="Arial" w:hAnsi="Arial" w:cs="Arial"/>
          <w:b/>
          <w:sz w:val="20"/>
          <w:szCs w:val="20"/>
        </w:rPr>
      </w:pPr>
      <w:r w:rsidRPr="00A52E75">
        <w:rPr>
          <w:rFonts w:ascii="Arial" w:hAnsi="Arial" w:cs="Arial"/>
          <w:b/>
          <w:sz w:val="20"/>
          <w:szCs w:val="20"/>
          <w:lang w:val="en-US"/>
        </w:rPr>
        <w:t>Table 5. Regression coefficients for GWA as a predictor of LET performance</w:t>
      </w:r>
    </w:p>
    <w:tbl>
      <w:tblPr>
        <w:tblStyle w:val="TableGrid0"/>
        <w:tblW w:w="719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828"/>
        <w:gridCol w:w="740"/>
        <w:gridCol w:w="917"/>
        <w:gridCol w:w="777"/>
        <w:gridCol w:w="801"/>
        <w:gridCol w:w="1697"/>
      </w:tblGrid>
      <w:tr w:rsidR="00012032" w14:paraId="7DC91B91" w14:textId="77777777" w:rsidTr="00A52E75">
        <w:trPr>
          <w:trHeight w:val="395"/>
          <w:jc w:val="center"/>
        </w:trPr>
        <w:tc>
          <w:tcPr>
            <w:tcW w:w="1457" w:type="dxa"/>
            <w:tcBorders>
              <w:top w:val="single" w:sz="4" w:space="0" w:color="auto"/>
              <w:bottom w:val="single" w:sz="4" w:space="0" w:color="auto"/>
            </w:tcBorders>
            <w:vAlign w:val="center"/>
          </w:tcPr>
          <w:p w14:paraId="0EEB649E"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sz w:val="20"/>
                <w:szCs w:val="20"/>
              </w:rPr>
              <w:t>Predictor</w:t>
            </w:r>
          </w:p>
        </w:tc>
        <w:tc>
          <w:tcPr>
            <w:tcW w:w="751" w:type="dxa"/>
            <w:tcBorders>
              <w:top w:val="single" w:sz="4" w:space="0" w:color="auto"/>
              <w:bottom w:val="single" w:sz="4" w:space="0" w:color="auto"/>
            </w:tcBorders>
            <w:vAlign w:val="center"/>
          </w:tcPr>
          <w:p w14:paraId="777FB52C"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sz w:val="20"/>
                <w:szCs w:val="20"/>
              </w:rPr>
              <w:t>B</w:t>
            </w:r>
          </w:p>
        </w:tc>
        <w:tc>
          <w:tcPr>
            <w:tcW w:w="741" w:type="dxa"/>
            <w:tcBorders>
              <w:top w:val="single" w:sz="4" w:space="0" w:color="auto"/>
              <w:bottom w:val="single" w:sz="4" w:space="0" w:color="auto"/>
            </w:tcBorders>
            <w:vAlign w:val="center"/>
          </w:tcPr>
          <w:p w14:paraId="79564687" w14:textId="77777777" w:rsidR="00901801" w:rsidRPr="00901801" w:rsidRDefault="0021516A" w:rsidP="00A52E75">
            <w:pPr>
              <w:autoSpaceDE w:val="0"/>
              <w:autoSpaceDN w:val="0"/>
              <w:adjustRightInd w:val="0"/>
              <w:rPr>
                <w:rFonts w:ascii="Arial" w:hAnsi="Arial" w:cs="Arial"/>
                <w:sz w:val="20"/>
                <w:szCs w:val="20"/>
                <w:vertAlign w:val="superscript"/>
              </w:rPr>
            </w:pPr>
            <w:r w:rsidRPr="00901801">
              <w:rPr>
                <w:rFonts w:ascii="Arial" w:hAnsi="Arial" w:cs="Arial"/>
                <w:sz w:val="20"/>
                <w:szCs w:val="20"/>
              </w:rPr>
              <w:t>SE</w:t>
            </w:r>
          </w:p>
        </w:tc>
        <w:tc>
          <w:tcPr>
            <w:tcW w:w="932" w:type="dxa"/>
            <w:tcBorders>
              <w:top w:val="single" w:sz="4" w:space="0" w:color="auto"/>
              <w:bottom w:val="single" w:sz="4" w:space="0" w:color="auto"/>
            </w:tcBorders>
            <w:vAlign w:val="center"/>
          </w:tcPr>
          <w:p w14:paraId="7DDC9875"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sz w:val="20"/>
                <w:szCs w:val="20"/>
              </w:rPr>
              <w:t>β</w:t>
            </w:r>
          </w:p>
        </w:tc>
        <w:tc>
          <w:tcPr>
            <w:tcW w:w="780" w:type="dxa"/>
            <w:tcBorders>
              <w:top w:val="single" w:sz="4" w:space="0" w:color="auto"/>
              <w:bottom w:val="single" w:sz="4" w:space="0" w:color="auto"/>
            </w:tcBorders>
            <w:vAlign w:val="center"/>
          </w:tcPr>
          <w:p w14:paraId="12D1C49B"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sz w:val="20"/>
                <w:szCs w:val="20"/>
              </w:rPr>
              <w:t>t</w:t>
            </w:r>
          </w:p>
        </w:tc>
        <w:tc>
          <w:tcPr>
            <w:tcW w:w="805" w:type="dxa"/>
            <w:tcBorders>
              <w:top w:val="single" w:sz="4" w:space="0" w:color="auto"/>
              <w:bottom w:val="single" w:sz="4" w:space="0" w:color="auto"/>
            </w:tcBorders>
          </w:tcPr>
          <w:p w14:paraId="14702AC7"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sz w:val="20"/>
                <w:szCs w:val="20"/>
              </w:rPr>
              <w:t>p-value</w:t>
            </w:r>
          </w:p>
        </w:tc>
        <w:tc>
          <w:tcPr>
            <w:tcW w:w="1732" w:type="dxa"/>
            <w:tcBorders>
              <w:top w:val="single" w:sz="4" w:space="0" w:color="auto"/>
              <w:bottom w:val="single" w:sz="4" w:space="0" w:color="auto"/>
            </w:tcBorders>
          </w:tcPr>
          <w:p w14:paraId="2E25DE2C"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sz w:val="20"/>
                <w:szCs w:val="20"/>
              </w:rPr>
              <w:t>95% CI (Lower, Upper)</w:t>
            </w:r>
          </w:p>
        </w:tc>
      </w:tr>
      <w:tr w:rsidR="00012032" w14:paraId="5A5E58C0" w14:textId="77777777" w:rsidTr="00A52E75">
        <w:trPr>
          <w:trHeight w:val="190"/>
          <w:jc w:val="center"/>
        </w:trPr>
        <w:tc>
          <w:tcPr>
            <w:tcW w:w="1457" w:type="dxa"/>
            <w:tcBorders>
              <w:top w:val="single" w:sz="4" w:space="0" w:color="auto"/>
            </w:tcBorders>
            <w:vAlign w:val="center"/>
          </w:tcPr>
          <w:p w14:paraId="273384DC"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sz w:val="20"/>
                <w:szCs w:val="20"/>
              </w:rPr>
              <w:t>Constant</w:t>
            </w:r>
          </w:p>
        </w:tc>
        <w:tc>
          <w:tcPr>
            <w:tcW w:w="751" w:type="dxa"/>
            <w:tcBorders>
              <w:top w:val="single" w:sz="4" w:space="0" w:color="auto"/>
            </w:tcBorders>
            <w:vAlign w:val="center"/>
          </w:tcPr>
          <w:p w14:paraId="7E7CB712"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color w:val="000000"/>
                <w:sz w:val="20"/>
                <w:szCs w:val="20"/>
              </w:rPr>
              <w:t>38.735</w:t>
            </w:r>
          </w:p>
        </w:tc>
        <w:tc>
          <w:tcPr>
            <w:tcW w:w="741" w:type="dxa"/>
            <w:tcBorders>
              <w:top w:val="single" w:sz="4" w:space="0" w:color="auto"/>
            </w:tcBorders>
            <w:vAlign w:val="center"/>
          </w:tcPr>
          <w:p w14:paraId="118834DD"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color w:val="000000"/>
                <w:sz w:val="20"/>
                <w:szCs w:val="20"/>
              </w:rPr>
              <w:t>6.653</w:t>
            </w:r>
          </w:p>
        </w:tc>
        <w:tc>
          <w:tcPr>
            <w:tcW w:w="932" w:type="dxa"/>
            <w:tcBorders>
              <w:top w:val="single" w:sz="4" w:space="0" w:color="auto"/>
            </w:tcBorders>
            <w:vAlign w:val="center"/>
          </w:tcPr>
          <w:p w14:paraId="3160B78F" w14:textId="77777777" w:rsidR="00901801" w:rsidRPr="00901801" w:rsidRDefault="00901801" w:rsidP="00A52E75">
            <w:pPr>
              <w:autoSpaceDE w:val="0"/>
              <w:autoSpaceDN w:val="0"/>
              <w:adjustRightInd w:val="0"/>
              <w:rPr>
                <w:rFonts w:ascii="Arial" w:hAnsi="Arial" w:cs="Arial"/>
                <w:sz w:val="20"/>
                <w:szCs w:val="20"/>
              </w:rPr>
            </w:pPr>
          </w:p>
        </w:tc>
        <w:tc>
          <w:tcPr>
            <w:tcW w:w="780" w:type="dxa"/>
            <w:tcBorders>
              <w:top w:val="single" w:sz="4" w:space="0" w:color="auto"/>
            </w:tcBorders>
            <w:vAlign w:val="center"/>
          </w:tcPr>
          <w:p w14:paraId="666EC868"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color w:val="000000"/>
                <w:sz w:val="20"/>
                <w:szCs w:val="20"/>
              </w:rPr>
              <w:t>5.822</w:t>
            </w:r>
          </w:p>
        </w:tc>
        <w:tc>
          <w:tcPr>
            <w:tcW w:w="805" w:type="dxa"/>
            <w:tcBorders>
              <w:top w:val="single" w:sz="4" w:space="0" w:color="auto"/>
            </w:tcBorders>
            <w:vAlign w:val="center"/>
          </w:tcPr>
          <w:p w14:paraId="430B275B"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sz w:val="20"/>
                <w:szCs w:val="20"/>
              </w:rPr>
              <w:t>&lt;.000</w:t>
            </w:r>
          </w:p>
        </w:tc>
        <w:tc>
          <w:tcPr>
            <w:tcW w:w="1732" w:type="dxa"/>
            <w:tcBorders>
              <w:top w:val="single" w:sz="4" w:space="0" w:color="auto"/>
            </w:tcBorders>
            <w:vAlign w:val="center"/>
          </w:tcPr>
          <w:p w14:paraId="1DF1A547"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color w:val="000000"/>
                <w:sz w:val="20"/>
                <w:szCs w:val="20"/>
              </w:rPr>
              <w:t>(25.385, 52.085)</w:t>
            </w:r>
          </w:p>
        </w:tc>
      </w:tr>
      <w:tr w:rsidR="00012032" w14:paraId="0A2A059F" w14:textId="77777777" w:rsidTr="00A52E75">
        <w:trPr>
          <w:trHeight w:val="204"/>
          <w:jc w:val="center"/>
        </w:trPr>
        <w:tc>
          <w:tcPr>
            <w:tcW w:w="1457" w:type="dxa"/>
            <w:vAlign w:val="center"/>
          </w:tcPr>
          <w:p w14:paraId="707FB449"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sz w:val="20"/>
                <w:szCs w:val="20"/>
              </w:rPr>
              <w:t>GWA</w:t>
            </w:r>
          </w:p>
        </w:tc>
        <w:tc>
          <w:tcPr>
            <w:tcW w:w="751" w:type="dxa"/>
            <w:vAlign w:val="center"/>
          </w:tcPr>
          <w:p w14:paraId="6E343BFE"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color w:val="000000"/>
                <w:sz w:val="20"/>
                <w:szCs w:val="20"/>
              </w:rPr>
              <w:t>15.284</w:t>
            </w:r>
          </w:p>
        </w:tc>
        <w:tc>
          <w:tcPr>
            <w:tcW w:w="741" w:type="dxa"/>
            <w:vAlign w:val="center"/>
          </w:tcPr>
          <w:p w14:paraId="64EE79A1"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color w:val="000000"/>
                <w:sz w:val="20"/>
                <w:szCs w:val="20"/>
              </w:rPr>
              <w:t>2.198</w:t>
            </w:r>
          </w:p>
        </w:tc>
        <w:tc>
          <w:tcPr>
            <w:tcW w:w="932" w:type="dxa"/>
            <w:vAlign w:val="center"/>
          </w:tcPr>
          <w:p w14:paraId="2BBD0728"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color w:val="000000"/>
                <w:sz w:val="20"/>
                <w:szCs w:val="20"/>
              </w:rPr>
              <w:t>.694</w:t>
            </w:r>
          </w:p>
        </w:tc>
        <w:tc>
          <w:tcPr>
            <w:tcW w:w="780" w:type="dxa"/>
            <w:vAlign w:val="center"/>
          </w:tcPr>
          <w:p w14:paraId="0DC85211"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color w:val="000000"/>
                <w:sz w:val="20"/>
                <w:szCs w:val="20"/>
              </w:rPr>
              <w:t>6.953</w:t>
            </w:r>
          </w:p>
        </w:tc>
        <w:tc>
          <w:tcPr>
            <w:tcW w:w="805" w:type="dxa"/>
            <w:vAlign w:val="center"/>
          </w:tcPr>
          <w:p w14:paraId="5901030E"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sz w:val="20"/>
                <w:szCs w:val="20"/>
              </w:rPr>
              <w:t>&lt;.000</w:t>
            </w:r>
          </w:p>
        </w:tc>
        <w:tc>
          <w:tcPr>
            <w:tcW w:w="1732" w:type="dxa"/>
            <w:vAlign w:val="center"/>
          </w:tcPr>
          <w:p w14:paraId="16DF28B9" w14:textId="77777777" w:rsidR="00901801" w:rsidRPr="00901801" w:rsidRDefault="0021516A" w:rsidP="00A52E75">
            <w:pPr>
              <w:autoSpaceDE w:val="0"/>
              <w:autoSpaceDN w:val="0"/>
              <w:adjustRightInd w:val="0"/>
              <w:rPr>
                <w:rFonts w:ascii="Arial" w:hAnsi="Arial" w:cs="Arial"/>
                <w:sz w:val="20"/>
                <w:szCs w:val="20"/>
              </w:rPr>
            </w:pPr>
            <w:r w:rsidRPr="00901801">
              <w:rPr>
                <w:rFonts w:ascii="Arial" w:hAnsi="Arial" w:cs="Arial"/>
                <w:color w:val="000000"/>
                <w:sz w:val="20"/>
                <w:szCs w:val="20"/>
              </w:rPr>
              <w:t>(10.873, 19.694)</w:t>
            </w:r>
          </w:p>
        </w:tc>
      </w:tr>
    </w:tbl>
    <w:p w14:paraId="09265206" w14:textId="77777777" w:rsidR="00901801" w:rsidRPr="00901801" w:rsidRDefault="00901801" w:rsidP="00901801">
      <w:pPr>
        <w:jc w:val="both"/>
        <w:rPr>
          <w:rFonts w:ascii="Arial" w:hAnsi="Arial" w:cs="Arial"/>
          <w:sz w:val="20"/>
          <w:szCs w:val="20"/>
        </w:rPr>
      </w:pPr>
    </w:p>
    <w:p w14:paraId="1E255892" w14:textId="77777777" w:rsidR="00901801" w:rsidRPr="00901801" w:rsidRDefault="0021516A" w:rsidP="0047587A">
      <w:pPr>
        <w:ind w:firstLine="720"/>
        <w:jc w:val="both"/>
        <w:rPr>
          <w:rFonts w:ascii="Arial" w:hAnsi="Arial" w:cs="Arial"/>
          <w:sz w:val="20"/>
          <w:szCs w:val="20"/>
        </w:rPr>
      </w:pPr>
      <w:r w:rsidRPr="00901801">
        <w:rPr>
          <w:rFonts w:ascii="Arial" w:hAnsi="Arial" w:cs="Arial"/>
          <w:sz w:val="20"/>
          <w:szCs w:val="20"/>
        </w:rPr>
        <w:t xml:space="preserve">The constant (B = 38.735, p &lt;.000) represents the predicted LET score when GWA is zero. However, since GWA values in this study do not approach zero, this value is not practically meaningful in </w:t>
      </w:r>
      <w:r w:rsidRPr="00901801">
        <w:rPr>
          <w:rFonts w:ascii="Arial" w:hAnsi="Arial" w:cs="Arial"/>
          <w:sz w:val="20"/>
          <w:szCs w:val="20"/>
        </w:rPr>
        <w:t>interpreting LET performance. Instead, the focus remains on the predictive strength of GWA.</w:t>
      </w:r>
    </w:p>
    <w:p w14:paraId="19C388D9" w14:textId="77777777" w:rsidR="00901801" w:rsidRPr="00901801" w:rsidRDefault="0021516A" w:rsidP="0047587A">
      <w:pPr>
        <w:ind w:firstLine="720"/>
        <w:jc w:val="both"/>
        <w:rPr>
          <w:rFonts w:ascii="Arial" w:hAnsi="Arial" w:cs="Arial"/>
          <w:sz w:val="20"/>
          <w:szCs w:val="20"/>
        </w:rPr>
      </w:pPr>
      <w:r w:rsidRPr="00901801">
        <w:rPr>
          <w:rFonts w:ascii="Arial" w:hAnsi="Arial" w:cs="Arial"/>
          <w:sz w:val="20"/>
          <w:szCs w:val="20"/>
        </w:rPr>
        <w:t>The strong predictive relationship between undergraduate academic performance and licensure examination performance is consistent with previous research. Studies ha</w:t>
      </w:r>
      <w:r w:rsidRPr="00901801">
        <w:rPr>
          <w:rFonts w:ascii="Arial" w:hAnsi="Arial" w:cs="Arial"/>
          <w:sz w:val="20"/>
          <w:szCs w:val="20"/>
        </w:rPr>
        <w:t>ve shown that students with high academic achievement tend to perform better on standardized assessments, including licensure examinations (Pangngay &amp; Merza, 2023; Tayaben et al., 2017). This finding aligns with those of Ferrer (2024), Lento &amp; Sayed (2014)</w:t>
      </w:r>
      <w:r w:rsidRPr="00901801">
        <w:rPr>
          <w:rFonts w:ascii="Arial" w:hAnsi="Arial" w:cs="Arial"/>
          <w:sz w:val="20"/>
          <w:szCs w:val="20"/>
        </w:rPr>
        <w:t xml:space="preserve">, and Salcedo et </w:t>
      </w:r>
      <w:r w:rsidRPr="00901801">
        <w:rPr>
          <w:rFonts w:ascii="Arial" w:hAnsi="Arial" w:cs="Arial"/>
          <w:sz w:val="20"/>
          <w:szCs w:val="20"/>
        </w:rPr>
        <w:lastRenderedPageBreak/>
        <w:t>al. (2021), who found that undergraduate GWA significantly predicts success in professional licensure exams, reinforcing the notion that foundational knowledge and academic consistency contribute to test performance.</w:t>
      </w:r>
    </w:p>
    <w:p w14:paraId="7D659BF5" w14:textId="77777777" w:rsidR="00901801" w:rsidRPr="00901801" w:rsidRDefault="0021516A" w:rsidP="0047587A">
      <w:pPr>
        <w:ind w:firstLine="720"/>
        <w:jc w:val="both"/>
        <w:rPr>
          <w:rFonts w:ascii="Arial" w:hAnsi="Arial" w:cs="Arial"/>
          <w:sz w:val="20"/>
          <w:szCs w:val="20"/>
        </w:rPr>
      </w:pPr>
      <w:r w:rsidRPr="00901801">
        <w:rPr>
          <w:rFonts w:ascii="Arial" w:hAnsi="Arial" w:cs="Arial"/>
          <w:sz w:val="20"/>
          <w:szCs w:val="20"/>
        </w:rPr>
        <w:t xml:space="preserve">Moreover, Camañero et </w:t>
      </w:r>
      <w:r w:rsidRPr="00901801">
        <w:rPr>
          <w:rFonts w:ascii="Arial" w:hAnsi="Arial" w:cs="Arial"/>
          <w:sz w:val="20"/>
          <w:szCs w:val="20"/>
        </w:rPr>
        <w:t>al. (2024) and Bose (2024) emphasized that academic performance is a crucial determinant of licensure exam success, as students with strong GPAs are more likely to have developed effective study habits, critical thinking skills, and knowledge retention, al</w:t>
      </w:r>
      <w:r w:rsidRPr="00901801">
        <w:rPr>
          <w:rFonts w:ascii="Arial" w:hAnsi="Arial" w:cs="Arial"/>
          <w:sz w:val="20"/>
          <w:szCs w:val="20"/>
        </w:rPr>
        <w:t>l of which contribute to LET outcomes better. The results of the present study support these findings as they indicate that undergraduate GPA alone can account for nearly half of the variance in LET performance.</w:t>
      </w:r>
    </w:p>
    <w:p w14:paraId="3E1D0FDF" w14:textId="77777777" w:rsidR="00901801" w:rsidRPr="00901801" w:rsidRDefault="0021516A" w:rsidP="0047587A">
      <w:pPr>
        <w:ind w:firstLine="720"/>
        <w:jc w:val="both"/>
        <w:rPr>
          <w:rFonts w:ascii="Arial" w:hAnsi="Arial" w:cs="Arial"/>
          <w:color w:val="FF0000"/>
          <w:sz w:val="20"/>
          <w:szCs w:val="20"/>
        </w:rPr>
      </w:pPr>
      <w:r w:rsidRPr="00901801">
        <w:rPr>
          <w:rFonts w:ascii="Arial" w:hAnsi="Arial" w:cs="Arial"/>
          <w:sz w:val="20"/>
          <w:szCs w:val="20"/>
        </w:rPr>
        <w:t>However, while the model explains 48.2% of t</w:t>
      </w:r>
      <w:r w:rsidRPr="00901801">
        <w:rPr>
          <w:rFonts w:ascii="Arial" w:hAnsi="Arial" w:cs="Arial"/>
          <w:sz w:val="20"/>
          <w:szCs w:val="20"/>
        </w:rPr>
        <w:t xml:space="preserve">he variance in LET scores, this also implies that 51.8% of the variability remains unexplained, indicating that other factors contribute to LET performance. Abdulmajid (2024), Balanquit et al. (2023), and Callena et al. (2019) suggest that LET results may </w:t>
      </w:r>
      <w:r w:rsidRPr="00901801">
        <w:rPr>
          <w:rFonts w:ascii="Arial" w:hAnsi="Arial" w:cs="Arial"/>
          <w:sz w:val="20"/>
          <w:szCs w:val="20"/>
        </w:rPr>
        <w:t>be influenced by a range of factors, including student-related aspects (such as mental ability, self-efficacy, motivation, socioeconomic background, and study habits), school and teacher-related elements (including faculty qualifications, curriculum design</w:t>
      </w:r>
      <w:r w:rsidRPr="00901801">
        <w:rPr>
          <w:rFonts w:ascii="Arial" w:hAnsi="Arial" w:cs="Arial"/>
          <w:sz w:val="20"/>
          <w:szCs w:val="20"/>
        </w:rPr>
        <w:t>, instructional practices, and support services), home-related circumstances (like family responsibilities and financial constraints), and participation in LET review programs. This is supported by Colicol et al. (2022) and Valle and Brobo (2022), who foun</w:t>
      </w:r>
      <w:r w:rsidRPr="00901801">
        <w:rPr>
          <w:rFonts w:ascii="Arial" w:hAnsi="Arial" w:cs="Arial"/>
          <w:sz w:val="20"/>
          <w:szCs w:val="20"/>
        </w:rPr>
        <w:t>d that students enrolled in structured LET review programs performed better than those who relied solely on their undergraduate coursework</w:t>
      </w:r>
      <w:r w:rsidRPr="00901801">
        <w:rPr>
          <w:rFonts w:ascii="Arial" w:hAnsi="Arial" w:cs="Arial"/>
          <w:color w:val="FF0000"/>
          <w:sz w:val="20"/>
          <w:szCs w:val="20"/>
        </w:rPr>
        <w:t xml:space="preserve">. </w:t>
      </w:r>
      <w:r w:rsidRPr="00901801">
        <w:rPr>
          <w:rFonts w:ascii="Arial" w:hAnsi="Arial" w:cs="Arial"/>
          <w:sz w:val="20"/>
          <w:szCs w:val="20"/>
        </w:rPr>
        <w:t>Future research may explore these additional predictors to develop a more comprehensive understanding of LET success</w:t>
      </w:r>
      <w:r w:rsidRPr="00901801">
        <w:rPr>
          <w:rFonts w:ascii="Arial" w:hAnsi="Arial" w:cs="Arial"/>
          <w:sz w:val="20"/>
          <w:szCs w:val="20"/>
        </w:rPr>
        <w:t>.</w:t>
      </w:r>
    </w:p>
    <w:p w14:paraId="7BF6C03D" w14:textId="77777777" w:rsidR="00094C09" w:rsidRPr="002F53C4" w:rsidRDefault="00094C09" w:rsidP="00094C09">
      <w:pPr>
        <w:spacing w:after="0" w:line="240" w:lineRule="auto"/>
        <w:jc w:val="both"/>
        <w:rPr>
          <w:rFonts w:ascii="Arial" w:hAnsi="Arial" w:cs="Arial"/>
          <w:sz w:val="20"/>
          <w:szCs w:val="20"/>
        </w:rPr>
      </w:pPr>
    </w:p>
    <w:p w14:paraId="4439E962" w14:textId="77777777" w:rsidR="00094C09" w:rsidRPr="001E27A1" w:rsidRDefault="0021516A" w:rsidP="00094C09">
      <w:pPr>
        <w:spacing w:after="0" w:line="240" w:lineRule="auto"/>
        <w:jc w:val="both"/>
        <w:rPr>
          <w:rFonts w:ascii="Arial" w:hAnsi="Arial" w:cs="Arial"/>
        </w:rPr>
      </w:pPr>
      <w:r w:rsidRPr="001E27A1">
        <w:rPr>
          <w:rFonts w:ascii="Arial" w:eastAsia="Arial" w:hAnsi="Arial" w:cs="Arial"/>
          <w:b/>
          <w:smallCaps/>
          <w:color w:val="000000"/>
        </w:rPr>
        <w:t>5. CONCLUSIONS AND RECOMMENDATIONS</w:t>
      </w:r>
    </w:p>
    <w:p w14:paraId="7CBB2CF0" w14:textId="77777777" w:rsidR="007C2C1D" w:rsidRPr="002F53C4" w:rsidRDefault="007C2C1D" w:rsidP="00AE22F5">
      <w:pPr>
        <w:shd w:val="clear" w:color="auto" w:fill="FFFFFF" w:themeFill="background1"/>
        <w:spacing w:after="0" w:line="240" w:lineRule="auto"/>
        <w:rPr>
          <w:b/>
          <w:sz w:val="20"/>
          <w:szCs w:val="20"/>
        </w:rPr>
      </w:pPr>
    </w:p>
    <w:p w14:paraId="415067F3" w14:textId="25E7A849" w:rsidR="0016456A" w:rsidRPr="0016456A" w:rsidRDefault="0021516A" w:rsidP="0016456A">
      <w:pPr>
        <w:shd w:val="clear" w:color="auto" w:fill="FFFFFF" w:themeFill="background1"/>
        <w:spacing w:line="240" w:lineRule="auto"/>
        <w:jc w:val="both"/>
        <w:rPr>
          <w:rFonts w:ascii="Arial" w:hAnsi="Arial" w:cs="Arial"/>
          <w:sz w:val="20"/>
          <w:szCs w:val="20"/>
        </w:rPr>
      </w:pPr>
      <w:r w:rsidRPr="002F53C4">
        <w:rPr>
          <w:rFonts w:ascii="Arial" w:hAnsi="Arial" w:cs="Arial"/>
          <w:sz w:val="20"/>
          <w:szCs w:val="20"/>
        </w:rPr>
        <w:t xml:space="preserve">           </w:t>
      </w:r>
      <w:r w:rsidRPr="0016456A">
        <w:rPr>
          <w:rFonts w:ascii="Arial" w:hAnsi="Arial" w:cs="Arial"/>
          <w:sz w:val="20"/>
          <w:szCs w:val="20"/>
        </w:rPr>
        <w:t>The results of this study confirm that undergraduate academic performance, as measured by General Weighted Average (GWA), is significantly related to success in the Licensure Examination for Teachers (LET).</w:t>
      </w:r>
      <w:r w:rsidRPr="0016456A">
        <w:rPr>
          <w:rFonts w:ascii="Arial" w:hAnsi="Arial" w:cs="Arial"/>
          <w:sz w:val="20"/>
          <w:szCs w:val="20"/>
        </w:rPr>
        <w:t xml:space="preserve"> A strong positive correlation was established between GWA and LET scores, indicating that students who performed well academically were more likely to achieve higher licensure outcomes. The significant predictive value of GWA supports its relevance as a f</w:t>
      </w:r>
      <w:r w:rsidRPr="0016456A">
        <w:rPr>
          <w:rFonts w:ascii="Arial" w:hAnsi="Arial" w:cs="Arial"/>
          <w:sz w:val="20"/>
          <w:szCs w:val="20"/>
        </w:rPr>
        <w:t>actor in LET success, highlighting the critical role of academic consistency in pre-service teacher preparation. However, since academic performance alone does not fully account for LET results, it is recognized that other factors</w:t>
      </w:r>
      <w:r>
        <w:rPr>
          <w:rFonts w:ascii="Arial" w:hAnsi="Arial" w:cs="Arial"/>
          <w:sz w:val="20"/>
          <w:szCs w:val="20"/>
        </w:rPr>
        <w:t xml:space="preserve"> </w:t>
      </w:r>
      <w:r w:rsidRPr="0016456A">
        <w:rPr>
          <w:rFonts w:ascii="Arial" w:hAnsi="Arial" w:cs="Arial"/>
          <w:sz w:val="20"/>
          <w:szCs w:val="20"/>
        </w:rPr>
        <w:t>may also contribute</w:t>
      </w:r>
      <w:r>
        <w:rPr>
          <w:rFonts w:ascii="Arial" w:hAnsi="Arial" w:cs="Arial"/>
          <w:sz w:val="20"/>
          <w:szCs w:val="20"/>
        </w:rPr>
        <w:t xml:space="preserve">, </w:t>
      </w:r>
      <w:r w:rsidRPr="0016456A">
        <w:rPr>
          <w:rFonts w:ascii="Arial" w:hAnsi="Arial" w:cs="Arial"/>
          <w:sz w:val="20"/>
          <w:szCs w:val="20"/>
        </w:rPr>
        <w:t>such</w:t>
      </w:r>
      <w:r w:rsidRPr="0016456A">
        <w:rPr>
          <w:rFonts w:ascii="Arial" w:hAnsi="Arial" w:cs="Arial"/>
          <w:sz w:val="20"/>
          <w:szCs w:val="20"/>
        </w:rPr>
        <w:t xml:space="preserve"> as motivation, study habits, and test preparedness</w:t>
      </w:r>
      <w:r>
        <w:rPr>
          <w:rFonts w:ascii="Arial" w:hAnsi="Arial" w:cs="Arial"/>
          <w:sz w:val="20"/>
          <w:szCs w:val="20"/>
        </w:rPr>
        <w:t>.</w:t>
      </w:r>
    </w:p>
    <w:p w14:paraId="4A643837" w14:textId="5A24A2F4" w:rsidR="0016456A" w:rsidRPr="0016456A" w:rsidRDefault="0021516A" w:rsidP="0016456A">
      <w:pPr>
        <w:shd w:val="clear" w:color="auto" w:fill="FFFFFF" w:themeFill="background1"/>
        <w:spacing w:line="240" w:lineRule="auto"/>
        <w:ind w:firstLine="720"/>
        <w:jc w:val="both"/>
        <w:rPr>
          <w:rFonts w:ascii="Arial" w:hAnsi="Arial" w:cs="Arial"/>
          <w:sz w:val="20"/>
          <w:szCs w:val="20"/>
        </w:rPr>
      </w:pPr>
      <w:r w:rsidRPr="0016456A">
        <w:rPr>
          <w:rFonts w:ascii="Arial" w:hAnsi="Arial" w:cs="Arial"/>
          <w:sz w:val="20"/>
          <w:szCs w:val="20"/>
        </w:rPr>
        <w:t>Given these findings, teacher education institutions, particularly those offering Bachelor of Elementary Education (BEED) programs,</w:t>
      </w:r>
      <w:r w:rsidR="00C8203B">
        <w:rPr>
          <w:rFonts w:ascii="Arial" w:hAnsi="Arial" w:cs="Arial"/>
          <w:sz w:val="20"/>
          <w:szCs w:val="20"/>
        </w:rPr>
        <w:t xml:space="preserve"> can</w:t>
      </w:r>
      <w:r w:rsidRPr="0016456A">
        <w:rPr>
          <w:rFonts w:ascii="Arial" w:hAnsi="Arial" w:cs="Arial"/>
          <w:sz w:val="20"/>
          <w:szCs w:val="20"/>
        </w:rPr>
        <w:t xml:space="preserve"> consider enhancing both academic and licensure preparation strategi</w:t>
      </w:r>
      <w:r w:rsidRPr="0016456A">
        <w:rPr>
          <w:rFonts w:ascii="Arial" w:hAnsi="Arial" w:cs="Arial"/>
          <w:sz w:val="20"/>
          <w:szCs w:val="20"/>
        </w:rPr>
        <w:t xml:space="preserve">es. Strengthening LET review initiatives, refining course assessment methods to align with licensure competencies, and integrating structured academic interventions for at-risk students may help improve licensure outcomes. The BEED program, in particular, </w:t>
      </w:r>
      <w:r w:rsidRPr="0016456A">
        <w:rPr>
          <w:rFonts w:ascii="Arial" w:hAnsi="Arial" w:cs="Arial"/>
          <w:sz w:val="20"/>
          <w:szCs w:val="20"/>
        </w:rPr>
        <w:t>may benefit from utilizing GWA-based predictive insights to inform academic advising, curriculum adjustments, and individualized student support.</w:t>
      </w:r>
    </w:p>
    <w:p w14:paraId="01CD8075" w14:textId="77777777" w:rsidR="0016456A" w:rsidRPr="0016456A" w:rsidRDefault="0016456A" w:rsidP="0016456A">
      <w:pPr>
        <w:shd w:val="clear" w:color="auto" w:fill="FFFFFF" w:themeFill="background1"/>
        <w:spacing w:line="240" w:lineRule="auto"/>
        <w:jc w:val="both"/>
        <w:rPr>
          <w:rFonts w:ascii="Arial" w:hAnsi="Arial" w:cs="Arial"/>
          <w:sz w:val="20"/>
          <w:szCs w:val="20"/>
        </w:rPr>
      </w:pPr>
    </w:p>
    <w:p w14:paraId="43C5C040" w14:textId="77777777" w:rsidR="0016456A" w:rsidRPr="0016456A" w:rsidRDefault="0021516A" w:rsidP="00C8203B">
      <w:pPr>
        <w:shd w:val="clear" w:color="auto" w:fill="FFFFFF" w:themeFill="background1"/>
        <w:spacing w:line="240" w:lineRule="auto"/>
        <w:ind w:firstLine="720"/>
        <w:jc w:val="both"/>
        <w:rPr>
          <w:rFonts w:ascii="Arial" w:hAnsi="Arial" w:cs="Arial"/>
          <w:sz w:val="20"/>
          <w:szCs w:val="20"/>
        </w:rPr>
      </w:pPr>
      <w:r w:rsidRPr="0016456A">
        <w:rPr>
          <w:rFonts w:ascii="Arial" w:hAnsi="Arial" w:cs="Arial"/>
          <w:sz w:val="20"/>
          <w:szCs w:val="20"/>
        </w:rPr>
        <w:t>At the policy level, institutions may consider revisiting retention and progression criteria, leveraging acad</w:t>
      </w:r>
      <w:r w:rsidRPr="0016456A">
        <w:rPr>
          <w:rFonts w:ascii="Arial" w:hAnsi="Arial" w:cs="Arial"/>
          <w:sz w:val="20"/>
          <w:szCs w:val="20"/>
        </w:rPr>
        <w:t>emic performance data to identify students needing early interventions. These strategies can support data-driven decision-making aimed at improving the quality of teacher preparation and ensuring graduates' readiness for professional licensure.</w:t>
      </w:r>
    </w:p>
    <w:p w14:paraId="3B70B05B" w14:textId="675F858F" w:rsidR="00684817" w:rsidRPr="002F53C4" w:rsidRDefault="0021516A" w:rsidP="00C27C3C">
      <w:pPr>
        <w:shd w:val="clear" w:color="auto" w:fill="FFFFFF" w:themeFill="background1"/>
        <w:spacing w:line="240" w:lineRule="auto"/>
        <w:ind w:firstLine="720"/>
        <w:jc w:val="both"/>
        <w:rPr>
          <w:rFonts w:ascii="Arial" w:eastAsia="Arial" w:hAnsi="Arial" w:cs="Arial"/>
          <w:b/>
          <w:color w:val="000000"/>
          <w:sz w:val="20"/>
          <w:szCs w:val="20"/>
          <w:highlight w:val="white"/>
          <w:lang w:val="en-US" w:eastAsia="en-PH"/>
        </w:rPr>
      </w:pPr>
      <w:r w:rsidRPr="0016456A">
        <w:rPr>
          <w:rFonts w:ascii="Arial" w:hAnsi="Arial" w:cs="Arial"/>
          <w:sz w:val="20"/>
          <w:szCs w:val="20"/>
        </w:rPr>
        <w:lastRenderedPageBreak/>
        <w:t xml:space="preserve">While this </w:t>
      </w:r>
      <w:r w:rsidRPr="0016456A">
        <w:rPr>
          <w:rFonts w:ascii="Arial" w:hAnsi="Arial" w:cs="Arial"/>
          <w:sz w:val="20"/>
          <w:szCs w:val="20"/>
        </w:rPr>
        <w:t>study establishes the importance of GWA in LET performance, future research is recommended to analyze trends across larger samples and multiple cohorts to validate the findings further. Moreover, exploring additional predictive factors</w:t>
      </w:r>
      <w:r w:rsidR="00C27C3C">
        <w:rPr>
          <w:rFonts w:ascii="Arial" w:hAnsi="Arial" w:cs="Arial"/>
          <w:sz w:val="20"/>
          <w:szCs w:val="20"/>
        </w:rPr>
        <w:t xml:space="preserve"> </w:t>
      </w:r>
      <w:r w:rsidR="00C27C3C" w:rsidRPr="0016456A">
        <w:rPr>
          <w:rFonts w:ascii="Arial" w:hAnsi="Arial" w:cs="Arial"/>
          <w:sz w:val="20"/>
          <w:szCs w:val="20"/>
        </w:rPr>
        <w:t>could provide a more comprehensive framework for understanding licensure success</w:t>
      </w:r>
      <w:r w:rsidR="00C27C3C">
        <w:rPr>
          <w:rFonts w:ascii="Arial" w:hAnsi="Arial" w:cs="Arial"/>
          <w:sz w:val="20"/>
          <w:szCs w:val="20"/>
        </w:rPr>
        <w:t xml:space="preserve">, </w:t>
      </w:r>
      <w:r w:rsidRPr="0016456A">
        <w:rPr>
          <w:rFonts w:ascii="Arial" w:hAnsi="Arial" w:cs="Arial"/>
          <w:sz w:val="20"/>
          <w:szCs w:val="20"/>
        </w:rPr>
        <w:t>such as test anxiety, self-regulation, and external review program participatio</w:t>
      </w:r>
      <w:r w:rsidR="00C27C3C">
        <w:rPr>
          <w:rFonts w:ascii="Arial" w:hAnsi="Arial" w:cs="Arial"/>
          <w:sz w:val="20"/>
          <w:szCs w:val="20"/>
        </w:rPr>
        <w:t>n</w:t>
      </w:r>
      <w:r w:rsidRPr="0016456A">
        <w:rPr>
          <w:rFonts w:ascii="Arial" w:hAnsi="Arial" w:cs="Arial"/>
          <w:sz w:val="20"/>
          <w:szCs w:val="20"/>
        </w:rPr>
        <w:t>. These avenues can guide the continuous improvement of teacher education programs and the overall professional pr</w:t>
      </w:r>
      <w:r w:rsidRPr="0016456A">
        <w:rPr>
          <w:rFonts w:ascii="Arial" w:hAnsi="Arial" w:cs="Arial"/>
          <w:sz w:val="20"/>
          <w:szCs w:val="20"/>
        </w:rPr>
        <w:t>eparedness of graduates.</w:t>
      </w:r>
    </w:p>
    <w:p w14:paraId="739FF9C9" w14:textId="77777777" w:rsidR="00A37547" w:rsidRPr="00A37547" w:rsidRDefault="00A37547" w:rsidP="00A37547">
      <w:pPr>
        <w:shd w:val="clear" w:color="auto" w:fill="FFFFFF" w:themeFill="background1"/>
        <w:autoSpaceDE w:val="0"/>
        <w:spacing w:after="0"/>
        <w:jc w:val="both"/>
        <w:rPr>
          <w:rFonts w:ascii="Arial" w:eastAsia="Calibri" w:hAnsi="Arial"/>
          <w:kern w:val="2"/>
          <w:sz w:val="20"/>
          <w:szCs w:val="20"/>
        </w:rPr>
      </w:pPr>
    </w:p>
    <w:p w14:paraId="6E0746DD" w14:textId="77777777" w:rsidR="00FD5FFE" w:rsidRPr="00FD5FFE" w:rsidRDefault="00FD5FFE" w:rsidP="00FD5FFE">
      <w:pPr>
        <w:shd w:val="clear" w:color="auto" w:fill="FFFFFF" w:themeFill="background1"/>
        <w:autoSpaceDE w:val="0"/>
        <w:spacing w:after="0"/>
        <w:jc w:val="both"/>
        <w:rPr>
          <w:rFonts w:ascii="Arial" w:eastAsia="Calibri" w:hAnsi="Arial"/>
          <w:b/>
          <w:kern w:val="2"/>
        </w:rPr>
      </w:pPr>
      <w:r w:rsidRPr="00FD5FFE">
        <w:rPr>
          <w:rFonts w:ascii="Arial" w:eastAsia="Calibri" w:hAnsi="Arial"/>
          <w:b/>
          <w:kern w:val="2"/>
        </w:rPr>
        <w:t>Ethical Approval:</w:t>
      </w:r>
    </w:p>
    <w:p w14:paraId="28366EBE" w14:textId="77777777" w:rsidR="00FD5FFE" w:rsidRPr="00FD5FFE" w:rsidRDefault="00FD5FFE" w:rsidP="00FD5FFE">
      <w:pPr>
        <w:shd w:val="clear" w:color="auto" w:fill="FFFFFF" w:themeFill="background1"/>
        <w:autoSpaceDE w:val="0"/>
        <w:spacing w:after="0"/>
        <w:jc w:val="both"/>
        <w:rPr>
          <w:rFonts w:ascii="Arial" w:eastAsia="Calibri" w:hAnsi="Arial"/>
          <w:b/>
          <w:kern w:val="2"/>
        </w:rPr>
      </w:pPr>
    </w:p>
    <w:p w14:paraId="5611DB68" w14:textId="4B433C93" w:rsidR="00FD5FFE" w:rsidRPr="00FD5FFE" w:rsidRDefault="00FD5FFE" w:rsidP="00FD5FFE">
      <w:pPr>
        <w:shd w:val="clear" w:color="auto" w:fill="FFFFFF" w:themeFill="background1"/>
        <w:autoSpaceDE w:val="0"/>
        <w:spacing w:after="0"/>
        <w:jc w:val="both"/>
        <w:rPr>
          <w:rFonts w:ascii="Arial" w:eastAsia="Calibri" w:hAnsi="Arial"/>
          <w:kern w:val="2"/>
        </w:rPr>
      </w:pPr>
      <w:r w:rsidRPr="00FD5FFE">
        <w:rPr>
          <w:rFonts w:ascii="Arial" w:eastAsia="Calibri" w:hAnsi="Arial"/>
          <w:kern w:val="2"/>
        </w:rPr>
        <w:t>As per international standards or university standards written ethical approval has been collected and preserved by the author(s).</w:t>
      </w:r>
    </w:p>
    <w:p w14:paraId="57C047BD" w14:textId="77777777" w:rsidR="00FD5FFE" w:rsidRDefault="00FD5FFE" w:rsidP="00A37547">
      <w:pPr>
        <w:shd w:val="clear" w:color="auto" w:fill="FFFFFF" w:themeFill="background1"/>
        <w:autoSpaceDE w:val="0"/>
        <w:spacing w:after="0"/>
        <w:jc w:val="both"/>
        <w:rPr>
          <w:rFonts w:ascii="Arial" w:eastAsia="Calibri" w:hAnsi="Arial"/>
          <w:b/>
          <w:kern w:val="2"/>
        </w:rPr>
      </w:pPr>
    </w:p>
    <w:p w14:paraId="5B3E7D4B" w14:textId="061B134E" w:rsidR="00A37547" w:rsidRDefault="0021516A" w:rsidP="00A37547">
      <w:pPr>
        <w:shd w:val="clear" w:color="auto" w:fill="FFFFFF" w:themeFill="background1"/>
        <w:autoSpaceDE w:val="0"/>
        <w:spacing w:after="0"/>
        <w:jc w:val="both"/>
        <w:rPr>
          <w:rFonts w:ascii="Arial" w:eastAsia="Calibri" w:hAnsi="Arial"/>
          <w:b/>
          <w:kern w:val="2"/>
        </w:rPr>
      </w:pPr>
      <w:r w:rsidRPr="005C0D25">
        <w:rPr>
          <w:rFonts w:ascii="Arial" w:eastAsia="Calibri" w:hAnsi="Arial"/>
          <w:b/>
          <w:kern w:val="2"/>
        </w:rPr>
        <w:t>DISCLAIMER (Use of Artificial Intelligence)</w:t>
      </w:r>
    </w:p>
    <w:p w14:paraId="07598808" w14:textId="77777777" w:rsidR="005E5256" w:rsidRPr="005C0D25" w:rsidRDefault="005E5256" w:rsidP="00A37547">
      <w:pPr>
        <w:shd w:val="clear" w:color="auto" w:fill="FFFFFF" w:themeFill="background1"/>
        <w:autoSpaceDE w:val="0"/>
        <w:spacing w:after="0"/>
        <w:jc w:val="both"/>
        <w:rPr>
          <w:rFonts w:ascii="Arial" w:eastAsia="Calibri" w:hAnsi="Arial"/>
          <w:b/>
          <w:kern w:val="2"/>
        </w:rPr>
      </w:pPr>
    </w:p>
    <w:p w14:paraId="10C44FF5" w14:textId="77777777" w:rsidR="00A37547" w:rsidRPr="00A37547" w:rsidRDefault="0021516A"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r w:rsidR="005C0D25">
        <w:rPr>
          <w:rFonts w:ascii="Arial" w:eastAsia="Calibri" w:hAnsi="Arial"/>
          <w:kern w:val="2"/>
          <w:sz w:val="20"/>
          <w:szCs w:val="20"/>
        </w:rPr>
        <w:tab/>
      </w:r>
      <w:r w:rsidRPr="00A37547">
        <w:rPr>
          <w:rFonts w:ascii="Arial" w:eastAsia="Calibri" w:hAnsi="Arial"/>
          <w:kern w:val="2"/>
          <w:sz w:val="20"/>
          <w:szCs w:val="20"/>
        </w:rPr>
        <w:t>The author</w:t>
      </w:r>
      <w:r w:rsidR="001E27A1">
        <w:rPr>
          <w:rFonts w:ascii="Arial" w:eastAsia="Calibri" w:hAnsi="Arial"/>
          <w:kern w:val="2"/>
          <w:sz w:val="20"/>
          <w:szCs w:val="20"/>
        </w:rPr>
        <w:t xml:space="preserve"> </w:t>
      </w:r>
      <w:r w:rsidRPr="00A37547">
        <w:rPr>
          <w:rFonts w:ascii="Arial" w:eastAsia="Calibri" w:hAnsi="Arial"/>
          <w:kern w:val="2"/>
          <w:sz w:val="20"/>
          <w:szCs w:val="20"/>
        </w:rPr>
        <w:t>hereby declare</w:t>
      </w:r>
      <w:r w:rsidR="001E27A1">
        <w:rPr>
          <w:rFonts w:ascii="Arial" w:eastAsia="Calibri" w:hAnsi="Arial"/>
          <w:kern w:val="2"/>
          <w:sz w:val="20"/>
          <w:szCs w:val="20"/>
        </w:rPr>
        <w:t>s</w:t>
      </w:r>
      <w:r w:rsidRPr="00A37547">
        <w:rPr>
          <w:rFonts w:ascii="Arial" w:eastAsia="Calibri" w:hAnsi="Arial"/>
          <w:kern w:val="2"/>
          <w:sz w:val="20"/>
          <w:szCs w:val="20"/>
        </w:rPr>
        <w:t xml:space="preserve"> that generative AI technologies, specifically Large Language Models, were used during the writing and editing of this manuscript. Details of the AI usage are as follows:</w:t>
      </w:r>
    </w:p>
    <w:p w14:paraId="563C348E" w14:textId="77777777" w:rsidR="00A37547" w:rsidRPr="00A37547" w:rsidRDefault="0021516A"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5EB92186" w14:textId="77777777" w:rsidR="00A37547" w:rsidRPr="00A37547" w:rsidRDefault="0021516A" w:rsidP="00A37547">
      <w:pPr>
        <w:numPr>
          <w:ilvl w:val="0"/>
          <w:numId w:val="8"/>
        </w:numPr>
        <w:shd w:val="clear" w:color="auto" w:fill="FFFFFF" w:themeFill="background1"/>
        <w:autoSpaceDE w:val="0"/>
        <w:spacing w:after="0"/>
        <w:ind w:leftChars="300" w:left="660"/>
        <w:jc w:val="both"/>
        <w:rPr>
          <w:rFonts w:ascii="Arial" w:eastAsia="Calibri" w:hAnsi="Arial"/>
          <w:kern w:val="2"/>
          <w:sz w:val="20"/>
          <w:szCs w:val="20"/>
        </w:rPr>
      </w:pPr>
      <w:r w:rsidRPr="00A37547">
        <w:rPr>
          <w:rFonts w:ascii="Arial" w:eastAsia="Calibri" w:hAnsi="Arial"/>
          <w:kern w:val="2"/>
          <w:sz w:val="20"/>
          <w:szCs w:val="20"/>
        </w:rPr>
        <w:t>Name of the AI Tool: ChatGPT</w:t>
      </w:r>
    </w:p>
    <w:p w14:paraId="7F47E7C5" w14:textId="77777777" w:rsidR="00A37547" w:rsidRPr="00A37547" w:rsidRDefault="0021516A" w:rsidP="00A37547">
      <w:pPr>
        <w:numPr>
          <w:ilvl w:val="0"/>
          <w:numId w:val="8"/>
        </w:numPr>
        <w:shd w:val="clear" w:color="auto" w:fill="FFFFFF" w:themeFill="background1"/>
        <w:autoSpaceDE w:val="0"/>
        <w:spacing w:after="0"/>
        <w:ind w:leftChars="300" w:left="660"/>
        <w:jc w:val="both"/>
        <w:rPr>
          <w:rFonts w:ascii="Arial" w:eastAsia="Calibri" w:hAnsi="Arial"/>
          <w:kern w:val="2"/>
          <w:sz w:val="20"/>
          <w:szCs w:val="20"/>
        </w:rPr>
      </w:pPr>
      <w:r w:rsidRPr="00A37547">
        <w:rPr>
          <w:rFonts w:ascii="Arial" w:eastAsia="Calibri" w:hAnsi="Arial"/>
          <w:kern w:val="2"/>
          <w:sz w:val="20"/>
          <w:szCs w:val="20"/>
        </w:rPr>
        <w:t>Version/Model: GPT-4</w:t>
      </w:r>
      <w:r w:rsidR="005C0D25">
        <w:rPr>
          <w:rFonts w:ascii="Arial" w:eastAsia="Calibri" w:hAnsi="Arial"/>
          <w:kern w:val="2"/>
          <w:sz w:val="20"/>
          <w:szCs w:val="20"/>
        </w:rPr>
        <w:t>-turbo</w:t>
      </w:r>
    </w:p>
    <w:p w14:paraId="04936575" w14:textId="77777777" w:rsidR="00A37547" w:rsidRPr="00A37547" w:rsidRDefault="0021516A" w:rsidP="00A37547">
      <w:pPr>
        <w:numPr>
          <w:ilvl w:val="0"/>
          <w:numId w:val="8"/>
        </w:numPr>
        <w:shd w:val="clear" w:color="auto" w:fill="FFFFFF" w:themeFill="background1"/>
        <w:autoSpaceDE w:val="0"/>
        <w:spacing w:after="0"/>
        <w:ind w:leftChars="300" w:left="660"/>
        <w:jc w:val="both"/>
        <w:rPr>
          <w:rFonts w:ascii="Arial" w:eastAsia="Calibri" w:hAnsi="Arial"/>
          <w:kern w:val="2"/>
          <w:sz w:val="20"/>
          <w:szCs w:val="20"/>
        </w:rPr>
      </w:pPr>
      <w:r w:rsidRPr="00A37547">
        <w:rPr>
          <w:rFonts w:ascii="Arial" w:eastAsia="Calibri" w:hAnsi="Arial"/>
          <w:kern w:val="2"/>
          <w:sz w:val="20"/>
          <w:szCs w:val="20"/>
        </w:rPr>
        <w:t>Source/Provider: OpenAI (ht</w:t>
      </w:r>
      <w:r w:rsidRPr="00A37547">
        <w:rPr>
          <w:rFonts w:ascii="Arial" w:eastAsia="Calibri" w:hAnsi="Arial"/>
          <w:kern w:val="2"/>
          <w:sz w:val="20"/>
          <w:szCs w:val="20"/>
        </w:rPr>
        <w:t>tps://chat.openai.com)</w:t>
      </w:r>
    </w:p>
    <w:p w14:paraId="25A7FAC5" w14:textId="77777777" w:rsidR="00A37547" w:rsidRPr="00A37547" w:rsidRDefault="0021516A"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384C130F" w14:textId="77777777" w:rsidR="007C1D17" w:rsidRDefault="0021516A"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Purpose of Use: </w:t>
      </w:r>
      <w:r w:rsidRPr="007C1D17">
        <w:rPr>
          <w:rFonts w:ascii="Arial" w:eastAsia="Calibri" w:hAnsi="Arial"/>
          <w:kern w:val="2"/>
          <w:sz w:val="20"/>
          <w:szCs w:val="20"/>
        </w:rPr>
        <w:t>The AI tool was employed to enhance the clarity and coherence of the discussion, improve grammar and academic tone, and refine the abstract for improved readability and adherence to scholarly standards.</w:t>
      </w:r>
    </w:p>
    <w:p w14:paraId="598408D4" w14:textId="77777777" w:rsidR="00A37547" w:rsidRPr="00A37547" w:rsidRDefault="0021516A"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395399D0" w14:textId="77777777" w:rsidR="00A37547" w:rsidRPr="00A37547" w:rsidRDefault="0021516A"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Sample </w:t>
      </w:r>
      <w:r w:rsidRPr="00A37547">
        <w:rPr>
          <w:rFonts w:ascii="Arial" w:eastAsia="Calibri" w:hAnsi="Arial"/>
          <w:kern w:val="2"/>
          <w:sz w:val="20"/>
          <w:szCs w:val="20"/>
        </w:rPr>
        <w:t>Prompts Provided to the AI:</w:t>
      </w:r>
    </w:p>
    <w:p w14:paraId="57409083" w14:textId="77777777" w:rsidR="00A37547" w:rsidRPr="00A37547" w:rsidRDefault="0021516A"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62F4C429" w14:textId="77777777" w:rsidR="00A37547" w:rsidRPr="00A37547" w:rsidRDefault="0021516A"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“Please enhance this abstract to improve clarity, focus, and impact.”</w:t>
      </w:r>
    </w:p>
    <w:p w14:paraId="6316392D" w14:textId="77777777" w:rsidR="00A37547" w:rsidRPr="00A37547" w:rsidRDefault="0021516A"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“Correct grammar and improve the flow of this discussion section.”</w:t>
      </w:r>
    </w:p>
    <w:p w14:paraId="669C5CD8" w14:textId="77777777" w:rsidR="00A37547" w:rsidRPr="00A37547" w:rsidRDefault="0021516A"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“Summarize findings in a more concise academic style.”</w:t>
      </w:r>
    </w:p>
    <w:p w14:paraId="17A2C115" w14:textId="77777777" w:rsidR="00A37547" w:rsidRPr="00A37547" w:rsidRDefault="0021516A" w:rsidP="00A37547">
      <w:pPr>
        <w:numPr>
          <w:ilvl w:val="0"/>
          <w:numId w:val="9"/>
        </w:num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cs="Arial"/>
          <w:kern w:val="2"/>
          <w:sz w:val="20"/>
          <w:szCs w:val="20"/>
        </w:rPr>
        <w:t xml:space="preserve">“Rephrase this paragraph to sound </w:t>
      </w:r>
      <w:r w:rsidRPr="00A37547">
        <w:rPr>
          <w:rFonts w:ascii="Arial" w:eastAsia="Calibri" w:hAnsi="Arial" w:cs="Arial"/>
          <w:kern w:val="2"/>
          <w:sz w:val="20"/>
          <w:szCs w:val="20"/>
        </w:rPr>
        <w:t>more formal and scholarly.”</w:t>
      </w:r>
    </w:p>
    <w:p w14:paraId="59D60AB5" w14:textId="77777777" w:rsidR="00A37547" w:rsidRPr="00A37547" w:rsidRDefault="0021516A" w:rsidP="00A37547">
      <w:pPr>
        <w:shd w:val="clear" w:color="auto" w:fill="FFFFFF" w:themeFill="background1"/>
        <w:autoSpaceDE w:val="0"/>
        <w:spacing w:after="0"/>
        <w:jc w:val="both"/>
        <w:rPr>
          <w:rFonts w:ascii="Arial" w:eastAsia="Calibri" w:hAnsi="Arial"/>
          <w:kern w:val="2"/>
          <w:sz w:val="20"/>
          <w:szCs w:val="20"/>
        </w:rPr>
      </w:pPr>
      <w:r w:rsidRPr="00A37547">
        <w:rPr>
          <w:rFonts w:ascii="Arial" w:eastAsia="Calibri" w:hAnsi="Arial"/>
          <w:kern w:val="2"/>
          <w:sz w:val="20"/>
          <w:szCs w:val="20"/>
        </w:rPr>
        <w:t xml:space="preserve"> </w:t>
      </w:r>
    </w:p>
    <w:p w14:paraId="0365B7EB" w14:textId="2898BC4C" w:rsidR="007C2C1D" w:rsidRDefault="0021516A" w:rsidP="005E5256">
      <w:pPr>
        <w:shd w:val="clear" w:color="auto" w:fill="FFFFFF" w:themeFill="background1"/>
        <w:autoSpaceDE w:val="0"/>
        <w:spacing w:after="0"/>
        <w:ind w:firstLine="660"/>
        <w:jc w:val="both"/>
        <w:rPr>
          <w:rFonts w:ascii="Arial" w:eastAsia="Calibri" w:hAnsi="Arial"/>
          <w:kern w:val="2"/>
          <w:sz w:val="20"/>
          <w:szCs w:val="20"/>
        </w:rPr>
      </w:pPr>
      <w:r w:rsidRPr="00A37547">
        <w:rPr>
          <w:rFonts w:ascii="Arial" w:eastAsia="Calibri" w:hAnsi="Arial"/>
          <w:kern w:val="2"/>
          <w:sz w:val="20"/>
          <w:szCs w:val="20"/>
        </w:rPr>
        <w:t>All intellectual content, data interpretation, and scientific conclusions remain the responsibility of the authors. The AI tool served only as an editorial assistant and did not generate original scientific ideas or perform da</w:t>
      </w:r>
      <w:r w:rsidRPr="00A37547">
        <w:rPr>
          <w:rFonts w:ascii="Arial" w:eastAsia="Calibri" w:hAnsi="Arial"/>
          <w:kern w:val="2"/>
          <w:sz w:val="20"/>
          <w:szCs w:val="20"/>
        </w:rPr>
        <w:t>ta analysis.</w:t>
      </w:r>
    </w:p>
    <w:p w14:paraId="067C663C" w14:textId="6D6ACF3B" w:rsidR="00803B7F" w:rsidRDefault="00803B7F" w:rsidP="005E5256">
      <w:pPr>
        <w:shd w:val="clear" w:color="auto" w:fill="FFFFFF" w:themeFill="background1"/>
        <w:autoSpaceDE w:val="0"/>
        <w:spacing w:after="0"/>
        <w:ind w:firstLine="660"/>
        <w:jc w:val="both"/>
        <w:rPr>
          <w:rFonts w:ascii="Calibri" w:eastAsia="Times New Roman" w:hAnsi="Calibri" w:cs="Arial"/>
          <w:sz w:val="20"/>
          <w:szCs w:val="20"/>
        </w:rPr>
      </w:pPr>
    </w:p>
    <w:p w14:paraId="359CF68E" w14:textId="77777777" w:rsidR="00803B7F" w:rsidRDefault="00803B7F" w:rsidP="005E5256">
      <w:pPr>
        <w:shd w:val="clear" w:color="auto" w:fill="FFFFFF" w:themeFill="background1"/>
        <w:autoSpaceDE w:val="0"/>
        <w:spacing w:after="0"/>
        <w:ind w:firstLine="660"/>
        <w:jc w:val="both"/>
        <w:rPr>
          <w:rFonts w:ascii="Calibri" w:eastAsia="Times New Roman" w:hAnsi="Calibri" w:cs="Arial"/>
          <w:sz w:val="20"/>
          <w:szCs w:val="20"/>
        </w:rPr>
      </w:pPr>
    </w:p>
    <w:p w14:paraId="66DB49E3" w14:textId="77777777" w:rsidR="00AE3CC4" w:rsidRPr="005E5256" w:rsidRDefault="0021516A" w:rsidP="00AE3CC4">
      <w:pPr>
        <w:shd w:val="clear" w:color="auto" w:fill="FFFFFF" w:themeFill="background1"/>
        <w:spacing w:line="240" w:lineRule="auto"/>
        <w:rPr>
          <w:rFonts w:ascii="Arial" w:eastAsia="Arial" w:hAnsi="Arial" w:cs="Arial"/>
          <w:b/>
          <w:color w:val="000000"/>
        </w:rPr>
      </w:pPr>
      <w:r w:rsidRPr="005E5256">
        <w:rPr>
          <w:rFonts w:ascii="Arial" w:eastAsia="Arial" w:hAnsi="Arial" w:cs="Arial"/>
          <w:b/>
          <w:color w:val="000000"/>
          <w:highlight w:val="white"/>
        </w:rPr>
        <w:t>REFERENCES</w:t>
      </w:r>
    </w:p>
    <w:p w14:paraId="271EE30C"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Abao, E. L., Petancio, J. A. M., Sanchez, J. M. P., &amp; Sumalinog, G. G. (2023). Performance of beginning teachers in the licensure examination for teachers: A national study. </w:t>
      </w:r>
      <w:r w:rsidRPr="00CE7996">
        <w:rPr>
          <w:rStyle w:val="Emphasis"/>
          <w:rFonts w:ascii="Arial" w:eastAsiaTheme="majorEastAsia" w:hAnsi="Arial" w:cs="Arial"/>
          <w:sz w:val="20"/>
          <w:szCs w:val="20"/>
        </w:rPr>
        <w:t>Frontiers in Education</w:t>
      </w:r>
      <w:r w:rsidRPr="00CE7996">
        <w:rPr>
          <w:rFonts w:ascii="Arial" w:hAnsi="Arial" w:cs="Arial"/>
          <w:sz w:val="20"/>
          <w:szCs w:val="20"/>
        </w:rPr>
        <w:t xml:space="preserve">. </w:t>
      </w:r>
      <w:hyperlink r:id="rId7" w:tgtFrame="_new" w:history="1">
        <w:r w:rsidR="00CE7996" w:rsidRPr="00CE7996">
          <w:rPr>
            <w:rStyle w:val="Hyperlink"/>
            <w:rFonts w:ascii="Arial" w:hAnsi="Arial" w:cs="Arial"/>
            <w:sz w:val="20"/>
            <w:szCs w:val="20"/>
          </w:rPr>
          <w:t>https://doi.org/10.3389/feduc.2023.1240658</w:t>
        </w:r>
      </w:hyperlink>
    </w:p>
    <w:p w14:paraId="66F8FCE7" w14:textId="685204D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Abdulmajid, A. (2024). </w:t>
      </w:r>
      <w:r w:rsidRPr="00CE7996">
        <w:rPr>
          <w:rStyle w:val="Emphasis"/>
          <w:rFonts w:ascii="Arial" w:eastAsiaTheme="majorEastAsia" w:hAnsi="Arial" w:cs="Arial"/>
          <w:sz w:val="20"/>
          <w:szCs w:val="20"/>
        </w:rPr>
        <w:t>Factors affecting the passing rate of licensure examination for teachers at Sulu State College</w:t>
      </w:r>
      <w:r w:rsidRPr="00CE7996">
        <w:rPr>
          <w:rFonts w:ascii="Arial" w:hAnsi="Arial" w:cs="Arial"/>
          <w:sz w:val="20"/>
          <w:szCs w:val="20"/>
        </w:rPr>
        <w:t xml:space="preserve">. </w:t>
      </w:r>
      <w:hyperlink r:id="rId8" w:tgtFrame="_new" w:history="1">
        <w:r w:rsidR="00CE7996" w:rsidRPr="00CE7996">
          <w:rPr>
            <w:rStyle w:val="Hyperlink"/>
            <w:rFonts w:ascii="Arial" w:hAnsi="Arial" w:cs="Arial"/>
            <w:sz w:val="20"/>
            <w:szCs w:val="20"/>
          </w:rPr>
          <w:t>https://doi.org/10.62596/yeq4ze27</w:t>
        </w:r>
      </w:hyperlink>
    </w:p>
    <w:p w14:paraId="790B16EF"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Aciro, R., Oriangi, G., Onen, D., Malinga, G. M., Ezati, B. A., &amp; Openjuru, G. L. (2023). The relationship between entry grades of students admitted to public universities in Uganda under d</w:t>
      </w:r>
      <w:r w:rsidRPr="00CE7996">
        <w:rPr>
          <w:rFonts w:ascii="Arial" w:hAnsi="Arial" w:cs="Arial"/>
          <w:sz w:val="20"/>
          <w:szCs w:val="20"/>
        </w:rPr>
        <w:t xml:space="preserve">irect entry schemes and their academic performance: Implications for </w:t>
      </w:r>
      <w:r w:rsidRPr="00CE7996">
        <w:rPr>
          <w:rFonts w:ascii="Arial" w:hAnsi="Arial" w:cs="Arial"/>
          <w:sz w:val="20"/>
          <w:szCs w:val="20"/>
        </w:rPr>
        <w:lastRenderedPageBreak/>
        <w:t xml:space="preserve">admission policies. </w:t>
      </w:r>
      <w:r w:rsidRPr="00CE7996">
        <w:rPr>
          <w:rStyle w:val="Emphasis"/>
          <w:rFonts w:ascii="Arial" w:eastAsiaTheme="majorEastAsia" w:hAnsi="Arial" w:cs="Arial"/>
          <w:sz w:val="20"/>
          <w:szCs w:val="20"/>
        </w:rPr>
        <w:t>East African Journal of Education Studies, 6</w:t>
      </w:r>
      <w:r w:rsidRPr="00CE7996">
        <w:rPr>
          <w:rFonts w:ascii="Arial" w:hAnsi="Arial" w:cs="Arial"/>
          <w:sz w:val="20"/>
          <w:szCs w:val="20"/>
        </w:rPr>
        <w:t xml:space="preserve">(1), 373–388. </w:t>
      </w:r>
      <w:hyperlink r:id="rId9" w:tgtFrame="_new" w:history="1">
        <w:r w:rsidR="00CE7996" w:rsidRPr="00CE7996">
          <w:rPr>
            <w:rStyle w:val="Hyperlink"/>
            <w:rFonts w:ascii="Arial" w:hAnsi="Arial" w:cs="Arial"/>
            <w:sz w:val="20"/>
            <w:szCs w:val="20"/>
          </w:rPr>
          <w:t>https://doi.org/10.37284/eajes.6.1.1172</w:t>
        </w:r>
      </w:hyperlink>
    </w:p>
    <w:p w14:paraId="397BDA0B"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Adeoye, M. A., Paramole, O. C., Jolaoye, J. D., &amp; Jibril, A. O. (2024). Implementing engaging strategies to cultivate study habits and propel academic achievement among secondary school students. </w:t>
      </w:r>
      <w:r w:rsidRPr="00CE7996">
        <w:rPr>
          <w:rStyle w:val="Emphasis"/>
          <w:rFonts w:ascii="Arial" w:eastAsiaTheme="majorEastAsia" w:hAnsi="Arial" w:cs="Arial"/>
          <w:sz w:val="20"/>
          <w:szCs w:val="20"/>
        </w:rPr>
        <w:t>Social: Jurnal Ilmu-Ilmu Social, 20</w:t>
      </w:r>
      <w:r w:rsidRPr="00CE7996">
        <w:rPr>
          <w:rFonts w:ascii="Arial" w:hAnsi="Arial" w:cs="Arial"/>
          <w:sz w:val="20"/>
          <w:szCs w:val="20"/>
        </w:rPr>
        <w:t xml:space="preserve">(2). </w:t>
      </w:r>
      <w:hyperlink r:id="rId10" w:tgtFrame="_new" w:history="1">
        <w:r w:rsidR="00CE7996" w:rsidRPr="00CE7996">
          <w:rPr>
            <w:rStyle w:val="Hyperlink"/>
            <w:rFonts w:ascii="Arial" w:hAnsi="Arial" w:cs="Arial"/>
            <w:sz w:val="20"/>
            <w:szCs w:val="20"/>
          </w:rPr>
          <w:t>https://doi.org/10.21831/socia.v20i2.65956</w:t>
        </w:r>
      </w:hyperlink>
    </w:p>
    <w:p w14:paraId="5F689E5A" w14:textId="043837D4"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Ahmed, A. (2024). </w:t>
      </w:r>
      <w:r w:rsidRPr="00CE7996">
        <w:rPr>
          <w:rStyle w:val="Emphasis"/>
          <w:rFonts w:ascii="Arial" w:eastAsiaTheme="majorEastAsia" w:hAnsi="Arial" w:cs="Arial"/>
          <w:sz w:val="20"/>
          <w:szCs w:val="20"/>
        </w:rPr>
        <w:t>The relationships between teachers' professional competence licensure testing, teachers' professional competence, and students' academic performan</w:t>
      </w:r>
      <w:r w:rsidRPr="00CE7996">
        <w:rPr>
          <w:rStyle w:val="Emphasis"/>
          <w:rFonts w:ascii="Arial" w:eastAsiaTheme="majorEastAsia" w:hAnsi="Arial" w:cs="Arial"/>
          <w:sz w:val="20"/>
          <w:szCs w:val="20"/>
        </w:rPr>
        <w:t>ce in Ethiopian primary schools: A baseline survey and intervention study of mixed research</w:t>
      </w:r>
      <w:r w:rsidRPr="00CE7996">
        <w:rPr>
          <w:rFonts w:ascii="Arial" w:hAnsi="Arial" w:cs="Arial"/>
          <w:sz w:val="20"/>
          <w:szCs w:val="20"/>
        </w:rPr>
        <w:t xml:space="preserve">. </w:t>
      </w:r>
      <w:hyperlink r:id="rId11" w:tgtFrame="_new" w:history="1">
        <w:r w:rsidR="00CE7996" w:rsidRPr="00CE7996">
          <w:rPr>
            <w:rStyle w:val="Hyperlink"/>
            <w:rFonts w:ascii="Arial" w:hAnsi="Arial" w:cs="Arial"/>
            <w:sz w:val="20"/>
            <w:szCs w:val="20"/>
          </w:rPr>
          <w:t>https://doi.org/10.2139/ssrn.4810006</w:t>
        </w:r>
      </w:hyperlink>
    </w:p>
    <w:p w14:paraId="4B8FD20A"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Alasmari, N. (2024). Barriers to passing English teaching profe</w:t>
      </w:r>
      <w:r w:rsidRPr="00CE7996">
        <w:rPr>
          <w:rFonts w:ascii="Arial" w:hAnsi="Arial" w:cs="Arial"/>
          <w:sz w:val="20"/>
          <w:szCs w:val="20"/>
        </w:rPr>
        <w:t xml:space="preserve">ssional licensure as perceived by newly graduated Saudi teachers. </w:t>
      </w:r>
      <w:r w:rsidRPr="00CE7996">
        <w:rPr>
          <w:rStyle w:val="Emphasis"/>
          <w:rFonts w:ascii="Arial" w:eastAsiaTheme="majorEastAsia" w:hAnsi="Arial" w:cs="Arial"/>
          <w:sz w:val="20"/>
          <w:szCs w:val="20"/>
        </w:rPr>
        <w:t>Edelweiss Applied Science and Technology, 8</w:t>
      </w:r>
      <w:r w:rsidRPr="00CE7996">
        <w:rPr>
          <w:rFonts w:ascii="Arial" w:hAnsi="Arial" w:cs="Arial"/>
          <w:sz w:val="20"/>
          <w:szCs w:val="20"/>
        </w:rPr>
        <w:t xml:space="preserve">(4), 1956–1965. </w:t>
      </w:r>
      <w:hyperlink r:id="rId12" w:tgtFrame="_new" w:history="1">
        <w:r w:rsidR="00CE7996" w:rsidRPr="00CE7996">
          <w:rPr>
            <w:rStyle w:val="Hyperlink"/>
            <w:rFonts w:ascii="Arial" w:hAnsi="Arial" w:cs="Arial"/>
            <w:sz w:val="20"/>
            <w:szCs w:val="20"/>
          </w:rPr>
          <w:t>https://doi.org/10.55214/25768484.v8i4.1570</w:t>
        </w:r>
      </w:hyperlink>
    </w:p>
    <w:p w14:paraId="6779A053"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Alova, C. A. R. (</w:t>
      </w:r>
      <w:r w:rsidRPr="00CE7996">
        <w:rPr>
          <w:rFonts w:ascii="Arial" w:hAnsi="Arial" w:cs="Arial"/>
          <w:sz w:val="20"/>
          <w:szCs w:val="20"/>
        </w:rPr>
        <w:t xml:space="preserve">2021). Performance of College of Education graduates in the Licensure Examination for Teachers: A descriptive study. </w:t>
      </w:r>
      <w:r w:rsidRPr="00CE7996">
        <w:rPr>
          <w:rStyle w:val="Emphasis"/>
          <w:rFonts w:ascii="Arial" w:eastAsiaTheme="majorEastAsia" w:hAnsi="Arial" w:cs="Arial"/>
          <w:sz w:val="20"/>
          <w:szCs w:val="20"/>
        </w:rPr>
        <w:t>Academia Letters</w:t>
      </w:r>
      <w:r w:rsidRPr="00CE7996">
        <w:rPr>
          <w:rFonts w:ascii="Arial" w:hAnsi="Arial" w:cs="Arial"/>
          <w:sz w:val="20"/>
          <w:szCs w:val="20"/>
        </w:rPr>
        <w:t xml:space="preserve">, Article 4087. </w:t>
      </w:r>
      <w:hyperlink r:id="rId13" w:tgtFrame="_new" w:history="1">
        <w:r w:rsidR="00CE7996" w:rsidRPr="00CE7996">
          <w:rPr>
            <w:rStyle w:val="Hyperlink"/>
            <w:rFonts w:ascii="Arial" w:hAnsi="Arial" w:cs="Arial"/>
            <w:sz w:val="20"/>
            <w:szCs w:val="20"/>
          </w:rPr>
          <w:t>https://doi.org/10.20935/AL4087</w:t>
        </w:r>
      </w:hyperlink>
    </w:p>
    <w:p w14:paraId="40087010" w14:textId="77777777" w:rsidR="00CE7996" w:rsidRPr="00A8099F" w:rsidRDefault="0021516A" w:rsidP="002448D8">
      <w:pPr>
        <w:pStyle w:val="NormalWeb"/>
        <w:spacing w:before="0" w:beforeAutospacing="0" w:after="0" w:afterAutospacing="0"/>
        <w:ind w:left="720" w:hanging="720"/>
        <w:jc w:val="both"/>
        <w:rPr>
          <w:rFonts w:ascii="Arial" w:hAnsi="Arial" w:cs="Arial"/>
          <w:sz w:val="20"/>
          <w:szCs w:val="20"/>
          <w:lang w:val="nl-BE"/>
        </w:rPr>
      </w:pPr>
      <w:r w:rsidRPr="00CE7996">
        <w:rPr>
          <w:rFonts w:ascii="Arial" w:hAnsi="Arial" w:cs="Arial"/>
          <w:sz w:val="20"/>
          <w:szCs w:val="20"/>
        </w:rPr>
        <w:t xml:space="preserve">Alshawwa, L. (2023). Standard setting: A review of methods. </w:t>
      </w:r>
      <w:r w:rsidRPr="00CE7996">
        <w:rPr>
          <w:rStyle w:val="Emphasis"/>
          <w:rFonts w:ascii="Arial" w:eastAsiaTheme="majorEastAsia" w:hAnsi="Arial" w:cs="Arial"/>
          <w:sz w:val="20"/>
          <w:szCs w:val="20"/>
        </w:rPr>
        <w:t>Asian Journal of Education and Social Studies, 42</w:t>
      </w:r>
      <w:r w:rsidRPr="00CE7996">
        <w:rPr>
          <w:rFonts w:ascii="Arial" w:hAnsi="Arial" w:cs="Arial"/>
          <w:sz w:val="20"/>
          <w:szCs w:val="20"/>
        </w:rPr>
        <w:t xml:space="preserve">(2), 1–7. </w:t>
      </w:r>
      <w:hyperlink r:id="rId14" w:tgtFrame="_new" w:history="1">
        <w:r w:rsidR="00CE7996" w:rsidRPr="00A8099F">
          <w:rPr>
            <w:rStyle w:val="Hyperlink"/>
            <w:rFonts w:ascii="Arial" w:hAnsi="Arial" w:cs="Arial"/>
            <w:sz w:val="20"/>
            <w:szCs w:val="20"/>
            <w:lang w:val="nl-BE"/>
          </w:rPr>
          <w:t>https://doi.org/10.9734/ajess/2023/v42i2909</w:t>
        </w:r>
      </w:hyperlink>
    </w:p>
    <w:p w14:paraId="1EBFDC79"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A8099F">
        <w:rPr>
          <w:rFonts w:ascii="Arial" w:hAnsi="Arial" w:cs="Arial"/>
          <w:sz w:val="20"/>
          <w:szCs w:val="20"/>
          <w:lang w:val="nl-BE"/>
        </w:rPr>
        <w:t>Amanonce, J. T., &amp; Mara</w:t>
      </w:r>
      <w:r w:rsidRPr="00A8099F">
        <w:rPr>
          <w:rFonts w:ascii="Arial" w:hAnsi="Arial" w:cs="Arial"/>
          <w:sz w:val="20"/>
          <w:szCs w:val="20"/>
          <w:lang w:val="nl-BE"/>
        </w:rPr>
        <w:t xml:space="preserve">mag, A. M. (2020). </w:t>
      </w:r>
      <w:r w:rsidRPr="00CE7996">
        <w:rPr>
          <w:rFonts w:ascii="Arial" w:hAnsi="Arial" w:cs="Arial"/>
          <w:sz w:val="20"/>
          <w:szCs w:val="20"/>
        </w:rPr>
        <w:t xml:space="preserve">Licensure examination performance and academic achievement of teacher education graduates. </w:t>
      </w:r>
      <w:r w:rsidRPr="00CE7996">
        <w:rPr>
          <w:rStyle w:val="Emphasis"/>
          <w:rFonts w:ascii="Arial" w:eastAsiaTheme="majorEastAsia" w:hAnsi="Arial" w:cs="Arial"/>
          <w:sz w:val="20"/>
          <w:szCs w:val="20"/>
        </w:rPr>
        <w:t>International Journal of Evaluation and Research in Education, 9</w:t>
      </w:r>
      <w:r w:rsidRPr="00CE7996">
        <w:rPr>
          <w:rFonts w:ascii="Arial" w:hAnsi="Arial" w:cs="Arial"/>
          <w:sz w:val="20"/>
          <w:szCs w:val="20"/>
        </w:rPr>
        <w:t xml:space="preserve">(3), 510–516. </w:t>
      </w:r>
      <w:hyperlink r:id="rId15" w:tgtFrame="_new" w:history="1">
        <w:r w:rsidR="00CE7996" w:rsidRPr="00CE7996">
          <w:rPr>
            <w:rStyle w:val="Hyperlink"/>
            <w:rFonts w:ascii="Arial" w:hAnsi="Arial" w:cs="Arial"/>
            <w:sz w:val="20"/>
            <w:szCs w:val="20"/>
          </w:rPr>
          <w:t>https://doi.org/10.11591/ijere.v9i3.20614</w:t>
        </w:r>
      </w:hyperlink>
    </w:p>
    <w:p w14:paraId="4179CC73"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Antiojo, L. P. (2017). Performance of education graduates in the licensure examination for teachers (LET). </w:t>
      </w:r>
      <w:r w:rsidRPr="00CE7996">
        <w:rPr>
          <w:rStyle w:val="Emphasis"/>
          <w:rFonts w:ascii="Arial" w:eastAsiaTheme="majorEastAsia" w:hAnsi="Arial" w:cs="Arial"/>
          <w:sz w:val="20"/>
          <w:szCs w:val="20"/>
        </w:rPr>
        <w:t>PEOPLE: International Journal of Social Sciences, 3</w:t>
      </w:r>
      <w:r w:rsidRPr="00CE7996">
        <w:rPr>
          <w:rFonts w:ascii="Arial" w:hAnsi="Arial" w:cs="Arial"/>
          <w:sz w:val="20"/>
          <w:szCs w:val="20"/>
        </w:rPr>
        <w:t xml:space="preserve">(2), 1363–1384. </w:t>
      </w:r>
      <w:hyperlink r:id="rId16" w:tgtFrame="_new" w:history="1">
        <w:r w:rsidR="00CE7996" w:rsidRPr="00CE7996">
          <w:rPr>
            <w:rStyle w:val="Hyperlink"/>
            <w:rFonts w:ascii="Arial" w:hAnsi="Arial" w:cs="Arial"/>
            <w:sz w:val="20"/>
            <w:szCs w:val="20"/>
          </w:rPr>
          <w:t>https://doi.org/10.20319/pijss.2017.32.13631384</w:t>
        </w:r>
      </w:hyperlink>
    </w:p>
    <w:p w14:paraId="270BF2DA"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Anwar, Z., Hanurawan, F., Chusniyah, T., Setiyowati, N., &amp; Rehman, S. (2024). Measurement models and predictors of student academic success: A systematic literature review. </w:t>
      </w:r>
      <w:r w:rsidRPr="00CE7996">
        <w:rPr>
          <w:rStyle w:val="Emphasis"/>
          <w:rFonts w:ascii="Arial" w:eastAsiaTheme="majorEastAsia" w:hAnsi="Arial" w:cs="Arial"/>
          <w:sz w:val="20"/>
          <w:szCs w:val="20"/>
        </w:rPr>
        <w:t>S</w:t>
      </w:r>
      <w:r w:rsidRPr="00CE7996">
        <w:rPr>
          <w:rStyle w:val="Emphasis"/>
          <w:rFonts w:ascii="Arial" w:eastAsiaTheme="majorEastAsia" w:hAnsi="Arial" w:cs="Arial"/>
          <w:sz w:val="20"/>
          <w:szCs w:val="20"/>
        </w:rPr>
        <w:t>cientia, 3</w:t>
      </w:r>
      <w:r w:rsidRPr="00CE7996">
        <w:rPr>
          <w:rFonts w:ascii="Arial" w:hAnsi="Arial" w:cs="Arial"/>
          <w:sz w:val="20"/>
          <w:szCs w:val="20"/>
        </w:rPr>
        <w:t xml:space="preserve">(1), 29–42. </w:t>
      </w:r>
      <w:hyperlink r:id="rId17" w:tgtFrame="_new" w:history="1">
        <w:r w:rsidR="00CE7996" w:rsidRPr="00CE7996">
          <w:rPr>
            <w:rStyle w:val="Hyperlink"/>
            <w:rFonts w:ascii="Arial" w:hAnsi="Arial" w:cs="Arial"/>
            <w:sz w:val="20"/>
            <w:szCs w:val="20"/>
          </w:rPr>
          <w:t>https://doi.org/10.51773/sssh.v3i1.252</w:t>
        </w:r>
      </w:hyperlink>
    </w:p>
    <w:p w14:paraId="1070539D"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Balanquit, E. P., Ladia, M. A., &amp; Nool, N. R. (2023). The influence of faculty members' educational attainment on the performance </w:t>
      </w:r>
      <w:r w:rsidRPr="00CE7996">
        <w:rPr>
          <w:rFonts w:ascii="Arial" w:hAnsi="Arial" w:cs="Arial"/>
          <w:sz w:val="20"/>
          <w:szCs w:val="20"/>
        </w:rPr>
        <w:t xml:space="preserve">in the Licensure Examination for Teachers (LET) among state universities and colleges in the Philippines. </w:t>
      </w:r>
      <w:r w:rsidRPr="00CE7996">
        <w:rPr>
          <w:rStyle w:val="Emphasis"/>
          <w:rFonts w:ascii="Arial" w:eastAsiaTheme="majorEastAsia" w:hAnsi="Arial" w:cs="Arial"/>
          <w:sz w:val="20"/>
          <w:szCs w:val="20"/>
        </w:rPr>
        <w:t>Journal of Curriculum and Teaching, 12</w:t>
      </w:r>
      <w:r w:rsidRPr="00CE7996">
        <w:rPr>
          <w:rFonts w:ascii="Arial" w:hAnsi="Arial" w:cs="Arial"/>
          <w:sz w:val="20"/>
          <w:szCs w:val="20"/>
        </w:rPr>
        <w:t xml:space="preserve">(1), 247. </w:t>
      </w:r>
      <w:hyperlink r:id="rId18" w:tgtFrame="_new" w:history="1">
        <w:r w:rsidR="00CE7996" w:rsidRPr="00CE7996">
          <w:rPr>
            <w:rStyle w:val="Hyperlink"/>
            <w:rFonts w:ascii="Arial" w:hAnsi="Arial" w:cs="Arial"/>
            <w:sz w:val="20"/>
            <w:szCs w:val="20"/>
          </w:rPr>
          <w:t>https://doi.org/10.5430/jct.v12n1p247</w:t>
        </w:r>
      </w:hyperlink>
    </w:p>
    <w:p w14:paraId="59BB55F2" w14:textId="4846F879" w:rsidR="002448D8"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Banua, A. S. (2019). Determinants of performance of nursing graduates in licensure examination. </w:t>
      </w:r>
      <w:r w:rsidRPr="00CE7996">
        <w:rPr>
          <w:rStyle w:val="Emphasis"/>
          <w:rFonts w:ascii="Arial" w:eastAsiaTheme="majorEastAsia" w:hAnsi="Arial" w:cs="Arial"/>
          <w:sz w:val="20"/>
          <w:szCs w:val="20"/>
        </w:rPr>
        <w:t>BU Research Journal, 20</w:t>
      </w:r>
      <w:r w:rsidRPr="00CE7996">
        <w:rPr>
          <w:rFonts w:ascii="Arial" w:hAnsi="Arial" w:cs="Arial"/>
          <w:sz w:val="20"/>
          <w:szCs w:val="20"/>
        </w:rPr>
        <w:t>.</w:t>
      </w:r>
      <w:r w:rsidR="000E2688">
        <w:rPr>
          <w:rFonts w:ascii="Arial" w:hAnsi="Arial" w:cs="Arial"/>
          <w:sz w:val="20"/>
          <w:szCs w:val="20"/>
        </w:rPr>
        <w:t xml:space="preserve"> </w:t>
      </w:r>
      <w:hyperlink r:id="rId19" w:history="1">
        <w:r w:rsidR="000E2688" w:rsidRPr="009F3121">
          <w:rPr>
            <w:rStyle w:val="Hyperlink"/>
            <w:rFonts w:ascii="Arial" w:hAnsi="Arial" w:cs="Arial"/>
            <w:sz w:val="20"/>
            <w:szCs w:val="20"/>
          </w:rPr>
          <w:t>http://journal.bicol-u.edu.ph/index.php/ejournal/article/download/76/56</w:t>
        </w:r>
      </w:hyperlink>
    </w:p>
    <w:p w14:paraId="1C20FBF6" w14:textId="2D9C216E"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A8099F">
        <w:rPr>
          <w:rFonts w:ascii="Arial" w:hAnsi="Arial" w:cs="Arial"/>
          <w:sz w:val="20"/>
          <w:szCs w:val="20"/>
          <w:lang w:val="nl-BE"/>
        </w:rPr>
        <w:t xml:space="preserve">Bardelli, E., Ronfeldt, M., &amp; Papay, J. P. (2022). </w:t>
      </w:r>
      <w:r w:rsidRPr="00CE7996">
        <w:rPr>
          <w:rFonts w:ascii="Arial" w:hAnsi="Arial" w:cs="Arial"/>
          <w:sz w:val="20"/>
          <w:szCs w:val="20"/>
        </w:rPr>
        <w:t xml:space="preserve">Teacher preparation programs and graduates' growth in instructional effectiveness. </w:t>
      </w:r>
      <w:r w:rsidRPr="00CE7996">
        <w:rPr>
          <w:rStyle w:val="Emphasis"/>
          <w:rFonts w:ascii="Arial" w:eastAsiaTheme="majorEastAsia" w:hAnsi="Arial" w:cs="Arial"/>
          <w:sz w:val="20"/>
          <w:szCs w:val="20"/>
        </w:rPr>
        <w:t>American Educational Research Journal, 60</w:t>
      </w:r>
      <w:r w:rsidRPr="00CE7996">
        <w:rPr>
          <w:rFonts w:ascii="Arial" w:hAnsi="Arial" w:cs="Arial"/>
          <w:sz w:val="20"/>
          <w:szCs w:val="20"/>
        </w:rPr>
        <w:t xml:space="preserve">(1), 183–216. </w:t>
      </w:r>
      <w:hyperlink r:id="rId20" w:tgtFrame="_new" w:history="1">
        <w:r w:rsidR="00CE7996" w:rsidRPr="00CE7996">
          <w:rPr>
            <w:rStyle w:val="Hyperlink"/>
            <w:rFonts w:ascii="Arial" w:hAnsi="Arial" w:cs="Arial"/>
            <w:sz w:val="20"/>
            <w:szCs w:val="20"/>
          </w:rPr>
          <w:t>https://doi.org/10.3102/00028312221137798</w:t>
        </w:r>
      </w:hyperlink>
    </w:p>
    <w:p w14:paraId="46869BEF" w14:textId="3518F4CB" w:rsidR="00CE7996" w:rsidRDefault="0021516A" w:rsidP="002448D8">
      <w:pPr>
        <w:pStyle w:val="NormalWeb"/>
        <w:spacing w:before="0" w:beforeAutospacing="0" w:after="0" w:afterAutospacing="0"/>
        <w:ind w:left="720" w:hanging="720"/>
        <w:jc w:val="both"/>
        <w:rPr>
          <w:rStyle w:val="Emphasis"/>
          <w:rFonts w:ascii="Arial" w:eastAsiaTheme="majorEastAsia" w:hAnsi="Arial" w:cs="Arial"/>
          <w:sz w:val="20"/>
          <w:szCs w:val="20"/>
        </w:rPr>
      </w:pPr>
      <w:r w:rsidRPr="00CE7996">
        <w:rPr>
          <w:rFonts w:ascii="Arial" w:hAnsi="Arial" w:cs="Arial"/>
          <w:sz w:val="20"/>
          <w:szCs w:val="20"/>
        </w:rPr>
        <w:t xml:space="preserve">Bashiru, S. O., Ibrahim, A., Isa, A. M., &amp; Itopa, I. I. (2022). Binary logistic regression model with application in students' GPA performance. </w:t>
      </w:r>
      <w:r w:rsidRPr="00CE7996">
        <w:rPr>
          <w:rStyle w:val="Emphasis"/>
          <w:rFonts w:ascii="Arial" w:eastAsiaTheme="majorEastAsia" w:hAnsi="Arial" w:cs="Arial"/>
          <w:sz w:val="20"/>
          <w:szCs w:val="20"/>
        </w:rPr>
        <w:t>Journal of Statistics and Data Science, 1</w:t>
      </w:r>
      <w:r w:rsidRPr="00CE7996">
        <w:rPr>
          <w:rFonts w:ascii="Arial" w:hAnsi="Arial" w:cs="Arial"/>
          <w:sz w:val="20"/>
          <w:szCs w:val="20"/>
        </w:rPr>
        <w:t>(4)</w:t>
      </w:r>
      <w:r w:rsidRPr="00CE7996">
        <w:rPr>
          <w:rFonts w:ascii="Arial" w:hAnsi="Arial" w:cs="Arial"/>
          <w:sz w:val="20"/>
          <w:szCs w:val="20"/>
        </w:rPr>
        <w:t xml:space="preserve">, 62–69. </w:t>
      </w:r>
      <w:hyperlink r:id="rId21" w:tgtFrame="_new" w:history="1">
        <w:r w:rsidR="00CE7996" w:rsidRPr="00CE7996">
          <w:rPr>
            <w:rStyle w:val="Hyperlink"/>
            <w:rFonts w:ascii="Arial" w:hAnsi="Arial" w:cs="Arial"/>
            <w:sz w:val="20"/>
            <w:szCs w:val="20"/>
          </w:rPr>
          <w:t>https://doi.org/10.55639/607mlkji</w:t>
        </w:r>
      </w:hyperlink>
    </w:p>
    <w:p w14:paraId="0C77AAFF" w14:textId="2262E20C"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Bose, R. S. (2024). The relationship between study habits and academic performance among university students. </w:t>
      </w:r>
      <w:r w:rsidRPr="00CE7996">
        <w:rPr>
          <w:rStyle w:val="Emphasis"/>
          <w:rFonts w:ascii="Arial" w:eastAsiaTheme="majorEastAsia" w:hAnsi="Arial" w:cs="Arial"/>
          <w:sz w:val="20"/>
          <w:szCs w:val="20"/>
        </w:rPr>
        <w:t>International Journal for Research in Appli</w:t>
      </w:r>
      <w:r w:rsidRPr="00CE7996">
        <w:rPr>
          <w:rStyle w:val="Emphasis"/>
          <w:rFonts w:ascii="Arial" w:eastAsiaTheme="majorEastAsia" w:hAnsi="Arial" w:cs="Arial"/>
          <w:sz w:val="20"/>
          <w:szCs w:val="20"/>
        </w:rPr>
        <w:t>ed Science and Engineering Technology</w:t>
      </w:r>
      <w:r w:rsidRPr="00CE7996">
        <w:rPr>
          <w:rFonts w:ascii="Arial" w:hAnsi="Arial" w:cs="Arial"/>
          <w:sz w:val="20"/>
          <w:szCs w:val="20"/>
        </w:rPr>
        <w:t xml:space="preserve">. </w:t>
      </w:r>
      <w:hyperlink r:id="rId22" w:tgtFrame="_new" w:history="1">
        <w:r w:rsidR="00CE7996" w:rsidRPr="00CE7996">
          <w:rPr>
            <w:rStyle w:val="Hyperlink"/>
            <w:rFonts w:ascii="Arial" w:hAnsi="Arial" w:cs="Arial"/>
            <w:sz w:val="20"/>
            <w:szCs w:val="20"/>
          </w:rPr>
          <w:t>https://doi.org/10.22214/ijraset.2024.59892</w:t>
        </w:r>
      </w:hyperlink>
    </w:p>
    <w:p w14:paraId="65E7B494"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Briones, M. A., &amp; Romero, V. A. (2020). Examining the personal factors affecting licensure examination </w:t>
      </w:r>
      <w:r w:rsidRPr="00CE7996">
        <w:rPr>
          <w:rFonts w:ascii="Arial" w:hAnsi="Arial" w:cs="Arial"/>
          <w:sz w:val="20"/>
          <w:szCs w:val="20"/>
        </w:rPr>
        <w:t xml:space="preserve">preparation. </w:t>
      </w:r>
      <w:r w:rsidRPr="00CE7996">
        <w:rPr>
          <w:rStyle w:val="Emphasis"/>
          <w:rFonts w:ascii="Arial" w:eastAsiaTheme="majorEastAsia" w:hAnsi="Arial" w:cs="Arial"/>
          <w:sz w:val="20"/>
          <w:szCs w:val="20"/>
        </w:rPr>
        <w:t>Journal of English Education and Linguistics, 1</w:t>
      </w:r>
      <w:r w:rsidRPr="00CE7996">
        <w:rPr>
          <w:rFonts w:ascii="Arial" w:hAnsi="Arial" w:cs="Arial"/>
          <w:sz w:val="20"/>
          <w:szCs w:val="20"/>
        </w:rPr>
        <w:t xml:space="preserve">(2), 72–83. </w:t>
      </w:r>
      <w:hyperlink r:id="rId23" w:tgtFrame="_new" w:history="1">
        <w:r w:rsidR="00CE7996" w:rsidRPr="00CE7996">
          <w:rPr>
            <w:rStyle w:val="Hyperlink"/>
            <w:rFonts w:ascii="Arial" w:hAnsi="Arial" w:cs="Arial"/>
            <w:sz w:val="20"/>
            <w:szCs w:val="20"/>
          </w:rPr>
          <w:t>https://doi.org/10.56874/jeel.v1i2.52</w:t>
        </w:r>
      </w:hyperlink>
    </w:p>
    <w:p w14:paraId="05077799"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Cabahug, M. J. (2023). Factors affecting the performance of a higher education institution in the Licensure Examination for Teachers. </w:t>
      </w:r>
      <w:r w:rsidRPr="00CE7996">
        <w:rPr>
          <w:rStyle w:val="Emphasis"/>
          <w:rFonts w:ascii="Arial" w:eastAsiaTheme="majorEastAsia" w:hAnsi="Arial" w:cs="Arial"/>
          <w:sz w:val="20"/>
          <w:szCs w:val="20"/>
        </w:rPr>
        <w:t>International Journal for Multidisciplinary Research, 5</w:t>
      </w:r>
      <w:r w:rsidRPr="00CE7996">
        <w:rPr>
          <w:rFonts w:ascii="Arial" w:hAnsi="Arial" w:cs="Arial"/>
          <w:sz w:val="20"/>
          <w:szCs w:val="20"/>
        </w:rPr>
        <w:t xml:space="preserve">(5). </w:t>
      </w:r>
      <w:hyperlink r:id="rId24" w:tgtFrame="_new" w:history="1">
        <w:r w:rsidR="00CE7996" w:rsidRPr="00CE7996">
          <w:rPr>
            <w:rStyle w:val="Hyperlink"/>
            <w:rFonts w:ascii="Arial" w:hAnsi="Arial" w:cs="Arial"/>
            <w:sz w:val="20"/>
            <w:szCs w:val="20"/>
          </w:rPr>
          <w:t>https://doi.org/10.36948/ijfmr.2023.v05i05.6247</w:t>
        </w:r>
      </w:hyperlink>
    </w:p>
    <w:p w14:paraId="132ABFCF" w14:textId="65B71777" w:rsidR="00CE7996" w:rsidRDefault="0021516A" w:rsidP="002448D8">
      <w:pPr>
        <w:pStyle w:val="NormalWeb"/>
        <w:spacing w:before="0" w:beforeAutospacing="0" w:after="0" w:afterAutospacing="0"/>
        <w:ind w:left="720" w:hanging="720"/>
        <w:jc w:val="both"/>
        <w:rPr>
          <w:rStyle w:val="Emphasis"/>
          <w:rFonts w:ascii="Arial" w:eastAsiaTheme="majorEastAsia" w:hAnsi="Arial" w:cs="Arial"/>
          <w:sz w:val="20"/>
          <w:szCs w:val="20"/>
        </w:rPr>
      </w:pPr>
      <w:r w:rsidRPr="00CE7996">
        <w:rPr>
          <w:rFonts w:ascii="Arial" w:hAnsi="Arial" w:cs="Arial"/>
          <w:sz w:val="20"/>
          <w:szCs w:val="20"/>
        </w:rPr>
        <w:t xml:space="preserve">Cadiente, A. M. (2019). Performance of teacher education graduates in the licensure examination. </w:t>
      </w:r>
      <w:r w:rsidRPr="00CE7996">
        <w:rPr>
          <w:rStyle w:val="Emphasis"/>
          <w:rFonts w:ascii="Arial" w:eastAsiaTheme="majorEastAsia" w:hAnsi="Arial" w:cs="Arial"/>
          <w:sz w:val="20"/>
          <w:szCs w:val="20"/>
        </w:rPr>
        <w:t>Asian International Journal of Education and Advancement, 1</w:t>
      </w:r>
      <w:r w:rsidRPr="00CE7996">
        <w:rPr>
          <w:rFonts w:ascii="Arial" w:hAnsi="Arial" w:cs="Arial"/>
          <w:sz w:val="20"/>
          <w:szCs w:val="20"/>
        </w:rPr>
        <w:t xml:space="preserve">(3), 59–61. </w:t>
      </w:r>
      <w:hyperlink r:id="rId25" w:tgtFrame="_new" w:history="1">
        <w:r w:rsidR="00CE7996" w:rsidRPr="00CE7996">
          <w:rPr>
            <w:rStyle w:val="Hyperlink"/>
            <w:rFonts w:ascii="Arial" w:hAnsi="Arial" w:cs="Arial"/>
            <w:sz w:val="20"/>
            <w:szCs w:val="20"/>
          </w:rPr>
          <w:t>http://journal.aloha.academy/index.php/aijea/article/view/aijea10302</w:t>
        </w:r>
      </w:hyperlink>
    </w:p>
    <w:p w14:paraId="7EC0A713" w14:textId="5668F278" w:rsidR="00CE7996" w:rsidRPr="00CE7996" w:rsidRDefault="0021516A" w:rsidP="002448D8">
      <w:pPr>
        <w:pStyle w:val="NormalWeb"/>
        <w:spacing w:before="0" w:beforeAutospacing="0" w:after="0" w:afterAutospacing="0"/>
        <w:ind w:left="720" w:hanging="720"/>
        <w:jc w:val="both"/>
        <w:rPr>
          <w:rFonts w:ascii="Arial" w:eastAsiaTheme="majorEastAsia" w:hAnsi="Arial" w:cs="Arial"/>
          <w:i/>
          <w:iCs/>
          <w:sz w:val="20"/>
          <w:szCs w:val="20"/>
        </w:rPr>
      </w:pPr>
      <w:r w:rsidRPr="00CE7996">
        <w:rPr>
          <w:rFonts w:ascii="Arial" w:hAnsi="Arial" w:cs="Arial"/>
          <w:sz w:val="20"/>
          <w:szCs w:val="20"/>
        </w:rPr>
        <w:lastRenderedPageBreak/>
        <w:t>Cahapay, M. B. (2020). Probing the differences caused by cognitive variables on LET performance: An embedded mixed metho</w:t>
      </w:r>
      <w:r w:rsidRPr="00CE7996">
        <w:rPr>
          <w:rFonts w:ascii="Arial" w:hAnsi="Arial" w:cs="Arial"/>
          <w:sz w:val="20"/>
          <w:szCs w:val="20"/>
        </w:rPr>
        <w:t xml:space="preserve">d study. </w:t>
      </w:r>
      <w:r w:rsidRPr="00CE7996">
        <w:rPr>
          <w:rStyle w:val="Emphasis"/>
          <w:rFonts w:ascii="Arial" w:eastAsiaTheme="majorEastAsia" w:hAnsi="Arial" w:cs="Arial"/>
          <w:sz w:val="20"/>
          <w:szCs w:val="20"/>
        </w:rPr>
        <w:t>International Journal of Learning, Teaching and Educational Research, 19</w:t>
      </w:r>
      <w:r w:rsidRPr="00CE7996">
        <w:rPr>
          <w:rFonts w:ascii="Arial" w:hAnsi="Arial" w:cs="Arial"/>
          <w:sz w:val="20"/>
          <w:szCs w:val="20"/>
        </w:rPr>
        <w:t xml:space="preserve">(4), 188–205. </w:t>
      </w:r>
      <w:hyperlink r:id="rId26" w:tgtFrame="_new" w:history="1">
        <w:r w:rsidR="00CE7996" w:rsidRPr="00CE7996">
          <w:rPr>
            <w:rStyle w:val="Hyperlink"/>
            <w:rFonts w:ascii="Arial" w:hAnsi="Arial" w:cs="Arial"/>
            <w:sz w:val="20"/>
            <w:szCs w:val="20"/>
          </w:rPr>
          <w:t>https://doi.org/10.26803/ijlter.19.4.12</w:t>
        </w:r>
      </w:hyperlink>
    </w:p>
    <w:p w14:paraId="7582F2F1"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Calaguas, G. M. (2011). The link between academic achie</w:t>
      </w:r>
      <w:r w:rsidRPr="00CE7996">
        <w:rPr>
          <w:rFonts w:ascii="Arial" w:hAnsi="Arial" w:cs="Arial"/>
          <w:sz w:val="20"/>
          <w:szCs w:val="20"/>
        </w:rPr>
        <w:t xml:space="preserve">vement and academic expectations stress. </w:t>
      </w:r>
      <w:r w:rsidRPr="00CE7996">
        <w:rPr>
          <w:rStyle w:val="Emphasis"/>
          <w:rFonts w:ascii="Arial" w:eastAsiaTheme="majorEastAsia" w:hAnsi="Arial" w:cs="Arial"/>
          <w:sz w:val="20"/>
          <w:szCs w:val="20"/>
        </w:rPr>
        <w:t>Journal of Education and Vocational Research, 1</w:t>
      </w:r>
      <w:r w:rsidRPr="00CE7996">
        <w:rPr>
          <w:rFonts w:ascii="Arial" w:hAnsi="Arial" w:cs="Arial"/>
          <w:sz w:val="20"/>
          <w:szCs w:val="20"/>
        </w:rPr>
        <w:t xml:space="preserve">(3), 106–111. </w:t>
      </w:r>
      <w:hyperlink r:id="rId27" w:tgtFrame="_new" w:history="1">
        <w:r w:rsidR="00CE7996" w:rsidRPr="00CE7996">
          <w:rPr>
            <w:rStyle w:val="Hyperlink"/>
            <w:rFonts w:ascii="Arial" w:hAnsi="Arial" w:cs="Arial"/>
            <w:sz w:val="20"/>
            <w:szCs w:val="20"/>
          </w:rPr>
          <w:t>https://doi.org/10.22610/jevr.v1i3.16</w:t>
        </w:r>
      </w:hyperlink>
    </w:p>
    <w:p w14:paraId="3BAEF15A" w14:textId="38DEF8B0"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Callena, E., Gabales, B., Tutor, R., Villanueva, S.,</w:t>
      </w:r>
      <w:r w:rsidRPr="00CE7996">
        <w:rPr>
          <w:rFonts w:ascii="Arial" w:hAnsi="Arial" w:cs="Arial"/>
          <w:sz w:val="20"/>
          <w:szCs w:val="20"/>
        </w:rPr>
        <w:t xml:space="preserve"> Gonzales, C., Vera, A. de, Caberte, S., Nillas, V. B., Acerbo, J., &amp; Pantaleon, A. (2019). Predictors of passing probability in the Licensure Examination for selected programs in the University of Southeastern Philippines. </w:t>
      </w:r>
      <w:r w:rsidRPr="00CE7996">
        <w:rPr>
          <w:rStyle w:val="Emphasis"/>
          <w:rFonts w:ascii="Arial" w:eastAsiaTheme="majorEastAsia" w:hAnsi="Arial" w:cs="Arial"/>
          <w:sz w:val="20"/>
          <w:szCs w:val="20"/>
        </w:rPr>
        <w:t>Southeastern Philippines Journal</w:t>
      </w:r>
      <w:r w:rsidRPr="00CE7996">
        <w:rPr>
          <w:rStyle w:val="Emphasis"/>
          <w:rFonts w:ascii="Arial" w:eastAsiaTheme="majorEastAsia" w:hAnsi="Arial" w:cs="Arial"/>
          <w:sz w:val="20"/>
          <w:szCs w:val="20"/>
        </w:rPr>
        <w:t xml:space="preserve"> of Research and Development, 24</w:t>
      </w:r>
      <w:r w:rsidRPr="00CE7996">
        <w:rPr>
          <w:rFonts w:ascii="Arial" w:hAnsi="Arial" w:cs="Arial"/>
          <w:sz w:val="20"/>
          <w:szCs w:val="20"/>
        </w:rPr>
        <w:t xml:space="preserve">(1), 1–16. </w:t>
      </w:r>
      <w:hyperlink r:id="rId28" w:tgtFrame="_new" w:history="1">
        <w:r w:rsidR="00CE7996" w:rsidRPr="00CE7996">
          <w:rPr>
            <w:rStyle w:val="Hyperlink"/>
            <w:rFonts w:ascii="Arial" w:hAnsi="Arial" w:cs="Arial"/>
            <w:sz w:val="20"/>
            <w:szCs w:val="20"/>
          </w:rPr>
          <w:t>https://doi.org/10.53899/spjrd.v24i1.12</w:t>
        </w:r>
      </w:hyperlink>
    </w:p>
    <w:p w14:paraId="416DCF74"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Camañero, R. T., Berico, A. M., &amp; Tan, D. A. (2024). Predictors of licensure examination performance of bac</w:t>
      </w:r>
      <w:r w:rsidRPr="00CE7996">
        <w:rPr>
          <w:rFonts w:ascii="Arial" w:hAnsi="Arial" w:cs="Arial"/>
          <w:sz w:val="20"/>
          <w:szCs w:val="20"/>
        </w:rPr>
        <w:t xml:space="preserve">helor's in education graduates of a community college in Bukidnon, Philippines. </w:t>
      </w:r>
      <w:r w:rsidRPr="00CE7996">
        <w:rPr>
          <w:rStyle w:val="Emphasis"/>
          <w:rFonts w:ascii="Arial" w:eastAsiaTheme="majorEastAsia" w:hAnsi="Arial" w:cs="Arial"/>
          <w:sz w:val="20"/>
          <w:szCs w:val="20"/>
        </w:rPr>
        <w:t>International Journal of Research and Innovation in Social Science, 8</w:t>
      </w:r>
      <w:r w:rsidRPr="00CE7996">
        <w:rPr>
          <w:rFonts w:ascii="Arial" w:hAnsi="Arial" w:cs="Arial"/>
          <w:sz w:val="20"/>
          <w:szCs w:val="20"/>
        </w:rPr>
        <w:t xml:space="preserve">(10), 821–831. </w:t>
      </w:r>
      <w:hyperlink r:id="rId29" w:tgtFrame="_new" w:history="1">
        <w:r w:rsidR="00CE7996" w:rsidRPr="00CE7996">
          <w:rPr>
            <w:rStyle w:val="Hyperlink"/>
            <w:rFonts w:ascii="Arial" w:hAnsi="Arial" w:cs="Arial"/>
            <w:sz w:val="20"/>
            <w:szCs w:val="20"/>
          </w:rPr>
          <w:t>https://doi.org/10.47772/ijriss.2024.8100067</w:t>
        </w:r>
      </w:hyperlink>
    </w:p>
    <w:p w14:paraId="2CBC731A"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Colicol, F. L., Puig, C. Z., &amp; Judan, S. J. (2022). Evaluation of university review program for teachers' licensure examination: A transformative mixed methods study using Bourdieu-Scheerens framework. </w:t>
      </w:r>
      <w:r w:rsidRPr="00CE7996">
        <w:rPr>
          <w:rStyle w:val="Emphasis"/>
          <w:rFonts w:ascii="Arial" w:eastAsiaTheme="majorEastAsia" w:hAnsi="Arial" w:cs="Arial"/>
          <w:sz w:val="20"/>
          <w:szCs w:val="20"/>
        </w:rPr>
        <w:t>International Journal of Learn</w:t>
      </w:r>
      <w:r w:rsidRPr="00CE7996">
        <w:rPr>
          <w:rStyle w:val="Emphasis"/>
          <w:rFonts w:ascii="Arial" w:eastAsiaTheme="majorEastAsia" w:hAnsi="Arial" w:cs="Arial"/>
          <w:sz w:val="20"/>
          <w:szCs w:val="20"/>
        </w:rPr>
        <w:t>ing, Teaching and Educational Research, 21</w:t>
      </w:r>
      <w:r w:rsidRPr="00CE7996">
        <w:rPr>
          <w:rFonts w:ascii="Arial" w:hAnsi="Arial" w:cs="Arial"/>
          <w:sz w:val="20"/>
          <w:szCs w:val="20"/>
        </w:rPr>
        <w:t xml:space="preserve">(1), 277–300. </w:t>
      </w:r>
      <w:hyperlink r:id="rId30" w:tgtFrame="_new" w:history="1">
        <w:r w:rsidR="00CE7996" w:rsidRPr="00CE7996">
          <w:rPr>
            <w:rStyle w:val="Hyperlink"/>
            <w:rFonts w:ascii="Arial" w:hAnsi="Arial" w:cs="Arial"/>
            <w:sz w:val="20"/>
            <w:szCs w:val="20"/>
          </w:rPr>
          <w:t>https://doi.org/10.26803/ijlter.21.1.16</w:t>
        </w:r>
      </w:hyperlink>
    </w:p>
    <w:p w14:paraId="54987DBE"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Dela Cruz, E., Mabalot, M. J., &amp; Sismondo, G. R. (2024). Correlational analysis of 2018 Licensure Examination for Teachers (LET) results of education graduates in a higher education institution in Manila. </w:t>
      </w:r>
      <w:r w:rsidRPr="00CE7996">
        <w:rPr>
          <w:rStyle w:val="Emphasis"/>
          <w:rFonts w:ascii="Arial" w:eastAsiaTheme="majorEastAsia" w:hAnsi="Arial" w:cs="Arial"/>
          <w:sz w:val="20"/>
          <w:szCs w:val="20"/>
        </w:rPr>
        <w:t>International Journal of Research and Innovation in</w:t>
      </w:r>
      <w:r w:rsidRPr="00CE7996">
        <w:rPr>
          <w:rStyle w:val="Emphasis"/>
          <w:rFonts w:ascii="Arial" w:eastAsiaTheme="majorEastAsia" w:hAnsi="Arial" w:cs="Arial"/>
          <w:sz w:val="20"/>
          <w:szCs w:val="20"/>
        </w:rPr>
        <w:t xml:space="preserve"> Social Science</w:t>
      </w:r>
      <w:r w:rsidRPr="00CE7996">
        <w:rPr>
          <w:rFonts w:ascii="Arial" w:hAnsi="Arial" w:cs="Arial"/>
          <w:sz w:val="20"/>
          <w:szCs w:val="20"/>
        </w:rPr>
        <w:t xml:space="preserve">. </w:t>
      </w:r>
      <w:hyperlink r:id="rId31" w:tgtFrame="_new" w:history="1">
        <w:r w:rsidR="00CE7996" w:rsidRPr="00CE7996">
          <w:rPr>
            <w:rStyle w:val="Hyperlink"/>
            <w:rFonts w:ascii="Arial" w:hAnsi="Arial" w:cs="Arial"/>
            <w:sz w:val="20"/>
            <w:szCs w:val="20"/>
          </w:rPr>
          <w:t>https://doi.org/10.47772/ijriss.2024.8100244</w:t>
        </w:r>
      </w:hyperlink>
    </w:p>
    <w:p w14:paraId="791CBEEE"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Dela Fuente, J. A. (2021). Contributing factors to the performance of pre-service physical science teachers in the Licensur</w:t>
      </w:r>
      <w:r w:rsidRPr="00CE7996">
        <w:rPr>
          <w:rFonts w:ascii="Arial" w:hAnsi="Arial" w:cs="Arial"/>
          <w:sz w:val="20"/>
          <w:szCs w:val="20"/>
        </w:rPr>
        <w:t xml:space="preserve">e Examination for Teachers (LET) in the Philippines. </w:t>
      </w:r>
      <w:r w:rsidRPr="00CE7996">
        <w:rPr>
          <w:rStyle w:val="Emphasis"/>
          <w:rFonts w:ascii="Arial" w:eastAsiaTheme="majorEastAsia" w:hAnsi="Arial" w:cs="Arial"/>
          <w:sz w:val="20"/>
          <w:szCs w:val="20"/>
        </w:rPr>
        <w:t>Journal of Educational Research in Developing Areas, 2</w:t>
      </w:r>
      <w:r w:rsidRPr="00CE7996">
        <w:rPr>
          <w:rFonts w:ascii="Arial" w:hAnsi="Arial" w:cs="Arial"/>
          <w:sz w:val="20"/>
          <w:szCs w:val="20"/>
        </w:rPr>
        <w:t xml:space="preserve">(2), 141–152. </w:t>
      </w:r>
      <w:hyperlink r:id="rId32" w:tgtFrame="_new" w:history="1">
        <w:r w:rsidR="00CE7996" w:rsidRPr="00CE7996">
          <w:rPr>
            <w:rStyle w:val="Hyperlink"/>
            <w:rFonts w:ascii="Arial" w:hAnsi="Arial" w:cs="Arial"/>
            <w:sz w:val="20"/>
            <w:szCs w:val="20"/>
          </w:rPr>
          <w:t>https://doi.org/10.47434/jereda.2.2.2021.141</w:t>
        </w:r>
      </w:hyperlink>
    </w:p>
    <w:p w14:paraId="5ED5B9A7" w14:textId="241BDCE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Delos Angeles, M. A</w:t>
      </w:r>
      <w:r w:rsidRPr="00CE7996">
        <w:rPr>
          <w:rFonts w:ascii="Arial" w:hAnsi="Arial" w:cs="Arial"/>
          <w:sz w:val="20"/>
          <w:szCs w:val="20"/>
        </w:rPr>
        <w:t xml:space="preserve">. (2019). Curriculum and quality of instruction factors for successful board examination performance. </w:t>
      </w:r>
      <w:r w:rsidRPr="00CE7996">
        <w:rPr>
          <w:rStyle w:val="Emphasis"/>
          <w:rFonts w:ascii="Arial" w:eastAsiaTheme="majorEastAsia" w:hAnsi="Arial" w:cs="Arial"/>
          <w:sz w:val="20"/>
          <w:szCs w:val="20"/>
        </w:rPr>
        <w:t>American Journal of Humanities and Social Sciences Research, 3</w:t>
      </w:r>
      <w:r w:rsidRPr="00CE7996">
        <w:rPr>
          <w:rFonts w:ascii="Arial" w:hAnsi="Arial" w:cs="Arial"/>
          <w:sz w:val="20"/>
          <w:szCs w:val="20"/>
        </w:rPr>
        <w:t>(6), 250–253.</w:t>
      </w:r>
      <w:r w:rsidR="000E2688">
        <w:rPr>
          <w:rFonts w:ascii="Arial" w:hAnsi="Arial" w:cs="Arial"/>
          <w:sz w:val="20"/>
          <w:szCs w:val="20"/>
        </w:rPr>
        <w:t xml:space="preserve"> </w:t>
      </w:r>
      <w:hyperlink r:id="rId33" w:history="1">
        <w:r w:rsidR="000E2688" w:rsidRPr="009F3121">
          <w:rPr>
            <w:rStyle w:val="Hyperlink"/>
            <w:rFonts w:ascii="Arial" w:hAnsi="Arial" w:cs="Arial"/>
            <w:sz w:val="20"/>
            <w:szCs w:val="20"/>
          </w:rPr>
          <w:t>https://www.ajhssr.com/wp-content/uploads/2019/07/ZF1936250253.pdf</w:t>
        </w:r>
      </w:hyperlink>
    </w:p>
    <w:p w14:paraId="48402BFC"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Delos Angeles, M. A. G. G. (2020). Predictors of performance in Licensure Examination for Teachers. </w:t>
      </w:r>
      <w:r w:rsidRPr="00CE7996">
        <w:rPr>
          <w:rStyle w:val="Emphasis"/>
          <w:rFonts w:ascii="Arial" w:eastAsiaTheme="majorEastAsia" w:hAnsi="Arial" w:cs="Arial"/>
          <w:sz w:val="20"/>
          <w:szCs w:val="20"/>
        </w:rPr>
        <w:t>Universal Journal of Educational Research, 8</w:t>
      </w:r>
      <w:r w:rsidRPr="00CE7996">
        <w:rPr>
          <w:rFonts w:ascii="Arial" w:hAnsi="Arial" w:cs="Arial"/>
          <w:sz w:val="20"/>
          <w:szCs w:val="20"/>
        </w:rPr>
        <w:t xml:space="preserve">(3), 835–843. </w:t>
      </w:r>
      <w:hyperlink r:id="rId34" w:tgtFrame="_new" w:history="1">
        <w:r w:rsidR="00CE7996" w:rsidRPr="00CE7996">
          <w:rPr>
            <w:rStyle w:val="Hyperlink"/>
            <w:rFonts w:ascii="Arial" w:hAnsi="Arial" w:cs="Arial"/>
            <w:sz w:val="20"/>
            <w:szCs w:val="20"/>
          </w:rPr>
          <w:t>https://doi.org/10.13189/ujer.2020.080314</w:t>
        </w:r>
      </w:hyperlink>
    </w:p>
    <w:p w14:paraId="60E44719"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Dhakal, A. (2024, September 26). </w:t>
      </w:r>
      <w:r w:rsidRPr="00CE7996">
        <w:rPr>
          <w:rStyle w:val="Emphasis"/>
          <w:rFonts w:ascii="Arial" w:eastAsiaTheme="majorEastAsia" w:hAnsi="Arial" w:cs="Arial"/>
          <w:sz w:val="20"/>
          <w:szCs w:val="20"/>
        </w:rPr>
        <w:t>What is cumulative GWA, and what is its importance in academic success?</w:t>
      </w:r>
      <w:r w:rsidRPr="00CE7996">
        <w:rPr>
          <w:rFonts w:ascii="Arial" w:hAnsi="Arial" w:cs="Arial"/>
          <w:sz w:val="20"/>
          <w:szCs w:val="20"/>
        </w:rPr>
        <w:t xml:space="preserve"> GWA Calculator Philippines. </w:t>
      </w:r>
      <w:hyperlink r:id="rId35" w:tgtFrame="_new" w:history="1">
        <w:r w:rsidR="00CE7996" w:rsidRPr="00CE7996">
          <w:rPr>
            <w:rStyle w:val="Hyperlink"/>
            <w:rFonts w:ascii="Arial" w:hAnsi="Arial" w:cs="Arial"/>
            <w:sz w:val="20"/>
            <w:szCs w:val="20"/>
          </w:rPr>
          <w:t>https://gwacalculator.ph/cumulative-gwa/</w:t>
        </w:r>
      </w:hyperlink>
    </w:p>
    <w:p w14:paraId="30888125"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Emmanuel, P., &amp; Isiaq, O. (2024). Studying the impact of DP SL model on online identity management. In </w:t>
      </w:r>
      <w:r w:rsidRPr="00CE7996">
        <w:rPr>
          <w:rStyle w:val="Emphasis"/>
          <w:rFonts w:ascii="Arial" w:eastAsiaTheme="majorEastAsia" w:hAnsi="Arial" w:cs="Arial"/>
          <w:sz w:val="20"/>
          <w:szCs w:val="20"/>
        </w:rPr>
        <w:t>European Conference on Social Media</w:t>
      </w:r>
      <w:r w:rsidRPr="00CE7996">
        <w:rPr>
          <w:rFonts w:ascii="Arial" w:hAnsi="Arial" w:cs="Arial"/>
          <w:sz w:val="20"/>
          <w:szCs w:val="20"/>
        </w:rPr>
        <w:t xml:space="preserve"> (Vol. 11, No. 1, pp. 59–67).</w:t>
      </w:r>
    </w:p>
    <w:p w14:paraId="757F7608"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Esmeralda, A. B., &amp; Perez-Espinosa, J. (2015). Teacher education graduates' performance as predictor of Licensure Examination for Teachers results. </w:t>
      </w:r>
      <w:r w:rsidRPr="00CE7996">
        <w:rPr>
          <w:rStyle w:val="Emphasis"/>
          <w:rFonts w:ascii="Arial" w:eastAsiaTheme="majorEastAsia" w:hAnsi="Arial" w:cs="Arial"/>
          <w:sz w:val="20"/>
          <w:szCs w:val="20"/>
        </w:rPr>
        <w:t>JPAIR Multidisciplinary Research, 21</w:t>
      </w:r>
      <w:r w:rsidRPr="00CE7996">
        <w:rPr>
          <w:rFonts w:ascii="Arial" w:hAnsi="Arial" w:cs="Arial"/>
          <w:sz w:val="20"/>
          <w:szCs w:val="20"/>
        </w:rPr>
        <w:t xml:space="preserve">(1), 1. </w:t>
      </w:r>
      <w:hyperlink r:id="rId36" w:tgtFrame="_new" w:history="1">
        <w:r w:rsidR="00CE7996" w:rsidRPr="00CE7996">
          <w:rPr>
            <w:rStyle w:val="Hyperlink"/>
            <w:rFonts w:ascii="Arial" w:hAnsi="Arial" w:cs="Arial"/>
            <w:sz w:val="20"/>
            <w:szCs w:val="20"/>
          </w:rPr>
          <w:t>https://doi.org/10.7719/jpair.v21i1.330</w:t>
        </w:r>
      </w:hyperlink>
    </w:p>
    <w:p w14:paraId="35E00845"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Ferrer, J. (2024). Academic performance and predictors of the Licensure Examination for Teachers of the Bachelor of Elementary Education. </w:t>
      </w:r>
      <w:r w:rsidRPr="00CE7996">
        <w:rPr>
          <w:rStyle w:val="Emphasis"/>
          <w:rFonts w:ascii="Arial" w:eastAsiaTheme="majorEastAsia" w:hAnsi="Arial" w:cs="Arial"/>
          <w:sz w:val="20"/>
          <w:szCs w:val="20"/>
        </w:rPr>
        <w:t>Malaysian Journal of Social Sciences and Humanities.</w:t>
      </w:r>
      <w:r w:rsidRPr="00CE7996">
        <w:rPr>
          <w:rFonts w:ascii="Arial" w:hAnsi="Arial" w:cs="Arial"/>
          <w:sz w:val="20"/>
          <w:szCs w:val="20"/>
        </w:rPr>
        <w:t xml:space="preserve"> </w:t>
      </w:r>
      <w:hyperlink r:id="rId37" w:tgtFrame="_new" w:history="1">
        <w:r w:rsidR="00CE7996" w:rsidRPr="00CE7996">
          <w:rPr>
            <w:rStyle w:val="Hyperlink"/>
            <w:rFonts w:ascii="Arial" w:hAnsi="Arial" w:cs="Arial"/>
            <w:sz w:val="20"/>
            <w:szCs w:val="20"/>
          </w:rPr>
          <w:t>https://doi.org/10.47405/mjssh.v9i11.3091</w:t>
        </w:r>
      </w:hyperlink>
    </w:p>
    <w:p w14:paraId="6EAA002D" w14:textId="10D4BAE9"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Ferrer, J. C. (2024). Academic performance and predictors of the Licensure Examination for Teachers of the Bachelor of Elementary Education. </w:t>
      </w:r>
      <w:r w:rsidRPr="00CE7996">
        <w:rPr>
          <w:rStyle w:val="Emphasis"/>
          <w:rFonts w:ascii="Arial" w:eastAsiaTheme="majorEastAsia" w:hAnsi="Arial" w:cs="Arial"/>
          <w:sz w:val="20"/>
          <w:szCs w:val="20"/>
        </w:rPr>
        <w:t>Malaysi</w:t>
      </w:r>
      <w:r w:rsidRPr="00CE7996">
        <w:rPr>
          <w:rStyle w:val="Emphasis"/>
          <w:rFonts w:ascii="Arial" w:eastAsiaTheme="majorEastAsia" w:hAnsi="Arial" w:cs="Arial"/>
          <w:sz w:val="20"/>
          <w:szCs w:val="20"/>
        </w:rPr>
        <w:t>an Journal of Social Sciences and Humanities, 9</w:t>
      </w:r>
      <w:r w:rsidRPr="00CE7996">
        <w:rPr>
          <w:rFonts w:ascii="Arial" w:hAnsi="Arial" w:cs="Arial"/>
          <w:sz w:val="20"/>
          <w:szCs w:val="20"/>
        </w:rPr>
        <w:t xml:space="preserve">(11), e003091. </w:t>
      </w:r>
      <w:hyperlink r:id="rId38" w:tgtFrame="_new" w:history="1">
        <w:r w:rsidR="00CE7996" w:rsidRPr="00CE7996">
          <w:rPr>
            <w:rStyle w:val="Hyperlink"/>
            <w:rFonts w:ascii="Arial" w:hAnsi="Arial" w:cs="Arial"/>
            <w:sz w:val="20"/>
            <w:szCs w:val="20"/>
          </w:rPr>
          <w:t>https://doi.org/10.47405/mjssh.v9i11.3091</w:t>
        </w:r>
      </w:hyperlink>
    </w:p>
    <w:p w14:paraId="0AD5B8A2"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Guardario, L. B., Bucio, C. J. M., Garocho, L. K. B., &amp; Caballo, J. H. S. (2024). So</w:t>
      </w:r>
      <w:r w:rsidRPr="00CE7996">
        <w:rPr>
          <w:rFonts w:ascii="Arial" w:hAnsi="Arial" w:cs="Arial"/>
          <w:sz w:val="20"/>
          <w:szCs w:val="20"/>
        </w:rPr>
        <w:t xml:space="preserve">cial support and expectancy as predictors of licensure examination success among professional teachers. </w:t>
      </w:r>
      <w:r w:rsidRPr="00CE7996">
        <w:rPr>
          <w:rStyle w:val="Emphasis"/>
          <w:rFonts w:ascii="Arial" w:eastAsiaTheme="majorEastAsia" w:hAnsi="Arial" w:cs="Arial"/>
          <w:sz w:val="20"/>
          <w:szCs w:val="20"/>
        </w:rPr>
        <w:t>American Journal of Education and Technology, 3</w:t>
      </w:r>
      <w:r w:rsidRPr="00CE7996">
        <w:rPr>
          <w:rFonts w:ascii="Arial" w:hAnsi="Arial" w:cs="Arial"/>
          <w:sz w:val="20"/>
          <w:szCs w:val="20"/>
        </w:rPr>
        <w:t xml:space="preserve">(4), 24–44. </w:t>
      </w:r>
      <w:hyperlink r:id="rId39" w:tgtFrame="_new" w:history="1">
        <w:r w:rsidR="00CE7996" w:rsidRPr="00CE7996">
          <w:rPr>
            <w:rStyle w:val="Hyperlink"/>
            <w:rFonts w:ascii="Arial" w:hAnsi="Arial" w:cs="Arial"/>
            <w:sz w:val="20"/>
            <w:szCs w:val="20"/>
          </w:rPr>
          <w:t>https://doi.org/10.54536/ajet.v3i4.3416</w:t>
        </w:r>
      </w:hyperlink>
    </w:p>
    <w:p w14:paraId="4418E31C"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lastRenderedPageBreak/>
        <w:t xml:space="preserve">Jenkins, B. J. (2022). </w:t>
      </w:r>
      <w:r w:rsidRPr="00CE7996">
        <w:rPr>
          <w:rStyle w:val="Emphasis"/>
          <w:rFonts w:ascii="Arial" w:eastAsiaTheme="majorEastAsia" w:hAnsi="Arial" w:cs="Arial"/>
          <w:sz w:val="20"/>
          <w:szCs w:val="20"/>
        </w:rPr>
        <w:t>The student in difficulty</w:t>
      </w:r>
      <w:r w:rsidRPr="00CE7996">
        <w:rPr>
          <w:rFonts w:ascii="Arial" w:hAnsi="Arial" w:cs="Arial"/>
          <w:sz w:val="20"/>
          <w:szCs w:val="20"/>
        </w:rPr>
        <w:t xml:space="preserve"> (pp. 173–176). Cambridge University Press. </w:t>
      </w:r>
      <w:hyperlink r:id="rId40" w:tgtFrame="_new" w:history="1">
        <w:r w:rsidR="00CE7996" w:rsidRPr="00CE7996">
          <w:rPr>
            <w:rStyle w:val="Hyperlink"/>
            <w:rFonts w:ascii="Arial" w:hAnsi="Arial" w:cs="Arial"/>
            <w:sz w:val="20"/>
            <w:szCs w:val="20"/>
          </w:rPr>
          <w:t>https://doi.org/10.1017/9781108921206.026</w:t>
        </w:r>
      </w:hyperlink>
    </w:p>
    <w:p w14:paraId="09CD9539"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Jeyaraju, M., Linford, H., Mendes, T. B.,</w:t>
      </w:r>
      <w:r w:rsidRPr="00CE7996">
        <w:rPr>
          <w:rFonts w:ascii="Arial" w:hAnsi="Arial" w:cs="Arial"/>
          <w:sz w:val="20"/>
          <w:szCs w:val="20"/>
        </w:rPr>
        <w:t xml:space="preserve"> Caufield-Noll, C., &amp; Tackett, S. (2022). Factors leading to successful performance on U.S. national licensure exams for medical students: A scoping review. </w:t>
      </w:r>
      <w:r w:rsidRPr="00CE7996">
        <w:rPr>
          <w:rStyle w:val="Emphasis"/>
          <w:rFonts w:ascii="Arial" w:eastAsiaTheme="majorEastAsia" w:hAnsi="Arial" w:cs="Arial"/>
          <w:sz w:val="20"/>
          <w:szCs w:val="20"/>
        </w:rPr>
        <w:t>Academic Medicine, 98</w:t>
      </w:r>
      <w:r w:rsidRPr="00CE7996">
        <w:rPr>
          <w:rFonts w:ascii="Arial" w:hAnsi="Arial" w:cs="Arial"/>
          <w:sz w:val="20"/>
          <w:szCs w:val="20"/>
        </w:rPr>
        <w:t xml:space="preserve">, 136–148. </w:t>
      </w:r>
      <w:hyperlink r:id="rId41" w:tgtFrame="_new" w:history="1">
        <w:r w:rsidR="00CE7996" w:rsidRPr="00CE7996">
          <w:rPr>
            <w:rStyle w:val="Hyperlink"/>
            <w:rFonts w:ascii="Arial" w:hAnsi="Arial" w:cs="Arial"/>
            <w:sz w:val="20"/>
            <w:szCs w:val="20"/>
          </w:rPr>
          <w:t>https://doi.org/10.1097/ACM.0000000000004877</w:t>
        </w:r>
      </w:hyperlink>
    </w:p>
    <w:p w14:paraId="2EE25C56"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Jiwan, T., Sharma, S., &amp; Thakur, S. (2023). A study to assess the influence of intelligence quotient (IQ), emotional quotient (EQ), adversity quotient (AQ), and spiritual quotient (SQ) on the academic perfor</w:t>
      </w:r>
      <w:r w:rsidRPr="00CE7996">
        <w:rPr>
          <w:rFonts w:ascii="Arial" w:hAnsi="Arial" w:cs="Arial"/>
          <w:sz w:val="20"/>
          <w:szCs w:val="20"/>
        </w:rPr>
        <w:t xml:space="preserve">mance among undergraduate students. </w:t>
      </w:r>
      <w:r w:rsidRPr="00CE7996">
        <w:rPr>
          <w:rStyle w:val="Emphasis"/>
          <w:rFonts w:ascii="Arial" w:eastAsiaTheme="majorEastAsia" w:hAnsi="Arial" w:cs="Arial"/>
          <w:sz w:val="20"/>
          <w:szCs w:val="20"/>
        </w:rPr>
        <w:t>International Journal of Scientific Research</w:t>
      </w:r>
      <w:r w:rsidRPr="00CE7996">
        <w:rPr>
          <w:rFonts w:ascii="Arial" w:hAnsi="Arial" w:cs="Arial"/>
          <w:sz w:val="20"/>
          <w:szCs w:val="20"/>
        </w:rPr>
        <w:t xml:space="preserve">, 26–28. </w:t>
      </w:r>
      <w:hyperlink r:id="rId42" w:tgtFrame="_new" w:history="1">
        <w:r w:rsidR="00CE7996" w:rsidRPr="00CE7996">
          <w:rPr>
            <w:rStyle w:val="Hyperlink"/>
            <w:rFonts w:ascii="Arial" w:hAnsi="Arial" w:cs="Arial"/>
            <w:sz w:val="20"/>
            <w:szCs w:val="20"/>
          </w:rPr>
          <w:t>https://doi.org/10.36106/ijsr/0924557</w:t>
        </w:r>
      </w:hyperlink>
    </w:p>
    <w:p w14:paraId="3CFD24A9"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Kondraske, G. V., &amp; DiSalvi, L. R. (2024). </w:t>
      </w:r>
      <w:r w:rsidRPr="00CE7996">
        <w:rPr>
          <w:rStyle w:val="Emphasis"/>
          <w:rFonts w:ascii="Arial" w:eastAsiaTheme="majorEastAsia" w:hAnsi="Arial" w:cs="Arial"/>
          <w:sz w:val="20"/>
          <w:szCs w:val="20"/>
        </w:rPr>
        <w:t xml:space="preserve">Composite measures of </w:t>
      </w:r>
      <w:r w:rsidRPr="00CE7996">
        <w:rPr>
          <w:rStyle w:val="Emphasis"/>
          <w:rFonts w:ascii="Arial" w:eastAsiaTheme="majorEastAsia" w:hAnsi="Arial" w:cs="Arial"/>
          <w:sz w:val="20"/>
          <w:szCs w:val="20"/>
        </w:rPr>
        <w:t>academic performance: Insights from General Systems Performance Theory.</w:t>
      </w:r>
      <w:r w:rsidRPr="00CE7996">
        <w:rPr>
          <w:rFonts w:ascii="Arial" w:hAnsi="Arial" w:cs="Arial"/>
          <w:sz w:val="20"/>
          <w:szCs w:val="20"/>
        </w:rPr>
        <w:t xml:space="preserve"> </w:t>
      </w:r>
      <w:hyperlink r:id="rId43" w:tgtFrame="_new" w:history="1">
        <w:r w:rsidR="00CE7996" w:rsidRPr="00CE7996">
          <w:rPr>
            <w:rStyle w:val="Hyperlink"/>
            <w:rFonts w:ascii="Arial" w:hAnsi="Arial" w:cs="Arial"/>
            <w:sz w:val="20"/>
            <w:szCs w:val="20"/>
          </w:rPr>
          <w:t>https://doi.org/10.18260/1-2-1153-46336</w:t>
        </w:r>
      </w:hyperlink>
    </w:p>
    <w:p w14:paraId="567443EE"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Lee, M., &amp; Wimmers, P. F. (2016). Validation of a performance assessment instr</w:t>
      </w:r>
      <w:r w:rsidRPr="00CE7996">
        <w:rPr>
          <w:rFonts w:ascii="Arial" w:hAnsi="Arial" w:cs="Arial"/>
          <w:sz w:val="20"/>
          <w:szCs w:val="20"/>
        </w:rPr>
        <w:t xml:space="preserve">ument in problem-based learning tutorials using two cohorts of medical students. </w:t>
      </w:r>
      <w:r w:rsidRPr="00CE7996">
        <w:rPr>
          <w:rStyle w:val="Emphasis"/>
          <w:rFonts w:ascii="Arial" w:eastAsiaTheme="majorEastAsia" w:hAnsi="Arial" w:cs="Arial"/>
          <w:sz w:val="20"/>
          <w:szCs w:val="20"/>
        </w:rPr>
        <w:t>Advances in Health Sciences Education, 21</w:t>
      </w:r>
      <w:r w:rsidRPr="00CE7996">
        <w:rPr>
          <w:rFonts w:ascii="Arial" w:hAnsi="Arial" w:cs="Arial"/>
          <w:sz w:val="20"/>
          <w:szCs w:val="20"/>
        </w:rPr>
        <w:t xml:space="preserve">(2), 341–357. </w:t>
      </w:r>
      <w:hyperlink r:id="rId44" w:tgtFrame="_new" w:history="1">
        <w:r w:rsidR="00CE7996" w:rsidRPr="00CE7996">
          <w:rPr>
            <w:rStyle w:val="Hyperlink"/>
            <w:rFonts w:ascii="Arial" w:hAnsi="Arial" w:cs="Arial"/>
            <w:sz w:val="20"/>
            <w:szCs w:val="20"/>
          </w:rPr>
          <w:t>https://doi.org/10.1007/s10459-015-9632-y</w:t>
        </w:r>
      </w:hyperlink>
    </w:p>
    <w:p w14:paraId="455EE7D0"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Lento, C.,</w:t>
      </w:r>
      <w:r w:rsidRPr="00CE7996">
        <w:rPr>
          <w:rFonts w:ascii="Arial" w:hAnsi="Arial" w:cs="Arial"/>
          <w:sz w:val="20"/>
          <w:szCs w:val="20"/>
        </w:rPr>
        <w:t xml:space="preserve"> &amp; Sayed, N. (2014). Course grades or faculty intuition: Which is a better predictor of student success on professional accounting exams? </w:t>
      </w:r>
      <w:r w:rsidRPr="00CE7996">
        <w:rPr>
          <w:rStyle w:val="Emphasis"/>
          <w:rFonts w:ascii="Arial" w:eastAsiaTheme="majorEastAsia" w:hAnsi="Arial" w:cs="Arial"/>
          <w:sz w:val="20"/>
          <w:szCs w:val="20"/>
        </w:rPr>
        <w:t>Social Science Research Network.</w:t>
      </w:r>
      <w:r w:rsidRPr="00CE7996">
        <w:rPr>
          <w:rFonts w:ascii="Arial" w:hAnsi="Arial" w:cs="Arial"/>
          <w:sz w:val="20"/>
          <w:szCs w:val="20"/>
        </w:rPr>
        <w:t xml:space="preserve"> </w:t>
      </w:r>
      <w:hyperlink r:id="rId45" w:tgtFrame="_new" w:history="1">
        <w:r w:rsidR="00CE7996" w:rsidRPr="00CE7996">
          <w:rPr>
            <w:rStyle w:val="Hyperlink"/>
            <w:rFonts w:ascii="Arial" w:hAnsi="Arial" w:cs="Arial"/>
            <w:sz w:val="20"/>
            <w:szCs w:val="20"/>
          </w:rPr>
          <w:t>https://doi.org/10.2139/ssrn.2337290</w:t>
        </w:r>
      </w:hyperlink>
    </w:p>
    <w:p w14:paraId="387D535A"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Macalinao, Z. A., Abagon, B., Dalusong, R., Laguer, P. Jr., Parangat, K., Charcos, C. M., &amp; Dantic, M. J. (2024). Trends and comparative analysis in College of Teacher Education graduates' Licensure Examination performance (2021–2024). </w:t>
      </w:r>
      <w:r w:rsidRPr="00CE7996">
        <w:rPr>
          <w:rStyle w:val="Emphasis"/>
          <w:rFonts w:ascii="Arial" w:eastAsiaTheme="majorEastAsia" w:hAnsi="Arial" w:cs="Arial"/>
          <w:sz w:val="20"/>
          <w:szCs w:val="20"/>
        </w:rPr>
        <w:t xml:space="preserve">East </w:t>
      </w:r>
      <w:r w:rsidRPr="00CE7996">
        <w:rPr>
          <w:rStyle w:val="Emphasis"/>
          <w:rFonts w:ascii="Arial" w:eastAsiaTheme="majorEastAsia" w:hAnsi="Arial" w:cs="Arial"/>
          <w:sz w:val="20"/>
          <w:szCs w:val="20"/>
        </w:rPr>
        <w:t>African Scholars Journal of Education, Humanities and Literature.</w:t>
      </w:r>
      <w:r w:rsidRPr="00CE7996">
        <w:rPr>
          <w:rFonts w:ascii="Arial" w:hAnsi="Arial" w:cs="Arial"/>
          <w:sz w:val="20"/>
          <w:szCs w:val="20"/>
        </w:rPr>
        <w:t xml:space="preserve"> </w:t>
      </w:r>
      <w:hyperlink r:id="rId46" w:tgtFrame="_new" w:history="1">
        <w:r w:rsidR="00CE7996" w:rsidRPr="00CE7996">
          <w:rPr>
            <w:rStyle w:val="Hyperlink"/>
            <w:rFonts w:ascii="Arial" w:hAnsi="Arial" w:cs="Arial"/>
            <w:sz w:val="20"/>
            <w:szCs w:val="20"/>
          </w:rPr>
          <w:t>https://doi.org/10.36349/easjehl.2024.v07i11.001</w:t>
        </w:r>
      </w:hyperlink>
    </w:p>
    <w:p w14:paraId="3AF37BD0"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Maghinay, L. C. (2024). A correlational study of student factors and performance in CPA board examination: A case in JRMSU. </w:t>
      </w:r>
      <w:r w:rsidRPr="00CE7996">
        <w:rPr>
          <w:rStyle w:val="Emphasis"/>
          <w:rFonts w:ascii="Arial" w:eastAsiaTheme="majorEastAsia" w:hAnsi="Arial" w:cs="Arial"/>
          <w:sz w:val="20"/>
          <w:szCs w:val="20"/>
        </w:rPr>
        <w:t>International Journal of Multidisciplinary, 5</w:t>
      </w:r>
      <w:r w:rsidRPr="00CE7996">
        <w:rPr>
          <w:rFonts w:ascii="Arial" w:hAnsi="Arial" w:cs="Arial"/>
          <w:sz w:val="20"/>
          <w:szCs w:val="20"/>
        </w:rPr>
        <w:t xml:space="preserve">(6), 2045–2059. </w:t>
      </w:r>
      <w:hyperlink r:id="rId47" w:tgtFrame="_new" w:history="1">
        <w:r w:rsidR="00CE7996" w:rsidRPr="00CE7996">
          <w:rPr>
            <w:rStyle w:val="Hyperlink"/>
            <w:rFonts w:ascii="Arial" w:hAnsi="Arial" w:cs="Arial"/>
            <w:sz w:val="20"/>
            <w:szCs w:val="20"/>
          </w:rPr>
          <w:t>https://doi.org/10.11594/ijmaber.05.06.08</w:t>
        </w:r>
      </w:hyperlink>
    </w:p>
    <w:p w14:paraId="29E1A56B"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Mayer, D., Dixon, M., Kline, J., Kostogriz, A., Moss, J., Rowan, L., Walker-Gibbs, B., &amp; White, S. (2017). </w:t>
      </w:r>
      <w:r w:rsidRPr="00CE7996">
        <w:rPr>
          <w:rStyle w:val="Emphasis"/>
          <w:rFonts w:ascii="Arial" w:eastAsiaTheme="majorEastAsia" w:hAnsi="Arial" w:cs="Arial"/>
          <w:sz w:val="20"/>
          <w:szCs w:val="20"/>
        </w:rPr>
        <w:t>Studying the effectiveness of teacher education</w:t>
      </w:r>
      <w:r w:rsidRPr="00CE7996">
        <w:rPr>
          <w:rFonts w:ascii="Arial" w:hAnsi="Arial" w:cs="Arial"/>
          <w:sz w:val="20"/>
          <w:szCs w:val="20"/>
        </w:rPr>
        <w:t xml:space="preserve"> (Vol. 10, pp. 13–26). Springer Singapore. </w:t>
      </w:r>
      <w:hyperlink r:id="rId48" w:tgtFrame="_new" w:history="1">
        <w:r w:rsidR="00CE7996" w:rsidRPr="00CE7996">
          <w:rPr>
            <w:rStyle w:val="Hyperlink"/>
            <w:rFonts w:ascii="Arial" w:hAnsi="Arial" w:cs="Arial"/>
            <w:sz w:val="20"/>
            <w:szCs w:val="20"/>
          </w:rPr>
          <w:t>https://doi.org/10.1007/978-981-10-3929-4_2</w:t>
        </w:r>
      </w:hyperlink>
    </w:p>
    <w:p w14:paraId="5093BEF4"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Mignon, V. (2024). </w:t>
      </w:r>
      <w:r w:rsidRPr="00CE7996">
        <w:rPr>
          <w:rStyle w:val="Emphasis"/>
          <w:rFonts w:ascii="Arial" w:eastAsiaTheme="majorEastAsia" w:hAnsi="Arial" w:cs="Arial"/>
          <w:sz w:val="20"/>
          <w:szCs w:val="20"/>
        </w:rPr>
        <w:t>The simple regression model</w:t>
      </w:r>
      <w:r w:rsidRPr="00CE7996">
        <w:rPr>
          <w:rFonts w:ascii="Arial" w:hAnsi="Arial" w:cs="Arial"/>
          <w:sz w:val="20"/>
          <w:szCs w:val="20"/>
        </w:rPr>
        <w:t xml:space="preserve"> (pp. 27–103). Springer International Publishing. </w:t>
      </w:r>
      <w:hyperlink r:id="rId49" w:tgtFrame="_new" w:history="1">
        <w:r w:rsidR="00CE7996" w:rsidRPr="00CE7996">
          <w:rPr>
            <w:rStyle w:val="Hyperlink"/>
            <w:rFonts w:ascii="Arial" w:hAnsi="Arial" w:cs="Arial"/>
            <w:sz w:val="20"/>
            <w:szCs w:val="20"/>
          </w:rPr>
          <w:t>https://doi.org/10.1007/978-3-031-52535-3_2</w:t>
        </w:r>
      </w:hyperlink>
    </w:p>
    <w:p w14:paraId="4F11829D"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Muico, J., Chan, L., &amp; Camacho, A. (2024). The correlation analysis between students' performance and Licensure Examination result of BEED graduates in UM Panabo College. </w:t>
      </w:r>
      <w:r w:rsidRPr="00CE7996">
        <w:rPr>
          <w:rStyle w:val="Emphasis"/>
          <w:rFonts w:ascii="Arial" w:eastAsiaTheme="majorEastAsia" w:hAnsi="Arial" w:cs="Arial"/>
          <w:sz w:val="20"/>
          <w:szCs w:val="20"/>
        </w:rPr>
        <w:t>International Journal of Research and</w:t>
      </w:r>
      <w:r w:rsidRPr="00CE7996">
        <w:rPr>
          <w:rStyle w:val="Emphasis"/>
          <w:rFonts w:ascii="Arial" w:eastAsiaTheme="majorEastAsia" w:hAnsi="Arial" w:cs="Arial"/>
          <w:sz w:val="20"/>
          <w:szCs w:val="20"/>
        </w:rPr>
        <w:t xml:space="preserve"> Innovation in Social Science.</w:t>
      </w:r>
      <w:r w:rsidRPr="00CE7996">
        <w:rPr>
          <w:rFonts w:ascii="Arial" w:hAnsi="Arial" w:cs="Arial"/>
          <w:sz w:val="20"/>
          <w:szCs w:val="20"/>
        </w:rPr>
        <w:t xml:space="preserve"> </w:t>
      </w:r>
      <w:hyperlink r:id="rId50" w:tgtFrame="_new" w:history="1">
        <w:r w:rsidR="00CE7996" w:rsidRPr="00CE7996">
          <w:rPr>
            <w:rStyle w:val="Hyperlink"/>
            <w:rFonts w:ascii="Arial" w:hAnsi="Arial" w:cs="Arial"/>
            <w:sz w:val="20"/>
            <w:szCs w:val="20"/>
          </w:rPr>
          <w:t>https://doi.org/10.47772/ijriss.2024.8100209</w:t>
        </w:r>
      </w:hyperlink>
    </w:p>
    <w:p w14:paraId="6DCC910E"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Navida, G. S., &amp; Cocal, C. J. (2022). Predictors of BSEd Mathematics Licensure Examination for Teachers (LET)</w:t>
      </w:r>
      <w:r w:rsidRPr="00CE7996">
        <w:rPr>
          <w:rFonts w:ascii="Arial" w:hAnsi="Arial" w:cs="Arial"/>
          <w:sz w:val="20"/>
          <w:szCs w:val="20"/>
        </w:rPr>
        <w:t xml:space="preserve"> performance of one ASEAN state university. </w:t>
      </w:r>
      <w:r w:rsidRPr="00CE7996">
        <w:rPr>
          <w:rStyle w:val="Emphasis"/>
          <w:rFonts w:ascii="Arial" w:eastAsiaTheme="majorEastAsia" w:hAnsi="Arial" w:cs="Arial"/>
          <w:sz w:val="20"/>
          <w:szCs w:val="20"/>
        </w:rPr>
        <w:t>International Journal of Scientific and Management Research, 5</w:t>
      </w:r>
      <w:r w:rsidRPr="00CE7996">
        <w:rPr>
          <w:rFonts w:ascii="Arial" w:hAnsi="Arial" w:cs="Arial"/>
          <w:sz w:val="20"/>
          <w:szCs w:val="20"/>
        </w:rPr>
        <w:t xml:space="preserve">(3), 23–31. </w:t>
      </w:r>
      <w:hyperlink r:id="rId51" w:tgtFrame="_new" w:history="1">
        <w:r w:rsidR="00CE7996" w:rsidRPr="00CE7996">
          <w:rPr>
            <w:rStyle w:val="Hyperlink"/>
            <w:rFonts w:ascii="Arial" w:hAnsi="Arial" w:cs="Arial"/>
            <w:sz w:val="20"/>
            <w:szCs w:val="20"/>
          </w:rPr>
          <w:t>https://doi.org/10.37502/ijsmr.2022.5303</w:t>
        </w:r>
      </w:hyperlink>
    </w:p>
    <w:p w14:paraId="5BE5C5FD"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Pangngay, J. J., &amp; Merza, C. A</w:t>
      </w:r>
      <w:r w:rsidRPr="00CE7996">
        <w:rPr>
          <w:rFonts w:ascii="Arial" w:hAnsi="Arial" w:cs="Arial"/>
          <w:sz w:val="20"/>
          <w:szCs w:val="20"/>
        </w:rPr>
        <w:t xml:space="preserve">. R. (2023). Academic predictors of performance in the board Licensure Examination for Psychometricians. </w:t>
      </w:r>
      <w:r w:rsidRPr="00CE7996">
        <w:rPr>
          <w:rStyle w:val="Emphasis"/>
          <w:rFonts w:ascii="Arial" w:eastAsiaTheme="majorEastAsia" w:hAnsi="Arial" w:cs="Arial"/>
          <w:sz w:val="20"/>
          <w:szCs w:val="20"/>
        </w:rPr>
        <w:t>Philippine Social Science Journal, 6</w:t>
      </w:r>
      <w:r w:rsidRPr="00CE7996">
        <w:rPr>
          <w:rFonts w:ascii="Arial" w:hAnsi="Arial" w:cs="Arial"/>
          <w:sz w:val="20"/>
          <w:szCs w:val="20"/>
        </w:rPr>
        <w:t xml:space="preserve">(1), 74–84. </w:t>
      </w:r>
      <w:hyperlink r:id="rId52" w:tgtFrame="_new" w:history="1">
        <w:r w:rsidR="00CE7996" w:rsidRPr="00CE7996">
          <w:rPr>
            <w:rStyle w:val="Hyperlink"/>
            <w:rFonts w:ascii="Arial" w:hAnsi="Arial" w:cs="Arial"/>
            <w:sz w:val="20"/>
            <w:szCs w:val="20"/>
          </w:rPr>
          <w:t>https://doi.org/10.52006/main.v6i1.633</w:t>
        </w:r>
      </w:hyperlink>
    </w:p>
    <w:p w14:paraId="18E95726"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Papadogiannis, I., Poulopoulos, V., Platis, N., Vassilakis, C., Lepouras, G., &amp; Wallace, M. (2023). First grade GPA as a predictor of later academic performance in high school. </w:t>
      </w:r>
      <w:r w:rsidRPr="00CE7996">
        <w:rPr>
          <w:rStyle w:val="Emphasis"/>
          <w:rFonts w:ascii="Arial" w:eastAsiaTheme="majorEastAsia" w:hAnsi="Arial" w:cs="Arial"/>
          <w:sz w:val="20"/>
          <w:szCs w:val="20"/>
        </w:rPr>
        <w:t>Knowledge.</w:t>
      </w:r>
      <w:r w:rsidRPr="00CE7996">
        <w:rPr>
          <w:rFonts w:ascii="Arial" w:hAnsi="Arial" w:cs="Arial"/>
          <w:sz w:val="20"/>
          <w:szCs w:val="20"/>
        </w:rPr>
        <w:t xml:space="preserve"> </w:t>
      </w:r>
      <w:hyperlink r:id="rId53" w:tgtFrame="_new" w:history="1">
        <w:r w:rsidR="00CE7996" w:rsidRPr="00CE7996">
          <w:rPr>
            <w:rStyle w:val="Hyperlink"/>
            <w:rFonts w:ascii="Arial" w:hAnsi="Arial" w:cs="Arial"/>
            <w:sz w:val="20"/>
            <w:szCs w:val="20"/>
          </w:rPr>
          <w:t>https://doi.org/10.3390/knowledge3030033</w:t>
        </w:r>
      </w:hyperlink>
    </w:p>
    <w:p w14:paraId="4AC11748"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Petchauer, E. (2018). </w:t>
      </w:r>
      <w:r w:rsidRPr="00CE7996">
        <w:rPr>
          <w:rStyle w:val="Emphasis"/>
          <w:rFonts w:ascii="Arial" w:eastAsiaTheme="majorEastAsia" w:hAnsi="Arial" w:cs="Arial"/>
          <w:sz w:val="20"/>
          <w:szCs w:val="20"/>
        </w:rPr>
        <w:t>Navigating teacher licensure exams: Success and self-discovery on the high-stakes path to the classroom.</w:t>
      </w:r>
      <w:r w:rsidRPr="00CE7996">
        <w:rPr>
          <w:rFonts w:ascii="Arial" w:hAnsi="Arial" w:cs="Arial"/>
          <w:sz w:val="20"/>
          <w:szCs w:val="20"/>
        </w:rPr>
        <w:t xml:space="preserve"> </w:t>
      </w:r>
      <w:hyperlink r:id="rId54" w:tgtFrame="_new" w:history="1">
        <w:r w:rsidR="00CE7996" w:rsidRPr="00CE7996">
          <w:rPr>
            <w:rStyle w:val="Hyperlink"/>
            <w:rFonts w:ascii="Arial" w:hAnsi="Arial" w:cs="Arial"/>
            <w:sz w:val="20"/>
            <w:szCs w:val="20"/>
          </w:rPr>
          <w:t>https://www.taylorfrancis.com/books/navigating-teacher-licensure-exams-emery-petchauer/10.4324/9781351168168</w:t>
        </w:r>
      </w:hyperlink>
    </w:p>
    <w:p w14:paraId="6CA7141F"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Puertos, J. (2015). Performance on the Licensure Exam for Teachers among Liceo de Cagayan University</w:t>
      </w:r>
      <w:r w:rsidRPr="00CE7996">
        <w:rPr>
          <w:rFonts w:ascii="Arial" w:hAnsi="Arial" w:cs="Arial"/>
          <w:sz w:val="20"/>
          <w:szCs w:val="20"/>
        </w:rPr>
        <w:t xml:space="preserve"> education graduates. </w:t>
      </w:r>
      <w:r w:rsidRPr="00CE7996">
        <w:rPr>
          <w:rStyle w:val="Emphasis"/>
          <w:rFonts w:ascii="Arial" w:eastAsiaTheme="majorEastAsia" w:hAnsi="Arial" w:cs="Arial"/>
          <w:sz w:val="20"/>
          <w:szCs w:val="20"/>
        </w:rPr>
        <w:t>Liceo Journal of Higher Education Research, 11.</w:t>
      </w:r>
      <w:r w:rsidRPr="00CE7996">
        <w:rPr>
          <w:rFonts w:ascii="Arial" w:hAnsi="Arial" w:cs="Arial"/>
          <w:sz w:val="20"/>
          <w:szCs w:val="20"/>
        </w:rPr>
        <w:t xml:space="preserve"> </w:t>
      </w:r>
      <w:hyperlink r:id="rId55" w:tgtFrame="_new" w:history="1">
        <w:r w:rsidR="00CE7996" w:rsidRPr="00CE7996">
          <w:rPr>
            <w:rStyle w:val="Hyperlink"/>
            <w:rFonts w:ascii="Arial" w:hAnsi="Arial" w:cs="Arial"/>
            <w:sz w:val="20"/>
            <w:szCs w:val="20"/>
          </w:rPr>
          <w:t>https://doi.org/10.7828/ljher.v11i1.896</w:t>
        </w:r>
      </w:hyperlink>
    </w:p>
    <w:p w14:paraId="10D01F73"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lastRenderedPageBreak/>
        <w:t xml:space="preserve">Ramirez, N. B., Villar, P. M. P., Planas, R. B., &amp; Guiyab, R. J. D. (2024). Unlocking board exam clues: Best practices of regional topnotchers in the Criminologist Licensure Examination. </w:t>
      </w:r>
      <w:r w:rsidRPr="00CE7996">
        <w:rPr>
          <w:rStyle w:val="Emphasis"/>
          <w:rFonts w:ascii="Arial" w:eastAsiaTheme="majorEastAsia" w:hAnsi="Arial" w:cs="Arial"/>
          <w:sz w:val="20"/>
          <w:szCs w:val="20"/>
        </w:rPr>
        <w:t>International Journal of Research and Innovation in Social Science, 8</w:t>
      </w:r>
      <w:r w:rsidRPr="00CE7996">
        <w:rPr>
          <w:rFonts w:ascii="Arial" w:hAnsi="Arial" w:cs="Arial"/>
          <w:sz w:val="20"/>
          <w:szCs w:val="20"/>
        </w:rPr>
        <w:t xml:space="preserve">(8), 2572–2579. </w:t>
      </w:r>
      <w:hyperlink r:id="rId56" w:tgtFrame="_new" w:history="1">
        <w:r w:rsidR="00CE7996" w:rsidRPr="00CE7996">
          <w:rPr>
            <w:rStyle w:val="Hyperlink"/>
            <w:rFonts w:ascii="Arial" w:hAnsi="Arial" w:cs="Arial"/>
            <w:sz w:val="20"/>
            <w:szCs w:val="20"/>
          </w:rPr>
          <w:t>https://doi.org/10.47772/ijriss.2024.8080196</w:t>
        </w:r>
      </w:hyperlink>
    </w:p>
    <w:p w14:paraId="1B5349EF"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Rivas, S., Saiz, C., &amp; Almeida, L. (2023). The role of critical thinking in predicting and improving academic performance. </w:t>
      </w:r>
      <w:r w:rsidRPr="00CE7996">
        <w:rPr>
          <w:rStyle w:val="Emphasis"/>
          <w:rFonts w:ascii="Arial" w:eastAsiaTheme="majorEastAsia" w:hAnsi="Arial" w:cs="Arial"/>
          <w:sz w:val="20"/>
          <w:szCs w:val="20"/>
        </w:rPr>
        <w:t>S</w:t>
      </w:r>
      <w:r w:rsidRPr="00CE7996">
        <w:rPr>
          <w:rStyle w:val="Emphasis"/>
          <w:rFonts w:ascii="Arial" w:eastAsiaTheme="majorEastAsia" w:hAnsi="Arial" w:cs="Arial"/>
          <w:sz w:val="20"/>
          <w:szCs w:val="20"/>
        </w:rPr>
        <w:t>ustainability.</w:t>
      </w:r>
      <w:r w:rsidRPr="00CE7996">
        <w:rPr>
          <w:rFonts w:ascii="Arial" w:hAnsi="Arial" w:cs="Arial"/>
          <w:sz w:val="20"/>
          <w:szCs w:val="20"/>
        </w:rPr>
        <w:t xml:space="preserve"> </w:t>
      </w:r>
      <w:hyperlink r:id="rId57" w:tgtFrame="_new" w:history="1">
        <w:r w:rsidR="00CE7996" w:rsidRPr="00CE7996">
          <w:rPr>
            <w:rStyle w:val="Hyperlink"/>
            <w:rFonts w:ascii="Arial" w:hAnsi="Arial" w:cs="Arial"/>
            <w:sz w:val="20"/>
            <w:szCs w:val="20"/>
          </w:rPr>
          <w:t>https://doi.org/10.3390/su15021527</w:t>
        </w:r>
      </w:hyperlink>
    </w:p>
    <w:p w14:paraId="6548106B"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Salcedo, A., Salcedo, S. S., Marasigan, R. P., Guevarra, R. M., Datu, E. T., &amp; Aquino, R. B. (2021). Cumulative grade point average and comprehen</w:t>
      </w:r>
      <w:r w:rsidRPr="00CE7996">
        <w:rPr>
          <w:rFonts w:ascii="Arial" w:hAnsi="Arial" w:cs="Arial"/>
          <w:sz w:val="20"/>
          <w:szCs w:val="20"/>
        </w:rPr>
        <w:t xml:space="preserve">sive examination results as predictors of Certified Public Accountant board examinees' performance. </w:t>
      </w:r>
      <w:r w:rsidRPr="00CE7996">
        <w:rPr>
          <w:rStyle w:val="Emphasis"/>
          <w:rFonts w:ascii="Arial" w:eastAsiaTheme="majorEastAsia" w:hAnsi="Arial" w:cs="Arial"/>
          <w:sz w:val="20"/>
          <w:szCs w:val="20"/>
        </w:rPr>
        <w:t>International Journal of Multidisciplinary, 2</w:t>
      </w:r>
      <w:r w:rsidRPr="00CE7996">
        <w:rPr>
          <w:rFonts w:ascii="Arial" w:hAnsi="Arial" w:cs="Arial"/>
          <w:sz w:val="20"/>
          <w:szCs w:val="20"/>
        </w:rPr>
        <w:t xml:space="preserve">(7), 542–548. </w:t>
      </w:r>
      <w:hyperlink r:id="rId58" w:tgtFrame="_new" w:history="1">
        <w:r w:rsidR="00CE7996" w:rsidRPr="00CE7996">
          <w:rPr>
            <w:rStyle w:val="Hyperlink"/>
            <w:rFonts w:ascii="Arial" w:hAnsi="Arial" w:cs="Arial"/>
            <w:sz w:val="20"/>
            <w:szCs w:val="20"/>
          </w:rPr>
          <w:t>https://doi.org/10.11594/ijmaber.02.07.01</w:t>
        </w:r>
      </w:hyperlink>
    </w:p>
    <w:p w14:paraId="18AAB45C"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Salendab, F. A., Chávez Cruz, J. G., Tabifranca, C. A., &amp; Fortaliza, J. E. (2024). Analyzing the performance trends in Licensure Examination for Teachers (LET) among Bachelor of Elementary Education (BEEd) graduates: A quantitative approach. </w:t>
      </w:r>
      <w:r w:rsidRPr="00CE7996">
        <w:rPr>
          <w:rStyle w:val="Emphasis"/>
          <w:rFonts w:ascii="Arial" w:eastAsiaTheme="majorEastAsia" w:hAnsi="Arial" w:cs="Arial"/>
          <w:sz w:val="20"/>
          <w:szCs w:val="20"/>
        </w:rPr>
        <w:t>I</w:t>
      </w:r>
      <w:r w:rsidRPr="00CE7996">
        <w:rPr>
          <w:rStyle w:val="Emphasis"/>
          <w:rFonts w:ascii="Arial" w:eastAsiaTheme="majorEastAsia" w:hAnsi="Arial" w:cs="Arial"/>
          <w:sz w:val="20"/>
          <w:szCs w:val="20"/>
        </w:rPr>
        <w:t>nternational Journal of Multidisciplinary, 5</w:t>
      </w:r>
      <w:r w:rsidRPr="00CE7996">
        <w:rPr>
          <w:rFonts w:ascii="Arial" w:hAnsi="Arial" w:cs="Arial"/>
          <w:sz w:val="20"/>
          <w:szCs w:val="20"/>
        </w:rPr>
        <w:t xml:space="preserve">(9), 3632–3641. </w:t>
      </w:r>
      <w:hyperlink r:id="rId59" w:tgtFrame="_new" w:history="1">
        <w:r w:rsidR="00CE7996" w:rsidRPr="00CE7996">
          <w:rPr>
            <w:rStyle w:val="Hyperlink"/>
            <w:rFonts w:ascii="Arial" w:hAnsi="Arial" w:cs="Arial"/>
            <w:sz w:val="20"/>
            <w:szCs w:val="20"/>
          </w:rPr>
          <w:t>https://doi.org/10.11594/ijmaber.05.09.23</w:t>
        </w:r>
      </w:hyperlink>
    </w:p>
    <w:p w14:paraId="67D5FEF1"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Salendab, F., &amp; Cogo, D. A. (2024). Examining the success rates in Licensure Examinati</w:t>
      </w:r>
      <w:r w:rsidRPr="00CE7996">
        <w:rPr>
          <w:rFonts w:ascii="Arial" w:hAnsi="Arial" w:cs="Arial"/>
          <w:sz w:val="20"/>
          <w:szCs w:val="20"/>
        </w:rPr>
        <w:t xml:space="preserve">on for Teachers: A quantitative focus on Bachelor of Elementary Education (BEEd) graduates. </w:t>
      </w:r>
      <w:r w:rsidRPr="00CE7996">
        <w:rPr>
          <w:rStyle w:val="Emphasis"/>
          <w:rFonts w:ascii="Arial" w:eastAsiaTheme="majorEastAsia" w:hAnsi="Arial" w:cs="Arial"/>
          <w:sz w:val="20"/>
          <w:szCs w:val="20"/>
        </w:rPr>
        <w:t>International Journal of Multidisciplinary.</w:t>
      </w:r>
      <w:r w:rsidRPr="00CE7996">
        <w:rPr>
          <w:rFonts w:ascii="Arial" w:hAnsi="Arial" w:cs="Arial"/>
          <w:sz w:val="20"/>
          <w:szCs w:val="20"/>
        </w:rPr>
        <w:t xml:space="preserve"> </w:t>
      </w:r>
      <w:hyperlink r:id="rId60" w:tgtFrame="_new" w:history="1">
        <w:r w:rsidR="00CE7996" w:rsidRPr="00CE7996">
          <w:rPr>
            <w:rStyle w:val="Hyperlink"/>
            <w:rFonts w:ascii="Arial" w:hAnsi="Arial" w:cs="Arial"/>
            <w:sz w:val="20"/>
            <w:szCs w:val="20"/>
          </w:rPr>
          <w:t>https://doi.org/10.11594/ijmaber.05.09.21</w:t>
        </w:r>
      </w:hyperlink>
    </w:p>
    <w:p w14:paraId="17A2555F"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Selvamuthu</w:t>
      </w:r>
      <w:r w:rsidRPr="00CE7996">
        <w:rPr>
          <w:rFonts w:ascii="Arial" w:hAnsi="Arial" w:cs="Arial"/>
          <w:sz w:val="20"/>
          <w:szCs w:val="20"/>
        </w:rPr>
        <w:t xml:space="preserve">, D., &amp; Das, D. (2024). </w:t>
      </w:r>
      <w:r w:rsidRPr="00CE7996">
        <w:rPr>
          <w:rStyle w:val="Emphasis"/>
          <w:rFonts w:ascii="Arial" w:eastAsiaTheme="majorEastAsia" w:hAnsi="Arial" w:cs="Arial"/>
          <w:sz w:val="20"/>
          <w:szCs w:val="20"/>
        </w:rPr>
        <w:t>Analysis of correlation and regression</w:t>
      </w:r>
      <w:r w:rsidRPr="00CE7996">
        <w:rPr>
          <w:rFonts w:ascii="Arial" w:hAnsi="Arial" w:cs="Arial"/>
          <w:sz w:val="20"/>
          <w:szCs w:val="20"/>
        </w:rPr>
        <w:t xml:space="preserve"> (pp. 359–393). </w:t>
      </w:r>
      <w:hyperlink r:id="rId61" w:tgtFrame="_new" w:history="1">
        <w:r w:rsidR="00CE7996" w:rsidRPr="00CE7996">
          <w:rPr>
            <w:rStyle w:val="Hyperlink"/>
            <w:rFonts w:ascii="Arial" w:hAnsi="Arial" w:cs="Arial"/>
            <w:sz w:val="20"/>
            <w:szCs w:val="20"/>
          </w:rPr>
          <w:t>https://doi.org/10.1007/978-981-99-9363-5_11</w:t>
        </w:r>
      </w:hyperlink>
    </w:p>
    <w:p w14:paraId="49B1CD9E"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Sicuan, S., Ermino, J., &amp; Junio, R. (2025). Analyzing career p</w:t>
      </w:r>
      <w:r w:rsidRPr="00CE7996">
        <w:rPr>
          <w:rFonts w:ascii="Arial" w:hAnsi="Arial" w:cs="Arial"/>
          <w:sz w:val="20"/>
          <w:szCs w:val="20"/>
        </w:rPr>
        <w:t xml:space="preserve">rogress and achievements post-Licensure Examination for Teachers: A tracer study of PSU Binmaley Campus BSE graduates. </w:t>
      </w:r>
      <w:r w:rsidRPr="00CE7996">
        <w:rPr>
          <w:rStyle w:val="Emphasis"/>
          <w:rFonts w:ascii="Arial" w:eastAsiaTheme="majorEastAsia" w:hAnsi="Arial" w:cs="Arial"/>
          <w:sz w:val="20"/>
          <w:szCs w:val="20"/>
        </w:rPr>
        <w:t>International Journal for Multidisciplinary Research.</w:t>
      </w:r>
      <w:r w:rsidRPr="00CE7996">
        <w:rPr>
          <w:rFonts w:ascii="Arial" w:hAnsi="Arial" w:cs="Arial"/>
          <w:sz w:val="20"/>
          <w:szCs w:val="20"/>
        </w:rPr>
        <w:t xml:space="preserve"> </w:t>
      </w:r>
      <w:hyperlink r:id="rId62" w:tgtFrame="_new" w:history="1">
        <w:r w:rsidR="00CE7996" w:rsidRPr="00CE7996">
          <w:rPr>
            <w:rStyle w:val="Hyperlink"/>
            <w:rFonts w:ascii="Arial" w:hAnsi="Arial" w:cs="Arial"/>
            <w:sz w:val="20"/>
            <w:szCs w:val="20"/>
          </w:rPr>
          <w:t>https://doi.org/10.36948/ijfmr.2025.v07i01.36619</w:t>
        </w:r>
      </w:hyperlink>
    </w:p>
    <w:p w14:paraId="4529F167"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Solis-Foronda, M. (2017). Predictors of Licensure Examination for Teachers (LET) performance: A mediation analysis. </w:t>
      </w:r>
      <w:r w:rsidRPr="00CE7996">
        <w:rPr>
          <w:rStyle w:val="Emphasis"/>
          <w:rFonts w:ascii="Arial" w:eastAsiaTheme="majorEastAsia" w:hAnsi="Arial" w:cs="Arial"/>
          <w:sz w:val="20"/>
          <w:szCs w:val="20"/>
        </w:rPr>
        <w:t>Proceedings of the 2017 International Conference on Education Technology Management</w:t>
      </w:r>
      <w:r w:rsidRPr="00CE7996">
        <w:rPr>
          <w:rFonts w:ascii="Arial" w:hAnsi="Arial" w:cs="Arial"/>
          <w:sz w:val="20"/>
          <w:szCs w:val="20"/>
        </w:rPr>
        <w:t xml:space="preserve">, 74–78. </w:t>
      </w:r>
      <w:hyperlink r:id="rId63" w:tgtFrame="_new" w:history="1">
        <w:r w:rsidR="00CE7996" w:rsidRPr="00CE7996">
          <w:rPr>
            <w:rStyle w:val="Hyperlink"/>
            <w:rFonts w:ascii="Arial" w:hAnsi="Arial" w:cs="Arial"/>
            <w:sz w:val="20"/>
            <w:szCs w:val="20"/>
          </w:rPr>
          <w:t>https://doi.org/10.1145/3134847.3134863</w:t>
        </w:r>
      </w:hyperlink>
    </w:p>
    <w:p w14:paraId="751ECF70"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Tayaben, I., Nieva, A., Sadiwa, J. M., Masangcay, S., Collado, M. T., &amp; Batulayan, N. S. (2017). Academic performance and mental ability of students as </w:t>
      </w:r>
      <w:r w:rsidRPr="00CE7996">
        <w:rPr>
          <w:rFonts w:ascii="Arial" w:hAnsi="Arial" w:cs="Arial"/>
          <w:sz w:val="20"/>
          <w:szCs w:val="20"/>
        </w:rPr>
        <w:t xml:space="preserve">determinants in passing the Licensure Examinations for Teachers. </w:t>
      </w:r>
      <w:r w:rsidRPr="00CE7996">
        <w:rPr>
          <w:rStyle w:val="Emphasis"/>
          <w:rFonts w:ascii="Arial" w:eastAsiaTheme="majorEastAsia" w:hAnsi="Arial" w:cs="Arial"/>
          <w:sz w:val="20"/>
          <w:szCs w:val="20"/>
        </w:rPr>
        <w:t>International Scientific Conference Journal, 5</w:t>
      </w:r>
      <w:r w:rsidRPr="00CE7996">
        <w:rPr>
          <w:rFonts w:ascii="Arial" w:hAnsi="Arial" w:cs="Arial"/>
          <w:sz w:val="20"/>
          <w:szCs w:val="20"/>
        </w:rPr>
        <w:t xml:space="preserve">(1), 164. </w:t>
      </w:r>
      <w:hyperlink r:id="rId64" w:tgtFrame="_new" w:history="1">
        <w:r w:rsidR="00CE7996" w:rsidRPr="00CE7996">
          <w:rPr>
            <w:rStyle w:val="Hyperlink"/>
            <w:rFonts w:ascii="Arial" w:hAnsi="Arial" w:cs="Arial"/>
            <w:sz w:val="20"/>
            <w:szCs w:val="20"/>
          </w:rPr>
          <w:t>https://doi.org/10.35974/isc.v5i1.1663</w:t>
        </w:r>
      </w:hyperlink>
    </w:p>
    <w:p w14:paraId="3A08DF6B"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To‘qsonovna, O. X. (2023). Mapping critical thinking, clinical reasoning, and clinical judgment across the curriculum. </w:t>
      </w:r>
      <w:r w:rsidRPr="00CE7996">
        <w:rPr>
          <w:rStyle w:val="Emphasis"/>
          <w:rFonts w:ascii="Arial" w:eastAsiaTheme="majorEastAsia" w:hAnsi="Arial" w:cs="Arial"/>
          <w:sz w:val="20"/>
          <w:szCs w:val="20"/>
        </w:rPr>
        <w:t>Nurse Educator.</w:t>
      </w:r>
      <w:r w:rsidRPr="00CE7996">
        <w:rPr>
          <w:rFonts w:ascii="Arial" w:hAnsi="Arial" w:cs="Arial"/>
          <w:sz w:val="20"/>
          <w:szCs w:val="20"/>
        </w:rPr>
        <w:t xml:space="preserve"> </w:t>
      </w:r>
      <w:hyperlink r:id="rId65" w:tgtFrame="_new" w:history="1">
        <w:r w:rsidR="00CE7996" w:rsidRPr="00CE7996">
          <w:rPr>
            <w:rStyle w:val="Hyperlink"/>
            <w:rFonts w:ascii="Arial" w:hAnsi="Arial" w:cs="Arial"/>
            <w:sz w:val="20"/>
            <w:szCs w:val="20"/>
          </w:rPr>
          <w:t>https://doi.org/10.1097/nne.0000000000001413</w:t>
        </w:r>
      </w:hyperlink>
    </w:p>
    <w:p w14:paraId="4463CE6D"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Tolet</w:t>
      </w:r>
      <w:r w:rsidRPr="00CE7996">
        <w:rPr>
          <w:rFonts w:ascii="Arial" w:hAnsi="Arial" w:cs="Arial"/>
          <w:sz w:val="20"/>
          <w:szCs w:val="20"/>
        </w:rPr>
        <w:t xml:space="preserve">e, H. E., Malelang, J. R., &amp; Nanad, H. S. (2024). Influencing variables on teacher education graduates' performance in the Licensure Examination for Teachers. </w:t>
      </w:r>
      <w:r w:rsidRPr="00CE7996">
        <w:rPr>
          <w:rStyle w:val="Emphasis"/>
          <w:rFonts w:ascii="Arial" w:eastAsiaTheme="majorEastAsia" w:hAnsi="Arial" w:cs="Arial"/>
          <w:sz w:val="20"/>
          <w:szCs w:val="20"/>
        </w:rPr>
        <w:t>International Journal of Research Studies in Education, 13</w:t>
      </w:r>
      <w:r w:rsidRPr="00CE7996">
        <w:rPr>
          <w:rFonts w:ascii="Arial" w:hAnsi="Arial" w:cs="Arial"/>
          <w:sz w:val="20"/>
          <w:szCs w:val="20"/>
        </w:rPr>
        <w:t xml:space="preserve">(2). </w:t>
      </w:r>
      <w:hyperlink r:id="rId66" w:tgtFrame="_new" w:history="1">
        <w:r w:rsidR="00CE7996" w:rsidRPr="00CE7996">
          <w:rPr>
            <w:rStyle w:val="Hyperlink"/>
            <w:rFonts w:ascii="Arial" w:hAnsi="Arial" w:cs="Arial"/>
            <w:sz w:val="20"/>
            <w:szCs w:val="20"/>
          </w:rPr>
          <w:t>https://doi.org/10.5861/ijrse.2024.24810</w:t>
        </w:r>
      </w:hyperlink>
    </w:p>
    <w:p w14:paraId="43F2FFBE"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Tulud, D. (2023). Perceived predictors of performance in the board examinations among graduates of licensure examination programs: A descriptive study. </w:t>
      </w:r>
      <w:r w:rsidRPr="00CE7996">
        <w:rPr>
          <w:rStyle w:val="Emphasis"/>
          <w:rFonts w:ascii="Arial" w:eastAsiaTheme="majorEastAsia" w:hAnsi="Arial" w:cs="Arial"/>
          <w:sz w:val="20"/>
          <w:szCs w:val="20"/>
        </w:rPr>
        <w:t>Asia Pacific Journal of Social</w:t>
      </w:r>
      <w:r w:rsidRPr="00CE7996">
        <w:rPr>
          <w:rStyle w:val="Emphasis"/>
          <w:rFonts w:ascii="Arial" w:eastAsiaTheme="majorEastAsia" w:hAnsi="Arial" w:cs="Arial"/>
          <w:sz w:val="20"/>
          <w:szCs w:val="20"/>
        </w:rPr>
        <w:t xml:space="preserve"> and Behavioral Sciences.</w:t>
      </w:r>
      <w:r w:rsidRPr="00CE7996">
        <w:rPr>
          <w:rFonts w:ascii="Arial" w:hAnsi="Arial" w:cs="Arial"/>
          <w:sz w:val="20"/>
          <w:szCs w:val="20"/>
        </w:rPr>
        <w:t xml:space="preserve"> </w:t>
      </w:r>
      <w:hyperlink r:id="rId67" w:tgtFrame="_new" w:history="1">
        <w:r w:rsidR="00CE7996" w:rsidRPr="00CE7996">
          <w:rPr>
            <w:rStyle w:val="Hyperlink"/>
            <w:rFonts w:ascii="Arial" w:hAnsi="Arial" w:cs="Arial"/>
            <w:sz w:val="20"/>
            <w:szCs w:val="20"/>
          </w:rPr>
          <w:t>https://doi.org/10.57200/apjsbs.v21i0.333</w:t>
        </w:r>
      </w:hyperlink>
    </w:p>
    <w:p w14:paraId="5C49F530"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 xml:space="preserve">Ucol, E. (2024). Link between academic performance and board exam results of civil engineering graduates. </w:t>
      </w:r>
      <w:r w:rsidRPr="00CE7996">
        <w:rPr>
          <w:rStyle w:val="Emphasis"/>
          <w:rFonts w:ascii="Arial" w:eastAsiaTheme="majorEastAsia" w:hAnsi="Arial" w:cs="Arial"/>
          <w:sz w:val="20"/>
          <w:szCs w:val="20"/>
        </w:rPr>
        <w:t>Journal of Int</w:t>
      </w:r>
      <w:r w:rsidRPr="00CE7996">
        <w:rPr>
          <w:rStyle w:val="Emphasis"/>
          <w:rFonts w:ascii="Arial" w:eastAsiaTheme="majorEastAsia" w:hAnsi="Arial" w:cs="Arial"/>
          <w:sz w:val="20"/>
          <w:szCs w:val="20"/>
        </w:rPr>
        <w:t>erdisciplinary Perspectives, 3</w:t>
      </w:r>
      <w:r w:rsidRPr="00CE7996">
        <w:rPr>
          <w:rFonts w:ascii="Arial" w:hAnsi="Arial" w:cs="Arial"/>
          <w:sz w:val="20"/>
          <w:szCs w:val="20"/>
        </w:rPr>
        <w:t xml:space="preserve">(1). </w:t>
      </w:r>
      <w:hyperlink r:id="rId68" w:tgtFrame="_new" w:history="1">
        <w:r w:rsidR="00CE7996" w:rsidRPr="00CE7996">
          <w:rPr>
            <w:rStyle w:val="Hyperlink"/>
            <w:rFonts w:ascii="Arial" w:hAnsi="Arial" w:cs="Arial"/>
            <w:sz w:val="20"/>
            <w:szCs w:val="20"/>
          </w:rPr>
          <w:t>https://doi.org/10.69569/jip.2024.0607</w:t>
        </w:r>
      </w:hyperlink>
    </w:p>
    <w:p w14:paraId="1C501220" w14:textId="77777777" w:rsidR="00CE7996" w:rsidRPr="00CE7996" w:rsidRDefault="0021516A" w:rsidP="002448D8">
      <w:pPr>
        <w:pStyle w:val="NormalWeb"/>
        <w:spacing w:before="0" w:beforeAutospacing="0" w:after="0" w:afterAutospacing="0"/>
        <w:ind w:left="720" w:hanging="720"/>
        <w:jc w:val="both"/>
        <w:rPr>
          <w:rFonts w:ascii="Arial" w:hAnsi="Arial" w:cs="Arial"/>
          <w:sz w:val="20"/>
          <w:szCs w:val="20"/>
        </w:rPr>
      </w:pPr>
      <w:r w:rsidRPr="00CE7996">
        <w:rPr>
          <w:rFonts w:ascii="Arial" w:hAnsi="Arial" w:cs="Arial"/>
          <w:sz w:val="20"/>
          <w:szCs w:val="20"/>
        </w:rPr>
        <w:t>Valle, A. M., &amp; Brobo, M. A. (2022). A comparative study in the performance of the first takers of the Licensure Exam</w:t>
      </w:r>
      <w:r w:rsidRPr="00CE7996">
        <w:rPr>
          <w:rFonts w:ascii="Arial" w:hAnsi="Arial" w:cs="Arial"/>
          <w:sz w:val="20"/>
          <w:szCs w:val="20"/>
        </w:rPr>
        <w:t xml:space="preserve">ination for Teachers (LET): An action research. </w:t>
      </w:r>
      <w:r w:rsidRPr="00CE7996">
        <w:rPr>
          <w:rStyle w:val="Emphasis"/>
          <w:rFonts w:ascii="Arial" w:eastAsiaTheme="majorEastAsia" w:hAnsi="Arial" w:cs="Arial"/>
          <w:sz w:val="20"/>
          <w:szCs w:val="20"/>
        </w:rPr>
        <w:t>International Journal of Advanced Research, 10</w:t>
      </w:r>
      <w:r w:rsidRPr="00CE7996">
        <w:rPr>
          <w:rFonts w:ascii="Arial" w:hAnsi="Arial" w:cs="Arial"/>
          <w:sz w:val="20"/>
          <w:szCs w:val="20"/>
        </w:rPr>
        <w:t xml:space="preserve">(3), 778–781. </w:t>
      </w:r>
      <w:hyperlink r:id="rId69" w:tgtFrame="_new" w:history="1">
        <w:r w:rsidR="00CE7996" w:rsidRPr="00CE7996">
          <w:rPr>
            <w:rStyle w:val="Hyperlink"/>
            <w:rFonts w:ascii="Arial" w:hAnsi="Arial" w:cs="Arial"/>
            <w:sz w:val="20"/>
            <w:szCs w:val="20"/>
          </w:rPr>
          <w:t>https://doi.org/10.21474/ijar01/14447</w:t>
        </w:r>
      </w:hyperlink>
    </w:p>
    <w:p w14:paraId="1308E17A" w14:textId="7D47BE7D" w:rsidR="007C2C1D" w:rsidRPr="003D59F0" w:rsidRDefault="007C2C1D" w:rsidP="00CE7996">
      <w:pPr>
        <w:pStyle w:val="NoSpacing"/>
        <w:ind w:left="360"/>
        <w:jc w:val="both"/>
        <w:rPr>
          <w:rFonts w:ascii="Arial" w:hAnsi="Arial" w:cs="Arial"/>
          <w:sz w:val="20"/>
          <w:szCs w:val="20"/>
        </w:rPr>
      </w:pPr>
    </w:p>
    <w:sectPr w:rsidR="007C2C1D" w:rsidRPr="003D59F0" w:rsidSect="00E436AC">
      <w:headerReference w:type="even" r:id="rId70"/>
      <w:headerReference w:type="default" r:id="rId71"/>
      <w:footerReference w:type="even" r:id="rId72"/>
      <w:footerReference w:type="default" r:id="rId73"/>
      <w:headerReference w:type="first" r:id="rId74"/>
      <w:footerReference w:type="first" r:id="rId75"/>
      <w:pgSz w:w="12240" w:h="15840" w:code="1"/>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4C00E" w14:textId="77777777" w:rsidR="0021516A" w:rsidRDefault="0021516A">
      <w:pPr>
        <w:spacing w:after="0" w:line="240" w:lineRule="auto"/>
      </w:pPr>
      <w:r>
        <w:separator/>
      </w:r>
    </w:p>
  </w:endnote>
  <w:endnote w:type="continuationSeparator" w:id="0">
    <w:p w14:paraId="06DF2954" w14:textId="77777777" w:rsidR="0021516A" w:rsidRDefault="0021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E985" w14:textId="77777777" w:rsidR="00CE7996" w:rsidRDefault="00CE7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1950" w14:textId="77777777" w:rsidR="00CE7996" w:rsidRDefault="00CE7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CA3F" w14:textId="77777777" w:rsidR="00CE7996" w:rsidRDefault="00CE7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76A85" w14:textId="77777777" w:rsidR="0021516A" w:rsidRDefault="0021516A">
      <w:pPr>
        <w:spacing w:after="0" w:line="240" w:lineRule="auto"/>
      </w:pPr>
      <w:r>
        <w:separator/>
      </w:r>
    </w:p>
  </w:footnote>
  <w:footnote w:type="continuationSeparator" w:id="0">
    <w:p w14:paraId="5FC0E2C6" w14:textId="77777777" w:rsidR="0021516A" w:rsidRDefault="00215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5E0A" w14:textId="4FE41894" w:rsidR="00CE7996" w:rsidRDefault="0021516A">
    <w:pPr>
      <w:pStyle w:val="Header"/>
    </w:pPr>
    <w:r>
      <w:rPr>
        <w:noProof/>
      </w:rPr>
      <w:pict w14:anchorId="47C1C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283751" o:spid="_x0000_s3073" type="#_x0000_t136" style="position:absolute;left:0;text-align:left;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AFCC4" w14:textId="70ADB643" w:rsidR="00CE7996" w:rsidRDefault="0021516A">
    <w:pPr>
      <w:pStyle w:val="Header"/>
    </w:pPr>
    <w:r>
      <w:rPr>
        <w:noProof/>
      </w:rPr>
      <w:pict w14:anchorId="3858B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283752" o:spid="_x0000_s3074" type="#_x0000_t136" style="position:absolute;left:0;text-align:left;margin-left:0;margin-top:0;width:487.2pt;height:91.3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D1B1" w14:textId="5EA86B03" w:rsidR="00CE7996" w:rsidRDefault="0021516A">
    <w:pPr>
      <w:pStyle w:val="Header"/>
    </w:pPr>
    <w:r>
      <w:rPr>
        <w:noProof/>
      </w:rPr>
      <w:pict w14:anchorId="0A8C5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283750" o:spid="_x0000_s3075" type="#_x0000_t136" style="position:absolute;left:0;text-align:left;margin-left:0;margin-top:0;width:487.2pt;height:91.3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163"/>
    <w:multiLevelType w:val="hybridMultilevel"/>
    <w:tmpl w:val="52F26A4A"/>
    <w:lvl w:ilvl="0" w:tplc="83B07BE2">
      <w:start w:val="1"/>
      <w:numFmt w:val="decimal"/>
      <w:lvlText w:val="%1."/>
      <w:lvlJc w:val="left"/>
      <w:pPr>
        <w:ind w:left="720" w:hanging="360"/>
      </w:pPr>
    </w:lvl>
    <w:lvl w:ilvl="1" w:tplc="082A8B40">
      <w:start w:val="1"/>
      <w:numFmt w:val="lowerLetter"/>
      <w:lvlText w:val="%2."/>
      <w:lvlJc w:val="left"/>
      <w:pPr>
        <w:ind w:left="1440" w:hanging="360"/>
      </w:pPr>
    </w:lvl>
    <w:lvl w:ilvl="2" w:tplc="851AAD40" w:tentative="1">
      <w:start w:val="1"/>
      <w:numFmt w:val="lowerRoman"/>
      <w:lvlText w:val="%3."/>
      <w:lvlJc w:val="right"/>
      <w:pPr>
        <w:ind w:left="2160" w:hanging="180"/>
      </w:pPr>
    </w:lvl>
    <w:lvl w:ilvl="3" w:tplc="1B8412C8" w:tentative="1">
      <w:start w:val="1"/>
      <w:numFmt w:val="decimal"/>
      <w:lvlText w:val="%4."/>
      <w:lvlJc w:val="left"/>
      <w:pPr>
        <w:ind w:left="2880" w:hanging="360"/>
      </w:pPr>
    </w:lvl>
    <w:lvl w:ilvl="4" w:tplc="08BC7E9A" w:tentative="1">
      <w:start w:val="1"/>
      <w:numFmt w:val="lowerLetter"/>
      <w:lvlText w:val="%5."/>
      <w:lvlJc w:val="left"/>
      <w:pPr>
        <w:ind w:left="3600" w:hanging="360"/>
      </w:pPr>
    </w:lvl>
    <w:lvl w:ilvl="5" w:tplc="56F6A164" w:tentative="1">
      <w:start w:val="1"/>
      <w:numFmt w:val="lowerRoman"/>
      <w:lvlText w:val="%6."/>
      <w:lvlJc w:val="right"/>
      <w:pPr>
        <w:ind w:left="4320" w:hanging="180"/>
      </w:pPr>
    </w:lvl>
    <w:lvl w:ilvl="6" w:tplc="0BE81DDC" w:tentative="1">
      <w:start w:val="1"/>
      <w:numFmt w:val="decimal"/>
      <w:lvlText w:val="%7."/>
      <w:lvlJc w:val="left"/>
      <w:pPr>
        <w:ind w:left="5040" w:hanging="360"/>
      </w:pPr>
    </w:lvl>
    <w:lvl w:ilvl="7" w:tplc="C5445756" w:tentative="1">
      <w:start w:val="1"/>
      <w:numFmt w:val="lowerLetter"/>
      <w:lvlText w:val="%8."/>
      <w:lvlJc w:val="left"/>
      <w:pPr>
        <w:ind w:left="5760" w:hanging="360"/>
      </w:pPr>
    </w:lvl>
    <w:lvl w:ilvl="8" w:tplc="EBE8BA96" w:tentative="1">
      <w:start w:val="1"/>
      <w:numFmt w:val="lowerRoman"/>
      <w:lvlText w:val="%9."/>
      <w:lvlJc w:val="right"/>
      <w:pPr>
        <w:ind w:left="6480" w:hanging="180"/>
      </w:pPr>
    </w:lvl>
  </w:abstractNum>
  <w:abstractNum w:abstractNumId="1" w15:restartNumberingAfterBreak="0">
    <w:nsid w:val="19ED55B2"/>
    <w:multiLevelType w:val="multilevel"/>
    <w:tmpl w:val="BA409B58"/>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2" w15:restartNumberingAfterBreak="0">
    <w:nsid w:val="1AD35975"/>
    <w:multiLevelType w:val="multilevel"/>
    <w:tmpl w:val="94BEE196"/>
    <w:lvl w:ilvl="0">
      <w:start w:val="1"/>
      <w:numFmt w:val="decimal"/>
      <w:suff w:val="space"/>
      <w:lvlText w:val="%1."/>
      <w:lvlJc w:val="left"/>
      <w:pPr>
        <w:ind w:left="660" w:firstLine="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B8051E"/>
    <w:multiLevelType w:val="hybridMultilevel"/>
    <w:tmpl w:val="83A27F48"/>
    <w:lvl w:ilvl="0" w:tplc="2DA6C58C">
      <w:start w:val="1"/>
      <w:numFmt w:val="decimal"/>
      <w:lvlText w:val="%1."/>
      <w:lvlJc w:val="left"/>
      <w:pPr>
        <w:ind w:left="720" w:hanging="360"/>
      </w:pPr>
      <w:rPr>
        <w:rFonts w:hint="default"/>
      </w:rPr>
    </w:lvl>
    <w:lvl w:ilvl="1" w:tplc="0F0EFFE0" w:tentative="1">
      <w:start w:val="1"/>
      <w:numFmt w:val="lowerLetter"/>
      <w:lvlText w:val="%2."/>
      <w:lvlJc w:val="left"/>
      <w:pPr>
        <w:ind w:left="1440" w:hanging="360"/>
      </w:pPr>
    </w:lvl>
    <w:lvl w:ilvl="2" w:tplc="DBE2F7CA" w:tentative="1">
      <w:start w:val="1"/>
      <w:numFmt w:val="lowerRoman"/>
      <w:lvlText w:val="%3."/>
      <w:lvlJc w:val="right"/>
      <w:pPr>
        <w:ind w:left="2160" w:hanging="180"/>
      </w:pPr>
    </w:lvl>
    <w:lvl w:ilvl="3" w:tplc="9942FED8" w:tentative="1">
      <w:start w:val="1"/>
      <w:numFmt w:val="decimal"/>
      <w:lvlText w:val="%4."/>
      <w:lvlJc w:val="left"/>
      <w:pPr>
        <w:ind w:left="2880" w:hanging="360"/>
      </w:pPr>
    </w:lvl>
    <w:lvl w:ilvl="4" w:tplc="523E71A4" w:tentative="1">
      <w:start w:val="1"/>
      <w:numFmt w:val="lowerLetter"/>
      <w:lvlText w:val="%5."/>
      <w:lvlJc w:val="left"/>
      <w:pPr>
        <w:ind w:left="3600" w:hanging="360"/>
      </w:pPr>
    </w:lvl>
    <w:lvl w:ilvl="5" w:tplc="01FC7E64" w:tentative="1">
      <w:start w:val="1"/>
      <w:numFmt w:val="lowerRoman"/>
      <w:lvlText w:val="%6."/>
      <w:lvlJc w:val="right"/>
      <w:pPr>
        <w:ind w:left="4320" w:hanging="180"/>
      </w:pPr>
    </w:lvl>
    <w:lvl w:ilvl="6" w:tplc="2A6E2214" w:tentative="1">
      <w:start w:val="1"/>
      <w:numFmt w:val="decimal"/>
      <w:lvlText w:val="%7."/>
      <w:lvlJc w:val="left"/>
      <w:pPr>
        <w:ind w:left="5040" w:hanging="360"/>
      </w:pPr>
    </w:lvl>
    <w:lvl w:ilvl="7" w:tplc="E5DA7FFC" w:tentative="1">
      <w:start w:val="1"/>
      <w:numFmt w:val="lowerLetter"/>
      <w:lvlText w:val="%8."/>
      <w:lvlJc w:val="left"/>
      <w:pPr>
        <w:ind w:left="5760" w:hanging="360"/>
      </w:pPr>
    </w:lvl>
    <w:lvl w:ilvl="8" w:tplc="864C8BCC" w:tentative="1">
      <w:start w:val="1"/>
      <w:numFmt w:val="lowerRoman"/>
      <w:lvlText w:val="%9."/>
      <w:lvlJc w:val="right"/>
      <w:pPr>
        <w:ind w:left="6480" w:hanging="180"/>
      </w:pPr>
    </w:lvl>
  </w:abstractNum>
  <w:abstractNum w:abstractNumId="4" w15:restartNumberingAfterBreak="0">
    <w:nsid w:val="29281BDE"/>
    <w:multiLevelType w:val="hybridMultilevel"/>
    <w:tmpl w:val="69F2F622"/>
    <w:lvl w:ilvl="0" w:tplc="77C6810C">
      <w:start w:val="1"/>
      <w:numFmt w:val="decimal"/>
      <w:lvlText w:val="%1."/>
      <w:lvlJc w:val="left"/>
      <w:pPr>
        <w:ind w:left="720" w:hanging="360"/>
      </w:pPr>
    </w:lvl>
    <w:lvl w:ilvl="1" w:tplc="2CC62580" w:tentative="1">
      <w:start w:val="1"/>
      <w:numFmt w:val="lowerLetter"/>
      <w:lvlText w:val="%2."/>
      <w:lvlJc w:val="left"/>
      <w:pPr>
        <w:ind w:left="1440" w:hanging="360"/>
      </w:pPr>
    </w:lvl>
    <w:lvl w:ilvl="2" w:tplc="F69EB1E0" w:tentative="1">
      <w:start w:val="1"/>
      <w:numFmt w:val="lowerRoman"/>
      <w:lvlText w:val="%3."/>
      <w:lvlJc w:val="right"/>
      <w:pPr>
        <w:ind w:left="2160" w:hanging="180"/>
      </w:pPr>
    </w:lvl>
    <w:lvl w:ilvl="3" w:tplc="9356BD28" w:tentative="1">
      <w:start w:val="1"/>
      <w:numFmt w:val="decimal"/>
      <w:lvlText w:val="%4."/>
      <w:lvlJc w:val="left"/>
      <w:pPr>
        <w:ind w:left="2880" w:hanging="360"/>
      </w:pPr>
    </w:lvl>
    <w:lvl w:ilvl="4" w:tplc="19B0F6EE" w:tentative="1">
      <w:start w:val="1"/>
      <w:numFmt w:val="lowerLetter"/>
      <w:lvlText w:val="%5."/>
      <w:lvlJc w:val="left"/>
      <w:pPr>
        <w:ind w:left="3600" w:hanging="360"/>
      </w:pPr>
    </w:lvl>
    <w:lvl w:ilvl="5" w:tplc="990E27FA" w:tentative="1">
      <w:start w:val="1"/>
      <w:numFmt w:val="lowerRoman"/>
      <w:lvlText w:val="%6."/>
      <w:lvlJc w:val="right"/>
      <w:pPr>
        <w:ind w:left="4320" w:hanging="180"/>
      </w:pPr>
    </w:lvl>
    <w:lvl w:ilvl="6" w:tplc="0898FCD6" w:tentative="1">
      <w:start w:val="1"/>
      <w:numFmt w:val="decimal"/>
      <w:lvlText w:val="%7."/>
      <w:lvlJc w:val="left"/>
      <w:pPr>
        <w:ind w:left="5040" w:hanging="360"/>
      </w:pPr>
    </w:lvl>
    <w:lvl w:ilvl="7" w:tplc="212CFB36" w:tentative="1">
      <w:start w:val="1"/>
      <w:numFmt w:val="lowerLetter"/>
      <w:lvlText w:val="%8."/>
      <w:lvlJc w:val="left"/>
      <w:pPr>
        <w:ind w:left="5760" w:hanging="360"/>
      </w:pPr>
    </w:lvl>
    <w:lvl w:ilvl="8" w:tplc="DCEC0B44" w:tentative="1">
      <w:start w:val="1"/>
      <w:numFmt w:val="lowerRoman"/>
      <w:lvlText w:val="%9."/>
      <w:lvlJc w:val="right"/>
      <w:pPr>
        <w:ind w:left="6480" w:hanging="180"/>
      </w:pPr>
    </w:lvl>
  </w:abstractNum>
  <w:abstractNum w:abstractNumId="5" w15:restartNumberingAfterBreak="0">
    <w:nsid w:val="2E0F36E1"/>
    <w:multiLevelType w:val="hybridMultilevel"/>
    <w:tmpl w:val="A030F43C"/>
    <w:lvl w:ilvl="0" w:tplc="15A0FF7A">
      <w:start w:val="1"/>
      <w:numFmt w:val="decimal"/>
      <w:lvlText w:val="%1."/>
      <w:lvlJc w:val="left"/>
      <w:pPr>
        <w:ind w:left="720" w:hanging="360"/>
      </w:pPr>
      <w:rPr>
        <w:rFonts w:hint="default"/>
        <w:b/>
      </w:rPr>
    </w:lvl>
    <w:lvl w:ilvl="1" w:tplc="7D52415C" w:tentative="1">
      <w:start w:val="1"/>
      <w:numFmt w:val="lowerLetter"/>
      <w:lvlText w:val="%2."/>
      <w:lvlJc w:val="left"/>
      <w:pPr>
        <w:ind w:left="1440" w:hanging="360"/>
      </w:pPr>
    </w:lvl>
    <w:lvl w:ilvl="2" w:tplc="DEE8E924" w:tentative="1">
      <w:start w:val="1"/>
      <w:numFmt w:val="lowerRoman"/>
      <w:lvlText w:val="%3."/>
      <w:lvlJc w:val="right"/>
      <w:pPr>
        <w:ind w:left="2160" w:hanging="180"/>
      </w:pPr>
    </w:lvl>
    <w:lvl w:ilvl="3" w:tplc="CBB68A3A" w:tentative="1">
      <w:start w:val="1"/>
      <w:numFmt w:val="decimal"/>
      <w:lvlText w:val="%4."/>
      <w:lvlJc w:val="left"/>
      <w:pPr>
        <w:ind w:left="2880" w:hanging="360"/>
      </w:pPr>
    </w:lvl>
    <w:lvl w:ilvl="4" w:tplc="47447CA0" w:tentative="1">
      <w:start w:val="1"/>
      <w:numFmt w:val="lowerLetter"/>
      <w:lvlText w:val="%5."/>
      <w:lvlJc w:val="left"/>
      <w:pPr>
        <w:ind w:left="3600" w:hanging="360"/>
      </w:pPr>
    </w:lvl>
    <w:lvl w:ilvl="5" w:tplc="90245420" w:tentative="1">
      <w:start w:val="1"/>
      <w:numFmt w:val="lowerRoman"/>
      <w:lvlText w:val="%6."/>
      <w:lvlJc w:val="right"/>
      <w:pPr>
        <w:ind w:left="4320" w:hanging="180"/>
      </w:pPr>
    </w:lvl>
    <w:lvl w:ilvl="6" w:tplc="A91E5532" w:tentative="1">
      <w:start w:val="1"/>
      <w:numFmt w:val="decimal"/>
      <w:lvlText w:val="%7."/>
      <w:lvlJc w:val="left"/>
      <w:pPr>
        <w:ind w:left="5040" w:hanging="360"/>
      </w:pPr>
    </w:lvl>
    <w:lvl w:ilvl="7" w:tplc="B3C05436" w:tentative="1">
      <w:start w:val="1"/>
      <w:numFmt w:val="lowerLetter"/>
      <w:lvlText w:val="%8."/>
      <w:lvlJc w:val="left"/>
      <w:pPr>
        <w:ind w:left="5760" w:hanging="360"/>
      </w:pPr>
    </w:lvl>
    <w:lvl w:ilvl="8" w:tplc="FDBCD9E2" w:tentative="1">
      <w:start w:val="1"/>
      <w:numFmt w:val="lowerRoman"/>
      <w:lvlText w:val="%9."/>
      <w:lvlJc w:val="right"/>
      <w:pPr>
        <w:ind w:left="6480" w:hanging="180"/>
      </w:pPr>
    </w:lvl>
  </w:abstractNum>
  <w:abstractNum w:abstractNumId="6" w15:restartNumberingAfterBreak="0">
    <w:nsid w:val="3DE13246"/>
    <w:multiLevelType w:val="hybridMultilevel"/>
    <w:tmpl w:val="BF52256E"/>
    <w:lvl w:ilvl="0" w:tplc="69A2EB44">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C4BC00">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6693E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A81140">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6213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A20EE6">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1A2150">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F8643A">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C0E47E">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E81568"/>
    <w:multiLevelType w:val="multilevel"/>
    <w:tmpl w:val="EE9C7E9A"/>
    <w:lvl w:ilvl="0">
      <w:start w:val="1"/>
      <w:numFmt w:val="decimal"/>
      <w:lvlText w:val="%1."/>
      <w:lvlJc w:val="left"/>
      <w:pPr>
        <w:ind w:left="360" w:hanging="360"/>
      </w:pPr>
      <w:rPr>
        <w:rFonts w:hint="default"/>
      </w:rPr>
    </w:lvl>
    <w:lvl w:ilvl="1">
      <w:start w:val="1"/>
      <w:numFmt w:val="bullet"/>
      <w:lvlText w:val=""/>
      <w:lvlJc w:val="left"/>
      <w:pPr>
        <w:ind w:left="270" w:hanging="360"/>
      </w:pPr>
      <w:rPr>
        <w:rFonts w:ascii="Symbol" w:hAnsi="Symbol" w:hint="default"/>
      </w:rPr>
    </w:lvl>
    <w:lvl w:ilvl="2">
      <w:start w:val="1"/>
      <w:numFmt w:val="decimal"/>
      <w:lvlText w:val="%3."/>
      <w:lvlJc w:val="left"/>
      <w:pPr>
        <w:ind w:left="630" w:hanging="360"/>
      </w:pPr>
    </w:lvl>
    <w:lvl w:ilvl="3">
      <w:start w:val="1"/>
      <w:numFmt w:val="decimal"/>
      <w:lvlText w:val="(%4)"/>
      <w:lvlJc w:val="left"/>
      <w:pPr>
        <w:ind w:left="990" w:hanging="360"/>
      </w:pPr>
    </w:lvl>
    <w:lvl w:ilvl="4">
      <w:start w:val="1"/>
      <w:numFmt w:val="lowerLetter"/>
      <w:lvlText w:val="(%5)"/>
      <w:lvlJc w:val="left"/>
      <w:pPr>
        <w:ind w:left="1350" w:hanging="360"/>
      </w:pPr>
    </w:lvl>
    <w:lvl w:ilvl="5">
      <w:start w:val="1"/>
      <w:numFmt w:val="lowerRoman"/>
      <w:lvlText w:val="(%6)"/>
      <w:lvlJc w:val="left"/>
      <w:pPr>
        <w:ind w:left="1710" w:hanging="360"/>
      </w:pPr>
    </w:lvl>
    <w:lvl w:ilvl="6">
      <w:start w:val="1"/>
      <w:numFmt w:val="decimal"/>
      <w:lvlText w:val="%7."/>
      <w:lvlJc w:val="left"/>
      <w:pPr>
        <w:ind w:left="2070" w:hanging="360"/>
      </w:pPr>
    </w:lvl>
    <w:lvl w:ilvl="7">
      <w:start w:val="1"/>
      <w:numFmt w:val="lowerLetter"/>
      <w:lvlText w:val="%8."/>
      <w:lvlJc w:val="left"/>
      <w:pPr>
        <w:ind w:left="2430" w:hanging="360"/>
      </w:pPr>
    </w:lvl>
    <w:lvl w:ilvl="8">
      <w:start w:val="1"/>
      <w:numFmt w:val="lowerRoman"/>
      <w:lvlText w:val="%9."/>
      <w:lvlJc w:val="left"/>
      <w:pPr>
        <w:ind w:left="2790" w:hanging="360"/>
      </w:pPr>
    </w:lvl>
  </w:abstractNum>
  <w:abstractNum w:abstractNumId="8" w15:restartNumberingAfterBreak="0">
    <w:nsid w:val="5EF07334"/>
    <w:multiLevelType w:val="hybridMultilevel"/>
    <w:tmpl w:val="69F2F622"/>
    <w:lvl w:ilvl="0" w:tplc="49A6D5C6">
      <w:start w:val="1"/>
      <w:numFmt w:val="decimal"/>
      <w:lvlText w:val="%1."/>
      <w:lvlJc w:val="left"/>
      <w:pPr>
        <w:ind w:left="720" w:hanging="360"/>
      </w:pPr>
    </w:lvl>
    <w:lvl w:ilvl="1" w:tplc="8B14EA88" w:tentative="1">
      <w:start w:val="1"/>
      <w:numFmt w:val="lowerLetter"/>
      <w:lvlText w:val="%2."/>
      <w:lvlJc w:val="left"/>
      <w:pPr>
        <w:ind w:left="1440" w:hanging="360"/>
      </w:pPr>
    </w:lvl>
    <w:lvl w:ilvl="2" w:tplc="E76E25F4" w:tentative="1">
      <w:start w:val="1"/>
      <w:numFmt w:val="lowerRoman"/>
      <w:lvlText w:val="%3."/>
      <w:lvlJc w:val="right"/>
      <w:pPr>
        <w:ind w:left="2160" w:hanging="180"/>
      </w:pPr>
    </w:lvl>
    <w:lvl w:ilvl="3" w:tplc="5124608A" w:tentative="1">
      <w:start w:val="1"/>
      <w:numFmt w:val="decimal"/>
      <w:lvlText w:val="%4."/>
      <w:lvlJc w:val="left"/>
      <w:pPr>
        <w:ind w:left="2880" w:hanging="360"/>
      </w:pPr>
    </w:lvl>
    <w:lvl w:ilvl="4" w:tplc="0A62936C" w:tentative="1">
      <w:start w:val="1"/>
      <w:numFmt w:val="lowerLetter"/>
      <w:lvlText w:val="%5."/>
      <w:lvlJc w:val="left"/>
      <w:pPr>
        <w:ind w:left="3600" w:hanging="360"/>
      </w:pPr>
    </w:lvl>
    <w:lvl w:ilvl="5" w:tplc="10669916" w:tentative="1">
      <w:start w:val="1"/>
      <w:numFmt w:val="lowerRoman"/>
      <w:lvlText w:val="%6."/>
      <w:lvlJc w:val="right"/>
      <w:pPr>
        <w:ind w:left="4320" w:hanging="180"/>
      </w:pPr>
    </w:lvl>
    <w:lvl w:ilvl="6" w:tplc="69D4828A" w:tentative="1">
      <w:start w:val="1"/>
      <w:numFmt w:val="decimal"/>
      <w:lvlText w:val="%7."/>
      <w:lvlJc w:val="left"/>
      <w:pPr>
        <w:ind w:left="5040" w:hanging="360"/>
      </w:pPr>
    </w:lvl>
    <w:lvl w:ilvl="7" w:tplc="6016821E" w:tentative="1">
      <w:start w:val="1"/>
      <w:numFmt w:val="lowerLetter"/>
      <w:lvlText w:val="%8."/>
      <w:lvlJc w:val="left"/>
      <w:pPr>
        <w:ind w:left="5760" w:hanging="360"/>
      </w:pPr>
    </w:lvl>
    <w:lvl w:ilvl="8" w:tplc="3A043D44" w:tentative="1">
      <w:start w:val="1"/>
      <w:numFmt w:val="lowerRoman"/>
      <w:lvlText w:val="%9."/>
      <w:lvlJc w:val="right"/>
      <w:pPr>
        <w:ind w:left="6480" w:hanging="180"/>
      </w:pPr>
    </w:lvl>
  </w:abstractNum>
  <w:abstractNum w:abstractNumId="9" w15:restartNumberingAfterBreak="0">
    <w:nsid w:val="617214EF"/>
    <w:multiLevelType w:val="hybridMultilevel"/>
    <w:tmpl w:val="F7AC356C"/>
    <w:lvl w:ilvl="0" w:tplc="A95223AA">
      <w:start w:val="1"/>
      <w:numFmt w:val="decimal"/>
      <w:lvlText w:val="%1."/>
      <w:lvlJc w:val="left"/>
      <w:pPr>
        <w:ind w:left="360" w:hanging="360"/>
      </w:pPr>
    </w:lvl>
    <w:lvl w:ilvl="1" w:tplc="89364030" w:tentative="1">
      <w:start w:val="1"/>
      <w:numFmt w:val="lowerLetter"/>
      <w:lvlText w:val="%2."/>
      <w:lvlJc w:val="left"/>
      <w:pPr>
        <w:ind w:left="1080" w:hanging="360"/>
      </w:pPr>
    </w:lvl>
    <w:lvl w:ilvl="2" w:tplc="D88616A4" w:tentative="1">
      <w:start w:val="1"/>
      <w:numFmt w:val="lowerRoman"/>
      <w:lvlText w:val="%3."/>
      <w:lvlJc w:val="right"/>
      <w:pPr>
        <w:ind w:left="1800" w:hanging="180"/>
      </w:pPr>
    </w:lvl>
    <w:lvl w:ilvl="3" w:tplc="00200C14" w:tentative="1">
      <w:start w:val="1"/>
      <w:numFmt w:val="decimal"/>
      <w:lvlText w:val="%4."/>
      <w:lvlJc w:val="left"/>
      <w:pPr>
        <w:ind w:left="2520" w:hanging="360"/>
      </w:pPr>
    </w:lvl>
    <w:lvl w:ilvl="4" w:tplc="BC9E6E7C" w:tentative="1">
      <w:start w:val="1"/>
      <w:numFmt w:val="lowerLetter"/>
      <w:lvlText w:val="%5."/>
      <w:lvlJc w:val="left"/>
      <w:pPr>
        <w:ind w:left="3240" w:hanging="360"/>
      </w:pPr>
    </w:lvl>
    <w:lvl w:ilvl="5" w:tplc="2BB8BB2C" w:tentative="1">
      <w:start w:val="1"/>
      <w:numFmt w:val="lowerRoman"/>
      <w:lvlText w:val="%6."/>
      <w:lvlJc w:val="right"/>
      <w:pPr>
        <w:ind w:left="3960" w:hanging="180"/>
      </w:pPr>
    </w:lvl>
    <w:lvl w:ilvl="6" w:tplc="FB7C7B1A" w:tentative="1">
      <w:start w:val="1"/>
      <w:numFmt w:val="decimal"/>
      <w:lvlText w:val="%7."/>
      <w:lvlJc w:val="left"/>
      <w:pPr>
        <w:ind w:left="4680" w:hanging="360"/>
      </w:pPr>
    </w:lvl>
    <w:lvl w:ilvl="7" w:tplc="2F3A12B0" w:tentative="1">
      <w:start w:val="1"/>
      <w:numFmt w:val="lowerLetter"/>
      <w:lvlText w:val="%8."/>
      <w:lvlJc w:val="left"/>
      <w:pPr>
        <w:ind w:left="5400" w:hanging="360"/>
      </w:pPr>
    </w:lvl>
    <w:lvl w:ilvl="8" w:tplc="65D2BEE0" w:tentative="1">
      <w:start w:val="1"/>
      <w:numFmt w:val="lowerRoman"/>
      <w:lvlText w:val="%9."/>
      <w:lvlJc w:val="right"/>
      <w:pPr>
        <w:ind w:left="6120" w:hanging="180"/>
      </w:pPr>
    </w:lvl>
  </w:abstractNum>
  <w:abstractNum w:abstractNumId="10" w15:restartNumberingAfterBreak="0">
    <w:nsid w:val="61B4065B"/>
    <w:multiLevelType w:val="multilevel"/>
    <w:tmpl w:val="ADEE1068"/>
    <w:lvl w:ilvl="0">
      <w:start w:val="1"/>
      <w:numFmt w:val="decimal"/>
      <w:suff w:val="space"/>
      <w:lvlText w:val="%1."/>
      <w:lvlJc w:val="left"/>
      <w:pPr>
        <w:ind w:left="0" w:firstLine="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9971AA9"/>
    <w:multiLevelType w:val="hybridMultilevel"/>
    <w:tmpl w:val="E2AA510E"/>
    <w:lvl w:ilvl="0" w:tplc="FE74471C">
      <w:start w:val="1"/>
      <w:numFmt w:val="decimal"/>
      <w:lvlText w:val="%1."/>
      <w:lvlJc w:val="left"/>
      <w:pPr>
        <w:ind w:left="720" w:hanging="360"/>
      </w:pPr>
    </w:lvl>
    <w:lvl w:ilvl="1" w:tplc="5522946E" w:tentative="1">
      <w:start w:val="1"/>
      <w:numFmt w:val="lowerLetter"/>
      <w:lvlText w:val="%2."/>
      <w:lvlJc w:val="left"/>
      <w:pPr>
        <w:ind w:left="1440" w:hanging="360"/>
      </w:pPr>
    </w:lvl>
    <w:lvl w:ilvl="2" w:tplc="B962795C" w:tentative="1">
      <w:start w:val="1"/>
      <w:numFmt w:val="lowerRoman"/>
      <w:lvlText w:val="%3."/>
      <w:lvlJc w:val="right"/>
      <w:pPr>
        <w:ind w:left="2160" w:hanging="180"/>
      </w:pPr>
    </w:lvl>
    <w:lvl w:ilvl="3" w:tplc="5AB2BD6E" w:tentative="1">
      <w:start w:val="1"/>
      <w:numFmt w:val="decimal"/>
      <w:lvlText w:val="%4."/>
      <w:lvlJc w:val="left"/>
      <w:pPr>
        <w:ind w:left="2880" w:hanging="360"/>
      </w:pPr>
    </w:lvl>
    <w:lvl w:ilvl="4" w:tplc="D834CEB0" w:tentative="1">
      <w:start w:val="1"/>
      <w:numFmt w:val="lowerLetter"/>
      <w:lvlText w:val="%5."/>
      <w:lvlJc w:val="left"/>
      <w:pPr>
        <w:ind w:left="3600" w:hanging="360"/>
      </w:pPr>
    </w:lvl>
    <w:lvl w:ilvl="5" w:tplc="B44EB754" w:tentative="1">
      <w:start w:val="1"/>
      <w:numFmt w:val="lowerRoman"/>
      <w:lvlText w:val="%6."/>
      <w:lvlJc w:val="right"/>
      <w:pPr>
        <w:ind w:left="4320" w:hanging="180"/>
      </w:pPr>
    </w:lvl>
    <w:lvl w:ilvl="6" w:tplc="CA88629E" w:tentative="1">
      <w:start w:val="1"/>
      <w:numFmt w:val="decimal"/>
      <w:lvlText w:val="%7."/>
      <w:lvlJc w:val="left"/>
      <w:pPr>
        <w:ind w:left="5040" w:hanging="360"/>
      </w:pPr>
    </w:lvl>
    <w:lvl w:ilvl="7" w:tplc="A3744974" w:tentative="1">
      <w:start w:val="1"/>
      <w:numFmt w:val="lowerLetter"/>
      <w:lvlText w:val="%8."/>
      <w:lvlJc w:val="left"/>
      <w:pPr>
        <w:ind w:left="5760" w:hanging="360"/>
      </w:pPr>
    </w:lvl>
    <w:lvl w:ilvl="8" w:tplc="41F023DC"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0"/>
  </w:num>
  <w:num w:numId="5">
    <w:abstractNumId w:val="11"/>
  </w:num>
  <w:num w:numId="6">
    <w:abstractNumId w:val="6"/>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9C"/>
    <w:rsid w:val="00012032"/>
    <w:rsid w:val="0004232D"/>
    <w:rsid w:val="000625B4"/>
    <w:rsid w:val="00094C09"/>
    <w:rsid w:val="000E2688"/>
    <w:rsid w:val="001178EC"/>
    <w:rsid w:val="001242E1"/>
    <w:rsid w:val="001427CE"/>
    <w:rsid w:val="0016456A"/>
    <w:rsid w:val="001B3747"/>
    <w:rsid w:val="001E27A1"/>
    <w:rsid w:val="001F2BDE"/>
    <w:rsid w:val="0021516A"/>
    <w:rsid w:val="002448D8"/>
    <w:rsid w:val="002507A8"/>
    <w:rsid w:val="002B54CB"/>
    <w:rsid w:val="002F53C4"/>
    <w:rsid w:val="002F5C03"/>
    <w:rsid w:val="00302011"/>
    <w:rsid w:val="00331B4E"/>
    <w:rsid w:val="00334FCC"/>
    <w:rsid w:val="0035420D"/>
    <w:rsid w:val="00362554"/>
    <w:rsid w:val="003B1C1E"/>
    <w:rsid w:val="003C2B42"/>
    <w:rsid w:val="003D0C83"/>
    <w:rsid w:val="003D5167"/>
    <w:rsid w:val="003D59F0"/>
    <w:rsid w:val="00407D2D"/>
    <w:rsid w:val="004268CB"/>
    <w:rsid w:val="00455471"/>
    <w:rsid w:val="0047587A"/>
    <w:rsid w:val="004E071F"/>
    <w:rsid w:val="00500341"/>
    <w:rsid w:val="0052380D"/>
    <w:rsid w:val="00532514"/>
    <w:rsid w:val="00535725"/>
    <w:rsid w:val="00543C73"/>
    <w:rsid w:val="00580FBF"/>
    <w:rsid w:val="00597F5E"/>
    <w:rsid w:val="005C0D25"/>
    <w:rsid w:val="005C29AF"/>
    <w:rsid w:val="005E5256"/>
    <w:rsid w:val="00634CB6"/>
    <w:rsid w:val="00684817"/>
    <w:rsid w:val="0068791B"/>
    <w:rsid w:val="00690128"/>
    <w:rsid w:val="006B7A85"/>
    <w:rsid w:val="006D29D7"/>
    <w:rsid w:val="00703848"/>
    <w:rsid w:val="0074135C"/>
    <w:rsid w:val="00795085"/>
    <w:rsid w:val="007C1D17"/>
    <w:rsid w:val="007C2C1D"/>
    <w:rsid w:val="00803B7F"/>
    <w:rsid w:val="00804B23"/>
    <w:rsid w:val="008408BC"/>
    <w:rsid w:val="00866594"/>
    <w:rsid w:val="00883684"/>
    <w:rsid w:val="00892141"/>
    <w:rsid w:val="008A1A9B"/>
    <w:rsid w:val="008B318F"/>
    <w:rsid w:val="008D238D"/>
    <w:rsid w:val="008E389C"/>
    <w:rsid w:val="008E4BE5"/>
    <w:rsid w:val="00901801"/>
    <w:rsid w:val="009328FD"/>
    <w:rsid w:val="00943423"/>
    <w:rsid w:val="009619F5"/>
    <w:rsid w:val="009A4A8A"/>
    <w:rsid w:val="009C499C"/>
    <w:rsid w:val="009E41A3"/>
    <w:rsid w:val="009F3121"/>
    <w:rsid w:val="00A1100F"/>
    <w:rsid w:val="00A20719"/>
    <w:rsid w:val="00A34FE2"/>
    <w:rsid w:val="00A37547"/>
    <w:rsid w:val="00A52E75"/>
    <w:rsid w:val="00A678D8"/>
    <w:rsid w:val="00A8099F"/>
    <w:rsid w:val="00A84232"/>
    <w:rsid w:val="00AE22F5"/>
    <w:rsid w:val="00AE3CC4"/>
    <w:rsid w:val="00B109CD"/>
    <w:rsid w:val="00B97DBA"/>
    <w:rsid w:val="00BA07FA"/>
    <w:rsid w:val="00BC7804"/>
    <w:rsid w:val="00BE30A5"/>
    <w:rsid w:val="00BE59DE"/>
    <w:rsid w:val="00BF561D"/>
    <w:rsid w:val="00C27C3C"/>
    <w:rsid w:val="00C353BE"/>
    <w:rsid w:val="00C8012B"/>
    <w:rsid w:val="00C8203B"/>
    <w:rsid w:val="00C9423D"/>
    <w:rsid w:val="00CE7996"/>
    <w:rsid w:val="00D028BE"/>
    <w:rsid w:val="00D33B7B"/>
    <w:rsid w:val="00D75995"/>
    <w:rsid w:val="00DE0830"/>
    <w:rsid w:val="00E019BB"/>
    <w:rsid w:val="00E436AC"/>
    <w:rsid w:val="00E67A2B"/>
    <w:rsid w:val="00E705CD"/>
    <w:rsid w:val="00E71350"/>
    <w:rsid w:val="00E7760D"/>
    <w:rsid w:val="00EF692B"/>
    <w:rsid w:val="00F009D6"/>
    <w:rsid w:val="00F20101"/>
    <w:rsid w:val="00F30ABD"/>
    <w:rsid w:val="00F451F1"/>
    <w:rsid w:val="00F75E1E"/>
    <w:rsid w:val="00F85DF3"/>
    <w:rsid w:val="00FA3ACF"/>
    <w:rsid w:val="00FB453D"/>
    <w:rsid w:val="00FB612F"/>
    <w:rsid w:val="00FD17EF"/>
    <w:rsid w:val="00FD5B52"/>
    <w:rsid w:val="00FD5FF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180242FB"/>
  <w15:chartTrackingRefBased/>
  <w15:docId w15:val="{40F42FEB-ED2B-4697-AD79-09C3C1D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C1D"/>
    <w:pPr>
      <w:keepNext/>
      <w:keepLines/>
      <w:spacing w:before="240" w:after="0" w:line="48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2C1D"/>
    <w:pPr>
      <w:keepNext/>
      <w:keepLines/>
      <w:spacing w:after="0" w:line="480" w:lineRule="auto"/>
      <w:jc w:val="both"/>
      <w:outlineLvl w:val="1"/>
    </w:pPr>
    <w:rPr>
      <w:rFonts w:ascii="Arial" w:eastAsiaTheme="majorEastAsia" w:hAnsi="Arial" w:cstheme="majorBidi"/>
      <w:b/>
      <w:szCs w:val="26"/>
      <w:lang w:eastAsia="en-PH"/>
    </w:rPr>
  </w:style>
  <w:style w:type="paragraph" w:styleId="Heading3">
    <w:name w:val="heading 3"/>
    <w:basedOn w:val="Normal"/>
    <w:next w:val="Normal"/>
    <w:link w:val="Heading3Char"/>
    <w:uiPriority w:val="9"/>
    <w:semiHidden/>
    <w:unhideWhenUsed/>
    <w:qFormat/>
    <w:rsid w:val="009434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34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135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135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8D238D"/>
    <w:pPr>
      <w:spacing w:after="0" w:line="240"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7C2C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2C1D"/>
    <w:rPr>
      <w:rFonts w:ascii="Arial" w:eastAsiaTheme="majorEastAsia" w:hAnsi="Arial" w:cstheme="majorBidi"/>
      <w:b/>
      <w:szCs w:val="26"/>
      <w:lang w:eastAsia="en-PH"/>
    </w:rPr>
  </w:style>
  <w:style w:type="paragraph" w:styleId="Footer">
    <w:name w:val="footer"/>
    <w:basedOn w:val="Normal"/>
    <w:link w:val="Foot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FooterChar">
    <w:name w:val="Footer Char"/>
    <w:basedOn w:val="DefaultParagraphFont"/>
    <w:link w:val="Footer"/>
    <w:uiPriority w:val="99"/>
    <w:rsid w:val="007C2C1D"/>
    <w:rPr>
      <w:rFonts w:ascii="Book Antiqua" w:hAnsi="Book Antiqua" w:cs="Arial"/>
      <w:sz w:val="20"/>
      <w:szCs w:val="20"/>
    </w:rPr>
  </w:style>
  <w:style w:type="paragraph" w:styleId="ListParagraph">
    <w:name w:val="List Paragraph"/>
    <w:basedOn w:val="Normal"/>
    <w:uiPriority w:val="34"/>
    <w:qFormat/>
    <w:rsid w:val="007C2C1D"/>
    <w:pPr>
      <w:spacing w:after="0" w:line="480" w:lineRule="auto"/>
      <w:ind w:left="720"/>
      <w:contextualSpacing/>
      <w:jc w:val="both"/>
    </w:pPr>
    <w:rPr>
      <w:rFonts w:ascii="Arial" w:eastAsiaTheme="minorEastAsia" w:hAnsi="Arial"/>
      <w:lang w:eastAsia="en-PH"/>
    </w:rPr>
  </w:style>
  <w:style w:type="table" w:customStyle="1" w:styleId="PlainTable21">
    <w:name w:val="Plain Table 21"/>
    <w:basedOn w:val="TableNormal"/>
    <w:next w:val="PlainTable2"/>
    <w:uiPriority w:val="42"/>
    <w:rsid w:val="007C2C1D"/>
    <w:pPr>
      <w:spacing w:after="0" w:line="240" w:lineRule="auto"/>
    </w:pPr>
    <w:rPr>
      <w:rFonts w:ascii="Times New Roman" w:hAnsi="Times New Roman" w:cs="Times New Roman"/>
    </w:rPr>
    <w:tblPr>
      <w:tblStyleRowBandSize w:val="1"/>
      <w:tblStyleColBandSize w:val="1"/>
      <w:tblBorders>
        <w:top w:val="single" w:sz="4" w:space="0" w:color="auto"/>
        <w:bottom w:val="single" w:sz="4" w:space="0" w:color="auto"/>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7C2C1D"/>
    <w:pPr>
      <w:tabs>
        <w:tab w:val="center" w:pos="4680"/>
        <w:tab w:val="right" w:pos="9360"/>
      </w:tabs>
      <w:spacing w:after="0" w:line="240" w:lineRule="auto"/>
      <w:jc w:val="both"/>
    </w:pPr>
    <w:rPr>
      <w:rFonts w:ascii="Book Antiqua" w:hAnsi="Book Antiqua" w:cs="Arial"/>
      <w:sz w:val="20"/>
      <w:szCs w:val="20"/>
    </w:rPr>
  </w:style>
  <w:style w:type="character" w:customStyle="1" w:styleId="HeaderChar">
    <w:name w:val="Header Char"/>
    <w:basedOn w:val="DefaultParagraphFont"/>
    <w:link w:val="Header"/>
    <w:uiPriority w:val="99"/>
    <w:rsid w:val="007C2C1D"/>
    <w:rPr>
      <w:rFonts w:ascii="Book Antiqua" w:hAnsi="Book Antiqua" w:cs="Arial"/>
      <w:sz w:val="20"/>
      <w:szCs w:val="20"/>
    </w:rPr>
  </w:style>
  <w:style w:type="character" w:styleId="Hyperlink">
    <w:name w:val="Hyperlink"/>
    <w:basedOn w:val="DefaultParagraphFont"/>
    <w:uiPriority w:val="99"/>
    <w:unhideWhenUsed/>
    <w:rsid w:val="007C2C1D"/>
    <w:rPr>
      <w:color w:val="0563C1" w:themeColor="hyperlink"/>
      <w:u w:val="single"/>
    </w:rPr>
  </w:style>
  <w:style w:type="character" w:styleId="LineNumber">
    <w:name w:val="line number"/>
    <w:basedOn w:val="DefaultParagraphFont"/>
    <w:uiPriority w:val="99"/>
    <w:semiHidden/>
    <w:unhideWhenUsed/>
    <w:rsid w:val="00634CB6"/>
  </w:style>
  <w:style w:type="paragraph" w:styleId="NormalWeb">
    <w:name w:val="Normal (Web)"/>
    <w:basedOn w:val="Normal"/>
    <w:uiPriority w:val="99"/>
    <w:unhideWhenUsed/>
    <w:rsid w:val="0052380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52380D"/>
    <w:rPr>
      <w:b/>
      <w:bCs/>
    </w:rPr>
  </w:style>
  <w:style w:type="paragraph" w:styleId="NoSpacing">
    <w:name w:val="No Spacing"/>
    <w:uiPriority w:val="1"/>
    <w:qFormat/>
    <w:rsid w:val="004E071F"/>
    <w:pPr>
      <w:spacing w:after="0" w:line="240" w:lineRule="auto"/>
    </w:pPr>
  </w:style>
  <w:style w:type="table" w:customStyle="1" w:styleId="TableGrid">
    <w:name w:val="TableGrid"/>
    <w:rsid w:val="00943423"/>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94342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4342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135C"/>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74135C"/>
    <w:rPr>
      <w:i/>
      <w:iCs/>
    </w:rPr>
  </w:style>
  <w:style w:type="character" w:customStyle="1" w:styleId="Heading6Char">
    <w:name w:val="Heading 6 Char"/>
    <w:basedOn w:val="DefaultParagraphFont"/>
    <w:link w:val="Heading6"/>
    <w:uiPriority w:val="9"/>
    <w:semiHidden/>
    <w:rsid w:val="0074135C"/>
    <w:rPr>
      <w:rFonts w:asciiTheme="majorHAnsi" w:eastAsiaTheme="majorEastAsia" w:hAnsiTheme="majorHAnsi" w:cstheme="majorBidi"/>
      <w:color w:val="1F4D78" w:themeColor="accent1" w:themeShade="7F"/>
    </w:rPr>
  </w:style>
  <w:style w:type="character" w:customStyle="1" w:styleId="sr-only">
    <w:name w:val="sr-only"/>
    <w:basedOn w:val="DefaultParagraphFont"/>
    <w:rsid w:val="001B3747"/>
  </w:style>
  <w:style w:type="table" w:styleId="TableGrid0">
    <w:name w:val="Table Grid"/>
    <w:basedOn w:val="TableNormal"/>
    <w:uiPriority w:val="59"/>
    <w:rsid w:val="009C4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2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6803/ijlter.19.4.12" TargetMode="External"/><Relationship Id="rId21" Type="http://schemas.openxmlformats.org/officeDocument/2006/relationships/hyperlink" Target="https://doi.org/10.55639/607mlkji" TargetMode="External"/><Relationship Id="rId42" Type="http://schemas.openxmlformats.org/officeDocument/2006/relationships/hyperlink" Target="https://doi.org/10.36106/ijsr/0924557" TargetMode="External"/><Relationship Id="rId47" Type="http://schemas.openxmlformats.org/officeDocument/2006/relationships/hyperlink" Target="https://doi.org/10.11594/ijmaber.05.06.08" TargetMode="External"/><Relationship Id="rId63" Type="http://schemas.openxmlformats.org/officeDocument/2006/relationships/hyperlink" Target="https://doi.org/10.1145/3134847.3134863" TargetMode="External"/><Relationship Id="rId68" Type="http://schemas.openxmlformats.org/officeDocument/2006/relationships/hyperlink" Target="https://doi.org/10.69569/jip.2024.0607" TargetMode="External"/><Relationship Id="rId16" Type="http://schemas.openxmlformats.org/officeDocument/2006/relationships/hyperlink" Target="https://doi.org/10.20319/pijss.2017.32.13631384" TargetMode="External"/><Relationship Id="rId11" Type="http://schemas.openxmlformats.org/officeDocument/2006/relationships/hyperlink" Target="https://doi.org/10.2139/ssrn.4810006" TargetMode="External"/><Relationship Id="rId24" Type="http://schemas.openxmlformats.org/officeDocument/2006/relationships/hyperlink" Target="https://doi.org/10.36948/ijfmr.2023.v05i05.6247" TargetMode="External"/><Relationship Id="rId32" Type="http://schemas.openxmlformats.org/officeDocument/2006/relationships/hyperlink" Target="https://doi.org/10.47434/jereda.2.2.2021.141" TargetMode="External"/><Relationship Id="rId37" Type="http://schemas.openxmlformats.org/officeDocument/2006/relationships/hyperlink" Target="https://doi.org/10.47405/mjssh.v9i11.3091" TargetMode="External"/><Relationship Id="rId40" Type="http://schemas.openxmlformats.org/officeDocument/2006/relationships/hyperlink" Target="https://doi.org/10.1017/9781108921206.026" TargetMode="External"/><Relationship Id="rId45" Type="http://schemas.openxmlformats.org/officeDocument/2006/relationships/hyperlink" Target="https://doi.org/10.2139/ssrn.2337290" TargetMode="External"/><Relationship Id="rId53" Type="http://schemas.openxmlformats.org/officeDocument/2006/relationships/hyperlink" Target="https://doi.org/10.3390/knowledge3030033" TargetMode="External"/><Relationship Id="rId58" Type="http://schemas.openxmlformats.org/officeDocument/2006/relationships/hyperlink" Target="https://doi.org/10.11594/ijmaber.02.07.01" TargetMode="External"/><Relationship Id="rId66" Type="http://schemas.openxmlformats.org/officeDocument/2006/relationships/hyperlink" Target="https://doi.org/10.5861/ijrse.2024.24810" TargetMode="External"/><Relationship Id="rId74"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doi.org/10.1007/978-981-99-9363-5_11" TargetMode="External"/><Relationship Id="rId19" Type="http://schemas.openxmlformats.org/officeDocument/2006/relationships/hyperlink" Target="http://journal.bicol-u.edu.ph/index.php/ejournal/article/download/76/56" TargetMode="External"/><Relationship Id="rId14" Type="http://schemas.openxmlformats.org/officeDocument/2006/relationships/hyperlink" Target="https://doi.org/10.9734/ajess/2023/v42i2909" TargetMode="External"/><Relationship Id="rId22" Type="http://schemas.openxmlformats.org/officeDocument/2006/relationships/hyperlink" Target="https://doi.org/10.22214/ijraset.2024.59892" TargetMode="External"/><Relationship Id="rId27" Type="http://schemas.openxmlformats.org/officeDocument/2006/relationships/hyperlink" Target="https://doi.org/10.22610/jevr.v1i3.16" TargetMode="External"/><Relationship Id="rId30" Type="http://schemas.openxmlformats.org/officeDocument/2006/relationships/hyperlink" Target="https://doi.org/10.26803/ijlter.21.1.16" TargetMode="External"/><Relationship Id="rId35" Type="http://schemas.openxmlformats.org/officeDocument/2006/relationships/hyperlink" Target="https://gwacalculator.ph/cumulative-gwa/" TargetMode="External"/><Relationship Id="rId43" Type="http://schemas.openxmlformats.org/officeDocument/2006/relationships/hyperlink" Target="https://doi.org/10.18260/1-2-1153-46336" TargetMode="External"/><Relationship Id="rId48" Type="http://schemas.openxmlformats.org/officeDocument/2006/relationships/hyperlink" Target="https://doi.org/10.1007/978-981-10-3929-4_2" TargetMode="External"/><Relationship Id="rId56" Type="http://schemas.openxmlformats.org/officeDocument/2006/relationships/hyperlink" Target="https://doi.org/10.47772/ijriss.2024.8080196" TargetMode="External"/><Relationship Id="rId64" Type="http://schemas.openxmlformats.org/officeDocument/2006/relationships/hyperlink" Target="https://doi.org/10.35974/isc.v5i1.1663" TargetMode="External"/><Relationship Id="rId69" Type="http://schemas.openxmlformats.org/officeDocument/2006/relationships/hyperlink" Target="https://doi.org/10.21474/ijar01/14447" TargetMode="External"/><Relationship Id="rId77" Type="http://schemas.openxmlformats.org/officeDocument/2006/relationships/theme" Target="theme/theme1.xml"/><Relationship Id="rId8" Type="http://schemas.openxmlformats.org/officeDocument/2006/relationships/hyperlink" Target="https://doi.org/10.62596/yeq4ze27" TargetMode="External"/><Relationship Id="rId51" Type="http://schemas.openxmlformats.org/officeDocument/2006/relationships/hyperlink" Target="https://doi.org/10.37502/ijsmr.2022.5303"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oi.org/10.55214/25768484.v8i4.1570" TargetMode="External"/><Relationship Id="rId17" Type="http://schemas.openxmlformats.org/officeDocument/2006/relationships/hyperlink" Target="https://doi.org/10.51773/sssh.v3i1.252" TargetMode="External"/><Relationship Id="rId25" Type="http://schemas.openxmlformats.org/officeDocument/2006/relationships/hyperlink" Target="http://journal.aloha.academy/index.php/aijea/article/view/aijea10302" TargetMode="External"/><Relationship Id="rId33" Type="http://schemas.openxmlformats.org/officeDocument/2006/relationships/hyperlink" Target="https://www.ajhssr.com/wp-content/uploads/2019/07/ZF1936250253.pdf" TargetMode="External"/><Relationship Id="rId38" Type="http://schemas.openxmlformats.org/officeDocument/2006/relationships/hyperlink" Target="https://doi.org/10.47405/mjssh.v9i11.3091" TargetMode="External"/><Relationship Id="rId46" Type="http://schemas.openxmlformats.org/officeDocument/2006/relationships/hyperlink" Target="https://doi.org/10.36349/easjehl.2024.v07i11.001" TargetMode="External"/><Relationship Id="rId59" Type="http://schemas.openxmlformats.org/officeDocument/2006/relationships/hyperlink" Target="https://doi.org/10.11594/ijmaber.05.09.23" TargetMode="External"/><Relationship Id="rId67" Type="http://schemas.openxmlformats.org/officeDocument/2006/relationships/hyperlink" Target="https://doi.org/10.57200/apjsbs.v21i0.333" TargetMode="External"/><Relationship Id="rId20" Type="http://schemas.openxmlformats.org/officeDocument/2006/relationships/hyperlink" Target="https://doi.org/10.3102/00028312221137798" TargetMode="External"/><Relationship Id="rId41" Type="http://schemas.openxmlformats.org/officeDocument/2006/relationships/hyperlink" Target="https://doi.org/10.1097/ACM.0000000000004877" TargetMode="External"/><Relationship Id="rId54" Type="http://schemas.openxmlformats.org/officeDocument/2006/relationships/hyperlink" Target="https://www.taylorfrancis.com/books/navigating-teacher-licensure-exams-emery-petchauer/10.4324/9781351168168" TargetMode="External"/><Relationship Id="rId62" Type="http://schemas.openxmlformats.org/officeDocument/2006/relationships/hyperlink" Target="https://doi.org/10.36948/ijfmr.2025.v07i01.36619"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591/ijere.v9i3.20614" TargetMode="External"/><Relationship Id="rId23" Type="http://schemas.openxmlformats.org/officeDocument/2006/relationships/hyperlink" Target="https://doi.org/10.56874/jeel.v1i2.52" TargetMode="External"/><Relationship Id="rId28" Type="http://schemas.openxmlformats.org/officeDocument/2006/relationships/hyperlink" Target="https://doi.org/10.53899/spjrd.v24i1.12" TargetMode="External"/><Relationship Id="rId36" Type="http://schemas.openxmlformats.org/officeDocument/2006/relationships/hyperlink" Target="https://doi.org/10.7719/jpair.v21i1.330" TargetMode="External"/><Relationship Id="rId49" Type="http://schemas.openxmlformats.org/officeDocument/2006/relationships/hyperlink" Target="https://doi.org/10.1007/978-3-031-52535-3_2" TargetMode="External"/><Relationship Id="rId57" Type="http://schemas.openxmlformats.org/officeDocument/2006/relationships/hyperlink" Target="https://doi.org/10.3390/su15021527" TargetMode="External"/><Relationship Id="rId10" Type="http://schemas.openxmlformats.org/officeDocument/2006/relationships/hyperlink" Target="https://doi.org/10.21831/socia.v20i2.65956" TargetMode="External"/><Relationship Id="rId31" Type="http://schemas.openxmlformats.org/officeDocument/2006/relationships/hyperlink" Target="https://doi.org/10.47772/ijriss.2024.8100244" TargetMode="External"/><Relationship Id="rId44" Type="http://schemas.openxmlformats.org/officeDocument/2006/relationships/hyperlink" Target="https://doi.org/10.1007/s10459-015-9632-y" TargetMode="External"/><Relationship Id="rId52" Type="http://schemas.openxmlformats.org/officeDocument/2006/relationships/hyperlink" Target="https://doi.org/10.52006/main.v6i1.633" TargetMode="External"/><Relationship Id="rId60" Type="http://schemas.openxmlformats.org/officeDocument/2006/relationships/hyperlink" Target="https://doi.org/10.11594/ijmaber.05.09.21" TargetMode="External"/><Relationship Id="rId65" Type="http://schemas.openxmlformats.org/officeDocument/2006/relationships/hyperlink" Target="https://doi.org/10.1097/nne.0000000000001413"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37284/eajes.6.1.1172" TargetMode="External"/><Relationship Id="rId13" Type="http://schemas.openxmlformats.org/officeDocument/2006/relationships/hyperlink" Target="https://doi.org/10.20935/AL4087" TargetMode="External"/><Relationship Id="rId18" Type="http://schemas.openxmlformats.org/officeDocument/2006/relationships/hyperlink" Target="https://doi.org/10.5430/jct.v12n1p247" TargetMode="External"/><Relationship Id="rId39" Type="http://schemas.openxmlformats.org/officeDocument/2006/relationships/hyperlink" Target="https://doi.org/10.54536/ajet.v3i4.3416" TargetMode="External"/><Relationship Id="rId34" Type="http://schemas.openxmlformats.org/officeDocument/2006/relationships/hyperlink" Target="https://doi.org/10.13189/ujer.2020.080314" TargetMode="External"/><Relationship Id="rId50" Type="http://schemas.openxmlformats.org/officeDocument/2006/relationships/hyperlink" Target="https://doi.org/10.47772/ijriss.2024.8100209" TargetMode="External"/><Relationship Id="rId55" Type="http://schemas.openxmlformats.org/officeDocument/2006/relationships/hyperlink" Target="https://doi.org/10.7828/ljher.v11i1.896" TargetMode="External"/><Relationship Id="rId76" Type="http://schemas.openxmlformats.org/officeDocument/2006/relationships/fontTable" Target="fontTable.xml"/><Relationship Id="rId7" Type="http://schemas.openxmlformats.org/officeDocument/2006/relationships/hyperlink" Target="https://doi.org/10.3389/feduc.2023.1240658" TargetMode="External"/><Relationship Id="rId71"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s://doi.org/10.47772/ijriss.2024.8100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14</Pages>
  <Words>7478</Words>
  <Characters>42630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1183</cp:lastModifiedBy>
  <cp:revision>43</cp:revision>
  <dcterms:created xsi:type="dcterms:W3CDTF">2025-07-09T06:18:00Z</dcterms:created>
  <dcterms:modified xsi:type="dcterms:W3CDTF">2025-08-05T05:40:00Z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ies>
</file>