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7B07E" w14:textId="58653ECC" w:rsidR="000B1D44" w:rsidRPr="000964BF" w:rsidRDefault="000964BF" w:rsidP="00A57E4C">
      <w:pPr>
        <w:pBdr>
          <w:top w:val="nil"/>
          <w:left w:val="nil"/>
          <w:bottom w:val="nil"/>
          <w:right w:val="nil"/>
          <w:between w:val="nil"/>
        </w:pBdr>
        <w:jc w:val="right"/>
        <w:rPr>
          <w:rFonts w:ascii="Arial" w:eastAsia="Arial" w:hAnsi="Arial" w:cs="Arial"/>
          <w:b/>
          <w:sz w:val="36"/>
          <w:szCs w:val="36"/>
        </w:rPr>
      </w:pPr>
      <w:bookmarkStart w:id="0" w:name="_Hlk203424916"/>
      <w:bookmarkStart w:id="1" w:name="_GoBack"/>
      <w:bookmarkEnd w:id="1"/>
      <w:r w:rsidRPr="000964BF">
        <w:rPr>
          <w:rFonts w:ascii="Arial" w:hAnsi="Arial" w:cs="Arial"/>
          <w:bCs/>
          <w:sz w:val="36"/>
          <w:szCs w:val="36"/>
          <w:lang w:val="en-ID"/>
        </w:rPr>
        <w:t xml:space="preserve">Evaluation of Awareness and Acceptance of the Vision, Mission, and Goals of Education at Davao Oriental State University </w:t>
      </w:r>
      <w:proofErr w:type="spellStart"/>
      <w:r w:rsidRPr="000964BF">
        <w:rPr>
          <w:rFonts w:ascii="Arial" w:hAnsi="Arial" w:cs="Arial"/>
          <w:bCs/>
          <w:sz w:val="36"/>
          <w:szCs w:val="36"/>
          <w:lang w:val="en-ID"/>
        </w:rPr>
        <w:t>Cateel</w:t>
      </w:r>
      <w:proofErr w:type="spellEnd"/>
      <w:r w:rsidRPr="000964BF">
        <w:rPr>
          <w:rFonts w:ascii="Arial" w:hAnsi="Arial" w:cs="Arial"/>
          <w:bCs/>
          <w:sz w:val="36"/>
          <w:szCs w:val="36"/>
          <w:lang w:val="en-ID"/>
        </w:rPr>
        <w:t>- Campus: A BEED Program Stakeholder Perspective</w:t>
      </w:r>
    </w:p>
    <w:bookmarkEnd w:id="0"/>
    <w:p w14:paraId="290C74A7" w14:textId="77777777" w:rsidR="00A57E4C" w:rsidRDefault="00A57E4C" w:rsidP="00A57E4C">
      <w:pPr>
        <w:pBdr>
          <w:top w:val="nil"/>
          <w:left w:val="nil"/>
          <w:bottom w:val="nil"/>
          <w:right w:val="nil"/>
          <w:between w:val="nil"/>
        </w:pBdr>
        <w:jc w:val="right"/>
        <w:rPr>
          <w:rFonts w:ascii="Arial" w:eastAsia="Arial" w:hAnsi="Arial" w:cs="Arial"/>
          <w:b/>
          <w:color w:val="000000"/>
          <w:sz w:val="36"/>
          <w:szCs w:val="36"/>
        </w:rPr>
      </w:pPr>
    </w:p>
    <w:p w14:paraId="6B0B6645" w14:textId="77777777" w:rsidR="009A4D01" w:rsidRDefault="009A4D01" w:rsidP="009A4D01">
      <w:pPr>
        <w:pBdr>
          <w:top w:val="nil"/>
          <w:left w:val="nil"/>
          <w:bottom w:val="nil"/>
          <w:right w:val="nil"/>
          <w:between w:val="nil"/>
        </w:pBdr>
        <w:jc w:val="right"/>
        <w:rPr>
          <w:rFonts w:ascii="Arial" w:eastAsia="Arial" w:hAnsi="Arial" w:cs="Arial"/>
          <w:i/>
          <w:color w:val="000000"/>
        </w:rPr>
      </w:pPr>
    </w:p>
    <w:p w14:paraId="4EE6F7A2" w14:textId="0220FE5B" w:rsidR="009A4D01" w:rsidRPr="009A4D01" w:rsidRDefault="00314A76" w:rsidP="009A4D01">
      <w:pPr>
        <w:pBdr>
          <w:top w:val="nil"/>
          <w:left w:val="nil"/>
          <w:bottom w:val="nil"/>
          <w:right w:val="nil"/>
          <w:between w:val="nil"/>
        </w:pBdr>
        <w:jc w:val="right"/>
        <w:rPr>
          <w:rFonts w:ascii="Arial" w:eastAsia="Arial" w:hAnsi="Arial" w:cs="Arial"/>
          <w:i/>
          <w:color w:val="000000"/>
        </w:rPr>
      </w:pPr>
      <w:r>
        <w:rPr>
          <w:noProof/>
        </w:rPr>
        <mc:AlternateContent>
          <mc:Choice Requires="wps">
            <w:drawing>
              <wp:inline distT="0" distB="0" distL="0" distR="0" wp14:anchorId="070DCE9A" wp14:editId="591E7FFD">
                <wp:extent cx="5212080" cy="18415"/>
                <wp:effectExtent l="9525" t="9525" r="17145" b="10160"/>
                <wp:docPr id="104815325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184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A333B4" id="_x0000_t32" coordsize="21600,21600" o:spt="32" o:oned="t" path="m,l21600,21600e" filled="f">
                <v:path arrowok="t" fillok="f" o:connecttype="none"/>
                <o:lock v:ext="edit" shapetype="t"/>
              </v:shapetype>
              <v:shape id="Straight Arrow Connector 1" o:spid="_x0000_s1026" type="#_x0000_t32" style="width:410.4pt;height:1.4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" strokeweight="1.5pt">
                <w10:anchorlock/>
              </v:shape>
            </w:pict>
          </mc:Fallback>
        </mc:AlternateContent>
      </w:r>
    </w:p>
    <w:p w14:paraId="34E93BA9" w14:textId="72F3C6ED" w:rsidR="000B1D44" w:rsidRDefault="001856BB">
      <w:pPr>
        <w:pBdr>
          <w:top w:val="nil"/>
          <w:left w:val="nil"/>
          <w:bottom w:val="nil"/>
          <w:right w:val="nil"/>
          <w:between w:val="nil"/>
        </w:pBdr>
        <w:jc w:val="both"/>
        <w:rPr>
          <w:rFonts w:ascii="Arial" w:eastAsia="Arial" w:hAnsi="Arial" w:cs="Arial"/>
          <w:color w:val="000000"/>
          <w:sz w:val="16"/>
          <w:szCs w:val="16"/>
        </w:rPr>
        <w:sectPr w:rsidR="000B1D44">
          <w:headerReference w:type="first" r:id="rId7"/>
          <w:footerReference w:type="first" r:id="rId8"/>
          <w:pgSz w:w="12240" w:h="15840"/>
          <w:pgMar w:top="1440" w:right="2016" w:bottom="2016" w:left="2016" w:header="720" w:footer="1296" w:gutter="0"/>
          <w:lnNumType w:countBy="1" w:restart="continuous"/>
          <w:pgNumType w:start="1"/>
          <w:cols w:space="720"/>
        </w:sectPr>
      </w:pPr>
      <w:r>
        <w:rPr>
          <w:rFonts w:ascii="Arial" w:eastAsia="Arial" w:hAnsi="Arial" w:cs="Arial"/>
          <w:color w:val="000000"/>
          <w:sz w:val="16"/>
          <w:szCs w:val="16"/>
        </w:rPr>
        <w:t>.</w:t>
      </w:r>
    </w:p>
    <w:p w14:paraId="72A29A22"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6"/>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4048A2" w14:paraId="568A22D6" w14:textId="77777777">
        <w:tc>
          <w:tcPr>
            <w:tcW w:w="8198" w:type="dxa"/>
            <w:shd w:val="clear" w:color="auto" w:fill="F2F2F2"/>
          </w:tcPr>
          <w:p w14:paraId="11E9EF33" w14:textId="70595078" w:rsidR="004048A2" w:rsidRPr="00A11CE9" w:rsidRDefault="00A11CE9" w:rsidP="004048A2">
            <w:pPr>
              <w:jc w:val="both"/>
              <w:rPr>
                <w:rFonts w:ascii="Arial" w:eastAsia="Arial" w:hAnsi="Arial" w:cs="Arial"/>
              </w:rPr>
            </w:pPr>
            <w:r w:rsidRPr="00A11CE9">
              <w:rPr>
                <w:rFonts w:ascii="Arial" w:hAnsi="Arial" w:cs="Arial"/>
              </w:rPr>
              <w:t>The purpose of this study was to investigate the level of awareness and acceptance of</w:t>
            </w:r>
            <w:r w:rsidRPr="00A11CE9">
              <w:rPr>
                <w:rFonts w:ascii="Arial" w:hAnsi="Arial" w:cs="Arial"/>
              </w:rPr>
              <w:br/>
              <w:t>Davao Oriental State University’s (</w:t>
            </w:r>
            <w:proofErr w:type="spellStart"/>
            <w:r w:rsidRPr="00A11CE9">
              <w:rPr>
                <w:rFonts w:ascii="Arial" w:hAnsi="Arial" w:cs="Arial"/>
              </w:rPr>
              <w:t>DOrSU</w:t>
            </w:r>
            <w:proofErr w:type="spellEnd"/>
            <w:r w:rsidRPr="00A11CE9">
              <w:rPr>
                <w:rFonts w:ascii="Arial" w:hAnsi="Arial" w:cs="Arial"/>
              </w:rPr>
              <w:t>) Vision, Mission, and Program Educational</w:t>
            </w:r>
            <w:r w:rsidRPr="00A11CE9">
              <w:rPr>
                <w:rFonts w:ascii="Arial" w:hAnsi="Arial" w:cs="Arial"/>
              </w:rPr>
              <w:br/>
              <w:t>Objectives (VMPEO) among stakeholders of the Bachelor of Elementary Education</w:t>
            </w:r>
            <w:r w:rsidRPr="00A11CE9">
              <w:rPr>
                <w:rFonts w:ascii="Arial" w:hAnsi="Arial" w:cs="Arial"/>
              </w:rPr>
              <w:br/>
              <w:t>(BEED) program. The research respondents comprised 299 stakeholders—including</w:t>
            </w:r>
            <w:r w:rsidRPr="00A11CE9">
              <w:rPr>
                <w:rFonts w:ascii="Arial" w:hAnsi="Arial" w:cs="Arial"/>
              </w:rPr>
              <w:br/>
              <w:t>students, faculty, non-teaching staff, alumni, parents, and industry representatives.</w:t>
            </w:r>
            <w:r w:rsidRPr="00A11CE9">
              <w:rPr>
                <w:rFonts w:ascii="Arial" w:hAnsi="Arial" w:cs="Arial"/>
              </w:rPr>
              <w:br/>
              <w:t>Utilizing a quantitative descriptive-correlational design, data were collected through a</w:t>
            </w:r>
            <w:r w:rsidRPr="00A11CE9">
              <w:rPr>
                <w:rFonts w:ascii="Arial" w:hAnsi="Arial" w:cs="Arial"/>
              </w:rPr>
              <w:br/>
              <w:t>validated 30-item survey questionnaire distributed in printed and online formats. The</w:t>
            </w:r>
            <w:r w:rsidRPr="00A11CE9">
              <w:rPr>
                <w:rFonts w:ascii="Arial" w:hAnsi="Arial" w:cs="Arial"/>
              </w:rPr>
              <w:br/>
              <w:t>study employed frequency, mean, independent sample t-test, one-way ANOVA, and</w:t>
            </w:r>
            <w:r w:rsidRPr="00A11CE9">
              <w:rPr>
                <w:rFonts w:ascii="Arial" w:hAnsi="Arial" w:cs="Arial"/>
              </w:rPr>
              <w:br/>
              <w:t>Pearson correlation as statistical tools for analysis. Findings revealed stakeholders</w:t>
            </w:r>
            <w:r w:rsidRPr="00A11CE9">
              <w:rPr>
                <w:rFonts w:ascii="Arial" w:hAnsi="Arial" w:cs="Arial"/>
              </w:rPr>
              <w:br/>
              <w:t xml:space="preserve">exhibited high levels of awareness and complete acceptance of </w:t>
            </w:r>
            <w:proofErr w:type="spellStart"/>
            <w:r w:rsidRPr="00A11CE9">
              <w:rPr>
                <w:rFonts w:ascii="Arial" w:hAnsi="Arial" w:cs="Arial"/>
              </w:rPr>
              <w:t>DOrSU's</w:t>
            </w:r>
            <w:proofErr w:type="spellEnd"/>
            <w:r w:rsidRPr="00A11CE9">
              <w:rPr>
                <w:rFonts w:ascii="Arial" w:hAnsi="Arial" w:cs="Arial"/>
              </w:rPr>
              <w:t xml:space="preserve"> VMPEO.</w:t>
            </w:r>
            <w:r w:rsidRPr="00A11CE9">
              <w:rPr>
                <w:rFonts w:ascii="Arial" w:hAnsi="Arial" w:cs="Arial"/>
              </w:rPr>
              <w:br/>
              <w:t>However, significant differences emerged when stakeholders were grouped by category,</w:t>
            </w:r>
            <w:r w:rsidRPr="00A11CE9">
              <w:rPr>
                <w:rFonts w:ascii="Arial" w:hAnsi="Arial" w:cs="Arial"/>
              </w:rPr>
              <w:br/>
              <w:t>age, and educational attainment, with parents demonstrating notably lower levels of</w:t>
            </w:r>
            <w:r w:rsidRPr="00A11CE9">
              <w:rPr>
                <w:rFonts w:ascii="Arial" w:hAnsi="Arial" w:cs="Arial"/>
              </w:rPr>
              <w:br/>
              <w:t>awareness and acceptance. Additionally, a significant positive relationship was observed</w:t>
            </w:r>
            <w:r w:rsidRPr="00A11CE9">
              <w:rPr>
                <w:rFonts w:ascii="Arial" w:hAnsi="Arial" w:cs="Arial"/>
              </w:rPr>
              <w:br/>
              <w:t>between awareness and acceptance, indicating increased awareness was associated</w:t>
            </w:r>
            <w:r w:rsidRPr="00A11CE9">
              <w:rPr>
                <w:rFonts w:ascii="Arial" w:hAnsi="Arial" w:cs="Arial"/>
              </w:rPr>
              <w:br/>
              <w:t>with increased stakeholder acceptance. These findings suggest the need for targeted awareness campaigns and inclusive communication strategies to better engage all stakeholder groups, which may help inform educational policies and improve stakeholder alignment with institutional goals.</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5B0EA798" w:rsidR="000B1D44" w:rsidRDefault="001856BB" w:rsidP="004048A2">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4048A2" w:rsidRPr="004048A2">
        <w:rPr>
          <w:rFonts w:ascii="Arial" w:eastAsia="Arial" w:hAnsi="Arial" w:cs="Arial"/>
          <w:i/>
          <w:color w:val="000000"/>
        </w:rPr>
        <w:t xml:space="preserve">stakeholder awareness, stakeholder acceptance, </w:t>
      </w:r>
      <w:r w:rsidR="00A11CE9" w:rsidRPr="00A11CE9">
        <w:rPr>
          <w:rFonts w:ascii="Arial" w:eastAsia="Arial" w:hAnsi="Arial" w:cs="Arial"/>
          <w:i/>
          <w:color w:val="000000"/>
        </w:rPr>
        <w:t>Educational Policy</w:t>
      </w:r>
      <w:r w:rsidR="004048A2" w:rsidRPr="004048A2">
        <w:rPr>
          <w:rFonts w:ascii="Arial" w:eastAsia="Arial" w:hAnsi="Arial" w:cs="Arial"/>
          <w:i/>
          <w:color w:val="000000"/>
        </w:rPr>
        <w:t xml:space="preserve">, </w:t>
      </w:r>
      <w:r w:rsidR="00A11CE9" w:rsidRPr="00A11CE9">
        <w:rPr>
          <w:rFonts w:ascii="Arial" w:eastAsia="Arial" w:hAnsi="Arial" w:cs="Arial"/>
          <w:i/>
          <w:color w:val="000000"/>
        </w:rPr>
        <w:t>Higher Education</w:t>
      </w:r>
      <w:r w:rsidR="004048A2" w:rsidRPr="004048A2">
        <w:rPr>
          <w:rFonts w:ascii="Arial" w:eastAsia="Arial" w:hAnsi="Arial" w:cs="Arial"/>
          <w:i/>
          <w:color w:val="000000"/>
        </w:rPr>
        <w:t>,</w:t>
      </w:r>
      <w:r w:rsidR="00A11CE9">
        <w:rPr>
          <w:rFonts w:ascii="Arial" w:eastAsia="Arial" w:hAnsi="Arial" w:cs="Arial"/>
          <w:i/>
          <w:color w:val="000000"/>
        </w:rPr>
        <w:t xml:space="preserve"> Pr</w:t>
      </w:r>
      <w:r w:rsidR="00A11CE9" w:rsidRPr="00A11CE9">
        <w:rPr>
          <w:rFonts w:ascii="Arial" w:eastAsia="Arial" w:hAnsi="Arial" w:cs="Arial"/>
          <w:i/>
          <w:color w:val="000000"/>
        </w:rPr>
        <w:t>ogram Evaluatio</w:t>
      </w:r>
      <w:r w:rsidR="00A11CE9">
        <w:rPr>
          <w:rFonts w:ascii="Arial" w:eastAsia="Arial" w:hAnsi="Arial" w:cs="Arial"/>
          <w:i/>
          <w:color w:val="000000"/>
        </w:rPr>
        <w:t>n</w:t>
      </w: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1B00E400"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C37A46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74C854EA" w14:textId="77777777" w:rsidR="002164B2" w:rsidRDefault="005653C8" w:rsidP="00060459">
      <w:pPr>
        <w:ind w:firstLine="720"/>
        <w:jc w:val="both"/>
        <w:rPr>
          <w:rFonts w:ascii="Arial" w:eastAsia="Arial" w:hAnsi="Arial" w:cs="Arial"/>
        </w:rPr>
      </w:pPr>
      <w:r w:rsidRPr="005653C8">
        <w:rPr>
          <w:rFonts w:ascii="Arial" w:eastAsia="Arial" w:hAnsi="Arial" w:cs="Arial"/>
        </w:rPr>
        <w:t>The vision, mission, and Program Educational Objectives (PEOs) were fundamental strategic tools that defined the direction, purpose, and long-term goals of higher education institutions. These elements were essential for aligning institutional objectives with societal needs and national priorities (Senge, 2015). At Davao Oriental State University (</w:t>
      </w:r>
      <w:proofErr w:type="spellStart"/>
      <w:r w:rsidRPr="005653C8">
        <w:rPr>
          <w:rFonts w:ascii="Arial" w:eastAsia="Arial" w:hAnsi="Arial" w:cs="Arial"/>
        </w:rPr>
        <w:t>DOrSU</w:t>
      </w:r>
      <w:proofErr w:type="spellEnd"/>
      <w:r w:rsidRPr="005653C8">
        <w:rPr>
          <w:rFonts w:ascii="Arial" w:eastAsia="Arial" w:hAnsi="Arial" w:cs="Arial"/>
        </w:rPr>
        <w:t xml:space="preserve">), the vision and mission articulated its goals of fostering quality education, promoting research, and engaging in meaningful community partnerships. Similarly, the university's Program Educational Objectives (PEOs) established pathways for its graduates to acquire the necessary skills, knowledge, and values required for personal and professional success while contributing to national and local development goals (Brewster et al., 2017). </w:t>
      </w:r>
    </w:p>
    <w:p w14:paraId="6098EE38" w14:textId="191FD202" w:rsidR="005653C8" w:rsidRDefault="005653C8" w:rsidP="00060459">
      <w:pPr>
        <w:ind w:firstLine="720"/>
        <w:jc w:val="both"/>
        <w:rPr>
          <w:rFonts w:ascii="Arial" w:eastAsia="Arial" w:hAnsi="Arial" w:cs="Arial"/>
        </w:rPr>
      </w:pPr>
      <w:r w:rsidRPr="005653C8">
        <w:rPr>
          <w:rFonts w:ascii="Arial" w:eastAsia="Arial" w:hAnsi="Arial" w:cs="Arial"/>
        </w:rPr>
        <w:t xml:space="preserve">The importance of the VMPEO (vision, mission, and program educational objectives) provided institutional clarity and strategic guidance, ensuring all programs and operations were aligned with overarching institutional objectives. These guiding statements were central to strategic decision-making, governance, leadership, and the successful implementation of the institution's academic and professional goals. Despite the strategic significance of </w:t>
      </w:r>
      <w:proofErr w:type="spellStart"/>
      <w:r w:rsidRPr="005653C8">
        <w:rPr>
          <w:rFonts w:ascii="Arial" w:eastAsia="Arial" w:hAnsi="Arial" w:cs="Arial"/>
        </w:rPr>
        <w:t>DOrSU's</w:t>
      </w:r>
      <w:proofErr w:type="spellEnd"/>
      <w:r w:rsidRPr="005653C8">
        <w:rPr>
          <w:rFonts w:ascii="Arial" w:eastAsia="Arial" w:hAnsi="Arial" w:cs="Arial"/>
        </w:rPr>
        <w:t xml:space="preserve"> vision, mission, and Program Educational Objectives (PEOs), there was evidence </w:t>
      </w:r>
      <w:r w:rsidRPr="005653C8">
        <w:rPr>
          <w:rFonts w:ascii="Arial" w:eastAsia="Arial" w:hAnsi="Arial" w:cs="Arial"/>
        </w:rPr>
        <w:lastRenderedPageBreak/>
        <w:t xml:space="preserve">suggesting a gap in awareness and acceptance among key institutional stakeholders—specifically, BEED students and faculty members. Challenges such as strategic communication gaps, ineffective dissemination, and limited stakeholder engagement hindered understanding and alignment with </w:t>
      </w:r>
      <w:proofErr w:type="spellStart"/>
      <w:r w:rsidRPr="005653C8">
        <w:rPr>
          <w:rFonts w:ascii="Arial" w:eastAsia="Arial" w:hAnsi="Arial" w:cs="Arial"/>
        </w:rPr>
        <w:t>DOrSU's</w:t>
      </w:r>
      <w:proofErr w:type="spellEnd"/>
      <w:r w:rsidRPr="005653C8">
        <w:rPr>
          <w:rFonts w:ascii="Arial" w:eastAsia="Arial" w:hAnsi="Arial" w:cs="Arial"/>
        </w:rPr>
        <w:t xml:space="preserve"> goals.</w:t>
      </w:r>
    </w:p>
    <w:p w14:paraId="12C2661E"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46D43AD4"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OBJECTIVES </w:t>
      </w:r>
    </w:p>
    <w:p w14:paraId="56E1BE1E"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p w14:paraId="0A316069" w14:textId="10E8441C" w:rsidR="00E26B62" w:rsidRDefault="00CB29D1" w:rsidP="00FD33E6">
      <w:pPr>
        <w:pBdr>
          <w:top w:val="nil"/>
          <w:left w:val="nil"/>
          <w:bottom w:val="nil"/>
          <w:right w:val="nil"/>
          <w:between w:val="nil"/>
        </w:pBdr>
        <w:ind w:firstLine="360"/>
        <w:jc w:val="both"/>
        <w:rPr>
          <w:rFonts w:ascii="Arial" w:eastAsia="Arial" w:hAnsi="Arial" w:cs="Arial"/>
          <w:color w:val="000000"/>
        </w:rPr>
      </w:pPr>
      <w:r w:rsidRPr="00CB29D1">
        <w:rPr>
          <w:rFonts w:ascii="Arial" w:eastAsia="Arial" w:hAnsi="Arial" w:cs="Arial"/>
          <w:color w:val="000000"/>
        </w:rPr>
        <w:t>The researchers aim to ascertain the awareness and acceptance of Davao Oriental State University's Vision, Mission, and Graduate Outcomes among BEED stakeholders. As such, the objectives of this study are the following:</w:t>
      </w:r>
    </w:p>
    <w:p w14:paraId="73275B71" w14:textId="77777777" w:rsidR="00CB29D1" w:rsidRDefault="00CB29D1" w:rsidP="00FD33E6">
      <w:pPr>
        <w:pBdr>
          <w:top w:val="nil"/>
          <w:left w:val="nil"/>
          <w:bottom w:val="nil"/>
          <w:right w:val="nil"/>
          <w:between w:val="nil"/>
        </w:pBdr>
        <w:ind w:firstLine="360"/>
        <w:jc w:val="both"/>
        <w:rPr>
          <w:rFonts w:ascii="Arial" w:eastAsia="Arial" w:hAnsi="Arial" w:cs="Arial"/>
          <w:color w:val="000000"/>
          <w:highlight w:val="white"/>
        </w:rPr>
      </w:pPr>
    </w:p>
    <w:p w14:paraId="0EBB6CA3" w14:textId="271B4761"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Determine the demographic and contextual profile among BEED stakeholders.</w:t>
      </w:r>
    </w:p>
    <w:p w14:paraId="4715926F" w14:textId="58631283"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Assess the level of awareness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Program Educational Objectives (PEO) among BEED stakeholders</w:t>
      </w:r>
    </w:p>
    <w:p w14:paraId="5C2F6B97" w14:textId="5A9BC5DB" w:rsidR="00CB29D1" w:rsidRPr="00FD33E6"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Evaluate the level of acceptance of DORSU's vision, mission, and Program Educational Objectives (PEO) among BEED stakeholders.</w:t>
      </w:r>
    </w:p>
    <w:p w14:paraId="76469171" w14:textId="4297FF71" w:rsidR="00CB29D1" w:rsidRPr="00CB29D1" w:rsidRDefault="00CB29D1" w:rsidP="00FD33E6">
      <w:pPr>
        <w:pStyle w:val="ListParagraph"/>
        <w:numPr>
          <w:ilvl w:val="0"/>
          <w:numId w:val="1"/>
        </w:numPr>
        <w:jc w:val="both"/>
        <w:rPr>
          <w:rFonts w:ascii="Arial" w:eastAsia="Arial" w:hAnsi="Arial" w:cs="Arial"/>
          <w:color w:val="000000"/>
        </w:rPr>
      </w:pPr>
      <w:r w:rsidRPr="00CB29D1">
        <w:rPr>
          <w:rFonts w:ascii="Arial" w:eastAsia="Arial" w:hAnsi="Arial" w:cs="Arial"/>
          <w:color w:val="000000"/>
        </w:rPr>
        <w:t xml:space="preserve">Examine the significant differences in the levels of awareness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PEO across BEED stakeholders when grouped according to: </w:t>
      </w:r>
    </w:p>
    <w:p w14:paraId="0C468BB3" w14:textId="0B987D2D" w:rsidR="00CB29D1" w:rsidRPr="00FD33E6" w:rsidRDefault="00FD33E6" w:rsidP="00FD33E6">
      <w:pPr>
        <w:pBdr>
          <w:top w:val="nil"/>
          <w:left w:val="nil"/>
          <w:bottom w:val="nil"/>
          <w:right w:val="nil"/>
          <w:between w:val="nil"/>
        </w:pBdr>
        <w:ind w:left="720"/>
        <w:jc w:val="both"/>
        <w:rPr>
          <w:rFonts w:ascii="Arial" w:eastAsia="Arial" w:hAnsi="Arial" w:cs="Arial"/>
          <w:color w:val="000000"/>
        </w:rPr>
      </w:pPr>
      <w:r>
        <w:rPr>
          <w:rFonts w:ascii="Arial" w:eastAsia="Arial" w:hAnsi="Arial" w:cs="Arial"/>
          <w:color w:val="000000"/>
        </w:rPr>
        <w:t xml:space="preserve">a. </w:t>
      </w:r>
      <w:r w:rsidR="00CB29D1" w:rsidRPr="00FD33E6">
        <w:rPr>
          <w:rFonts w:ascii="Arial" w:eastAsia="Arial" w:hAnsi="Arial" w:cs="Arial"/>
          <w:color w:val="000000"/>
        </w:rPr>
        <w:t>stakeholder category;</w:t>
      </w:r>
    </w:p>
    <w:p w14:paraId="0969F805" w14:textId="339FF34C" w:rsidR="00CB29D1"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b. </w:t>
      </w:r>
      <w:r w:rsidR="00CB29D1" w:rsidRPr="00FD33E6">
        <w:rPr>
          <w:rFonts w:ascii="Arial" w:eastAsia="Arial" w:hAnsi="Arial" w:cs="Arial"/>
          <w:color w:val="000000"/>
        </w:rPr>
        <w:t>age;</w:t>
      </w:r>
    </w:p>
    <w:p w14:paraId="415C8ED0" w14:textId="64517B76" w:rsidR="00CB29D1"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c. </w:t>
      </w:r>
      <w:r w:rsidR="00CB29D1" w:rsidRPr="00FD33E6">
        <w:rPr>
          <w:rFonts w:ascii="Arial" w:eastAsia="Arial" w:hAnsi="Arial" w:cs="Arial"/>
          <w:color w:val="000000"/>
        </w:rPr>
        <w:t>sex; and</w:t>
      </w:r>
    </w:p>
    <w:p w14:paraId="1585B372" w14:textId="5759E0D7" w:rsidR="000B1D44" w:rsidRPr="00FD33E6" w:rsidRDefault="00FD33E6" w:rsidP="00FD33E6">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d. </w:t>
      </w:r>
      <w:r w:rsidR="00CB29D1" w:rsidRPr="00FD33E6">
        <w:rPr>
          <w:rFonts w:ascii="Arial" w:eastAsia="Arial" w:hAnsi="Arial" w:cs="Arial"/>
          <w:color w:val="000000"/>
        </w:rPr>
        <w:t>educational attainment.</w:t>
      </w:r>
    </w:p>
    <w:p w14:paraId="7195978A" w14:textId="4683D3CA" w:rsidR="00CB29D1" w:rsidRDefault="00CB29D1" w:rsidP="00FD33E6">
      <w:pPr>
        <w:pStyle w:val="ListParagraph"/>
        <w:numPr>
          <w:ilvl w:val="0"/>
          <w:numId w:val="1"/>
        </w:numPr>
        <w:pBdr>
          <w:top w:val="nil"/>
          <w:left w:val="nil"/>
          <w:bottom w:val="nil"/>
          <w:right w:val="nil"/>
          <w:between w:val="nil"/>
        </w:pBdr>
        <w:jc w:val="both"/>
        <w:rPr>
          <w:rFonts w:ascii="Arial" w:eastAsia="Arial" w:hAnsi="Arial" w:cs="Arial"/>
          <w:color w:val="000000"/>
        </w:rPr>
      </w:pPr>
      <w:r w:rsidRPr="00CB29D1">
        <w:rPr>
          <w:rFonts w:ascii="Arial" w:eastAsia="Arial" w:hAnsi="Arial" w:cs="Arial"/>
          <w:color w:val="000000"/>
        </w:rPr>
        <w:t xml:space="preserve">Determine the significant difference in the levels of acceptance of </w:t>
      </w:r>
      <w:proofErr w:type="spellStart"/>
      <w:r w:rsidRPr="00CB29D1">
        <w:rPr>
          <w:rFonts w:ascii="Arial" w:eastAsia="Arial" w:hAnsi="Arial" w:cs="Arial"/>
          <w:color w:val="000000"/>
        </w:rPr>
        <w:t>DOrSU's</w:t>
      </w:r>
      <w:proofErr w:type="spellEnd"/>
      <w:r w:rsidRPr="00CB29D1">
        <w:rPr>
          <w:rFonts w:ascii="Arial" w:eastAsia="Arial" w:hAnsi="Arial" w:cs="Arial"/>
          <w:color w:val="000000"/>
        </w:rPr>
        <w:t xml:space="preserve"> vision, mission, and PEOs across BEED stakeholders when grouped according to:</w:t>
      </w:r>
    </w:p>
    <w:p w14:paraId="41C76948"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a. stakeholder category;</w:t>
      </w:r>
    </w:p>
    <w:p w14:paraId="1A1ED43D"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b. age;</w:t>
      </w:r>
    </w:p>
    <w:p w14:paraId="2BC0DCE9" w14:textId="77777777"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c. sex; and</w:t>
      </w:r>
    </w:p>
    <w:p w14:paraId="15CC0035" w14:textId="3E51FDC8" w:rsidR="00FD33E6" w:rsidRPr="00FD33E6" w:rsidRDefault="00FD33E6" w:rsidP="00FD33E6">
      <w:pPr>
        <w:pBdr>
          <w:top w:val="nil"/>
          <w:left w:val="nil"/>
          <w:bottom w:val="nil"/>
          <w:right w:val="nil"/>
          <w:between w:val="nil"/>
        </w:pBdr>
        <w:ind w:left="360" w:firstLine="360"/>
        <w:jc w:val="both"/>
        <w:rPr>
          <w:rFonts w:ascii="Arial" w:eastAsia="Arial" w:hAnsi="Arial" w:cs="Arial"/>
          <w:color w:val="000000"/>
        </w:rPr>
      </w:pPr>
      <w:r w:rsidRPr="00FD33E6">
        <w:rPr>
          <w:rFonts w:ascii="Arial" w:eastAsia="Arial" w:hAnsi="Arial" w:cs="Arial"/>
          <w:color w:val="000000"/>
        </w:rPr>
        <w:t>d. educational attainment.</w:t>
      </w:r>
    </w:p>
    <w:p w14:paraId="169FF82F" w14:textId="77777777" w:rsidR="00FD0959" w:rsidRPr="00FD0959" w:rsidRDefault="00FD0959" w:rsidP="00FD33E6">
      <w:pPr>
        <w:pStyle w:val="ListParagraph"/>
        <w:numPr>
          <w:ilvl w:val="0"/>
          <w:numId w:val="1"/>
        </w:numPr>
        <w:jc w:val="both"/>
        <w:rPr>
          <w:rFonts w:ascii="Arial" w:eastAsia="Arial" w:hAnsi="Arial" w:cs="Arial"/>
          <w:color w:val="000000"/>
        </w:rPr>
      </w:pPr>
      <w:r w:rsidRPr="00FD0959">
        <w:rPr>
          <w:rFonts w:ascii="Arial" w:eastAsia="Arial" w:hAnsi="Arial" w:cs="Arial"/>
          <w:color w:val="000000"/>
        </w:rPr>
        <w:t xml:space="preserve">Investigate the relationship between the level of awareness and the level of acceptance of </w:t>
      </w:r>
      <w:proofErr w:type="spellStart"/>
      <w:r w:rsidRPr="00FD0959">
        <w:rPr>
          <w:rFonts w:ascii="Arial" w:eastAsia="Arial" w:hAnsi="Arial" w:cs="Arial"/>
          <w:color w:val="000000"/>
        </w:rPr>
        <w:t>DOrSU's</w:t>
      </w:r>
      <w:proofErr w:type="spellEnd"/>
      <w:r w:rsidRPr="00FD0959">
        <w:rPr>
          <w:rFonts w:ascii="Arial" w:eastAsia="Arial" w:hAnsi="Arial" w:cs="Arial"/>
          <w:color w:val="000000"/>
        </w:rPr>
        <w:t xml:space="preserve"> vision, mission, and Program Educational Objectives (PEO) among BEED stakeholders.</w:t>
      </w:r>
    </w:p>
    <w:p w14:paraId="0880B320" w14:textId="03D005DE" w:rsidR="000B1D44" w:rsidRDefault="000B1D44">
      <w:pPr>
        <w:pBdr>
          <w:top w:val="nil"/>
          <w:left w:val="nil"/>
          <w:bottom w:val="nil"/>
          <w:right w:val="nil"/>
          <w:between w:val="nil"/>
        </w:pBdr>
        <w:jc w:val="both"/>
        <w:rPr>
          <w:rFonts w:ascii="Arial" w:eastAsia="Arial" w:hAnsi="Arial" w:cs="Arial"/>
          <w:color w:val="000000"/>
          <w:highlight w:val="white"/>
        </w:rPr>
      </w:pPr>
    </w:p>
    <w:p w14:paraId="4C6485F3" w14:textId="77777777"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MATERIALS AND METHODS </w:t>
      </w:r>
    </w:p>
    <w:p w14:paraId="4773A560"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A9C3582"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Design</w:t>
      </w:r>
    </w:p>
    <w:p w14:paraId="51AA669B" w14:textId="77777777" w:rsidR="009A4D01" w:rsidRDefault="009A4D01">
      <w:pPr>
        <w:pBdr>
          <w:top w:val="nil"/>
          <w:left w:val="nil"/>
          <w:bottom w:val="nil"/>
          <w:right w:val="nil"/>
          <w:between w:val="nil"/>
        </w:pBdr>
        <w:jc w:val="both"/>
        <w:rPr>
          <w:rFonts w:ascii="Arial" w:eastAsia="Arial" w:hAnsi="Arial" w:cs="Arial"/>
          <w:b/>
          <w:color w:val="000000"/>
          <w:highlight w:val="white"/>
        </w:rPr>
      </w:pPr>
    </w:p>
    <w:p w14:paraId="666B4737" w14:textId="6EE2C90D" w:rsidR="00E26B62" w:rsidRDefault="00C96C42" w:rsidP="00C96C42">
      <w:pPr>
        <w:pBdr>
          <w:top w:val="nil"/>
          <w:left w:val="nil"/>
          <w:bottom w:val="nil"/>
          <w:right w:val="nil"/>
          <w:between w:val="nil"/>
        </w:pBdr>
        <w:ind w:firstLine="720"/>
        <w:jc w:val="both"/>
        <w:rPr>
          <w:rFonts w:ascii="Arial" w:eastAsia="Arial" w:hAnsi="Arial" w:cs="Arial"/>
          <w:color w:val="000000"/>
        </w:rPr>
      </w:pPr>
      <w:r w:rsidRPr="00C96C42">
        <w:rPr>
          <w:rFonts w:ascii="Arial" w:eastAsia="Arial" w:hAnsi="Arial" w:cs="Arial"/>
          <w:color w:val="000000"/>
        </w:rPr>
        <w:t>The study employed a quantitative approach utilizing a descriptive-comparative correlational survey research design. This design effectively described the relationship among multiple variables without establishing direct causality, aligning with the objectives to quantify the awareness and acceptance of the university's Vision, Mission, and Graduate Outcomes among stakeholders of the Bachelor of Elementary Education (BEED) program. The use of this design allowed for an exploration of how various factors co-occurred, providing a comprehensive understanding of stakeholder perceptions.</w:t>
      </w:r>
    </w:p>
    <w:p w14:paraId="20FBFD7A" w14:textId="77777777" w:rsidR="00C96C42" w:rsidRDefault="00C96C42">
      <w:pPr>
        <w:pBdr>
          <w:top w:val="nil"/>
          <w:left w:val="nil"/>
          <w:bottom w:val="nil"/>
          <w:right w:val="nil"/>
          <w:between w:val="nil"/>
        </w:pBdr>
        <w:jc w:val="both"/>
        <w:rPr>
          <w:rFonts w:ascii="Arial" w:eastAsia="Arial" w:hAnsi="Arial" w:cs="Arial"/>
          <w:color w:val="000000"/>
          <w:highlight w:val="white"/>
        </w:rPr>
      </w:pPr>
    </w:p>
    <w:p w14:paraId="7FC15C1A" w14:textId="77777777" w:rsidR="005A00BB" w:rsidRDefault="005A00BB">
      <w:pPr>
        <w:pBdr>
          <w:top w:val="nil"/>
          <w:left w:val="nil"/>
          <w:bottom w:val="nil"/>
          <w:right w:val="nil"/>
          <w:between w:val="nil"/>
        </w:pBdr>
        <w:jc w:val="both"/>
        <w:rPr>
          <w:rFonts w:ascii="Arial" w:eastAsia="Arial" w:hAnsi="Arial" w:cs="Arial"/>
          <w:b/>
          <w:color w:val="000000"/>
          <w:highlight w:val="white"/>
        </w:rPr>
      </w:pPr>
    </w:p>
    <w:p w14:paraId="3BF1C07A" w14:textId="4A5D7E41"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Research Instrument</w:t>
      </w:r>
    </w:p>
    <w:p w14:paraId="421217E4" w14:textId="77777777" w:rsidR="009A4D01" w:rsidRDefault="009A4D01">
      <w:pPr>
        <w:pBdr>
          <w:top w:val="nil"/>
          <w:left w:val="nil"/>
          <w:bottom w:val="nil"/>
          <w:right w:val="nil"/>
          <w:between w:val="nil"/>
        </w:pBdr>
        <w:jc w:val="both"/>
        <w:rPr>
          <w:rFonts w:ascii="Arial" w:eastAsia="Arial" w:hAnsi="Arial" w:cs="Arial"/>
          <w:b/>
          <w:color w:val="000000"/>
          <w:highlight w:val="white"/>
        </w:rPr>
      </w:pPr>
    </w:p>
    <w:p w14:paraId="276BBFB8" w14:textId="7E7D8B02" w:rsidR="00B360A1" w:rsidRDefault="00B360A1" w:rsidP="00B360A1">
      <w:pPr>
        <w:pBdr>
          <w:top w:val="nil"/>
          <w:left w:val="nil"/>
          <w:bottom w:val="nil"/>
          <w:right w:val="nil"/>
          <w:between w:val="nil"/>
        </w:pBdr>
        <w:ind w:firstLine="720"/>
        <w:jc w:val="both"/>
        <w:rPr>
          <w:rFonts w:ascii="Arial" w:eastAsia="Arial" w:hAnsi="Arial" w:cs="Arial"/>
          <w:color w:val="000000"/>
        </w:rPr>
      </w:pPr>
      <w:r w:rsidRPr="00B360A1">
        <w:rPr>
          <w:rFonts w:ascii="Arial" w:eastAsia="Arial" w:hAnsi="Arial" w:cs="Arial"/>
          <w:color w:val="000000"/>
        </w:rPr>
        <w:t>Data were collected using a researcher-made 30-item survey questionnaire. The instrument underwent validation through factor analysis (KMO = 0.744; Bartlett's Test of Sphericity, χ² = 987.835, p &lt; 0.001) and demonstrated high reliability (Cronbach's Alpha = 0.909). Respondents rated their responses using a 5-point Likert scale, ranging from “Strongly Disagree” to “Strongly Agree.”</w:t>
      </w:r>
    </w:p>
    <w:p w14:paraId="409BF550" w14:textId="77777777" w:rsidR="009A4D01" w:rsidRPr="00B360A1" w:rsidRDefault="009A4D01" w:rsidP="00B612C5">
      <w:pPr>
        <w:pBdr>
          <w:top w:val="nil"/>
          <w:left w:val="nil"/>
          <w:bottom w:val="nil"/>
          <w:right w:val="nil"/>
          <w:between w:val="nil"/>
        </w:pBdr>
        <w:jc w:val="both"/>
        <w:rPr>
          <w:rFonts w:ascii="Arial" w:eastAsia="Arial" w:hAnsi="Arial" w:cs="Arial"/>
          <w:color w:val="000000"/>
        </w:rPr>
      </w:pPr>
    </w:p>
    <w:p w14:paraId="0432477E"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Respondents of the Study</w:t>
      </w:r>
    </w:p>
    <w:p w14:paraId="46FC40D4" w14:textId="77777777" w:rsidR="009A4D01" w:rsidRDefault="009E31D0" w:rsidP="00B360A1">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5DABC4CB" w14:textId="6AE3FA0A" w:rsidR="000B1D44" w:rsidRDefault="00B360A1" w:rsidP="009A4D01">
      <w:pPr>
        <w:pBdr>
          <w:top w:val="nil"/>
          <w:left w:val="nil"/>
          <w:bottom w:val="nil"/>
          <w:right w:val="nil"/>
          <w:between w:val="nil"/>
        </w:pBdr>
        <w:ind w:firstLine="720"/>
        <w:jc w:val="both"/>
        <w:rPr>
          <w:rFonts w:ascii="Arial" w:eastAsia="Arial" w:hAnsi="Arial" w:cs="Arial"/>
          <w:color w:val="000000"/>
        </w:rPr>
      </w:pPr>
      <w:r w:rsidRPr="00B360A1">
        <w:rPr>
          <w:rFonts w:ascii="Arial" w:eastAsia="Arial" w:hAnsi="Arial" w:cs="Arial"/>
          <w:color w:val="000000"/>
        </w:rPr>
        <w:t>A total of 299 BEED stakeholders participated in the study. The sample included 97 students (32.4%), 67 parents (22.4%), 11 alumni (3.7%), 101 industry partners (33.8%), 12 faculty members (4.0%), and 11 non-teaching staff (3.7%). A purposive sampling technique was used, and complete enumeration was applied for non-teaching staff.</w:t>
      </w:r>
    </w:p>
    <w:p w14:paraId="00DBE710" w14:textId="77777777" w:rsidR="00B360A1" w:rsidRDefault="00B360A1" w:rsidP="00B360A1">
      <w:pPr>
        <w:pBdr>
          <w:top w:val="nil"/>
          <w:left w:val="nil"/>
          <w:bottom w:val="nil"/>
          <w:right w:val="nil"/>
          <w:between w:val="nil"/>
        </w:pBdr>
        <w:jc w:val="both"/>
        <w:rPr>
          <w:rFonts w:ascii="Arial" w:eastAsia="Arial" w:hAnsi="Arial" w:cs="Arial"/>
          <w:b/>
          <w:color w:val="000000"/>
          <w:highlight w:val="white"/>
        </w:rPr>
      </w:pPr>
    </w:p>
    <w:p w14:paraId="21A97AC9" w14:textId="77777777" w:rsidR="000B1D44" w:rsidRDefault="001856B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6BF9D16C" w14:textId="77777777" w:rsidR="003A2138" w:rsidRDefault="003A2138" w:rsidP="003A2138">
      <w:pPr>
        <w:ind w:firstLine="720"/>
        <w:jc w:val="both"/>
        <w:rPr>
          <w:rFonts w:ascii="Arial" w:eastAsia="Arial" w:hAnsi="Arial" w:cs="Arial"/>
          <w:color w:val="000000"/>
        </w:rPr>
      </w:pPr>
      <w:r w:rsidRPr="003A2138">
        <w:rPr>
          <w:rFonts w:ascii="Arial" w:eastAsia="Arial" w:hAnsi="Arial" w:cs="Arial"/>
          <w:color w:val="000000"/>
        </w:rPr>
        <w:t>The data gathering procedure began with the researcher securing ethical clearance from the University Research Ethics Board to ensure compliance with institutional and ethical standards. The research team then identified key stakeholders, including faculty members, non-teaching staff, students, parents, alumni, and industry partners.</w:t>
      </w:r>
    </w:p>
    <w:p w14:paraId="6B73CE7E" w14:textId="4B94537B" w:rsidR="003A2138" w:rsidRDefault="003A2138" w:rsidP="003A2138">
      <w:pPr>
        <w:ind w:firstLine="720"/>
        <w:jc w:val="both"/>
        <w:rPr>
          <w:rFonts w:ascii="Arial" w:eastAsia="Arial" w:hAnsi="Arial" w:cs="Arial"/>
          <w:color w:val="000000"/>
        </w:rPr>
      </w:pPr>
      <w:r w:rsidRPr="003A2138">
        <w:rPr>
          <w:rFonts w:ascii="Arial" w:eastAsia="Arial" w:hAnsi="Arial" w:cs="Arial"/>
          <w:color w:val="000000"/>
        </w:rPr>
        <w:t>Formal permission was sought from the Registrar’s Office to access a verified list of BEED stakeholders for the 2024–2025 academic year. Researchers identified parents through student communication. Alumni and industry partners were identified using purposive sampling, coordinated with the Alumni Office and faculty members.</w:t>
      </w:r>
    </w:p>
    <w:p w14:paraId="44B3521C" w14:textId="77777777" w:rsidR="003A2138" w:rsidRPr="003A2138" w:rsidRDefault="003A2138" w:rsidP="003A2138">
      <w:pPr>
        <w:ind w:firstLine="720"/>
        <w:jc w:val="both"/>
        <w:rPr>
          <w:rFonts w:ascii="Arial" w:eastAsia="Arial" w:hAnsi="Arial" w:cs="Arial"/>
          <w:color w:val="000000"/>
        </w:rPr>
      </w:pPr>
      <w:r w:rsidRPr="003A2138">
        <w:rPr>
          <w:rFonts w:ascii="Arial" w:eastAsia="Arial" w:hAnsi="Arial" w:cs="Arial"/>
          <w:color w:val="000000"/>
        </w:rPr>
        <w:t>Participants received information about the study and gave written informed consent. Printed surveys were distributed on campus for faculty, staff, and students, and delivered to local stakeholders. For alumni outside the area, surveys were administered online via Google Forms through alumni office coordination.</w:t>
      </w:r>
    </w:p>
    <w:p w14:paraId="492215AF" w14:textId="77777777" w:rsidR="00B360A1" w:rsidRDefault="00B360A1" w:rsidP="00C16C0C">
      <w:pPr>
        <w:keepNext/>
        <w:pBdr>
          <w:top w:val="nil"/>
          <w:left w:val="nil"/>
          <w:bottom w:val="nil"/>
          <w:right w:val="nil"/>
          <w:between w:val="nil"/>
        </w:pBdr>
        <w:jc w:val="both"/>
        <w:rPr>
          <w:rFonts w:ascii="Arial" w:eastAsia="Arial" w:hAnsi="Arial" w:cs="Arial"/>
          <w:color w:val="000000"/>
        </w:rPr>
      </w:pPr>
    </w:p>
    <w:p w14:paraId="01E2F993" w14:textId="77777777" w:rsidR="00E941CB" w:rsidRDefault="00C16C0C" w:rsidP="00E941C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RESULTS AND DISCUSSION</w:t>
      </w:r>
    </w:p>
    <w:p w14:paraId="2A3A6198" w14:textId="77777777" w:rsidR="00CD11DA" w:rsidRPr="00CD11DA" w:rsidRDefault="00CD11DA" w:rsidP="00C16C0C">
      <w:pPr>
        <w:tabs>
          <w:tab w:val="left" w:pos="2173"/>
        </w:tabs>
        <w:ind w:right="-630"/>
        <w:jc w:val="both"/>
        <w:rPr>
          <w:rFonts w:ascii="Arial" w:eastAsia="Arial" w:hAnsi="Arial" w:cs="Arial"/>
          <w:color w:val="000000"/>
        </w:rPr>
      </w:pPr>
    </w:p>
    <w:p w14:paraId="79E00CCA" w14:textId="0E8BE034" w:rsidR="00541F0F" w:rsidRDefault="00001361" w:rsidP="00001361">
      <w:pPr>
        <w:tabs>
          <w:tab w:val="left" w:pos="720"/>
        </w:tabs>
        <w:ind w:right="-72"/>
        <w:jc w:val="center"/>
        <w:rPr>
          <w:rFonts w:ascii="Arial" w:eastAsia="Arial" w:hAnsi="Arial" w:cs="Arial"/>
          <w:b/>
          <w:bCs/>
          <w:color w:val="000000"/>
        </w:rPr>
      </w:pPr>
      <w:r w:rsidRPr="00001361">
        <w:rPr>
          <w:rFonts w:ascii="Arial" w:eastAsia="Arial" w:hAnsi="Arial" w:cs="Arial"/>
          <w:b/>
          <w:bCs/>
          <w:color w:val="000000"/>
        </w:rPr>
        <w:t>Profile of the BEED Stakeholders</w:t>
      </w:r>
    </w:p>
    <w:p w14:paraId="3AD20005" w14:textId="77777777" w:rsidR="00001361" w:rsidRPr="00001361" w:rsidRDefault="00001361" w:rsidP="00001361">
      <w:pPr>
        <w:tabs>
          <w:tab w:val="left" w:pos="720"/>
        </w:tabs>
        <w:ind w:right="-72"/>
        <w:jc w:val="center"/>
        <w:rPr>
          <w:rFonts w:ascii="Arial" w:eastAsia="Arial" w:hAnsi="Arial" w:cs="Arial"/>
          <w:b/>
          <w:bCs/>
          <w:color w:val="000000"/>
        </w:rPr>
      </w:pPr>
    </w:p>
    <w:p w14:paraId="261E0B14" w14:textId="17BC9B66" w:rsidR="00541F0F" w:rsidRDefault="00541F0F" w:rsidP="00001361">
      <w:pPr>
        <w:tabs>
          <w:tab w:val="left" w:pos="720"/>
        </w:tabs>
        <w:ind w:right="18"/>
        <w:jc w:val="both"/>
        <w:rPr>
          <w:rFonts w:ascii="Arial" w:eastAsia="Arial" w:hAnsi="Arial" w:cs="Arial"/>
          <w:color w:val="000000"/>
        </w:rPr>
      </w:pPr>
      <w:r>
        <w:rPr>
          <w:rFonts w:ascii="Arial" w:eastAsia="Arial" w:hAnsi="Arial" w:cs="Arial"/>
          <w:color w:val="000000"/>
        </w:rPr>
        <w:tab/>
      </w:r>
      <w:r w:rsidR="00001361" w:rsidRPr="00001361">
        <w:rPr>
          <w:rFonts w:ascii="Arial" w:eastAsia="Arial" w:hAnsi="Arial" w:cs="Arial"/>
          <w:color w:val="000000"/>
        </w:rPr>
        <w:t xml:space="preserve">The demographic profile of the BEED Stakeholders, categorized by group, is presented in Table </w:t>
      </w:r>
      <w:r w:rsidR="00001361">
        <w:rPr>
          <w:rFonts w:ascii="Arial" w:eastAsia="Arial" w:hAnsi="Arial" w:cs="Arial"/>
          <w:color w:val="000000"/>
        </w:rPr>
        <w:t>1</w:t>
      </w:r>
      <w:r w:rsidR="00001361" w:rsidRPr="00001361">
        <w:rPr>
          <w:rFonts w:ascii="Arial" w:eastAsia="Arial" w:hAnsi="Arial" w:cs="Arial"/>
          <w:color w:val="000000"/>
        </w:rPr>
        <w:t>. It shows that the industry partners comprised the largest group, with 101 respondents (33.80%). In contrast, the alumni and non-teaching staff were the smallest groups, each with only 11 respondents (3.70%).</w:t>
      </w:r>
    </w:p>
    <w:p w14:paraId="1D75F93F" w14:textId="77777777" w:rsidR="00001361" w:rsidRDefault="00001361" w:rsidP="00001361">
      <w:pPr>
        <w:tabs>
          <w:tab w:val="left" w:pos="720"/>
        </w:tabs>
        <w:ind w:right="18"/>
        <w:jc w:val="both"/>
        <w:rPr>
          <w:rFonts w:ascii="Arial" w:eastAsia="Arial" w:hAnsi="Arial" w:cs="Arial"/>
          <w:b/>
          <w:bCs/>
          <w:color w:val="000000"/>
        </w:rPr>
      </w:pPr>
    </w:p>
    <w:p w14:paraId="5D1F00D2" w14:textId="0CDB7606" w:rsidR="000B1D44" w:rsidRPr="00656CAC" w:rsidRDefault="001856BB" w:rsidP="00A70F11">
      <w:pPr>
        <w:tabs>
          <w:tab w:val="left" w:pos="720"/>
        </w:tabs>
        <w:ind w:right="-72"/>
        <w:jc w:val="both"/>
        <w:rPr>
          <w:rFonts w:ascii="Arial" w:eastAsia="Arial" w:hAnsi="Arial" w:cs="Arial"/>
        </w:rPr>
      </w:pPr>
      <w:r>
        <w:rPr>
          <w:rFonts w:ascii="Arial" w:eastAsia="Arial" w:hAnsi="Arial" w:cs="Arial"/>
        </w:rPr>
        <w:t xml:space="preserve">Table </w:t>
      </w:r>
      <w:r w:rsidR="006E2E54">
        <w:rPr>
          <w:rFonts w:ascii="Arial" w:eastAsia="Arial" w:hAnsi="Arial" w:cs="Arial"/>
        </w:rPr>
        <w:t>1</w:t>
      </w:r>
      <w:r>
        <w:rPr>
          <w:rFonts w:ascii="Arial" w:eastAsia="Arial" w:hAnsi="Arial" w:cs="Arial"/>
        </w:rPr>
        <w:t xml:space="preserve">: </w:t>
      </w:r>
      <w:r w:rsidR="00001361" w:rsidRPr="00001361">
        <w:rPr>
          <w:rFonts w:ascii="Arial" w:eastAsia="Arial" w:hAnsi="Arial" w:cs="Arial"/>
        </w:rPr>
        <w:t>Profile of the BEED stakeholders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9"/>
        <w:gridCol w:w="2310"/>
        <w:gridCol w:w="1783"/>
        <w:gridCol w:w="2056"/>
      </w:tblGrid>
      <w:tr w:rsidR="00001361" w:rsidRPr="00001361" w14:paraId="7425B616" w14:textId="77777777" w:rsidTr="00001361">
        <w:trPr>
          <w:trHeight w:val="206"/>
        </w:trPr>
        <w:tc>
          <w:tcPr>
            <w:tcW w:w="2130" w:type="dxa"/>
            <w:tcBorders>
              <w:top w:val="single" w:sz="4" w:space="0" w:color="auto"/>
              <w:left w:val="nil"/>
              <w:bottom w:val="single" w:sz="4" w:space="0" w:color="auto"/>
              <w:right w:val="nil"/>
            </w:tcBorders>
            <w:hideMark/>
          </w:tcPr>
          <w:p w14:paraId="57682879" w14:textId="77777777" w:rsidR="00001361" w:rsidRPr="00001361" w:rsidRDefault="00001361">
            <w:pPr>
              <w:jc w:val="center"/>
              <w:rPr>
                <w:rFonts w:ascii="Arial" w:hAnsi="Arial" w:cs="Arial"/>
                <w:sz w:val="18"/>
                <w:szCs w:val="18"/>
              </w:rPr>
            </w:pPr>
            <w:r w:rsidRPr="00001361">
              <w:rPr>
                <w:rFonts w:ascii="Arial" w:hAnsi="Arial" w:cs="Arial"/>
                <w:sz w:val="18"/>
                <w:szCs w:val="18"/>
              </w:rPr>
              <w:t>Profile Factors</w:t>
            </w:r>
          </w:p>
        </w:tc>
        <w:tc>
          <w:tcPr>
            <w:tcW w:w="2420" w:type="dxa"/>
            <w:tcBorders>
              <w:top w:val="single" w:sz="4" w:space="0" w:color="auto"/>
              <w:left w:val="nil"/>
              <w:bottom w:val="single" w:sz="4" w:space="0" w:color="auto"/>
              <w:right w:val="nil"/>
            </w:tcBorders>
            <w:hideMark/>
          </w:tcPr>
          <w:p w14:paraId="51E59840" w14:textId="77777777" w:rsidR="00001361" w:rsidRPr="00001361" w:rsidRDefault="00001361">
            <w:pPr>
              <w:jc w:val="center"/>
              <w:rPr>
                <w:rFonts w:ascii="Arial" w:hAnsi="Arial" w:cs="Arial"/>
                <w:sz w:val="18"/>
                <w:szCs w:val="18"/>
              </w:rPr>
            </w:pPr>
            <w:r w:rsidRPr="00001361">
              <w:rPr>
                <w:rFonts w:ascii="Arial" w:hAnsi="Arial" w:cs="Arial"/>
                <w:sz w:val="18"/>
                <w:szCs w:val="18"/>
              </w:rPr>
              <w:t>Category</w:t>
            </w:r>
          </w:p>
        </w:tc>
        <w:tc>
          <w:tcPr>
            <w:tcW w:w="1841" w:type="dxa"/>
            <w:tcBorders>
              <w:top w:val="single" w:sz="4" w:space="0" w:color="auto"/>
              <w:left w:val="nil"/>
              <w:bottom w:val="single" w:sz="4" w:space="0" w:color="auto"/>
              <w:right w:val="nil"/>
            </w:tcBorders>
            <w:hideMark/>
          </w:tcPr>
          <w:p w14:paraId="700EB779" w14:textId="77777777" w:rsidR="00001361" w:rsidRPr="00001361" w:rsidRDefault="00001361">
            <w:pPr>
              <w:jc w:val="center"/>
              <w:rPr>
                <w:rFonts w:ascii="Arial" w:hAnsi="Arial" w:cs="Arial"/>
                <w:sz w:val="18"/>
                <w:szCs w:val="18"/>
              </w:rPr>
            </w:pPr>
            <w:r w:rsidRPr="00001361">
              <w:rPr>
                <w:rFonts w:ascii="Arial" w:hAnsi="Arial" w:cs="Arial"/>
                <w:sz w:val="18"/>
                <w:szCs w:val="18"/>
              </w:rPr>
              <w:t>Frequency</w:t>
            </w:r>
          </w:p>
        </w:tc>
        <w:tc>
          <w:tcPr>
            <w:tcW w:w="2131" w:type="dxa"/>
            <w:tcBorders>
              <w:top w:val="single" w:sz="4" w:space="0" w:color="auto"/>
              <w:left w:val="nil"/>
              <w:bottom w:val="single" w:sz="4" w:space="0" w:color="auto"/>
              <w:right w:val="nil"/>
            </w:tcBorders>
            <w:hideMark/>
          </w:tcPr>
          <w:p w14:paraId="7FA19031" w14:textId="77777777" w:rsidR="00001361" w:rsidRPr="00001361" w:rsidRDefault="00001361">
            <w:pPr>
              <w:jc w:val="center"/>
              <w:rPr>
                <w:rFonts w:ascii="Arial" w:hAnsi="Arial" w:cs="Arial"/>
                <w:sz w:val="18"/>
                <w:szCs w:val="18"/>
              </w:rPr>
            </w:pPr>
            <w:r w:rsidRPr="00001361">
              <w:rPr>
                <w:rFonts w:ascii="Arial" w:hAnsi="Arial" w:cs="Arial"/>
                <w:sz w:val="18"/>
                <w:szCs w:val="18"/>
              </w:rPr>
              <w:t>Percentage</w:t>
            </w:r>
          </w:p>
        </w:tc>
      </w:tr>
      <w:tr w:rsidR="00001361" w:rsidRPr="00001361" w14:paraId="324D83EA" w14:textId="77777777" w:rsidTr="00001361">
        <w:tc>
          <w:tcPr>
            <w:tcW w:w="2130" w:type="dxa"/>
            <w:vMerge w:val="restart"/>
            <w:tcBorders>
              <w:top w:val="single" w:sz="4" w:space="0" w:color="auto"/>
              <w:left w:val="nil"/>
              <w:bottom w:val="single" w:sz="4" w:space="0" w:color="auto"/>
              <w:right w:val="nil"/>
            </w:tcBorders>
            <w:vAlign w:val="center"/>
            <w:hideMark/>
          </w:tcPr>
          <w:p w14:paraId="65C767CB" w14:textId="77777777" w:rsidR="00001361" w:rsidRPr="00001361" w:rsidRDefault="00001361">
            <w:pPr>
              <w:jc w:val="center"/>
              <w:rPr>
                <w:rFonts w:ascii="Arial" w:hAnsi="Arial" w:cs="Arial"/>
                <w:sz w:val="18"/>
                <w:szCs w:val="18"/>
              </w:rPr>
            </w:pPr>
            <w:r w:rsidRPr="00001361">
              <w:rPr>
                <w:rFonts w:ascii="Arial" w:hAnsi="Arial" w:cs="Arial"/>
                <w:sz w:val="18"/>
                <w:szCs w:val="18"/>
              </w:rPr>
              <w:t>Stakeholder Category</w:t>
            </w:r>
          </w:p>
        </w:tc>
        <w:tc>
          <w:tcPr>
            <w:tcW w:w="2420" w:type="dxa"/>
            <w:tcBorders>
              <w:top w:val="single" w:sz="4" w:space="0" w:color="auto"/>
              <w:left w:val="nil"/>
              <w:bottom w:val="single" w:sz="4" w:space="0" w:color="auto"/>
              <w:right w:val="nil"/>
            </w:tcBorders>
            <w:hideMark/>
          </w:tcPr>
          <w:p w14:paraId="2DE5D60D" w14:textId="77777777" w:rsidR="00001361" w:rsidRPr="00001361" w:rsidRDefault="00001361">
            <w:pPr>
              <w:jc w:val="center"/>
              <w:rPr>
                <w:rFonts w:ascii="Arial" w:hAnsi="Arial" w:cs="Arial"/>
                <w:sz w:val="18"/>
                <w:szCs w:val="18"/>
              </w:rPr>
            </w:pPr>
            <w:r w:rsidRPr="00001361">
              <w:rPr>
                <w:rFonts w:ascii="Arial" w:hAnsi="Arial" w:cs="Arial"/>
                <w:sz w:val="18"/>
                <w:szCs w:val="18"/>
              </w:rPr>
              <w:t>Alumni</w:t>
            </w:r>
          </w:p>
        </w:tc>
        <w:tc>
          <w:tcPr>
            <w:tcW w:w="1841" w:type="dxa"/>
            <w:tcBorders>
              <w:top w:val="single" w:sz="4" w:space="0" w:color="auto"/>
              <w:left w:val="nil"/>
              <w:bottom w:val="single" w:sz="4" w:space="0" w:color="auto"/>
              <w:right w:val="nil"/>
            </w:tcBorders>
            <w:hideMark/>
          </w:tcPr>
          <w:p w14:paraId="65517B80" w14:textId="77777777" w:rsidR="00001361" w:rsidRPr="00001361" w:rsidRDefault="00001361">
            <w:pPr>
              <w:jc w:val="center"/>
              <w:rPr>
                <w:rFonts w:ascii="Arial" w:hAnsi="Arial" w:cs="Arial"/>
                <w:sz w:val="18"/>
                <w:szCs w:val="18"/>
              </w:rPr>
            </w:pPr>
            <w:r w:rsidRPr="00001361">
              <w:rPr>
                <w:rFonts w:ascii="Arial" w:hAnsi="Arial" w:cs="Arial"/>
                <w:sz w:val="18"/>
                <w:szCs w:val="18"/>
              </w:rPr>
              <w:t>11</w:t>
            </w:r>
          </w:p>
        </w:tc>
        <w:tc>
          <w:tcPr>
            <w:tcW w:w="2131" w:type="dxa"/>
            <w:tcBorders>
              <w:top w:val="single" w:sz="4" w:space="0" w:color="auto"/>
              <w:left w:val="nil"/>
              <w:bottom w:val="single" w:sz="4" w:space="0" w:color="auto"/>
              <w:right w:val="nil"/>
            </w:tcBorders>
            <w:hideMark/>
          </w:tcPr>
          <w:p w14:paraId="01FBC1FC" w14:textId="77777777" w:rsidR="00001361" w:rsidRPr="00001361" w:rsidRDefault="00001361">
            <w:pPr>
              <w:jc w:val="center"/>
              <w:rPr>
                <w:rFonts w:ascii="Arial" w:hAnsi="Arial" w:cs="Arial"/>
                <w:sz w:val="18"/>
                <w:szCs w:val="18"/>
              </w:rPr>
            </w:pPr>
            <w:r w:rsidRPr="00001361">
              <w:rPr>
                <w:rFonts w:ascii="Arial" w:hAnsi="Arial" w:cs="Arial"/>
                <w:sz w:val="18"/>
                <w:szCs w:val="18"/>
              </w:rPr>
              <w:t>3.70</w:t>
            </w:r>
          </w:p>
        </w:tc>
      </w:tr>
      <w:tr w:rsidR="00001361" w:rsidRPr="00001361" w14:paraId="30986400" w14:textId="77777777" w:rsidTr="00001361">
        <w:tc>
          <w:tcPr>
            <w:tcW w:w="0" w:type="auto"/>
            <w:vMerge/>
            <w:tcBorders>
              <w:top w:val="single" w:sz="4" w:space="0" w:color="auto"/>
              <w:left w:val="nil"/>
              <w:bottom w:val="single" w:sz="4" w:space="0" w:color="auto"/>
              <w:right w:val="nil"/>
            </w:tcBorders>
            <w:vAlign w:val="center"/>
            <w:hideMark/>
          </w:tcPr>
          <w:p w14:paraId="62CA77A8"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0C5D5C19" w14:textId="77777777" w:rsidR="00001361" w:rsidRPr="00001361" w:rsidRDefault="00001361">
            <w:pPr>
              <w:jc w:val="center"/>
              <w:rPr>
                <w:rFonts w:ascii="Arial" w:hAnsi="Arial" w:cs="Arial"/>
                <w:sz w:val="18"/>
                <w:szCs w:val="18"/>
              </w:rPr>
            </w:pPr>
            <w:r w:rsidRPr="00001361">
              <w:rPr>
                <w:rFonts w:ascii="Arial" w:hAnsi="Arial" w:cs="Arial"/>
                <w:sz w:val="18"/>
                <w:szCs w:val="18"/>
              </w:rPr>
              <w:t>Faculty</w:t>
            </w:r>
          </w:p>
        </w:tc>
        <w:tc>
          <w:tcPr>
            <w:tcW w:w="1841" w:type="dxa"/>
            <w:tcBorders>
              <w:top w:val="single" w:sz="4" w:space="0" w:color="auto"/>
              <w:left w:val="nil"/>
              <w:bottom w:val="single" w:sz="4" w:space="0" w:color="auto"/>
              <w:right w:val="nil"/>
            </w:tcBorders>
            <w:hideMark/>
          </w:tcPr>
          <w:p w14:paraId="74A2EC6B" w14:textId="77777777" w:rsidR="00001361" w:rsidRPr="00001361" w:rsidRDefault="00001361">
            <w:pPr>
              <w:jc w:val="center"/>
              <w:rPr>
                <w:rFonts w:ascii="Arial" w:hAnsi="Arial" w:cs="Arial"/>
                <w:sz w:val="18"/>
                <w:szCs w:val="18"/>
              </w:rPr>
            </w:pPr>
            <w:r w:rsidRPr="00001361">
              <w:rPr>
                <w:rFonts w:ascii="Arial" w:hAnsi="Arial" w:cs="Arial"/>
                <w:sz w:val="18"/>
                <w:szCs w:val="18"/>
              </w:rPr>
              <w:t>12</w:t>
            </w:r>
          </w:p>
        </w:tc>
        <w:tc>
          <w:tcPr>
            <w:tcW w:w="2131" w:type="dxa"/>
            <w:tcBorders>
              <w:top w:val="single" w:sz="4" w:space="0" w:color="auto"/>
              <w:left w:val="nil"/>
              <w:bottom w:val="single" w:sz="4" w:space="0" w:color="auto"/>
              <w:right w:val="nil"/>
            </w:tcBorders>
            <w:hideMark/>
          </w:tcPr>
          <w:p w14:paraId="2954ADB3" w14:textId="77777777" w:rsidR="00001361" w:rsidRPr="00001361" w:rsidRDefault="00001361">
            <w:pPr>
              <w:jc w:val="center"/>
              <w:rPr>
                <w:rFonts w:ascii="Arial" w:hAnsi="Arial" w:cs="Arial"/>
                <w:sz w:val="18"/>
                <w:szCs w:val="18"/>
              </w:rPr>
            </w:pPr>
            <w:r w:rsidRPr="00001361">
              <w:rPr>
                <w:rFonts w:ascii="Arial" w:hAnsi="Arial" w:cs="Arial"/>
                <w:sz w:val="18"/>
                <w:szCs w:val="18"/>
              </w:rPr>
              <w:t>4.00</w:t>
            </w:r>
          </w:p>
        </w:tc>
      </w:tr>
      <w:tr w:rsidR="00001361" w:rsidRPr="00001361" w14:paraId="6334C9D1" w14:textId="77777777" w:rsidTr="00001361">
        <w:tc>
          <w:tcPr>
            <w:tcW w:w="0" w:type="auto"/>
            <w:vMerge/>
            <w:tcBorders>
              <w:top w:val="single" w:sz="4" w:space="0" w:color="auto"/>
              <w:left w:val="nil"/>
              <w:bottom w:val="single" w:sz="4" w:space="0" w:color="auto"/>
              <w:right w:val="nil"/>
            </w:tcBorders>
            <w:vAlign w:val="center"/>
            <w:hideMark/>
          </w:tcPr>
          <w:p w14:paraId="614121C6"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1AB9979A" w14:textId="77777777" w:rsidR="00001361" w:rsidRPr="00001361" w:rsidRDefault="00001361">
            <w:pPr>
              <w:jc w:val="center"/>
              <w:rPr>
                <w:rFonts w:ascii="Arial" w:hAnsi="Arial" w:cs="Arial"/>
                <w:sz w:val="18"/>
                <w:szCs w:val="18"/>
              </w:rPr>
            </w:pPr>
            <w:r w:rsidRPr="00001361">
              <w:rPr>
                <w:rFonts w:ascii="Arial" w:hAnsi="Arial" w:cs="Arial"/>
                <w:sz w:val="18"/>
                <w:szCs w:val="18"/>
              </w:rPr>
              <w:t>Industry</w:t>
            </w:r>
          </w:p>
        </w:tc>
        <w:tc>
          <w:tcPr>
            <w:tcW w:w="1841" w:type="dxa"/>
            <w:tcBorders>
              <w:top w:val="single" w:sz="4" w:space="0" w:color="auto"/>
              <w:left w:val="nil"/>
              <w:bottom w:val="single" w:sz="4" w:space="0" w:color="auto"/>
              <w:right w:val="nil"/>
            </w:tcBorders>
            <w:hideMark/>
          </w:tcPr>
          <w:p w14:paraId="5CF9AD49" w14:textId="77777777" w:rsidR="00001361" w:rsidRPr="00001361" w:rsidRDefault="00001361">
            <w:pPr>
              <w:jc w:val="center"/>
              <w:rPr>
                <w:rFonts w:ascii="Arial" w:hAnsi="Arial" w:cs="Arial"/>
                <w:sz w:val="18"/>
                <w:szCs w:val="18"/>
              </w:rPr>
            </w:pPr>
            <w:r w:rsidRPr="00001361">
              <w:rPr>
                <w:rFonts w:ascii="Arial" w:hAnsi="Arial" w:cs="Arial"/>
                <w:sz w:val="18"/>
                <w:szCs w:val="18"/>
              </w:rPr>
              <w:t>101</w:t>
            </w:r>
          </w:p>
        </w:tc>
        <w:tc>
          <w:tcPr>
            <w:tcW w:w="2131" w:type="dxa"/>
            <w:tcBorders>
              <w:top w:val="single" w:sz="4" w:space="0" w:color="auto"/>
              <w:left w:val="nil"/>
              <w:bottom w:val="single" w:sz="4" w:space="0" w:color="auto"/>
              <w:right w:val="nil"/>
            </w:tcBorders>
            <w:hideMark/>
          </w:tcPr>
          <w:p w14:paraId="7179A827" w14:textId="77777777" w:rsidR="00001361" w:rsidRPr="00001361" w:rsidRDefault="00001361">
            <w:pPr>
              <w:jc w:val="center"/>
              <w:rPr>
                <w:rFonts w:ascii="Arial" w:hAnsi="Arial" w:cs="Arial"/>
                <w:sz w:val="18"/>
                <w:szCs w:val="18"/>
              </w:rPr>
            </w:pPr>
            <w:r w:rsidRPr="00001361">
              <w:rPr>
                <w:rFonts w:ascii="Arial" w:hAnsi="Arial" w:cs="Arial"/>
                <w:sz w:val="18"/>
                <w:szCs w:val="18"/>
              </w:rPr>
              <w:t>33.80</w:t>
            </w:r>
          </w:p>
        </w:tc>
      </w:tr>
      <w:tr w:rsidR="00001361" w:rsidRPr="00001361" w14:paraId="733948C8" w14:textId="77777777" w:rsidTr="00001361">
        <w:tc>
          <w:tcPr>
            <w:tcW w:w="0" w:type="auto"/>
            <w:vMerge/>
            <w:tcBorders>
              <w:top w:val="single" w:sz="4" w:space="0" w:color="auto"/>
              <w:left w:val="nil"/>
              <w:bottom w:val="single" w:sz="4" w:space="0" w:color="auto"/>
              <w:right w:val="nil"/>
            </w:tcBorders>
            <w:vAlign w:val="center"/>
            <w:hideMark/>
          </w:tcPr>
          <w:p w14:paraId="7B2F3542"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5D1B191D" w14:textId="77777777" w:rsidR="00001361" w:rsidRPr="00001361" w:rsidRDefault="00001361">
            <w:pPr>
              <w:jc w:val="center"/>
              <w:rPr>
                <w:rFonts w:ascii="Arial" w:hAnsi="Arial" w:cs="Arial"/>
                <w:sz w:val="18"/>
                <w:szCs w:val="18"/>
              </w:rPr>
            </w:pPr>
            <w:r w:rsidRPr="00001361">
              <w:rPr>
                <w:rFonts w:ascii="Arial" w:hAnsi="Arial" w:cs="Arial"/>
                <w:sz w:val="18"/>
                <w:szCs w:val="18"/>
              </w:rPr>
              <w:t>Non-Teaching Staff</w:t>
            </w:r>
          </w:p>
        </w:tc>
        <w:tc>
          <w:tcPr>
            <w:tcW w:w="1841" w:type="dxa"/>
            <w:tcBorders>
              <w:top w:val="single" w:sz="4" w:space="0" w:color="auto"/>
              <w:left w:val="nil"/>
              <w:bottom w:val="single" w:sz="4" w:space="0" w:color="auto"/>
              <w:right w:val="nil"/>
            </w:tcBorders>
            <w:hideMark/>
          </w:tcPr>
          <w:p w14:paraId="739F5C5A" w14:textId="77777777" w:rsidR="00001361" w:rsidRPr="00001361" w:rsidRDefault="00001361">
            <w:pPr>
              <w:jc w:val="center"/>
              <w:rPr>
                <w:rFonts w:ascii="Arial" w:hAnsi="Arial" w:cs="Arial"/>
                <w:sz w:val="18"/>
                <w:szCs w:val="18"/>
              </w:rPr>
            </w:pPr>
            <w:r w:rsidRPr="00001361">
              <w:rPr>
                <w:rFonts w:ascii="Arial" w:hAnsi="Arial" w:cs="Arial"/>
                <w:sz w:val="18"/>
                <w:szCs w:val="18"/>
              </w:rPr>
              <w:t>11</w:t>
            </w:r>
          </w:p>
        </w:tc>
        <w:tc>
          <w:tcPr>
            <w:tcW w:w="2131" w:type="dxa"/>
            <w:tcBorders>
              <w:top w:val="single" w:sz="4" w:space="0" w:color="auto"/>
              <w:left w:val="nil"/>
              <w:bottom w:val="single" w:sz="4" w:space="0" w:color="auto"/>
              <w:right w:val="nil"/>
            </w:tcBorders>
            <w:hideMark/>
          </w:tcPr>
          <w:p w14:paraId="43A6DB56" w14:textId="77777777" w:rsidR="00001361" w:rsidRPr="00001361" w:rsidRDefault="00001361">
            <w:pPr>
              <w:jc w:val="center"/>
              <w:rPr>
                <w:rFonts w:ascii="Arial" w:hAnsi="Arial" w:cs="Arial"/>
                <w:sz w:val="18"/>
                <w:szCs w:val="18"/>
              </w:rPr>
            </w:pPr>
            <w:r w:rsidRPr="00001361">
              <w:rPr>
                <w:rFonts w:ascii="Arial" w:hAnsi="Arial" w:cs="Arial"/>
                <w:sz w:val="18"/>
                <w:szCs w:val="18"/>
              </w:rPr>
              <w:t>3.70</w:t>
            </w:r>
          </w:p>
        </w:tc>
      </w:tr>
      <w:tr w:rsidR="00001361" w:rsidRPr="00001361" w14:paraId="2BD85B03" w14:textId="77777777" w:rsidTr="00001361">
        <w:tc>
          <w:tcPr>
            <w:tcW w:w="0" w:type="auto"/>
            <w:vMerge/>
            <w:tcBorders>
              <w:top w:val="single" w:sz="4" w:space="0" w:color="auto"/>
              <w:left w:val="nil"/>
              <w:bottom w:val="single" w:sz="4" w:space="0" w:color="auto"/>
              <w:right w:val="nil"/>
            </w:tcBorders>
            <w:vAlign w:val="center"/>
            <w:hideMark/>
          </w:tcPr>
          <w:p w14:paraId="77AA18FD"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538D9752" w14:textId="77777777" w:rsidR="00001361" w:rsidRPr="00001361" w:rsidRDefault="00001361">
            <w:pPr>
              <w:jc w:val="center"/>
              <w:rPr>
                <w:rFonts w:ascii="Arial" w:hAnsi="Arial" w:cs="Arial"/>
                <w:sz w:val="18"/>
                <w:szCs w:val="18"/>
              </w:rPr>
            </w:pPr>
            <w:r w:rsidRPr="00001361">
              <w:rPr>
                <w:rFonts w:ascii="Arial" w:hAnsi="Arial" w:cs="Arial"/>
                <w:sz w:val="18"/>
                <w:szCs w:val="18"/>
              </w:rPr>
              <w:t>Parent</w:t>
            </w:r>
          </w:p>
        </w:tc>
        <w:tc>
          <w:tcPr>
            <w:tcW w:w="1841" w:type="dxa"/>
            <w:tcBorders>
              <w:top w:val="single" w:sz="4" w:space="0" w:color="auto"/>
              <w:left w:val="nil"/>
              <w:bottom w:val="single" w:sz="4" w:space="0" w:color="auto"/>
              <w:right w:val="nil"/>
            </w:tcBorders>
            <w:hideMark/>
          </w:tcPr>
          <w:p w14:paraId="79F316E7" w14:textId="77777777" w:rsidR="00001361" w:rsidRPr="00001361" w:rsidRDefault="00001361">
            <w:pPr>
              <w:jc w:val="center"/>
              <w:rPr>
                <w:rFonts w:ascii="Arial" w:hAnsi="Arial" w:cs="Arial"/>
                <w:sz w:val="18"/>
                <w:szCs w:val="18"/>
              </w:rPr>
            </w:pPr>
            <w:r w:rsidRPr="00001361">
              <w:rPr>
                <w:rFonts w:ascii="Arial" w:hAnsi="Arial" w:cs="Arial"/>
                <w:sz w:val="18"/>
                <w:szCs w:val="18"/>
              </w:rPr>
              <w:t>67</w:t>
            </w:r>
          </w:p>
        </w:tc>
        <w:tc>
          <w:tcPr>
            <w:tcW w:w="2131" w:type="dxa"/>
            <w:tcBorders>
              <w:top w:val="single" w:sz="4" w:space="0" w:color="auto"/>
              <w:left w:val="nil"/>
              <w:bottom w:val="single" w:sz="4" w:space="0" w:color="auto"/>
              <w:right w:val="nil"/>
            </w:tcBorders>
            <w:hideMark/>
          </w:tcPr>
          <w:p w14:paraId="7DC28E41" w14:textId="77777777" w:rsidR="00001361" w:rsidRPr="00001361" w:rsidRDefault="00001361">
            <w:pPr>
              <w:jc w:val="center"/>
              <w:rPr>
                <w:rFonts w:ascii="Arial" w:hAnsi="Arial" w:cs="Arial"/>
                <w:sz w:val="18"/>
                <w:szCs w:val="18"/>
              </w:rPr>
            </w:pPr>
            <w:r w:rsidRPr="00001361">
              <w:rPr>
                <w:rFonts w:ascii="Arial" w:hAnsi="Arial" w:cs="Arial"/>
                <w:sz w:val="18"/>
                <w:szCs w:val="18"/>
              </w:rPr>
              <w:t>22.40</w:t>
            </w:r>
          </w:p>
        </w:tc>
      </w:tr>
      <w:tr w:rsidR="00001361" w:rsidRPr="00001361" w14:paraId="0839D7C1" w14:textId="77777777" w:rsidTr="00001361">
        <w:tc>
          <w:tcPr>
            <w:tcW w:w="0" w:type="auto"/>
            <w:vMerge/>
            <w:tcBorders>
              <w:top w:val="single" w:sz="4" w:space="0" w:color="auto"/>
              <w:left w:val="nil"/>
              <w:bottom w:val="single" w:sz="4" w:space="0" w:color="auto"/>
              <w:right w:val="nil"/>
            </w:tcBorders>
            <w:vAlign w:val="center"/>
            <w:hideMark/>
          </w:tcPr>
          <w:p w14:paraId="26283E42"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70E93E58" w14:textId="77777777" w:rsidR="00001361" w:rsidRPr="00001361" w:rsidRDefault="00001361">
            <w:pPr>
              <w:jc w:val="center"/>
              <w:rPr>
                <w:rFonts w:ascii="Arial" w:hAnsi="Arial" w:cs="Arial"/>
                <w:sz w:val="18"/>
                <w:szCs w:val="18"/>
              </w:rPr>
            </w:pPr>
            <w:r w:rsidRPr="00001361">
              <w:rPr>
                <w:rFonts w:ascii="Arial" w:hAnsi="Arial" w:cs="Arial"/>
                <w:sz w:val="18"/>
                <w:szCs w:val="18"/>
              </w:rPr>
              <w:t>Student</w:t>
            </w:r>
          </w:p>
        </w:tc>
        <w:tc>
          <w:tcPr>
            <w:tcW w:w="1841" w:type="dxa"/>
            <w:tcBorders>
              <w:top w:val="single" w:sz="4" w:space="0" w:color="auto"/>
              <w:left w:val="nil"/>
              <w:bottom w:val="single" w:sz="4" w:space="0" w:color="auto"/>
              <w:right w:val="nil"/>
            </w:tcBorders>
            <w:hideMark/>
          </w:tcPr>
          <w:p w14:paraId="3F09A40A" w14:textId="77777777" w:rsidR="00001361" w:rsidRPr="00001361" w:rsidRDefault="00001361">
            <w:pPr>
              <w:jc w:val="center"/>
              <w:rPr>
                <w:rFonts w:ascii="Arial" w:hAnsi="Arial" w:cs="Arial"/>
                <w:sz w:val="18"/>
                <w:szCs w:val="18"/>
              </w:rPr>
            </w:pPr>
            <w:r w:rsidRPr="00001361">
              <w:rPr>
                <w:rFonts w:ascii="Arial" w:hAnsi="Arial" w:cs="Arial"/>
                <w:sz w:val="18"/>
                <w:szCs w:val="18"/>
              </w:rPr>
              <w:t>97</w:t>
            </w:r>
          </w:p>
        </w:tc>
        <w:tc>
          <w:tcPr>
            <w:tcW w:w="2131" w:type="dxa"/>
            <w:tcBorders>
              <w:top w:val="single" w:sz="4" w:space="0" w:color="auto"/>
              <w:left w:val="nil"/>
              <w:bottom w:val="single" w:sz="4" w:space="0" w:color="auto"/>
              <w:right w:val="nil"/>
            </w:tcBorders>
            <w:hideMark/>
          </w:tcPr>
          <w:p w14:paraId="6FE6E707" w14:textId="77777777" w:rsidR="00001361" w:rsidRPr="00001361" w:rsidRDefault="00001361">
            <w:pPr>
              <w:jc w:val="center"/>
              <w:rPr>
                <w:rFonts w:ascii="Arial" w:hAnsi="Arial" w:cs="Arial"/>
                <w:sz w:val="18"/>
                <w:szCs w:val="18"/>
              </w:rPr>
            </w:pPr>
            <w:r w:rsidRPr="00001361">
              <w:rPr>
                <w:rFonts w:ascii="Arial" w:hAnsi="Arial" w:cs="Arial"/>
                <w:sz w:val="18"/>
                <w:szCs w:val="18"/>
              </w:rPr>
              <w:t>32.40</w:t>
            </w:r>
          </w:p>
        </w:tc>
      </w:tr>
      <w:tr w:rsidR="00001361" w:rsidRPr="00001361" w14:paraId="2D36FBC8" w14:textId="77777777" w:rsidTr="00001361">
        <w:tc>
          <w:tcPr>
            <w:tcW w:w="0" w:type="auto"/>
            <w:vMerge/>
            <w:tcBorders>
              <w:top w:val="single" w:sz="4" w:space="0" w:color="auto"/>
              <w:left w:val="nil"/>
              <w:bottom w:val="single" w:sz="4" w:space="0" w:color="auto"/>
              <w:right w:val="nil"/>
            </w:tcBorders>
            <w:vAlign w:val="center"/>
            <w:hideMark/>
          </w:tcPr>
          <w:p w14:paraId="2E16C348" w14:textId="77777777" w:rsidR="00001361" w:rsidRPr="00DA0338" w:rsidRDefault="00001361">
            <w:pPr>
              <w:rPr>
                <w:rFonts w:ascii="Arial" w:hAnsi="Arial" w:cs="Arial"/>
                <w:kern w:val="2"/>
                <w:sz w:val="18"/>
                <w:szCs w:val="18"/>
              </w:rPr>
            </w:pPr>
          </w:p>
        </w:tc>
        <w:tc>
          <w:tcPr>
            <w:tcW w:w="2420" w:type="dxa"/>
            <w:tcBorders>
              <w:top w:val="single" w:sz="4" w:space="0" w:color="auto"/>
              <w:left w:val="nil"/>
              <w:bottom w:val="single" w:sz="4" w:space="0" w:color="auto"/>
              <w:right w:val="nil"/>
            </w:tcBorders>
            <w:hideMark/>
          </w:tcPr>
          <w:p w14:paraId="3A4E7587" w14:textId="77777777" w:rsidR="00001361" w:rsidRPr="00001361" w:rsidRDefault="00001361">
            <w:pPr>
              <w:jc w:val="center"/>
              <w:rPr>
                <w:rFonts w:ascii="Arial" w:hAnsi="Arial" w:cs="Arial"/>
                <w:sz w:val="18"/>
                <w:szCs w:val="18"/>
              </w:rPr>
            </w:pPr>
            <w:r w:rsidRPr="00001361">
              <w:rPr>
                <w:rFonts w:ascii="Arial" w:hAnsi="Arial" w:cs="Arial"/>
                <w:sz w:val="18"/>
                <w:szCs w:val="18"/>
              </w:rPr>
              <w:t>Total</w:t>
            </w:r>
          </w:p>
        </w:tc>
        <w:tc>
          <w:tcPr>
            <w:tcW w:w="1841" w:type="dxa"/>
            <w:tcBorders>
              <w:top w:val="single" w:sz="4" w:space="0" w:color="auto"/>
              <w:left w:val="nil"/>
              <w:bottom w:val="single" w:sz="4" w:space="0" w:color="auto"/>
              <w:right w:val="nil"/>
            </w:tcBorders>
            <w:hideMark/>
          </w:tcPr>
          <w:p w14:paraId="6EFF83BF" w14:textId="77777777" w:rsidR="00001361" w:rsidRPr="00001361" w:rsidRDefault="00001361">
            <w:pPr>
              <w:jc w:val="center"/>
              <w:rPr>
                <w:rFonts w:ascii="Arial" w:hAnsi="Arial" w:cs="Arial"/>
                <w:sz w:val="18"/>
                <w:szCs w:val="18"/>
              </w:rPr>
            </w:pPr>
            <w:r w:rsidRPr="00001361">
              <w:rPr>
                <w:rFonts w:ascii="Arial" w:hAnsi="Arial" w:cs="Arial"/>
                <w:sz w:val="18"/>
                <w:szCs w:val="18"/>
              </w:rPr>
              <w:t>299</w:t>
            </w:r>
          </w:p>
        </w:tc>
        <w:tc>
          <w:tcPr>
            <w:tcW w:w="2131" w:type="dxa"/>
            <w:tcBorders>
              <w:top w:val="single" w:sz="4" w:space="0" w:color="auto"/>
              <w:left w:val="nil"/>
              <w:bottom w:val="single" w:sz="4" w:space="0" w:color="auto"/>
              <w:right w:val="nil"/>
            </w:tcBorders>
            <w:hideMark/>
          </w:tcPr>
          <w:p w14:paraId="5B6E3012" w14:textId="77777777" w:rsidR="00001361" w:rsidRPr="00001361" w:rsidRDefault="00001361">
            <w:pPr>
              <w:jc w:val="center"/>
              <w:rPr>
                <w:rFonts w:ascii="Arial" w:hAnsi="Arial" w:cs="Arial"/>
                <w:sz w:val="18"/>
                <w:szCs w:val="18"/>
              </w:rPr>
            </w:pPr>
            <w:r w:rsidRPr="00001361">
              <w:rPr>
                <w:rFonts w:ascii="Arial" w:hAnsi="Arial" w:cs="Arial"/>
                <w:sz w:val="18"/>
                <w:szCs w:val="18"/>
              </w:rPr>
              <w:t>100.00</w:t>
            </w:r>
          </w:p>
        </w:tc>
      </w:tr>
    </w:tbl>
    <w:p w14:paraId="16114FB8" w14:textId="77777777" w:rsidR="00656CAC" w:rsidRDefault="00656CAC" w:rsidP="006E2E54">
      <w:pPr>
        <w:tabs>
          <w:tab w:val="left" w:pos="2173"/>
        </w:tabs>
        <w:ind w:right="-72"/>
        <w:rPr>
          <w:rFonts w:ascii="Arial" w:eastAsia="Arial" w:hAnsi="Arial" w:cs="Arial"/>
          <w:b/>
        </w:rPr>
      </w:pPr>
    </w:p>
    <w:p w14:paraId="730ED91D" w14:textId="35143EBB" w:rsidR="005A00BB" w:rsidRDefault="00001361" w:rsidP="005A00BB">
      <w:pPr>
        <w:ind w:firstLine="720"/>
        <w:jc w:val="both"/>
        <w:rPr>
          <w:rFonts w:ascii="Arial" w:eastAsia="Arial" w:hAnsi="Arial" w:cs="Arial"/>
        </w:rPr>
      </w:pPr>
      <w:r w:rsidRPr="00001361">
        <w:rPr>
          <w:rFonts w:ascii="Arial" w:eastAsia="Arial" w:hAnsi="Arial" w:cs="Arial"/>
        </w:rPr>
        <w:t>The large representation of industry stakeholders reflects their critical involvement in both academic delivery and graduate employment outcomes. As emphasized by Roberts et al. (2016), institutions with visible engagement from these groups are more likely to align strategic goals with stakeholder expectations. Meanwhile, the minimal participation of alumni and non-teaching staff suggests a possible disconnect in institutional communication or engagement, a concern raised by Di Maddaloni and Davis (2018), who argue that low stakeholder involvement may hinder full awareness and acceptance of institutional objectives.</w:t>
      </w:r>
      <w:r w:rsidR="005A00BB">
        <w:rPr>
          <w:rFonts w:ascii="Arial" w:eastAsia="Arial" w:hAnsi="Arial" w:cs="Arial"/>
        </w:rPr>
        <w:t xml:space="preserve"> </w:t>
      </w:r>
    </w:p>
    <w:p w14:paraId="49FBDDF8" w14:textId="77777777" w:rsidR="00A774F9" w:rsidRDefault="00A774F9" w:rsidP="005A00BB">
      <w:pPr>
        <w:ind w:firstLine="720"/>
        <w:jc w:val="both"/>
        <w:rPr>
          <w:rFonts w:ascii="Arial" w:eastAsia="Arial" w:hAnsi="Arial" w:cs="Arial"/>
          <w:b/>
          <w:bCs/>
        </w:rPr>
      </w:pPr>
    </w:p>
    <w:p w14:paraId="66FFAF0E" w14:textId="40896C5C" w:rsidR="00001361" w:rsidRDefault="00001361" w:rsidP="005A00BB">
      <w:pPr>
        <w:ind w:firstLine="720"/>
        <w:jc w:val="both"/>
        <w:rPr>
          <w:rFonts w:ascii="Arial" w:eastAsia="Arial" w:hAnsi="Arial" w:cs="Arial"/>
        </w:rPr>
      </w:pPr>
      <w:r w:rsidRPr="00001361">
        <w:rPr>
          <w:rFonts w:ascii="Arial" w:eastAsia="Arial" w:hAnsi="Arial" w:cs="Arial"/>
        </w:rPr>
        <w:t xml:space="preserve">Table </w:t>
      </w:r>
      <w:r>
        <w:rPr>
          <w:rFonts w:ascii="Arial" w:eastAsia="Arial" w:hAnsi="Arial" w:cs="Arial"/>
        </w:rPr>
        <w:t>2</w:t>
      </w:r>
      <w:r w:rsidRPr="00001361">
        <w:rPr>
          <w:rFonts w:ascii="Arial" w:eastAsia="Arial" w:hAnsi="Arial" w:cs="Arial"/>
        </w:rPr>
        <w:t xml:space="preserve"> presents the distribution of BEED stakeholders by age group. It shows that the largest group of respondents was aged 21 to 30 years old (90 respondents or 30.10%), while the smallest group was those aged 61 years old and above (15 respondents or 5.00%).</w:t>
      </w:r>
    </w:p>
    <w:p w14:paraId="52809A4B" w14:textId="77777777" w:rsidR="00001361" w:rsidRPr="00001361" w:rsidRDefault="00001361" w:rsidP="00001361">
      <w:pPr>
        <w:ind w:firstLine="720"/>
        <w:jc w:val="both"/>
        <w:rPr>
          <w:rFonts w:ascii="Arial" w:eastAsia="Arial" w:hAnsi="Arial" w:cs="Arial"/>
        </w:rPr>
      </w:pPr>
    </w:p>
    <w:p w14:paraId="519F4CA3" w14:textId="30A83687" w:rsidR="000B1D44" w:rsidRDefault="001856BB">
      <w:pPr>
        <w:tabs>
          <w:tab w:val="left" w:pos="2173"/>
        </w:tabs>
        <w:ind w:right="-72"/>
        <w:jc w:val="both"/>
        <w:rPr>
          <w:rFonts w:ascii="Arial" w:eastAsia="Arial" w:hAnsi="Arial" w:cs="Arial"/>
        </w:rPr>
      </w:pPr>
      <w:r>
        <w:rPr>
          <w:rFonts w:ascii="Arial" w:eastAsia="Arial" w:hAnsi="Arial" w:cs="Arial"/>
        </w:rPr>
        <w:t xml:space="preserve">Table </w:t>
      </w:r>
      <w:r w:rsidR="006E2E54">
        <w:rPr>
          <w:rFonts w:ascii="Arial" w:eastAsia="Arial" w:hAnsi="Arial" w:cs="Arial"/>
        </w:rPr>
        <w:t>2</w:t>
      </w:r>
      <w:r>
        <w:rPr>
          <w:rFonts w:ascii="Arial" w:eastAsia="Arial" w:hAnsi="Arial" w:cs="Arial"/>
        </w:rPr>
        <w:t xml:space="preserve">: </w:t>
      </w:r>
      <w:r w:rsidR="00882BF9" w:rsidRPr="00882BF9">
        <w:rPr>
          <w:rFonts w:ascii="Arial" w:eastAsia="Arial" w:hAnsi="Arial" w:cs="Arial"/>
        </w:rPr>
        <w:t>Profile of the BEED stakeholders according to their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321"/>
        <w:gridCol w:w="1784"/>
        <w:gridCol w:w="2059"/>
      </w:tblGrid>
      <w:tr w:rsidR="00882BF9" w:rsidRPr="00882BF9" w14:paraId="276DE0DD" w14:textId="77777777" w:rsidTr="00882BF9">
        <w:tc>
          <w:tcPr>
            <w:tcW w:w="2044" w:type="dxa"/>
            <w:tcBorders>
              <w:top w:val="single" w:sz="4" w:space="0" w:color="auto"/>
              <w:left w:val="nil"/>
              <w:bottom w:val="single" w:sz="4" w:space="0" w:color="auto"/>
              <w:right w:val="nil"/>
            </w:tcBorders>
            <w:hideMark/>
          </w:tcPr>
          <w:p w14:paraId="0F0972C5" w14:textId="77777777" w:rsidR="00882BF9" w:rsidRPr="00882BF9" w:rsidRDefault="00882BF9">
            <w:pPr>
              <w:jc w:val="center"/>
              <w:rPr>
                <w:rFonts w:ascii="Arial" w:hAnsi="Arial" w:cs="Arial"/>
                <w:sz w:val="18"/>
                <w:szCs w:val="18"/>
              </w:rPr>
            </w:pPr>
            <w:r w:rsidRPr="00882BF9">
              <w:rPr>
                <w:rFonts w:ascii="Arial" w:hAnsi="Arial" w:cs="Arial"/>
                <w:sz w:val="18"/>
                <w:szCs w:val="18"/>
              </w:rPr>
              <w:lastRenderedPageBreak/>
              <w:t>Profile Factors</w:t>
            </w:r>
          </w:p>
        </w:tc>
        <w:tc>
          <w:tcPr>
            <w:tcW w:w="2321" w:type="dxa"/>
            <w:tcBorders>
              <w:top w:val="single" w:sz="4" w:space="0" w:color="auto"/>
              <w:left w:val="nil"/>
              <w:bottom w:val="single" w:sz="4" w:space="0" w:color="auto"/>
              <w:right w:val="nil"/>
            </w:tcBorders>
            <w:hideMark/>
          </w:tcPr>
          <w:p w14:paraId="7884B9F8" w14:textId="77777777" w:rsidR="00882BF9" w:rsidRPr="00882BF9" w:rsidRDefault="00882BF9">
            <w:pPr>
              <w:jc w:val="center"/>
              <w:rPr>
                <w:rFonts w:ascii="Arial" w:hAnsi="Arial" w:cs="Arial"/>
                <w:sz w:val="18"/>
                <w:szCs w:val="18"/>
              </w:rPr>
            </w:pPr>
            <w:r w:rsidRPr="00882BF9">
              <w:rPr>
                <w:rFonts w:ascii="Arial" w:hAnsi="Arial" w:cs="Arial"/>
                <w:sz w:val="18"/>
                <w:szCs w:val="18"/>
              </w:rPr>
              <w:t>Category</w:t>
            </w:r>
          </w:p>
        </w:tc>
        <w:tc>
          <w:tcPr>
            <w:tcW w:w="1784" w:type="dxa"/>
            <w:tcBorders>
              <w:top w:val="single" w:sz="4" w:space="0" w:color="auto"/>
              <w:left w:val="nil"/>
              <w:bottom w:val="single" w:sz="4" w:space="0" w:color="auto"/>
              <w:right w:val="nil"/>
            </w:tcBorders>
            <w:hideMark/>
          </w:tcPr>
          <w:p w14:paraId="16DF4719" w14:textId="77777777" w:rsidR="00882BF9" w:rsidRPr="00882BF9" w:rsidRDefault="00882BF9">
            <w:pPr>
              <w:jc w:val="center"/>
              <w:rPr>
                <w:rFonts w:ascii="Arial" w:hAnsi="Arial" w:cs="Arial"/>
                <w:sz w:val="18"/>
                <w:szCs w:val="18"/>
              </w:rPr>
            </w:pPr>
            <w:r w:rsidRPr="00882BF9">
              <w:rPr>
                <w:rFonts w:ascii="Arial" w:hAnsi="Arial" w:cs="Arial"/>
                <w:sz w:val="18"/>
                <w:szCs w:val="18"/>
              </w:rPr>
              <w:t>Frequency</w:t>
            </w:r>
          </w:p>
        </w:tc>
        <w:tc>
          <w:tcPr>
            <w:tcW w:w="2059" w:type="dxa"/>
            <w:tcBorders>
              <w:top w:val="single" w:sz="4" w:space="0" w:color="auto"/>
              <w:left w:val="nil"/>
              <w:bottom w:val="single" w:sz="4" w:space="0" w:color="auto"/>
              <w:right w:val="nil"/>
            </w:tcBorders>
            <w:hideMark/>
          </w:tcPr>
          <w:p w14:paraId="0EB7420F" w14:textId="77777777" w:rsidR="00882BF9" w:rsidRPr="00882BF9" w:rsidRDefault="00882BF9">
            <w:pPr>
              <w:jc w:val="center"/>
              <w:rPr>
                <w:rFonts w:ascii="Arial" w:hAnsi="Arial" w:cs="Arial"/>
                <w:sz w:val="18"/>
                <w:szCs w:val="18"/>
              </w:rPr>
            </w:pPr>
            <w:r w:rsidRPr="00882BF9">
              <w:rPr>
                <w:rFonts w:ascii="Arial" w:hAnsi="Arial" w:cs="Arial"/>
                <w:sz w:val="18"/>
                <w:szCs w:val="18"/>
              </w:rPr>
              <w:t>Percentage</w:t>
            </w:r>
          </w:p>
        </w:tc>
      </w:tr>
      <w:tr w:rsidR="00882BF9" w:rsidRPr="00882BF9" w14:paraId="45E72459" w14:textId="77777777" w:rsidTr="00882BF9">
        <w:tc>
          <w:tcPr>
            <w:tcW w:w="2044" w:type="dxa"/>
            <w:vMerge w:val="restart"/>
            <w:tcBorders>
              <w:top w:val="single" w:sz="4" w:space="0" w:color="auto"/>
              <w:left w:val="nil"/>
              <w:bottom w:val="single" w:sz="4" w:space="0" w:color="auto"/>
              <w:right w:val="nil"/>
            </w:tcBorders>
            <w:vAlign w:val="center"/>
            <w:hideMark/>
          </w:tcPr>
          <w:p w14:paraId="3D584697" w14:textId="77777777" w:rsidR="00882BF9" w:rsidRPr="00882BF9" w:rsidRDefault="00882BF9">
            <w:pPr>
              <w:jc w:val="center"/>
              <w:rPr>
                <w:rFonts w:ascii="Arial" w:hAnsi="Arial" w:cs="Arial"/>
                <w:sz w:val="18"/>
                <w:szCs w:val="18"/>
              </w:rPr>
            </w:pPr>
            <w:r w:rsidRPr="00882BF9">
              <w:rPr>
                <w:rFonts w:ascii="Arial" w:hAnsi="Arial" w:cs="Arial"/>
                <w:sz w:val="18"/>
                <w:szCs w:val="18"/>
              </w:rPr>
              <w:t>Age</w:t>
            </w:r>
          </w:p>
        </w:tc>
        <w:tc>
          <w:tcPr>
            <w:tcW w:w="2321" w:type="dxa"/>
            <w:tcBorders>
              <w:top w:val="single" w:sz="4" w:space="0" w:color="auto"/>
              <w:left w:val="nil"/>
              <w:bottom w:val="single" w:sz="4" w:space="0" w:color="auto"/>
              <w:right w:val="nil"/>
            </w:tcBorders>
            <w:shd w:val="clear" w:color="auto" w:fill="FFFFFF"/>
            <w:vAlign w:val="center"/>
            <w:hideMark/>
          </w:tcPr>
          <w:p w14:paraId="7E98F38E" w14:textId="77777777" w:rsidR="00882BF9" w:rsidRPr="00882BF9" w:rsidRDefault="00882BF9">
            <w:pPr>
              <w:ind w:left="60" w:right="60"/>
              <w:rPr>
                <w:rFonts w:ascii="Arial" w:hAnsi="Arial"/>
                <w:sz w:val="18"/>
                <w:szCs w:val="18"/>
              </w:rPr>
            </w:pPr>
            <w:r w:rsidRPr="00882BF9">
              <w:rPr>
                <w:rFonts w:ascii="Arial" w:hAnsi="Arial"/>
                <w:sz w:val="18"/>
                <w:szCs w:val="18"/>
              </w:rPr>
              <w:t>20 years old and below</w:t>
            </w:r>
          </w:p>
        </w:tc>
        <w:tc>
          <w:tcPr>
            <w:tcW w:w="1784" w:type="dxa"/>
            <w:tcBorders>
              <w:top w:val="single" w:sz="4" w:space="0" w:color="auto"/>
              <w:left w:val="nil"/>
              <w:bottom w:val="single" w:sz="4" w:space="0" w:color="auto"/>
              <w:right w:val="nil"/>
            </w:tcBorders>
            <w:shd w:val="clear" w:color="auto" w:fill="FFFFFF"/>
            <w:vAlign w:val="center"/>
            <w:hideMark/>
          </w:tcPr>
          <w:p w14:paraId="4CC49395" w14:textId="77777777" w:rsidR="00882BF9" w:rsidRPr="00882BF9" w:rsidRDefault="00882BF9">
            <w:pPr>
              <w:ind w:left="60" w:right="60"/>
              <w:jc w:val="right"/>
              <w:rPr>
                <w:rFonts w:ascii="Arial" w:hAnsi="Arial"/>
                <w:sz w:val="18"/>
                <w:szCs w:val="18"/>
              </w:rPr>
            </w:pPr>
            <w:r w:rsidRPr="00882BF9">
              <w:rPr>
                <w:rFonts w:ascii="Arial" w:hAnsi="Arial"/>
                <w:sz w:val="18"/>
                <w:szCs w:val="18"/>
              </w:rPr>
              <w:t>39</w:t>
            </w:r>
          </w:p>
        </w:tc>
        <w:tc>
          <w:tcPr>
            <w:tcW w:w="2059" w:type="dxa"/>
            <w:tcBorders>
              <w:top w:val="single" w:sz="4" w:space="0" w:color="auto"/>
              <w:left w:val="nil"/>
              <w:bottom w:val="single" w:sz="4" w:space="0" w:color="auto"/>
              <w:right w:val="nil"/>
            </w:tcBorders>
            <w:shd w:val="clear" w:color="auto" w:fill="FFFFFF"/>
            <w:vAlign w:val="center"/>
            <w:hideMark/>
          </w:tcPr>
          <w:p w14:paraId="2C5EA4DB" w14:textId="77777777" w:rsidR="00882BF9" w:rsidRPr="00882BF9" w:rsidRDefault="00882BF9">
            <w:pPr>
              <w:ind w:left="60" w:right="60"/>
              <w:jc w:val="right"/>
              <w:rPr>
                <w:rFonts w:ascii="Arial" w:hAnsi="Arial"/>
                <w:sz w:val="18"/>
                <w:szCs w:val="18"/>
              </w:rPr>
            </w:pPr>
            <w:r w:rsidRPr="00882BF9">
              <w:rPr>
                <w:rFonts w:ascii="Arial" w:hAnsi="Arial"/>
                <w:sz w:val="18"/>
                <w:szCs w:val="18"/>
              </w:rPr>
              <w:t>13.0</w:t>
            </w:r>
          </w:p>
        </w:tc>
      </w:tr>
      <w:tr w:rsidR="00882BF9" w:rsidRPr="00882BF9" w14:paraId="4C203535" w14:textId="77777777" w:rsidTr="00882BF9">
        <w:tc>
          <w:tcPr>
            <w:tcW w:w="0" w:type="auto"/>
            <w:vMerge/>
            <w:tcBorders>
              <w:top w:val="single" w:sz="4" w:space="0" w:color="auto"/>
              <w:left w:val="nil"/>
              <w:bottom w:val="single" w:sz="4" w:space="0" w:color="auto"/>
              <w:right w:val="nil"/>
            </w:tcBorders>
            <w:vAlign w:val="center"/>
            <w:hideMark/>
          </w:tcPr>
          <w:p w14:paraId="4F6A4C6A"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3C024F6E" w14:textId="77777777" w:rsidR="00882BF9" w:rsidRPr="00882BF9" w:rsidRDefault="00882BF9">
            <w:pPr>
              <w:ind w:left="60" w:right="60"/>
              <w:rPr>
                <w:rFonts w:ascii="Arial" w:hAnsi="Arial"/>
                <w:sz w:val="18"/>
                <w:szCs w:val="18"/>
              </w:rPr>
            </w:pPr>
            <w:r w:rsidRPr="00882BF9">
              <w:rPr>
                <w:rFonts w:ascii="Arial" w:hAnsi="Arial"/>
                <w:sz w:val="18"/>
                <w:szCs w:val="18"/>
              </w:rPr>
              <w:t>21 to 30 years old</w:t>
            </w:r>
          </w:p>
        </w:tc>
        <w:tc>
          <w:tcPr>
            <w:tcW w:w="1784" w:type="dxa"/>
            <w:tcBorders>
              <w:top w:val="single" w:sz="4" w:space="0" w:color="auto"/>
              <w:left w:val="nil"/>
              <w:bottom w:val="single" w:sz="4" w:space="0" w:color="auto"/>
              <w:right w:val="nil"/>
            </w:tcBorders>
            <w:shd w:val="clear" w:color="auto" w:fill="FFFFFF"/>
            <w:vAlign w:val="center"/>
            <w:hideMark/>
          </w:tcPr>
          <w:p w14:paraId="3FAE0F65" w14:textId="77777777" w:rsidR="00882BF9" w:rsidRPr="00882BF9" w:rsidRDefault="00882BF9">
            <w:pPr>
              <w:ind w:left="60" w:right="60"/>
              <w:jc w:val="right"/>
              <w:rPr>
                <w:rFonts w:ascii="Arial" w:hAnsi="Arial"/>
                <w:sz w:val="18"/>
                <w:szCs w:val="18"/>
              </w:rPr>
            </w:pPr>
            <w:r w:rsidRPr="00882BF9">
              <w:rPr>
                <w:rFonts w:ascii="Arial" w:hAnsi="Arial"/>
                <w:sz w:val="18"/>
                <w:szCs w:val="18"/>
              </w:rPr>
              <w:t>90</w:t>
            </w:r>
          </w:p>
        </w:tc>
        <w:tc>
          <w:tcPr>
            <w:tcW w:w="2059" w:type="dxa"/>
            <w:tcBorders>
              <w:top w:val="single" w:sz="4" w:space="0" w:color="auto"/>
              <w:left w:val="nil"/>
              <w:bottom w:val="single" w:sz="4" w:space="0" w:color="auto"/>
              <w:right w:val="nil"/>
            </w:tcBorders>
            <w:shd w:val="clear" w:color="auto" w:fill="FFFFFF"/>
            <w:vAlign w:val="center"/>
            <w:hideMark/>
          </w:tcPr>
          <w:p w14:paraId="139166C4" w14:textId="77777777" w:rsidR="00882BF9" w:rsidRPr="00882BF9" w:rsidRDefault="00882BF9">
            <w:pPr>
              <w:ind w:left="60" w:right="60"/>
              <w:jc w:val="right"/>
              <w:rPr>
                <w:rFonts w:ascii="Arial" w:hAnsi="Arial"/>
                <w:sz w:val="18"/>
                <w:szCs w:val="18"/>
              </w:rPr>
            </w:pPr>
            <w:r w:rsidRPr="00882BF9">
              <w:rPr>
                <w:rFonts w:ascii="Arial" w:hAnsi="Arial"/>
                <w:sz w:val="18"/>
                <w:szCs w:val="18"/>
              </w:rPr>
              <w:t>30.1</w:t>
            </w:r>
          </w:p>
        </w:tc>
      </w:tr>
      <w:tr w:rsidR="00882BF9" w:rsidRPr="00882BF9" w14:paraId="50D19A74" w14:textId="77777777" w:rsidTr="00882BF9">
        <w:tc>
          <w:tcPr>
            <w:tcW w:w="0" w:type="auto"/>
            <w:vMerge/>
            <w:tcBorders>
              <w:top w:val="single" w:sz="4" w:space="0" w:color="auto"/>
              <w:left w:val="nil"/>
              <w:bottom w:val="single" w:sz="4" w:space="0" w:color="auto"/>
              <w:right w:val="nil"/>
            </w:tcBorders>
            <w:vAlign w:val="center"/>
            <w:hideMark/>
          </w:tcPr>
          <w:p w14:paraId="0AA62173"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225E0189" w14:textId="77777777" w:rsidR="00882BF9" w:rsidRPr="00882BF9" w:rsidRDefault="00882BF9">
            <w:pPr>
              <w:ind w:left="60" w:right="60"/>
              <w:rPr>
                <w:rFonts w:ascii="Arial" w:hAnsi="Arial"/>
                <w:sz w:val="18"/>
                <w:szCs w:val="18"/>
              </w:rPr>
            </w:pPr>
            <w:r w:rsidRPr="00882BF9">
              <w:rPr>
                <w:rFonts w:ascii="Arial" w:hAnsi="Arial"/>
                <w:sz w:val="18"/>
                <w:szCs w:val="18"/>
              </w:rPr>
              <w:t>31 to 40 years old</w:t>
            </w:r>
          </w:p>
        </w:tc>
        <w:tc>
          <w:tcPr>
            <w:tcW w:w="1784" w:type="dxa"/>
            <w:tcBorders>
              <w:top w:val="single" w:sz="4" w:space="0" w:color="auto"/>
              <w:left w:val="nil"/>
              <w:bottom w:val="single" w:sz="4" w:space="0" w:color="auto"/>
              <w:right w:val="nil"/>
            </w:tcBorders>
            <w:shd w:val="clear" w:color="auto" w:fill="FFFFFF"/>
            <w:vAlign w:val="center"/>
            <w:hideMark/>
          </w:tcPr>
          <w:p w14:paraId="0B6DA68F" w14:textId="77777777" w:rsidR="00882BF9" w:rsidRPr="00882BF9" w:rsidRDefault="00882BF9">
            <w:pPr>
              <w:ind w:left="60" w:right="60"/>
              <w:jc w:val="right"/>
              <w:rPr>
                <w:rFonts w:ascii="Arial" w:hAnsi="Arial"/>
                <w:sz w:val="18"/>
                <w:szCs w:val="18"/>
              </w:rPr>
            </w:pPr>
            <w:r w:rsidRPr="00882BF9">
              <w:rPr>
                <w:rFonts w:ascii="Arial" w:hAnsi="Arial"/>
                <w:sz w:val="18"/>
                <w:szCs w:val="18"/>
              </w:rPr>
              <w:t>49</w:t>
            </w:r>
          </w:p>
        </w:tc>
        <w:tc>
          <w:tcPr>
            <w:tcW w:w="2059" w:type="dxa"/>
            <w:tcBorders>
              <w:top w:val="single" w:sz="4" w:space="0" w:color="auto"/>
              <w:left w:val="nil"/>
              <w:bottom w:val="single" w:sz="4" w:space="0" w:color="auto"/>
              <w:right w:val="nil"/>
            </w:tcBorders>
            <w:shd w:val="clear" w:color="auto" w:fill="FFFFFF"/>
            <w:vAlign w:val="center"/>
            <w:hideMark/>
          </w:tcPr>
          <w:p w14:paraId="089B81DC" w14:textId="77777777" w:rsidR="00882BF9" w:rsidRPr="00882BF9" w:rsidRDefault="00882BF9">
            <w:pPr>
              <w:ind w:left="60" w:right="60"/>
              <w:jc w:val="right"/>
              <w:rPr>
                <w:rFonts w:ascii="Arial" w:hAnsi="Arial"/>
                <w:sz w:val="18"/>
                <w:szCs w:val="18"/>
              </w:rPr>
            </w:pPr>
            <w:r w:rsidRPr="00882BF9">
              <w:rPr>
                <w:rFonts w:ascii="Arial" w:hAnsi="Arial"/>
                <w:sz w:val="18"/>
                <w:szCs w:val="18"/>
              </w:rPr>
              <w:t>16.4</w:t>
            </w:r>
          </w:p>
        </w:tc>
      </w:tr>
      <w:tr w:rsidR="00882BF9" w:rsidRPr="00882BF9" w14:paraId="531B1FE3" w14:textId="77777777" w:rsidTr="00882BF9">
        <w:tc>
          <w:tcPr>
            <w:tcW w:w="0" w:type="auto"/>
            <w:vMerge/>
            <w:tcBorders>
              <w:top w:val="single" w:sz="4" w:space="0" w:color="auto"/>
              <w:left w:val="nil"/>
              <w:bottom w:val="single" w:sz="4" w:space="0" w:color="auto"/>
              <w:right w:val="nil"/>
            </w:tcBorders>
            <w:vAlign w:val="center"/>
            <w:hideMark/>
          </w:tcPr>
          <w:p w14:paraId="141F4390"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0E6FA29D" w14:textId="77777777" w:rsidR="00882BF9" w:rsidRPr="00882BF9" w:rsidRDefault="00882BF9">
            <w:pPr>
              <w:ind w:left="60" w:right="60"/>
              <w:rPr>
                <w:rFonts w:ascii="Arial" w:hAnsi="Arial"/>
                <w:sz w:val="18"/>
                <w:szCs w:val="18"/>
              </w:rPr>
            </w:pPr>
            <w:r w:rsidRPr="00882BF9">
              <w:rPr>
                <w:rFonts w:ascii="Arial" w:hAnsi="Arial"/>
                <w:sz w:val="18"/>
                <w:szCs w:val="18"/>
              </w:rPr>
              <w:t>41 to 50 years old</w:t>
            </w:r>
          </w:p>
        </w:tc>
        <w:tc>
          <w:tcPr>
            <w:tcW w:w="1784" w:type="dxa"/>
            <w:tcBorders>
              <w:top w:val="single" w:sz="4" w:space="0" w:color="auto"/>
              <w:left w:val="nil"/>
              <w:bottom w:val="single" w:sz="4" w:space="0" w:color="auto"/>
              <w:right w:val="nil"/>
            </w:tcBorders>
            <w:shd w:val="clear" w:color="auto" w:fill="FFFFFF"/>
            <w:vAlign w:val="center"/>
            <w:hideMark/>
          </w:tcPr>
          <w:p w14:paraId="6BBE1675" w14:textId="77777777" w:rsidR="00882BF9" w:rsidRPr="00882BF9" w:rsidRDefault="00882BF9">
            <w:pPr>
              <w:ind w:left="60" w:right="60"/>
              <w:jc w:val="right"/>
              <w:rPr>
                <w:rFonts w:ascii="Arial" w:hAnsi="Arial"/>
                <w:sz w:val="18"/>
                <w:szCs w:val="18"/>
              </w:rPr>
            </w:pPr>
            <w:r w:rsidRPr="00882BF9">
              <w:rPr>
                <w:rFonts w:ascii="Arial" w:hAnsi="Arial"/>
                <w:sz w:val="18"/>
                <w:szCs w:val="18"/>
              </w:rPr>
              <w:t>65</w:t>
            </w:r>
          </w:p>
        </w:tc>
        <w:tc>
          <w:tcPr>
            <w:tcW w:w="2059" w:type="dxa"/>
            <w:tcBorders>
              <w:top w:val="single" w:sz="4" w:space="0" w:color="auto"/>
              <w:left w:val="nil"/>
              <w:bottom w:val="single" w:sz="4" w:space="0" w:color="auto"/>
              <w:right w:val="nil"/>
            </w:tcBorders>
            <w:shd w:val="clear" w:color="auto" w:fill="FFFFFF"/>
            <w:vAlign w:val="center"/>
            <w:hideMark/>
          </w:tcPr>
          <w:p w14:paraId="767073E5" w14:textId="77777777" w:rsidR="00882BF9" w:rsidRPr="00882BF9" w:rsidRDefault="00882BF9">
            <w:pPr>
              <w:ind w:left="60" w:right="60"/>
              <w:jc w:val="right"/>
              <w:rPr>
                <w:rFonts w:ascii="Arial" w:hAnsi="Arial"/>
                <w:sz w:val="18"/>
                <w:szCs w:val="18"/>
              </w:rPr>
            </w:pPr>
            <w:r w:rsidRPr="00882BF9">
              <w:rPr>
                <w:rFonts w:ascii="Arial" w:hAnsi="Arial"/>
                <w:sz w:val="18"/>
                <w:szCs w:val="18"/>
              </w:rPr>
              <w:t>21.7</w:t>
            </w:r>
          </w:p>
        </w:tc>
      </w:tr>
      <w:tr w:rsidR="00882BF9" w:rsidRPr="00882BF9" w14:paraId="3B94B086" w14:textId="77777777" w:rsidTr="00882BF9">
        <w:tc>
          <w:tcPr>
            <w:tcW w:w="0" w:type="auto"/>
            <w:vMerge/>
            <w:tcBorders>
              <w:top w:val="single" w:sz="4" w:space="0" w:color="auto"/>
              <w:left w:val="nil"/>
              <w:bottom w:val="single" w:sz="4" w:space="0" w:color="auto"/>
              <w:right w:val="nil"/>
            </w:tcBorders>
            <w:vAlign w:val="center"/>
            <w:hideMark/>
          </w:tcPr>
          <w:p w14:paraId="52A31F81"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56FC821C" w14:textId="77777777" w:rsidR="00882BF9" w:rsidRPr="00882BF9" w:rsidRDefault="00882BF9">
            <w:pPr>
              <w:ind w:left="60" w:right="60"/>
              <w:rPr>
                <w:rFonts w:ascii="Arial" w:hAnsi="Arial"/>
                <w:sz w:val="18"/>
                <w:szCs w:val="18"/>
              </w:rPr>
            </w:pPr>
            <w:r w:rsidRPr="00882BF9">
              <w:rPr>
                <w:rFonts w:ascii="Arial" w:hAnsi="Arial"/>
                <w:sz w:val="18"/>
                <w:szCs w:val="18"/>
              </w:rPr>
              <w:t>51 to 60 years old</w:t>
            </w:r>
          </w:p>
        </w:tc>
        <w:tc>
          <w:tcPr>
            <w:tcW w:w="1784" w:type="dxa"/>
            <w:tcBorders>
              <w:top w:val="single" w:sz="4" w:space="0" w:color="auto"/>
              <w:left w:val="nil"/>
              <w:bottom w:val="single" w:sz="4" w:space="0" w:color="auto"/>
              <w:right w:val="nil"/>
            </w:tcBorders>
            <w:shd w:val="clear" w:color="auto" w:fill="FFFFFF"/>
            <w:vAlign w:val="center"/>
            <w:hideMark/>
          </w:tcPr>
          <w:p w14:paraId="30185BBE" w14:textId="77777777" w:rsidR="00882BF9" w:rsidRPr="00882BF9" w:rsidRDefault="00882BF9">
            <w:pPr>
              <w:ind w:left="60" w:right="60"/>
              <w:jc w:val="right"/>
              <w:rPr>
                <w:rFonts w:ascii="Arial" w:hAnsi="Arial"/>
                <w:sz w:val="18"/>
                <w:szCs w:val="18"/>
              </w:rPr>
            </w:pPr>
            <w:r w:rsidRPr="00882BF9">
              <w:rPr>
                <w:rFonts w:ascii="Arial" w:hAnsi="Arial"/>
                <w:sz w:val="18"/>
                <w:szCs w:val="18"/>
              </w:rPr>
              <w:t>41</w:t>
            </w:r>
          </w:p>
        </w:tc>
        <w:tc>
          <w:tcPr>
            <w:tcW w:w="2059" w:type="dxa"/>
            <w:tcBorders>
              <w:top w:val="single" w:sz="4" w:space="0" w:color="auto"/>
              <w:left w:val="nil"/>
              <w:bottom w:val="single" w:sz="4" w:space="0" w:color="auto"/>
              <w:right w:val="nil"/>
            </w:tcBorders>
            <w:shd w:val="clear" w:color="auto" w:fill="FFFFFF"/>
            <w:vAlign w:val="center"/>
            <w:hideMark/>
          </w:tcPr>
          <w:p w14:paraId="31844D42" w14:textId="77777777" w:rsidR="00882BF9" w:rsidRPr="00882BF9" w:rsidRDefault="00882BF9">
            <w:pPr>
              <w:ind w:left="60" w:right="60"/>
              <w:jc w:val="right"/>
              <w:rPr>
                <w:rFonts w:ascii="Arial" w:hAnsi="Arial"/>
                <w:sz w:val="18"/>
                <w:szCs w:val="18"/>
              </w:rPr>
            </w:pPr>
            <w:r w:rsidRPr="00882BF9">
              <w:rPr>
                <w:rFonts w:ascii="Arial" w:hAnsi="Arial"/>
                <w:sz w:val="18"/>
                <w:szCs w:val="18"/>
              </w:rPr>
              <w:t>13.7</w:t>
            </w:r>
          </w:p>
        </w:tc>
      </w:tr>
      <w:tr w:rsidR="00882BF9" w:rsidRPr="00882BF9" w14:paraId="4DCABC5A" w14:textId="77777777" w:rsidTr="00882BF9">
        <w:tc>
          <w:tcPr>
            <w:tcW w:w="0" w:type="auto"/>
            <w:vMerge/>
            <w:tcBorders>
              <w:top w:val="single" w:sz="4" w:space="0" w:color="auto"/>
              <w:left w:val="nil"/>
              <w:bottom w:val="single" w:sz="4" w:space="0" w:color="auto"/>
              <w:right w:val="nil"/>
            </w:tcBorders>
            <w:vAlign w:val="center"/>
            <w:hideMark/>
          </w:tcPr>
          <w:p w14:paraId="5244CC76"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shd w:val="clear" w:color="auto" w:fill="FFFFFF"/>
            <w:vAlign w:val="center"/>
            <w:hideMark/>
          </w:tcPr>
          <w:p w14:paraId="3464A528" w14:textId="77777777" w:rsidR="00882BF9" w:rsidRPr="00882BF9" w:rsidRDefault="00882BF9">
            <w:pPr>
              <w:ind w:left="60" w:right="60"/>
              <w:rPr>
                <w:rFonts w:ascii="Arial" w:hAnsi="Arial"/>
                <w:sz w:val="18"/>
                <w:szCs w:val="18"/>
              </w:rPr>
            </w:pPr>
            <w:r w:rsidRPr="00882BF9">
              <w:rPr>
                <w:rFonts w:ascii="Arial" w:hAnsi="Arial"/>
                <w:sz w:val="18"/>
                <w:szCs w:val="18"/>
              </w:rPr>
              <w:t>61 years old and above</w:t>
            </w:r>
          </w:p>
        </w:tc>
        <w:tc>
          <w:tcPr>
            <w:tcW w:w="1784" w:type="dxa"/>
            <w:tcBorders>
              <w:top w:val="single" w:sz="4" w:space="0" w:color="auto"/>
              <w:left w:val="nil"/>
              <w:bottom w:val="single" w:sz="4" w:space="0" w:color="auto"/>
              <w:right w:val="nil"/>
            </w:tcBorders>
            <w:shd w:val="clear" w:color="auto" w:fill="FFFFFF"/>
            <w:vAlign w:val="center"/>
            <w:hideMark/>
          </w:tcPr>
          <w:p w14:paraId="1420C4A7" w14:textId="77777777" w:rsidR="00882BF9" w:rsidRPr="00882BF9" w:rsidRDefault="00882BF9">
            <w:pPr>
              <w:ind w:left="60" w:right="60"/>
              <w:jc w:val="right"/>
              <w:rPr>
                <w:rFonts w:ascii="Arial" w:hAnsi="Arial"/>
                <w:sz w:val="18"/>
                <w:szCs w:val="18"/>
              </w:rPr>
            </w:pPr>
            <w:r w:rsidRPr="00882BF9">
              <w:rPr>
                <w:rFonts w:ascii="Arial" w:hAnsi="Arial"/>
                <w:sz w:val="18"/>
                <w:szCs w:val="18"/>
              </w:rPr>
              <w:t>15</w:t>
            </w:r>
          </w:p>
        </w:tc>
        <w:tc>
          <w:tcPr>
            <w:tcW w:w="2059" w:type="dxa"/>
            <w:tcBorders>
              <w:top w:val="single" w:sz="4" w:space="0" w:color="auto"/>
              <w:left w:val="nil"/>
              <w:bottom w:val="single" w:sz="4" w:space="0" w:color="auto"/>
              <w:right w:val="nil"/>
            </w:tcBorders>
            <w:shd w:val="clear" w:color="auto" w:fill="FFFFFF"/>
            <w:vAlign w:val="center"/>
            <w:hideMark/>
          </w:tcPr>
          <w:p w14:paraId="4824FB55" w14:textId="77777777" w:rsidR="00882BF9" w:rsidRPr="00882BF9" w:rsidRDefault="00882BF9">
            <w:pPr>
              <w:ind w:left="60" w:right="60"/>
              <w:jc w:val="right"/>
              <w:rPr>
                <w:rFonts w:ascii="Arial" w:hAnsi="Arial"/>
                <w:sz w:val="18"/>
                <w:szCs w:val="18"/>
              </w:rPr>
            </w:pPr>
            <w:r w:rsidRPr="00882BF9">
              <w:rPr>
                <w:rFonts w:ascii="Arial" w:hAnsi="Arial"/>
                <w:sz w:val="18"/>
                <w:szCs w:val="18"/>
              </w:rPr>
              <w:t>5.0</w:t>
            </w:r>
          </w:p>
        </w:tc>
      </w:tr>
      <w:tr w:rsidR="00882BF9" w:rsidRPr="00882BF9" w14:paraId="0C69750C" w14:textId="77777777" w:rsidTr="00882BF9">
        <w:tc>
          <w:tcPr>
            <w:tcW w:w="0" w:type="auto"/>
            <w:vMerge/>
            <w:tcBorders>
              <w:top w:val="single" w:sz="4" w:space="0" w:color="auto"/>
              <w:left w:val="nil"/>
              <w:bottom w:val="single" w:sz="4" w:space="0" w:color="auto"/>
              <w:right w:val="nil"/>
            </w:tcBorders>
            <w:vAlign w:val="center"/>
            <w:hideMark/>
          </w:tcPr>
          <w:p w14:paraId="75A8A5AE" w14:textId="77777777" w:rsidR="00882BF9" w:rsidRPr="00DA0338" w:rsidRDefault="00882BF9">
            <w:pPr>
              <w:rPr>
                <w:rFonts w:ascii="Arial" w:hAnsi="Arial" w:cs="Arial"/>
                <w:kern w:val="2"/>
                <w:sz w:val="18"/>
                <w:szCs w:val="18"/>
              </w:rPr>
            </w:pPr>
          </w:p>
        </w:tc>
        <w:tc>
          <w:tcPr>
            <w:tcW w:w="2321" w:type="dxa"/>
            <w:tcBorders>
              <w:top w:val="single" w:sz="4" w:space="0" w:color="auto"/>
              <w:left w:val="nil"/>
              <w:bottom w:val="single" w:sz="4" w:space="0" w:color="auto"/>
              <w:right w:val="nil"/>
            </w:tcBorders>
            <w:hideMark/>
          </w:tcPr>
          <w:p w14:paraId="61E8EE02" w14:textId="77777777" w:rsidR="00882BF9" w:rsidRPr="00882BF9" w:rsidRDefault="00882BF9">
            <w:pPr>
              <w:jc w:val="center"/>
              <w:rPr>
                <w:rFonts w:ascii="Arial" w:hAnsi="Arial" w:cs="Arial"/>
                <w:sz w:val="18"/>
                <w:szCs w:val="18"/>
              </w:rPr>
            </w:pPr>
            <w:r w:rsidRPr="00882BF9">
              <w:rPr>
                <w:rFonts w:ascii="Arial" w:hAnsi="Arial" w:cs="Arial"/>
                <w:sz w:val="18"/>
                <w:szCs w:val="18"/>
              </w:rPr>
              <w:t>Total</w:t>
            </w:r>
          </w:p>
        </w:tc>
        <w:tc>
          <w:tcPr>
            <w:tcW w:w="1784" w:type="dxa"/>
            <w:tcBorders>
              <w:top w:val="single" w:sz="4" w:space="0" w:color="auto"/>
              <w:left w:val="nil"/>
              <w:bottom w:val="single" w:sz="4" w:space="0" w:color="auto"/>
              <w:right w:val="nil"/>
            </w:tcBorders>
            <w:shd w:val="clear" w:color="auto" w:fill="FFFFFF"/>
            <w:vAlign w:val="center"/>
            <w:hideMark/>
          </w:tcPr>
          <w:p w14:paraId="3FFFAED9" w14:textId="77777777" w:rsidR="00882BF9" w:rsidRPr="00882BF9" w:rsidRDefault="00882BF9">
            <w:pPr>
              <w:ind w:left="60" w:right="60"/>
              <w:jc w:val="right"/>
              <w:rPr>
                <w:rFonts w:ascii="Arial" w:hAnsi="Arial"/>
                <w:sz w:val="18"/>
                <w:szCs w:val="18"/>
              </w:rPr>
            </w:pPr>
            <w:r w:rsidRPr="00882BF9">
              <w:rPr>
                <w:rFonts w:ascii="Arial" w:hAnsi="Arial"/>
                <w:sz w:val="18"/>
                <w:szCs w:val="18"/>
              </w:rPr>
              <w:t>299</w:t>
            </w:r>
          </w:p>
        </w:tc>
        <w:tc>
          <w:tcPr>
            <w:tcW w:w="2059" w:type="dxa"/>
            <w:tcBorders>
              <w:top w:val="single" w:sz="4" w:space="0" w:color="auto"/>
              <w:left w:val="nil"/>
              <w:bottom w:val="single" w:sz="4" w:space="0" w:color="auto"/>
              <w:right w:val="nil"/>
            </w:tcBorders>
            <w:shd w:val="clear" w:color="auto" w:fill="FFFFFF"/>
            <w:vAlign w:val="center"/>
            <w:hideMark/>
          </w:tcPr>
          <w:p w14:paraId="4EE398CB" w14:textId="77777777" w:rsidR="00882BF9" w:rsidRPr="00882BF9" w:rsidRDefault="00882BF9">
            <w:pPr>
              <w:ind w:left="60" w:right="60"/>
              <w:jc w:val="right"/>
              <w:rPr>
                <w:rFonts w:ascii="Arial" w:hAnsi="Arial"/>
                <w:sz w:val="18"/>
                <w:szCs w:val="18"/>
              </w:rPr>
            </w:pPr>
            <w:r w:rsidRPr="00882BF9">
              <w:rPr>
                <w:rFonts w:ascii="Arial" w:hAnsi="Arial"/>
                <w:sz w:val="18"/>
                <w:szCs w:val="18"/>
              </w:rPr>
              <w:t>100.0</w:t>
            </w:r>
          </w:p>
        </w:tc>
      </w:tr>
    </w:tbl>
    <w:p w14:paraId="5565A5D6" w14:textId="77777777" w:rsidR="003F28E8" w:rsidRDefault="003F28E8" w:rsidP="003F2A8E">
      <w:pPr>
        <w:ind w:right="-72"/>
        <w:rPr>
          <w:rFonts w:ascii="Arial" w:eastAsia="Arial" w:hAnsi="Arial" w:cs="Arial"/>
          <w:b/>
        </w:rPr>
      </w:pPr>
    </w:p>
    <w:p w14:paraId="3971EE23" w14:textId="60A6151A" w:rsidR="00882BF9" w:rsidRDefault="00882BF9" w:rsidP="00882BF9">
      <w:pPr>
        <w:spacing w:after="4"/>
        <w:ind w:right="8" w:firstLine="720"/>
        <w:jc w:val="both"/>
        <w:rPr>
          <w:rFonts w:ascii="Arial" w:eastAsia="Arial" w:hAnsi="Arial" w:cs="Arial"/>
          <w:bCs/>
        </w:rPr>
      </w:pPr>
      <w:r w:rsidRPr="00882BF9">
        <w:rPr>
          <w:rFonts w:ascii="Arial" w:eastAsia="Arial" w:hAnsi="Arial" w:cs="Arial"/>
          <w:bCs/>
        </w:rPr>
        <w:t xml:space="preserve">The high number of younger stakeholders suggests active involvement from students and early-career professionals. As noted by </w:t>
      </w:r>
      <w:proofErr w:type="spellStart"/>
      <w:r w:rsidRPr="00882BF9">
        <w:rPr>
          <w:rFonts w:ascii="Arial" w:eastAsia="Arial" w:hAnsi="Arial" w:cs="Arial"/>
          <w:bCs/>
        </w:rPr>
        <w:t>Bridgstock</w:t>
      </w:r>
      <w:proofErr w:type="spellEnd"/>
      <w:r w:rsidRPr="00882BF9">
        <w:rPr>
          <w:rFonts w:ascii="Arial" w:eastAsia="Arial" w:hAnsi="Arial" w:cs="Arial"/>
          <w:bCs/>
        </w:rPr>
        <w:t xml:space="preserve"> and Jackson (2019), this age group is more likely to engage with institutional goals when aligned with their career and personal development. Their participation supports </w:t>
      </w:r>
      <w:proofErr w:type="spellStart"/>
      <w:r w:rsidRPr="00882BF9">
        <w:rPr>
          <w:rFonts w:ascii="Arial" w:eastAsia="Arial" w:hAnsi="Arial" w:cs="Arial"/>
          <w:bCs/>
        </w:rPr>
        <w:t>DOrSU’s</w:t>
      </w:r>
      <w:proofErr w:type="spellEnd"/>
      <w:r w:rsidRPr="00882BF9">
        <w:rPr>
          <w:rFonts w:ascii="Arial" w:eastAsia="Arial" w:hAnsi="Arial" w:cs="Arial"/>
          <w:bCs/>
        </w:rPr>
        <w:t xml:space="preserve"> mission to produce competent and socially responsive graduates. Meanwhile, the low participation from older stakeholders may indicate limited engagement. Shapiro et al. (2017) highlighted that older groups often face fewer opportunities to contribute to institutional objectives. These findings align with Freeman's Stakeholder Theory (1984), which emphasizes the importance of considering the interests of all stakeholders. By promoting age-inclusive engagement, </w:t>
      </w:r>
      <w:proofErr w:type="spellStart"/>
      <w:r w:rsidRPr="00882BF9">
        <w:rPr>
          <w:rFonts w:ascii="Arial" w:eastAsia="Arial" w:hAnsi="Arial" w:cs="Arial"/>
          <w:bCs/>
        </w:rPr>
        <w:t>DOrSU</w:t>
      </w:r>
      <w:proofErr w:type="spellEnd"/>
      <w:r w:rsidRPr="00882BF9">
        <w:rPr>
          <w:rFonts w:ascii="Arial" w:eastAsia="Arial" w:hAnsi="Arial" w:cs="Arial"/>
          <w:bCs/>
        </w:rPr>
        <w:t xml:space="preserve"> can foster broader awareness, shared responsibility, and a stronger commitment to its Vision, Mission, and Program Educational Objectives.</w:t>
      </w:r>
    </w:p>
    <w:p w14:paraId="3AF602A0" w14:textId="77777777" w:rsidR="00882BF9" w:rsidRPr="00882BF9" w:rsidRDefault="00882BF9" w:rsidP="00882BF9">
      <w:pPr>
        <w:spacing w:after="4"/>
        <w:ind w:right="8"/>
        <w:jc w:val="both"/>
        <w:rPr>
          <w:rFonts w:ascii="Arial" w:eastAsia="Arial" w:hAnsi="Arial" w:cs="Arial"/>
          <w:bCs/>
        </w:rPr>
      </w:pPr>
    </w:p>
    <w:p w14:paraId="4E4B5E23" w14:textId="7510247C" w:rsidR="00656CAC" w:rsidRDefault="00882BF9" w:rsidP="00882BF9">
      <w:pPr>
        <w:spacing w:after="4"/>
        <w:ind w:right="8" w:firstLine="720"/>
        <w:jc w:val="both"/>
        <w:rPr>
          <w:rFonts w:ascii="Arial" w:eastAsia="Arial" w:hAnsi="Arial" w:cs="Arial"/>
          <w:bCs/>
        </w:rPr>
      </w:pPr>
      <w:r w:rsidRPr="00882BF9">
        <w:rPr>
          <w:rFonts w:ascii="Arial" w:eastAsia="Arial" w:hAnsi="Arial" w:cs="Arial"/>
          <w:bCs/>
        </w:rPr>
        <w:t xml:space="preserve">Table </w:t>
      </w:r>
      <w:r w:rsidR="00AF710A">
        <w:rPr>
          <w:rFonts w:ascii="Arial" w:eastAsia="Arial" w:hAnsi="Arial" w:cs="Arial"/>
          <w:bCs/>
        </w:rPr>
        <w:t>3</w:t>
      </w:r>
      <w:r w:rsidRPr="00882BF9">
        <w:rPr>
          <w:rFonts w:ascii="Arial" w:eastAsia="Arial" w:hAnsi="Arial" w:cs="Arial"/>
          <w:bCs/>
        </w:rPr>
        <w:t xml:space="preserve"> presents the distribution of BEED stakeholders according to their sex. The results show that the majority of respondents were female (222 individuals, 74.2%), while male respondents totaled 77 (25.8%).</w:t>
      </w:r>
    </w:p>
    <w:p w14:paraId="3767C4E6" w14:textId="77777777" w:rsidR="00882BF9" w:rsidRDefault="00882BF9" w:rsidP="00882BF9">
      <w:pPr>
        <w:spacing w:after="4"/>
        <w:ind w:right="8"/>
        <w:jc w:val="both"/>
        <w:rPr>
          <w:rFonts w:ascii="Arial" w:eastAsia="Arial" w:hAnsi="Arial" w:cs="Arial"/>
          <w:b/>
          <w:color w:val="000000"/>
        </w:rPr>
      </w:pPr>
    </w:p>
    <w:p w14:paraId="2037265B" w14:textId="3EA5F40F" w:rsidR="000B1D44" w:rsidRDefault="001856BB">
      <w:pPr>
        <w:spacing w:after="4"/>
        <w:ind w:left="900" w:right="8" w:hanging="900"/>
        <w:jc w:val="both"/>
        <w:rPr>
          <w:rFonts w:ascii="Arial" w:eastAsia="Arial" w:hAnsi="Arial" w:cs="Arial"/>
          <w:color w:val="000000"/>
        </w:rPr>
      </w:pPr>
      <w:r w:rsidRPr="005B110B">
        <w:rPr>
          <w:rFonts w:ascii="Arial" w:eastAsia="Arial" w:hAnsi="Arial" w:cs="Arial"/>
          <w:bCs/>
          <w:color w:val="000000"/>
        </w:rPr>
        <w:t xml:space="preserve">Table </w:t>
      </w:r>
      <w:r w:rsidR="003F2A8E" w:rsidRPr="005B110B">
        <w:rPr>
          <w:rFonts w:ascii="Arial" w:eastAsia="Arial" w:hAnsi="Arial" w:cs="Arial"/>
          <w:bCs/>
          <w:color w:val="000000"/>
        </w:rPr>
        <w:t>3:</w:t>
      </w:r>
      <w:r>
        <w:rPr>
          <w:rFonts w:ascii="Arial" w:eastAsia="Arial" w:hAnsi="Arial" w:cs="Arial"/>
          <w:b/>
          <w:color w:val="000000"/>
        </w:rPr>
        <w:t xml:space="preserve"> </w:t>
      </w:r>
      <w:r w:rsidR="00AF710A" w:rsidRPr="00AF710A">
        <w:rPr>
          <w:rFonts w:ascii="Arial" w:eastAsia="Arial" w:hAnsi="Arial" w:cs="Arial"/>
          <w:color w:val="000000"/>
        </w:rPr>
        <w:t>Profile of the BEED stakeholders according to their sex</w:t>
      </w:r>
    </w:p>
    <w:tbl>
      <w:tblPr>
        <w:tblStyle w:val="TableGrid"/>
        <w:tblW w:w="8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2"/>
        <w:gridCol w:w="2343"/>
        <w:gridCol w:w="1789"/>
        <w:gridCol w:w="2070"/>
      </w:tblGrid>
      <w:tr w:rsidR="00216C76" w:rsidRPr="00216C76" w14:paraId="2BEC3F96" w14:textId="77777777" w:rsidTr="008E19B7">
        <w:trPr>
          <w:trHeight w:val="250"/>
        </w:trPr>
        <w:tc>
          <w:tcPr>
            <w:tcW w:w="2062" w:type="dxa"/>
            <w:tcBorders>
              <w:top w:val="single" w:sz="4" w:space="0" w:color="auto"/>
              <w:left w:val="nil"/>
              <w:bottom w:val="single" w:sz="4" w:space="0" w:color="auto"/>
              <w:right w:val="nil"/>
            </w:tcBorders>
            <w:hideMark/>
          </w:tcPr>
          <w:p w14:paraId="270C376D" w14:textId="77777777" w:rsidR="00216C76" w:rsidRPr="00216C76" w:rsidRDefault="00216C76">
            <w:pPr>
              <w:jc w:val="center"/>
              <w:rPr>
                <w:rFonts w:ascii="Arial" w:hAnsi="Arial" w:cs="Arial"/>
                <w:sz w:val="18"/>
                <w:szCs w:val="18"/>
              </w:rPr>
            </w:pPr>
            <w:r w:rsidRPr="00216C76">
              <w:rPr>
                <w:rFonts w:ascii="Arial" w:hAnsi="Arial" w:cs="Arial"/>
                <w:sz w:val="18"/>
                <w:szCs w:val="18"/>
              </w:rPr>
              <w:t>Profile Factors</w:t>
            </w:r>
          </w:p>
        </w:tc>
        <w:tc>
          <w:tcPr>
            <w:tcW w:w="2343" w:type="dxa"/>
            <w:tcBorders>
              <w:top w:val="single" w:sz="4" w:space="0" w:color="auto"/>
              <w:left w:val="nil"/>
              <w:bottom w:val="single" w:sz="4" w:space="0" w:color="auto"/>
              <w:right w:val="nil"/>
            </w:tcBorders>
            <w:hideMark/>
          </w:tcPr>
          <w:p w14:paraId="1AB72A5D" w14:textId="77777777" w:rsidR="00216C76" w:rsidRPr="00216C76" w:rsidRDefault="00216C76">
            <w:pPr>
              <w:jc w:val="center"/>
              <w:rPr>
                <w:rFonts w:ascii="Arial" w:hAnsi="Arial" w:cs="Arial"/>
                <w:sz w:val="18"/>
                <w:szCs w:val="18"/>
              </w:rPr>
            </w:pPr>
            <w:r w:rsidRPr="00216C76">
              <w:rPr>
                <w:rFonts w:ascii="Arial" w:hAnsi="Arial" w:cs="Arial"/>
                <w:sz w:val="18"/>
                <w:szCs w:val="18"/>
              </w:rPr>
              <w:t>Category</w:t>
            </w:r>
          </w:p>
        </w:tc>
        <w:tc>
          <w:tcPr>
            <w:tcW w:w="1789" w:type="dxa"/>
            <w:tcBorders>
              <w:top w:val="single" w:sz="4" w:space="0" w:color="auto"/>
              <w:left w:val="nil"/>
              <w:bottom w:val="single" w:sz="4" w:space="0" w:color="auto"/>
              <w:right w:val="nil"/>
            </w:tcBorders>
            <w:hideMark/>
          </w:tcPr>
          <w:p w14:paraId="7FE0FC7C" w14:textId="77777777" w:rsidR="00216C76" w:rsidRPr="00216C76" w:rsidRDefault="00216C76">
            <w:pPr>
              <w:jc w:val="center"/>
              <w:rPr>
                <w:rFonts w:ascii="Arial" w:hAnsi="Arial" w:cs="Arial"/>
                <w:sz w:val="18"/>
                <w:szCs w:val="18"/>
              </w:rPr>
            </w:pPr>
            <w:r w:rsidRPr="00216C76">
              <w:rPr>
                <w:rFonts w:ascii="Arial" w:hAnsi="Arial" w:cs="Arial"/>
                <w:sz w:val="18"/>
                <w:szCs w:val="18"/>
              </w:rPr>
              <w:t>Frequency</w:t>
            </w:r>
          </w:p>
        </w:tc>
        <w:tc>
          <w:tcPr>
            <w:tcW w:w="2070" w:type="dxa"/>
            <w:tcBorders>
              <w:top w:val="single" w:sz="4" w:space="0" w:color="auto"/>
              <w:left w:val="nil"/>
              <w:bottom w:val="single" w:sz="4" w:space="0" w:color="auto"/>
              <w:right w:val="nil"/>
            </w:tcBorders>
            <w:hideMark/>
          </w:tcPr>
          <w:p w14:paraId="754324EB" w14:textId="77777777" w:rsidR="00216C76" w:rsidRPr="00216C76" w:rsidRDefault="00216C76">
            <w:pPr>
              <w:jc w:val="center"/>
              <w:rPr>
                <w:rFonts w:ascii="Arial" w:hAnsi="Arial" w:cs="Arial"/>
                <w:sz w:val="18"/>
                <w:szCs w:val="18"/>
              </w:rPr>
            </w:pPr>
            <w:r w:rsidRPr="00216C76">
              <w:rPr>
                <w:rFonts w:ascii="Arial" w:hAnsi="Arial" w:cs="Arial"/>
                <w:sz w:val="18"/>
                <w:szCs w:val="18"/>
              </w:rPr>
              <w:t>Percentage</w:t>
            </w:r>
          </w:p>
        </w:tc>
      </w:tr>
      <w:tr w:rsidR="00216C76" w:rsidRPr="00216C76" w14:paraId="063EE670" w14:textId="77777777" w:rsidTr="008E19B7">
        <w:trPr>
          <w:trHeight w:val="250"/>
        </w:trPr>
        <w:tc>
          <w:tcPr>
            <w:tcW w:w="2062" w:type="dxa"/>
            <w:vMerge w:val="restart"/>
            <w:tcBorders>
              <w:top w:val="single" w:sz="4" w:space="0" w:color="auto"/>
              <w:left w:val="nil"/>
              <w:bottom w:val="single" w:sz="4" w:space="0" w:color="auto"/>
              <w:right w:val="nil"/>
            </w:tcBorders>
            <w:vAlign w:val="center"/>
            <w:hideMark/>
          </w:tcPr>
          <w:p w14:paraId="21502CD8" w14:textId="77777777" w:rsidR="00216C76" w:rsidRPr="00216C76" w:rsidRDefault="00216C76">
            <w:pPr>
              <w:jc w:val="center"/>
              <w:rPr>
                <w:rFonts w:ascii="Arial" w:hAnsi="Arial" w:cs="Arial"/>
                <w:sz w:val="18"/>
                <w:szCs w:val="18"/>
              </w:rPr>
            </w:pPr>
            <w:r w:rsidRPr="00216C76">
              <w:rPr>
                <w:rFonts w:ascii="Arial" w:hAnsi="Arial" w:cs="Arial"/>
                <w:sz w:val="18"/>
                <w:szCs w:val="18"/>
              </w:rPr>
              <w:t>Sex</w:t>
            </w:r>
          </w:p>
        </w:tc>
        <w:tc>
          <w:tcPr>
            <w:tcW w:w="2343" w:type="dxa"/>
            <w:tcBorders>
              <w:top w:val="single" w:sz="4" w:space="0" w:color="auto"/>
              <w:left w:val="nil"/>
              <w:bottom w:val="single" w:sz="4" w:space="0" w:color="auto"/>
              <w:right w:val="nil"/>
            </w:tcBorders>
            <w:shd w:val="clear" w:color="auto" w:fill="FFFFFF"/>
            <w:vAlign w:val="center"/>
            <w:hideMark/>
          </w:tcPr>
          <w:p w14:paraId="1BD51BA9" w14:textId="77777777" w:rsidR="00216C76" w:rsidRPr="00216C76" w:rsidRDefault="00216C76">
            <w:pPr>
              <w:ind w:left="60" w:right="60"/>
              <w:rPr>
                <w:rFonts w:ascii="Arial" w:hAnsi="Arial"/>
                <w:sz w:val="18"/>
                <w:szCs w:val="18"/>
              </w:rPr>
            </w:pPr>
            <w:r w:rsidRPr="00216C76">
              <w:rPr>
                <w:rFonts w:ascii="Arial" w:hAnsi="Arial"/>
                <w:sz w:val="18"/>
                <w:szCs w:val="18"/>
              </w:rPr>
              <w:t>Male</w:t>
            </w:r>
          </w:p>
        </w:tc>
        <w:tc>
          <w:tcPr>
            <w:tcW w:w="1789" w:type="dxa"/>
            <w:tcBorders>
              <w:top w:val="single" w:sz="4" w:space="0" w:color="auto"/>
              <w:left w:val="nil"/>
              <w:bottom w:val="single" w:sz="4" w:space="0" w:color="auto"/>
              <w:right w:val="nil"/>
            </w:tcBorders>
            <w:shd w:val="clear" w:color="auto" w:fill="FFFFFF"/>
            <w:vAlign w:val="center"/>
            <w:hideMark/>
          </w:tcPr>
          <w:p w14:paraId="5992D6EB" w14:textId="77777777" w:rsidR="00216C76" w:rsidRPr="00216C76" w:rsidRDefault="00216C76">
            <w:pPr>
              <w:ind w:left="60" w:right="60"/>
              <w:jc w:val="right"/>
              <w:rPr>
                <w:rFonts w:ascii="Arial" w:hAnsi="Arial"/>
                <w:sz w:val="18"/>
                <w:szCs w:val="18"/>
              </w:rPr>
            </w:pPr>
            <w:r w:rsidRPr="00216C76">
              <w:rPr>
                <w:rFonts w:ascii="Arial" w:hAnsi="Arial"/>
                <w:sz w:val="18"/>
                <w:szCs w:val="18"/>
              </w:rPr>
              <w:t>77</w:t>
            </w:r>
          </w:p>
        </w:tc>
        <w:tc>
          <w:tcPr>
            <w:tcW w:w="2070" w:type="dxa"/>
            <w:tcBorders>
              <w:top w:val="single" w:sz="4" w:space="0" w:color="auto"/>
              <w:left w:val="nil"/>
              <w:bottom w:val="single" w:sz="4" w:space="0" w:color="auto"/>
              <w:right w:val="nil"/>
            </w:tcBorders>
            <w:shd w:val="clear" w:color="auto" w:fill="FFFFFF"/>
            <w:vAlign w:val="center"/>
            <w:hideMark/>
          </w:tcPr>
          <w:p w14:paraId="714BDBDF" w14:textId="77777777" w:rsidR="00216C76" w:rsidRPr="00216C76" w:rsidRDefault="00216C76">
            <w:pPr>
              <w:ind w:left="60" w:right="60"/>
              <w:jc w:val="right"/>
              <w:rPr>
                <w:rFonts w:ascii="Arial" w:hAnsi="Arial"/>
                <w:sz w:val="18"/>
                <w:szCs w:val="18"/>
              </w:rPr>
            </w:pPr>
            <w:r w:rsidRPr="00216C76">
              <w:rPr>
                <w:rFonts w:ascii="Arial" w:hAnsi="Arial"/>
                <w:sz w:val="18"/>
                <w:szCs w:val="18"/>
              </w:rPr>
              <w:t>25.8</w:t>
            </w:r>
          </w:p>
        </w:tc>
      </w:tr>
      <w:tr w:rsidR="00216C76" w:rsidRPr="00216C76" w14:paraId="4AF7D5FE" w14:textId="77777777" w:rsidTr="008E19B7">
        <w:trPr>
          <w:trHeight w:val="177"/>
        </w:trPr>
        <w:tc>
          <w:tcPr>
            <w:tcW w:w="0" w:type="auto"/>
            <w:vMerge/>
            <w:tcBorders>
              <w:top w:val="single" w:sz="4" w:space="0" w:color="auto"/>
              <w:left w:val="nil"/>
              <w:bottom w:val="single" w:sz="4" w:space="0" w:color="auto"/>
              <w:right w:val="nil"/>
            </w:tcBorders>
            <w:vAlign w:val="center"/>
            <w:hideMark/>
          </w:tcPr>
          <w:p w14:paraId="361B03DF" w14:textId="77777777" w:rsidR="00216C76" w:rsidRPr="00DA0338" w:rsidRDefault="00216C76">
            <w:pPr>
              <w:rPr>
                <w:rFonts w:ascii="Arial" w:hAnsi="Arial" w:cs="Arial"/>
                <w:kern w:val="2"/>
                <w:sz w:val="18"/>
                <w:szCs w:val="18"/>
              </w:rPr>
            </w:pPr>
          </w:p>
        </w:tc>
        <w:tc>
          <w:tcPr>
            <w:tcW w:w="2343" w:type="dxa"/>
            <w:tcBorders>
              <w:top w:val="single" w:sz="4" w:space="0" w:color="auto"/>
              <w:left w:val="nil"/>
              <w:bottom w:val="single" w:sz="4" w:space="0" w:color="auto"/>
              <w:right w:val="nil"/>
            </w:tcBorders>
            <w:shd w:val="clear" w:color="auto" w:fill="FFFFFF"/>
            <w:vAlign w:val="center"/>
            <w:hideMark/>
          </w:tcPr>
          <w:p w14:paraId="457049CB" w14:textId="77777777" w:rsidR="00216C76" w:rsidRPr="00216C76" w:rsidRDefault="00216C76">
            <w:pPr>
              <w:ind w:left="60" w:right="60"/>
              <w:rPr>
                <w:rFonts w:ascii="Arial" w:hAnsi="Arial"/>
                <w:sz w:val="18"/>
                <w:szCs w:val="18"/>
              </w:rPr>
            </w:pPr>
            <w:r w:rsidRPr="00216C76">
              <w:rPr>
                <w:rFonts w:ascii="Arial" w:hAnsi="Arial"/>
                <w:sz w:val="18"/>
                <w:szCs w:val="18"/>
              </w:rPr>
              <w:t>Female</w:t>
            </w:r>
          </w:p>
        </w:tc>
        <w:tc>
          <w:tcPr>
            <w:tcW w:w="1789" w:type="dxa"/>
            <w:tcBorders>
              <w:top w:val="single" w:sz="4" w:space="0" w:color="auto"/>
              <w:left w:val="nil"/>
              <w:bottom w:val="single" w:sz="4" w:space="0" w:color="auto"/>
              <w:right w:val="nil"/>
            </w:tcBorders>
            <w:shd w:val="clear" w:color="auto" w:fill="FFFFFF"/>
            <w:vAlign w:val="center"/>
            <w:hideMark/>
          </w:tcPr>
          <w:p w14:paraId="7FCBCB08" w14:textId="77777777" w:rsidR="00216C76" w:rsidRPr="00216C76" w:rsidRDefault="00216C76">
            <w:pPr>
              <w:ind w:left="60" w:right="60"/>
              <w:jc w:val="right"/>
              <w:rPr>
                <w:rFonts w:ascii="Arial" w:hAnsi="Arial"/>
                <w:sz w:val="18"/>
                <w:szCs w:val="18"/>
              </w:rPr>
            </w:pPr>
            <w:r w:rsidRPr="00216C76">
              <w:rPr>
                <w:rFonts w:ascii="Arial" w:hAnsi="Arial"/>
                <w:sz w:val="18"/>
                <w:szCs w:val="18"/>
              </w:rPr>
              <w:t>222</w:t>
            </w:r>
          </w:p>
        </w:tc>
        <w:tc>
          <w:tcPr>
            <w:tcW w:w="2070" w:type="dxa"/>
            <w:tcBorders>
              <w:top w:val="single" w:sz="4" w:space="0" w:color="auto"/>
              <w:left w:val="nil"/>
              <w:bottom w:val="single" w:sz="4" w:space="0" w:color="auto"/>
              <w:right w:val="nil"/>
            </w:tcBorders>
            <w:shd w:val="clear" w:color="auto" w:fill="FFFFFF"/>
            <w:vAlign w:val="center"/>
            <w:hideMark/>
          </w:tcPr>
          <w:p w14:paraId="4838ED63" w14:textId="77777777" w:rsidR="00216C76" w:rsidRPr="00216C76" w:rsidRDefault="00216C76">
            <w:pPr>
              <w:ind w:left="60" w:right="60"/>
              <w:jc w:val="right"/>
              <w:rPr>
                <w:rFonts w:ascii="Arial" w:hAnsi="Arial"/>
                <w:sz w:val="18"/>
                <w:szCs w:val="18"/>
              </w:rPr>
            </w:pPr>
            <w:r w:rsidRPr="00216C76">
              <w:rPr>
                <w:rFonts w:ascii="Arial" w:hAnsi="Arial"/>
                <w:sz w:val="18"/>
                <w:szCs w:val="18"/>
              </w:rPr>
              <w:t>74.2</w:t>
            </w:r>
          </w:p>
        </w:tc>
      </w:tr>
      <w:tr w:rsidR="00216C76" w:rsidRPr="00216C76" w14:paraId="4C8A2340" w14:textId="77777777" w:rsidTr="008E19B7">
        <w:trPr>
          <w:trHeight w:val="177"/>
        </w:trPr>
        <w:tc>
          <w:tcPr>
            <w:tcW w:w="0" w:type="auto"/>
            <w:vMerge/>
            <w:tcBorders>
              <w:top w:val="single" w:sz="4" w:space="0" w:color="auto"/>
              <w:left w:val="nil"/>
              <w:bottom w:val="single" w:sz="4" w:space="0" w:color="auto"/>
              <w:right w:val="nil"/>
            </w:tcBorders>
            <w:vAlign w:val="center"/>
            <w:hideMark/>
          </w:tcPr>
          <w:p w14:paraId="20D941C0" w14:textId="77777777" w:rsidR="00216C76" w:rsidRPr="00DA0338" w:rsidRDefault="00216C76">
            <w:pPr>
              <w:rPr>
                <w:rFonts w:ascii="Arial" w:hAnsi="Arial" w:cs="Arial"/>
                <w:kern w:val="2"/>
                <w:sz w:val="18"/>
                <w:szCs w:val="18"/>
              </w:rPr>
            </w:pPr>
          </w:p>
        </w:tc>
        <w:tc>
          <w:tcPr>
            <w:tcW w:w="2343" w:type="dxa"/>
            <w:tcBorders>
              <w:top w:val="single" w:sz="4" w:space="0" w:color="auto"/>
              <w:left w:val="nil"/>
              <w:bottom w:val="single" w:sz="4" w:space="0" w:color="auto"/>
              <w:right w:val="nil"/>
            </w:tcBorders>
            <w:shd w:val="clear" w:color="auto" w:fill="FFFFFF"/>
            <w:vAlign w:val="center"/>
            <w:hideMark/>
          </w:tcPr>
          <w:p w14:paraId="49BC195F" w14:textId="77777777" w:rsidR="00216C76" w:rsidRPr="00216C76" w:rsidRDefault="00216C76">
            <w:pPr>
              <w:ind w:left="60" w:right="60"/>
              <w:rPr>
                <w:rFonts w:ascii="Arial" w:hAnsi="Arial"/>
                <w:sz w:val="18"/>
                <w:szCs w:val="18"/>
              </w:rPr>
            </w:pPr>
            <w:r w:rsidRPr="00216C76">
              <w:rPr>
                <w:rFonts w:ascii="Arial" w:hAnsi="Arial"/>
                <w:sz w:val="18"/>
                <w:szCs w:val="18"/>
              </w:rPr>
              <w:t>Total</w:t>
            </w:r>
          </w:p>
        </w:tc>
        <w:tc>
          <w:tcPr>
            <w:tcW w:w="1789" w:type="dxa"/>
            <w:tcBorders>
              <w:top w:val="single" w:sz="4" w:space="0" w:color="auto"/>
              <w:left w:val="nil"/>
              <w:bottom w:val="single" w:sz="4" w:space="0" w:color="auto"/>
              <w:right w:val="nil"/>
            </w:tcBorders>
            <w:shd w:val="clear" w:color="auto" w:fill="FFFFFF"/>
            <w:vAlign w:val="center"/>
            <w:hideMark/>
          </w:tcPr>
          <w:p w14:paraId="50263B4F" w14:textId="77777777" w:rsidR="00216C76" w:rsidRPr="00216C76" w:rsidRDefault="00216C76">
            <w:pPr>
              <w:ind w:left="60" w:right="60"/>
              <w:jc w:val="right"/>
              <w:rPr>
                <w:rFonts w:ascii="Arial" w:hAnsi="Arial"/>
                <w:sz w:val="18"/>
                <w:szCs w:val="18"/>
              </w:rPr>
            </w:pPr>
            <w:r w:rsidRPr="00216C76">
              <w:rPr>
                <w:rFonts w:ascii="Arial" w:hAnsi="Arial"/>
                <w:sz w:val="18"/>
                <w:szCs w:val="18"/>
              </w:rPr>
              <w:t>299</w:t>
            </w:r>
          </w:p>
        </w:tc>
        <w:tc>
          <w:tcPr>
            <w:tcW w:w="2070" w:type="dxa"/>
            <w:tcBorders>
              <w:top w:val="single" w:sz="4" w:space="0" w:color="auto"/>
              <w:left w:val="nil"/>
              <w:bottom w:val="single" w:sz="4" w:space="0" w:color="auto"/>
              <w:right w:val="nil"/>
            </w:tcBorders>
            <w:shd w:val="clear" w:color="auto" w:fill="FFFFFF"/>
            <w:vAlign w:val="center"/>
            <w:hideMark/>
          </w:tcPr>
          <w:p w14:paraId="65BE31D2" w14:textId="77777777" w:rsidR="00216C76" w:rsidRPr="00216C76" w:rsidRDefault="00216C76">
            <w:pPr>
              <w:ind w:left="60" w:right="60"/>
              <w:jc w:val="right"/>
              <w:rPr>
                <w:rFonts w:ascii="Arial" w:hAnsi="Arial"/>
                <w:sz w:val="18"/>
                <w:szCs w:val="18"/>
              </w:rPr>
            </w:pPr>
            <w:r w:rsidRPr="00216C76">
              <w:rPr>
                <w:rFonts w:ascii="Arial" w:hAnsi="Arial"/>
                <w:sz w:val="18"/>
                <w:szCs w:val="18"/>
              </w:rPr>
              <w:t>100.0</w:t>
            </w:r>
          </w:p>
        </w:tc>
      </w:tr>
    </w:tbl>
    <w:p w14:paraId="52B54F1F" w14:textId="77777777" w:rsidR="000B1D44" w:rsidRDefault="000B1D44" w:rsidP="00E8647B">
      <w:pPr>
        <w:jc w:val="both"/>
        <w:rPr>
          <w:rFonts w:ascii="Arial" w:eastAsia="Arial" w:hAnsi="Arial" w:cs="Arial"/>
        </w:rPr>
      </w:pPr>
    </w:p>
    <w:p w14:paraId="3533E097" w14:textId="77646D74" w:rsidR="00216C76" w:rsidRDefault="00216C76" w:rsidP="00216C76">
      <w:pPr>
        <w:tabs>
          <w:tab w:val="left" w:pos="720"/>
        </w:tabs>
        <w:jc w:val="both"/>
        <w:rPr>
          <w:rFonts w:ascii="Arial" w:eastAsia="Times New Roman" w:hAnsi="Arial" w:cs="Arial"/>
          <w:lang w:eastAsia="en-US"/>
        </w:rPr>
      </w:pPr>
      <w:r>
        <w:rPr>
          <w:rFonts w:ascii="Arial" w:eastAsia="Times New Roman" w:hAnsi="Arial" w:cs="Arial"/>
          <w:lang w:eastAsia="en-US"/>
        </w:rPr>
        <w:tab/>
      </w:r>
      <w:r w:rsidRPr="00216C76">
        <w:rPr>
          <w:rFonts w:ascii="Arial" w:eastAsia="Times New Roman" w:hAnsi="Arial" w:cs="Arial"/>
          <w:lang w:eastAsia="en-US"/>
        </w:rPr>
        <w:t xml:space="preserve">The higher number of female stakeholders reflects the broader pattern in the education sector, particularly in elementary education, where women are more likely to pursue teaching careers. According to UNESCO (2019), the global teaching workforce, especially in basic education, is predominantly female due to traditional roles and societal expectations that associate caregiving and teaching with women. </w:t>
      </w:r>
    </w:p>
    <w:p w14:paraId="645DC6B3" w14:textId="77777777" w:rsidR="008B1BC3" w:rsidRPr="00216C76" w:rsidRDefault="008B1BC3" w:rsidP="00216C76">
      <w:pPr>
        <w:tabs>
          <w:tab w:val="left" w:pos="720"/>
        </w:tabs>
        <w:jc w:val="both"/>
        <w:rPr>
          <w:rFonts w:ascii="Arial" w:eastAsia="Times New Roman" w:hAnsi="Arial" w:cs="Arial"/>
          <w:lang w:eastAsia="en-US"/>
        </w:rPr>
      </w:pPr>
    </w:p>
    <w:p w14:paraId="1EE94451" w14:textId="5D6D76CA" w:rsidR="005B110B" w:rsidRPr="00C64295" w:rsidRDefault="00216C76" w:rsidP="005B110B">
      <w:pPr>
        <w:tabs>
          <w:tab w:val="left" w:pos="720"/>
        </w:tabs>
        <w:jc w:val="both"/>
        <w:rPr>
          <w:rFonts w:ascii="Arial" w:eastAsia="Times New Roman" w:hAnsi="Arial" w:cs="Arial"/>
          <w:lang w:eastAsia="en-US"/>
        </w:rPr>
      </w:pPr>
      <w:r>
        <w:rPr>
          <w:rFonts w:ascii="Arial" w:eastAsia="Times New Roman" w:hAnsi="Arial" w:cs="Arial"/>
          <w:lang w:eastAsia="en-US"/>
        </w:rPr>
        <w:tab/>
      </w:r>
      <w:r w:rsidRPr="00216C76">
        <w:rPr>
          <w:rFonts w:ascii="Arial" w:eastAsia="Times New Roman" w:hAnsi="Arial" w:cs="Arial"/>
          <w:lang w:eastAsia="en-US"/>
        </w:rPr>
        <w:t xml:space="preserve">Table </w:t>
      </w:r>
      <w:r>
        <w:rPr>
          <w:rFonts w:ascii="Arial" w:eastAsia="Times New Roman" w:hAnsi="Arial" w:cs="Arial"/>
          <w:lang w:eastAsia="en-US"/>
        </w:rPr>
        <w:t>4</w:t>
      </w:r>
      <w:r w:rsidRPr="00216C76">
        <w:rPr>
          <w:rFonts w:ascii="Arial" w:eastAsia="Times New Roman" w:hAnsi="Arial" w:cs="Arial"/>
          <w:lang w:eastAsia="en-US"/>
        </w:rPr>
        <w:t xml:space="preserve"> presents the educational attainment of BEED stakeholders. It shows that the most significant proportion of respondents were college graduates (110 individuals or 36.8%), followed closely by those at the college level (106 individuals or 35.5%). In contrast, the smallest group consisted of those at the elementary level, comprising 4 individuals (1.3%).</w:t>
      </w:r>
    </w:p>
    <w:p w14:paraId="5045236B" w14:textId="77777777" w:rsidR="005B110B" w:rsidRDefault="005B110B" w:rsidP="005B110B">
      <w:pPr>
        <w:jc w:val="both"/>
        <w:rPr>
          <w:rFonts w:ascii="Arial" w:eastAsia="Arial" w:hAnsi="Arial" w:cs="Arial"/>
        </w:rPr>
      </w:pPr>
    </w:p>
    <w:p w14:paraId="7F1F52F4" w14:textId="77777777" w:rsidR="00C64295" w:rsidRDefault="001856BB" w:rsidP="00C64295">
      <w:pPr>
        <w:jc w:val="both"/>
        <w:rPr>
          <w:rFonts w:ascii="Arial" w:hAnsi="Arial" w:cs="Arial"/>
          <w:sz w:val="24"/>
          <w:szCs w:val="24"/>
        </w:rPr>
      </w:pPr>
      <w:r>
        <w:rPr>
          <w:rFonts w:ascii="Arial" w:eastAsia="Arial" w:hAnsi="Arial" w:cs="Arial"/>
        </w:rPr>
        <w:t xml:space="preserve">Table </w:t>
      </w:r>
      <w:r w:rsidR="005B110B">
        <w:rPr>
          <w:rFonts w:ascii="Arial" w:eastAsia="Arial" w:hAnsi="Arial" w:cs="Arial"/>
        </w:rPr>
        <w:t>4</w:t>
      </w:r>
      <w:r w:rsidR="005B110B" w:rsidRPr="00C64295">
        <w:rPr>
          <w:rFonts w:ascii="Arial" w:eastAsia="Arial" w:hAnsi="Arial" w:cs="Arial"/>
        </w:rPr>
        <w:t>:</w:t>
      </w:r>
      <w:r w:rsidRPr="00C64295">
        <w:rPr>
          <w:rFonts w:ascii="Arial" w:eastAsia="Arial" w:hAnsi="Arial" w:cs="Arial"/>
        </w:rPr>
        <w:t xml:space="preserve">  </w:t>
      </w:r>
      <w:r w:rsidR="00C64295" w:rsidRPr="00C64295">
        <w:rPr>
          <w:rFonts w:ascii="Arial" w:eastAsia="Calibri" w:hAnsi="Arial" w:cs="Arial"/>
        </w:rPr>
        <w:t>Profile of the BEED stakeholders according to their educational attainment</w:t>
      </w:r>
    </w:p>
    <w:tbl>
      <w:tblPr>
        <w:tblStyle w:val="TableGrid"/>
        <w:tblW w:w="8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2355"/>
        <w:gridCol w:w="1794"/>
        <w:gridCol w:w="2074"/>
      </w:tblGrid>
      <w:tr w:rsidR="001F4B0D" w:rsidRPr="001F4B0D" w14:paraId="772A295B" w14:textId="77777777" w:rsidTr="008E19B7">
        <w:trPr>
          <w:trHeight w:val="252"/>
        </w:trPr>
        <w:tc>
          <w:tcPr>
            <w:tcW w:w="2073" w:type="dxa"/>
            <w:tcBorders>
              <w:top w:val="single" w:sz="4" w:space="0" w:color="auto"/>
              <w:left w:val="nil"/>
              <w:bottom w:val="single" w:sz="4" w:space="0" w:color="auto"/>
              <w:right w:val="nil"/>
            </w:tcBorders>
            <w:hideMark/>
          </w:tcPr>
          <w:p w14:paraId="49EDE854" w14:textId="77777777" w:rsidR="001F4B0D" w:rsidRPr="001F4B0D" w:rsidRDefault="001F4B0D">
            <w:pPr>
              <w:jc w:val="center"/>
              <w:rPr>
                <w:rFonts w:ascii="Arial" w:hAnsi="Arial" w:cs="Arial"/>
                <w:sz w:val="18"/>
                <w:szCs w:val="18"/>
              </w:rPr>
            </w:pPr>
            <w:r w:rsidRPr="001F4B0D">
              <w:rPr>
                <w:rFonts w:ascii="Arial" w:hAnsi="Arial" w:cs="Arial"/>
                <w:sz w:val="18"/>
                <w:szCs w:val="18"/>
              </w:rPr>
              <w:t>Profile Factors</w:t>
            </w:r>
          </w:p>
        </w:tc>
        <w:tc>
          <w:tcPr>
            <w:tcW w:w="2355" w:type="dxa"/>
            <w:tcBorders>
              <w:top w:val="single" w:sz="4" w:space="0" w:color="auto"/>
              <w:left w:val="nil"/>
              <w:bottom w:val="single" w:sz="4" w:space="0" w:color="auto"/>
              <w:right w:val="nil"/>
            </w:tcBorders>
            <w:hideMark/>
          </w:tcPr>
          <w:p w14:paraId="46F6C2B2" w14:textId="77777777" w:rsidR="001F4B0D" w:rsidRPr="001F4B0D" w:rsidRDefault="001F4B0D">
            <w:pPr>
              <w:jc w:val="center"/>
              <w:rPr>
                <w:rFonts w:ascii="Arial" w:hAnsi="Arial" w:cs="Arial"/>
                <w:sz w:val="18"/>
                <w:szCs w:val="18"/>
              </w:rPr>
            </w:pPr>
            <w:r w:rsidRPr="001F4B0D">
              <w:rPr>
                <w:rFonts w:ascii="Arial" w:hAnsi="Arial" w:cs="Arial"/>
                <w:sz w:val="18"/>
                <w:szCs w:val="18"/>
              </w:rPr>
              <w:t>Category</w:t>
            </w:r>
          </w:p>
        </w:tc>
        <w:tc>
          <w:tcPr>
            <w:tcW w:w="1794" w:type="dxa"/>
            <w:tcBorders>
              <w:top w:val="single" w:sz="4" w:space="0" w:color="auto"/>
              <w:left w:val="nil"/>
              <w:bottom w:val="single" w:sz="4" w:space="0" w:color="auto"/>
              <w:right w:val="nil"/>
            </w:tcBorders>
            <w:hideMark/>
          </w:tcPr>
          <w:p w14:paraId="0397FAE3" w14:textId="77777777" w:rsidR="001F4B0D" w:rsidRPr="001F4B0D" w:rsidRDefault="001F4B0D">
            <w:pPr>
              <w:jc w:val="center"/>
              <w:rPr>
                <w:rFonts w:ascii="Arial" w:hAnsi="Arial" w:cs="Arial"/>
                <w:sz w:val="18"/>
                <w:szCs w:val="18"/>
              </w:rPr>
            </w:pPr>
            <w:r w:rsidRPr="001F4B0D">
              <w:rPr>
                <w:rFonts w:ascii="Arial" w:hAnsi="Arial" w:cs="Arial"/>
                <w:sz w:val="18"/>
                <w:szCs w:val="18"/>
              </w:rPr>
              <w:t>Frequency</w:t>
            </w:r>
          </w:p>
        </w:tc>
        <w:tc>
          <w:tcPr>
            <w:tcW w:w="2074" w:type="dxa"/>
            <w:tcBorders>
              <w:top w:val="single" w:sz="4" w:space="0" w:color="auto"/>
              <w:left w:val="nil"/>
              <w:bottom w:val="single" w:sz="4" w:space="0" w:color="auto"/>
              <w:right w:val="nil"/>
            </w:tcBorders>
            <w:hideMark/>
          </w:tcPr>
          <w:p w14:paraId="7880903B" w14:textId="77777777" w:rsidR="001F4B0D" w:rsidRPr="001F4B0D" w:rsidRDefault="001F4B0D">
            <w:pPr>
              <w:jc w:val="center"/>
              <w:rPr>
                <w:rFonts w:ascii="Arial" w:hAnsi="Arial" w:cs="Arial"/>
                <w:sz w:val="18"/>
                <w:szCs w:val="18"/>
              </w:rPr>
            </w:pPr>
            <w:r w:rsidRPr="001F4B0D">
              <w:rPr>
                <w:rFonts w:ascii="Arial" w:hAnsi="Arial" w:cs="Arial"/>
                <w:sz w:val="18"/>
                <w:szCs w:val="18"/>
              </w:rPr>
              <w:t>Percentage</w:t>
            </w:r>
          </w:p>
        </w:tc>
      </w:tr>
      <w:tr w:rsidR="001F4B0D" w:rsidRPr="001F4B0D" w14:paraId="0A065CB3" w14:textId="77777777" w:rsidTr="008E19B7">
        <w:trPr>
          <w:trHeight w:val="252"/>
        </w:trPr>
        <w:tc>
          <w:tcPr>
            <w:tcW w:w="2073" w:type="dxa"/>
            <w:vMerge w:val="restart"/>
            <w:tcBorders>
              <w:top w:val="single" w:sz="4" w:space="0" w:color="auto"/>
              <w:left w:val="nil"/>
              <w:bottom w:val="single" w:sz="4" w:space="0" w:color="auto"/>
              <w:right w:val="nil"/>
            </w:tcBorders>
            <w:vAlign w:val="center"/>
            <w:hideMark/>
          </w:tcPr>
          <w:p w14:paraId="27818710" w14:textId="77777777" w:rsidR="001F4B0D" w:rsidRPr="001F4B0D" w:rsidRDefault="001F4B0D">
            <w:pPr>
              <w:jc w:val="center"/>
              <w:rPr>
                <w:rFonts w:ascii="Arial" w:hAnsi="Arial" w:cs="Arial"/>
                <w:sz w:val="18"/>
                <w:szCs w:val="18"/>
              </w:rPr>
            </w:pPr>
            <w:r w:rsidRPr="001F4B0D">
              <w:rPr>
                <w:rFonts w:ascii="Arial" w:hAnsi="Arial" w:cs="Arial"/>
                <w:sz w:val="18"/>
                <w:szCs w:val="18"/>
              </w:rPr>
              <w:t>Educational Attainment</w:t>
            </w:r>
          </w:p>
        </w:tc>
        <w:tc>
          <w:tcPr>
            <w:tcW w:w="2355" w:type="dxa"/>
            <w:tcBorders>
              <w:top w:val="single" w:sz="4" w:space="0" w:color="auto"/>
              <w:left w:val="nil"/>
              <w:bottom w:val="single" w:sz="4" w:space="0" w:color="auto"/>
              <w:right w:val="nil"/>
            </w:tcBorders>
            <w:shd w:val="clear" w:color="auto" w:fill="FFFFFF"/>
            <w:vAlign w:val="center"/>
            <w:hideMark/>
          </w:tcPr>
          <w:p w14:paraId="2F274628" w14:textId="77777777" w:rsidR="001F4B0D" w:rsidRPr="001F4B0D" w:rsidRDefault="001F4B0D">
            <w:pPr>
              <w:ind w:left="60" w:right="60"/>
              <w:rPr>
                <w:rFonts w:ascii="Arial" w:hAnsi="Arial"/>
                <w:sz w:val="18"/>
                <w:szCs w:val="18"/>
              </w:rPr>
            </w:pPr>
            <w:r w:rsidRPr="001F4B0D">
              <w:rPr>
                <w:rFonts w:ascii="Arial" w:hAnsi="Arial"/>
                <w:sz w:val="18"/>
                <w:szCs w:val="18"/>
              </w:rPr>
              <w:t>Elementary Level</w:t>
            </w:r>
          </w:p>
        </w:tc>
        <w:tc>
          <w:tcPr>
            <w:tcW w:w="1794" w:type="dxa"/>
            <w:tcBorders>
              <w:top w:val="single" w:sz="4" w:space="0" w:color="auto"/>
              <w:left w:val="nil"/>
              <w:bottom w:val="single" w:sz="4" w:space="0" w:color="auto"/>
              <w:right w:val="nil"/>
            </w:tcBorders>
            <w:shd w:val="clear" w:color="auto" w:fill="FFFFFF"/>
            <w:vAlign w:val="center"/>
            <w:hideMark/>
          </w:tcPr>
          <w:p w14:paraId="10BB421A" w14:textId="77777777" w:rsidR="001F4B0D" w:rsidRPr="001F4B0D" w:rsidRDefault="001F4B0D">
            <w:pPr>
              <w:ind w:left="60" w:right="60"/>
              <w:jc w:val="right"/>
              <w:rPr>
                <w:rFonts w:ascii="Arial" w:hAnsi="Arial"/>
                <w:sz w:val="18"/>
                <w:szCs w:val="18"/>
              </w:rPr>
            </w:pPr>
            <w:r w:rsidRPr="001F4B0D">
              <w:rPr>
                <w:rFonts w:ascii="Arial" w:hAnsi="Arial"/>
                <w:sz w:val="18"/>
                <w:szCs w:val="18"/>
              </w:rPr>
              <w:t>4</w:t>
            </w:r>
          </w:p>
        </w:tc>
        <w:tc>
          <w:tcPr>
            <w:tcW w:w="2074" w:type="dxa"/>
            <w:tcBorders>
              <w:top w:val="single" w:sz="4" w:space="0" w:color="auto"/>
              <w:left w:val="nil"/>
              <w:bottom w:val="single" w:sz="4" w:space="0" w:color="auto"/>
              <w:right w:val="nil"/>
            </w:tcBorders>
            <w:shd w:val="clear" w:color="auto" w:fill="FFFFFF"/>
            <w:vAlign w:val="center"/>
            <w:hideMark/>
          </w:tcPr>
          <w:p w14:paraId="7AE3A38D" w14:textId="77777777" w:rsidR="001F4B0D" w:rsidRPr="001F4B0D" w:rsidRDefault="001F4B0D">
            <w:pPr>
              <w:ind w:left="60" w:right="60"/>
              <w:jc w:val="right"/>
              <w:rPr>
                <w:rFonts w:ascii="Arial" w:hAnsi="Arial"/>
                <w:sz w:val="18"/>
                <w:szCs w:val="18"/>
              </w:rPr>
            </w:pPr>
            <w:r w:rsidRPr="001F4B0D">
              <w:rPr>
                <w:rFonts w:ascii="Arial" w:hAnsi="Arial"/>
                <w:sz w:val="18"/>
                <w:szCs w:val="18"/>
              </w:rPr>
              <w:t>1.3</w:t>
            </w:r>
          </w:p>
        </w:tc>
      </w:tr>
      <w:tr w:rsidR="001F4B0D" w:rsidRPr="001F4B0D" w14:paraId="3406C39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311EF7E6"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0C19073A" w14:textId="77777777" w:rsidR="001F4B0D" w:rsidRPr="001F4B0D" w:rsidRDefault="001F4B0D">
            <w:pPr>
              <w:ind w:left="60" w:right="60"/>
              <w:rPr>
                <w:rFonts w:ascii="Arial" w:hAnsi="Arial"/>
                <w:sz w:val="18"/>
                <w:szCs w:val="18"/>
              </w:rPr>
            </w:pPr>
            <w:r w:rsidRPr="001F4B0D">
              <w:rPr>
                <w:rFonts w:ascii="Arial" w:hAnsi="Arial"/>
                <w:sz w:val="18"/>
                <w:szCs w:val="18"/>
              </w:rPr>
              <w:t>Elementary Graduate</w:t>
            </w:r>
          </w:p>
        </w:tc>
        <w:tc>
          <w:tcPr>
            <w:tcW w:w="1794" w:type="dxa"/>
            <w:tcBorders>
              <w:top w:val="single" w:sz="4" w:space="0" w:color="auto"/>
              <w:left w:val="nil"/>
              <w:bottom w:val="single" w:sz="4" w:space="0" w:color="auto"/>
              <w:right w:val="nil"/>
            </w:tcBorders>
            <w:shd w:val="clear" w:color="auto" w:fill="FFFFFF"/>
            <w:vAlign w:val="center"/>
            <w:hideMark/>
          </w:tcPr>
          <w:p w14:paraId="3736F94A" w14:textId="77777777" w:rsidR="001F4B0D" w:rsidRPr="001F4B0D" w:rsidRDefault="001F4B0D">
            <w:pPr>
              <w:ind w:left="60" w:right="60"/>
              <w:jc w:val="right"/>
              <w:rPr>
                <w:rFonts w:ascii="Arial" w:hAnsi="Arial"/>
                <w:sz w:val="18"/>
                <w:szCs w:val="18"/>
              </w:rPr>
            </w:pPr>
            <w:r w:rsidRPr="001F4B0D">
              <w:rPr>
                <w:rFonts w:ascii="Arial" w:hAnsi="Arial"/>
                <w:sz w:val="18"/>
                <w:szCs w:val="18"/>
              </w:rPr>
              <w:t>7</w:t>
            </w:r>
          </w:p>
        </w:tc>
        <w:tc>
          <w:tcPr>
            <w:tcW w:w="2074" w:type="dxa"/>
            <w:tcBorders>
              <w:top w:val="single" w:sz="4" w:space="0" w:color="auto"/>
              <w:left w:val="nil"/>
              <w:bottom w:val="single" w:sz="4" w:space="0" w:color="auto"/>
              <w:right w:val="nil"/>
            </w:tcBorders>
            <w:shd w:val="clear" w:color="auto" w:fill="FFFFFF"/>
            <w:vAlign w:val="center"/>
            <w:hideMark/>
          </w:tcPr>
          <w:p w14:paraId="53064EB8" w14:textId="77777777" w:rsidR="001F4B0D" w:rsidRPr="001F4B0D" w:rsidRDefault="001F4B0D">
            <w:pPr>
              <w:ind w:left="60" w:right="60"/>
              <w:jc w:val="right"/>
              <w:rPr>
                <w:rFonts w:ascii="Arial" w:hAnsi="Arial"/>
                <w:sz w:val="18"/>
                <w:szCs w:val="18"/>
              </w:rPr>
            </w:pPr>
            <w:r w:rsidRPr="001F4B0D">
              <w:rPr>
                <w:rFonts w:ascii="Arial" w:hAnsi="Arial"/>
                <w:sz w:val="18"/>
                <w:szCs w:val="18"/>
              </w:rPr>
              <w:t>2.3</w:t>
            </w:r>
          </w:p>
        </w:tc>
      </w:tr>
      <w:tr w:rsidR="001F4B0D" w:rsidRPr="001F4B0D" w14:paraId="28C5F45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028A03B3"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03BC91F8" w14:textId="77777777" w:rsidR="001F4B0D" w:rsidRPr="001F4B0D" w:rsidRDefault="001F4B0D">
            <w:pPr>
              <w:ind w:left="60" w:right="60"/>
              <w:rPr>
                <w:rFonts w:ascii="Arial" w:hAnsi="Arial"/>
                <w:sz w:val="18"/>
                <w:szCs w:val="18"/>
              </w:rPr>
            </w:pPr>
            <w:r w:rsidRPr="001F4B0D">
              <w:rPr>
                <w:rFonts w:ascii="Arial" w:hAnsi="Arial"/>
                <w:sz w:val="18"/>
                <w:szCs w:val="18"/>
              </w:rPr>
              <w:t>High School Level</w:t>
            </w:r>
          </w:p>
        </w:tc>
        <w:tc>
          <w:tcPr>
            <w:tcW w:w="1794" w:type="dxa"/>
            <w:tcBorders>
              <w:top w:val="single" w:sz="4" w:space="0" w:color="auto"/>
              <w:left w:val="nil"/>
              <w:bottom w:val="single" w:sz="4" w:space="0" w:color="auto"/>
              <w:right w:val="nil"/>
            </w:tcBorders>
            <w:shd w:val="clear" w:color="auto" w:fill="FFFFFF"/>
            <w:vAlign w:val="center"/>
            <w:hideMark/>
          </w:tcPr>
          <w:p w14:paraId="74388373" w14:textId="77777777" w:rsidR="001F4B0D" w:rsidRPr="001F4B0D" w:rsidRDefault="001F4B0D">
            <w:pPr>
              <w:ind w:left="60" w:right="60"/>
              <w:jc w:val="right"/>
              <w:rPr>
                <w:rFonts w:ascii="Arial" w:hAnsi="Arial"/>
                <w:sz w:val="18"/>
                <w:szCs w:val="18"/>
              </w:rPr>
            </w:pPr>
            <w:r w:rsidRPr="001F4B0D">
              <w:rPr>
                <w:rFonts w:ascii="Arial" w:hAnsi="Arial"/>
                <w:sz w:val="18"/>
                <w:szCs w:val="18"/>
              </w:rPr>
              <w:t>10</w:t>
            </w:r>
          </w:p>
        </w:tc>
        <w:tc>
          <w:tcPr>
            <w:tcW w:w="2074" w:type="dxa"/>
            <w:tcBorders>
              <w:top w:val="single" w:sz="4" w:space="0" w:color="auto"/>
              <w:left w:val="nil"/>
              <w:bottom w:val="single" w:sz="4" w:space="0" w:color="auto"/>
              <w:right w:val="nil"/>
            </w:tcBorders>
            <w:shd w:val="clear" w:color="auto" w:fill="FFFFFF"/>
            <w:vAlign w:val="center"/>
            <w:hideMark/>
          </w:tcPr>
          <w:p w14:paraId="3717D7FE" w14:textId="77777777" w:rsidR="001F4B0D" w:rsidRPr="001F4B0D" w:rsidRDefault="001F4B0D">
            <w:pPr>
              <w:ind w:left="60" w:right="60"/>
              <w:jc w:val="right"/>
              <w:rPr>
                <w:rFonts w:ascii="Arial" w:hAnsi="Arial"/>
                <w:sz w:val="18"/>
                <w:szCs w:val="18"/>
              </w:rPr>
            </w:pPr>
            <w:r w:rsidRPr="001F4B0D">
              <w:rPr>
                <w:rFonts w:ascii="Arial" w:hAnsi="Arial"/>
                <w:sz w:val="18"/>
                <w:szCs w:val="18"/>
              </w:rPr>
              <w:t>3.3</w:t>
            </w:r>
          </w:p>
        </w:tc>
      </w:tr>
      <w:tr w:rsidR="001F4B0D" w:rsidRPr="001F4B0D" w14:paraId="05AB71D0"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4D3B182D"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6F1B5222" w14:textId="77777777" w:rsidR="001F4B0D" w:rsidRPr="001F4B0D" w:rsidRDefault="001F4B0D">
            <w:pPr>
              <w:ind w:left="60" w:right="60"/>
              <w:rPr>
                <w:rFonts w:ascii="Arial" w:hAnsi="Arial"/>
                <w:sz w:val="18"/>
                <w:szCs w:val="18"/>
              </w:rPr>
            </w:pPr>
            <w:r w:rsidRPr="001F4B0D">
              <w:rPr>
                <w:rFonts w:ascii="Arial" w:hAnsi="Arial"/>
                <w:sz w:val="18"/>
                <w:szCs w:val="18"/>
              </w:rPr>
              <w:t>High School Graduate</w:t>
            </w:r>
          </w:p>
        </w:tc>
        <w:tc>
          <w:tcPr>
            <w:tcW w:w="1794" w:type="dxa"/>
            <w:tcBorders>
              <w:top w:val="single" w:sz="4" w:space="0" w:color="auto"/>
              <w:left w:val="nil"/>
              <w:bottom w:val="single" w:sz="4" w:space="0" w:color="auto"/>
              <w:right w:val="nil"/>
            </w:tcBorders>
            <w:shd w:val="clear" w:color="auto" w:fill="FFFFFF"/>
            <w:vAlign w:val="center"/>
            <w:hideMark/>
          </w:tcPr>
          <w:p w14:paraId="062ACFC0" w14:textId="77777777" w:rsidR="001F4B0D" w:rsidRPr="001F4B0D" w:rsidRDefault="001F4B0D">
            <w:pPr>
              <w:ind w:left="60" w:right="60"/>
              <w:jc w:val="right"/>
              <w:rPr>
                <w:rFonts w:ascii="Arial" w:hAnsi="Arial"/>
                <w:sz w:val="18"/>
                <w:szCs w:val="18"/>
              </w:rPr>
            </w:pPr>
            <w:r w:rsidRPr="001F4B0D">
              <w:rPr>
                <w:rFonts w:ascii="Arial" w:hAnsi="Arial"/>
                <w:sz w:val="18"/>
                <w:szCs w:val="18"/>
              </w:rPr>
              <w:t>31</w:t>
            </w:r>
          </w:p>
        </w:tc>
        <w:tc>
          <w:tcPr>
            <w:tcW w:w="2074" w:type="dxa"/>
            <w:tcBorders>
              <w:top w:val="single" w:sz="4" w:space="0" w:color="auto"/>
              <w:left w:val="nil"/>
              <w:bottom w:val="single" w:sz="4" w:space="0" w:color="auto"/>
              <w:right w:val="nil"/>
            </w:tcBorders>
            <w:shd w:val="clear" w:color="auto" w:fill="FFFFFF"/>
            <w:vAlign w:val="center"/>
            <w:hideMark/>
          </w:tcPr>
          <w:p w14:paraId="3370B3B8" w14:textId="77777777" w:rsidR="001F4B0D" w:rsidRPr="001F4B0D" w:rsidRDefault="001F4B0D">
            <w:pPr>
              <w:ind w:left="60" w:right="60"/>
              <w:jc w:val="right"/>
              <w:rPr>
                <w:rFonts w:ascii="Arial" w:hAnsi="Arial"/>
                <w:sz w:val="18"/>
                <w:szCs w:val="18"/>
              </w:rPr>
            </w:pPr>
            <w:r w:rsidRPr="001F4B0D">
              <w:rPr>
                <w:rFonts w:ascii="Arial" w:hAnsi="Arial"/>
                <w:sz w:val="18"/>
                <w:szCs w:val="18"/>
              </w:rPr>
              <w:t>10.4</w:t>
            </w:r>
          </w:p>
        </w:tc>
      </w:tr>
      <w:tr w:rsidR="001F4B0D" w:rsidRPr="001F4B0D" w14:paraId="0400095C" w14:textId="77777777" w:rsidTr="008E19B7">
        <w:trPr>
          <w:trHeight w:val="211"/>
        </w:trPr>
        <w:tc>
          <w:tcPr>
            <w:tcW w:w="0" w:type="auto"/>
            <w:vMerge/>
            <w:tcBorders>
              <w:top w:val="single" w:sz="4" w:space="0" w:color="auto"/>
              <w:left w:val="nil"/>
              <w:bottom w:val="single" w:sz="4" w:space="0" w:color="auto"/>
              <w:right w:val="nil"/>
            </w:tcBorders>
            <w:vAlign w:val="center"/>
            <w:hideMark/>
          </w:tcPr>
          <w:p w14:paraId="1D39F57B"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538B3D02" w14:textId="77777777" w:rsidR="001F4B0D" w:rsidRPr="001F4B0D" w:rsidRDefault="001F4B0D">
            <w:pPr>
              <w:ind w:left="60" w:right="60"/>
              <w:rPr>
                <w:rFonts w:ascii="Arial" w:hAnsi="Arial"/>
                <w:sz w:val="18"/>
                <w:szCs w:val="18"/>
              </w:rPr>
            </w:pPr>
            <w:r w:rsidRPr="001F4B0D">
              <w:rPr>
                <w:rFonts w:ascii="Arial" w:hAnsi="Arial"/>
                <w:sz w:val="18"/>
                <w:szCs w:val="18"/>
              </w:rPr>
              <w:t>College Level</w:t>
            </w:r>
          </w:p>
        </w:tc>
        <w:tc>
          <w:tcPr>
            <w:tcW w:w="1794" w:type="dxa"/>
            <w:tcBorders>
              <w:top w:val="single" w:sz="4" w:space="0" w:color="auto"/>
              <w:left w:val="nil"/>
              <w:bottom w:val="single" w:sz="4" w:space="0" w:color="auto"/>
              <w:right w:val="nil"/>
            </w:tcBorders>
            <w:shd w:val="clear" w:color="auto" w:fill="FFFFFF"/>
            <w:vAlign w:val="center"/>
            <w:hideMark/>
          </w:tcPr>
          <w:p w14:paraId="1FB060F4" w14:textId="77777777" w:rsidR="001F4B0D" w:rsidRPr="001F4B0D" w:rsidRDefault="001F4B0D">
            <w:pPr>
              <w:ind w:left="60" w:right="60"/>
              <w:jc w:val="right"/>
              <w:rPr>
                <w:rFonts w:ascii="Arial" w:hAnsi="Arial"/>
                <w:sz w:val="18"/>
                <w:szCs w:val="18"/>
              </w:rPr>
            </w:pPr>
            <w:r w:rsidRPr="001F4B0D">
              <w:rPr>
                <w:rFonts w:ascii="Arial" w:hAnsi="Arial"/>
                <w:sz w:val="18"/>
                <w:szCs w:val="18"/>
              </w:rPr>
              <w:t>106</w:t>
            </w:r>
          </w:p>
        </w:tc>
        <w:tc>
          <w:tcPr>
            <w:tcW w:w="2074" w:type="dxa"/>
            <w:tcBorders>
              <w:top w:val="single" w:sz="4" w:space="0" w:color="auto"/>
              <w:left w:val="nil"/>
              <w:bottom w:val="single" w:sz="4" w:space="0" w:color="auto"/>
              <w:right w:val="nil"/>
            </w:tcBorders>
            <w:shd w:val="clear" w:color="auto" w:fill="FFFFFF"/>
            <w:vAlign w:val="center"/>
            <w:hideMark/>
          </w:tcPr>
          <w:p w14:paraId="4C842158" w14:textId="77777777" w:rsidR="001F4B0D" w:rsidRPr="001F4B0D" w:rsidRDefault="001F4B0D">
            <w:pPr>
              <w:ind w:left="60" w:right="60"/>
              <w:jc w:val="right"/>
              <w:rPr>
                <w:rFonts w:ascii="Arial" w:hAnsi="Arial"/>
                <w:sz w:val="18"/>
                <w:szCs w:val="18"/>
              </w:rPr>
            </w:pPr>
            <w:r w:rsidRPr="001F4B0D">
              <w:rPr>
                <w:rFonts w:ascii="Arial" w:hAnsi="Arial"/>
                <w:sz w:val="18"/>
                <w:szCs w:val="18"/>
              </w:rPr>
              <w:t>35.5</w:t>
            </w:r>
          </w:p>
        </w:tc>
      </w:tr>
      <w:tr w:rsidR="001F4B0D" w:rsidRPr="001F4B0D" w14:paraId="63A92975"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1073C07A"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43ABC8AF" w14:textId="77777777" w:rsidR="001F4B0D" w:rsidRPr="001F4B0D" w:rsidRDefault="001F4B0D">
            <w:pPr>
              <w:ind w:left="60" w:right="60"/>
              <w:rPr>
                <w:rFonts w:ascii="Arial" w:hAnsi="Arial"/>
                <w:sz w:val="18"/>
                <w:szCs w:val="18"/>
              </w:rPr>
            </w:pPr>
            <w:r w:rsidRPr="001F4B0D">
              <w:rPr>
                <w:rFonts w:ascii="Arial" w:hAnsi="Arial"/>
                <w:sz w:val="18"/>
                <w:szCs w:val="18"/>
              </w:rPr>
              <w:t>College Graduate</w:t>
            </w:r>
          </w:p>
        </w:tc>
        <w:tc>
          <w:tcPr>
            <w:tcW w:w="1794" w:type="dxa"/>
            <w:tcBorders>
              <w:top w:val="single" w:sz="4" w:space="0" w:color="auto"/>
              <w:left w:val="nil"/>
              <w:bottom w:val="single" w:sz="4" w:space="0" w:color="auto"/>
              <w:right w:val="nil"/>
            </w:tcBorders>
            <w:shd w:val="clear" w:color="auto" w:fill="FFFFFF"/>
            <w:vAlign w:val="center"/>
            <w:hideMark/>
          </w:tcPr>
          <w:p w14:paraId="303EBC8A" w14:textId="77777777" w:rsidR="001F4B0D" w:rsidRPr="001F4B0D" w:rsidRDefault="001F4B0D">
            <w:pPr>
              <w:ind w:left="60" w:right="60"/>
              <w:jc w:val="right"/>
              <w:rPr>
                <w:rFonts w:ascii="Arial" w:hAnsi="Arial"/>
                <w:sz w:val="18"/>
                <w:szCs w:val="18"/>
              </w:rPr>
            </w:pPr>
            <w:r w:rsidRPr="001F4B0D">
              <w:rPr>
                <w:rFonts w:ascii="Arial" w:hAnsi="Arial"/>
                <w:sz w:val="18"/>
                <w:szCs w:val="18"/>
              </w:rPr>
              <w:t>110</w:t>
            </w:r>
          </w:p>
        </w:tc>
        <w:tc>
          <w:tcPr>
            <w:tcW w:w="2074" w:type="dxa"/>
            <w:tcBorders>
              <w:top w:val="single" w:sz="4" w:space="0" w:color="auto"/>
              <w:left w:val="nil"/>
              <w:bottom w:val="single" w:sz="4" w:space="0" w:color="auto"/>
              <w:right w:val="nil"/>
            </w:tcBorders>
            <w:shd w:val="clear" w:color="auto" w:fill="FFFFFF"/>
            <w:vAlign w:val="center"/>
            <w:hideMark/>
          </w:tcPr>
          <w:p w14:paraId="71D3C13D" w14:textId="77777777" w:rsidR="001F4B0D" w:rsidRPr="001F4B0D" w:rsidRDefault="001F4B0D">
            <w:pPr>
              <w:ind w:left="60" w:right="60"/>
              <w:jc w:val="right"/>
              <w:rPr>
                <w:rFonts w:ascii="Arial" w:hAnsi="Arial"/>
                <w:sz w:val="18"/>
                <w:szCs w:val="18"/>
              </w:rPr>
            </w:pPr>
            <w:r w:rsidRPr="001F4B0D">
              <w:rPr>
                <w:rFonts w:ascii="Arial" w:hAnsi="Arial"/>
                <w:sz w:val="18"/>
                <w:szCs w:val="18"/>
              </w:rPr>
              <w:t>36.8</w:t>
            </w:r>
          </w:p>
        </w:tc>
      </w:tr>
      <w:tr w:rsidR="001F4B0D" w:rsidRPr="001F4B0D" w14:paraId="1C6338BB"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6BA867B6"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369F94C6" w14:textId="77777777" w:rsidR="001F4B0D" w:rsidRPr="001F4B0D" w:rsidRDefault="001F4B0D">
            <w:pPr>
              <w:ind w:left="60" w:right="60"/>
              <w:rPr>
                <w:rFonts w:ascii="Arial" w:hAnsi="Arial"/>
                <w:sz w:val="18"/>
                <w:szCs w:val="18"/>
              </w:rPr>
            </w:pPr>
            <w:r w:rsidRPr="001F4B0D">
              <w:rPr>
                <w:rFonts w:ascii="Arial" w:hAnsi="Arial"/>
                <w:sz w:val="18"/>
                <w:szCs w:val="18"/>
              </w:rPr>
              <w:t>Graduate Level</w:t>
            </w:r>
          </w:p>
        </w:tc>
        <w:tc>
          <w:tcPr>
            <w:tcW w:w="1794" w:type="dxa"/>
            <w:tcBorders>
              <w:top w:val="single" w:sz="4" w:space="0" w:color="auto"/>
              <w:left w:val="nil"/>
              <w:bottom w:val="single" w:sz="4" w:space="0" w:color="auto"/>
              <w:right w:val="nil"/>
            </w:tcBorders>
            <w:shd w:val="clear" w:color="auto" w:fill="FFFFFF"/>
            <w:vAlign w:val="center"/>
            <w:hideMark/>
          </w:tcPr>
          <w:p w14:paraId="231B39E3" w14:textId="77777777" w:rsidR="001F4B0D" w:rsidRPr="001F4B0D" w:rsidRDefault="001F4B0D">
            <w:pPr>
              <w:ind w:left="60" w:right="60"/>
              <w:jc w:val="right"/>
              <w:rPr>
                <w:rFonts w:ascii="Arial" w:hAnsi="Arial"/>
                <w:sz w:val="18"/>
                <w:szCs w:val="18"/>
              </w:rPr>
            </w:pPr>
            <w:r w:rsidRPr="001F4B0D">
              <w:rPr>
                <w:rFonts w:ascii="Arial" w:hAnsi="Arial"/>
                <w:sz w:val="18"/>
                <w:szCs w:val="18"/>
              </w:rPr>
              <w:t>31</w:t>
            </w:r>
          </w:p>
        </w:tc>
        <w:tc>
          <w:tcPr>
            <w:tcW w:w="2074" w:type="dxa"/>
            <w:tcBorders>
              <w:top w:val="single" w:sz="4" w:space="0" w:color="auto"/>
              <w:left w:val="nil"/>
              <w:bottom w:val="single" w:sz="4" w:space="0" w:color="auto"/>
              <w:right w:val="nil"/>
            </w:tcBorders>
            <w:shd w:val="clear" w:color="auto" w:fill="FFFFFF"/>
            <w:vAlign w:val="center"/>
            <w:hideMark/>
          </w:tcPr>
          <w:p w14:paraId="668877A7" w14:textId="77777777" w:rsidR="001F4B0D" w:rsidRPr="001F4B0D" w:rsidRDefault="001F4B0D">
            <w:pPr>
              <w:ind w:left="60" w:right="60"/>
              <w:jc w:val="right"/>
              <w:rPr>
                <w:rFonts w:ascii="Arial" w:hAnsi="Arial"/>
                <w:sz w:val="18"/>
                <w:szCs w:val="18"/>
              </w:rPr>
            </w:pPr>
            <w:r w:rsidRPr="001F4B0D">
              <w:rPr>
                <w:rFonts w:ascii="Arial" w:hAnsi="Arial"/>
                <w:sz w:val="18"/>
                <w:szCs w:val="18"/>
              </w:rPr>
              <w:t>10.4</w:t>
            </w:r>
          </w:p>
        </w:tc>
      </w:tr>
      <w:tr w:rsidR="001F4B0D" w:rsidRPr="001F4B0D" w14:paraId="6D75D1DE" w14:textId="77777777" w:rsidTr="008E19B7">
        <w:trPr>
          <w:trHeight w:val="179"/>
        </w:trPr>
        <w:tc>
          <w:tcPr>
            <w:tcW w:w="0" w:type="auto"/>
            <w:vMerge/>
            <w:tcBorders>
              <w:top w:val="single" w:sz="4" w:space="0" w:color="auto"/>
              <w:left w:val="nil"/>
              <w:bottom w:val="single" w:sz="4" w:space="0" w:color="auto"/>
              <w:right w:val="nil"/>
            </w:tcBorders>
            <w:vAlign w:val="center"/>
            <w:hideMark/>
          </w:tcPr>
          <w:p w14:paraId="25842977" w14:textId="77777777" w:rsidR="001F4B0D" w:rsidRPr="00DA0338" w:rsidRDefault="001F4B0D">
            <w:pPr>
              <w:rPr>
                <w:rFonts w:ascii="Arial" w:hAnsi="Arial" w:cs="Arial"/>
                <w:kern w:val="2"/>
                <w:sz w:val="18"/>
                <w:szCs w:val="18"/>
              </w:rPr>
            </w:pPr>
          </w:p>
        </w:tc>
        <w:tc>
          <w:tcPr>
            <w:tcW w:w="2355" w:type="dxa"/>
            <w:tcBorders>
              <w:top w:val="single" w:sz="4" w:space="0" w:color="auto"/>
              <w:left w:val="nil"/>
              <w:bottom w:val="single" w:sz="4" w:space="0" w:color="auto"/>
              <w:right w:val="nil"/>
            </w:tcBorders>
            <w:shd w:val="clear" w:color="auto" w:fill="FFFFFF"/>
            <w:vAlign w:val="center"/>
            <w:hideMark/>
          </w:tcPr>
          <w:p w14:paraId="5A37714D" w14:textId="77777777" w:rsidR="001F4B0D" w:rsidRPr="001F4B0D" w:rsidRDefault="001F4B0D">
            <w:pPr>
              <w:ind w:left="60" w:right="60"/>
              <w:rPr>
                <w:rFonts w:ascii="Arial" w:hAnsi="Arial"/>
                <w:sz w:val="18"/>
                <w:szCs w:val="18"/>
              </w:rPr>
            </w:pPr>
            <w:r w:rsidRPr="001F4B0D">
              <w:rPr>
                <w:rFonts w:ascii="Arial" w:hAnsi="Arial"/>
                <w:sz w:val="18"/>
                <w:szCs w:val="18"/>
              </w:rPr>
              <w:t>Total</w:t>
            </w:r>
          </w:p>
        </w:tc>
        <w:tc>
          <w:tcPr>
            <w:tcW w:w="1794" w:type="dxa"/>
            <w:tcBorders>
              <w:top w:val="single" w:sz="4" w:space="0" w:color="auto"/>
              <w:left w:val="nil"/>
              <w:bottom w:val="single" w:sz="4" w:space="0" w:color="auto"/>
              <w:right w:val="nil"/>
            </w:tcBorders>
            <w:shd w:val="clear" w:color="auto" w:fill="FFFFFF"/>
            <w:vAlign w:val="center"/>
            <w:hideMark/>
          </w:tcPr>
          <w:p w14:paraId="1C028438" w14:textId="77777777" w:rsidR="001F4B0D" w:rsidRPr="001F4B0D" w:rsidRDefault="001F4B0D">
            <w:pPr>
              <w:ind w:left="60" w:right="60"/>
              <w:jc w:val="right"/>
              <w:rPr>
                <w:rFonts w:ascii="Arial" w:hAnsi="Arial"/>
                <w:sz w:val="18"/>
                <w:szCs w:val="18"/>
              </w:rPr>
            </w:pPr>
            <w:r w:rsidRPr="001F4B0D">
              <w:rPr>
                <w:rFonts w:ascii="Arial" w:hAnsi="Arial"/>
                <w:sz w:val="18"/>
                <w:szCs w:val="18"/>
              </w:rPr>
              <w:t>299</w:t>
            </w:r>
          </w:p>
        </w:tc>
        <w:tc>
          <w:tcPr>
            <w:tcW w:w="2074" w:type="dxa"/>
            <w:tcBorders>
              <w:top w:val="single" w:sz="4" w:space="0" w:color="auto"/>
              <w:left w:val="nil"/>
              <w:bottom w:val="single" w:sz="4" w:space="0" w:color="auto"/>
              <w:right w:val="nil"/>
            </w:tcBorders>
            <w:shd w:val="clear" w:color="auto" w:fill="FFFFFF"/>
            <w:vAlign w:val="center"/>
            <w:hideMark/>
          </w:tcPr>
          <w:p w14:paraId="27972BBE" w14:textId="77777777" w:rsidR="001F4B0D" w:rsidRPr="001F4B0D" w:rsidRDefault="001F4B0D">
            <w:pPr>
              <w:ind w:left="60" w:right="60"/>
              <w:jc w:val="right"/>
              <w:rPr>
                <w:rFonts w:ascii="Arial" w:hAnsi="Arial"/>
                <w:sz w:val="18"/>
                <w:szCs w:val="18"/>
              </w:rPr>
            </w:pPr>
            <w:r w:rsidRPr="001F4B0D">
              <w:rPr>
                <w:rFonts w:ascii="Arial" w:hAnsi="Arial"/>
                <w:sz w:val="18"/>
                <w:szCs w:val="18"/>
              </w:rPr>
              <w:t>100.0</w:t>
            </w:r>
          </w:p>
        </w:tc>
      </w:tr>
    </w:tbl>
    <w:p w14:paraId="5E0FB9DF" w14:textId="77777777" w:rsidR="000B1D44" w:rsidRDefault="000B1D44">
      <w:pPr>
        <w:pBdr>
          <w:top w:val="nil"/>
          <w:left w:val="nil"/>
          <w:bottom w:val="nil"/>
          <w:right w:val="nil"/>
          <w:between w:val="nil"/>
        </w:pBdr>
        <w:tabs>
          <w:tab w:val="left" w:pos="6510"/>
        </w:tabs>
        <w:ind w:left="1260" w:hanging="1260"/>
        <w:jc w:val="both"/>
        <w:rPr>
          <w:rFonts w:ascii="Arial" w:eastAsia="Arial" w:hAnsi="Arial" w:cs="Arial"/>
          <w:color w:val="000000"/>
        </w:rPr>
      </w:pPr>
    </w:p>
    <w:p w14:paraId="4986FE01" w14:textId="0CC20053" w:rsidR="00A774F9" w:rsidRDefault="00A774F9" w:rsidP="008D39BB">
      <w:pPr>
        <w:ind w:firstLine="720"/>
        <w:jc w:val="both"/>
        <w:rPr>
          <w:rFonts w:ascii="Arial" w:eastAsia="Arial" w:hAnsi="Arial" w:cs="Arial"/>
        </w:rPr>
      </w:pPr>
      <w:r w:rsidRPr="00A774F9">
        <w:rPr>
          <w:rFonts w:ascii="Arial" w:eastAsia="Arial" w:hAnsi="Arial" w:cs="Arial"/>
        </w:rPr>
        <w:lastRenderedPageBreak/>
        <w:t xml:space="preserve">The high number of college-level and college-graduate respondents reflects the academically oriented nature of the stakeholder group, which largely consists of current students, alumni, faculty, and industry professionals affiliated with higher education institutions. This aligns with Roberts et al. (2016), who observed that stakeholders with higher educational attainment tend to be more engaged in institutional processes and better aligned with program objectives due to their deeper understanding of academic goals and outcomes. Conversely, the minimal number of respondents with only an elementary-level education may reflect broader societal trends, particularly the growing prevalence of basic education completion among parents and other stakeholders. As many parent-respondents likely belong to a generation with access to at least secondary education, the low representation of elementary-level attainment appears consistent with expectations. This pattern supports Di Maddaloni and Davis’s (2018) view that educational background significantly shapes an individual’s awareness of and participation in institutional planning and evaluation. In light of Freeman’s Stakeholder Theory (1984), these findings underscore the need for inclusive engagement strategies that accommodate varying educational backgrounds, ensuring that all stakeholders—regardless of academic attainment—can meaningfully contribute to </w:t>
      </w:r>
      <w:proofErr w:type="spellStart"/>
      <w:r w:rsidRPr="00A774F9">
        <w:rPr>
          <w:rFonts w:ascii="Arial" w:eastAsia="Arial" w:hAnsi="Arial" w:cs="Arial"/>
        </w:rPr>
        <w:t>DOrSU’s</w:t>
      </w:r>
      <w:proofErr w:type="spellEnd"/>
      <w:r w:rsidRPr="00A774F9">
        <w:rPr>
          <w:rFonts w:ascii="Arial" w:eastAsia="Arial" w:hAnsi="Arial" w:cs="Arial"/>
        </w:rPr>
        <w:t xml:space="preserve"> Vision, Mission, and Program Educational Objectives.</w:t>
      </w:r>
    </w:p>
    <w:p w14:paraId="41AEE4EF" w14:textId="77777777" w:rsidR="00A774F9" w:rsidRDefault="00A774F9" w:rsidP="008D39BB">
      <w:pPr>
        <w:ind w:firstLine="720"/>
        <w:jc w:val="both"/>
        <w:rPr>
          <w:rFonts w:ascii="Arial" w:eastAsia="Arial" w:hAnsi="Arial" w:cs="Arial"/>
        </w:rPr>
      </w:pPr>
    </w:p>
    <w:p w14:paraId="4326E29A" w14:textId="77777777" w:rsidR="007C4262" w:rsidRDefault="007C4262" w:rsidP="007C4262">
      <w:pPr>
        <w:ind w:firstLine="720"/>
        <w:jc w:val="center"/>
        <w:rPr>
          <w:rFonts w:ascii="Arial" w:eastAsia="Arial" w:hAnsi="Arial" w:cs="Arial"/>
          <w:b/>
          <w:bCs/>
        </w:rPr>
      </w:pPr>
      <w:proofErr w:type="spellStart"/>
      <w:r w:rsidRPr="007C4262">
        <w:rPr>
          <w:rFonts w:ascii="Arial" w:eastAsia="Arial" w:hAnsi="Arial" w:cs="Arial"/>
          <w:b/>
          <w:bCs/>
        </w:rPr>
        <w:t>BEEd</w:t>
      </w:r>
      <w:proofErr w:type="spellEnd"/>
      <w:r w:rsidRPr="007C4262">
        <w:rPr>
          <w:rFonts w:ascii="Arial" w:eastAsia="Arial" w:hAnsi="Arial" w:cs="Arial"/>
          <w:b/>
          <w:bCs/>
        </w:rPr>
        <w:t xml:space="preserve"> Stakeholders’ Level of Awareness of </w:t>
      </w:r>
      <w:proofErr w:type="spellStart"/>
      <w:r w:rsidRPr="007C4262">
        <w:rPr>
          <w:rFonts w:ascii="Arial" w:eastAsia="Arial" w:hAnsi="Arial" w:cs="Arial"/>
          <w:b/>
          <w:bCs/>
        </w:rPr>
        <w:t>DOrSU’s</w:t>
      </w:r>
      <w:proofErr w:type="spellEnd"/>
      <w:r w:rsidRPr="007C4262">
        <w:rPr>
          <w:rFonts w:ascii="Arial" w:eastAsia="Arial" w:hAnsi="Arial" w:cs="Arial"/>
          <w:b/>
          <w:bCs/>
        </w:rPr>
        <w:t xml:space="preserve"> VMPEO</w:t>
      </w:r>
    </w:p>
    <w:p w14:paraId="6B74ADC3" w14:textId="77777777" w:rsidR="007C4262" w:rsidRDefault="007C4262" w:rsidP="00665DC6">
      <w:pPr>
        <w:ind w:firstLine="720"/>
        <w:jc w:val="both"/>
        <w:rPr>
          <w:rFonts w:ascii="Arial" w:eastAsia="Arial" w:hAnsi="Arial" w:cs="Arial"/>
          <w:b/>
          <w:bCs/>
        </w:rPr>
      </w:pPr>
    </w:p>
    <w:p w14:paraId="0E27DAAA" w14:textId="4CC49697" w:rsidR="007C4262" w:rsidRDefault="007C4262" w:rsidP="007C4262">
      <w:pPr>
        <w:ind w:firstLine="720"/>
        <w:jc w:val="both"/>
        <w:rPr>
          <w:rFonts w:ascii="Arial" w:eastAsia="Arial" w:hAnsi="Arial" w:cs="Arial"/>
        </w:rPr>
      </w:pPr>
      <w:r w:rsidRPr="007C4262">
        <w:rPr>
          <w:rFonts w:ascii="Arial" w:eastAsia="Arial" w:hAnsi="Arial" w:cs="Arial"/>
        </w:rPr>
        <w:t xml:space="preserve">The level of awareness among </w:t>
      </w:r>
      <w:proofErr w:type="spellStart"/>
      <w:r w:rsidRPr="007C4262">
        <w:rPr>
          <w:rFonts w:ascii="Arial" w:eastAsia="Arial" w:hAnsi="Arial" w:cs="Arial"/>
        </w:rPr>
        <w:t>BEEd</w:t>
      </w:r>
      <w:proofErr w:type="spellEnd"/>
      <w:r w:rsidRPr="007C4262">
        <w:rPr>
          <w:rFonts w:ascii="Arial" w:eastAsia="Arial" w:hAnsi="Arial" w:cs="Arial"/>
        </w:rPr>
        <w:t xml:space="preserve"> stakeholders of </w:t>
      </w:r>
      <w:proofErr w:type="spellStart"/>
      <w:r w:rsidRPr="007C4262">
        <w:rPr>
          <w:rFonts w:ascii="Arial" w:eastAsia="Arial" w:hAnsi="Arial" w:cs="Arial"/>
        </w:rPr>
        <w:t>DOrSU’s</w:t>
      </w:r>
      <w:proofErr w:type="spellEnd"/>
      <w:r w:rsidRPr="007C4262">
        <w:rPr>
          <w:rFonts w:ascii="Arial" w:eastAsia="Arial" w:hAnsi="Arial" w:cs="Arial"/>
        </w:rPr>
        <w:t xml:space="preserve"> Vision is shown in Table </w:t>
      </w:r>
      <w:r>
        <w:rPr>
          <w:rFonts w:ascii="Arial" w:eastAsia="Arial" w:hAnsi="Arial" w:cs="Arial"/>
        </w:rPr>
        <w:t>5</w:t>
      </w:r>
      <w:r w:rsidRPr="007C4262">
        <w:rPr>
          <w:rFonts w:ascii="Arial" w:eastAsia="Arial" w:hAnsi="Arial" w:cs="Arial"/>
        </w:rPr>
        <w:t xml:space="preserve">. It shows that all items received a qualitative interpretation of “Fully Aware,” with mean scores (ranging from x̄ = 4.52 to 4.58), which means that stakeholders are fully aware of </w:t>
      </w:r>
      <w:proofErr w:type="spellStart"/>
      <w:r w:rsidRPr="007C4262">
        <w:rPr>
          <w:rFonts w:ascii="Arial" w:eastAsia="Arial" w:hAnsi="Arial" w:cs="Arial"/>
        </w:rPr>
        <w:t>DOrSu’s</w:t>
      </w:r>
      <w:proofErr w:type="spellEnd"/>
      <w:r w:rsidRPr="007C4262">
        <w:rPr>
          <w:rFonts w:ascii="Arial" w:eastAsia="Arial" w:hAnsi="Arial" w:cs="Arial"/>
        </w:rPr>
        <w:t xml:space="preserve"> VMPEO, as recorded (x̄ = 4.52). The highest level of awareness recorded (4.58) is on the statement that </w:t>
      </w:r>
      <w:proofErr w:type="spellStart"/>
      <w:r w:rsidRPr="007C4262">
        <w:rPr>
          <w:rFonts w:ascii="Arial" w:eastAsia="Arial" w:hAnsi="Arial" w:cs="Arial"/>
        </w:rPr>
        <w:t>DOrSu’s</w:t>
      </w:r>
      <w:proofErr w:type="spellEnd"/>
      <w:r w:rsidRPr="007C4262">
        <w:rPr>
          <w:rFonts w:ascii="Arial" w:eastAsia="Arial" w:hAnsi="Arial" w:cs="Arial"/>
        </w:rPr>
        <w:t xml:space="preserve"> vision is "A university of excellence, innovation and inclusion," while the lowest observed (x̄ = 4.52) is on gender and environment sensitivity in research-based development.</w:t>
      </w:r>
    </w:p>
    <w:p w14:paraId="30C28C37" w14:textId="77777777" w:rsidR="007C4262" w:rsidRDefault="007C4262" w:rsidP="007C4262">
      <w:pPr>
        <w:jc w:val="both"/>
        <w:rPr>
          <w:rFonts w:ascii="Arial" w:eastAsia="Arial" w:hAnsi="Arial" w:cs="Arial"/>
        </w:rPr>
      </w:pPr>
    </w:p>
    <w:p w14:paraId="5F75C975" w14:textId="77777777" w:rsidR="004458C6" w:rsidRDefault="004458C6" w:rsidP="007C4262">
      <w:pPr>
        <w:jc w:val="both"/>
        <w:rPr>
          <w:rFonts w:ascii="Arial" w:eastAsia="Arial" w:hAnsi="Arial" w:cs="Arial"/>
        </w:rPr>
      </w:pPr>
    </w:p>
    <w:p w14:paraId="4D8C9150" w14:textId="77777777" w:rsidR="004458C6" w:rsidRDefault="004458C6" w:rsidP="007C4262">
      <w:pPr>
        <w:jc w:val="both"/>
        <w:rPr>
          <w:rFonts w:ascii="Arial" w:eastAsia="Arial" w:hAnsi="Arial" w:cs="Arial"/>
        </w:rPr>
      </w:pPr>
    </w:p>
    <w:p w14:paraId="6EA2E9E1" w14:textId="033D3DBA" w:rsidR="00B7102D" w:rsidRDefault="00B7102D" w:rsidP="007C4262">
      <w:pPr>
        <w:jc w:val="both"/>
        <w:rPr>
          <w:rFonts w:ascii="Arial" w:eastAsia="Arial" w:hAnsi="Arial" w:cs="Arial"/>
        </w:rPr>
      </w:pPr>
      <w:r>
        <w:rPr>
          <w:rFonts w:ascii="Arial" w:eastAsia="Arial" w:hAnsi="Arial" w:cs="Arial"/>
        </w:rPr>
        <w:t xml:space="preserve">Table 5:  </w:t>
      </w:r>
      <w:r w:rsidR="001856BB" w:rsidRPr="001856BB">
        <w:rPr>
          <w:rFonts w:ascii="Arial" w:eastAsia="Arial" w:hAnsi="Arial" w:cs="Arial"/>
        </w:rPr>
        <w:t xml:space="preserve">Level of awareness of </w:t>
      </w:r>
      <w:proofErr w:type="spellStart"/>
      <w:r w:rsidR="001856BB" w:rsidRPr="001856BB">
        <w:rPr>
          <w:rFonts w:ascii="Arial" w:eastAsia="Arial" w:hAnsi="Arial" w:cs="Arial"/>
        </w:rPr>
        <w:t>DOrSU’s</w:t>
      </w:r>
      <w:proofErr w:type="spellEnd"/>
      <w:r w:rsidR="001856BB" w:rsidRPr="001856BB">
        <w:rPr>
          <w:rFonts w:ascii="Arial" w:eastAsia="Arial" w:hAnsi="Arial" w:cs="Arial"/>
        </w:rPr>
        <w:t xml:space="preserve"> vision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75"/>
        <w:gridCol w:w="830"/>
        <w:gridCol w:w="1453"/>
        <w:gridCol w:w="1396"/>
      </w:tblGrid>
      <w:tr w:rsidR="001856BB" w:rsidRPr="006565EC" w14:paraId="07BE7EF5" w14:textId="77777777" w:rsidTr="008E19B7">
        <w:trPr>
          <w:trHeight w:val="209"/>
        </w:trPr>
        <w:tc>
          <w:tcPr>
            <w:tcW w:w="4575" w:type="dxa"/>
            <w:tcBorders>
              <w:top w:val="single" w:sz="4" w:space="0" w:color="auto"/>
              <w:left w:val="nil"/>
              <w:bottom w:val="single" w:sz="4" w:space="0" w:color="auto"/>
              <w:right w:val="nil"/>
            </w:tcBorders>
            <w:hideMark/>
          </w:tcPr>
          <w:p w14:paraId="2FFDE381" w14:textId="77777777" w:rsidR="001856BB" w:rsidRPr="006565EC" w:rsidRDefault="001856BB">
            <w:pPr>
              <w:jc w:val="center"/>
              <w:rPr>
                <w:rFonts w:ascii="Arial" w:hAnsi="Arial" w:cs="Arial"/>
                <w:sz w:val="18"/>
                <w:szCs w:val="18"/>
              </w:rPr>
            </w:pPr>
            <w:r w:rsidRPr="006565EC">
              <w:rPr>
                <w:rFonts w:ascii="Arial" w:hAnsi="Arial" w:cs="Arial"/>
                <w:sz w:val="18"/>
                <w:szCs w:val="18"/>
              </w:rPr>
              <w:t>Statement</w:t>
            </w:r>
          </w:p>
        </w:tc>
        <w:tc>
          <w:tcPr>
            <w:tcW w:w="830" w:type="dxa"/>
            <w:tcBorders>
              <w:top w:val="single" w:sz="4" w:space="0" w:color="auto"/>
              <w:left w:val="nil"/>
              <w:bottom w:val="single" w:sz="4" w:space="0" w:color="auto"/>
              <w:right w:val="nil"/>
            </w:tcBorders>
            <w:hideMark/>
          </w:tcPr>
          <w:p w14:paraId="3A0D967E" w14:textId="77777777" w:rsidR="001856BB" w:rsidRPr="006565EC" w:rsidRDefault="001856BB">
            <w:pPr>
              <w:jc w:val="center"/>
              <w:rPr>
                <w:rFonts w:ascii="Arial" w:hAnsi="Arial" w:cs="Arial"/>
                <w:sz w:val="18"/>
                <w:szCs w:val="18"/>
              </w:rPr>
            </w:pPr>
            <w:r w:rsidRPr="006565EC">
              <w:rPr>
                <w:rFonts w:ascii="Arial" w:hAnsi="Arial" w:cs="Arial"/>
                <w:sz w:val="18"/>
                <w:szCs w:val="18"/>
              </w:rPr>
              <w:t>Mean</w:t>
            </w:r>
          </w:p>
        </w:tc>
        <w:tc>
          <w:tcPr>
            <w:tcW w:w="1453" w:type="dxa"/>
            <w:tcBorders>
              <w:top w:val="single" w:sz="4" w:space="0" w:color="auto"/>
              <w:left w:val="nil"/>
              <w:bottom w:val="single" w:sz="4" w:space="0" w:color="auto"/>
              <w:right w:val="nil"/>
            </w:tcBorders>
            <w:hideMark/>
          </w:tcPr>
          <w:p w14:paraId="36533651" w14:textId="77777777" w:rsidR="001856BB" w:rsidRPr="006565EC" w:rsidRDefault="001856BB">
            <w:pPr>
              <w:jc w:val="center"/>
              <w:rPr>
                <w:rFonts w:ascii="Arial" w:hAnsi="Arial" w:cs="Arial"/>
                <w:sz w:val="18"/>
                <w:szCs w:val="18"/>
              </w:rPr>
            </w:pPr>
            <w:r w:rsidRPr="006565EC">
              <w:rPr>
                <w:rFonts w:ascii="Arial" w:hAnsi="Arial" w:cs="Arial"/>
                <w:sz w:val="18"/>
                <w:szCs w:val="18"/>
              </w:rPr>
              <w:t>Std. Deviation</w:t>
            </w:r>
          </w:p>
        </w:tc>
        <w:tc>
          <w:tcPr>
            <w:tcW w:w="1396" w:type="dxa"/>
            <w:tcBorders>
              <w:top w:val="single" w:sz="4" w:space="0" w:color="auto"/>
              <w:left w:val="nil"/>
              <w:bottom w:val="single" w:sz="4" w:space="0" w:color="auto"/>
              <w:right w:val="nil"/>
            </w:tcBorders>
            <w:hideMark/>
          </w:tcPr>
          <w:p w14:paraId="31579366" w14:textId="77777777" w:rsidR="001856BB" w:rsidRPr="006565EC" w:rsidRDefault="001856BB">
            <w:pPr>
              <w:jc w:val="center"/>
              <w:rPr>
                <w:rFonts w:ascii="Arial" w:hAnsi="Arial" w:cs="Arial"/>
                <w:sz w:val="18"/>
                <w:szCs w:val="18"/>
              </w:rPr>
            </w:pPr>
            <w:r w:rsidRPr="006565EC">
              <w:rPr>
                <w:rFonts w:ascii="Arial" w:hAnsi="Arial" w:cs="Arial"/>
                <w:sz w:val="18"/>
                <w:szCs w:val="18"/>
              </w:rPr>
              <w:t>Interpretation</w:t>
            </w:r>
          </w:p>
        </w:tc>
      </w:tr>
      <w:tr w:rsidR="001856BB" w:rsidRPr="006565EC" w14:paraId="0A59A1AC" w14:textId="77777777" w:rsidTr="008E19B7">
        <w:trPr>
          <w:trHeight w:val="419"/>
        </w:trPr>
        <w:tc>
          <w:tcPr>
            <w:tcW w:w="4575" w:type="dxa"/>
            <w:tcBorders>
              <w:top w:val="single" w:sz="4" w:space="0" w:color="auto"/>
              <w:left w:val="nil"/>
              <w:bottom w:val="single" w:sz="4" w:space="0" w:color="auto"/>
              <w:right w:val="nil"/>
            </w:tcBorders>
            <w:hideMark/>
          </w:tcPr>
          <w:p w14:paraId="32193ABF"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DOrSU’s</w:t>
            </w:r>
            <w:proofErr w:type="spellEnd"/>
            <w:r w:rsidRPr="006565EC">
              <w:rPr>
                <w:rFonts w:ascii="Arial" w:eastAsia="SimSun" w:hAnsi="Arial" w:cs="Arial"/>
                <w:color w:val="000000"/>
                <w:sz w:val="18"/>
                <w:szCs w:val="18"/>
                <w:lang w:eastAsia="zh-CN" w:bidi="ar"/>
              </w:rPr>
              <w:t xml:space="preserve"> vision is to be “A university of excellence, innovation, and inclusion.</w:t>
            </w:r>
          </w:p>
        </w:tc>
        <w:tc>
          <w:tcPr>
            <w:tcW w:w="830" w:type="dxa"/>
            <w:tcBorders>
              <w:top w:val="single" w:sz="4" w:space="0" w:color="auto"/>
              <w:left w:val="nil"/>
              <w:bottom w:val="single" w:sz="4" w:space="0" w:color="auto"/>
              <w:right w:val="nil"/>
            </w:tcBorders>
            <w:shd w:val="clear" w:color="auto" w:fill="FFFFFF"/>
            <w:vAlign w:val="center"/>
            <w:hideMark/>
          </w:tcPr>
          <w:p w14:paraId="0CEF7EA4" w14:textId="77777777" w:rsidR="001856BB" w:rsidRPr="006565EC" w:rsidRDefault="001856BB">
            <w:pPr>
              <w:ind w:left="60" w:right="60"/>
              <w:jc w:val="center"/>
              <w:rPr>
                <w:rFonts w:ascii="Arial" w:hAnsi="Arial"/>
                <w:sz w:val="18"/>
                <w:szCs w:val="18"/>
              </w:rPr>
            </w:pPr>
            <w:r w:rsidRPr="006565EC">
              <w:rPr>
                <w:rFonts w:ascii="Arial" w:hAnsi="Arial"/>
                <w:sz w:val="18"/>
                <w:szCs w:val="18"/>
              </w:rPr>
              <w:t>4.58</w:t>
            </w:r>
          </w:p>
        </w:tc>
        <w:tc>
          <w:tcPr>
            <w:tcW w:w="1453" w:type="dxa"/>
            <w:tcBorders>
              <w:top w:val="single" w:sz="4" w:space="0" w:color="auto"/>
              <w:left w:val="nil"/>
              <w:bottom w:val="single" w:sz="4" w:space="0" w:color="auto"/>
              <w:right w:val="nil"/>
            </w:tcBorders>
            <w:shd w:val="clear" w:color="auto" w:fill="FFFFFF"/>
            <w:vAlign w:val="center"/>
            <w:hideMark/>
          </w:tcPr>
          <w:p w14:paraId="5ADA1778" w14:textId="77777777" w:rsidR="001856BB" w:rsidRPr="006565EC" w:rsidRDefault="001856BB">
            <w:pPr>
              <w:ind w:left="60" w:right="60"/>
              <w:jc w:val="center"/>
              <w:rPr>
                <w:rFonts w:ascii="Arial" w:hAnsi="Arial"/>
                <w:sz w:val="18"/>
                <w:szCs w:val="18"/>
              </w:rPr>
            </w:pPr>
            <w:r w:rsidRPr="006565EC">
              <w:rPr>
                <w:rFonts w:ascii="Arial" w:hAnsi="Arial"/>
                <w:sz w:val="18"/>
                <w:szCs w:val="18"/>
              </w:rPr>
              <w:t>.58</w:t>
            </w:r>
          </w:p>
        </w:tc>
        <w:tc>
          <w:tcPr>
            <w:tcW w:w="1396" w:type="dxa"/>
            <w:tcBorders>
              <w:top w:val="single" w:sz="4" w:space="0" w:color="auto"/>
              <w:left w:val="nil"/>
              <w:bottom w:val="single" w:sz="4" w:space="0" w:color="auto"/>
              <w:right w:val="nil"/>
            </w:tcBorders>
            <w:vAlign w:val="center"/>
            <w:hideMark/>
          </w:tcPr>
          <w:p w14:paraId="7BC331C7"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r w:rsidR="001856BB" w:rsidRPr="006565EC" w14:paraId="1E5D75DE" w14:textId="77777777" w:rsidTr="008E19B7">
        <w:trPr>
          <w:trHeight w:val="419"/>
        </w:trPr>
        <w:tc>
          <w:tcPr>
            <w:tcW w:w="4575" w:type="dxa"/>
            <w:tcBorders>
              <w:top w:val="single" w:sz="4" w:space="0" w:color="auto"/>
              <w:left w:val="nil"/>
              <w:bottom w:val="single" w:sz="4" w:space="0" w:color="auto"/>
              <w:right w:val="nil"/>
            </w:tcBorders>
            <w:hideMark/>
          </w:tcPr>
          <w:p w14:paraId="2B9BF90F"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w:t>
            </w:r>
            <w:proofErr w:type="spellEnd"/>
            <w:r w:rsidRPr="006565EC">
              <w:rPr>
                <w:rFonts w:ascii="Arial" w:eastAsia="SimSun" w:hAnsi="Arial" w:cs="Arial"/>
                <w:color w:val="000000"/>
                <w:sz w:val="18"/>
                <w:szCs w:val="18"/>
                <w:lang w:eastAsia="zh-CN" w:bidi="ar"/>
              </w:rPr>
              <w:t xml:space="preserve"> delivers higher-quality education based on nationalism, high morale, and human diversity.</w:t>
            </w:r>
          </w:p>
        </w:tc>
        <w:tc>
          <w:tcPr>
            <w:tcW w:w="830" w:type="dxa"/>
            <w:tcBorders>
              <w:top w:val="single" w:sz="4" w:space="0" w:color="auto"/>
              <w:left w:val="nil"/>
              <w:bottom w:val="single" w:sz="4" w:space="0" w:color="auto"/>
              <w:right w:val="nil"/>
            </w:tcBorders>
            <w:shd w:val="clear" w:color="auto" w:fill="FFFFFF"/>
            <w:vAlign w:val="center"/>
            <w:hideMark/>
          </w:tcPr>
          <w:p w14:paraId="19AE896C" w14:textId="77777777" w:rsidR="001856BB" w:rsidRPr="006565EC" w:rsidRDefault="001856BB">
            <w:pPr>
              <w:ind w:left="60" w:right="60"/>
              <w:jc w:val="center"/>
              <w:rPr>
                <w:rFonts w:ascii="Arial" w:hAnsi="Arial"/>
                <w:sz w:val="18"/>
                <w:szCs w:val="18"/>
              </w:rPr>
            </w:pPr>
            <w:r w:rsidRPr="006565EC">
              <w:rPr>
                <w:rFonts w:ascii="Arial" w:hAnsi="Arial"/>
                <w:sz w:val="18"/>
                <w:szCs w:val="18"/>
              </w:rPr>
              <w:t>4.58</w:t>
            </w:r>
          </w:p>
        </w:tc>
        <w:tc>
          <w:tcPr>
            <w:tcW w:w="1453" w:type="dxa"/>
            <w:tcBorders>
              <w:top w:val="single" w:sz="4" w:space="0" w:color="auto"/>
              <w:left w:val="nil"/>
              <w:bottom w:val="single" w:sz="4" w:space="0" w:color="auto"/>
              <w:right w:val="nil"/>
            </w:tcBorders>
            <w:shd w:val="clear" w:color="auto" w:fill="FFFFFF"/>
            <w:vAlign w:val="center"/>
            <w:hideMark/>
          </w:tcPr>
          <w:p w14:paraId="57DAA6F6" w14:textId="77777777" w:rsidR="001856BB" w:rsidRPr="006565EC" w:rsidRDefault="001856BB">
            <w:pPr>
              <w:ind w:left="60" w:right="60"/>
              <w:jc w:val="center"/>
              <w:rPr>
                <w:rFonts w:ascii="Arial" w:hAnsi="Arial"/>
                <w:sz w:val="18"/>
                <w:szCs w:val="18"/>
              </w:rPr>
            </w:pPr>
            <w:r w:rsidRPr="006565EC">
              <w:rPr>
                <w:rFonts w:ascii="Arial" w:hAnsi="Arial"/>
                <w:sz w:val="18"/>
                <w:szCs w:val="18"/>
              </w:rPr>
              <w:t>.57</w:t>
            </w:r>
          </w:p>
        </w:tc>
        <w:tc>
          <w:tcPr>
            <w:tcW w:w="1396" w:type="dxa"/>
            <w:tcBorders>
              <w:top w:val="single" w:sz="4" w:space="0" w:color="auto"/>
              <w:left w:val="nil"/>
              <w:bottom w:val="single" w:sz="4" w:space="0" w:color="auto"/>
              <w:right w:val="nil"/>
            </w:tcBorders>
            <w:vAlign w:val="center"/>
            <w:hideMark/>
          </w:tcPr>
          <w:p w14:paraId="7A440414"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r w:rsidR="001856BB" w:rsidRPr="006565EC" w14:paraId="2517A7C6" w14:textId="77777777" w:rsidTr="008E19B7">
        <w:trPr>
          <w:trHeight w:val="419"/>
        </w:trPr>
        <w:tc>
          <w:tcPr>
            <w:tcW w:w="4575" w:type="dxa"/>
            <w:tcBorders>
              <w:top w:val="single" w:sz="4" w:space="0" w:color="auto"/>
              <w:left w:val="nil"/>
              <w:bottom w:val="single" w:sz="4" w:space="0" w:color="auto"/>
              <w:right w:val="nil"/>
            </w:tcBorders>
            <w:hideMark/>
          </w:tcPr>
          <w:p w14:paraId="027F9035" w14:textId="77777777" w:rsidR="001856BB" w:rsidRPr="006565EC" w:rsidRDefault="001856BB">
            <w:pPr>
              <w:rPr>
                <w:rFonts w:ascii="Arial" w:hAnsi="Arial" w:cs="Arial"/>
                <w:sz w:val="18"/>
                <w:szCs w:val="18"/>
              </w:rPr>
            </w:pPr>
            <w:proofErr w:type="spellStart"/>
            <w:r w:rsidRPr="006565EC">
              <w:rPr>
                <w:rFonts w:ascii="Arial" w:eastAsia="SimSun" w:hAnsi="Arial" w:cs="Arial"/>
                <w:color w:val="000000"/>
                <w:sz w:val="18"/>
                <w:szCs w:val="18"/>
                <w:lang w:eastAsia="zh-CN" w:bidi="ar"/>
              </w:rPr>
              <w:t>DOrSU</w:t>
            </w:r>
            <w:proofErr w:type="spellEnd"/>
            <w:r w:rsidRPr="006565EC">
              <w:rPr>
                <w:rFonts w:ascii="Arial" w:eastAsia="SimSun" w:hAnsi="Arial" w:cs="Arial"/>
                <w:color w:val="000000"/>
                <w:sz w:val="18"/>
                <w:szCs w:val="18"/>
                <w:lang w:eastAsia="zh-CN" w:bidi="ar"/>
              </w:rPr>
              <w:t xml:space="preserve"> emphasizes gender and environmental sensitivity in research-based development</w:t>
            </w:r>
          </w:p>
        </w:tc>
        <w:tc>
          <w:tcPr>
            <w:tcW w:w="830" w:type="dxa"/>
            <w:tcBorders>
              <w:top w:val="single" w:sz="4" w:space="0" w:color="auto"/>
              <w:left w:val="nil"/>
              <w:bottom w:val="single" w:sz="4" w:space="0" w:color="auto"/>
              <w:right w:val="nil"/>
            </w:tcBorders>
            <w:shd w:val="clear" w:color="auto" w:fill="FFFFFF"/>
            <w:vAlign w:val="center"/>
            <w:hideMark/>
          </w:tcPr>
          <w:p w14:paraId="72CBEA76" w14:textId="77777777" w:rsidR="001856BB" w:rsidRPr="006565EC" w:rsidRDefault="001856BB">
            <w:pPr>
              <w:ind w:left="60" w:right="60"/>
              <w:jc w:val="center"/>
              <w:rPr>
                <w:rFonts w:ascii="Arial" w:hAnsi="Arial"/>
                <w:sz w:val="18"/>
                <w:szCs w:val="18"/>
              </w:rPr>
            </w:pPr>
            <w:r w:rsidRPr="006565EC">
              <w:rPr>
                <w:rFonts w:ascii="Arial" w:hAnsi="Arial"/>
                <w:sz w:val="18"/>
                <w:szCs w:val="18"/>
              </w:rPr>
              <w:t>4.52</w:t>
            </w:r>
          </w:p>
        </w:tc>
        <w:tc>
          <w:tcPr>
            <w:tcW w:w="1453" w:type="dxa"/>
            <w:tcBorders>
              <w:top w:val="single" w:sz="4" w:space="0" w:color="auto"/>
              <w:left w:val="nil"/>
              <w:bottom w:val="single" w:sz="4" w:space="0" w:color="auto"/>
              <w:right w:val="nil"/>
            </w:tcBorders>
            <w:shd w:val="clear" w:color="auto" w:fill="FFFFFF"/>
            <w:vAlign w:val="center"/>
            <w:hideMark/>
          </w:tcPr>
          <w:p w14:paraId="13EEAD54" w14:textId="77777777" w:rsidR="001856BB" w:rsidRPr="006565EC" w:rsidRDefault="001856BB">
            <w:pPr>
              <w:ind w:left="60" w:right="60"/>
              <w:jc w:val="center"/>
              <w:rPr>
                <w:rFonts w:ascii="Arial" w:hAnsi="Arial"/>
                <w:sz w:val="18"/>
                <w:szCs w:val="18"/>
              </w:rPr>
            </w:pPr>
            <w:r w:rsidRPr="006565EC">
              <w:rPr>
                <w:rFonts w:ascii="Arial" w:hAnsi="Arial"/>
                <w:sz w:val="18"/>
                <w:szCs w:val="18"/>
              </w:rPr>
              <w:t>.60</w:t>
            </w:r>
          </w:p>
        </w:tc>
        <w:tc>
          <w:tcPr>
            <w:tcW w:w="1396" w:type="dxa"/>
            <w:tcBorders>
              <w:top w:val="single" w:sz="4" w:space="0" w:color="auto"/>
              <w:left w:val="nil"/>
              <w:bottom w:val="single" w:sz="4" w:space="0" w:color="auto"/>
              <w:right w:val="nil"/>
            </w:tcBorders>
            <w:vAlign w:val="center"/>
            <w:hideMark/>
          </w:tcPr>
          <w:p w14:paraId="467C2EAE" w14:textId="77777777" w:rsidR="001856BB" w:rsidRPr="006565EC" w:rsidRDefault="001856BB">
            <w:pPr>
              <w:jc w:val="center"/>
              <w:rPr>
                <w:rFonts w:ascii="Arial" w:hAnsi="Arial" w:cs="Arial"/>
                <w:sz w:val="18"/>
                <w:szCs w:val="18"/>
              </w:rPr>
            </w:pPr>
            <w:r w:rsidRPr="006565EC">
              <w:rPr>
                <w:rFonts w:ascii="Arial" w:hAnsi="Arial" w:cs="Arial"/>
                <w:sz w:val="18"/>
                <w:szCs w:val="18"/>
              </w:rPr>
              <w:t>Fully Aware</w:t>
            </w:r>
          </w:p>
        </w:tc>
      </w:tr>
    </w:tbl>
    <w:p w14:paraId="53A67CEC" w14:textId="77777777" w:rsidR="006565EC" w:rsidRDefault="006565EC" w:rsidP="001856BB">
      <w:pPr>
        <w:jc w:val="both"/>
        <w:rPr>
          <w:rFonts w:ascii="Arial" w:eastAsia="Arial" w:hAnsi="Arial" w:cs="Arial"/>
        </w:rPr>
      </w:pPr>
    </w:p>
    <w:p w14:paraId="614FE031" w14:textId="77777777" w:rsidR="00372A1B" w:rsidRDefault="00372A1B" w:rsidP="00372A1B">
      <w:pPr>
        <w:ind w:firstLine="720"/>
        <w:jc w:val="both"/>
        <w:rPr>
          <w:rFonts w:ascii="Arial" w:hAnsi="Arial" w:cs="Arial"/>
        </w:rPr>
      </w:pPr>
      <w:r w:rsidRPr="00372A1B">
        <w:rPr>
          <w:rFonts w:ascii="Arial" w:hAnsi="Arial" w:cs="Arial"/>
        </w:rPr>
        <w:t>The results show that stakeholders have a strong grasp of the university’s vision, particularly in aspects related to institutional excellence and educational quality. As supported by Roberts et al. (2016), clear and consistent communication of institutional goals enhances stakeholder alignment and awareness. However, the slightly lower score suggests that some elements of the vision may not be as effectively emphasized or understood, which calls for targeted communication strategies.</w:t>
      </w:r>
    </w:p>
    <w:p w14:paraId="5058A56C" w14:textId="77777777" w:rsidR="00372A1B" w:rsidRDefault="00372A1B" w:rsidP="00FA1462">
      <w:pPr>
        <w:ind w:firstLine="720"/>
        <w:jc w:val="both"/>
        <w:rPr>
          <w:rFonts w:ascii="Arial" w:hAnsi="Arial" w:cs="Arial"/>
        </w:rPr>
      </w:pPr>
      <w:r w:rsidRPr="00372A1B">
        <w:rPr>
          <w:rFonts w:ascii="Arial" w:hAnsi="Arial" w:cs="Arial"/>
        </w:rPr>
        <w:t xml:space="preserve">This aligns with Freeman's Stakeholder Theory (1984), which emphasizes the importance of institutions considering and engaging all stakeholders in a meaningful manner. To fully achieve its vision, </w:t>
      </w:r>
      <w:proofErr w:type="spellStart"/>
      <w:r w:rsidRPr="00372A1B">
        <w:rPr>
          <w:rFonts w:ascii="Arial" w:hAnsi="Arial" w:cs="Arial"/>
        </w:rPr>
        <w:t>DOrSU</w:t>
      </w:r>
      <w:proofErr w:type="spellEnd"/>
      <w:r w:rsidRPr="00372A1B">
        <w:rPr>
          <w:rFonts w:ascii="Arial" w:hAnsi="Arial" w:cs="Arial"/>
        </w:rPr>
        <w:t xml:space="preserve"> must ensure that each component is equally communicated, enabling every stakeholder to participate in the shared direction and purpose of the institution.</w:t>
      </w:r>
    </w:p>
    <w:p w14:paraId="36F6A1FC" w14:textId="77777777" w:rsidR="00AA16CD" w:rsidRPr="00372A1B" w:rsidRDefault="00AA16CD" w:rsidP="00372A1B">
      <w:pPr>
        <w:ind w:firstLine="720"/>
        <w:jc w:val="both"/>
        <w:rPr>
          <w:rFonts w:ascii="Arial" w:hAnsi="Arial" w:cs="Arial"/>
        </w:rPr>
      </w:pPr>
    </w:p>
    <w:p w14:paraId="73CEF01B" w14:textId="2F1A1306" w:rsidR="00372A1B" w:rsidRDefault="00372A1B" w:rsidP="00372A1B">
      <w:pPr>
        <w:ind w:firstLine="720"/>
        <w:jc w:val="both"/>
        <w:rPr>
          <w:rFonts w:ascii="Arial" w:hAnsi="Arial" w:cs="Arial"/>
        </w:rPr>
      </w:pPr>
      <w:r w:rsidRPr="00372A1B">
        <w:rPr>
          <w:rFonts w:ascii="Arial" w:eastAsia="Calibri" w:hAnsi="Arial" w:cs="Arial"/>
          <w:bCs/>
        </w:rPr>
        <w:t xml:space="preserve">Table </w:t>
      </w:r>
      <w:r w:rsidR="00AC1665">
        <w:rPr>
          <w:rFonts w:ascii="Arial" w:eastAsia="Calibri" w:hAnsi="Arial" w:cs="Arial"/>
          <w:bCs/>
        </w:rPr>
        <w:t>6</w:t>
      </w:r>
      <w:r w:rsidRPr="00372A1B">
        <w:rPr>
          <w:rFonts w:ascii="Arial" w:eastAsia="Calibri" w:hAnsi="Arial" w:cs="Arial"/>
          <w:bCs/>
        </w:rPr>
        <w:t xml:space="preserve"> presents the level of awareness of </w:t>
      </w:r>
      <w:proofErr w:type="spellStart"/>
      <w:r w:rsidRPr="00372A1B">
        <w:rPr>
          <w:rFonts w:ascii="Arial" w:eastAsia="Calibri" w:hAnsi="Arial" w:cs="Arial"/>
          <w:bCs/>
        </w:rPr>
        <w:t>BEEd</w:t>
      </w:r>
      <w:proofErr w:type="spellEnd"/>
      <w:r w:rsidRPr="00372A1B">
        <w:rPr>
          <w:rFonts w:ascii="Arial" w:eastAsia="Calibri" w:hAnsi="Arial" w:cs="Arial"/>
          <w:bCs/>
        </w:rPr>
        <w:t xml:space="preserve"> stakeholders on </w:t>
      </w:r>
      <w:proofErr w:type="spellStart"/>
      <w:r w:rsidRPr="00372A1B">
        <w:rPr>
          <w:rFonts w:ascii="Arial" w:eastAsia="Calibri" w:hAnsi="Arial" w:cs="Arial"/>
          <w:bCs/>
        </w:rPr>
        <w:t>DOrSU’s</w:t>
      </w:r>
      <w:proofErr w:type="spellEnd"/>
      <w:r w:rsidRPr="00372A1B">
        <w:rPr>
          <w:rFonts w:ascii="Arial" w:eastAsia="Calibri" w:hAnsi="Arial" w:cs="Arial"/>
          <w:bCs/>
        </w:rPr>
        <w:t xml:space="preserve"> Mission. It shows that all </w:t>
      </w:r>
      <w:r w:rsidRPr="00372A1B">
        <w:rPr>
          <w:rFonts w:ascii="Arial" w:hAnsi="Arial" w:cs="Arial"/>
        </w:rPr>
        <w:t xml:space="preserve">items received a qualitative interpretation of “Fully Aware,” with mean scores (ranging from x̄ = 4.54 – 4.60), indicating that stakeholders are highly familiar with the university’s mission statements. The highest level of awareness, </w:t>
      </w:r>
      <w:r w:rsidR="00FA1462" w:rsidRPr="00372A1B">
        <w:rPr>
          <w:rFonts w:ascii="Arial" w:hAnsi="Arial" w:cs="Arial"/>
        </w:rPr>
        <w:t>recorded (</w:t>
      </w:r>
      <w:r w:rsidRPr="00372A1B">
        <w:rPr>
          <w:rFonts w:ascii="Arial" w:hAnsi="Arial" w:cs="Arial"/>
        </w:rPr>
        <w:t xml:space="preserve">x̄ = 4.60), pertains </w:t>
      </w:r>
      <w:r w:rsidRPr="00372A1B">
        <w:rPr>
          <w:rFonts w:ascii="Arial" w:hAnsi="Arial" w:cs="Arial"/>
        </w:rPr>
        <w:lastRenderedPageBreak/>
        <w:t>to three statements: (1) that the mission includes elevating knowledge generation, utilization, and distribution, (2) that it addresses the needs of the local and global community, and (3) that it aims to produce holistic, creative, and inclusive human resources. Meanwhile, the lowest observed mean score (x̄ = 4.54) is on the statement that “</w:t>
      </w:r>
      <w:proofErr w:type="spellStart"/>
      <w:r w:rsidRPr="00372A1B">
        <w:rPr>
          <w:rFonts w:ascii="Arial" w:hAnsi="Arial" w:cs="Arial"/>
        </w:rPr>
        <w:t>DOrSU</w:t>
      </w:r>
      <w:proofErr w:type="spellEnd"/>
      <w:r w:rsidRPr="00372A1B">
        <w:rPr>
          <w:rFonts w:ascii="Arial" w:hAnsi="Arial" w:cs="Arial"/>
        </w:rPr>
        <w:t xml:space="preserve"> promotes inclusive sustainable development through research and extension-based education.” </w:t>
      </w:r>
    </w:p>
    <w:p w14:paraId="73FE3142" w14:textId="77777777" w:rsidR="00AC1665" w:rsidRPr="00372A1B" w:rsidRDefault="00AC1665" w:rsidP="00372A1B">
      <w:pPr>
        <w:ind w:firstLine="720"/>
        <w:jc w:val="both"/>
        <w:rPr>
          <w:rFonts w:ascii="Arial" w:hAnsi="Arial" w:cs="Arial"/>
        </w:rPr>
      </w:pPr>
    </w:p>
    <w:p w14:paraId="64DE2DC6" w14:textId="42A5E001" w:rsidR="00372A1B" w:rsidRPr="00372A1B" w:rsidRDefault="00372A1B" w:rsidP="00372A1B">
      <w:pPr>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6</w:t>
      </w:r>
      <w:r w:rsidRPr="00372A1B">
        <w:rPr>
          <w:rFonts w:ascii="Arial" w:hAnsi="Arial" w:cs="Arial"/>
        </w:rPr>
        <w:t xml:space="preserve">: </w:t>
      </w:r>
      <w:r w:rsidRPr="00372A1B">
        <w:rPr>
          <w:rFonts w:ascii="Arial" w:hAnsi="Arial" w:cs="Arial"/>
          <w:color w:val="000000" w:themeColor="text1"/>
          <w:lang w:val="en-PH"/>
        </w:rPr>
        <w:t xml:space="preserve">Level of awareness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mission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0"/>
        <w:gridCol w:w="836"/>
        <w:gridCol w:w="1464"/>
        <w:gridCol w:w="1407"/>
      </w:tblGrid>
      <w:tr w:rsidR="00372A1B" w:rsidRPr="00AC1665" w14:paraId="4AF0E6ED" w14:textId="77777777" w:rsidTr="00AC1665">
        <w:trPr>
          <w:trHeight w:val="206"/>
        </w:trPr>
        <w:tc>
          <w:tcPr>
            <w:tcW w:w="4610" w:type="dxa"/>
            <w:tcBorders>
              <w:bottom w:val="single" w:sz="4" w:space="0" w:color="auto"/>
            </w:tcBorders>
          </w:tcPr>
          <w:p w14:paraId="3A8EE96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6" w:type="dxa"/>
            <w:tcBorders>
              <w:bottom w:val="single" w:sz="4" w:space="0" w:color="auto"/>
            </w:tcBorders>
          </w:tcPr>
          <w:p w14:paraId="179D2AE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64" w:type="dxa"/>
            <w:tcBorders>
              <w:bottom w:val="single" w:sz="4" w:space="0" w:color="auto"/>
            </w:tcBorders>
          </w:tcPr>
          <w:p w14:paraId="0382A30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7" w:type="dxa"/>
            <w:tcBorders>
              <w:bottom w:val="single" w:sz="4" w:space="0" w:color="auto"/>
            </w:tcBorders>
          </w:tcPr>
          <w:p w14:paraId="45B4FA3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014E3E1F" w14:textId="77777777" w:rsidTr="00AC1665">
        <w:trPr>
          <w:trHeight w:val="413"/>
        </w:trPr>
        <w:tc>
          <w:tcPr>
            <w:tcW w:w="4610" w:type="dxa"/>
            <w:tcBorders>
              <w:top w:val="single" w:sz="4" w:space="0" w:color="auto"/>
              <w:bottom w:val="single" w:sz="4" w:space="0" w:color="auto"/>
            </w:tcBorders>
          </w:tcPr>
          <w:p w14:paraId="16D7FA1A"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mission of </w:t>
            </w: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includes elevating knowledge generation, utilization, and distribution.</w:t>
            </w:r>
          </w:p>
        </w:tc>
        <w:tc>
          <w:tcPr>
            <w:tcW w:w="836" w:type="dxa"/>
            <w:tcBorders>
              <w:top w:val="single" w:sz="4" w:space="0" w:color="auto"/>
              <w:bottom w:val="single" w:sz="4" w:space="0" w:color="auto"/>
            </w:tcBorders>
            <w:shd w:val="clear" w:color="auto" w:fill="FFFFFF"/>
            <w:vAlign w:val="center"/>
          </w:tcPr>
          <w:p w14:paraId="76A26F6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509929A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1EDF8DC3"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1F9AFD35" w14:textId="77777777" w:rsidTr="00AC1665">
        <w:trPr>
          <w:trHeight w:val="619"/>
        </w:trPr>
        <w:tc>
          <w:tcPr>
            <w:tcW w:w="4610" w:type="dxa"/>
            <w:tcBorders>
              <w:top w:val="single" w:sz="4" w:space="0" w:color="auto"/>
              <w:bottom w:val="single" w:sz="4" w:space="0" w:color="auto"/>
            </w:tcBorders>
          </w:tcPr>
          <w:p w14:paraId="31B1DB4B"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promotes inclusive and sustainable development through research- and extension-based education.</w:t>
            </w:r>
          </w:p>
        </w:tc>
        <w:tc>
          <w:tcPr>
            <w:tcW w:w="836" w:type="dxa"/>
            <w:tcBorders>
              <w:top w:val="single" w:sz="4" w:space="0" w:color="auto"/>
              <w:bottom w:val="single" w:sz="4" w:space="0" w:color="auto"/>
            </w:tcBorders>
            <w:shd w:val="clear" w:color="auto" w:fill="FFFFFF"/>
            <w:vAlign w:val="center"/>
          </w:tcPr>
          <w:p w14:paraId="0F36904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4.54</w:t>
            </w:r>
          </w:p>
        </w:tc>
        <w:tc>
          <w:tcPr>
            <w:tcW w:w="1464" w:type="dxa"/>
            <w:tcBorders>
              <w:top w:val="single" w:sz="4" w:space="0" w:color="auto"/>
              <w:bottom w:val="single" w:sz="4" w:space="0" w:color="auto"/>
            </w:tcBorders>
            <w:shd w:val="clear" w:color="auto" w:fill="FFFFFF"/>
            <w:vAlign w:val="center"/>
          </w:tcPr>
          <w:p w14:paraId="3B49FCC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7" w:type="dxa"/>
            <w:tcBorders>
              <w:top w:val="single" w:sz="4" w:space="0" w:color="auto"/>
              <w:bottom w:val="single" w:sz="4" w:space="0" w:color="auto"/>
            </w:tcBorders>
            <w:vAlign w:val="center"/>
          </w:tcPr>
          <w:p w14:paraId="2074101D"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6F4B9F55" w14:textId="77777777" w:rsidTr="00AC1665">
        <w:trPr>
          <w:trHeight w:val="413"/>
        </w:trPr>
        <w:tc>
          <w:tcPr>
            <w:tcW w:w="4610" w:type="dxa"/>
            <w:tcBorders>
              <w:top w:val="single" w:sz="4" w:space="0" w:color="auto"/>
              <w:bottom w:val="single" w:sz="4" w:space="0" w:color="auto"/>
            </w:tcBorders>
          </w:tcPr>
          <w:p w14:paraId="17F09779"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addresses the needs of the local and global community.</w:t>
            </w:r>
          </w:p>
        </w:tc>
        <w:tc>
          <w:tcPr>
            <w:tcW w:w="836" w:type="dxa"/>
            <w:tcBorders>
              <w:top w:val="single" w:sz="4" w:space="0" w:color="auto"/>
              <w:bottom w:val="single" w:sz="4" w:space="0" w:color="auto"/>
            </w:tcBorders>
            <w:shd w:val="clear" w:color="auto" w:fill="FFFFFF"/>
            <w:vAlign w:val="center"/>
          </w:tcPr>
          <w:p w14:paraId="03EFBFC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1F9DA97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7" w:type="dxa"/>
            <w:tcBorders>
              <w:top w:val="single" w:sz="4" w:space="0" w:color="auto"/>
              <w:bottom w:val="single" w:sz="4" w:space="0" w:color="auto"/>
            </w:tcBorders>
            <w:vAlign w:val="center"/>
          </w:tcPr>
          <w:p w14:paraId="7E7BD29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788E8E5B" w14:textId="77777777" w:rsidTr="00AC1665">
        <w:trPr>
          <w:trHeight w:val="413"/>
        </w:trPr>
        <w:tc>
          <w:tcPr>
            <w:tcW w:w="4610" w:type="dxa"/>
            <w:tcBorders>
              <w:top w:val="single" w:sz="4" w:space="0" w:color="auto"/>
              <w:bottom w:val="single" w:sz="4" w:space="0" w:color="auto"/>
            </w:tcBorders>
          </w:tcPr>
          <w:p w14:paraId="432C790A"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aims to produce holistic, creative, and inclusive human resources. </w:t>
            </w:r>
          </w:p>
        </w:tc>
        <w:tc>
          <w:tcPr>
            <w:tcW w:w="836" w:type="dxa"/>
            <w:tcBorders>
              <w:top w:val="single" w:sz="4" w:space="0" w:color="auto"/>
              <w:bottom w:val="single" w:sz="4" w:space="0" w:color="auto"/>
            </w:tcBorders>
            <w:shd w:val="clear" w:color="auto" w:fill="FFFFFF"/>
            <w:vAlign w:val="center"/>
          </w:tcPr>
          <w:p w14:paraId="1C2C438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4.60</w:t>
            </w:r>
          </w:p>
        </w:tc>
        <w:tc>
          <w:tcPr>
            <w:tcW w:w="1464" w:type="dxa"/>
            <w:tcBorders>
              <w:top w:val="single" w:sz="4" w:space="0" w:color="auto"/>
              <w:bottom w:val="single" w:sz="4" w:space="0" w:color="auto"/>
            </w:tcBorders>
            <w:shd w:val="clear" w:color="auto" w:fill="FFFFFF"/>
            <w:vAlign w:val="center"/>
          </w:tcPr>
          <w:p w14:paraId="69279C8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7" w:type="dxa"/>
            <w:tcBorders>
              <w:top w:val="single" w:sz="4" w:space="0" w:color="auto"/>
              <w:bottom w:val="single" w:sz="4" w:space="0" w:color="auto"/>
            </w:tcBorders>
            <w:vAlign w:val="center"/>
          </w:tcPr>
          <w:p w14:paraId="2FAC1AD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15807852" w14:textId="77777777" w:rsidTr="00AC1665">
        <w:trPr>
          <w:trHeight w:val="429"/>
        </w:trPr>
        <w:tc>
          <w:tcPr>
            <w:tcW w:w="4610" w:type="dxa"/>
            <w:tcBorders>
              <w:top w:val="single" w:sz="4" w:space="0" w:color="auto"/>
              <w:bottom w:val="single" w:sz="4" w:space="0" w:color="auto"/>
            </w:tcBorders>
          </w:tcPr>
          <w:p w14:paraId="0FF83A9D"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focuses on resilience to global challenges while maintaining a strong sense of nationhood</w:t>
            </w:r>
          </w:p>
        </w:tc>
        <w:tc>
          <w:tcPr>
            <w:tcW w:w="836" w:type="dxa"/>
            <w:tcBorders>
              <w:top w:val="single" w:sz="4" w:space="0" w:color="auto"/>
              <w:bottom w:val="single" w:sz="4" w:space="0" w:color="auto"/>
            </w:tcBorders>
            <w:shd w:val="clear" w:color="auto" w:fill="FFFFFF"/>
            <w:vAlign w:val="center"/>
          </w:tcPr>
          <w:p w14:paraId="40ED4EC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4.56</w:t>
            </w:r>
          </w:p>
        </w:tc>
        <w:tc>
          <w:tcPr>
            <w:tcW w:w="1464" w:type="dxa"/>
            <w:tcBorders>
              <w:top w:val="single" w:sz="4" w:space="0" w:color="auto"/>
              <w:bottom w:val="single" w:sz="4" w:space="0" w:color="auto"/>
            </w:tcBorders>
            <w:shd w:val="clear" w:color="auto" w:fill="FFFFFF"/>
            <w:vAlign w:val="center"/>
          </w:tcPr>
          <w:p w14:paraId="6AF34B6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129FBF7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03F3E56B" w14:textId="77777777" w:rsidTr="00AC1665">
        <w:trPr>
          <w:trHeight w:val="397"/>
        </w:trPr>
        <w:tc>
          <w:tcPr>
            <w:tcW w:w="4610" w:type="dxa"/>
            <w:tcBorders>
              <w:top w:val="single" w:sz="4" w:space="0" w:color="auto"/>
              <w:bottom w:val="single" w:sz="4" w:space="0" w:color="auto"/>
            </w:tcBorders>
          </w:tcPr>
          <w:p w14:paraId="7C949796"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w:t>
            </w:r>
            <w:proofErr w:type="spellEnd"/>
            <w:r w:rsidRPr="00AC1665">
              <w:rPr>
                <w:rFonts w:ascii="Arial" w:eastAsia="SimSun" w:hAnsi="Arial" w:cs="Arial"/>
                <w:color w:val="000000"/>
                <w:sz w:val="18"/>
                <w:szCs w:val="18"/>
                <w:lang w:eastAsia="zh-CN" w:bidi="ar"/>
              </w:rPr>
              <w:t xml:space="preserve"> empowers human resources sensitive to local and global needs</w:t>
            </w:r>
          </w:p>
        </w:tc>
        <w:tc>
          <w:tcPr>
            <w:tcW w:w="836" w:type="dxa"/>
            <w:tcBorders>
              <w:top w:val="single" w:sz="4" w:space="0" w:color="auto"/>
              <w:bottom w:val="single" w:sz="4" w:space="0" w:color="auto"/>
            </w:tcBorders>
            <w:shd w:val="clear" w:color="auto" w:fill="FFFFFF"/>
            <w:vAlign w:val="center"/>
          </w:tcPr>
          <w:p w14:paraId="6B883F5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4.56</w:t>
            </w:r>
          </w:p>
        </w:tc>
        <w:tc>
          <w:tcPr>
            <w:tcW w:w="1464" w:type="dxa"/>
            <w:tcBorders>
              <w:top w:val="single" w:sz="4" w:space="0" w:color="auto"/>
              <w:bottom w:val="single" w:sz="4" w:space="0" w:color="auto"/>
            </w:tcBorders>
            <w:shd w:val="clear" w:color="auto" w:fill="FFFFFF"/>
            <w:vAlign w:val="center"/>
          </w:tcPr>
          <w:p w14:paraId="64F3C5F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7" w:type="dxa"/>
            <w:tcBorders>
              <w:top w:val="single" w:sz="4" w:space="0" w:color="auto"/>
              <w:bottom w:val="single" w:sz="4" w:space="0" w:color="auto"/>
            </w:tcBorders>
            <w:vAlign w:val="center"/>
          </w:tcPr>
          <w:p w14:paraId="76FDDC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bl>
    <w:p w14:paraId="3EB4E927" w14:textId="77777777" w:rsidR="00372A1B" w:rsidRPr="00372A1B" w:rsidRDefault="00372A1B" w:rsidP="00372A1B">
      <w:pPr>
        <w:jc w:val="both"/>
        <w:rPr>
          <w:rFonts w:ascii="Arial" w:hAnsi="Arial" w:cs="Arial"/>
          <w:b/>
          <w:bCs/>
          <w:lang w:val="en-PH"/>
        </w:rPr>
      </w:pPr>
    </w:p>
    <w:p w14:paraId="3D61483F" w14:textId="77777777" w:rsidR="00372A1B" w:rsidRPr="00372A1B" w:rsidRDefault="00372A1B" w:rsidP="00372A1B">
      <w:pPr>
        <w:ind w:firstLine="720"/>
        <w:jc w:val="both"/>
        <w:rPr>
          <w:rFonts w:ascii="Arial" w:hAnsi="Arial" w:cs="Arial"/>
        </w:rPr>
      </w:pPr>
      <w:r w:rsidRPr="00372A1B">
        <w:rPr>
          <w:rFonts w:ascii="Arial" w:hAnsi="Arial" w:cs="Arial"/>
        </w:rPr>
        <w:t xml:space="preserve">These results suggest that </w:t>
      </w:r>
      <w:proofErr w:type="spellStart"/>
      <w:r w:rsidRPr="00372A1B">
        <w:rPr>
          <w:rFonts w:ascii="Arial" w:hAnsi="Arial" w:cs="Arial"/>
        </w:rPr>
        <w:t>BEEd</w:t>
      </w:r>
      <w:proofErr w:type="spellEnd"/>
      <w:r w:rsidRPr="00372A1B">
        <w:rPr>
          <w:rFonts w:ascii="Arial" w:hAnsi="Arial" w:cs="Arial"/>
        </w:rPr>
        <w:t xml:space="preserve"> stakeholders demonstrate strong awareness and understanding of the university’s mission, especially in its commitment to academic excellence, community engagement, and global responsiveness. As noted by Roberts et al. (2016), clear articulation of institutional missions enhances stakeholder alignment and commitment, particularly when these missions are relevant to societal advancement.</w:t>
      </w:r>
    </w:p>
    <w:p w14:paraId="3D1A835B" w14:textId="77777777" w:rsidR="008B1BC3" w:rsidRDefault="008B1BC3" w:rsidP="00372A1B">
      <w:pPr>
        <w:ind w:firstLine="720"/>
        <w:jc w:val="both"/>
        <w:rPr>
          <w:rFonts w:ascii="Arial" w:hAnsi="Arial" w:cs="Arial"/>
        </w:rPr>
      </w:pPr>
    </w:p>
    <w:p w14:paraId="7CCCDAFB" w14:textId="6EAEA5C6" w:rsidR="00372A1B" w:rsidRDefault="00372A1B" w:rsidP="00372A1B">
      <w:pPr>
        <w:ind w:firstLine="720"/>
        <w:jc w:val="both"/>
        <w:rPr>
          <w:rFonts w:ascii="Arial" w:hAnsi="Arial" w:cs="Arial"/>
        </w:rPr>
      </w:pPr>
      <w:r w:rsidRPr="00372A1B">
        <w:rPr>
          <w:rFonts w:ascii="Arial" w:eastAsia="Calibri" w:hAnsi="Arial" w:cs="Arial"/>
          <w:bCs/>
        </w:rPr>
        <w:t xml:space="preserve">Table </w:t>
      </w:r>
      <w:r w:rsidR="00AC1665">
        <w:rPr>
          <w:rFonts w:ascii="Arial" w:eastAsia="Calibri" w:hAnsi="Arial" w:cs="Arial"/>
          <w:bCs/>
        </w:rPr>
        <w:t>7</w:t>
      </w:r>
      <w:r w:rsidRPr="00372A1B">
        <w:rPr>
          <w:rFonts w:ascii="Arial" w:eastAsia="Calibri" w:hAnsi="Arial" w:cs="Arial"/>
          <w:bCs/>
        </w:rPr>
        <w:t xml:space="preserve"> presents the level of awareness of </w:t>
      </w:r>
      <w:proofErr w:type="spellStart"/>
      <w:r w:rsidRPr="00372A1B">
        <w:rPr>
          <w:rFonts w:ascii="Arial" w:eastAsia="Calibri" w:hAnsi="Arial" w:cs="Arial"/>
          <w:bCs/>
        </w:rPr>
        <w:t>BEEd</w:t>
      </w:r>
      <w:proofErr w:type="spellEnd"/>
      <w:r w:rsidRPr="00372A1B">
        <w:rPr>
          <w:rFonts w:ascii="Arial" w:eastAsia="Calibri" w:hAnsi="Arial" w:cs="Arial"/>
          <w:bCs/>
        </w:rPr>
        <w:t xml:space="preserve"> stakeholders on </w:t>
      </w:r>
      <w:proofErr w:type="spellStart"/>
      <w:r w:rsidRPr="00372A1B">
        <w:rPr>
          <w:rFonts w:ascii="Arial" w:eastAsia="Calibri" w:hAnsi="Arial" w:cs="Arial"/>
          <w:bCs/>
        </w:rPr>
        <w:t>DOrSU’s</w:t>
      </w:r>
      <w:proofErr w:type="spellEnd"/>
      <w:r w:rsidRPr="00372A1B">
        <w:rPr>
          <w:rFonts w:ascii="Arial" w:eastAsia="Calibri" w:hAnsi="Arial" w:cs="Arial"/>
          <w:bCs/>
        </w:rPr>
        <w:t xml:space="preserve"> Program Educational Objectives. It shows that all </w:t>
      </w:r>
      <w:r w:rsidRPr="00372A1B">
        <w:rPr>
          <w:rFonts w:ascii="Arial" w:hAnsi="Arial" w:cs="Arial"/>
        </w:rPr>
        <w:t xml:space="preserve">items received a qualitative interpretation of “Fully Aware,” with mean scores (ranging from x̄ = 4.58 – 4.62), indicating that stakeholders possess a strong understanding of the educational goals outlined in the </w:t>
      </w:r>
      <w:proofErr w:type="spellStart"/>
      <w:r w:rsidRPr="00372A1B">
        <w:rPr>
          <w:rFonts w:ascii="Arial" w:hAnsi="Arial" w:cs="Arial"/>
        </w:rPr>
        <w:t>BEEd</w:t>
      </w:r>
      <w:proofErr w:type="spellEnd"/>
      <w:r w:rsidRPr="00372A1B">
        <w:rPr>
          <w:rFonts w:ascii="Arial" w:hAnsi="Arial" w:cs="Arial"/>
        </w:rPr>
        <w:t xml:space="preserve"> program. The highest awareness, with a mean score (x̄ = 4.62), pertains to the statement that “</w:t>
      </w:r>
      <w:proofErr w:type="spellStart"/>
      <w:r w:rsidRPr="00372A1B">
        <w:rPr>
          <w:rFonts w:ascii="Arial" w:hAnsi="Arial" w:cs="Arial"/>
        </w:rPr>
        <w:t>BEEd</w:t>
      </w:r>
      <w:proofErr w:type="spellEnd"/>
      <w:r w:rsidRPr="00372A1B">
        <w:rPr>
          <w:rFonts w:ascii="Arial" w:hAnsi="Arial" w:cs="Arial"/>
        </w:rPr>
        <w:t xml:space="preserve"> graduates are trained to create and utilize materials appropriate to the elementary level.” On the other hand, the lowest mean score (x̄ = 4.58) was consistently observed across three indicators: (1) designing assessment tools to measure learners’ outcomes, (2) alignment of the program with </w:t>
      </w:r>
      <w:proofErr w:type="spellStart"/>
      <w:r w:rsidRPr="00372A1B">
        <w:rPr>
          <w:rFonts w:ascii="Arial" w:hAnsi="Arial" w:cs="Arial"/>
        </w:rPr>
        <w:t>DOrSU’s</w:t>
      </w:r>
      <w:proofErr w:type="spellEnd"/>
      <w:r w:rsidRPr="00372A1B">
        <w:rPr>
          <w:rFonts w:ascii="Arial" w:hAnsi="Arial" w:cs="Arial"/>
        </w:rPr>
        <w:t xml:space="preserve"> vision and mission, and (3) contribution of this alignment to institutional success. </w:t>
      </w:r>
    </w:p>
    <w:p w14:paraId="740A12FB" w14:textId="77777777" w:rsidR="00AC1665" w:rsidRPr="00372A1B" w:rsidRDefault="00AC1665" w:rsidP="00372A1B">
      <w:pPr>
        <w:ind w:firstLine="720"/>
        <w:jc w:val="both"/>
        <w:rPr>
          <w:rFonts w:ascii="Arial" w:hAnsi="Arial" w:cs="Arial"/>
        </w:rPr>
      </w:pPr>
    </w:p>
    <w:p w14:paraId="59F9C6B1" w14:textId="08DCDC1E" w:rsidR="00372A1B" w:rsidRPr="00372A1B" w:rsidRDefault="00372A1B" w:rsidP="00372A1B">
      <w:pPr>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7</w:t>
      </w:r>
      <w:r w:rsidRPr="00372A1B">
        <w:rPr>
          <w:rFonts w:ascii="Arial" w:hAnsi="Arial" w:cs="Arial"/>
        </w:rPr>
        <w:t xml:space="preserve">: </w:t>
      </w:r>
      <w:r w:rsidRPr="00372A1B">
        <w:rPr>
          <w:rFonts w:ascii="Arial" w:hAnsi="Arial" w:cs="Arial"/>
          <w:color w:val="000000" w:themeColor="text1"/>
          <w:lang w:val="en-PH"/>
        </w:rPr>
        <w:t xml:space="preserve">Level of awareness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program educational objectives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3"/>
        <w:gridCol w:w="833"/>
        <w:gridCol w:w="1458"/>
        <w:gridCol w:w="1402"/>
      </w:tblGrid>
      <w:tr w:rsidR="00372A1B" w:rsidRPr="00AC1665" w14:paraId="6E822DE0" w14:textId="77777777" w:rsidTr="00AC1665">
        <w:trPr>
          <w:trHeight w:val="204"/>
        </w:trPr>
        <w:tc>
          <w:tcPr>
            <w:tcW w:w="4593" w:type="dxa"/>
            <w:tcBorders>
              <w:bottom w:val="single" w:sz="4" w:space="0" w:color="auto"/>
            </w:tcBorders>
          </w:tcPr>
          <w:p w14:paraId="5E4869B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3" w:type="dxa"/>
            <w:tcBorders>
              <w:bottom w:val="single" w:sz="4" w:space="0" w:color="auto"/>
            </w:tcBorders>
          </w:tcPr>
          <w:p w14:paraId="1B0C5D2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58" w:type="dxa"/>
            <w:tcBorders>
              <w:bottom w:val="single" w:sz="4" w:space="0" w:color="auto"/>
            </w:tcBorders>
          </w:tcPr>
          <w:p w14:paraId="445EB2E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2" w:type="dxa"/>
            <w:tcBorders>
              <w:bottom w:val="single" w:sz="4" w:space="0" w:color="auto"/>
            </w:tcBorders>
          </w:tcPr>
          <w:p w14:paraId="00022CED"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11C610EC" w14:textId="77777777" w:rsidTr="00AC1665">
        <w:trPr>
          <w:trHeight w:val="409"/>
        </w:trPr>
        <w:tc>
          <w:tcPr>
            <w:tcW w:w="4593" w:type="dxa"/>
            <w:tcBorders>
              <w:top w:val="single" w:sz="4" w:space="0" w:color="auto"/>
              <w:bottom w:val="single" w:sz="4" w:space="0" w:color="auto"/>
            </w:tcBorders>
          </w:tcPr>
          <w:p w14:paraId="1326E9E8"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program aims to develop an in-depth understanding of the elementary learners</w:t>
            </w:r>
          </w:p>
        </w:tc>
        <w:tc>
          <w:tcPr>
            <w:tcW w:w="833" w:type="dxa"/>
            <w:tcBorders>
              <w:top w:val="single" w:sz="4" w:space="0" w:color="auto"/>
              <w:bottom w:val="single" w:sz="4" w:space="0" w:color="auto"/>
            </w:tcBorders>
            <w:shd w:val="clear" w:color="auto" w:fill="FFFFFF"/>
            <w:vAlign w:val="center"/>
          </w:tcPr>
          <w:p w14:paraId="56E8308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4.60</w:t>
            </w:r>
          </w:p>
        </w:tc>
        <w:tc>
          <w:tcPr>
            <w:tcW w:w="1458" w:type="dxa"/>
            <w:tcBorders>
              <w:top w:val="single" w:sz="4" w:space="0" w:color="auto"/>
              <w:bottom w:val="single" w:sz="4" w:space="0" w:color="auto"/>
            </w:tcBorders>
            <w:shd w:val="clear" w:color="auto" w:fill="FFFFFF"/>
            <w:vAlign w:val="center"/>
          </w:tcPr>
          <w:p w14:paraId="249AEE0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2" w:type="dxa"/>
            <w:tcBorders>
              <w:top w:val="single" w:sz="4" w:space="0" w:color="auto"/>
              <w:bottom w:val="single" w:sz="4" w:space="0" w:color="auto"/>
            </w:tcBorders>
            <w:vAlign w:val="center"/>
          </w:tcPr>
          <w:p w14:paraId="66A98E5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681458D7" w14:textId="77777777" w:rsidTr="00AC1665">
        <w:trPr>
          <w:trHeight w:val="613"/>
        </w:trPr>
        <w:tc>
          <w:tcPr>
            <w:tcW w:w="4593" w:type="dxa"/>
            <w:tcBorders>
              <w:top w:val="single" w:sz="4" w:space="0" w:color="auto"/>
              <w:bottom w:val="single" w:sz="4" w:space="0" w:color="auto"/>
            </w:tcBorders>
          </w:tcPr>
          <w:p w14:paraId="7683F07E"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 are expected to demonstrate comprehensive knowledge of learning areas in the elementary curriculum</w:t>
            </w:r>
          </w:p>
        </w:tc>
        <w:tc>
          <w:tcPr>
            <w:tcW w:w="833" w:type="dxa"/>
            <w:tcBorders>
              <w:top w:val="single" w:sz="4" w:space="0" w:color="auto"/>
              <w:bottom w:val="single" w:sz="4" w:space="0" w:color="auto"/>
            </w:tcBorders>
            <w:shd w:val="clear" w:color="auto" w:fill="FFFFFF"/>
            <w:vAlign w:val="center"/>
          </w:tcPr>
          <w:p w14:paraId="3EAE0BE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458" w:type="dxa"/>
            <w:tcBorders>
              <w:top w:val="single" w:sz="4" w:space="0" w:color="auto"/>
              <w:bottom w:val="single" w:sz="4" w:space="0" w:color="auto"/>
            </w:tcBorders>
            <w:shd w:val="clear" w:color="auto" w:fill="FFFFFF"/>
            <w:vAlign w:val="center"/>
          </w:tcPr>
          <w:p w14:paraId="360BA01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2" w:type="dxa"/>
            <w:tcBorders>
              <w:top w:val="single" w:sz="4" w:space="0" w:color="auto"/>
              <w:bottom w:val="single" w:sz="4" w:space="0" w:color="auto"/>
            </w:tcBorders>
            <w:vAlign w:val="center"/>
          </w:tcPr>
          <w:p w14:paraId="770A7AC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25F47E3E" w14:textId="77777777" w:rsidTr="00AC1665">
        <w:trPr>
          <w:trHeight w:val="409"/>
        </w:trPr>
        <w:tc>
          <w:tcPr>
            <w:tcW w:w="4593" w:type="dxa"/>
            <w:tcBorders>
              <w:top w:val="single" w:sz="4" w:space="0" w:color="auto"/>
              <w:bottom w:val="single" w:sz="4" w:space="0" w:color="auto"/>
            </w:tcBorders>
          </w:tcPr>
          <w:p w14:paraId="6FA10D63"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 are trained to create and utilize materials appropriate to the elementary level</w:t>
            </w:r>
          </w:p>
        </w:tc>
        <w:tc>
          <w:tcPr>
            <w:tcW w:w="833" w:type="dxa"/>
            <w:tcBorders>
              <w:top w:val="single" w:sz="4" w:space="0" w:color="auto"/>
              <w:bottom w:val="single" w:sz="4" w:space="0" w:color="auto"/>
            </w:tcBorders>
            <w:shd w:val="clear" w:color="auto" w:fill="FFFFFF"/>
            <w:vAlign w:val="center"/>
          </w:tcPr>
          <w:p w14:paraId="108B94A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458" w:type="dxa"/>
            <w:tcBorders>
              <w:top w:val="single" w:sz="4" w:space="0" w:color="auto"/>
              <w:bottom w:val="single" w:sz="4" w:space="0" w:color="auto"/>
            </w:tcBorders>
            <w:shd w:val="clear" w:color="auto" w:fill="FFFFFF"/>
            <w:vAlign w:val="center"/>
          </w:tcPr>
          <w:p w14:paraId="55D20CD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2" w:type="dxa"/>
            <w:tcBorders>
              <w:top w:val="single" w:sz="4" w:space="0" w:color="auto"/>
              <w:bottom w:val="single" w:sz="4" w:space="0" w:color="auto"/>
            </w:tcBorders>
            <w:vAlign w:val="center"/>
          </w:tcPr>
          <w:p w14:paraId="7643E6A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0AAD7515" w14:textId="77777777" w:rsidTr="00AC1665">
        <w:trPr>
          <w:trHeight w:val="409"/>
        </w:trPr>
        <w:tc>
          <w:tcPr>
            <w:tcW w:w="4593" w:type="dxa"/>
            <w:tcBorders>
              <w:top w:val="single" w:sz="4" w:space="0" w:color="auto"/>
              <w:bottom w:val="single" w:sz="4" w:space="0" w:color="auto"/>
            </w:tcBorders>
          </w:tcPr>
          <w:p w14:paraId="2F9BE7D1"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 are equipped to design assessment tools that measure the outcomes of elementary learners.</w:t>
            </w:r>
          </w:p>
        </w:tc>
        <w:tc>
          <w:tcPr>
            <w:tcW w:w="833" w:type="dxa"/>
            <w:tcBorders>
              <w:top w:val="single" w:sz="4" w:space="0" w:color="auto"/>
              <w:bottom w:val="single" w:sz="4" w:space="0" w:color="auto"/>
            </w:tcBorders>
            <w:shd w:val="clear" w:color="auto" w:fill="FFFFFF"/>
            <w:vAlign w:val="center"/>
          </w:tcPr>
          <w:p w14:paraId="0B1907D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5A4F289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2" w:type="dxa"/>
            <w:tcBorders>
              <w:top w:val="single" w:sz="4" w:space="0" w:color="auto"/>
              <w:bottom w:val="single" w:sz="4" w:space="0" w:color="auto"/>
            </w:tcBorders>
            <w:vAlign w:val="center"/>
          </w:tcPr>
          <w:p w14:paraId="29D5D08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49F4D3FF" w14:textId="77777777" w:rsidTr="00AC1665">
        <w:trPr>
          <w:trHeight w:val="425"/>
        </w:trPr>
        <w:tc>
          <w:tcPr>
            <w:tcW w:w="4593" w:type="dxa"/>
            <w:tcBorders>
              <w:top w:val="single" w:sz="4" w:space="0" w:color="auto"/>
              <w:bottom w:val="single" w:sz="4" w:space="0" w:color="auto"/>
            </w:tcBorders>
          </w:tcPr>
          <w:p w14:paraId="3B715649" w14:textId="7777777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program aligns its objectives with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and mission. </w:t>
            </w:r>
          </w:p>
        </w:tc>
        <w:tc>
          <w:tcPr>
            <w:tcW w:w="833" w:type="dxa"/>
            <w:tcBorders>
              <w:top w:val="single" w:sz="4" w:space="0" w:color="auto"/>
              <w:bottom w:val="single" w:sz="4" w:space="0" w:color="auto"/>
            </w:tcBorders>
            <w:shd w:val="clear" w:color="auto" w:fill="FFFFFF"/>
            <w:vAlign w:val="center"/>
          </w:tcPr>
          <w:p w14:paraId="0607F61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7A7822A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402" w:type="dxa"/>
            <w:tcBorders>
              <w:top w:val="single" w:sz="4" w:space="0" w:color="auto"/>
              <w:bottom w:val="single" w:sz="4" w:space="0" w:color="auto"/>
            </w:tcBorders>
            <w:vAlign w:val="center"/>
          </w:tcPr>
          <w:p w14:paraId="6DD61BC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r w:rsidR="00372A1B" w:rsidRPr="00AC1665" w14:paraId="229DB9E4" w14:textId="77777777" w:rsidTr="00AC1665">
        <w:trPr>
          <w:trHeight w:val="393"/>
        </w:trPr>
        <w:tc>
          <w:tcPr>
            <w:tcW w:w="4593" w:type="dxa"/>
            <w:tcBorders>
              <w:top w:val="single" w:sz="4" w:space="0" w:color="auto"/>
              <w:bottom w:val="single" w:sz="4" w:space="0" w:color="auto"/>
            </w:tcBorders>
          </w:tcPr>
          <w:p w14:paraId="5075BFB8" w14:textId="05DB2C25"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alignment of the program’s educational objectives contributes </w:t>
            </w:r>
            <w:r w:rsidR="00AC1665" w:rsidRPr="00AC1665">
              <w:rPr>
                <w:rFonts w:ascii="Arial" w:eastAsia="SimSun" w:hAnsi="Arial" w:cs="Arial"/>
                <w:color w:val="000000"/>
                <w:sz w:val="18"/>
                <w:szCs w:val="18"/>
                <w:lang w:eastAsia="zh-CN" w:bidi="ar"/>
              </w:rPr>
              <w:t>to institutional</w:t>
            </w:r>
            <w:r w:rsidRPr="00AC1665">
              <w:rPr>
                <w:rFonts w:ascii="Arial" w:eastAsia="SimSun" w:hAnsi="Arial" w:cs="Arial"/>
                <w:color w:val="000000"/>
                <w:sz w:val="18"/>
                <w:szCs w:val="18"/>
                <w:lang w:eastAsia="zh-CN" w:bidi="ar"/>
              </w:rPr>
              <w:t xml:space="preserve"> success</w:t>
            </w:r>
          </w:p>
        </w:tc>
        <w:tc>
          <w:tcPr>
            <w:tcW w:w="833" w:type="dxa"/>
            <w:tcBorders>
              <w:top w:val="single" w:sz="4" w:space="0" w:color="auto"/>
              <w:bottom w:val="single" w:sz="4" w:space="0" w:color="auto"/>
            </w:tcBorders>
            <w:shd w:val="clear" w:color="auto" w:fill="FFFFFF"/>
            <w:vAlign w:val="center"/>
          </w:tcPr>
          <w:p w14:paraId="5048C6C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458" w:type="dxa"/>
            <w:tcBorders>
              <w:top w:val="single" w:sz="4" w:space="0" w:color="auto"/>
              <w:bottom w:val="single" w:sz="4" w:space="0" w:color="auto"/>
            </w:tcBorders>
            <w:shd w:val="clear" w:color="auto" w:fill="FFFFFF"/>
            <w:vAlign w:val="center"/>
          </w:tcPr>
          <w:p w14:paraId="12FE2DA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.58</w:t>
            </w:r>
          </w:p>
        </w:tc>
        <w:tc>
          <w:tcPr>
            <w:tcW w:w="1402" w:type="dxa"/>
            <w:tcBorders>
              <w:top w:val="single" w:sz="4" w:space="0" w:color="auto"/>
              <w:bottom w:val="single" w:sz="4" w:space="0" w:color="auto"/>
            </w:tcBorders>
            <w:vAlign w:val="center"/>
          </w:tcPr>
          <w:p w14:paraId="3C29974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Aware</w:t>
            </w:r>
          </w:p>
        </w:tc>
      </w:tr>
    </w:tbl>
    <w:p w14:paraId="17F128A9" w14:textId="77777777" w:rsidR="00372A1B" w:rsidRPr="00372A1B" w:rsidRDefault="00372A1B" w:rsidP="00372A1B">
      <w:pPr>
        <w:jc w:val="both"/>
        <w:rPr>
          <w:rFonts w:ascii="Arial" w:hAnsi="Arial" w:cs="Arial"/>
          <w:b/>
          <w:bCs/>
          <w:lang w:val="en-PH"/>
        </w:rPr>
      </w:pPr>
    </w:p>
    <w:p w14:paraId="19B1A427" w14:textId="77777777" w:rsidR="00372A1B" w:rsidRDefault="00372A1B" w:rsidP="00372A1B">
      <w:pPr>
        <w:ind w:firstLine="720"/>
        <w:jc w:val="both"/>
        <w:rPr>
          <w:rFonts w:ascii="Arial" w:hAnsi="Arial" w:cs="Arial"/>
        </w:rPr>
      </w:pPr>
      <w:r w:rsidRPr="00372A1B">
        <w:rPr>
          <w:rFonts w:ascii="Arial" w:hAnsi="Arial" w:cs="Arial"/>
        </w:rPr>
        <w:lastRenderedPageBreak/>
        <w:t xml:space="preserve">These findings reflect that </w:t>
      </w:r>
      <w:proofErr w:type="spellStart"/>
      <w:r w:rsidRPr="00372A1B">
        <w:rPr>
          <w:rFonts w:ascii="Arial" w:hAnsi="Arial" w:cs="Arial"/>
        </w:rPr>
        <w:t>BEEd</w:t>
      </w:r>
      <w:proofErr w:type="spellEnd"/>
      <w:r w:rsidRPr="00372A1B">
        <w:rPr>
          <w:rFonts w:ascii="Arial" w:hAnsi="Arial" w:cs="Arial"/>
        </w:rPr>
        <w:t xml:space="preserve"> stakeholders are fully aware of the program’s objectives, especially in preparing future educators to meet the instructional and developmental needs of elementary learners. These objectives, centered on learner understanding, curriculum mastery, and assessment competence, are integral to preparing future educators. As noted by Kissell et al. (2020), stakeholder awareness of program goals strengthens institutional credibility and graduate readiness by aligning academic standards with stakeholder expectations.</w:t>
      </w:r>
    </w:p>
    <w:p w14:paraId="6B6AD824" w14:textId="77777777" w:rsidR="00AC1665" w:rsidRPr="00372A1B" w:rsidRDefault="00AC1665" w:rsidP="00372A1B">
      <w:pPr>
        <w:ind w:firstLine="720"/>
        <w:jc w:val="both"/>
        <w:rPr>
          <w:rFonts w:ascii="Arial" w:hAnsi="Arial" w:cs="Arial"/>
        </w:rPr>
      </w:pPr>
    </w:p>
    <w:p w14:paraId="6236D5E9" w14:textId="32FBE63D" w:rsidR="00372A1B" w:rsidRDefault="00372A1B" w:rsidP="00AC1665">
      <w:pPr>
        <w:jc w:val="center"/>
        <w:rPr>
          <w:rFonts w:ascii="Arial" w:hAnsi="Arial" w:cs="Arial"/>
          <w:b/>
          <w:bCs/>
          <w:lang w:val="en-PH"/>
        </w:rPr>
      </w:pPr>
      <w:proofErr w:type="spellStart"/>
      <w:r w:rsidRPr="00372A1B">
        <w:rPr>
          <w:rFonts w:ascii="Arial" w:hAnsi="Arial" w:cs="Arial"/>
          <w:b/>
          <w:bCs/>
          <w:lang w:val="en-PH"/>
        </w:rPr>
        <w:t>BEEd</w:t>
      </w:r>
      <w:proofErr w:type="spellEnd"/>
      <w:r w:rsidRPr="00372A1B">
        <w:rPr>
          <w:rFonts w:ascii="Arial" w:hAnsi="Arial" w:cs="Arial"/>
          <w:b/>
          <w:bCs/>
          <w:lang w:val="en-PH"/>
        </w:rPr>
        <w:t xml:space="preserve"> Stakeholders’ Level of Acceptance of </w:t>
      </w:r>
      <w:proofErr w:type="spellStart"/>
      <w:r w:rsidRPr="00372A1B">
        <w:rPr>
          <w:rFonts w:ascii="Arial" w:hAnsi="Arial" w:cs="Arial"/>
          <w:b/>
          <w:bCs/>
          <w:lang w:val="en-PH"/>
        </w:rPr>
        <w:t>DOrSU’s</w:t>
      </w:r>
      <w:proofErr w:type="spellEnd"/>
      <w:r w:rsidRPr="00372A1B">
        <w:rPr>
          <w:rFonts w:ascii="Arial" w:hAnsi="Arial" w:cs="Arial"/>
          <w:b/>
          <w:bCs/>
          <w:lang w:val="en-PH"/>
        </w:rPr>
        <w:t xml:space="preserve"> VMPEO</w:t>
      </w:r>
    </w:p>
    <w:p w14:paraId="0E2B846E" w14:textId="77777777" w:rsidR="00AC1665" w:rsidRPr="00372A1B" w:rsidRDefault="00AC1665" w:rsidP="00AC1665">
      <w:pPr>
        <w:jc w:val="center"/>
        <w:rPr>
          <w:rFonts w:ascii="Arial" w:hAnsi="Arial" w:cs="Arial"/>
          <w:b/>
          <w:bCs/>
          <w:lang w:val="en-PH"/>
        </w:rPr>
      </w:pPr>
    </w:p>
    <w:p w14:paraId="19CCBDA7" w14:textId="3DF1F88A" w:rsidR="00AC1665" w:rsidRPr="00372A1B" w:rsidRDefault="00372A1B" w:rsidP="004458C6">
      <w:pPr>
        <w:ind w:firstLine="720"/>
        <w:contextualSpacing/>
        <w:jc w:val="both"/>
        <w:rPr>
          <w:rFonts w:ascii="Arial" w:hAnsi="Arial" w:cs="Arial"/>
          <w:color w:val="000000" w:themeColor="text1"/>
        </w:rPr>
      </w:pPr>
      <w:r w:rsidRPr="00372A1B">
        <w:rPr>
          <w:rFonts w:ascii="Arial" w:hAnsi="Arial" w:cs="Arial"/>
          <w:lang w:val="en-PH"/>
        </w:rPr>
        <w:t xml:space="preserve">The level of acceptance of </w:t>
      </w:r>
      <w:proofErr w:type="spellStart"/>
      <w:r w:rsidRPr="00372A1B">
        <w:rPr>
          <w:rFonts w:ascii="Arial" w:hAnsi="Arial" w:cs="Arial"/>
          <w:lang w:val="en-PH"/>
        </w:rPr>
        <w:t>BEEd</w:t>
      </w:r>
      <w:proofErr w:type="spellEnd"/>
      <w:r w:rsidRPr="00372A1B">
        <w:rPr>
          <w:rFonts w:ascii="Arial" w:hAnsi="Arial" w:cs="Arial"/>
          <w:lang w:val="en-PH"/>
        </w:rPr>
        <w:t xml:space="preserve"> stakeholders on </w:t>
      </w:r>
      <w:proofErr w:type="spellStart"/>
      <w:r w:rsidRPr="00372A1B">
        <w:rPr>
          <w:rFonts w:ascii="Arial" w:hAnsi="Arial" w:cs="Arial"/>
          <w:lang w:val="en-PH"/>
        </w:rPr>
        <w:t>DOrSU’s</w:t>
      </w:r>
      <w:proofErr w:type="spellEnd"/>
      <w:r w:rsidRPr="00372A1B">
        <w:rPr>
          <w:rFonts w:ascii="Arial" w:hAnsi="Arial" w:cs="Arial"/>
          <w:lang w:val="en-PH"/>
        </w:rPr>
        <w:t xml:space="preserve"> Vision is shown in Table </w:t>
      </w:r>
      <w:r w:rsidR="00AC1665">
        <w:rPr>
          <w:rFonts w:ascii="Arial" w:hAnsi="Arial" w:cs="Arial"/>
          <w:lang w:val="en-PH"/>
        </w:rPr>
        <w:t>8</w:t>
      </w:r>
      <w:r w:rsidRPr="00372A1B">
        <w:rPr>
          <w:rFonts w:ascii="Arial" w:hAnsi="Arial" w:cs="Arial"/>
          <w:lang w:val="en-PH"/>
        </w:rPr>
        <w:t xml:space="preserve">. It shows that all </w:t>
      </w:r>
      <w:r w:rsidRPr="00372A1B">
        <w:rPr>
          <w:rFonts w:ascii="Arial" w:hAnsi="Arial" w:cs="Arial"/>
          <w:color w:val="000000" w:themeColor="text1"/>
        </w:rPr>
        <w:t>statements were interpreted as “Fully Accepted,” with mean scores (ranging from x̄ = 4.61 – 4.71), indicating a strong level of acceptance among the respondents. The highest level of acceptance was observed in the statement,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vision, mission, and program objectives are essential for achieving academic and professional excellence,” with a mean </w:t>
      </w:r>
      <w:proofErr w:type="gramStart"/>
      <w:r w:rsidRPr="00372A1B">
        <w:rPr>
          <w:rFonts w:ascii="Arial" w:hAnsi="Arial" w:cs="Arial"/>
          <w:color w:val="000000" w:themeColor="text1"/>
        </w:rPr>
        <w:t>score  (</w:t>
      </w:r>
      <w:proofErr w:type="gramEnd"/>
      <w:r w:rsidRPr="00372A1B">
        <w:rPr>
          <w:rFonts w:ascii="Arial" w:hAnsi="Arial" w:cs="Arial"/>
          <w:color w:val="000000" w:themeColor="text1"/>
        </w:rPr>
        <w:t>x̄ = 4.71). Conversely, the lowest recorded mean (x̄ = 4.61) corresponds to the statement that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vision is relevant to achieving institutional excellence.” </w:t>
      </w:r>
    </w:p>
    <w:p w14:paraId="1894988E" w14:textId="3BEEF903"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8</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vision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1"/>
        <w:gridCol w:w="834"/>
        <w:gridCol w:w="1461"/>
        <w:gridCol w:w="1404"/>
      </w:tblGrid>
      <w:tr w:rsidR="00372A1B" w:rsidRPr="00AC1665" w14:paraId="66F50DD1" w14:textId="77777777" w:rsidTr="00AC1665">
        <w:trPr>
          <w:trHeight w:val="224"/>
        </w:trPr>
        <w:tc>
          <w:tcPr>
            <w:tcW w:w="4601" w:type="dxa"/>
            <w:tcBorders>
              <w:bottom w:val="single" w:sz="4" w:space="0" w:color="auto"/>
            </w:tcBorders>
          </w:tcPr>
          <w:p w14:paraId="17AD36F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34" w:type="dxa"/>
            <w:tcBorders>
              <w:bottom w:val="single" w:sz="4" w:space="0" w:color="auto"/>
            </w:tcBorders>
          </w:tcPr>
          <w:p w14:paraId="6B2237C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61" w:type="dxa"/>
            <w:tcBorders>
              <w:bottom w:val="single" w:sz="4" w:space="0" w:color="auto"/>
            </w:tcBorders>
          </w:tcPr>
          <w:p w14:paraId="1AC1F6C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4" w:type="dxa"/>
            <w:tcBorders>
              <w:bottom w:val="single" w:sz="4" w:space="0" w:color="auto"/>
            </w:tcBorders>
          </w:tcPr>
          <w:p w14:paraId="1E24058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656C1A00" w14:textId="77777777" w:rsidTr="00AC1665">
        <w:trPr>
          <w:trHeight w:val="449"/>
        </w:trPr>
        <w:tc>
          <w:tcPr>
            <w:tcW w:w="4601" w:type="dxa"/>
            <w:tcBorders>
              <w:top w:val="single" w:sz="4" w:space="0" w:color="auto"/>
              <w:bottom w:val="single" w:sz="4" w:space="0" w:color="auto"/>
            </w:tcBorders>
          </w:tcPr>
          <w:p w14:paraId="621FFBD7"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is relevant to achieving institutional excellence.</w:t>
            </w:r>
          </w:p>
        </w:tc>
        <w:tc>
          <w:tcPr>
            <w:tcW w:w="834" w:type="dxa"/>
            <w:tcBorders>
              <w:top w:val="single" w:sz="4" w:space="0" w:color="auto"/>
              <w:bottom w:val="single" w:sz="4" w:space="0" w:color="auto"/>
            </w:tcBorders>
            <w:shd w:val="clear" w:color="auto" w:fill="FFFFFF"/>
            <w:vAlign w:val="center"/>
          </w:tcPr>
          <w:p w14:paraId="000D5D0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461" w:type="dxa"/>
            <w:tcBorders>
              <w:top w:val="single" w:sz="4" w:space="0" w:color="auto"/>
              <w:bottom w:val="single" w:sz="4" w:space="0" w:color="auto"/>
            </w:tcBorders>
            <w:shd w:val="clear" w:color="auto" w:fill="FFFFFF"/>
            <w:vAlign w:val="center"/>
          </w:tcPr>
          <w:p w14:paraId="1BB7451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4" w:type="dxa"/>
            <w:tcBorders>
              <w:top w:val="single" w:sz="4" w:space="0" w:color="auto"/>
              <w:bottom w:val="single" w:sz="4" w:space="0" w:color="auto"/>
            </w:tcBorders>
            <w:vAlign w:val="center"/>
          </w:tcPr>
          <w:p w14:paraId="60E251E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1E5D65AC" w14:textId="77777777" w:rsidTr="00AC1665">
        <w:trPr>
          <w:trHeight w:val="449"/>
        </w:trPr>
        <w:tc>
          <w:tcPr>
            <w:tcW w:w="4601" w:type="dxa"/>
            <w:tcBorders>
              <w:top w:val="single" w:sz="4" w:space="0" w:color="auto"/>
              <w:bottom w:val="single" w:sz="4" w:space="0" w:color="auto"/>
            </w:tcBorders>
          </w:tcPr>
          <w:p w14:paraId="7F2E561A"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My role as a stakeholder contributes to the fulfillment of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and mission</w:t>
            </w:r>
          </w:p>
        </w:tc>
        <w:tc>
          <w:tcPr>
            <w:tcW w:w="834" w:type="dxa"/>
            <w:tcBorders>
              <w:top w:val="single" w:sz="4" w:space="0" w:color="auto"/>
              <w:bottom w:val="single" w:sz="4" w:space="0" w:color="auto"/>
            </w:tcBorders>
            <w:shd w:val="clear" w:color="auto" w:fill="FFFFFF"/>
            <w:vAlign w:val="center"/>
          </w:tcPr>
          <w:p w14:paraId="2FAA17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4.66</w:t>
            </w:r>
          </w:p>
        </w:tc>
        <w:tc>
          <w:tcPr>
            <w:tcW w:w="1461" w:type="dxa"/>
            <w:tcBorders>
              <w:top w:val="single" w:sz="4" w:space="0" w:color="auto"/>
              <w:bottom w:val="single" w:sz="4" w:space="0" w:color="auto"/>
            </w:tcBorders>
            <w:shd w:val="clear" w:color="auto" w:fill="FFFFFF"/>
            <w:vAlign w:val="center"/>
          </w:tcPr>
          <w:p w14:paraId="2B437EC8"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.51</w:t>
            </w:r>
          </w:p>
        </w:tc>
        <w:tc>
          <w:tcPr>
            <w:tcW w:w="1404" w:type="dxa"/>
            <w:tcBorders>
              <w:top w:val="single" w:sz="4" w:space="0" w:color="auto"/>
              <w:bottom w:val="single" w:sz="4" w:space="0" w:color="auto"/>
            </w:tcBorders>
            <w:vAlign w:val="center"/>
          </w:tcPr>
          <w:p w14:paraId="57637A73"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44F9472C" w14:textId="77777777" w:rsidTr="00AC1665">
        <w:trPr>
          <w:trHeight w:val="449"/>
        </w:trPr>
        <w:tc>
          <w:tcPr>
            <w:tcW w:w="4601" w:type="dxa"/>
            <w:tcBorders>
              <w:top w:val="single" w:sz="4" w:space="0" w:color="auto"/>
              <w:bottom w:val="single" w:sz="4" w:space="0" w:color="auto"/>
            </w:tcBorders>
          </w:tcPr>
          <w:p w14:paraId="00122D70"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Active engagement with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objectives fosters better awareness and acceptance. </w:t>
            </w:r>
          </w:p>
        </w:tc>
        <w:tc>
          <w:tcPr>
            <w:tcW w:w="834" w:type="dxa"/>
            <w:tcBorders>
              <w:top w:val="single" w:sz="4" w:space="0" w:color="auto"/>
              <w:bottom w:val="single" w:sz="4" w:space="0" w:color="auto"/>
            </w:tcBorders>
            <w:shd w:val="clear" w:color="auto" w:fill="FFFFFF"/>
            <w:vAlign w:val="center"/>
          </w:tcPr>
          <w:p w14:paraId="5465CCC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4.64</w:t>
            </w:r>
          </w:p>
        </w:tc>
        <w:tc>
          <w:tcPr>
            <w:tcW w:w="1461" w:type="dxa"/>
            <w:tcBorders>
              <w:top w:val="single" w:sz="4" w:space="0" w:color="auto"/>
              <w:bottom w:val="single" w:sz="4" w:space="0" w:color="auto"/>
            </w:tcBorders>
            <w:shd w:val="clear" w:color="auto" w:fill="FFFFFF"/>
            <w:vAlign w:val="center"/>
          </w:tcPr>
          <w:p w14:paraId="606D8C6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404" w:type="dxa"/>
            <w:tcBorders>
              <w:top w:val="single" w:sz="4" w:space="0" w:color="auto"/>
              <w:bottom w:val="single" w:sz="4" w:space="0" w:color="auto"/>
            </w:tcBorders>
            <w:vAlign w:val="center"/>
          </w:tcPr>
          <w:p w14:paraId="65B0A6B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7A764FA" w14:textId="77777777" w:rsidTr="00AC1665">
        <w:trPr>
          <w:trHeight w:val="673"/>
        </w:trPr>
        <w:tc>
          <w:tcPr>
            <w:tcW w:w="4601" w:type="dxa"/>
            <w:tcBorders>
              <w:top w:val="single" w:sz="4" w:space="0" w:color="auto"/>
              <w:bottom w:val="single" w:sz="4" w:space="0" w:color="auto"/>
            </w:tcBorders>
          </w:tcPr>
          <w:p w14:paraId="2A2C4AC3"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vision, mission, and program objectives are essential for achieving academic and professional excellence.</w:t>
            </w:r>
          </w:p>
        </w:tc>
        <w:tc>
          <w:tcPr>
            <w:tcW w:w="834" w:type="dxa"/>
            <w:tcBorders>
              <w:top w:val="single" w:sz="4" w:space="0" w:color="auto"/>
              <w:bottom w:val="single" w:sz="4" w:space="0" w:color="auto"/>
            </w:tcBorders>
            <w:shd w:val="clear" w:color="auto" w:fill="FFFFFF"/>
            <w:vAlign w:val="center"/>
          </w:tcPr>
          <w:p w14:paraId="003CE4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4.71</w:t>
            </w:r>
          </w:p>
        </w:tc>
        <w:tc>
          <w:tcPr>
            <w:tcW w:w="1461" w:type="dxa"/>
            <w:tcBorders>
              <w:top w:val="single" w:sz="4" w:space="0" w:color="auto"/>
              <w:bottom w:val="single" w:sz="4" w:space="0" w:color="auto"/>
            </w:tcBorders>
            <w:shd w:val="clear" w:color="auto" w:fill="FFFFFF"/>
            <w:vAlign w:val="center"/>
          </w:tcPr>
          <w:p w14:paraId="3B0E053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.48</w:t>
            </w:r>
          </w:p>
        </w:tc>
        <w:tc>
          <w:tcPr>
            <w:tcW w:w="1404" w:type="dxa"/>
            <w:tcBorders>
              <w:top w:val="single" w:sz="4" w:space="0" w:color="auto"/>
              <w:bottom w:val="single" w:sz="4" w:space="0" w:color="auto"/>
            </w:tcBorders>
            <w:vAlign w:val="center"/>
          </w:tcPr>
          <w:p w14:paraId="23EA897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6BD9BC1C" w14:textId="77777777" w:rsidR="00372A1B" w:rsidRPr="00372A1B" w:rsidRDefault="00372A1B" w:rsidP="00372A1B">
      <w:pPr>
        <w:contextualSpacing/>
        <w:jc w:val="both"/>
        <w:rPr>
          <w:rFonts w:ascii="Arial" w:hAnsi="Arial" w:cs="Arial"/>
          <w:color w:val="000000" w:themeColor="text1"/>
          <w:lang w:val="en-PH"/>
        </w:rPr>
      </w:pPr>
    </w:p>
    <w:p w14:paraId="1B127097" w14:textId="77777777"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These results suggest that stakeholders not only recognize the importance of the university's vision but also feel a strong personal connection to its realization, particularly in terms of academic achievement and active participation in institutional goals. As discussed by Truong et al. (2025), institutional success is reinforced when stakeholders accept and align themselves with the university's long-term direction, making their roles more purposeful and participative.</w:t>
      </w:r>
    </w:p>
    <w:p w14:paraId="22A99E3F" w14:textId="77777777" w:rsidR="008B1BC3" w:rsidRDefault="008B1BC3" w:rsidP="00AC1665">
      <w:pPr>
        <w:ind w:firstLine="720"/>
        <w:contextualSpacing/>
        <w:jc w:val="both"/>
        <w:rPr>
          <w:rFonts w:ascii="Arial" w:hAnsi="Arial" w:cs="Arial"/>
          <w:color w:val="000000" w:themeColor="text1"/>
        </w:rPr>
      </w:pPr>
    </w:p>
    <w:p w14:paraId="08D1780F" w14:textId="47870A79" w:rsidR="00372A1B" w:rsidRPr="00372A1B" w:rsidRDefault="00372A1B" w:rsidP="00AC1665">
      <w:pPr>
        <w:ind w:firstLine="720"/>
        <w:contextualSpacing/>
        <w:jc w:val="both"/>
        <w:rPr>
          <w:rFonts w:ascii="Arial" w:hAnsi="Arial" w:cs="Arial"/>
          <w:color w:val="000000" w:themeColor="text1"/>
        </w:rPr>
      </w:pPr>
      <w:r w:rsidRPr="00372A1B">
        <w:rPr>
          <w:rFonts w:ascii="Arial" w:hAnsi="Arial" w:cs="Arial"/>
        </w:rPr>
        <w:t xml:space="preserve">Table </w:t>
      </w:r>
      <w:r w:rsidR="00AC1665">
        <w:rPr>
          <w:rFonts w:ascii="Arial" w:hAnsi="Arial" w:cs="Arial"/>
        </w:rPr>
        <w:t>9</w:t>
      </w:r>
      <w:r w:rsidRPr="00372A1B">
        <w:rPr>
          <w:rFonts w:ascii="Arial" w:hAnsi="Arial" w:cs="Arial"/>
        </w:rPr>
        <w:t xml:space="preserve"> presents the level of acceptance of </w:t>
      </w:r>
      <w:proofErr w:type="spellStart"/>
      <w:r w:rsidRPr="00372A1B">
        <w:rPr>
          <w:rFonts w:ascii="Arial" w:hAnsi="Arial" w:cs="Arial"/>
        </w:rPr>
        <w:t>BEEd</w:t>
      </w:r>
      <w:proofErr w:type="spellEnd"/>
      <w:r w:rsidRPr="00372A1B">
        <w:rPr>
          <w:rFonts w:ascii="Arial" w:hAnsi="Arial" w:cs="Arial"/>
        </w:rPr>
        <w:t xml:space="preserve"> stakeholders on </w:t>
      </w:r>
      <w:proofErr w:type="spellStart"/>
      <w:r w:rsidRPr="00372A1B">
        <w:rPr>
          <w:rFonts w:ascii="Arial" w:hAnsi="Arial" w:cs="Arial"/>
        </w:rPr>
        <w:t>DOrSU’s</w:t>
      </w:r>
      <w:proofErr w:type="spellEnd"/>
      <w:r w:rsidRPr="00372A1B">
        <w:rPr>
          <w:rFonts w:ascii="Arial" w:hAnsi="Arial" w:cs="Arial"/>
        </w:rPr>
        <w:t xml:space="preserve"> Mission. It shows that all </w:t>
      </w:r>
      <w:r w:rsidRPr="00372A1B">
        <w:rPr>
          <w:rFonts w:ascii="Arial" w:hAnsi="Arial" w:cs="Arial"/>
          <w:color w:val="000000" w:themeColor="text1"/>
        </w:rPr>
        <w:t xml:space="preserve">statements received a qualitative interpretation of “Fully Accepted,” with mean scores (ranging from x̄ = 4.56 – 4.63), indicating that stakeholders strongly accept the core principles of the university’s mission. The highest level of acceptance, both with a mean </w:t>
      </w:r>
      <w:proofErr w:type="gramStart"/>
      <w:r w:rsidRPr="00372A1B">
        <w:rPr>
          <w:rFonts w:ascii="Arial" w:hAnsi="Arial" w:cs="Arial"/>
          <w:color w:val="000000" w:themeColor="text1"/>
        </w:rPr>
        <w:t>score  (</w:t>
      </w:r>
      <w:proofErr w:type="gramEnd"/>
      <w:r w:rsidRPr="00372A1B">
        <w:rPr>
          <w:rFonts w:ascii="Arial" w:hAnsi="Arial" w:cs="Arial"/>
          <w:color w:val="000000" w:themeColor="text1"/>
        </w:rPr>
        <w:t xml:space="preserve">x̄ = 4.63), pertains to the statements: (1) “Promoting inclusive and sustainable development is an important aspect of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mission” and (2)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emphasis on gender and environmental sensitivity aligns with global educational standards.” Meanwhile, the lowest recorded mean (x̄ = 4.56) corresponds to the statement,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mission reflects global resilience and a strong sense of national identity.”</w:t>
      </w:r>
    </w:p>
    <w:p w14:paraId="66F79F61" w14:textId="77777777" w:rsidR="00372A1B" w:rsidRPr="00372A1B" w:rsidRDefault="00372A1B" w:rsidP="00372A1B">
      <w:pPr>
        <w:ind w:firstLine="720"/>
        <w:contextualSpacing/>
        <w:jc w:val="both"/>
        <w:rPr>
          <w:rFonts w:ascii="Arial" w:hAnsi="Arial" w:cs="Arial"/>
          <w:color w:val="000000" w:themeColor="text1"/>
        </w:rPr>
      </w:pPr>
    </w:p>
    <w:p w14:paraId="44AA3477" w14:textId="6F07F9CB"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 xml:space="preserve">Table </w:t>
      </w:r>
      <w:r w:rsidR="00AC1665">
        <w:rPr>
          <w:rFonts w:ascii="Arial" w:hAnsi="Arial" w:cs="Arial"/>
        </w:rPr>
        <w:t>9</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mission</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58"/>
        <w:gridCol w:w="827"/>
        <w:gridCol w:w="1447"/>
        <w:gridCol w:w="1391"/>
      </w:tblGrid>
      <w:tr w:rsidR="00372A1B" w:rsidRPr="00AC1665" w14:paraId="2522138F" w14:textId="77777777" w:rsidTr="00AC1665">
        <w:trPr>
          <w:trHeight w:val="213"/>
        </w:trPr>
        <w:tc>
          <w:tcPr>
            <w:tcW w:w="4558" w:type="dxa"/>
            <w:tcBorders>
              <w:bottom w:val="single" w:sz="4" w:space="0" w:color="auto"/>
            </w:tcBorders>
          </w:tcPr>
          <w:p w14:paraId="50AB86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827" w:type="dxa"/>
            <w:tcBorders>
              <w:bottom w:val="single" w:sz="4" w:space="0" w:color="auto"/>
            </w:tcBorders>
          </w:tcPr>
          <w:p w14:paraId="5F44A195"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447" w:type="dxa"/>
            <w:tcBorders>
              <w:bottom w:val="single" w:sz="4" w:space="0" w:color="auto"/>
            </w:tcBorders>
          </w:tcPr>
          <w:p w14:paraId="66F7C0E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391" w:type="dxa"/>
            <w:tcBorders>
              <w:bottom w:val="single" w:sz="4" w:space="0" w:color="auto"/>
            </w:tcBorders>
          </w:tcPr>
          <w:p w14:paraId="49B0F7DF"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56F4A638" w14:textId="77777777" w:rsidTr="00AC1665">
        <w:trPr>
          <w:trHeight w:val="427"/>
        </w:trPr>
        <w:tc>
          <w:tcPr>
            <w:tcW w:w="4558" w:type="dxa"/>
            <w:tcBorders>
              <w:top w:val="single" w:sz="4" w:space="0" w:color="auto"/>
              <w:bottom w:val="single" w:sz="4" w:space="0" w:color="auto"/>
            </w:tcBorders>
          </w:tcPr>
          <w:p w14:paraId="27551DDB"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effectively addresses the needs of its stakeholders.</w:t>
            </w:r>
          </w:p>
        </w:tc>
        <w:tc>
          <w:tcPr>
            <w:tcW w:w="827" w:type="dxa"/>
            <w:tcBorders>
              <w:top w:val="single" w:sz="4" w:space="0" w:color="auto"/>
              <w:bottom w:val="single" w:sz="4" w:space="0" w:color="auto"/>
            </w:tcBorders>
            <w:shd w:val="clear" w:color="auto" w:fill="FFFFFF"/>
            <w:vAlign w:val="center"/>
          </w:tcPr>
          <w:p w14:paraId="07672A4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4.60</w:t>
            </w:r>
          </w:p>
        </w:tc>
        <w:tc>
          <w:tcPr>
            <w:tcW w:w="1447" w:type="dxa"/>
            <w:tcBorders>
              <w:top w:val="single" w:sz="4" w:space="0" w:color="auto"/>
              <w:bottom w:val="single" w:sz="4" w:space="0" w:color="auto"/>
            </w:tcBorders>
            <w:shd w:val="clear" w:color="auto" w:fill="FFFFFF"/>
            <w:vAlign w:val="center"/>
          </w:tcPr>
          <w:p w14:paraId="1BCDF03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391" w:type="dxa"/>
            <w:tcBorders>
              <w:top w:val="single" w:sz="4" w:space="0" w:color="auto"/>
              <w:bottom w:val="single" w:sz="4" w:space="0" w:color="auto"/>
            </w:tcBorders>
          </w:tcPr>
          <w:p w14:paraId="468427B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66141229" w14:textId="77777777" w:rsidTr="00AC1665">
        <w:trPr>
          <w:trHeight w:val="427"/>
        </w:trPr>
        <w:tc>
          <w:tcPr>
            <w:tcW w:w="4558" w:type="dxa"/>
            <w:tcBorders>
              <w:top w:val="single" w:sz="4" w:space="0" w:color="auto"/>
              <w:bottom w:val="single" w:sz="4" w:space="0" w:color="auto"/>
            </w:tcBorders>
          </w:tcPr>
          <w:p w14:paraId="02998D29"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Promoting inclusive and sustainable development is an important aspect of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w:t>
            </w:r>
          </w:p>
        </w:tc>
        <w:tc>
          <w:tcPr>
            <w:tcW w:w="827" w:type="dxa"/>
            <w:tcBorders>
              <w:top w:val="single" w:sz="4" w:space="0" w:color="auto"/>
              <w:bottom w:val="single" w:sz="4" w:space="0" w:color="auto"/>
            </w:tcBorders>
            <w:shd w:val="clear" w:color="auto" w:fill="FFFFFF"/>
            <w:vAlign w:val="center"/>
          </w:tcPr>
          <w:p w14:paraId="57C917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4.63</w:t>
            </w:r>
          </w:p>
        </w:tc>
        <w:tc>
          <w:tcPr>
            <w:tcW w:w="1447" w:type="dxa"/>
            <w:tcBorders>
              <w:top w:val="single" w:sz="4" w:space="0" w:color="auto"/>
              <w:bottom w:val="single" w:sz="4" w:space="0" w:color="auto"/>
            </w:tcBorders>
            <w:shd w:val="clear" w:color="auto" w:fill="FFFFFF"/>
            <w:vAlign w:val="center"/>
          </w:tcPr>
          <w:p w14:paraId="5886B15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424EDA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2AA4813A" w14:textId="77777777" w:rsidTr="00AC1665">
        <w:trPr>
          <w:trHeight w:val="427"/>
        </w:trPr>
        <w:tc>
          <w:tcPr>
            <w:tcW w:w="4558" w:type="dxa"/>
            <w:tcBorders>
              <w:top w:val="single" w:sz="4" w:space="0" w:color="auto"/>
              <w:bottom w:val="single" w:sz="4" w:space="0" w:color="auto"/>
            </w:tcBorders>
          </w:tcPr>
          <w:p w14:paraId="2B09A2BC"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reflects global resilience and a strong sense of national identity.</w:t>
            </w:r>
          </w:p>
        </w:tc>
        <w:tc>
          <w:tcPr>
            <w:tcW w:w="827" w:type="dxa"/>
            <w:tcBorders>
              <w:top w:val="single" w:sz="4" w:space="0" w:color="auto"/>
              <w:bottom w:val="single" w:sz="4" w:space="0" w:color="auto"/>
            </w:tcBorders>
            <w:shd w:val="clear" w:color="auto" w:fill="FFFFFF"/>
            <w:vAlign w:val="center"/>
          </w:tcPr>
          <w:p w14:paraId="2BB4D91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4.56</w:t>
            </w:r>
          </w:p>
        </w:tc>
        <w:tc>
          <w:tcPr>
            <w:tcW w:w="1447" w:type="dxa"/>
            <w:tcBorders>
              <w:top w:val="single" w:sz="4" w:space="0" w:color="auto"/>
              <w:bottom w:val="single" w:sz="4" w:space="0" w:color="auto"/>
            </w:tcBorders>
            <w:shd w:val="clear" w:color="auto" w:fill="FFFFFF"/>
            <w:vAlign w:val="center"/>
          </w:tcPr>
          <w:p w14:paraId="53F93C8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.57</w:t>
            </w:r>
          </w:p>
        </w:tc>
        <w:tc>
          <w:tcPr>
            <w:tcW w:w="1391" w:type="dxa"/>
            <w:tcBorders>
              <w:top w:val="single" w:sz="4" w:space="0" w:color="auto"/>
              <w:bottom w:val="single" w:sz="4" w:space="0" w:color="auto"/>
            </w:tcBorders>
          </w:tcPr>
          <w:p w14:paraId="1B947DA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3EF7E171" w14:textId="77777777" w:rsidTr="00AC1665">
        <w:trPr>
          <w:trHeight w:val="427"/>
        </w:trPr>
        <w:tc>
          <w:tcPr>
            <w:tcW w:w="4558" w:type="dxa"/>
            <w:tcBorders>
              <w:top w:val="single" w:sz="4" w:space="0" w:color="auto"/>
              <w:bottom w:val="single" w:sz="4" w:space="0" w:color="auto"/>
            </w:tcBorders>
          </w:tcPr>
          <w:p w14:paraId="03FE4B97"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lastRenderedPageBreak/>
              <w:t>DOrSU’s</w:t>
            </w:r>
            <w:proofErr w:type="spellEnd"/>
            <w:r w:rsidRPr="00AC1665">
              <w:rPr>
                <w:rFonts w:ascii="Arial" w:eastAsia="SimSun" w:hAnsi="Arial" w:cs="Arial"/>
                <w:color w:val="000000"/>
                <w:sz w:val="18"/>
                <w:szCs w:val="18"/>
                <w:lang w:eastAsia="zh-CN" w:bidi="ar"/>
              </w:rPr>
              <w:t xml:space="preserve"> focus on nationhood and diversity strengthens its institutional goals.</w:t>
            </w:r>
          </w:p>
        </w:tc>
        <w:tc>
          <w:tcPr>
            <w:tcW w:w="827" w:type="dxa"/>
            <w:tcBorders>
              <w:top w:val="single" w:sz="4" w:space="0" w:color="auto"/>
              <w:bottom w:val="single" w:sz="4" w:space="0" w:color="auto"/>
            </w:tcBorders>
            <w:shd w:val="clear" w:color="auto" w:fill="FFFFFF"/>
            <w:vAlign w:val="center"/>
          </w:tcPr>
          <w:p w14:paraId="4DA698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4.57</w:t>
            </w:r>
          </w:p>
        </w:tc>
        <w:tc>
          <w:tcPr>
            <w:tcW w:w="1447" w:type="dxa"/>
            <w:tcBorders>
              <w:top w:val="single" w:sz="4" w:space="0" w:color="auto"/>
              <w:bottom w:val="single" w:sz="4" w:space="0" w:color="auto"/>
            </w:tcBorders>
            <w:shd w:val="clear" w:color="auto" w:fill="FFFFFF"/>
            <w:vAlign w:val="center"/>
          </w:tcPr>
          <w:p w14:paraId="0B29CD2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5DAFDE8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03407DBF" w14:textId="77777777" w:rsidTr="00AC1665">
        <w:trPr>
          <w:trHeight w:val="427"/>
        </w:trPr>
        <w:tc>
          <w:tcPr>
            <w:tcW w:w="4558" w:type="dxa"/>
            <w:tcBorders>
              <w:top w:val="single" w:sz="4" w:space="0" w:color="auto"/>
              <w:bottom w:val="single" w:sz="4" w:space="0" w:color="auto"/>
            </w:tcBorders>
          </w:tcPr>
          <w:p w14:paraId="46907914" w14:textId="77777777" w:rsidR="00372A1B" w:rsidRPr="00AC1665" w:rsidRDefault="00372A1B" w:rsidP="00372A1B">
            <w:pPr>
              <w:rPr>
                <w:rFonts w:ascii="Arial" w:hAnsi="Arial" w:cs="Arial"/>
                <w:sz w:val="18"/>
                <w:szCs w:val="18"/>
                <w:lang w:eastAsia="zh-CN" w:bidi="ar"/>
              </w:rPr>
            </w:pP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emphasis on gender and environmental sensitivity aligns with global educational standards</w:t>
            </w:r>
          </w:p>
        </w:tc>
        <w:tc>
          <w:tcPr>
            <w:tcW w:w="827" w:type="dxa"/>
            <w:tcBorders>
              <w:top w:val="single" w:sz="4" w:space="0" w:color="auto"/>
              <w:bottom w:val="single" w:sz="4" w:space="0" w:color="auto"/>
            </w:tcBorders>
            <w:shd w:val="clear" w:color="auto" w:fill="FFFFFF"/>
            <w:vAlign w:val="center"/>
          </w:tcPr>
          <w:p w14:paraId="2F81C39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4.63</w:t>
            </w:r>
          </w:p>
        </w:tc>
        <w:tc>
          <w:tcPr>
            <w:tcW w:w="1447" w:type="dxa"/>
            <w:tcBorders>
              <w:top w:val="single" w:sz="4" w:space="0" w:color="auto"/>
              <w:bottom w:val="single" w:sz="4" w:space="0" w:color="auto"/>
            </w:tcBorders>
            <w:shd w:val="clear" w:color="auto" w:fill="FFFFFF"/>
            <w:vAlign w:val="center"/>
          </w:tcPr>
          <w:p w14:paraId="203A459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.52</w:t>
            </w:r>
          </w:p>
        </w:tc>
        <w:tc>
          <w:tcPr>
            <w:tcW w:w="1391" w:type="dxa"/>
            <w:tcBorders>
              <w:top w:val="single" w:sz="4" w:space="0" w:color="auto"/>
              <w:bottom w:val="single" w:sz="4" w:space="0" w:color="auto"/>
            </w:tcBorders>
          </w:tcPr>
          <w:p w14:paraId="768C666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2C9A7C25" w14:textId="77777777" w:rsidTr="00AC1665">
        <w:trPr>
          <w:trHeight w:val="427"/>
        </w:trPr>
        <w:tc>
          <w:tcPr>
            <w:tcW w:w="4558" w:type="dxa"/>
            <w:tcBorders>
              <w:top w:val="single" w:sz="4" w:space="0" w:color="auto"/>
              <w:bottom w:val="single" w:sz="4" w:space="0" w:color="auto"/>
            </w:tcBorders>
          </w:tcPr>
          <w:p w14:paraId="5C24A814" w14:textId="7777777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 xml:space="preserve">The alignment between </w:t>
            </w:r>
            <w:proofErr w:type="spellStart"/>
            <w:r w:rsidRPr="00AC1665">
              <w:rPr>
                <w:rFonts w:ascii="Arial" w:eastAsia="SimSun" w:hAnsi="Arial" w:cs="Arial"/>
                <w:color w:val="000000"/>
                <w:sz w:val="18"/>
                <w:szCs w:val="18"/>
                <w:lang w:eastAsia="zh-CN" w:bidi="ar"/>
              </w:rPr>
              <w:t>DOrSU’s</w:t>
            </w:r>
            <w:proofErr w:type="spellEnd"/>
            <w:r w:rsidRPr="00AC1665">
              <w:rPr>
                <w:rFonts w:ascii="Arial" w:eastAsia="SimSun" w:hAnsi="Arial" w:cs="Arial"/>
                <w:color w:val="000000"/>
                <w:sz w:val="18"/>
                <w:szCs w:val="18"/>
                <w:lang w:eastAsia="zh-CN" w:bidi="ar"/>
              </w:rPr>
              <w:t xml:space="preserve"> mission and the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program promotes institutional success</w:t>
            </w:r>
          </w:p>
        </w:tc>
        <w:tc>
          <w:tcPr>
            <w:tcW w:w="827" w:type="dxa"/>
            <w:tcBorders>
              <w:top w:val="single" w:sz="4" w:space="0" w:color="auto"/>
              <w:bottom w:val="single" w:sz="4" w:space="0" w:color="auto"/>
            </w:tcBorders>
            <w:shd w:val="clear" w:color="auto" w:fill="FFFFFF"/>
            <w:vAlign w:val="center"/>
          </w:tcPr>
          <w:p w14:paraId="0551011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447" w:type="dxa"/>
            <w:tcBorders>
              <w:top w:val="single" w:sz="4" w:space="0" w:color="auto"/>
              <w:bottom w:val="single" w:sz="4" w:space="0" w:color="auto"/>
            </w:tcBorders>
            <w:shd w:val="clear" w:color="auto" w:fill="FFFFFF"/>
            <w:vAlign w:val="center"/>
          </w:tcPr>
          <w:p w14:paraId="0FA41A4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391" w:type="dxa"/>
            <w:tcBorders>
              <w:top w:val="single" w:sz="4" w:space="0" w:color="auto"/>
              <w:bottom w:val="single" w:sz="4" w:space="0" w:color="auto"/>
            </w:tcBorders>
          </w:tcPr>
          <w:p w14:paraId="259051AF"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3D995B8D" w14:textId="77777777" w:rsidR="00372A1B" w:rsidRPr="00372A1B" w:rsidRDefault="00372A1B" w:rsidP="00372A1B">
      <w:pPr>
        <w:contextualSpacing/>
        <w:jc w:val="both"/>
        <w:rPr>
          <w:rFonts w:ascii="Arial" w:hAnsi="Arial" w:cs="Arial"/>
          <w:b/>
          <w:bCs/>
          <w:color w:val="000000" w:themeColor="text1"/>
          <w:lang w:val="en-PH"/>
        </w:rPr>
      </w:pPr>
    </w:p>
    <w:p w14:paraId="3F5A0E55" w14:textId="77777777"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 xml:space="preserve">These findings suggest that while all mission aspects are entirely accepted, stakeholders show the most substantial alignment with </w:t>
      </w:r>
      <w:proofErr w:type="spellStart"/>
      <w:r w:rsidRPr="00372A1B">
        <w:rPr>
          <w:rFonts w:ascii="Arial" w:hAnsi="Arial" w:cs="Arial"/>
          <w:color w:val="000000" w:themeColor="text1"/>
        </w:rPr>
        <w:t>DOrSU’s</w:t>
      </w:r>
      <w:proofErr w:type="spellEnd"/>
      <w:r w:rsidRPr="00372A1B">
        <w:rPr>
          <w:rFonts w:ascii="Arial" w:hAnsi="Arial" w:cs="Arial"/>
          <w:color w:val="000000" w:themeColor="text1"/>
        </w:rPr>
        <w:t xml:space="preserve"> inclusive, development-oriented, and globally aware educational goals. As emphasized by Sullivan and Shaw (2017), stakeholders are more likely to support institutional goals when these reflect broader societal values and demonstrate relevance to current global challenges.</w:t>
      </w:r>
    </w:p>
    <w:p w14:paraId="60E0D49C" w14:textId="77777777" w:rsidR="008B1BC3" w:rsidRDefault="008B1BC3" w:rsidP="00372A1B">
      <w:pPr>
        <w:ind w:firstLine="720"/>
        <w:contextualSpacing/>
        <w:jc w:val="both"/>
        <w:rPr>
          <w:rFonts w:ascii="Arial" w:hAnsi="Arial" w:cs="Arial"/>
          <w:color w:val="000000" w:themeColor="text1"/>
        </w:rPr>
      </w:pPr>
    </w:p>
    <w:p w14:paraId="6C91D734" w14:textId="353F8512" w:rsid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lang w:val="en-PH"/>
        </w:rPr>
        <w:t>Table 1</w:t>
      </w:r>
      <w:r w:rsidR="00AC1665">
        <w:rPr>
          <w:rFonts w:ascii="Arial" w:hAnsi="Arial" w:cs="Arial"/>
          <w:color w:val="000000" w:themeColor="text1"/>
          <w:lang w:val="en-PH"/>
        </w:rPr>
        <w:t>0</w:t>
      </w:r>
      <w:r w:rsidRPr="00372A1B">
        <w:rPr>
          <w:rFonts w:ascii="Arial" w:hAnsi="Arial" w:cs="Arial"/>
          <w:color w:val="000000" w:themeColor="text1"/>
          <w:lang w:val="en-PH"/>
        </w:rPr>
        <w:t xml:space="preserve"> presents</w:t>
      </w:r>
      <w:r w:rsidRPr="00372A1B">
        <w:rPr>
          <w:rFonts w:ascii="Arial" w:hAnsi="Arial" w:cs="Arial"/>
        </w:rPr>
        <w:t xml:space="preserve"> the level of acceptance of </w:t>
      </w:r>
      <w:proofErr w:type="spellStart"/>
      <w:r w:rsidRPr="00372A1B">
        <w:rPr>
          <w:rFonts w:ascii="Arial" w:hAnsi="Arial" w:cs="Arial"/>
        </w:rPr>
        <w:t>BEEd</w:t>
      </w:r>
      <w:proofErr w:type="spellEnd"/>
      <w:r w:rsidRPr="00372A1B">
        <w:rPr>
          <w:rFonts w:ascii="Arial" w:hAnsi="Arial" w:cs="Arial"/>
        </w:rPr>
        <w:t xml:space="preserve"> stakeholders on </w:t>
      </w:r>
      <w:proofErr w:type="spellStart"/>
      <w:r w:rsidRPr="00372A1B">
        <w:rPr>
          <w:rFonts w:ascii="Arial" w:hAnsi="Arial" w:cs="Arial"/>
        </w:rPr>
        <w:t>DOrSU’s</w:t>
      </w:r>
      <w:proofErr w:type="spellEnd"/>
      <w:r w:rsidRPr="00372A1B">
        <w:rPr>
          <w:rFonts w:ascii="Arial" w:hAnsi="Arial" w:cs="Arial"/>
        </w:rPr>
        <w:t xml:space="preserve"> Program Educational Objectives. It shows that </w:t>
      </w:r>
      <w:r w:rsidRPr="00372A1B">
        <w:rPr>
          <w:rFonts w:ascii="Arial" w:hAnsi="Arial" w:cs="Arial"/>
          <w:color w:val="000000" w:themeColor="text1"/>
        </w:rPr>
        <w:t xml:space="preserve">all statements were interpreted as “Fully Accepted,” with mean scores (ranging from x̄ = 4.57 – 4.64), reflecting a high level of stakeholder agreement with the program’s educational priorities. The highest level of acceptance, recorded (x̄ = 4.64), corresponds to the statement, "Designing and implementing assessment tools is a critical skill for </w:t>
      </w:r>
      <w:proofErr w:type="spellStart"/>
      <w:r w:rsidRPr="00372A1B">
        <w:rPr>
          <w:rFonts w:ascii="Arial" w:hAnsi="Arial" w:cs="Arial"/>
          <w:color w:val="000000" w:themeColor="text1"/>
        </w:rPr>
        <w:t>BEEd</w:t>
      </w:r>
      <w:proofErr w:type="spellEnd"/>
      <w:r w:rsidRPr="00372A1B">
        <w:rPr>
          <w:rFonts w:ascii="Arial" w:hAnsi="Arial" w:cs="Arial"/>
          <w:color w:val="000000" w:themeColor="text1"/>
        </w:rPr>
        <w:t xml:space="preserve"> graduates.” On the other hand, the lowest mean score (x̄ = 4.57) was noted for the statement “The development of in-depth understanding of elementary learners is essential for </w:t>
      </w:r>
      <w:proofErr w:type="spellStart"/>
      <w:r w:rsidRPr="00372A1B">
        <w:rPr>
          <w:rFonts w:ascii="Arial" w:hAnsi="Arial" w:cs="Arial"/>
          <w:color w:val="000000" w:themeColor="text1"/>
        </w:rPr>
        <w:t>BEEd</w:t>
      </w:r>
      <w:proofErr w:type="spellEnd"/>
      <w:r w:rsidRPr="00372A1B">
        <w:rPr>
          <w:rFonts w:ascii="Arial" w:hAnsi="Arial" w:cs="Arial"/>
          <w:color w:val="000000" w:themeColor="text1"/>
        </w:rPr>
        <w:t xml:space="preserve"> graduates.” </w:t>
      </w:r>
    </w:p>
    <w:p w14:paraId="187BC462" w14:textId="77777777" w:rsidR="00AC1665" w:rsidRPr="00372A1B" w:rsidRDefault="00AC1665" w:rsidP="00372A1B">
      <w:pPr>
        <w:ind w:firstLine="720"/>
        <w:contextualSpacing/>
        <w:jc w:val="both"/>
        <w:rPr>
          <w:rFonts w:ascii="Arial" w:hAnsi="Arial" w:cs="Arial"/>
          <w:color w:val="000000" w:themeColor="text1"/>
        </w:rPr>
      </w:pPr>
    </w:p>
    <w:p w14:paraId="31F9C99F" w14:textId="455F017A" w:rsidR="00372A1B" w:rsidRPr="00372A1B" w:rsidRDefault="00372A1B" w:rsidP="00372A1B">
      <w:pPr>
        <w:contextualSpacing/>
        <w:jc w:val="both"/>
        <w:rPr>
          <w:rFonts w:ascii="Arial" w:hAnsi="Arial" w:cs="Arial"/>
          <w:color w:val="000000" w:themeColor="text1"/>
          <w:lang w:val="en-PH"/>
        </w:rPr>
      </w:pPr>
      <w:r w:rsidRPr="00372A1B">
        <w:rPr>
          <w:rFonts w:ascii="Arial" w:hAnsi="Arial" w:cs="Arial"/>
        </w:rPr>
        <w:t>Table 1</w:t>
      </w:r>
      <w:r w:rsidR="00AC1665">
        <w:rPr>
          <w:rFonts w:ascii="Arial" w:hAnsi="Arial" w:cs="Arial"/>
        </w:rPr>
        <w:t>0</w:t>
      </w:r>
      <w:r w:rsidRPr="00372A1B">
        <w:rPr>
          <w:rFonts w:ascii="Arial" w:hAnsi="Arial" w:cs="Arial"/>
        </w:rPr>
        <w:t xml:space="preserve">: </w:t>
      </w:r>
      <w:r w:rsidRPr="00372A1B">
        <w:rPr>
          <w:rFonts w:ascii="Arial" w:hAnsi="Arial" w:cs="Arial"/>
          <w:color w:val="000000" w:themeColor="text1"/>
          <w:lang w:val="en-PH"/>
        </w:rPr>
        <w:t xml:space="preserve">Level of acceptance of </w:t>
      </w:r>
      <w:proofErr w:type="spellStart"/>
      <w:r w:rsidRPr="00372A1B">
        <w:rPr>
          <w:rFonts w:ascii="Arial" w:hAnsi="Arial" w:cs="Arial"/>
          <w:color w:val="000000" w:themeColor="text1"/>
          <w:lang w:val="en-PH"/>
        </w:rPr>
        <w:t>DOrSU’s</w:t>
      </w:r>
      <w:proofErr w:type="spellEnd"/>
      <w:r w:rsidRPr="00372A1B">
        <w:rPr>
          <w:rFonts w:ascii="Arial" w:hAnsi="Arial" w:cs="Arial"/>
          <w:color w:val="000000" w:themeColor="text1"/>
          <w:lang w:val="en-PH"/>
        </w:rPr>
        <w:t xml:space="preserve"> program educational objectives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10"/>
        <w:gridCol w:w="789"/>
        <w:gridCol w:w="1198"/>
        <w:gridCol w:w="1404"/>
      </w:tblGrid>
      <w:tr w:rsidR="00372A1B" w:rsidRPr="00AC1665" w14:paraId="31D52025" w14:textId="77777777" w:rsidTr="00AC1665">
        <w:trPr>
          <w:trHeight w:val="419"/>
        </w:trPr>
        <w:tc>
          <w:tcPr>
            <w:tcW w:w="4910" w:type="dxa"/>
            <w:tcBorders>
              <w:bottom w:val="single" w:sz="4" w:space="0" w:color="auto"/>
            </w:tcBorders>
          </w:tcPr>
          <w:p w14:paraId="56B8A99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Statement</w:t>
            </w:r>
          </w:p>
        </w:tc>
        <w:tc>
          <w:tcPr>
            <w:tcW w:w="789" w:type="dxa"/>
            <w:tcBorders>
              <w:bottom w:val="single" w:sz="4" w:space="0" w:color="auto"/>
            </w:tcBorders>
          </w:tcPr>
          <w:p w14:paraId="054F9F2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w:t>
            </w:r>
          </w:p>
        </w:tc>
        <w:tc>
          <w:tcPr>
            <w:tcW w:w="1198" w:type="dxa"/>
            <w:tcBorders>
              <w:bottom w:val="single" w:sz="4" w:space="0" w:color="auto"/>
            </w:tcBorders>
          </w:tcPr>
          <w:p w14:paraId="5A98D6E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Std. Deviation</w:t>
            </w:r>
          </w:p>
        </w:tc>
        <w:tc>
          <w:tcPr>
            <w:tcW w:w="1404" w:type="dxa"/>
            <w:tcBorders>
              <w:bottom w:val="single" w:sz="4" w:space="0" w:color="auto"/>
            </w:tcBorders>
          </w:tcPr>
          <w:p w14:paraId="34797047"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Interpretation</w:t>
            </w:r>
          </w:p>
        </w:tc>
      </w:tr>
      <w:tr w:rsidR="00372A1B" w:rsidRPr="00AC1665" w14:paraId="4B6F20D2" w14:textId="77777777" w:rsidTr="00AC1665">
        <w:trPr>
          <w:trHeight w:val="419"/>
        </w:trPr>
        <w:tc>
          <w:tcPr>
            <w:tcW w:w="4910" w:type="dxa"/>
            <w:tcBorders>
              <w:top w:val="single" w:sz="4" w:space="0" w:color="auto"/>
              <w:bottom w:val="single" w:sz="4" w:space="0" w:color="auto"/>
            </w:tcBorders>
          </w:tcPr>
          <w:p w14:paraId="583F08CD" w14:textId="77777777" w:rsidR="00372A1B" w:rsidRPr="00AC1665" w:rsidRDefault="00372A1B" w:rsidP="00372A1B">
            <w:pPr>
              <w:rPr>
                <w:rFonts w:ascii="Arial" w:hAnsi="Arial" w:cs="Arial"/>
                <w:sz w:val="18"/>
                <w:szCs w:val="18"/>
              </w:rPr>
            </w:pP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program’s objectives are vital to producing competent elementary education professionals</w:t>
            </w:r>
          </w:p>
        </w:tc>
        <w:tc>
          <w:tcPr>
            <w:tcW w:w="789" w:type="dxa"/>
            <w:tcBorders>
              <w:top w:val="single" w:sz="4" w:space="0" w:color="auto"/>
              <w:bottom w:val="single" w:sz="4" w:space="0" w:color="auto"/>
            </w:tcBorders>
            <w:shd w:val="clear" w:color="auto" w:fill="FFFFFF"/>
            <w:vAlign w:val="center"/>
          </w:tcPr>
          <w:p w14:paraId="054186C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4.58</w:t>
            </w:r>
          </w:p>
        </w:tc>
        <w:tc>
          <w:tcPr>
            <w:tcW w:w="1198" w:type="dxa"/>
            <w:tcBorders>
              <w:top w:val="single" w:sz="4" w:space="0" w:color="auto"/>
              <w:bottom w:val="single" w:sz="4" w:space="0" w:color="auto"/>
            </w:tcBorders>
            <w:shd w:val="clear" w:color="auto" w:fill="FFFFFF"/>
            <w:vAlign w:val="center"/>
          </w:tcPr>
          <w:p w14:paraId="3DDB4B4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.54</w:t>
            </w:r>
          </w:p>
        </w:tc>
        <w:tc>
          <w:tcPr>
            <w:tcW w:w="1404" w:type="dxa"/>
            <w:tcBorders>
              <w:top w:val="single" w:sz="4" w:space="0" w:color="auto"/>
              <w:bottom w:val="single" w:sz="4" w:space="0" w:color="auto"/>
            </w:tcBorders>
            <w:vAlign w:val="center"/>
          </w:tcPr>
          <w:p w14:paraId="20E34F8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F30FF76" w14:textId="77777777" w:rsidTr="00AC1665">
        <w:trPr>
          <w:trHeight w:val="419"/>
        </w:trPr>
        <w:tc>
          <w:tcPr>
            <w:tcW w:w="4910" w:type="dxa"/>
            <w:tcBorders>
              <w:top w:val="single" w:sz="4" w:space="0" w:color="auto"/>
              <w:bottom w:val="single" w:sz="4" w:space="0" w:color="auto"/>
            </w:tcBorders>
          </w:tcPr>
          <w:p w14:paraId="014B0145"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The development of an in-depth understanding of elementary learners is essential for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357C538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4.57</w:t>
            </w:r>
          </w:p>
        </w:tc>
        <w:tc>
          <w:tcPr>
            <w:tcW w:w="1198" w:type="dxa"/>
            <w:tcBorders>
              <w:top w:val="single" w:sz="4" w:space="0" w:color="auto"/>
              <w:bottom w:val="single" w:sz="4" w:space="0" w:color="auto"/>
            </w:tcBorders>
            <w:shd w:val="clear" w:color="auto" w:fill="FFFFFF"/>
            <w:vAlign w:val="center"/>
          </w:tcPr>
          <w:p w14:paraId="7D9D93B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.55</w:t>
            </w:r>
          </w:p>
        </w:tc>
        <w:tc>
          <w:tcPr>
            <w:tcW w:w="1404" w:type="dxa"/>
            <w:tcBorders>
              <w:top w:val="single" w:sz="4" w:space="0" w:color="auto"/>
              <w:bottom w:val="single" w:sz="4" w:space="0" w:color="auto"/>
            </w:tcBorders>
            <w:vAlign w:val="center"/>
          </w:tcPr>
          <w:p w14:paraId="213812A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527A39C4" w14:textId="77777777" w:rsidTr="00AC1665">
        <w:trPr>
          <w:trHeight w:val="419"/>
        </w:trPr>
        <w:tc>
          <w:tcPr>
            <w:tcW w:w="4910" w:type="dxa"/>
            <w:tcBorders>
              <w:top w:val="single" w:sz="4" w:space="0" w:color="auto"/>
              <w:bottom w:val="single" w:sz="4" w:space="0" w:color="auto"/>
            </w:tcBorders>
          </w:tcPr>
          <w:p w14:paraId="15C54DCD" w14:textId="77777777" w:rsidR="00372A1B" w:rsidRPr="00AC1665" w:rsidRDefault="00372A1B" w:rsidP="00372A1B">
            <w:pPr>
              <w:rPr>
                <w:rFonts w:ascii="Arial" w:hAnsi="Arial" w:cs="Arial"/>
                <w:sz w:val="18"/>
                <w:szCs w:val="18"/>
              </w:rPr>
            </w:pPr>
            <w:r w:rsidRPr="00AC1665">
              <w:rPr>
                <w:rFonts w:ascii="Arial" w:eastAsia="SimSun" w:hAnsi="Arial" w:cs="Arial"/>
                <w:color w:val="000000"/>
                <w:sz w:val="18"/>
                <w:szCs w:val="18"/>
                <w:lang w:eastAsia="zh-CN" w:bidi="ar"/>
              </w:rPr>
              <w:t xml:space="preserve">Having a comprehensive knowledge of learning areas is crucial for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4D4675B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4.62</w:t>
            </w:r>
          </w:p>
        </w:tc>
        <w:tc>
          <w:tcPr>
            <w:tcW w:w="1198" w:type="dxa"/>
            <w:tcBorders>
              <w:top w:val="single" w:sz="4" w:space="0" w:color="auto"/>
              <w:bottom w:val="single" w:sz="4" w:space="0" w:color="auto"/>
            </w:tcBorders>
            <w:shd w:val="clear" w:color="auto" w:fill="FFFFFF"/>
            <w:vAlign w:val="center"/>
          </w:tcPr>
          <w:p w14:paraId="231F72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.51</w:t>
            </w:r>
          </w:p>
        </w:tc>
        <w:tc>
          <w:tcPr>
            <w:tcW w:w="1404" w:type="dxa"/>
            <w:tcBorders>
              <w:top w:val="single" w:sz="4" w:space="0" w:color="auto"/>
              <w:bottom w:val="single" w:sz="4" w:space="0" w:color="auto"/>
            </w:tcBorders>
            <w:vAlign w:val="center"/>
          </w:tcPr>
          <w:p w14:paraId="088ADE2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43415BF6" w14:textId="77777777" w:rsidTr="00AC1665">
        <w:trPr>
          <w:trHeight w:val="419"/>
        </w:trPr>
        <w:tc>
          <w:tcPr>
            <w:tcW w:w="4910" w:type="dxa"/>
            <w:tcBorders>
              <w:top w:val="single" w:sz="4" w:space="0" w:color="auto"/>
              <w:bottom w:val="single" w:sz="4" w:space="0" w:color="auto"/>
            </w:tcBorders>
          </w:tcPr>
          <w:p w14:paraId="3606F0BE" w14:textId="77777777" w:rsidR="00372A1B" w:rsidRPr="00AC1665" w:rsidRDefault="00372A1B" w:rsidP="00372A1B">
            <w:pPr>
              <w:rPr>
                <w:rFonts w:ascii="Arial" w:hAnsi="Arial" w:cs="Arial"/>
                <w:sz w:val="18"/>
                <w:szCs w:val="18"/>
                <w:lang w:eastAsia="zh-CN" w:bidi="ar"/>
              </w:rPr>
            </w:pPr>
            <w:r w:rsidRPr="00AC1665">
              <w:rPr>
                <w:rFonts w:ascii="Arial" w:eastAsia="SimSun" w:hAnsi="Arial" w:cs="Arial"/>
                <w:color w:val="000000"/>
                <w:sz w:val="18"/>
                <w:szCs w:val="18"/>
                <w:lang w:eastAsia="zh-CN" w:bidi="ar"/>
              </w:rPr>
              <w:t>Creating and utilizing materials for elementary learning enhances teaching and learning outcomes.</w:t>
            </w:r>
          </w:p>
        </w:tc>
        <w:tc>
          <w:tcPr>
            <w:tcW w:w="789" w:type="dxa"/>
            <w:tcBorders>
              <w:top w:val="single" w:sz="4" w:space="0" w:color="auto"/>
              <w:bottom w:val="single" w:sz="4" w:space="0" w:color="auto"/>
            </w:tcBorders>
            <w:shd w:val="clear" w:color="auto" w:fill="FFFFFF"/>
            <w:vAlign w:val="center"/>
          </w:tcPr>
          <w:p w14:paraId="434E690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4.61</w:t>
            </w:r>
          </w:p>
        </w:tc>
        <w:tc>
          <w:tcPr>
            <w:tcW w:w="1198" w:type="dxa"/>
            <w:tcBorders>
              <w:top w:val="single" w:sz="4" w:space="0" w:color="auto"/>
              <w:bottom w:val="single" w:sz="4" w:space="0" w:color="auto"/>
            </w:tcBorders>
            <w:shd w:val="clear" w:color="auto" w:fill="FFFFFF"/>
            <w:vAlign w:val="center"/>
          </w:tcPr>
          <w:p w14:paraId="321F769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4" w:type="dxa"/>
            <w:tcBorders>
              <w:top w:val="single" w:sz="4" w:space="0" w:color="auto"/>
              <w:bottom w:val="single" w:sz="4" w:space="0" w:color="auto"/>
            </w:tcBorders>
            <w:vAlign w:val="center"/>
          </w:tcPr>
          <w:p w14:paraId="7C14C11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r w:rsidR="00372A1B" w:rsidRPr="00AC1665" w14:paraId="7419B087" w14:textId="77777777" w:rsidTr="00AC1665">
        <w:trPr>
          <w:trHeight w:val="419"/>
        </w:trPr>
        <w:tc>
          <w:tcPr>
            <w:tcW w:w="4910" w:type="dxa"/>
            <w:tcBorders>
              <w:top w:val="single" w:sz="4" w:space="0" w:color="auto"/>
              <w:bottom w:val="single" w:sz="4" w:space="0" w:color="auto"/>
            </w:tcBorders>
          </w:tcPr>
          <w:p w14:paraId="3D71D1E5" w14:textId="77777777" w:rsidR="00372A1B" w:rsidRPr="00AC1665" w:rsidRDefault="00372A1B" w:rsidP="00372A1B">
            <w:pPr>
              <w:rPr>
                <w:sz w:val="18"/>
                <w:szCs w:val="18"/>
              </w:rPr>
            </w:pPr>
            <w:r w:rsidRPr="00AC1665">
              <w:rPr>
                <w:rFonts w:ascii="Arial" w:eastAsia="SimSun" w:hAnsi="Arial" w:cs="Arial"/>
                <w:color w:val="000000"/>
                <w:sz w:val="18"/>
                <w:szCs w:val="18"/>
                <w:lang w:eastAsia="zh-CN" w:bidi="ar"/>
              </w:rPr>
              <w:t xml:space="preserve">Designing and implementing assessment tools is a critical skill for </w:t>
            </w:r>
            <w:proofErr w:type="spellStart"/>
            <w:r w:rsidRPr="00AC1665">
              <w:rPr>
                <w:rFonts w:ascii="Arial" w:eastAsia="SimSun" w:hAnsi="Arial" w:cs="Arial"/>
                <w:color w:val="000000"/>
                <w:sz w:val="18"/>
                <w:szCs w:val="18"/>
                <w:lang w:eastAsia="zh-CN" w:bidi="ar"/>
              </w:rPr>
              <w:t>BEEd</w:t>
            </w:r>
            <w:proofErr w:type="spellEnd"/>
            <w:r w:rsidRPr="00AC1665">
              <w:rPr>
                <w:rFonts w:ascii="Arial" w:eastAsia="SimSun" w:hAnsi="Arial" w:cs="Arial"/>
                <w:color w:val="000000"/>
                <w:sz w:val="18"/>
                <w:szCs w:val="18"/>
                <w:lang w:eastAsia="zh-CN" w:bidi="ar"/>
              </w:rPr>
              <w:t xml:space="preserve"> graduates.</w:t>
            </w:r>
          </w:p>
        </w:tc>
        <w:tc>
          <w:tcPr>
            <w:tcW w:w="789" w:type="dxa"/>
            <w:tcBorders>
              <w:top w:val="single" w:sz="4" w:space="0" w:color="auto"/>
              <w:bottom w:val="single" w:sz="4" w:space="0" w:color="auto"/>
            </w:tcBorders>
            <w:shd w:val="clear" w:color="auto" w:fill="FFFFFF"/>
            <w:vAlign w:val="center"/>
          </w:tcPr>
          <w:p w14:paraId="528E1CC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4.64</w:t>
            </w:r>
          </w:p>
        </w:tc>
        <w:tc>
          <w:tcPr>
            <w:tcW w:w="1198" w:type="dxa"/>
            <w:tcBorders>
              <w:top w:val="single" w:sz="4" w:space="0" w:color="auto"/>
              <w:bottom w:val="single" w:sz="4" w:space="0" w:color="auto"/>
            </w:tcBorders>
            <w:shd w:val="clear" w:color="auto" w:fill="FFFFFF"/>
            <w:vAlign w:val="center"/>
          </w:tcPr>
          <w:p w14:paraId="30F1D46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w:t>
            </w:r>
          </w:p>
        </w:tc>
        <w:tc>
          <w:tcPr>
            <w:tcW w:w="1404" w:type="dxa"/>
            <w:tcBorders>
              <w:top w:val="single" w:sz="4" w:space="0" w:color="auto"/>
              <w:bottom w:val="single" w:sz="4" w:space="0" w:color="auto"/>
            </w:tcBorders>
            <w:vAlign w:val="center"/>
          </w:tcPr>
          <w:p w14:paraId="486F624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Fully Accepted</w:t>
            </w:r>
          </w:p>
        </w:tc>
      </w:tr>
    </w:tbl>
    <w:p w14:paraId="1896257B" w14:textId="77777777" w:rsidR="00372A1B" w:rsidRPr="00372A1B" w:rsidRDefault="00372A1B" w:rsidP="00372A1B">
      <w:pPr>
        <w:jc w:val="both"/>
        <w:rPr>
          <w:rFonts w:ascii="Arial" w:hAnsi="Arial" w:cs="Arial"/>
          <w:color w:val="000000" w:themeColor="text1"/>
          <w:lang w:val="en-PH"/>
        </w:rPr>
      </w:pPr>
    </w:p>
    <w:p w14:paraId="53288BAA" w14:textId="77777777" w:rsidR="00372A1B" w:rsidRPr="00372A1B" w:rsidRDefault="00372A1B" w:rsidP="00372A1B">
      <w:pPr>
        <w:ind w:firstLine="720"/>
        <w:contextualSpacing/>
        <w:jc w:val="both"/>
        <w:rPr>
          <w:rFonts w:ascii="Arial" w:hAnsi="Arial" w:cs="Arial"/>
          <w:color w:val="000000" w:themeColor="text1"/>
        </w:rPr>
      </w:pPr>
      <w:r w:rsidRPr="00372A1B">
        <w:rPr>
          <w:rFonts w:ascii="Arial" w:hAnsi="Arial" w:cs="Arial"/>
          <w:color w:val="000000" w:themeColor="text1"/>
        </w:rPr>
        <w:t xml:space="preserve">These findings affirm that stakeholders strongly support the </w:t>
      </w:r>
      <w:proofErr w:type="spellStart"/>
      <w:r w:rsidRPr="00372A1B">
        <w:rPr>
          <w:rFonts w:ascii="Arial" w:hAnsi="Arial" w:cs="Arial"/>
          <w:color w:val="000000" w:themeColor="text1"/>
        </w:rPr>
        <w:t>BEEd</w:t>
      </w:r>
      <w:proofErr w:type="spellEnd"/>
      <w:r w:rsidRPr="00372A1B">
        <w:rPr>
          <w:rFonts w:ascii="Arial" w:hAnsi="Arial" w:cs="Arial"/>
          <w:color w:val="000000" w:themeColor="text1"/>
        </w:rPr>
        <w:t xml:space="preserve"> program's objectives, especially in equipping future educators with practical skills and comprehensive content knowledge for effective teaching at the elementary level. As stated by McLaughlin and Marshall (2015), program objectives that are aligned with industry expectations and academic needs tend to receive stronger stakeholder approval and trust.</w:t>
      </w:r>
    </w:p>
    <w:p w14:paraId="0C578DBD" w14:textId="77777777" w:rsidR="00AC1665" w:rsidRPr="00372A1B" w:rsidRDefault="00AC1665" w:rsidP="00372A1B">
      <w:pPr>
        <w:ind w:firstLine="720"/>
        <w:contextualSpacing/>
        <w:jc w:val="both"/>
        <w:rPr>
          <w:rFonts w:ascii="Arial" w:hAnsi="Arial" w:cs="Arial"/>
          <w:color w:val="000000" w:themeColor="text1"/>
        </w:rPr>
      </w:pPr>
    </w:p>
    <w:p w14:paraId="1A6B0000" w14:textId="77777777" w:rsidR="00372A1B" w:rsidRDefault="00372A1B" w:rsidP="00AC1665">
      <w:pPr>
        <w:jc w:val="center"/>
        <w:rPr>
          <w:rFonts w:ascii="Arial" w:hAnsi="Arial" w:cs="Arial"/>
          <w:b/>
          <w:bCs/>
          <w:color w:val="000000" w:themeColor="text1"/>
          <w:lang w:val="en-PH"/>
        </w:rPr>
      </w:pPr>
      <w:r w:rsidRPr="00372A1B">
        <w:rPr>
          <w:rFonts w:ascii="Arial" w:hAnsi="Arial" w:cs="Arial"/>
          <w:b/>
          <w:bCs/>
          <w:color w:val="000000" w:themeColor="text1"/>
          <w:lang w:val="en-PH"/>
        </w:rPr>
        <w:t xml:space="preserve">Differences in </w:t>
      </w:r>
      <w:proofErr w:type="spellStart"/>
      <w:r w:rsidRPr="00372A1B">
        <w:rPr>
          <w:rFonts w:ascii="Arial" w:hAnsi="Arial" w:cs="Arial"/>
          <w:b/>
          <w:bCs/>
          <w:color w:val="000000" w:themeColor="text1"/>
          <w:lang w:val="en-PH"/>
        </w:rPr>
        <w:t>BEEd</w:t>
      </w:r>
      <w:proofErr w:type="spellEnd"/>
      <w:r w:rsidRPr="00372A1B">
        <w:rPr>
          <w:rFonts w:ascii="Arial" w:hAnsi="Arial" w:cs="Arial"/>
          <w:b/>
          <w:bCs/>
          <w:color w:val="000000" w:themeColor="text1"/>
          <w:lang w:val="en-PH"/>
        </w:rPr>
        <w:t xml:space="preserve"> Stakeholders’ Level of Awareness of </w:t>
      </w:r>
      <w:proofErr w:type="spellStart"/>
      <w:r w:rsidRPr="00372A1B">
        <w:rPr>
          <w:rFonts w:ascii="Arial" w:hAnsi="Arial" w:cs="Arial"/>
          <w:b/>
          <w:bCs/>
          <w:color w:val="000000" w:themeColor="text1"/>
          <w:lang w:val="en-PH"/>
        </w:rPr>
        <w:t>DOrSU’s</w:t>
      </w:r>
      <w:proofErr w:type="spellEnd"/>
      <w:r w:rsidRPr="00372A1B">
        <w:rPr>
          <w:rFonts w:ascii="Arial" w:hAnsi="Arial" w:cs="Arial"/>
          <w:b/>
          <w:bCs/>
          <w:color w:val="000000" w:themeColor="text1"/>
          <w:lang w:val="en-PH"/>
        </w:rPr>
        <w:t xml:space="preserve"> VMPEO</w:t>
      </w:r>
    </w:p>
    <w:p w14:paraId="152EDD2D" w14:textId="77777777" w:rsidR="00AC1665" w:rsidRPr="00372A1B" w:rsidRDefault="00AC1665" w:rsidP="00AC1665">
      <w:pPr>
        <w:jc w:val="center"/>
        <w:rPr>
          <w:rFonts w:ascii="Arial" w:hAnsi="Arial" w:cs="Arial"/>
          <w:b/>
          <w:bCs/>
          <w:color w:val="000000" w:themeColor="text1"/>
          <w:lang w:val="en-PH"/>
        </w:rPr>
      </w:pPr>
    </w:p>
    <w:p w14:paraId="15EBCF21" w14:textId="4B759154" w:rsidR="00372A1B" w:rsidRDefault="00372A1B" w:rsidP="00372A1B">
      <w:pPr>
        <w:ind w:firstLine="720"/>
        <w:jc w:val="both"/>
        <w:rPr>
          <w:rFonts w:ascii="Arial" w:hAnsi="Arial" w:cs="Arial"/>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1</w:t>
      </w:r>
      <w:r w:rsidRPr="00372A1B">
        <w:rPr>
          <w:rFonts w:ascii="Arial" w:hAnsi="Arial" w:cs="Arial"/>
          <w:color w:val="000000" w:themeColor="text1"/>
          <w:lang w:val="en-PH"/>
        </w:rPr>
        <w:t xml:space="preserve"> presents the test for differences in awareness levels by stakeholder category. </w:t>
      </w:r>
      <w:r w:rsidRPr="00372A1B">
        <w:rPr>
          <w:rFonts w:ascii="Arial" w:hAnsi="Arial" w:cs="Arial"/>
          <w:lang w:val="en-PH"/>
        </w:rPr>
        <w:t xml:space="preserve">The results of a one-way ANOVA test conducted to determine if there is a significant difference in the level of awareness of </w:t>
      </w:r>
      <w:proofErr w:type="spellStart"/>
      <w:r w:rsidRPr="00372A1B">
        <w:rPr>
          <w:rFonts w:ascii="Arial" w:hAnsi="Arial" w:cs="Arial"/>
          <w:lang w:val="en-PH"/>
        </w:rPr>
        <w:t>DOrSU’s</w:t>
      </w:r>
      <w:proofErr w:type="spellEnd"/>
      <w:r w:rsidRPr="00372A1B">
        <w:rPr>
          <w:rFonts w:ascii="Arial" w:hAnsi="Arial" w:cs="Arial"/>
          <w:lang w:val="en-PH"/>
        </w:rPr>
        <w:t xml:space="preserve"> Vision, Mission, and Program Educational Objectives (PEO) among various stakeholder categories are presented. </w:t>
      </w:r>
    </w:p>
    <w:p w14:paraId="2CB7A51D" w14:textId="77777777" w:rsidR="00FA1F49" w:rsidRDefault="00FA1F49" w:rsidP="00372A1B">
      <w:pPr>
        <w:ind w:firstLine="720"/>
        <w:jc w:val="both"/>
        <w:rPr>
          <w:rFonts w:ascii="Arial" w:hAnsi="Arial" w:cs="Arial"/>
          <w:lang w:val="en-PH"/>
        </w:rPr>
      </w:pPr>
    </w:p>
    <w:p w14:paraId="0A76BDA0" w14:textId="77777777" w:rsidR="00FA1F49" w:rsidRDefault="00FA1F49" w:rsidP="00372A1B">
      <w:pPr>
        <w:ind w:firstLine="720"/>
        <w:jc w:val="both"/>
        <w:rPr>
          <w:rFonts w:ascii="Arial" w:hAnsi="Arial" w:cs="Arial"/>
          <w:lang w:val="en-PH"/>
        </w:rPr>
      </w:pPr>
    </w:p>
    <w:p w14:paraId="11AF33E7" w14:textId="77777777" w:rsidR="00FA1F49" w:rsidRDefault="00FA1F49" w:rsidP="00372A1B">
      <w:pPr>
        <w:ind w:firstLine="720"/>
        <w:jc w:val="both"/>
        <w:rPr>
          <w:rFonts w:ascii="Arial" w:hAnsi="Arial" w:cs="Arial"/>
          <w:lang w:val="en-PH"/>
        </w:rPr>
      </w:pPr>
    </w:p>
    <w:p w14:paraId="00BD38BA" w14:textId="77777777" w:rsidR="00AC1665" w:rsidRPr="00372A1B" w:rsidRDefault="00AC1665" w:rsidP="00372A1B">
      <w:pPr>
        <w:ind w:firstLine="720"/>
        <w:jc w:val="both"/>
        <w:rPr>
          <w:rFonts w:ascii="Arial" w:hAnsi="Arial" w:cs="Arial"/>
          <w:lang w:val="en-PH"/>
        </w:rPr>
      </w:pPr>
    </w:p>
    <w:p w14:paraId="1275D146" w14:textId="4942184F"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1</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63"/>
        <w:gridCol w:w="549"/>
        <w:gridCol w:w="112"/>
        <w:gridCol w:w="1626"/>
        <w:gridCol w:w="1019"/>
        <w:gridCol w:w="1379"/>
      </w:tblGrid>
      <w:tr w:rsidR="00372A1B" w:rsidRPr="00AC1665" w14:paraId="6006CF8C" w14:textId="77777777" w:rsidTr="00AC1665">
        <w:trPr>
          <w:trHeight w:val="246"/>
        </w:trPr>
        <w:tc>
          <w:tcPr>
            <w:tcW w:w="1921" w:type="dxa"/>
            <w:tcBorders>
              <w:top w:val="single" w:sz="4" w:space="0" w:color="auto"/>
              <w:bottom w:val="single" w:sz="4" w:space="0" w:color="auto"/>
            </w:tcBorders>
          </w:tcPr>
          <w:p w14:paraId="4CEA2B51" w14:textId="77777777" w:rsidR="00372A1B" w:rsidRPr="00AC1665" w:rsidRDefault="00372A1B" w:rsidP="00372A1B">
            <w:pPr>
              <w:rPr>
                <w:rFonts w:ascii="Arial" w:hAnsi="Arial" w:cs="Arial"/>
                <w:sz w:val="18"/>
                <w:szCs w:val="18"/>
              </w:rPr>
            </w:pPr>
          </w:p>
        </w:tc>
        <w:tc>
          <w:tcPr>
            <w:tcW w:w="1663" w:type="dxa"/>
            <w:tcBorders>
              <w:top w:val="single" w:sz="4" w:space="0" w:color="auto"/>
              <w:bottom w:val="single" w:sz="4" w:space="0" w:color="auto"/>
            </w:tcBorders>
          </w:tcPr>
          <w:p w14:paraId="4E8CA7C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49" w:type="dxa"/>
            <w:tcBorders>
              <w:top w:val="single" w:sz="4" w:space="0" w:color="auto"/>
              <w:bottom w:val="single" w:sz="4" w:space="0" w:color="auto"/>
            </w:tcBorders>
          </w:tcPr>
          <w:p w14:paraId="050E5A7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38" w:type="dxa"/>
            <w:gridSpan w:val="2"/>
            <w:tcBorders>
              <w:top w:val="single" w:sz="4" w:space="0" w:color="auto"/>
              <w:bottom w:val="single" w:sz="4" w:space="0" w:color="auto"/>
            </w:tcBorders>
          </w:tcPr>
          <w:p w14:paraId="12B1256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19" w:type="dxa"/>
            <w:tcBorders>
              <w:top w:val="single" w:sz="4" w:space="0" w:color="auto"/>
              <w:bottom w:val="single" w:sz="4" w:space="0" w:color="auto"/>
            </w:tcBorders>
          </w:tcPr>
          <w:p w14:paraId="30F5A828"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79" w:type="dxa"/>
            <w:tcBorders>
              <w:top w:val="single" w:sz="4" w:space="0" w:color="auto"/>
              <w:bottom w:val="single" w:sz="4" w:space="0" w:color="auto"/>
            </w:tcBorders>
          </w:tcPr>
          <w:p w14:paraId="5B40CD0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7CCB9742" w14:textId="77777777" w:rsidTr="00AC1665">
        <w:trPr>
          <w:trHeight w:val="246"/>
        </w:trPr>
        <w:tc>
          <w:tcPr>
            <w:tcW w:w="1921" w:type="dxa"/>
            <w:tcBorders>
              <w:top w:val="single" w:sz="4" w:space="0" w:color="auto"/>
              <w:bottom w:val="single" w:sz="4" w:space="0" w:color="auto"/>
            </w:tcBorders>
          </w:tcPr>
          <w:p w14:paraId="005522AD"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63" w:type="dxa"/>
            <w:tcBorders>
              <w:top w:val="single" w:sz="4" w:space="0" w:color="auto"/>
              <w:bottom w:val="single" w:sz="4" w:space="0" w:color="auto"/>
            </w:tcBorders>
            <w:shd w:val="clear" w:color="auto" w:fill="FFFFFF"/>
            <w:vAlign w:val="center"/>
          </w:tcPr>
          <w:p w14:paraId="5D20012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8.158</w:t>
            </w:r>
          </w:p>
        </w:tc>
        <w:tc>
          <w:tcPr>
            <w:tcW w:w="661" w:type="dxa"/>
            <w:gridSpan w:val="2"/>
            <w:tcBorders>
              <w:top w:val="single" w:sz="4" w:space="0" w:color="auto"/>
              <w:bottom w:val="single" w:sz="4" w:space="0" w:color="auto"/>
            </w:tcBorders>
            <w:shd w:val="clear" w:color="auto" w:fill="FFFFFF"/>
            <w:vAlign w:val="center"/>
          </w:tcPr>
          <w:p w14:paraId="2FD8A80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w:t>
            </w:r>
          </w:p>
        </w:tc>
        <w:tc>
          <w:tcPr>
            <w:tcW w:w="1625" w:type="dxa"/>
            <w:tcBorders>
              <w:top w:val="single" w:sz="4" w:space="0" w:color="auto"/>
              <w:bottom w:val="single" w:sz="4" w:space="0" w:color="auto"/>
            </w:tcBorders>
            <w:shd w:val="clear" w:color="auto" w:fill="FFFFFF"/>
            <w:vAlign w:val="center"/>
          </w:tcPr>
          <w:p w14:paraId="25B4117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1.632</w:t>
            </w:r>
          </w:p>
        </w:tc>
        <w:tc>
          <w:tcPr>
            <w:tcW w:w="1019" w:type="dxa"/>
            <w:tcBorders>
              <w:top w:val="single" w:sz="4" w:space="0" w:color="auto"/>
              <w:bottom w:val="single" w:sz="4" w:space="0" w:color="auto"/>
            </w:tcBorders>
            <w:shd w:val="clear" w:color="auto" w:fill="FFFFFF"/>
            <w:vAlign w:val="center"/>
          </w:tcPr>
          <w:p w14:paraId="080F60D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8.993</w:t>
            </w:r>
          </w:p>
        </w:tc>
        <w:tc>
          <w:tcPr>
            <w:tcW w:w="1379" w:type="dxa"/>
            <w:tcBorders>
              <w:top w:val="single" w:sz="4" w:space="0" w:color="auto"/>
              <w:bottom w:val="single" w:sz="4" w:space="0" w:color="auto"/>
            </w:tcBorders>
            <w:shd w:val="clear" w:color="auto" w:fill="FFFFFF"/>
            <w:vAlign w:val="center"/>
          </w:tcPr>
          <w:p w14:paraId="51030B0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29BBD3E5" w14:textId="77777777" w:rsidTr="00AC1665">
        <w:trPr>
          <w:trHeight w:val="246"/>
        </w:trPr>
        <w:tc>
          <w:tcPr>
            <w:tcW w:w="1921" w:type="dxa"/>
            <w:tcBorders>
              <w:top w:val="single" w:sz="4" w:space="0" w:color="auto"/>
              <w:bottom w:val="single" w:sz="4" w:space="0" w:color="auto"/>
            </w:tcBorders>
          </w:tcPr>
          <w:p w14:paraId="2976BF41"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63" w:type="dxa"/>
            <w:tcBorders>
              <w:top w:val="single" w:sz="4" w:space="0" w:color="auto"/>
              <w:bottom w:val="single" w:sz="4" w:space="0" w:color="auto"/>
            </w:tcBorders>
            <w:shd w:val="clear" w:color="auto" w:fill="FFFFFF"/>
            <w:vAlign w:val="center"/>
          </w:tcPr>
          <w:p w14:paraId="4B93F94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53.155</w:t>
            </w:r>
          </w:p>
        </w:tc>
        <w:tc>
          <w:tcPr>
            <w:tcW w:w="661" w:type="dxa"/>
            <w:gridSpan w:val="2"/>
            <w:tcBorders>
              <w:top w:val="single" w:sz="4" w:space="0" w:color="auto"/>
              <w:bottom w:val="single" w:sz="4" w:space="0" w:color="auto"/>
            </w:tcBorders>
            <w:shd w:val="clear" w:color="auto" w:fill="FFFFFF"/>
            <w:vAlign w:val="center"/>
          </w:tcPr>
          <w:p w14:paraId="06CE07E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293</w:t>
            </w:r>
          </w:p>
        </w:tc>
        <w:tc>
          <w:tcPr>
            <w:tcW w:w="1625" w:type="dxa"/>
            <w:tcBorders>
              <w:top w:val="single" w:sz="4" w:space="0" w:color="auto"/>
              <w:bottom w:val="single" w:sz="4" w:space="0" w:color="auto"/>
            </w:tcBorders>
            <w:shd w:val="clear" w:color="auto" w:fill="FFFFFF"/>
            <w:vAlign w:val="center"/>
          </w:tcPr>
          <w:p w14:paraId="291137B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.181</w:t>
            </w:r>
          </w:p>
        </w:tc>
        <w:tc>
          <w:tcPr>
            <w:tcW w:w="1019" w:type="dxa"/>
            <w:tcBorders>
              <w:top w:val="single" w:sz="4" w:space="0" w:color="auto"/>
              <w:bottom w:val="single" w:sz="4" w:space="0" w:color="auto"/>
            </w:tcBorders>
            <w:shd w:val="clear" w:color="auto" w:fill="FFFFFF"/>
            <w:vAlign w:val="center"/>
          </w:tcPr>
          <w:p w14:paraId="1492BCA0" w14:textId="77777777" w:rsidR="00372A1B" w:rsidRPr="00AC1665"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5C5AFD7F" w14:textId="77777777" w:rsidR="00372A1B" w:rsidRPr="00AC1665" w:rsidRDefault="00372A1B" w:rsidP="00372A1B">
            <w:pPr>
              <w:jc w:val="center"/>
              <w:rPr>
                <w:sz w:val="18"/>
                <w:szCs w:val="18"/>
              </w:rPr>
            </w:pPr>
          </w:p>
        </w:tc>
      </w:tr>
      <w:tr w:rsidR="00372A1B" w:rsidRPr="00AC1665" w14:paraId="25445BC4" w14:textId="77777777" w:rsidTr="00AC1665">
        <w:trPr>
          <w:trHeight w:val="265"/>
        </w:trPr>
        <w:tc>
          <w:tcPr>
            <w:tcW w:w="1921" w:type="dxa"/>
            <w:tcBorders>
              <w:top w:val="single" w:sz="4" w:space="0" w:color="auto"/>
              <w:bottom w:val="single" w:sz="4" w:space="0" w:color="auto"/>
            </w:tcBorders>
          </w:tcPr>
          <w:p w14:paraId="25BCBB1B"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63" w:type="dxa"/>
            <w:tcBorders>
              <w:top w:val="single" w:sz="4" w:space="0" w:color="auto"/>
              <w:bottom w:val="single" w:sz="4" w:space="0" w:color="auto"/>
            </w:tcBorders>
            <w:shd w:val="clear" w:color="auto" w:fill="FFFFFF"/>
            <w:vAlign w:val="center"/>
          </w:tcPr>
          <w:p w14:paraId="5462B6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61.313</w:t>
            </w:r>
          </w:p>
        </w:tc>
        <w:tc>
          <w:tcPr>
            <w:tcW w:w="661" w:type="dxa"/>
            <w:gridSpan w:val="2"/>
            <w:tcBorders>
              <w:top w:val="single" w:sz="4" w:space="0" w:color="auto"/>
              <w:bottom w:val="single" w:sz="4" w:space="0" w:color="auto"/>
            </w:tcBorders>
            <w:shd w:val="clear" w:color="auto" w:fill="FFFFFF"/>
            <w:vAlign w:val="center"/>
          </w:tcPr>
          <w:p w14:paraId="69F2CA9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298</w:t>
            </w:r>
          </w:p>
        </w:tc>
        <w:tc>
          <w:tcPr>
            <w:tcW w:w="1625" w:type="dxa"/>
            <w:tcBorders>
              <w:top w:val="single" w:sz="4" w:space="0" w:color="auto"/>
              <w:bottom w:val="single" w:sz="4" w:space="0" w:color="auto"/>
            </w:tcBorders>
            <w:shd w:val="clear" w:color="auto" w:fill="FFFFFF"/>
            <w:vAlign w:val="center"/>
          </w:tcPr>
          <w:p w14:paraId="2253B7B6" w14:textId="77777777" w:rsidR="00372A1B" w:rsidRPr="00AC1665" w:rsidRDefault="00372A1B" w:rsidP="00372A1B">
            <w:pPr>
              <w:jc w:val="center"/>
              <w:rPr>
                <w:sz w:val="18"/>
                <w:szCs w:val="18"/>
              </w:rPr>
            </w:pPr>
          </w:p>
        </w:tc>
        <w:tc>
          <w:tcPr>
            <w:tcW w:w="1019" w:type="dxa"/>
            <w:tcBorders>
              <w:top w:val="single" w:sz="4" w:space="0" w:color="auto"/>
              <w:bottom w:val="single" w:sz="4" w:space="0" w:color="auto"/>
            </w:tcBorders>
            <w:shd w:val="clear" w:color="auto" w:fill="FFFFFF"/>
            <w:vAlign w:val="center"/>
          </w:tcPr>
          <w:p w14:paraId="00BB9052" w14:textId="77777777" w:rsidR="00372A1B" w:rsidRPr="00AC1665"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369C4D0A" w14:textId="77777777" w:rsidR="00372A1B" w:rsidRPr="00AC1665" w:rsidRDefault="00372A1B" w:rsidP="00372A1B">
            <w:pPr>
              <w:jc w:val="center"/>
              <w:rPr>
                <w:sz w:val="18"/>
                <w:szCs w:val="18"/>
              </w:rPr>
            </w:pPr>
          </w:p>
        </w:tc>
      </w:tr>
    </w:tbl>
    <w:p w14:paraId="4A81390E" w14:textId="77777777" w:rsidR="00372A1B" w:rsidRPr="00372A1B" w:rsidRDefault="00372A1B" w:rsidP="00372A1B">
      <w:pPr>
        <w:ind w:firstLine="720"/>
        <w:jc w:val="both"/>
        <w:rPr>
          <w:rFonts w:ascii="Arial" w:hAnsi="Arial" w:cs="Arial"/>
          <w:lang w:val="en-PH"/>
        </w:rPr>
      </w:pPr>
    </w:p>
    <w:p w14:paraId="5A76B988" w14:textId="77777777" w:rsidR="00372A1B" w:rsidRDefault="00372A1B" w:rsidP="00372A1B">
      <w:pPr>
        <w:ind w:firstLine="720"/>
        <w:jc w:val="both"/>
        <w:rPr>
          <w:rFonts w:ascii="Arial" w:hAnsi="Arial" w:cs="Arial"/>
          <w:lang w:val="en-PH"/>
        </w:rPr>
      </w:pPr>
      <w:r w:rsidRPr="00372A1B">
        <w:rPr>
          <w:rFonts w:ascii="Arial" w:hAnsi="Arial" w:cs="Arial"/>
          <w:lang w:val="en-PH"/>
        </w:rPr>
        <w:t xml:space="preserve">The results showed a significant difference (p &lt; 0.05) in the level of awareness of </w:t>
      </w:r>
      <w:proofErr w:type="spellStart"/>
      <w:r w:rsidRPr="00372A1B">
        <w:rPr>
          <w:rFonts w:ascii="Arial" w:hAnsi="Arial" w:cs="Arial"/>
          <w:lang w:val="en-PH"/>
        </w:rPr>
        <w:t>DOrSU’s</w:t>
      </w:r>
      <w:proofErr w:type="spellEnd"/>
      <w:r w:rsidRPr="00372A1B">
        <w:rPr>
          <w:rFonts w:ascii="Arial" w:hAnsi="Arial" w:cs="Arial"/>
          <w:lang w:val="en-PH"/>
        </w:rPr>
        <w:t xml:space="preserve"> Vision, Mission, and Program of Experiments (PEO) among different stakeholder categories (p = 0.000). </w:t>
      </w:r>
    </w:p>
    <w:p w14:paraId="5E90255E" w14:textId="77777777" w:rsidR="00AC1665" w:rsidRPr="00372A1B" w:rsidRDefault="00AC1665" w:rsidP="00372A1B">
      <w:pPr>
        <w:ind w:firstLine="720"/>
        <w:jc w:val="both"/>
        <w:rPr>
          <w:rFonts w:ascii="Arial" w:hAnsi="Arial" w:cs="Arial"/>
          <w:lang w:val="en-PH"/>
        </w:rPr>
      </w:pPr>
    </w:p>
    <w:p w14:paraId="17B88261" w14:textId="11E06950" w:rsidR="00372A1B" w:rsidRDefault="00372A1B" w:rsidP="00372A1B">
      <w:pPr>
        <w:ind w:firstLine="720"/>
        <w:jc w:val="both"/>
        <w:rPr>
          <w:rFonts w:ascii="Arial" w:hAnsi="Arial" w:cs="Arial"/>
          <w:lang w:val="en-PH"/>
        </w:rPr>
      </w:pPr>
      <w:r w:rsidRPr="00372A1B">
        <w:rPr>
          <w:rFonts w:ascii="Arial" w:hAnsi="Arial" w:cs="Arial"/>
          <w:lang w:val="en-PH"/>
        </w:rPr>
        <w:t>Table 1</w:t>
      </w:r>
      <w:r w:rsidR="00AC1665">
        <w:rPr>
          <w:rFonts w:ascii="Arial" w:hAnsi="Arial" w:cs="Arial"/>
          <w:lang w:val="en-PH"/>
        </w:rPr>
        <w:t>2</w:t>
      </w:r>
      <w:r w:rsidRPr="00372A1B">
        <w:rPr>
          <w:rFonts w:ascii="Arial" w:hAnsi="Arial" w:cs="Arial"/>
          <w:lang w:val="en-PH"/>
        </w:rPr>
        <w:t xml:space="preserve"> presents a detailed comparison that highlights the specific stakeholder categories with significant differences in their level of awareness. It shows </w:t>
      </w:r>
      <w:r w:rsidRPr="00372A1B">
        <w:rPr>
          <w:rFonts w:ascii="Arial" w:hAnsi="Arial" w:cs="Arial"/>
        </w:rPr>
        <w:t xml:space="preserve">the post hoc comparison of awareness levels among various stakeholder categories. </w:t>
      </w:r>
      <w:r w:rsidRPr="00372A1B">
        <w:rPr>
          <w:rFonts w:ascii="Arial" w:hAnsi="Arial" w:cs="Arial"/>
          <w:lang w:val="en-PH"/>
        </w:rPr>
        <w:t xml:space="preserve">The findings reveal that </w:t>
      </w:r>
      <w:r w:rsidRPr="00372A1B">
        <w:rPr>
          <w:rFonts w:ascii="Arial" w:hAnsi="Arial" w:cs="Arial"/>
          <w:bCs/>
          <w:lang w:val="en-PH"/>
        </w:rPr>
        <w:t>parents show significantly lower awareness</w:t>
      </w:r>
      <w:r w:rsidRPr="00372A1B">
        <w:rPr>
          <w:rFonts w:ascii="Arial" w:hAnsi="Arial" w:cs="Arial"/>
          <w:lang w:val="en-PH"/>
        </w:rPr>
        <w:t xml:space="preserve"> compared to faculty members (p = 0.013), industry partners (p = 0.000), non-teaching staff (p = 0.006), and students (p = 0.000). </w:t>
      </w:r>
    </w:p>
    <w:p w14:paraId="30745BF6" w14:textId="77777777" w:rsidR="00AC1665" w:rsidRPr="00372A1B" w:rsidRDefault="00AC1665" w:rsidP="00372A1B">
      <w:pPr>
        <w:ind w:firstLine="720"/>
        <w:jc w:val="both"/>
        <w:rPr>
          <w:rFonts w:ascii="Arial" w:hAnsi="Arial" w:cs="Arial"/>
          <w:lang w:val="en-PH"/>
        </w:rPr>
      </w:pPr>
    </w:p>
    <w:p w14:paraId="1C6E9344" w14:textId="7F4EEEAB" w:rsidR="00372A1B" w:rsidRPr="00372A1B" w:rsidRDefault="00372A1B" w:rsidP="00372A1B">
      <w:pPr>
        <w:jc w:val="both"/>
        <w:rPr>
          <w:rFonts w:ascii="Arial" w:hAnsi="Arial" w:cs="Arial"/>
          <w:lang w:val="en-PH"/>
        </w:rPr>
      </w:pPr>
      <w:r w:rsidRPr="00372A1B">
        <w:rPr>
          <w:rFonts w:ascii="Arial" w:hAnsi="Arial" w:cs="Arial"/>
        </w:rPr>
        <w:t>Table 1</w:t>
      </w:r>
      <w:r w:rsidR="00AC1665">
        <w:rPr>
          <w:rFonts w:ascii="Arial" w:hAnsi="Arial" w:cs="Arial"/>
        </w:rPr>
        <w:t>2</w:t>
      </w:r>
      <w:r w:rsidRPr="00372A1B">
        <w:rPr>
          <w:rFonts w:ascii="Arial" w:hAnsi="Arial" w:cs="Arial"/>
        </w:rPr>
        <w:t>: Detailed comparison of stakeholder category where significant difference in the level of awareness is found</w:t>
      </w:r>
    </w:p>
    <w:tbl>
      <w:tblPr>
        <w:tblW w:w="816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97"/>
        <w:gridCol w:w="1552"/>
        <w:gridCol w:w="889"/>
        <w:gridCol w:w="803"/>
        <w:gridCol w:w="620"/>
        <w:gridCol w:w="1016"/>
        <w:gridCol w:w="861"/>
        <w:gridCol w:w="1524"/>
      </w:tblGrid>
      <w:tr w:rsidR="00AC1665" w:rsidRPr="00AC1665" w14:paraId="3D3AD652" w14:textId="77777777" w:rsidTr="00AC1665">
        <w:trPr>
          <w:cantSplit/>
          <w:trHeight w:val="294"/>
        </w:trPr>
        <w:tc>
          <w:tcPr>
            <w:tcW w:w="897" w:type="dxa"/>
            <w:vMerge w:val="restart"/>
            <w:tcBorders>
              <w:tl2br w:val="nil"/>
              <w:tr2bl w:val="nil"/>
            </w:tcBorders>
            <w:shd w:val="clear" w:color="auto" w:fill="FFFFFF"/>
          </w:tcPr>
          <w:p w14:paraId="59144AE1" w14:textId="77777777" w:rsidR="00372A1B" w:rsidRPr="00AC1665" w:rsidRDefault="00372A1B" w:rsidP="00372A1B">
            <w:pPr>
              <w:ind w:left="60" w:right="60"/>
              <w:rPr>
                <w:rFonts w:ascii="Arial" w:hAnsi="Arial"/>
                <w:sz w:val="18"/>
                <w:szCs w:val="18"/>
              </w:rPr>
            </w:pPr>
            <w:r w:rsidRPr="00AC1665">
              <w:rPr>
                <w:rFonts w:ascii="Arial" w:hAnsi="Arial"/>
                <w:sz w:val="18"/>
                <w:szCs w:val="18"/>
              </w:rPr>
              <w:t xml:space="preserve">(I) </w:t>
            </w:r>
            <w:proofErr w:type="spellStart"/>
            <w:r w:rsidRPr="00AC1665">
              <w:rPr>
                <w:rFonts w:ascii="Arial" w:hAnsi="Arial"/>
                <w:sz w:val="18"/>
                <w:szCs w:val="18"/>
              </w:rPr>
              <w:t>Stakeholder_Category</w:t>
            </w:r>
            <w:proofErr w:type="spellEnd"/>
          </w:p>
        </w:tc>
        <w:tc>
          <w:tcPr>
            <w:tcW w:w="1552" w:type="dxa"/>
            <w:vMerge w:val="restart"/>
            <w:tcBorders>
              <w:tl2br w:val="nil"/>
              <w:tr2bl w:val="nil"/>
            </w:tcBorders>
            <w:shd w:val="clear" w:color="auto" w:fill="FFFFFF"/>
          </w:tcPr>
          <w:p w14:paraId="7A8975E6" w14:textId="77777777" w:rsidR="00372A1B" w:rsidRPr="00AC1665" w:rsidRDefault="00372A1B" w:rsidP="00372A1B">
            <w:pPr>
              <w:ind w:left="60" w:right="60"/>
              <w:rPr>
                <w:rFonts w:ascii="Arial" w:hAnsi="Arial"/>
                <w:sz w:val="18"/>
                <w:szCs w:val="18"/>
              </w:rPr>
            </w:pPr>
            <w:r w:rsidRPr="00AC1665">
              <w:rPr>
                <w:rFonts w:ascii="Arial" w:hAnsi="Arial"/>
                <w:sz w:val="18"/>
                <w:szCs w:val="18"/>
              </w:rPr>
              <w:t xml:space="preserve">(J) </w:t>
            </w:r>
            <w:proofErr w:type="spellStart"/>
            <w:r w:rsidRPr="00AC1665">
              <w:rPr>
                <w:rFonts w:ascii="Arial" w:hAnsi="Arial"/>
                <w:sz w:val="18"/>
                <w:szCs w:val="18"/>
              </w:rPr>
              <w:t>Stakeholder_Category</w:t>
            </w:r>
            <w:proofErr w:type="spellEnd"/>
          </w:p>
        </w:tc>
        <w:tc>
          <w:tcPr>
            <w:tcW w:w="889" w:type="dxa"/>
            <w:vMerge w:val="restart"/>
            <w:tcBorders>
              <w:tl2br w:val="nil"/>
              <w:tr2bl w:val="nil"/>
            </w:tcBorders>
            <w:shd w:val="clear" w:color="auto" w:fill="FFFFFF"/>
          </w:tcPr>
          <w:p w14:paraId="067CE26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803" w:type="dxa"/>
            <w:vMerge w:val="restart"/>
            <w:tcBorders>
              <w:tl2br w:val="nil"/>
              <w:tr2bl w:val="nil"/>
            </w:tcBorders>
            <w:shd w:val="clear" w:color="auto" w:fill="FFFFFF"/>
          </w:tcPr>
          <w:p w14:paraId="000762C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0" w:type="dxa"/>
            <w:vMerge w:val="restart"/>
            <w:tcBorders>
              <w:tl2br w:val="nil"/>
              <w:tr2bl w:val="nil"/>
            </w:tcBorders>
            <w:shd w:val="clear" w:color="auto" w:fill="FFFFFF"/>
          </w:tcPr>
          <w:p w14:paraId="3664B3A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77" w:type="dxa"/>
            <w:gridSpan w:val="2"/>
            <w:tcBorders>
              <w:tl2br w:val="nil"/>
              <w:tr2bl w:val="nil"/>
            </w:tcBorders>
            <w:shd w:val="clear" w:color="auto" w:fill="FFFFFF"/>
          </w:tcPr>
          <w:p w14:paraId="504CB4D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4" w:type="dxa"/>
            <w:vMerge w:val="restart"/>
            <w:tcBorders>
              <w:tl2br w:val="nil"/>
              <w:tr2bl w:val="nil"/>
            </w:tcBorders>
            <w:shd w:val="clear" w:color="auto" w:fill="FFFFFF"/>
            <w:vAlign w:val="center"/>
          </w:tcPr>
          <w:p w14:paraId="29C31CF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AC1665" w:rsidRPr="00AC1665" w14:paraId="6B205BC8" w14:textId="77777777" w:rsidTr="00AC1665">
        <w:trPr>
          <w:cantSplit/>
          <w:trHeight w:val="380"/>
        </w:trPr>
        <w:tc>
          <w:tcPr>
            <w:tcW w:w="897" w:type="dxa"/>
            <w:vMerge/>
            <w:tcBorders>
              <w:bottom w:val="single" w:sz="4" w:space="0" w:color="auto"/>
              <w:tl2br w:val="nil"/>
              <w:tr2bl w:val="nil"/>
            </w:tcBorders>
            <w:shd w:val="clear" w:color="auto" w:fill="FFFFFF"/>
          </w:tcPr>
          <w:p w14:paraId="153CD02C" w14:textId="77777777" w:rsidR="00372A1B" w:rsidRPr="00AC1665" w:rsidRDefault="00372A1B" w:rsidP="00372A1B">
            <w:pPr>
              <w:rPr>
                <w:rFonts w:ascii="Arial" w:hAnsi="Arial"/>
                <w:sz w:val="18"/>
                <w:szCs w:val="18"/>
              </w:rPr>
            </w:pPr>
          </w:p>
        </w:tc>
        <w:tc>
          <w:tcPr>
            <w:tcW w:w="1552" w:type="dxa"/>
            <w:vMerge/>
            <w:tcBorders>
              <w:bottom w:val="single" w:sz="4" w:space="0" w:color="auto"/>
              <w:tl2br w:val="nil"/>
              <w:tr2bl w:val="nil"/>
            </w:tcBorders>
            <w:shd w:val="clear" w:color="auto" w:fill="FFFFFF"/>
          </w:tcPr>
          <w:p w14:paraId="590AED4B" w14:textId="77777777" w:rsidR="00372A1B" w:rsidRPr="00AC1665" w:rsidRDefault="00372A1B" w:rsidP="00372A1B">
            <w:pPr>
              <w:rPr>
                <w:rFonts w:ascii="Arial" w:hAnsi="Arial"/>
                <w:sz w:val="18"/>
                <w:szCs w:val="18"/>
              </w:rPr>
            </w:pPr>
          </w:p>
        </w:tc>
        <w:tc>
          <w:tcPr>
            <w:tcW w:w="889" w:type="dxa"/>
            <w:vMerge/>
            <w:tcBorders>
              <w:bottom w:val="single" w:sz="4" w:space="0" w:color="auto"/>
              <w:tl2br w:val="nil"/>
              <w:tr2bl w:val="nil"/>
            </w:tcBorders>
            <w:shd w:val="clear" w:color="auto" w:fill="FFFFFF"/>
          </w:tcPr>
          <w:p w14:paraId="133E30C3" w14:textId="77777777" w:rsidR="00372A1B" w:rsidRPr="00AC1665" w:rsidRDefault="00372A1B" w:rsidP="00372A1B">
            <w:pPr>
              <w:rPr>
                <w:rFonts w:ascii="Arial" w:hAnsi="Arial"/>
                <w:sz w:val="18"/>
                <w:szCs w:val="18"/>
              </w:rPr>
            </w:pPr>
          </w:p>
        </w:tc>
        <w:tc>
          <w:tcPr>
            <w:tcW w:w="803" w:type="dxa"/>
            <w:vMerge/>
            <w:tcBorders>
              <w:bottom w:val="single" w:sz="4" w:space="0" w:color="auto"/>
              <w:tl2br w:val="nil"/>
              <w:tr2bl w:val="nil"/>
            </w:tcBorders>
            <w:shd w:val="clear" w:color="auto" w:fill="FFFFFF"/>
          </w:tcPr>
          <w:p w14:paraId="53E16C80" w14:textId="77777777" w:rsidR="00372A1B" w:rsidRPr="00AC1665" w:rsidRDefault="00372A1B" w:rsidP="00372A1B">
            <w:pPr>
              <w:rPr>
                <w:rFonts w:ascii="Arial" w:hAnsi="Arial"/>
                <w:sz w:val="18"/>
                <w:szCs w:val="18"/>
              </w:rPr>
            </w:pPr>
          </w:p>
        </w:tc>
        <w:tc>
          <w:tcPr>
            <w:tcW w:w="620" w:type="dxa"/>
            <w:vMerge/>
            <w:tcBorders>
              <w:bottom w:val="single" w:sz="4" w:space="0" w:color="auto"/>
              <w:tl2br w:val="nil"/>
              <w:tr2bl w:val="nil"/>
            </w:tcBorders>
            <w:shd w:val="clear" w:color="auto" w:fill="FFFFFF"/>
          </w:tcPr>
          <w:p w14:paraId="0A0C452B" w14:textId="77777777" w:rsidR="00372A1B" w:rsidRPr="00AC1665" w:rsidRDefault="00372A1B" w:rsidP="00372A1B">
            <w:pPr>
              <w:rPr>
                <w:rFonts w:ascii="Arial" w:hAnsi="Arial"/>
                <w:sz w:val="18"/>
                <w:szCs w:val="18"/>
              </w:rPr>
            </w:pPr>
          </w:p>
        </w:tc>
        <w:tc>
          <w:tcPr>
            <w:tcW w:w="1016" w:type="dxa"/>
            <w:tcBorders>
              <w:bottom w:val="single" w:sz="4" w:space="0" w:color="auto"/>
              <w:tl2br w:val="nil"/>
              <w:tr2bl w:val="nil"/>
            </w:tcBorders>
            <w:shd w:val="clear" w:color="auto" w:fill="FFFFFF"/>
          </w:tcPr>
          <w:p w14:paraId="13C62DD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1" w:type="dxa"/>
            <w:tcBorders>
              <w:bottom w:val="single" w:sz="4" w:space="0" w:color="auto"/>
              <w:tl2br w:val="nil"/>
              <w:tr2bl w:val="nil"/>
            </w:tcBorders>
            <w:shd w:val="clear" w:color="auto" w:fill="FFFFFF"/>
          </w:tcPr>
          <w:p w14:paraId="34D9FC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4" w:type="dxa"/>
            <w:vMerge/>
            <w:tcBorders>
              <w:bottom w:val="single" w:sz="4" w:space="0" w:color="auto"/>
              <w:tl2br w:val="nil"/>
              <w:tr2bl w:val="nil"/>
            </w:tcBorders>
            <w:shd w:val="clear" w:color="auto" w:fill="FFFFFF"/>
          </w:tcPr>
          <w:p w14:paraId="29CAFB88" w14:textId="77777777" w:rsidR="00372A1B" w:rsidRPr="00AC1665" w:rsidRDefault="00372A1B" w:rsidP="00372A1B">
            <w:pPr>
              <w:ind w:left="60" w:right="60"/>
              <w:jc w:val="center"/>
              <w:rPr>
                <w:rFonts w:ascii="Arial" w:hAnsi="Arial"/>
                <w:sz w:val="18"/>
                <w:szCs w:val="18"/>
              </w:rPr>
            </w:pPr>
          </w:p>
        </w:tc>
      </w:tr>
      <w:tr w:rsidR="00AC1665" w:rsidRPr="00AC1665" w14:paraId="339D8C80" w14:textId="77777777" w:rsidTr="00AC1665">
        <w:trPr>
          <w:cantSplit/>
          <w:trHeight w:val="261"/>
        </w:trPr>
        <w:tc>
          <w:tcPr>
            <w:tcW w:w="897" w:type="dxa"/>
            <w:vMerge w:val="restart"/>
            <w:tcBorders>
              <w:top w:val="single" w:sz="4" w:space="0" w:color="auto"/>
              <w:tl2br w:val="nil"/>
              <w:tr2bl w:val="nil"/>
            </w:tcBorders>
            <w:shd w:val="clear" w:color="auto" w:fill="FFFFFF"/>
            <w:vAlign w:val="center"/>
          </w:tcPr>
          <w:p w14:paraId="536DFD85" w14:textId="77777777" w:rsidR="00372A1B" w:rsidRPr="00AC1665" w:rsidRDefault="00372A1B" w:rsidP="00372A1B">
            <w:pPr>
              <w:ind w:left="60" w:right="60"/>
              <w:rPr>
                <w:rFonts w:ascii="Arial" w:hAnsi="Arial"/>
                <w:sz w:val="18"/>
                <w:szCs w:val="18"/>
              </w:rPr>
            </w:pPr>
            <w:r w:rsidRPr="00AC1665">
              <w:rPr>
                <w:rFonts w:ascii="Arial" w:hAnsi="Arial"/>
                <w:sz w:val="18"/>
                <w:szCs w:val="18"/>
              </w:rPr>
              <w:t>Parent</w:t>
            </w:r>
          </w:p>
        </w:tc>
        <w:tc>
          <w:tcPr>
            <w:tcW w:w="1552" w:type="dxa"/>
            <w:tcBorders>
              <w:top w:val="single" w:sz="4" w:space="0" w:color="auto"/>
              <w:bottom w:val="single" w:sz="4" w:space="0" w:color="auto"/>
              <w:tl2br w:val="nil"/>
              <w:tr2bl w:val="nil"/>
            </w:tcBorders>
            <w:shd w:val="clear" w:color="auto" w:fill="FFFFFF"/>
            <w:vAlign w:val="center"/>
          </w:tcPr>
          <w:p w14:paraId="3DA3A684" w14:textId="77777777" w:rsidR="00372A1B" w:rsidRPr="00AC1665" w:rsidRDefault="00372A1B" w:rsidP="00372A1B">
            <w:pPr>
              <w:ind w:left="60" w:right="60"/>
              <w:rPr>
                <w:rFonts w:ascii="Arial" w:hAnsi="Arial"/>
                <w:sz w:val="18"/>
                <w:szCs w:val="18"/>
              </w:rPr>
            </w:pPr>
            <w:r w:rsidRPr="00AC1665">
              <w:rPr>
                <w:rFonts w:ascii="Arial" w:hAnsi="Arial"/>
                <w:sz w:val="18"/>
                <w:szCs w:val="18"/>
              </w:rPr>
              <w:t>Alumni</w:t>
            </w:r>
          </w:p>
        </w:tc>
        <w:tc>
          <w:tcPr>
            <w:tcW w:w="889" w:type="dxa"/>
            <w:tcBorders>
              <w:top w:val="single" w:sz="4" w:space="0" w:color="auto"/>
              <w:bottom w:val="single" w:sz="4" w:space="0" w:color="auto"/>
              <w:tl2br w:val="nil"/>
              <w:tr2bl w:val="nil"/>
            </w:tcBorders>
            <w:shd w:val="clear" w:color="auto" w:fill="FFFFFF"/>
            <w:vAlign w:val="center"/>
          </w:tcPr>
          <w:p w14:paraId="4A37EF9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-.36950</w:t>
            </w:r>
          </w:p>
        </w:tc>
        <w:tc>
          <w:tcPr>
            <w:tcW w:w="803" w:type="dxa"/>
            <w:tcBorders>
              <w:top w:val="single" w:sz="4" w:space="0" w:color="auto"/>
              <w:bottom w:val="single" w:sz="4" w:space="0" w:color="auto"/>
              <w:tl2br w:val="nil"/>
              <w:tr2bl w:val="nil"/>
            </w:tcBorders>
            <w:shd w:val="clear" w:color="auto" w:fill="FFFFFF"/>
            <w:vAlign w:val="center"/>
          </w:tcPr>
          <w:p w14:paraId="5EEE70C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.13856</w:t>
            </w:r>
          </w:p>
        </w:tc>
        <w:tc>
          <w:tcPr>
            <w:tcW w:w="620" w:type="dxa"/>
            <w:tcBorders>
              <w:top w:val="single" w:sz="4" w:space="0" w:color="auto"/>
              <w:bottom w:val="single" w:sz="4" w:space="0" w:color="auto"/>
              <w:tl2br w:val="nil"/>
              <w:tr2bl w:val="nil"/>
            </w:tcBorders>
            <w:shd w:val="clear" w:color="auto" w:fill="FFFFFF"/>
            <w:vAlign w:val="center"/>
          </w:tcPr>
          <w:p w14:paraId="7C6A749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.085</w:t>
            </w:r>
          </w:p>
        </w:tc>
        <w:tc>
          <w:tcPr>
            <w:tcW w:w="1016" w:type="dxa"/>
            <w:tcBorders>
              <w:top w:val="single" w:sz="4" w:space="0" w:color="auto"/>
              <w:bottom w:val="single" w:sz="4" w:space="0" w:color="auto"/>
              <w:tl2br w:val="nil"/>
              <w:tr2bl w:val="nil"/>
            </w:tcBorders>
            <w:shd w:val="clear" w:color="auto" w:fill="FFFFFF"/>
            <w:vAlign w:val="center"/>
          </w:tcPr>
          <w:p w14:paraId="1B0791F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-.7670</w:t>
            </w:r>
          </w:p>
        </w:tc>
        <w:tc>
          <w:tcPr>
            <w:tcW w:w="861" w:type="dxa"/>
            <w:tcBorders>
              <w:top w:val="single" w:sz="4" w:space="0" w:color="auto"/>
              <w:bottom w:val="single" w:sz="4" w:space="0" w:color="auto"/>
              <w:tl2br w:val="nil"/>
              <w:tr2bl w:val="nil"/>
            </w:tcBorders>
            <w:shd w:val="clear" w:color="auto" w:fill="FFFFFF"/>
            <w:vAlign w:val="center"/>
          </w:tcPr>
          <w:p w14:paraId="0C773A6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.0280</w:t>
            </w:r>
          </w:p>
        </w:tc>
        <w:tc>
          <w:tcPr>
            <w:tcW w:w="1524" w:type="dxa"/>
            <w:tcBorders>
              <w:top w:val="single" w:sz="4" w:space="0" w:color="auto"/>
              <w:bottom w:val="single" w:sz="4" w:space="0" w:color="auto"/>
              <w:tl2br w:val="nil"/>
              <w:tr2bl w:val="nil"/>
            </w:tcBorders>
            <w:shd w:val="clear" w:color="auto" w:fill="FFFFFF"/>
            <w:vAlign w:val="center"/>
          </w:tcPr>
          <w:p w14:paraId="55081F1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AC1665" w:rsidRPr="00AC1665" w14:paraId="12D02EFA" w14:textId="77777777" w:rsidTr="00AC1665">
        <w:trPr>
          <w:cantSplit/>
          <w:trHeight w:val="261"/>
        </w:trPr>
        <w:tc>
          <w:tcPr>
            <w:tcW w:w="897" w:type="dxa"/>
            <w:vMerge/>
            <w:tcBorders>
              <w:tl2br w:val="nil"/>
              <w:tr2bl w:val="nil"/>
            </w:tcBorders>
            <w:shd w:val="clear" w:color="auto" w:fill="FFFFFF"/>
            <w:vAlign w:val="center"/>
          </w:tcPr>
          <w:p w14:paraId="3E23C77E" w14:textId="77777777" w:rsidR="00372A1B" w:rsidRPr="00AC1665" w:rsidRDefault="00372A1B" w:rsidP="00372A1B">
            <w:pPr>
              <w:rPr>
                <w:rFonts w:ascii="Arial" w:hAnsi="Arial"/>
                <w:sz w:val="18"/>
                <w:szCs w:val="18"/>
              </w:rPr>
            </w:pPr>
          </w:p>
        </w:tc>
        <w:tc>
          <w:tcPr>
            <w:tcW w:w="1552" w:type="dxa"/>
            <w:tcBorders>
              <w:top w:val="single" w:sz="4" w:space="0" w:color="auto"/>
              <w:bottom w:val="single" w:sz="4" w:space="0" w:color="auto"/>
              <w:tl2br w:val="nil"/>
              <w:tr2bl w:val="nil"/>
            </w:tcBorders>
            <w:shd w:val="clear" w:color="auto" w:fill="FFFFFF"/>
            <w:vAlign w:val="center"/>
          </w:tcPr>
          <w:p w14:paraId="7DA90110" w14:textId="77777777" w:rsidR="00372A1B" w:rsidRPr="00AC1665" w:rsidRDefault="00372A1B" w:rsidP="00372A1B">
            <w:pPr>
              <w:ind w:left="60" w:right="60"/>
              <w:rPr>
                <w:rFonts w:ascii="Arial" w:hAnsi="Arial"/>
                <w:sz w:val="18"/>
                <w:szCs w:val="18"/>
              </w:rPr>
            </w:pPr>
            <w:r w:rsidRPr="00AC1665">
              <w:rPr>
                <w:rFonts w:ascii="Arial" w:hAnsi="Arial"/>
                <w:sz w:val="18"/>
                <w:szCs w:val="18"/>
              </w:rPr>
              <w:t>Faculty</w:t>
            </w:r>
          </w:p>
        </w:tc>
        <w:tc>
          <w:tcPr>
            <w:tcW w:w="889" w:type="dxa"/>
            <w:tcBorders>
              <w:top w:val="single" w:sz="4" w:space="0" w:color="auto"/>
              <w:bottom w:val="single" w:sz="4" w:space="0" w:color="auto"/>
              <w:tl2br w:val="nil"/>
              <w:tr2bl w:val="nil"/>
            </w:tcBorders>
            <w:shd w:val="clear" w:color="auto" w:fill="FFFFFF"/>
            <w:vAlign w:val="center"/>
          </w:tcPr>
          <w:p w14:paraId="579AD0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-.44230</w:t>
            </w:r>
            <w:r w:rsidRPr="00AC1665">
              <w:rPr>
                <w:rFonts w:ascii="Arial" w:hAnsi="Arial"/>
                <w:sz w:val="18"/>
                <w:szCs w:val="18"/>
                <w:vertAlign w:val="superscript"/>
              </w:rPr>
              <w:t>*</w:t>
            </w:r>
          </w:p>
        </w:tc>
        <w:tc>
          <w:tcPr>
            <w:tcW w:w="803" w:type="dxa"/>
            <w:tcBorders>
              <w:top w:val="single" w:sz="4" w:space="0" w:color="auto"/>
              <w:bottom w:val="single" w:sz="4" w:space="0" w:color="auto"/>
              <w:tl2br w:val="nil"/>
              <w:tr2bl w:val="nil"/>
            </w:tcBorders>
            <w:shd w:val="clear" w:color="auto" w:fill="FFFFFF"/>
            <w:vAlign w:val="center"/>
          </w:tcPr>
          <w:p w14:paraId="69350B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.13351</w:t>
            </w:r>
          </w:p>
        </w:tc>
        <w:tc>
          <w:tcPr>
            <w:tcW w:w="620" w:type="dxa"/>
            <w:tcBorders>
              <w:top w:val="single" w:sz="4" w:space="0" w:color="auto"/>
              <w:bottom w:val="single" w:sz="4" w:space="0" w:color="auto"/>
              <w:tl2br w:val="nil"/>
              <w:tr2bl w:val="nil"/>
            </w:tcBorders>
            <w:shd w:val="clear" w:color="auto" w:fill="FFFFFF"/>
            <w:vAlign w:val="center"/>
          </w:tcPr>
          <w:p w14:paraId="32FCD5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.013</w:t>
            </w:r>
          </w:p>
        </w:tc>
        <w:tc>
          <w:tcPr>
            <w:tcW w:w="1016" w:type="dxa"/>
            <w:tcBorders>
              <w:top w:val="single" w:sz="4" w:space="0" w:color="auto"/>
              <w:bottom w:val="single" w:sz="4" w:space="0" w:color="auto"/>
              <w:tl2br w:val="nil"/>
              <w:tr2bl w:val="nil"/>
            </w:tcBorders>
            <w:shd w:val="clear" w:color="auto" w:fill="FFFFFF"/>
            <w:vAlign w:val="center"/>
          </w:tcPr>
          <w:p w14:paraId="289D9E9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-.8253</w:t>
            </w:r>
          </w:p>
        </w:tc>
        <w:tc>
          <w:tcPr>
            <w:tcW w:w="861" w:type="dxa"/>
            <w:tcBorders>
              <w:top w:val="single" w:sz="4" w:space="0" w:color="auto"/>
              <w:bottom w:val="single" w:sz="4" w:space="0" w:color="auto"/>
              <w:tl2br w:val="nil"/>
              <w:tr2bl w:val="nil"/>
            </w:tcBorders>
            <w:shd w:val="clear" w:color="auto" w:fill="FFFFFF"/>
            <w:vAlign w:val="center"/>
          </w:tcPr>
          <w:p w14:paraId="41D909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-.0593</w:t>
            </w:r>
          </w:p>
        </w:tc>
        <w:tc>
          <w:tcPr>
            <w:tcW w:w="1524" w:type="dxa"/>
            <w:tcBorders>
              <w:top w:val="single" w:sz="4" w:space="0" w:color="auto"/>
              <w:bottom w:val="single" w:sz="4" w:space="0" w:color="auto"/>
              <w:tl2br w:val="nil"/>
              <w:tr2bl w:val="nil"/>
            </w:tcBorders>
            <w:shd w:val="clear" w:color="auto" w:fill="FFFFFF"/>
            <w:vAlign w:val="center"/>
          </w:tcPr>
          <w:p w14:paraId="3E45B22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505BB822" w14:textId="77777777" w:rsidTr="00AC1665">
        <w:trPr>
          <w:cantSplit/>
          <w:trHeight w:val="261"/>
        </w:trPr>
        <w:tc>
          <w:tcPr>
            <w:tcW w:w="897" w:type="dxa"/>
            <w:vMerge/>
            <w:tcBorders>
              <w:tl2br w:val="nil"/>
              <w:tr2bl w:val="nil"/>
            </w:tcBorders>
            <w:shd w:val="clear" w:color="auto" w:fill="FFFFFF"/>
            <w:vAlign w:val="center"/>
          </w:tcPr>
          <w:p w14:paraId="57A6F81F" w14:textId="77777777" w:rsidR="00372A1B" w:rsidRPr="00AC1665" w:rsidRDefault="00372A1B" w:rsidP="00372A1B">
            <w:pPr>
              <w:rPr>
                <w:rFonts w:ascii="Arial" w:hAnsi="Arial"/>
                <w:sz w:val="18"/>
                <w:szCs w:val="18"/>
              </w:rPr>
            </w:pPr>
          </w:p>
        </w:tc>
        <w:tc>
          <w:tcPr>
            <w:tcW w:w="1552" w:type="dxa"/>
            <w:tcBorders>
              <w:top w:val="single" w:sz="4" w:space="0" w:color="auto"/>
              <w:tl2br w:val="nil"/>
              <w:tr2bl w:val="nil"/>
            </w:tcBorders>
            <w:shd w:val="clear" w:color="auto" w:fill="FFFFFF"/>
            <w:vAlign w:val="center"/>
          </w:tcPr>
          <w:p w14:paraId="3B89AC28" w14:textId="77777777" w:rsidR="00372A1B" w:rsidRPr="00AC1665" w:rsidRDefault="00372A1B" w:rsidP="00372A1B">
            <w:pPr>
              <w:ind w:left="60" w:right="60"/>
              <w:rPr>
                <w:rFonts w:ascii="Arial" w:hAnsi="Arial"/>
                <w:sz w:val="18"/>
                <w:szCs w:val="18"/>
              </w:rPr>
            </w:pPr>
            <w:r w:rsidRPr="00AC1665">
              <w:rPr>
                <w:rFonts w:ascii="Arial" w:hAnsi="Arial"/>
                <w:sz w:val="18"/>
                <w:szCs w:val="18"/>
              </w:rPr>
              <w:t>Industry</w:t>
            </w:r>
          </w:p>
        </w:tc>
        <w:tc>
          <w:tcPr>
            <w:tcW w:w="889" w:type="dxa"/>
            <w:tcBorders>
              <w:top w:val="single" w:sz="4" w:space="0" w:color="auto"/>
              <w:tl2br w:val="nil"/>
              <w:tr2bl w:val="nil"/>
            </w:tcBorders>
            <w:shd w:val="clear" w:color="auto" w:fill="FFFFFF"/>
            <w:vAlign w:val="center"/>
          </w:tcPr>
          <w:p w14:paraId="2B9E4DC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-.28472</w:t>
            </w:r>
            <w:r w:rsidRPr="00AC1665">
              <w:rPr>
                <w:rFonts w:ascii="Arial" w:hAnsi="Arial"/>
                <w:sz w:val="18"/>
                <w:szCs w:val="18"/>
                <w:vertAlign w:val="superscript"/>
              </w:rPr>
              <w:t>*</w:t>
            </w:r>
          </w:p>
        </w:tc>
        <w:tc>
          <w:tcPr>
            <w:tcW w:w="803" w:type="dxa"/>
            <w:tcBorders>
              <w:top w:val="single" w:sz="4" w:space="0" w:color="auto"/>
              <w:tl2br w:val="nil"/>
              <w:tr2bl w:val="nil"/>
            </w:tcBorders>
            <w:shd w:val="clear" w:color="auto" w:fill="FFFFFF"/>
            <w:vAlign w:val="center"/>
          </w:tcPr>
          <w:p w14:paraId="731A9D9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.06711</w:t>
            </w:r>
          </w:p>
        </w:tc>
        <w:tc>
          <w:tcPr>
            <w:tcW w:w="620" w:type="dxa"/>
            <w:tcBorders>
              <w:top w:val="single" w:sz="4" w:space="0" w:color="auto"/>
              <w:tl2br w:val="nil"/>
              <w:tr2bl w:val="nil"/>
            </w:tcBorders>
            <w:shd w:val="clear" w:color="auto" w:fill="FFFFFF"/>
            <w:vAlign w:val="center"/>
          </w:tcPr>
          <w:p w14:paraId="5F1B88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6" w:type="dxa"/>
            <w:tcBorders>
              <w:top w:val="single" w:sz="4" w:space="0" w:color="auto"/>
              <w:tl2br w:val="nil"/>
              <w:tr2bl w:val="nil"/>
            </w:tcBorders>
            <w:shd w:val="clear" w:color="auto" w:fill="FFFFFF"/>
            <w:vAlign w:val="center"/>
          </w:tcPr>
          <w:p w14:paraId="3E4087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-.4772</w:t>
            </w:r>
          </w:p>
        </w:tc>
        <w:tc>
          <w:tcPr>
            <w:tcW w:w="861" w:type="dxa"/>
            <w:tcBorders>
              <w:top w:val="single" w:sz="4" w:space="0" w:color="auto"/>
              <w:tl2br w:val="nil"/>
              <w:tr2bl w:val="nil"/>
            </w:tcBorders>
            <w:shd w:val="clear" w:color="auto" w:fill="FFFFFF"/>
            <w:vAlign w:val="center"/>
          </w:tcPr>
          <w:p w14:paraId="4CA240A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-.0922</w:t>
            </w:r>
          </w:p>
        </w:tc>
        <w:tc>
          <w:tcPr>
            <w:tcW w:w="1524" w:type="dxa"/>
            <w:tcBorders>
              <w:top w:val="single" w:sz="4" w:space="0" w:color="auto"/>
              <w:tl2br w:val="nil"/>
              <w:tr2bl w:val="nil"/>
            </w:tcBorders>
            <w:shd w:val="clear" w:color="auto" w:fill="FFFFFF"/>
            <w:vAlign w:val="center"/>
          </w:tcPr>
          <w:p w14:paraId="07973F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2280E0AA" w14:textId="77777777" w:rsidTr="00AC1665">
        <w:trPr>
          <w:cantSplit/>
          <w:trHeight w:val="261"/>
        </w:trPr>
        <w:tc>
          <w:tcPr>
            <w:tcW w:w="897" w:type="dxa"/>
            <w:vMerge/>
            <w:tcBorders>
              <w:tl2br w:val="nil"/>
              <w:tr2bl w:val="nil"/>
            </w:tcBorders>
            <w:shd w:val="clear" w:color="auto" w:fill="FFFFFF"/>
            <w:vAlign w:val="center"/>
          </w:tcPr>
          <w:p w14:paraId="69B3D055" w14:textId="77777777" w:rsidR="00372A1B" w:rsidRPr="00AC1665" w:rsidRDefault="00372A1B" w:rsidP="00372A1B">
            <w:pPr>
              <w:rPr>
                <w:rFonts w:ascii="Arial" w:hAnsi="Arial"/>
                <w:sz w:val="18"/>
                <w:szCs w:val="18"/>
              </w:rPr>
            </w:pPr>
          </w:p>
        </w:tc>
        <w:tc>
          <w:tcPr>
            <w:tcW w:w="1552" w:type="dxa"/>
            <w:tcBorders>
              <w:bottom w:val="single" w:sz="4" w:space="0" w:color="auto"/>
              <w:tl2br w:val="nil"/>
              <w:tr2bl w:val="nil"/>
            </w:tcBorders>
            <w:shd w:val="clear" w:color="auto" w:fill="FFFFFF"/>
            <w:vAlign w:val="center"/>
          </w:tcPr>
          <w:p w14:paraId="324C40DE" w14:textId="77777777" w:rsidR="00372A1B" w:rsidRPr="00AC1665" w:rsidRDefault="00372A1B" w:rsidP="00372A1B">
            <w:pPr>
              <w:ind w:left="60" w:right="60"/>
              <w:rPr>
                <w:rFonts w:ascii="Arial" w:hAnsi="Arial"/>
                <w:sz w:val="18"/>
                <w:szCs w:val="18"/>
              </w:rPr>
            </w:pPr>
            <w:r w:rsidRPr="00AC1665">
              <w:rPr>
                <w:rFonts w:ascii="Arial" w:hAnsi="Arial"/>
                <w:sz w:val="18"/>
                <w:szCs w:val="18"/>
              </w:rPr>
              <w:t>Non-Teaching Staff</w:t>
            </w:r>
          </w:p>
        </w:tc>
        <w:tc>
          <w:tcPr>
            <w:tcW w:w="889" w:type="dxa"/>
            <w:tcBorders>
              <w:bottom w:val="single" w:sz="4" w:space="0" w:color="auto"/>
              <w:tl2br w:val="nil"/>
              <w:tr2bl w:val="nil"/>
            </w:tcBorders>
            <w:shd w:val="clear" w:color="auto" w:fill="FFFFFF"/>
            <w:vAlign w:val="center"/>
          </w:tcPr>
          <w:p w14:paraId="3261656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-.49132</w:t>
            </w:r>
            <w:r w:rsidRPr="00AC1665">
              <w:rPr>
                <w:rFonts w:ascii="Arial" w:hAnsi="Arial"/>
                <w:sz w:val="18"/>
                <w:szCs w:val="18"/>
                <w:vertAlign w:val="superscript"/>
              </w:rPr>
              <w:t>*</w:t>
            </w:r>
          </w:p>
        </w:tc>
        <w:tc>
          <w:tcPr>
            <w:tcW w:w="803" w:type="dxa"/>
            <w:tcBorders>
              <w:bottom w:val="single" w:sz="4" w:space="0" w:color="auto"/>
              <w:tl2br w:val="nil"/>
              <w:tr2bl w:val="nil"/>
            </w:tcBorders>
            <w:shd w:val="clear" w:color="auto" w:fill="FFFFFF"/>
            <w:vAlign w:val="center"/>
          </w:tcPr>
          <w:p w14:paraId="5D7B272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.13856</w:t>
            </w:r>
          </w:p>
        </w:tc>
        <w:tc>
          <w:tcPr>
            <w:tcW w:w="620" w:type="dxa"/>
            <w:tcBorders>
              <w:bottom w:val="single" w:sz="4" w:space="0" w:color="auto"/>
              <w:tl2br w:val="nil"/>
              <w:tr2bl w:val="nil"/>
            </w:tcBorders>
            <w:shd w:val="clear" w:color="auto" w:fill="FFFFFF"/>
            <w:vAlign w:val="center"/>
          </w:tcPr>
          <w:p w14:paraId="589B13F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.006</w:t>
            </w:r>
          </w:p>
        </w:tc>
        <w:tc>
          <w:tcPr>
            <w:tcW w:w="1016" w:type="dxa"/>
            <w:tcBorders>
              <w:bottom w:val="single" w:sz="4" w:space="0" w:color="auto"/>
              <w:tl2br w:val="nil"/>
              <w:tr2bl w:val="nil"/>
            </w:tcBorders>
            <w:shd w:val="clear" w:color="auto" w:fill="FFFFFF"/>
            <w:vAlign w:val="center"/>
          </w:tcPr>
          <w:p w14:paraId="50598EB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-.8888</w:t>
            </w:r>
          </w:p>
        </w:tc>
        <w:tc>
          <w:tcPr>
            <w:tcW w:w="861" w:type="dxa"/>
            <w:tcBorders>
              <w:bottom w:val="single" w:sz="4" w:space="0" w:color="auto"/>
              <w:tl2br w:val="nil"/>
              <w:tr2bl w:val="nil"/>
            </w:tcBorders>
            <w:shd w:val="clear" w:color="auto" w:fill="FFFFFF"/>
            <w:vAlign w:val="center"/>
          </w:tcPr>
          <w:p w14:paraId="16C423B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-.0938</w:t>
            </w:r>
          </w:p>
        </w:tc>
        <w:tc>
          <w:tcPr>
            <w:tcW w:w="1524" w:type="dxa"/>
            <w:tcBorders>
              <w:bottom w:val="single" w:sz="4" w:space="0" w:color="auto"/>
              <w:tl2br w:val="nil"/>
              <w:tr2bl w:val="nil"/>
            </w:tcBorders>
            <w:shd w:val="clear" w:color="auto" w:fill="FFFFFF"/>
            <w:vAlign w:val="center"/>
          </w:tcPr>
          <w:p w14:paraId="7D9A461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AC1665" w:rsidRPr="00AC1665" w14:paraId="6AA11BF7" w14:textId="77777777" w:rsidTr="00AC1665">
        <w:trPr>
          <w:cantSplit/>
          <w:trHeight w:val="261"/>
        </w:trPr>
        <w:tc>
          <w:tcPr>
            <w:tcW w:w="897" w:type="dxa"/>
            <w:vMerge/>
            <w:tcBorders>
              <w:tl2br w:val="nil"/>
              <w:tr2bl w:val="nil"/>
            </w:tcBorders>
            <w:shd w:val="clear" w:color="auto" w:fill="FFFFFF"/>
            <w:vAlign w:val="center"/>
          </w:tcPr>
          <w:p w14:paraId="4537A5A9" w14:textId="77777777" w:rsidR="00372A1B" w:rsidRPr="00AC1665" w:rsidRDefault="00372A1B" w:rsidP="00372A1B">
            <w:pPr>
              <w:rPr>
                <w:rFonts w:ascii="Arial" w:hAnsi="Arial"/>
                <w:sz w:val="18"/>
                <w:szCs w:val="18"/>
              </w:rPr>
            </w:pPr>
          </w:p>
        </w:tc>
        <w:tc>
          <w:tcPr>
            <w:tcW w:w="1552" w:type="dxa"/>
            <w:tcBorders>
              <w:top w:val="single" w:sz="4" w:space="0" w:color="auto"/>
              <w:bottom w:val="single" w:sz="4" w:space="0" w:color="auto"/>
              <w:tl2br w:val="nil"/>
              <w:tr2bl w:val="nil"/>
            </w:tcBorders>
            <w:shd w:val="clear" w:color="auto" w:fill="FFFFFF"/>
            <w:vAlign w:val="center"/>
          </w:tcPr>
          <w:p w14:paraId="02DB1E50" w14:textId="77777777" w:rsidR="00372A1B" w:rsidRPr="00AC1665" w:rsidRDefault="00372A1B" w:rsidP="00372A1B">
            <w:pPr>
              <w:ind w:left="60" w:right="60"/>
              <w:rPr>
                <w:rFonts w:ascii="Arial" w:hAnsi="Arial"/>
                <w:sz w:val="18"/>
                <w:szCs w:val="18"/>
              </w:rPr>
            </w:pPr>
            <w:r w:rsidRPr="00AC1665">
              <w:rPr>
                <w:rFonts w:ascii="Arial" w:hAnsi="Arial"/>
                <w:sz w:val="18"/>
                <w:szCs w:val="18"/>
              </w:rPr>
              <w:t>Student</w:t>
            </w:r>
          </w:p>
        </w:tc>
        <w:tc>
          <w:tcPr>
            <w:tcW w:w="889" w:type="dxa"/>
            <w:tcBorders>
              <w:top w:val="single" w:sz="4" w:space="0" w:color="auto"/>
              <w:bottom w:val="single" w:sz="4" w:space="0" w:color="auto"/>
              <w:tl2br w:val="nil"/>
              <w:tr2bl w:val="nil"/>
            </w:tcBorders>
            <w:shd w:val="clear" w:color="auto" w:fill="FFFFFF"/>
            <w:vAlign w:val="center"/>
          </w:tcPr>
          <w:p w14:paraId="2B26955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-.42396</w:t>
            </w:r>
            <w:r w:rsidRPr="00AC1665">
              <w:rPr>
                <w:rFonts w:ascii="Arial" w:hAnsi="Arial"/>
                <w:sz w:val="18"/>
                <w:szCs w:val="18"/>
                <w:vertAlign w:val="superscript"/>
              </w:rPr>
              <w:t>*</w:t>
            </w:r>
          </w:p>
        </w:tc>
        <w:tc>
          <w:tcPr>
            <w:tcW w:w="803" w:type="dxa"/>
            <w:tcBorders>
              <w:top w:val="single" w:sz="4" w:space="0" w:color="auto"/>
              <w:bottom w:val="single" w:sz="4" w:space="0" w:color="auto"/>
              <w:tl2br w:val="nil"/>
              <w:tr2bl w:val="nil"/>
            </w:tcBorders>
            <w:shd w:val="clear" w:color="auto" w:fill="FFFFFF"/>
            <w:vAlign w:val="center"/>
          </w:tcPr>
          <w:p w14:paraId="023BFFE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.06766</w:t>
            </w:r>
          </w:p>
        </w:tc>
        <w:tc>
          <w:tcPr>
            <w:tcW w:w="620" w:type="dxa"/>
            <w:tcBorders>
              <w:top w:val="single" w:sz="4" w:space="0" w:color="auto"/>
              <w:bottom w:val="single" w:sz="4" w:space="0" w:color="auto"/>
              <w:tl2br w:val="nil"/>
              <w:tr2bl w:val="nil"/>
            </w:tcBorders>
            <w:shd w:val="clear" w:color="auto" w:fill="FFFFFF"/>
            <w:vAlign w:val="center"/>
          </w:tcPr>
          <w:p w14:paraId="52D419F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6" w:type="dxa"/>
            <w:tcBorders>
              <w:top w:val="single" w:sz="4" w:space="0" w:color="auto"/>
              <w:bottom w:val="single" w:sz="4" w:space="0" w:color="auto"/>
              <w:tl2br w:val="nil"/>
              <w:tr2bl w:val="nil"/>
            </w:tcBorders>
            <w:shd w:val="clear" w:color="auto" w:fill="FFFFFF"/>
            <w:vAlign w:val="center"/>
          </w:tcPr>
          <w:p w14:paraId="2DF5715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-.6181</w:t>
            </w:r>
          </w:p>
        </w:tc>
        <w:tc>
          <w:tcPr>
            <w:tcW w:w="861" w:type="dxa"/>
            <w:tcBorders>
              <w:top w:val="single" w:sz="4" w:space="0" w:color="auto"/>
              <w:bottom w:val="single" w:sz="4" w:space="0" w:color="auto"/>
              <w:tl2br w:val="nil"/>
              <w:tr2bl w:val="nil"/>
            </w:tcBorders>
            <w:shd w:val="clear" w:color="auto" w:fill="FFFFFF"/>
            <w:vAlign w:val="center"/>
          </w:tcPr>
          <w:p w14:paraId="3C0A58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-.2299</w:t>
            </w:r>
          </w:p>
        </w:tc>
        <w:tc>
          <w:tcPr>
            <w:tcW w:w="1524" w:type="dxa"/>
            <w:tcBorders>
              <w:top w:val="single" w:sz="4" w:space="0" w:color="auto"/>
              <w:bottom w:val="single" w:sz="4" w:space="0" w:color="auto"/>
              <w:tl2br w:val="nil"/>
              <w:tr2bl w:val="nil"/>
            </w:tcBorders>
            <w:shd w:val="clear" w:color="auto" w:fill="FFFFFF"/>
            <w:vAlign w:val="center"/>
          </w:tcPr>
          <w:p w14:paraId="740122C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bl>
    <w:p w14:paraId="41BAB88F" w14:textId="77777777" w:rsidR="00372A1B" w:rsidRPr="00372A1B" w:rsidRDefault="00372A1B" w:rsidP="00372A1B">
      <w:pPr>
        <w:jc w:val="both"/>
        <w:rPr>
          <w:rFonts w:ascii="Arial" w:hAnsi="Arial" w:cs="Arial"/>
        </w:rPr>
      </w:pPr>
    </w:p>
    <w:p w14:paraId="33471A05" w14:textId="77777777" w:rsidR="00372A1B" w:rsidRPr="00372A1B" w:rsidRDefault="00372A1B" w:rsidP="00372A1B">
      <w:pPr>
        <w:ind w:firstLine="720"/>
        <w:jc w:val="both"/>
        <w:rPr>
          <w:rFonts w:ascii="Arial" w:hAnsi="Arial" w:cs="Arial"/>
          <w:lang w:val="en-PH"/>
        </w:rPr>
      </w:pPr>
      <w:r w:rsidRPr="00372A1B">
        <w:rPr>
          <w:rFonts w:ascii="Arial" w:hAnsi="Arial" w:cs="Arial"/>
          <w:lang w:val="en-PH"/>
        </w:rPr>
        <w:t xml:space="preserve">These results confirm that parents are notably less aware of the institution’s VMPEO compared to most other stakeholder groups. However, the comparison between parents and alumni (p = 0.085) revealed </w:t>
      </w:r>
      <w:r w:rsidRPr="00372A1B">
        <w:rPr>
          <w:rFonts w:ascii="Arial" w:hAnsi="Arial" w:cs="Arial"/>
          <w:bCs/>
          <w:lang w:val="en-PH"/>
        </w:rPr>
        <w:t>no statistically significant difference</w:t>
      </w:r>
      <w:r w:rsidRPr="00372A1B">
        <w:rPr>
          <w:rFonts w:ascii="Arial" w:hAnsi="Arial" w:cs="Arial"/>
          <w:lang w:val="en-PH"/>
        </w:rPr>
        <w:t>, suggesting that both groups have similarly lower levels of awareness.</w:t>
      </w:r>
    </w:p>
    <w:p w14:paraId="49BE0403" w14:textId="4AEB314E" w:rsidR="00372A1B" w:rsidRPr="00372A1B" w:rsidRDefault="00372A1B" w:rsidP="00372A1B">
      <w:pPr>
        <w:ind w:firstLine="720"/>
        <w:jc w:val="both"/>
        <w:rPr>
          <w:rFonts w:ascii="Arial" w:hAnsi="Arial" w:cs="Arial"/>
          <w:lang w:val="en-PH"/>
        </w:rPr>
      </w:pPr>
      <w:r w:rsidRPr="00372A1B">
        <w:rPr>
          <w:rFonts w:ascii="Arial" w:hAnsi="Arial" w:cs="Arial"/>
          <w:lang w:val="en-PH"/>
        </w:rPr>
        <w:t xml:space="preserve">This outcome further supports earlier findings that </w:t>
      </w:r>
      <w:r w:rsidRPr="00372A1B">
        <w:rPr>
          <w:rFonts w:ascii="Arial" w:hAnsi="Arial" w:cs="Arial"/>
          <w:bCs/>
          <w:lang w:val="en-PH"/>
        </w:rPr>
        <w:t>external stakeholders</w:t>
      </w:r>
      <w:r w:rsidRPr="00372A1B">
        <w:rPr>
          <w:rFonts w:ascii="Arial" w:hAnsi="Arial" w:cs="Arial"/>
          <w:lang w:val="en-PH"/>
        </w:rPr>
        <w:t xml:space="preserve">, especially those not actively engaged in the university’s daily operations, tend to have </w:t>
      </w:r>
      <w:r w:rsidRPr="00372A1B">
        <w:rPr>
          <w:rFonts w:ascii="Arial" w:hAnsi="Arial" w:cs="Arial"/>
          <w:bCs/>
          <w:lang w:val="en-PH"/>
        </w:rPr>
        <w:t>reduced familiarity</w:t>
      </w:r>
      <w:r w:rsidRPr="00372A1B">
        <w:rPr>
          <w:rFonts w:ascii="Arial" w:hAnsi="Arial" w:cs="Arial"/>
          <w:lang w:val="en-PH"/>
        </w:rPr>
        <w:t xml:space="preserve"> with institutional goals. According to </w:t>
      </w:r>
      <w:r w:rsidRPr="00372A1B">
        <w:rPr>
          <w:rFonts w:ascii="Arial" w:hAnsi="Arial" w:cs="Arial"/>
          <w:bCs/>
          <w:lang w:val="en-PH"/>
        </w:rPr>
        <w:t>Freeman (1984)</w:t>
      </w:r>
      <w:r w:rsidRPr="00372A1B">
        <w:rPr>
          <w:rFonts w:ascii="Arial" w:hAnsi="Arial" w:cs="Arial"/>
          <w:lang w:val="en-PH"/>
        </w:rPr>
        <w:t xml:space="preserve"> and </w:t>
      </w:r>
      <w:r w:rsidRPr="00372A1B">
        <w:rPr>
          <w:rFonts w:ascii="Arial" w:hAnsi="Arial" w:cs="Arial"/>
          <w:bCs/>
          <w:lang w:val="en-PH"/>
        </w:rPr>
        <w:t>Yáñez et al. (2018)</w:t>
      </w:r>
      <w:r w:rsidRPr="00372A1B">
        <w:rPr>
          <w:rFonts w:ascii="Arial" w:hAnsi="Arial" w:cs="Arial"/>
          <w:lang w:val="en-PH"/>
        </w:rPr>
        <w:t xml:space="preserve">, stakeholder engagement and proximity to institutional processes are key factors influencing awareness levels. Parents and alumni, being more distanced from the academic environment, may receive fewer opportunities to engage with or be informed about </w:t>
      </w:r>
      <w:proofErr w:type="spellStart"/>
      <w:r w:rsidRPr="00372A1B">
        <w:rPr>
          <w:rFonts w:ascii="Arial" w:hAnsi="Arial" w:cs="Arial"/>
          <w:lang w:val="en-PH"/>
        </w:rPr>
        <w:t>DOrSU’s</w:t>
      </w:r>
      <w:proofErr w:type="spellEnd"/>
      <w:r w:rsidRPr="00372A1B">
        <w:rPr>
          <w:rFonts w:ascii="Arial" w:hAnsi="Arial" w:cs="Arial"/>
          <w:lang w:val="en-PH"/>
        </w:rPr>
        <w:t xml:space="preserve"> strategic direction. </w:t>
      </w:r>
    </w:p>
    <w:p w14:paraId="19ACCAE6" w14:textId="1F58F366" w:rsidR="00372A1B" w:rsidRPr="00372A1B" w:rsidRDefault="00372A1B" w:rsidP="00372A1B">
      <w:pPr>
        <w:spacing w:before="100" w:beforeAutospacing="1" w:after="100" w:afterAutospacing="1"/>
        <w:ind w:firstLine="720"/>
        <w:jc w:val="both"/>
        <w:rPr>
          <w:rFonts w:ascii="Arial" w:eastAsia="Times New Roman" w:hAnsi="Arial" w:cs="Arial"/>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3</w:t>
      </w:r>
      <w:r w:rsidRPr="00372A1B">
        <w:rPr>
          <w:rFonts w:ascii="Arial" w:hAnsi="Arial" w:cs="Arial"/>
          <w:color w:val="000000" w:themeColor="text1"/>
          <w:lang w:val="en-PH"/>
        </w:rPr>
        <w:t xml:space="preserve"> presents the test for differences in awareness levels according to age group. </w:t>
      </w:r>
      <w:r w:rsidRPr="00372A1B">
        <w:rPr>
          <w:rFonts w:ascii="Arial" w:eastAsia="Times New Roman" w:hAnsi="Arial" w:cs="Arial"/>
          <w:bCs/>
          <w:lang w:val="en-PH"/>
        </w:rPr>
        <w:t>The results of the analysis of variance (ANOVA)</w:t>
      </w:r>
      <w:r w:rsidRPr="00372A1B">
        <w:rPr>
          <w:rFonts w:ascii="Arial" w:eastAsia="Times New Roman" w:hAnsi="Arial" w:cs="Arial"/>
          <w:lang w:val="en-PH"/>
        </w:rPr>
        <w:t xml:space="preserve"> indicate whether the level of awareness of </w:t>
      </w:r>
      <w:proofErr w:type="spellStart"/>
      <w:r w:rsidRPr="00372A1B">
        <w:rPr>
          <w:rFonts w:ascii="Arial" w:eastAsia="Times New Roman" w:hAnsi="Arial" w:cs="Arial"/>
          <w:lang w:val="en-PH"/>
        </w:rPr>
        <w:t>DOrSU’s</w:t>
      </w:r>
      <w:proofErr w:type="spellEnd"/>
      <w:r w:rsidRPr="00372A1B">
        <w:rPr>
          <w:rFonts w:ascii="Arial" w:eastAsia="Times New Roman" w:hAnsi="Arial" w:cs="Arial"/>
          <w:lang w:val="en-PH"/>
        </w:rPr>
        <w:t xml:space="preserve"> Vision, Mission, and Program Educational Objectives (PEO) differs significantly among various age groups. The findings reveal a statistically significant difference (</w:t>
      </w:r>
      <w:r w:rsidRPr="00372A1B">
        <w:rPr>
          <w:rFonts w:ascii="Arial" w:eastAsia="Times New Roman" w:hAnsi="Arial" w:cs="Arial"/>
          <w:bCs/>
          <w:lang w:val="en-PH"/>
        </w:rPr>
        <w:t>F = 5.594, p = .000</w:t>
      </w:r>
      <w:r w:rsidRPr="00372A1B">
        <w:rPr>
          <w:rFonts w:ascii="Arial" w:eastAsia="Times New Roman" w:hAnsi="Arial" w:cs="Arial"/>
          <w:lang w:val="en-PH"/>
        </w:rPr>
        <w:t xml:space="preserve">), indicating that </w:t>
      </w:r>
      <w:r w:rsidRPr="00372A1B">
        <w:rPr>
          <w:rFonts w:ascii="Arial" w:eastAsia="Times New Roman" w:hAnsi="Arial" w:cs="Arial"/>
          <w:bCs/>
          <w:lang w:val="en-PH"/>
        </w:rPr>
        <w:t>stakeholder awareness levels vary significantly across age groups</w:t>
      </w:r>
      <w:r w:rsidRPr="00372A1B">
        <w:rPr>
          <w:rFonts w:ascii="Arial" w:eastAsia="Times New Roman" w:hAnsi="Arial" w:cs="Arial"/>
          <w:lang w:val="en-PH"/>
        </w:rPr>
        <w:t>.</w:t>
      </w:r>
    </w:p>
    <w:p w14:paraId="14F08AEF" w14:textId="2DE7BFCC"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3</w:t>
      </w:r>
      <w:r w:rsidRPr="00372A1B">
        <w:rPr>
          <w:rFonts w:ascii="Arial" w:hAnsi="Arial" w:cs="Arial"/>
          <w:b/>
          <w:bCs/>
        </w:rPr>
        <w:t xml:space="preserve">: </w:t>
      </w:r>
      <w:r w:rsidRPr="00372A1B">
        <w:rPr>
          <w:rFonts w:ascii="Arial" w:hAnsi="Arial" w:cs="Arial"/>
        </w:rPr>
        <w:t xml:space="preserve">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40"/>
        <w:gridCol w:w="1679"/>
        <w:gridCol w:w="554"/>
        <w:gridCol w:w="114"/>
        <w:gridCol w:w="1641"/>
        <w:gridCol w:w="1028"/>
        <w:gridCol w:w="1392"/>
      </w:tblGrid>
      <w:tr w:rsidR="00372A1B" w:rsidRPr="00372A1B" w14:paraId="6A1B2495" w14:textId="77777777" w:rsidTr="00AC1665">
        <w:trPr>
          <w:trHeight w:val="240"/>
        </w:trPr>
        <w:tc>
          <w:tcPr>
            <w:tcW w:w="1940" w:type="dxa"/>
            <w:tcBorders>
              <w:top w:val="single" w:sz="4" w:space="0" w:color="auto"/>
              <w:bottom w:val="single" w:sz="4" w:space="0" w:color="auto"/>
            </w:tcBorders>
          </w:tcPr>
          <w:p w14:paraId="6B0EC132" w14:textId="77777777" w:rsidR="00372A1B" w:rsidRPr="00372A1B" w:rsidRDefault="00372A1B" w:rsidP="00372A1B">
            <w:pPr>
              <w:rPr>
                <w:rFonts w:ascii="Arial" w:hAnsi="Arial" w:cs="Arial"/>
              </w:rPr>
            </w:pPr>
          </w:p>
        </w:tc>
        <w:tc>
          <w:tcPr>
            <w:tcW w:w="1679" w:type="dxa"/>
            <w:tcBorders>
              <w:top w:val="single" w:sz="4" w:space="0" w:color="auto"/>
              <w:bottom w:val="single" w:sz="4" w:space="0" w:color="auto"/>
            </w:tcBorders>
          </w:tcPr>
          <w:p w14:paraId="30169B38" w14:textId="77777777" w:rsidR="00372A1B" w:rsidRPr="00372A1B" w:rsidRDefault="00372A1B" w:rsidP="00372A1B">
            <w:pPr>
              <w:jc w:val="center"/>
              <w:rPr>
                <w:rFonts w:ascii="Arial" w:hAnsi="Arial" w:cs="Arial"/>
              </w:rPr>
            </w:pPr>
            <w:r w:rsidRPr="00372A1B">
              <w:rPr>
                <w:rFonts w:ascii="Arial" w:hAnsi="Arial" w:cs="Arial"/>
              </w:rPr>
              <w:t>Sum of Squares</w:t>
            </w:r>
          </w:p>
        </w:tc>
        <w:tc>
          <w:tcPr>
            <w:tcW w:w="554" w:type="dxa"/>
            <w:tcBorders>
              <w:top w:val="single" w:sz="4" w:space="0" w:color="auto"/>
              <w:bottom w:val="single" w:sz="4" w:space="0" w:color="auto"/>
            </w:tcBorders>
          </w:tcPr>
          <w:p w14:paraId="6E4D7727" w14:textId="77777777" w:rsidR="00372A1B" w:rsidRPr="00372A1B" w:rsidRDefault="00372A1B" w:rsidP="00372A1B">
            <w:pPr>
              <w:jc w:val="center"/>
              <w:rPr>
                <w:rFonts w:ascii="Arial" w:hAnsi="Arial" w:cs="Arial"/>
              </w:rPr>
            </w:pPr>
            <w:r w:rsidRPr="00372A1B">
              <w:rPr>
                <w:rFonts w:ascii="Arial" w:hAnsi="Arial" w:cs="Arial"/>
              </w:rPr>
              <w:t>Df</w:t>
            </w:r>
          </w:p>
        </w:tc>
        <w:tc>
          <w:tcPr>
            <w:tcW w:w="1754" w:type="dxa"/>
            <w:gridSpan w:val="2"/>
            <w:tcBorders>
              <w:top w:val="single" w:sz="4" w:space="0" w:color="auto"/>
              <w:bottom w:val="single" w:sz="4" w:space="0" w:color="auto"/>
            </w:tcBorders>
          </w:tcPr>
          <w:p w14:paraId="2CE0FBC5" w14:textId="77777777" w:rsidR="00372A1B" w:rsidRPr="00372A1B" w:rsidRDefault="00372A1B" w:rsidP="00372A1B">
            <w:pPr>
              <w:jc w:val="center"/>
              <w:rPr>
                <w:rFonts w:ascii="Arial" w:hAnsi="Arial" w:cs="Arial"/>
              </w:rPr>
            </w:pPr>
            <w:r w:rsidRPr="00372A1B">
              <w:rPr>
                <w:rFonts w:ascii="Arial" w:hAnsi="Arial" w:cs="Arial"/>
              </w:rPr>
              <w:t>Mean Square</w:t>
            </w:r>
          </w:p>
        </w:tc>
        <w:tc>
          <w:tcPr>
            <w:tcW w:w="1028" w:type="dxa"/>
            <w:tcBorders>
              <w:top w:val="single" w:sz="4" w:space="0" w:color="auto"/>
              <w:bottom w:val="single" w:sz="4" w:space="0" w:color="auto"/>
            </w:tcBorders>
          </w:tcPr>
          <w:p w14:paraId="4E277DEC" w14:textId="77777777" w:rsidR="00372A1B" w:rsidRPr="00372A1B" w:rsidRDefault="00372A1B" w:rsidP="00372A1B">
            <w:pPr>
              <w:jc w:val="center"/>
              <w:rPr>
                <w:rFonts w:ascii="Arial" w:hAnsi="Arial" w:cs="Arial"/>
              </w:rPr>
            </w:pPr>
            <w:r w:rsidRPr="00372A1B">
              <w:rPr>
                <w:rFonts w:ascii="Arial" w:hAnsi="Arial" w:cs="Arial"/>
              </w:rPr>
              <w:t>F</w:t>
            </w:r>
          </w:p>
        </w:tc>
        <w:tc>
          <w:tcPr>
            <w:tcW w:w="1392" w:type="dxa"/>
            <w:tcBorders>
              <w:top w:val="single" w:sz="4" w:space="0" w:color="auto"/>
              <w:bottom w:val="single" w:sz="4" w:space="0" w:color="auto"/>
            </w:tcBorders>
          </w:tcPr>
          <w:p w14:paraId="5C1699E7" w14:textId="77777777" w:rsidR="00372A1B" w:rsidRPr="00372A1B" w:rsidRDefault="00372A1B" w:rsidP="00372A1B">
            <w:pPr>
              <w:jc w:val="center"/>
              <w:rPr>
                <w:rFonts w:ascii="Arial" w:hAnsi="Arial" w:cs="Arial"/>
              </w:rPr>
            </w:pPr>
            <w:r w:rsidRPr="00372A1B">
              <w:rPr>
                <w:rFonts w:ascii="Arial" w:hAnsi="Arial" w:cs="Arial"/>
              </w:rPr>
              <w:t>Sig.</w:t>
            </w:r>
          </w:p>
        </w:tc>
      </w:tr>
      <w:tr w:rsidR="00372A1B" w:rsidRPr="00372A1B" w14:paraId="1790E4DF" w14:textId="77777777" w:rsidTr="00AC1665">
        <w:trPr>
          <w:trHeight w:val="258"/>
        </w:trPr>
        <w:tc>
          <w:tcPr>
            <w:tcW w:w="1940" w:type="dxa"/>
            <w:tcBorders>
              <w:top w:val="single" w:sz="4" w:space="0" w:color="auto"/>
              <w:bottom w:val="single" w:sz="4" w:space="0" w:color="auto"/>
            </w:tcBorders>
          </w:tcPr>
          <w:p w14:paraId="2E575706" w14:textId="77777777" w:rsidR="00372A1B" w:rsidRPr="00372A1B" w:rsidRDefault="00372A1B" w:rsidP="00372A1B">
            <w:pPr>
              <w:rPr>
                <w:rFonts w:ascii="Arial" w:hAnsi="Arial" w:cs="Arial"/>
              </w:rPr>
            </w:pPr>
            <w:r w:rsidRPr="00372A1B">
              <w:rPr>
                <w:rFonts w:ascii="Arial" w:hAnsi="Arial" w:cs="Arial"/>
              </w:rPr>
              <w:t>Between Groups</w:t>
            </w:r>
          </w:p>
        </w:tc>
        <w:tc>
          <w:tcPr>
            <w:tcW w:w="1679" w:type="dxa"/>
            <w:tcBorders>
              <w:top w:val="single" w:sz="4" w:space="0" w:color="auto"/>
              <w:bottom w:val="single" w:sz="4" w:space="0" w:color="auto"/>
            </w:tcBorders>
            <w:shd w:val="clear" w:color="auto" w:fill="FFFFFF"/>
            <w:vAlign w:val="center"/>
          </w:tcPr>
          <w:p w14:paraId="67B2546C" w14:textId="77777777" w:rsidR="00372A1B" w:rsidRPr="00372A1B" w:rsidRDefault="00372A1B" w:rsidP="00372A1B">
            <w:pPr>
              <w:ind w:left="60" w:right="60"/>
              <w:jc w:val="center"/>
              <w:rPr>
                <w:rFonts w:ascii="Arial" w:hAnsi="Arial"/>
              </w:rPr>
            </w:pPr>
            <w:r w:rsidRPr="00372A1B">
              <w:rPr>
                <w:rFonts w:ascii="Arial" w:hAnsi="Arial"/>
                <w:color w:val="000000"/>
              </w:rPr>
              <w:t>5.343</w:t>
            </w:r>
          </w:p>
        </w:tc>
        <w:tc>
          <w:tcPr>
            <w:tcW w:w="668" w:type="dxa"/>
            <w:gridSpan w:val="2"/>
            <w:tcBorders>
              <w:top w:val="single" w:sz="4" w:space="0" w:color="auto"/>
              <w:bottom w:val="single" w:sz="4" w:space="0" w:color="auto"/>
            </w:tcBorders>
            <w:shd w:val="clear" w:color="auto" w:fill="FFFFFF"/>
            <w:vAlign w:val="center"/>
          </w:tcPr>
          <w:p w14:paraId="3F5DABDF" w14:textId="77777777" w:rsidR="00372A1B" w:rsidRPr="00372A1B" w:rsidRDefault="00372A1B" w:rsidP="00372A1B">
            <w:pPr>
              <w:ind w:left="60" w:right="60"/>
              <w:jc w:val="center"/>
              <w:rPr>
                <w:rFonts w:ascii="Arial" w:hAnsi="Arial"/>
              </w:rPr>
            </w:pPr>
            <w:r w:rsidRPr="00372A1B">
              <w:rPr>
                <w:rFonts w:ascii="Arial" w:hAnsi="Arial"/>
                <w:color w:val="000000"/>
              </w:rPr>
              <w:t>5</w:t>
            </w:r>
          </w:p>
        </w:tc>
        <w:tc>
          <w:tcPr>
            <w:tcW w:w="1641" w:type="dxa"/>
            <w:tcBorders>
              <w:top w:val="single" w:sz="4" w:space="0" w:color="auto"/>
              <w:bottom w:val="single" w:sz="4" w:space="0" w:color="auto"/>
            </w:tcBorders>
            <w:shd w:val="clear" w:color="auto" w:fill="FFFFFF"/>
            <w:vAlign w:val="center"/>
          </w:tcPr>
          <w:p w14:paraId="07974E6D" w14:textId="77777777" w:rsidR="00372A1B" w:rsidRPr="00372A1B" w:rsidRDefault="00372A1B" w:rsidP="00372A1B">
            <w:pPr>
              <w:ind w:left="60" w:right="60"/>
              <w:jc w:val="center"/>
              <w:rPr>
                <w:rFonts w:ascii="Arial" w:hAnsi="Arial"/>
              </w:rPr>
            </w:pPr>
            <w:r w:rsidRPr="00372A1B">
              <w:rPr>
                <w:rFonts w:ascii="Arial" w:hAnsi="Arial"/>
                <w:color w:val="000000"/>
              </w:rPr>
              <w:t>1.069</w:t>
            </w:r>
          </w:p>
        </w:tc>
        <w:tc>
          <w:tcPr>
            <w:tcW w:w="1028" w:type="dxa"/>
            <w:tcBorders>
              <w:top w:val="single" w:sz="4" w:space="0" w:color="auto"/>
              <w:bottom w:val="single" w:sz="4" w:space="0" w:color="auto"/>
            </w:tcBorders>
            <w:shd w:val="clear" w:color="auto" w:fill="FFFFFF"/>
            <w:vAlign w:val="center"/>
          </w:tcPr>
          <w:p w14:paraId="52A858DB" w14:textId="77777777" w:rsidR="00372A1B" w:rsidRPr="00372A1B" w:rsidRDefault="00372A1B" w:rsidP="00372A1B">
            <w:pPr>
              <w:ind w:left="60" w:right="60"/>
              <w:jc w:val="center"/>
              <w:rPr>
                <w:rFonts w:ascii="Arial" w:hAnsi="Arial"/>
              </w:rPr>
            </w:pPr>
            <w:r w:rsidRPr="00372A1B">
              <w:rPr>
                <w:rFonts w:ascii="Arial" w:hAnsi="Arial"/>
                <w:color w:val="000000"/>
              </w:rPr>
              <w:t>5.594</w:t>
            </w:r>
          </w:p>
        </w:tc>
        <w:tc>
          <w:tcPr>
            <w:tcW w:w="1392" w:type="dxa"/>
            <w:tcBorders>
              <w:top w:val="single" w:sz="4" w:space="0" w:color="auto"/>
              <w:bottom w:val="single" w:sz="4" w:space="0" w:color="auto"/>
            </w:tcBorders>
            <w:shd w:val="clear" w:color="auto" w:fill="FFFFFF"/>
            <w:vAlign w:val="center"/>
          </w:tcPr>
          <w:p w14:paraId="1F65984F" w14:textId="77777777" w:rsidR="00372A1B" w:rsidRPr="00372A1B" w:rsidRDefault="00372A1B" w:rsidP="00372A1B">
            <w:pPr>
              <w:ind w:left="60" w:right="60"/>
              <w:jc w:val="center"/>
              <w:rPr>
                <w:rFonts w:ascii="Arial" w:hAnsi="Arial"/>
              </w:rPr>
            </w:pPr>
            <w:r w:rsidRPr="00372A1B">
              <w:rPr>
                <w:rFonts w:ascii="Arial" w:hAnsi="Arial"/>
              </w:rPr>
              <w:t>.000</w:t>
            </w:r>
          </w:p>
        </w:tc>
      </w:tr>
      <w:tr w:rsidR="00372A1B" w:rsidRPr="00372A1B" w14:paraId="050835CC" w14:textId="77777777" w:rsidTr="00AC1665">
        <w:trPr>
          <w:trHeight w:val="258"/>
        </w:trPr>
        <w:tc>
          <w:tcPr>
            <w:tcW w:w="1940" w:type="dxa"/>
            <w:tcBorders>
              <w:top w:val="single" w:sz="4" w:space="0" w:color="auto"/>
              <w:bottom w:val="single" w:sz="4" w:space="0" w:color="auto"/>
            </w:tcBorders>
          </w:tcPr>
          <w:p w14:paraId="2CA8EE25" w14:textId="77777777" w:rsidR="00372A1B" w:rsidRPr="00372A1B" w:rsidRDefault="00372A1B" w:rsidP="00372A1B">
            <w:pPr>
              <w:rPr>
                <w:rFonts w:ascii="Arial" w:hAnsi="Arial" w:cs="Arial"/>
              </w:rPr>
            </w:pPr>
            <w:r w:rsidRPr="00372A1B">
              <w:rPr>
                <w:rFonts w:ascii="Arial" w:hAnsi="Arial" w:cs="Arial"/>
              </w:rPr>
              <w:t>Within Groups</w:t>
            </w:r>
          </w:p>
        </w:tc>
        <w:tc>
          <w:tcPr>
            <w:tcW w:w="1679" w:type="dxa"/>
            <w:tcBorders>
              <w:top w:val="single" w:sz="4" w:space="0" w:color="auto"/>
              <w:bottom w:val="single" w:sz="4" w:space="0" w:color="auto"/>
            </w:tcBorders>
            <w:shd w:val="clear" w:color="auto" w:fill="FFFFFF"/>
            <w:vAlign w:val="center"/>
          </w:tcPr>
          <w:p w14:paraId="67C4BE95" w14:textId="77777777" w:rsidR="00372A1B" w:rsidRPr="00372A1B" w:rsidRDefault="00372A1B" w:rsidP="00372A1B">
            <w:pPr>
              <w:ind w:left="60" w:right="60"/>
              <w:jc w:val="center"/>
              <w:rPr>
                <w:rFonts w:ascii="Arial" w:hAnsi="Arial"/>
              </w:rPr>
            </w:pPr>
            <w:r w:rsidRPr="00372A1B">
              <w:rPr>
                <w:rFonts w:ascii="Arial" w:hAnsi="Arial"/>
                <w:color w:val="000000"/>
              </w:rPr>
              <w:t>55.970</w:t>
            </w:r>
          </w:p>
        </w:tc>
        <w:tc>
          <w:tcPr>
            <w:tcW w:w="668" w:type="dxa"/>
            <w:gridSpan w:val="2"/>
            <w:tcBorders>
              <w:top w:val="single" w:sz="4" w:space="0" w:color="auto"/>
              <w:bottom w:val="single" w:sz="4" w:space="0" w:color="auto"/>
            </w:tcBorders>
            <w:shd w:val="clear" w:color="auto" w:fill="FFFFFF"/>
            <w:vAlign w:val="center"/>
          </w:tcPr>
          <w:p w14:paraId="01D03C5D" w14:textId="77777777" w:rsidR="00372A1B" w:rsidRPr="00372A1B" w:rsidRDefault="00372A1B" w:rsidP="00372A1B">
            <w:pPr>
              <w:ind w:left="60" w:right="60"/>
              <w:jc w:val="center"/>
              <w:rPr>
                <w:rFonts w:ascii="Arial" w:hAnsi="Arial"/>
              </w:rPr>
            </w:pPr>
            <w:r w:rsidRPr="00372A1B">
              <w:rPr>
                <w:rFonts w:ascii="Arial" w:hAnsi="Arial"/>
                <w:color w:val="000000"/>
              </w:rPr>
              <w:t>293</w:t>
            </w:r>
          </w:p>
        </w:tc>
        <w:tc>
          <w:tcPr>
            <w:tcW w:w="1641" w:type="dxa"/>
            <w:tcBorders>
              <w:top w:val="single" w:sz="4" w:space="0" w:color="auto"/>
              <w:bottom w:val="single" w:sz="4" w:space="0" w:color="auto"/>
            </w:tcBorders>
            <w:shd w:val="clear" w:color="auto" w:fill="FFFFFF"/>
            <w:vAlign w:val="center"/>
          </w:tcPr>
          <w:p w14:paraId="2CA87448" w14:textId="77777777" w:rsidR="00372A1B" w:rsidRPr="00372A1B" w:rsidRDefault="00372A1B" w:rsidP="00372A1B">
            <w:pPr>
              <w:ind w:left="60" w:right="60"/>
              <w:jc w:val="center"/>
              <w:rPr>
                <w:rFonts w:ascii="Arial" w:hAnsi="Arial"/>
              </w:rPr>
            </w:pPr>
            <w:r w:rsidRPr="00372A1B">
              <w:rPr>
                <w:rFonts w:ascii="Arial" w:hAnsi="Arial"/>
                <w:color w:val="000000"/>
              </w:rPr>
              <w:t>0.191</w:t>
            </w:r>
          </w:p>
        </w:tc>
        <w:tc>
          <w:tcPr>
            <w:tcW w:w="1028" w:type="dxa"/>
            <w:tcBorders>
              <w:top w:val="single" w:sz="4" w:space="0" w:color="auto"/>
              <w:bottom w:val="single" w:sz="4" w:space="0" w:color="auto"/>
            </w:tcBorders>
            <w:shd w:val="clear" w:color="auto" w:fill="FFFFFF"/>
            <w:vAlign w:val="center"/>
          </w:tcPr>
          <w:p w14:paraId="5581C659" w14:textId="77777777" w:rsidR="00372A1B" w:rsidRPr="00372A1B" w:rsidRDefault="00372A1B" w:rsidP="00372A1B">
            <w:pPr>
              <w:jc w:val="center"/>
            </w:pPr>
          </w:p>
        </w:tc>
        <w:tc>
          <w:tcPr>
            <w:tcW w:w="1392" w:type="dxa"/>
            <w:tcBorders>
              <w:top w:val="single" w:sz="4" w:space="0" w:color="auto"/>
              <w:bottom w:val="single" w:sz="4" w:space="0" w:color="auto"/>
            </w:tcBorders>
            <w:shd w:val="clear" w:color="auto" w:fill="FFFFFF"/>
            <w:vAlign w:val="center"/>
          </w:tcPr>
          <w:p w14:paraId="6EA32D27" w14:textId="77777777" w:rsidR="00372A1B" w:rsidRPr="00372A1B" w:rsidRDefault="00372A1B" w:rsidP="00372A1B">
            <w:pPr>
              <w:jc w:val="center"/>
            </w:pPr>
          </w:p>
        </w:tc>
      </w:tr>
      <w:tr w:rsidR="00372A1B" w:rsidRPr="00372A1B" w14:paraId="776B363F" w14:textId="77777777" w:rsidTr="00AC1665">
        <w:trPr>
          <w:trHeight w:val="186"/>
        </w:trPr>
        <w:tc>
          <w:tcPr>
            <w:tcW w:w="1940" w:type="dxa"/>
            <w:tcBorders>
              <w:top w:val="single" w:sz="4" w:space="0" w:color="auto"/>
              <w:bottom w:val="single" w:sz="4" w:space="0" w:color="auto"/>
            </w:tcBorders>
          </w:tcPr>
          <w:p w14:paraId="270473B4" w14:textId="77777777" w:rsidR="00372A1B" w:rsidRPr="00372A1B" w:rsidRDefault="00372A1B" w:rsidP="00372A1B">
            <w:pPr>
              <w:rPr>
                <w:rFonts w:ascii="Arial" w:hAnsi="Arial" w:cs="Arial"/>
              </w:rPr>
            </w:pPr>
            <w:r w:rsidRPr="00372A1B">
              <w:rPr>
                <w:rFonts w:ascii="Arial" w:hAnsi="Arial" w:cs="Arial"/>
              </w:rPr>
              <w:lastRenderedPageBreak/>
              <w:t>Total</w:t>
            </w:r>
          </w:p>
        </w:tc>
        <w:tc>
          <w:tcPr>
            <w:tcW w:w="1679" w:type="dxa"/>
            <w:tcBorders>
              <w:top w:val="single" w:sz="4" w:space="0" w:color="auto"/>
              <w:bottom w:val="single" w:sz="4" w:space="0" w:color="auto"/>
            </w:tcBorders>
            <w:shd w:val="clear" w:color="auto" w:fill="FFFFFF"/>
            <w:vAlign w:val="center"/>
          </w:tcPr>
          <w:p w14:paraId="70D79AC0" w14:textId="77777777" w:rsidR="00372A1B" w:rsidRPr="00372A1B" w:rsidRDefault="00372A1B" w:rsidP="00372A1B">
            <w:pPr>
              <w:ind w:left="60" w:right="60"/>
              <w:jc w:val="center"/>
              <w:rPr>
                <w:rFonts w:ascii="Arial" w:hAnsi="Arial"/>
              </w:rPr>
            </w:pPr>
            <w:r w:rsidRPr="00372A1B">
              <w:rPr>
                <w:rFonts w:ascii="Arial" w:hAnsi="Arial"/>
                <w:color w:val="000000"/>
              </w:rPr>
              <w:t>61.313</w:t>
            </w:r>
          </w:p>
        </w:tc>
        <w:tc>
          <w:tcPr>
            <w:tcW w:w="668" w:type="dxa"/>
            <w:gridSpan w:val="2"/>
            <w:tcBorders>
              <w:top w:val="single" w:sz="4" w:space="0" w:color="auto"/>
              <w:bottom w:val="single" w:sz="4" w:space="0" w:color="auto"/>
            </w:tcBorders>
            <w:shd w:val="clear" w:color="auto" w:fill="FFFFFF"/>
            <w:vAlign w:val="center"/>
          </w:tcPr>
          <w:p w14:paraId="1A58BA34" w14:textId="77777777" w:rsidR="00372A1B" w:rsidRPr="00372A1B" w:rsidRDefault="00372A1B" w:rsidP="00372A1B">
            <w:pPr>
              <w:ind w:left="60" w:right="60"/>
              <w:jc w:val="center"/>
              <w:rPr>
                <w:rFonts w:ascii="Arial" w:hAnsi="Arial"/>
              </w:rPr>
            </w:pPr>
            <w:r w:rsidRPr="00372A1B">
              <w:rPr>
                <w:rFonts w:ascii="Arial" w:hAnsi="Arial"/>
                <w:color w:val="000000"/>
              </w:rPr>
              <w:t>298</w:t>
            </w:r>
          </w:p>
        </w:tc>
        <w:tc>
          <w:tcPr>
            <w:tcW w:w="1641" w:type="dxa"/>
            <w:tcBorders>
              <w:top w:val="single" w:sz="4" w:space="0" w:color="auto"/>
              <w:bottom w:val="single" w:sz="4" w:space="0" w:color="auto"/>
            </w:tcBorders>
            <w:shd w:val="clear" w:color="auto" w:fill="FFFFFF"/>
            <w:vAlign w:val="center"/>
          </w:tcPr>
          <w:p w14:paraId="58EC1982" w14:textId="77777777" w:rsidR="00372A1B" w:rsidRPr="00372A1B" w:rsidRDefault="00372A1B" w:rsidP="00372A1B">
            <w:pPr>
              <w:jc w:val="center"/>
            </w:pPr>
          </w:p>
        </w:tc>
        <w:tc>
          <w:tcPr>
            <w:tcW w:w="1028" w:type="dxa"/>
            <w:tcBorders>
              <w:top w:val="single" w:sz="4" w:space="0" w:color="auto"/>
              <w:bottom w:val="single" w:sz="4" w:space="0" w:color="auto"/>
            </w:tcBorders>
            <w:shd w:val="clear" w:color="auto" w:fill="FFFFFF"/>
            <w:vAlign w:val="center"/>
          </w:tcPr>
          <w:p w14:paraId="749B680A" w14:textId="77777777" w:rsidR="00372A1B" w:rsidRPr="00372A1B" w:rsidRDefault="00372A1B" w:rsidP="00372A1B">
            <w:pPr>
              <w:jc w:val="center"/>
            </w:pPr>
          </w:p>
        </w:tc>
        <w:tc>
          <w:tcPr>
            <w:tcW w:w="1392" w:type="dxa"/>
            <w:tcBorders>
              <w:top w:val="single" w:sz="4" w:space="0" w:color="auto"/>
              <w:bottom w:val="single" w:sz="4" w:space="0" w:color="auto"/>
            </w:tcBorders>
            <w:shd w:val="clear" w:color="auto" w:fill="FFFFFF"/>
            <w:vAlign w:val="center"/>
          </w:tcPr>
          <w:p w14:paraId="08F34358" w14:textId="77777777" w:rsidR="00372A1B" w:rsidRPr="00372A1B" w:rsidRDefault="00372A1B" w:rsidP="00372A1B">
            <w:pPr>
              <w:jc w:val="center"/>
            </w:pPr>
          </w:p>
        </w:tc>
      </w:tr>
    </w:tbl>
    <w:p w14:paraId="78D270A7" w14:textId="77777777" w:rsidR="00372A1B" w:rsidRPr="00372A1B" w:rsidRDefault="00372A1B" w:rsidP="00AC1665">
      <w:pPr>
        <w:spacing w:before="100" w:beforeAutospacing="1" w:after="100" w:afterAutospacing="1"/>
        <w:ind w:firstLine="720"/>
        <w:jc w:val="both"/>
        <w:rPr>
          <w:rFonts w:ascii="Arial" w:eastAsia="Times New Roman" w:hAnsi="Arial" w:cs="Arial"/>
          <w:lang w:val="en-PH"/>
        </w:rPr>
      </w:pPr>
      <w:r w:rsidRPr="00372A1B">
        <w:rPr>
          <w:rFonts w:ascii="Arial" w:eastAsia="Times New Roman" w:hAnsi="Arial" w:cs="Arial"/>
          <w:lang w:val="en-PH"/>
        </w:rPr>
        <w:t xml:space="preserve">This statistically significant result suggests that </w:t>
      </w:r>
      <w:r w:rsidRPr="00372A1B">
        <w:rPr>
          <w:rFonts w:ascii="Arial" w:eastAsia="Times New Roman" w:hAnsi="Arial" w:cs="Arial"/>
          <w:bCs/>
          <w:lang w:val="en-PH"/>
        </w:rPr>
        <w:t>not all age groups have the same level of awareness</w:t>
      </w:r>
      <w:r w:rsidRPr="00372A1B">
        <w:rPr>
          <w:rFonts w:ascii="Arial" w:eastAsia="Times New Roman" w:hAnsi="Arial" w:cs="Arial"/>
          <w:lang w:val="en-PH"/>
        </w:rPr>
        <w:t xml:space="preserve"> regarding </w:t>
      </w:r>
      <w:proofErr w:type="spellStart"/>
      <w:r w:rsidRPr="00372A1B">
        <w:rPr>
          <w:rFonts w:ascii="Arial" w:eastAsia="Times New Roman" w:hAnsi="Arial" w:cs="Arial"/>
          <w:lang w:val="en-PH"/>
        </w:rPr>
        <w:t>DOrSU’s</w:t>
      </w:r>
      <w:proofErr w:type="spellEnd"/>
      <w:r w:rsidRPr="00372A1B">
        <w:rPr>
          <w:rFonts w:ascii="Arial" w:eastAsia="Times New Roman" w:hAnsi="Arial" w:cs="Arial"/>
          <w:lang w:val="en-PH"/>
        </w:rPr>
        <w:t xml:space="preserve"> institutional goals. Factors such as </w:t>
      </w:r>
      <w:r w:rsidRPr="00372A1B">
        <w:rPr>
          <w:rFonts w:ascii="Arial" w:eastAsia="Times New Roman" w:hAnsi="Arial" w:cs="Arial"/>
          <w:bCs/>
          <w:lang w:val="en-PH"/>
        </w:rPr>
        <w:t>age-related experiences, roles within the university, and exposure to institutional communication</w:t>
      </w:r>
      <w:r w:rsidRPr="00372A1B">
        <w:rPr>
          <w:rFonts w:ascii="Arial" w:eastAsia="Times New Roman" w:hAnsi="Arial" w:cs="Arial"/>
          <w:lang w:val="en-PH"/>
        </w:rPr>
        <w:t xml:space="preserve"> likely contribute to this variation. As described in </w:t>
      </w:r>
      <w:r w:rsidRPr="00372A1B">
        <w:rPr>
          <w:rFonts w:ascii="Arial" w:eastAsia="Times New Roman" w:hAnsi="Arial" w:cs="Arial"/>
          <w:bCs/>
          <w:lang w:val="en-PH"/>
        </w:rPr>
        <w:t>Freeman’s Stakeholder Theory (1984)</w:t>
      </w:r>
      <w:r w:rsidRPr="00372A1B">
        <w:rPr>
          <w:rFonts w:ascii="Arial" w:eastAsia="Times New Roman" w:hAnsi="Arial" w:cs="Arial"/>
          <w:lang w:val="en-PH"/>
        </w:rPr>
        <w:t xml:space="preserve">, the level of awareness is often shaped by the degree to which stakeholders are engaged and connected with institutional processes. This result also aligns with </w:t>
      </w:r>
      <w:proofErr w:type="spellStart"/>
      <w:r w:rsidRPr="00372A1B">
        <w:rPr>
          <w:rFonts w:ascii="Arial" w:eastAsia="Times New Roman" w:hAnsi="Arial" w:cs="Arial"/>
          <w:bCs/>
          <w:lang w:val="en-PH"/>
        </w:rPr>
        <w:t>Almarghani</w:t>
      </w:r>
      <w:proofErr w:type="spellEnd"/>
      <w:r w:rsidRPr="00372A1B">
        <w:rPr>
          <w:rFonts w:ascii="Arial" w:eastAsia="Times New Roman" w:hAnsi="Arial" w:cs="Arial"/>
          <w:bCs/>
          <w:lang w:val="en-PH"/>
        </w:rPr>
        <w:t xml:space="preserve"> and </w:t>
      </w:r>
      <w:proofErr w:type="spellStart"/>
      <w:r w:rsidRPr="00372A1B">
        <w:rPr>
          <w:rFonts w:ascii="Arial" w:eastAsia="Times New Roman" w:hAnsi="Arial" w:cs="Arial"/>
          <w:bCs/>
          <w:lang w:val="en-PH"/>
        </w:rPr>
        <w:t>Mijatovic</w:t>
      </w:r>
      <w:proofErr w:type="spellEnd"/>
      <w:r w:rsidRPr="00372A1B">
        <w:rPr>
          <w:rFonts w:ascii="Arial" w:eastAsia="Times New Roman" w:hAnsi="Arial" w:cs="Arial"/>
          <w:bCs/>
          <w:lang w:val="en-PH"/>
        </w:rPr>
        <w:t xml:space="preserve"> (2017)</w:t>
      </w:r>
      <w:r w:rsidRPr="00372A1B">
        <w:rPr>
          <w:rFonts w:ascii="Arial" w:eastAsia="Times New Roman" w:hAnsi="Arial" w:cs="Arial"/>
          <w:lang w:val="en-PH"/>
        </w:rPr>
        <w:t xml:space="preserve">, who emphasized that </w:t>
      </w:r>
      <w:r w:rsidRPr="00372A1B">
        <w:rPr>
          <w:rFonts w:ascii="Arial" w:eastAsia="Times New Roman" w:hAnsi="Arial" w:cs="Arial"/>
          <w:bCs/>
          <w:lang w:val="en-PH"/>
        </w:rPr>
        <w:t>effective communication and stakeholder involvement</w:t>
      </w:r>
      <w:r w:rsidRPr="00372A1B">
        <w:rPr>
          <w:rFonts w:ascii="Arial" w:eastAsia="Times New Roman" w:hAnsi="Arial" w:cs="Arial"/>
          <w:lang w:val="en-PH"/>
        </w:rPr>
        <w:t xml:space="preserve"> are essential for raising awareness of institutional objectives.</w:t>
      </w:r>
    </w:p>
    <w:p w14:paraId="3C38A437" w14:textId="6159961F" w:rsidR="00372A1B" w:rsidRDefault="00372A1B" w:rsidP="00372A1B">
      <w:pPr>
        <w:ind w:firstLine="720"/>
        <w:jc w:val="both"/>
        <w:rPr>
          <w:rFonts w:ascii="Arial" w:hAnsi="Arial" w:cs="Arial"/>
          <w:bCs/>
        </w:rPr>
      </w:pPr>
      <w:r w:rsidRPr="00372A1B">
        <w:rPr>
          <w:rFonts w:ascii="Arial" w:hAnsi="Arial" w:cs="Arial"/>
          <w:lang w:val="en-PH"/>
        </w:rPr>
        <w:t>Table 1</w:t>
      </w:r>
      <w:r w:rsidR="00AC1665">
        <w:rPr>
          <w:rFonts w:ascii="Arial" w:hAnsi="Arial" w:cs="Arial"/>
          <w:lang w:val="en-PH"/>
        </w:rPr>
        <w:t>4</w:t>
      </w:r>
      <w:r w:rsidRPr="00372A1B">
        <w:rPr>
          <w:rFonts w:ascii="Arial" w:hAnsi="Arial" w:cs="Arial"/>
          <w:lang w:val="en-PH"/>
        </w:rPr>
        <w:t xml:space="preserve"> presents a detailed comparison indicating that the different age groups have significant differences in their level of awareness. It shows </w:t>
      </w:r>
      <w:r w:rsidRPr="00372A1B">
        <w:rPr>
          <w:rFonts w:ascii="Arial" w:hAnsi="Arial" w:cs="Arial"/>
          <w:bCs/>
        </w:rPr>
        <w:t xml:space="preserve">the post hoc analysis of the differences in awareness levels between specific age groups. A significant difference was found between stakeholders aged 41 to 50 years old and those aged 20 years old and below (p = 0.002), as well as between those aged 21 to 30 years old (p = 0.000). In both comparisons, the younger stakeholders demonstrated higher levels of awareness of </w:t>
      </w:r>
      <w:proofErr w:type="spellStart"/>
      <w:r w:rsidRPr="00372A1B">
        <w:rPr>
          <w:rFonts w:ascii="Arial" w:hAnsi="Arial" w:cs="Arial"/>
          <w:bCs/>
        </w:rPr>
        <w:t>DOrSU’s</w:t>
      </w:r>
      <w:proofErr w:type="spellEnd"/>
      <w:r w:rsidRPr="00372A1B">
        <w:rPr>
          <w:rFonts w:ascii="Arial" w:hAnsi="Arial" w:cs="Arial"/>
          <w:bCs/>
        </w:rPr>
        <w:t xml:space="preserve"> Vision, Mission, and Program Educational Objectives (VMPEO). No statistically significant differences were observed between the 41- to 50-year-old age group and those aged 31 to 40, 51 to 60, and 61 and above, indicating similar levels of awareness among these older age groups.</w:t>
      </w:r>
    </w:p>
    <w:p w14:paraId="235E1728" w14:textId="77777777" w:rsidR="00AC1665" w:rsidRPr="00372A1B" w:rsidRDefault="00AC1665" w:rsidP="00372A1B">
      <w:pPr>
        <w:ind w:firstLine="720"/>
        <w:jc w:val="both"/>
        <w:rPr>
          <w:rFonts w:ascii="Arial" w:hAnsi="Arial" w:cs="Arial"/>
          <w:bCs/>
        </w:rPr>
      </w:pPr>
    </w:p>
    <w:p w14:paraId="64009B09" w14:textId="2707BF69" w:rsidR="00372A1B" w:rsidRPr="00372A1B" w:rsidRDefault="00372A1B" w:rsidP="00372A1B">
      <w:pPr>
        <w:jc w:val="both"/>
        <w:rPr>
          <w:rFonts w:ascii="Arial" w:eastAsia="Times New Roman" w:hAnsi="Arial" w:cs="Arial"/>
          <w:lang w:val="en-PH"/>
        </w:rPr>
      </w:pPr>
      <w:r w:rsidRPr="00372A1B">
        <w:rPr>
          <w:rFonts w:ascii="Arial" w:hAnsi="Arial" w:cs="Arial"/>
          <w:lang w:val="en-PH"/>
        </w:rPr>
        <w:t>Table 1</w:t>
      </w:r>
      <w:r w:rsidR="00AC1665">
        <w:rPr>
          <w:rFonts w:ascii="Arial" w:hAnsi="Arial" w:cs="Arial"/>
          <w:lang w:val="en-PH"/>
        </w:rPr>
        <w:t>4</w:t>
      </w:r>
      <w:r w:rsidRPr="00372A1B">
        <w:rPr>
          <w:rFonts w:ascii="Arial" w:hAnsi="Arial" w:cs="Arial"/>
          <w:lang w:val="en-PH"/>
        </w:rPr>
        <w:t xml:space="preserve">: </w:t>
      </w:r>
      <w:r w:rsidRPr="00372A1B">
        <w:rPr>
          <w:rFonts w:ascii="Arial" w:hAnsi="Arial" w:cs="Arial"/>
        </w:rPr>
        <w:t>Detailed comparison of different age groups where significant difference in the level of awareness is found</w:t>
      </w:r>
    </w:p>
    <w:tbl>
      <w:tblPr>
        <w:tblW w:w="81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898"/>
        <w:gridCol w:w="1554"/>
        <w:gridCol w:w="968"/>
        <w:gridCol w:w="727"/>
        <w:gridCol w:w="622"/>
        <w:gridCol w:w="1017"/>
        <w:gridCol w:w="863"/>
        <w:gridCol w:w="1526"/>
      </w:tblGrid>
      <w:tr w:rsidR="00372A1B" w:rsidRPr="00AC1665" w14:paraId="3C28F0C8" w14:textId="77777777" w:rsidTr="00FA1462">
        <w:trPr>
          <w:cantSplit/>
          <w:trHeight w:val="276"/>
        </w:trPr>
        <w:tc>
          <w:tcPr>
            <w:tcW w:w="898" w:type="dxa"/>
            <w:vMerge w:val="restart"/>
            <w:tcBorders>
              <w:tl2br w:val="nil"/>
              <w:tr2bl w:val="nil"/>
            </w:tcBorders>
            <w:shd w:val="clear" w:color="auto" w:fill="FFFFFF"/>
          </w:tcPr>
          <w:p w14:paraId="064885EF" w14:textId="77777777" w:rsidR="00372A1B" w:rsidRPr="00AC1665" w:rsidRDefault="00372A1B" w:rsidP="00372A1B">
            <w:pPr>
              <w:ind w:left="60" w:right="60"/>
              <w:rPr>
                <w:rFonts w:ascii="Arial" w:hAnsi="Arial"/>
                <w:sz w:val="18"/>
                <w:szCs w:val="18"/>
              </w:rPr>
            </w:pPr>
            <w:r w:rsidRPr="00AC1665">
              <w:rPr>
                <w:rFonts w:ascii="Arial" w:hAnsi="Arial"/>
                <w:sz w:val="18"/>
                <w:szCs w:val="18"/>
              </w:rPr>
              <w:t>(I) Age</w:t>
            </w:r>
          </w:p>
        </w:tc>
        <w:tc>
          <w:tcPr>
            <w:tcW w:w="1554" w:type="dxa"/>
            <w:vMerge w:val="restart"/>
            <w:tcBorders>
              <w:tl2br w:val="nil"/>
              <w:tr2bl w:val="nil"/>
            </w:tcBorders>
            <w:shd w:val="clear" w:color="auto" w:fill="FFFFFF"/>
          </w:tcPr>
          <w:p w14:paraId="2746D740" w14:textId="77777777" w:rsidR="00372A1B" w:rsidRPr="00AC1665" w:rsidRDefault="00372A1B" w:rsidP="00372A1B">
            <w:pPr>
              <w:ind w:left="60" w:right="60"/>
              <w:rPr>
                <w:rFonts w:ascii="Arial" w:hAnsi="Arial"/>
                <w:sz w:val="18"/>
                <w:szCs w:val="18"/>
              </w:rPr>
            </w:pPr>
            <w:r w:rsidRPr="00AC1665">
              <w:rPr>
                <w:rFonts w:ascii="Arial" w:hAnsi="Arial"/>
                <w:sz w:val="18"/>
                <w:szCs w:val="18"/>
              </w:rPr>
              <w:t>(J) Age</w:t>
            </w:r>
          </w:p>
        </w:tc>
        <w:tc>
          <w:tcPr>
            <w:tcW w:w="968" w:type="dxa"/>
            <w:vMerge w:val="restart"/>
            <w:tcBorders>
              <w:tl2br w:val="nil"/>
              <w:tr2bl w:val="nil"/>
            </w:tcBorders>
            <w:shd w:val="clear" w:color="auto" w:fill="FFFFFF"/>
          </w:tcPr>
          <w:p w14:paraId="63BC7948"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727" w:type="dxa"/>
            <w:vMerge w:val="restart"/>
            <w:tcBorders>
              <w:tl2br w:val="nil"/>
              <w:tr2bl w:val="nil"/>
            </w:tcBorders>
            <w:shd w:val="clear" w:color="auto" w:fill="FFFFFF"/>
          </w:tcPr>
          <w:p w14:paraId="5085A07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2" w:type="dxa"/>
            <w:vMerge w:val="restart"/>
            <w:tcBorders>
              <w:tl2br w:val="nil"/>
              <w:tr2bl w:val="nil"/>
            </w:tcBorders>
            <w:shd w:val="clear" w:color="auto" w:fill="FFFFFF"/>
          </w:tcPr>
          <w:p w14:paraId="316AB36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80" w:type="dxa"/>
            <w:gridSpan w:val="2"/>
            <w:tcBorders>
              <w:tl2br w:val="nil"/>
              <w:tr2bl w:val="nil"/>
            </w:tcBorders>
            <w:shd w:val="clear" w:color="auto" w:fill="FFFFFF"/>
          </w:tcPr>
          <w:p w14:paraId="65704D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6" w:type="dxa"/>
            <w:vMerge w:val="restart"/>
            <w:tcBorders>
              <w:tl2br w:val="nil"/>
              <w:tr2bl w:val="nil"/>
            </w:tcBorders>
            <w:shd w:val="clear" w:color="auto" w:fill="FFFFFF"/>
            <w:vAlign w:val="center"/>
          </w:tcPr>
          <w:p w14:paraId="204CC4DC"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372A1B" w:rsidRPr="00AC1665" w14:paraId="1C11B1AB" w14:textId="77777777" w:rsidTr="00FA1462">
        <w:trPr>
          <w:cantSplit/>
          <w:trHeight w:val="393"/>
        </w:trPr>
        <w:tc>
          <w:tcPr>
            <w:tcW w:w="898" w:type="dxa"/>
            <w:vMerge/>
            <w:tcBorders>
              <w:bottom w:val="single" w:sz="4" w:space="0" w:color="auto"/>
              <w:tl2br w:val="nil"/>
              <w:tr2bl w:val="nil"/>
            </w:tcBorders>
            <w:shd w:val="clear" w:color="auto" w:fill="FFFFFF"/>
          </w:tcPr>
          <w:p w14:paraId="09A9FFBA" w14:textId="77777777" w:rsidR="00372A1B" w:rsidRPr="00AC1665" w:rsidRDefault="00372A1B" w:rsidP="00372A1B">
            <w:pPr>
              <w:rPr>
                <w:rFonts w:ascii="Arial" w:hAnsi="Arial"/>
                <w:sz w:val="18"/>
                <w:szCs w:val="18"/>
              </w:rPr>
            </w:pPr>
          </w:p>
        </w:tc>
        <w:tc>
          <w:tcPr>
            <w:tcW w:w="1554" w:type="dxa"/>
            <w:vMerge/>
            <w:tcBorders>
              <w:bottom w:val="single" w:sz="4" w:space="0" w:color="auto"/>
              <w:tl2br w:val="nil"/>
              <w:tr2bl w:val="nil"/>
            </w:tcBorders>
            <w:shd w:val="clear" w:color="auto" w:fill="FFFFFF"/>
          </w:tcPr>
          <w:p w14:paraId="59C43898" w14:textId="77777777" w:rsidR="00372A1B" w:rsidRPr="00AC1665" w:rsidRDefault="00372A1B" w:rsidP="00372A1B">
            <w:pPr>
              <w:rPr>
                <w:rFonts w:ascii="Arial" w:hAnsi="Arial"/>
                <w:sz w:val="18"/>
                <w:szCs w:val="18"/>
              </w:rPr>
            </w:pPr>
          </w:p>
        </w:tc>
        <w:tc>
          <w:tcPr>
            <w:tcW w:w="968" w:type="dxa"/>
            <w:vMerge/>
            <w:tcBorders>
              <w:bottom w:val="single" w:sz="4" w:space="0" w:color="auto"/>
              <w:tl2br w:val="nil"/>
              <w:tr2bl w:val="nil"/>
            </w:tcBorders>
            <w:shd w:val="clear" w:color="auto" w:fill="FFFFFF"/>
          </w:tcPr>
          <w:p w14:paraId="57BBF7A2" w14:textId="77777777" w:rsidR="00372A1B" w:rsidRPr="00AC1665" w:rsidRDefault="00372A1B" w:rsidP="00372A1B">
            <w:pPr>
              <w:rPr>
                <w:rFonts w:ascii="Arial" w:hAnsi="Arial"/>
                <w:sz w:val="18"/>
                <w:szCs w:val="18"/>
              </w:rPr>
            </w:pPr>
          </w:p>
        </w:tc>
        <w:tc>
          <w:tcPr>
            <w:tcW w:w="727" w:type="dxa"/>
            <w:vMerge/>
            <w:tcBorders>
              <w:bottom w:val="single" w:sz="4" w:space="0" w:color="auto"/>
              <w:tl2br w:val="nil"/>
              <w:tr2bl w:val="nil"/>
            </w:tcBorders>
            <w:shd w:val="clear" w:color="auto" w:fill="FFFFFF"/>
          </w:tcPr>
          <w:p w14:paraId="6117E894" w14:textId="77777777" w:rsidR="00372A1B" w:rsidRPr="00AC1665" w:rsidRDefault="00372A1B" w:rsidP="00372A1B">
            <w:pPr>
              <w:rPr>
                <w:rFonts w:ascii="Arial" w:hAnsi="Arial"/>
                <w:sz w:val="18"/>
                <w:szCs w:val="18"/>
              </w:rPr>
            </w:pPr>
          </w:p>
        </w:tc>
        <w:tc>
          <w:tcPr>
            <w:tcW w:w="622" w:type="dxa"/>
            <w:vMerge/>
            <w:tcBorders>
              <w:bottom w:val="single" w:sz="4" w:space="0" w:color="auto"/>
              <w:tl2br w:val="nil"/>
              <w:tr2bl w:val="nil"/>
            </w:tcBorders>
            <w:shd w:val="clear" w:color="auto" w:fill="FFFFFF"/>
          </w:tcPr>
          <w:p w14:paraId="6D4250BA" w14:textId="77777777" w:rsidR="00372A1B" w:rsidRPr="00AC1665" w:rsidRDefault="00372A1B" w:rsidP="00372A1B">
            <w:pPr>
              <w:rPr>
                <w:rFonts w:ascii="Arial" w:hAnsi="Arial"/>
                <w:sz w:val="18"/>
                <w:szCs w:val="18"/>
              </w:rPr>
            </w:pPr>
          </w:p>
        </w:tc>
        <w:tc>
          <w:tcPr>
            <w:tcW w:w="1017" w:type="dxa"/>
            <w:tcBorders>
              <w:bottom w:val="single" w:sz="4" w:space="0" w:color="auto"/>
              <w:tl2br w:val="nil"/>
              <w:tr2bl w:val="nil"/>
            </w:tcBorders>
            <w:shd w:val="clear" w:color="auto" w:fill="FFFFFF"/>
          </w:tcPr>
          <w:p w14:paraId="241FDD0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3" w:type="dxa"/>
            <w:tcBorders>
              <w:bottom w:val="single" w:sz="4" w:space="0" w:color="auto"/>
              <w:tl2br w:val="nil"/>
              <w:tr2bl w:val="nil"/>
            </w:tcBorders>
            <w:shd w:val="clear" w:color="auto" w:fill="FFFFFF"/>
          </w:tcPr>
          <w:p w14:paraId="756FB10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6" w:type="dxa"/>
            <w:vMerge/>
            <w:tcBorders>
              <w:bottom w:val="single" w:sz="4" w:space="0" w:color="auto"/>
              <w:tl2br w:val="nil"/>
              <w:tr2bl w:val="nil"/>
            </w:tcBorders>
            <w:shd w:val="clear" w:color="auto" w:fill="FFFFFF"/>
          </w:tcPr>
          <w:p w14:paraId="58E6748A" w14:textId="77777777" w:rsidR="00372A1B" w:rsidRPr="00AC1665" w:rsidRDefault="00372A1B" w:rsidP="00372A1B">
            <w:pPr>
              <w:ind w:left="60" w:right="60"/>
              <w:jc w:val="center"/>
              <w:rPr>
                <w:rFonts w:ascii="Arial" w:hAnsi="Arial"/>
                <w:sz w:val="18"/>
                <w:szCs w:val="18"/>
              </w:rPr>
            </w:pPr>
          </w:p>
        </w:tc>
      </w:tr>
      <w:tr w:rsidR="00372A1B" w:rsidRPr="00AC1665" w14:paraId="53EFE9BF" w14:textId="77777777" w:rsidTr="00FA1462">
        <w:trPr>
          <w:cantSplit/>
          <w:trHeight w:val="410"/>
        </w:trPr>
        <w:tc>
          <w:tcPr>
            <w:tcW w:w="898" w:type="dxa"/>
            <w:vMerge w:val="restart"/>
            <w:tcBorders>
              <w:top w:val="single" w:sz="4" w:space="0" w:color="auto"/>
              <w:tl2br w:val="nil"/>
              <w:tr2bl w:val="nil"/>
            </w:tcBorders>
            <w:shd w:val="clear" w:color="auto" w:fill="FFFFFF"/>
            <w:vAlign w:val="center"/>
          </w:tcPr>
          <w:p w14:paraId="6DD9B74C" w14:textId="77777777" w:rsidR="00372A1B" w:rsidRPr="00AC1665" w:rsidRDefault="00372A1B" w:rsidP="00372A1B">
            <w:pPr>
              <w:ind w:left="60" w:right="60"/>
              <w:rPr>
                <w:rFonts w:ascii="Arial" w:hAnsi="Arial"/>
                <w:sz w:val="18"/>
                <w:szCs w:val="18"/>
              </w:rPr>
            </w:pPr>
            <w:r w:rsidRPr="00AC1665">
              <w:rPr>
                <w:rFonts w:ascii="Arial" w:hAnsi="Arial"/>
                <w:sz w:val="18"/>
                <w:szCs w:val="18"/>
              </w:rPr>
              <w:t>41 to 50 years old</w:t>
            </w:r>
          </w:p>
        </w:tc>
        <w:tc>
          <w:tcPr>
            <w:tcW w:w="1554" w:type="dxa"/>
            <w:tcBorders>
              <w:top w:val="single" w:sz="4" w:space="0" w:color="auto"/>
              <w:bottom w:val="single" w:sz="4" w:space="0" w:color="auto"/>
              <w:tl2br w:val="nil"/>
              <w:tr2bl w:val="nil"/>
            </w:tcBorders>
            <w:shd w:val="clear" w:color="auto" w:fill="FFFFFF"/>
            <w:vAlign w:val="center"/>
          </w:tcPr>
          <w:p w14:paraId="5459D811" w14:textId="77777777" w:rsidR="00372A1B" w:rsidRPr="00AC1665" w:rsidRDefault="00372A1B" w:rsidP="00372A1B">
            <w:pPr>
              <w:ind w:left="60" w:right="60"/>
              <w:rPr>
                <w:rFonts w:ascii="Arial" w:hAnsi="Arial"/>
                <w:sz w:val="18"/>
                <w:szCs w:val="18"/>
              </w:rPr>
            </w:pPr>
            <w:r w:rsidRPr="00AC1665">
              <w:rPr>
                <w:rFonts w:ascii="Arial" w:hAnsi="Arial"/>
                <w:sz w:val="18"/>
                <w:szCs w:val="18"/>
              </w:rPr>
              <w:t>20 years old and below</w:t>
            </w:r>
          </w:p>
        </w:tc>
        <w:tc>
          <w:tcPr>
            <w:tcW w:w="968" w:type="dxa"/>
            <w:tcBorders>
              <w:top w:val="single" w:sz="4" w:space="0" w:color="auto"/>
              <w:bottom w:val="single" w:sz="4" w:space="0" w:color="auto"/>
              <w:tl2br w:val="nil"/>
              <w:tr2bl w:val="nil"/>
            </w:tcBorders>
            <w:shd w:val="clear" w:color="auto" w:fill="FFFFFF"/>
            <w:vAlign w:val="center"/>
          </w:tcPr>
          <w:p w14:paraId="15C2EEF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-.33923</w:t>
            </w:r>
            <w:r w:rsidRPr="00AC1665">
              <w:rPr>
                <w:rFonts w:ascii="Arial" w:hAnsi="Arial"/>
                <w:sz w:val="18"/>
                <w:szCs w:val="18"/>
                <w:vertAlign w:val="superscript"/>
              </w:rPr>
              <w:t>*</w:t>
            </w:r>
          </w:p>
        </w:tc>
        <w:tc>
          <w:tcPr>
            <w:tcW w:w="727" w:type="dxa"/>
            <w:tcBorders>
              <w:top w:val="single" w:sz="4" w:space="0" w:color="auto"/>
              <w:bottom w:val="single" w:sz="4" w:space="0" w:color="auto"/>
              <w:tl2br w:val="nil"/>
              <w:tr2bl w:val="nil"/>
            </w:tcBorders>
            <w:shd w:val="clear" w:color="auto" w:fill="FFFFFF"/>
            <w:vAlign w:val="center"/>
          </w:tcPr>
          <w:p w14:paraId="7255B3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.08853</w:t>
            </w:r>
          </w:p>
        </w:tc>
        <w:tc>
          <w:tcPr>
            <w:tcW w:w="622" w:type="dxa"/>
            <w:tcBorders>
              <w:top w:val="single" w:sz="4" w:space="0" w:color="auto"/>
              <w:bottom w:val="single" w:sz="4" w:space="0" w:color="auto"/>
              <w:tl2br w:val="nil"/>
              <w:tr2bl w:val="nil"/>
            </w:tcBorders>
            <w:shd w:val="clear" w:color="auto" w:fill="FFFFFF"/>
            <w:vAlign w:val="center"/>
          </w:tcPr>
          <w:p w14:paraId="5CE34D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w:t>
            </w:r>
          </w:p>
        </w:tc>
        <w:tc>
          <w:tcPr>
            <w:tcW w:w="1017" w:type="dxa"/>
            <w:tcBorders>
              <w:top w:val="single" w:sz="4" w:space="0" w:color="auto"/>
              <w:bottom w:val="single" w:sz="4" w:space="0" w:color="auto"/>
              <w:tl2br w:val="nil"/>
              <w:tr2bl w:val="nil"/>
            </w:tcBorders>
            <w:shd w:val="clear" w:color="auto" w:fill="FFFFFF"/>
            <w:vAlign w:val="center"/>
          </w:tcPr>
          <w:p w14:paraId="17197F9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-.5932</w:t>
            </w:r>
          </w:p>
        </w:tc>
        <w:tc>
          <w:tcPr>
            <w:tcW w:w="863" w:type="dxa"/>
            <w:tcBorders>
              <w:top w:val="single" w:sz="4" w:space="0" w:color="auto"/>
              <w:bottom w:val="single" w:sz="4" w:space="0" w:color="auto"/>
              <w:tl2br w:val="nil"/>
              <w:tr2bl w:val="nil"/>
            </w:tcBorders>
            <w:shd w:val="clear" w:color="auto" w:fill="FFFFFF"/>
            <w:vAlign w:val="center"/>
          </w:tcPr>
          <w:p w14:paraId="48402D3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-.0853</w:t>
            </w:r>
          </w:p>
        </w:tc>
        <w:tc>
          <w:tcPr>
            <w:tcW w:w="1526" w:type="dxa"/>
            <w:tcBorders>
              <w:top w:val="single" w:sz="4" w:space="0" w:color="auto"/>
              <w:bottom w:val="single" w:sz="4" w:space="0" w:color="auto"/>
              <w:tl2br w:val="nil"/>
              <w:tr2bl w:val="nil"/>
            </w:tcBorders>
            <w:shd w:val="clear" w:color="auto" w:fill="FFFFFF"/>
            <w:vAlign w:val="center"/>
          </w:tcPr>
          <w:p w14:paraId="6113E97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7BFE57A7" w14:textId="77777777" w:rsidTr="00FA1462">
        <w:trPr>
          <w:cantSplit/>
          <w:trHeight w:val="245"/>
        </w:trPr>
        <w:tc>
          <w:tcPr>
            <w:tcW w:w="898" w:type="dxa"/>
            <w:vMerge/>
            <w:tcBorders>
              <w:tl2br w:val="nil"/>
              <w:tr2bl w:val="nil"/>
            </w:tcBorders>
            <w:shd w:val="clear" w:color="auto" w:fill="FFFFFF"/>
            <w:vAlign w:val="center"/>
          </w:tcPr>
          <w:p w14:paraId="35E71FBA" w14:textId="77777777" w:rsidR="00372A1B" w:rsidRPr="00AC1665" w:rsidRDefault="00372A1B" w:rsidP="00372A1B">
            <w:pPr>
              <w:rPr>
                <w:rFonts w:ascii="Arial" w:hAnsi="Arial"/>
                <w:sz w:val="18"/>
                <w:szCs w:val="18"/>
              </w:rPr>
            </w:pPr>
          </w:p>
        </w:tc>
        <w:tc>
          <w:tcPr>
            <w:tcW w:w="1554" w:type="dxa"/>
            <w:tcBorders>
              <w:top w:val="single" w:sz="4" w:space="0" w:color="auto"/>
              <w:bottom w:val="single" w:sz="4" w:space="0" w:color="auto"/>
              <w:tl2br w:val="nil"/>
              <w:tr2bl w:val="nil"/>
            </w:tcBorders>
            <w:shd w:val="clear" w:color="auto" w:fill="FFFFFF"/>
            <w:vAlign w:val="center"/>
          </w:tcPr>
          <w:p w14:paraId="7EB8E627" w14:textId="77777777" w:rsidR="00372A1B" w:rsidRPr="00AC1665" w:rsidRDefault="00372A1B" w:rsidP="00372A1B">
            <w:pPr>
              <w:ind w:left="60" w:right="60"/>
              <w:rPr>
                <w:rFonts w:ascii="Arial" w:hAnsi="Arial"/>
                <w:sz w:val="18"/>
                <w:szCs w:val="18"/>
              </w:rPr>
            </w:pPr>
            <w:r w:rsidRPr="00AC1665">
              <w:rPr>
                <w:rFonts w:ascii="Arial" w:hAnsi="Arial"/>
                <w:sz w:val="18"/>
                <w:szCs w:val="18"/>
              </w:rPr>
              <w:t>21 to 30 years old</w:t>
            </w:r>
          </w:p>
        </w:tc>
        <w:tc>
          <w:tcPr>
            <w:tcW w:w="968" w:type="dxa"/>
            <w:tcBorders>
              <w:top w:val="single" w:sz="4" w:space="0" w:color="auto"/>
              <w:bottom w:val="single" w:sz="4" w:space="0" w:color="auto"/>
              <w:tl2br w:val="nil"/>
              <w:tr2bl w:val="nil"/>
            </w:tcBorders>
            <w:shd w:val="clear" w:color="auto" w:fill="FFFFFF"/>
            <w:vAlign w:val="center"/>
          </w:tcPr>
          <w:p w14:paraId="166260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-.32406</w:t>
            </w:r>
            <w:r w:rsidRPr="00AC1665">
              <w:rPr>
                <w:rFonts w:ascii="Arial" w:hAnsi="Arial"/>
                <w:sz w:val="18"/>
                <w:szCs w:val="18"/>
                <w:vertAlign w:val="superscript"/>
              </w:rPr>
              <w:t>*</w:t>
            </w:r>
          </w:p>
        </w:tc>
        <w:tc>
          <w:tcPr>
            <w:tcW w:w="727" w:type="dxa"/>
            <w:tcBorders>
              <w:top w:val="single" w:sz="4" w:space="0" w:color="auto"/>
              <w:bottom w:val="single" w:sz="4" w:space="0" w:color="auto"/>
              <w:tl2br w:val="nil"/>
              <w:tr2bl w:val="nil"/>
            </w:tcBorders>
            <w:shd w:val="clear" w:color="auto" w:fill="FFFFFF"/>
            <w:vAlign w:val="center"/>
          </w:tcPr>
          <w:p w14:paraId="571266D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.07114</w:t>
            </w:r>
          </w:p>
        </w:tc>
        <w:tc>
          <w:tcPr>
            <w:tcW w:w="622" w:type="dxa"/>
            <w:tcBorders>
              <w:top w:val="single" w:sz="4" w:space="0" w:color="auto"/>
              <w:bottom w:val="single" w:sz="4" w:space="0" w:color="auto"/>
              <w:tl2br w:val="nil"/>
              <w:tr2bl w:val="nil"/>
            </w:tcBorders>
            <w:shd w:val="clear" w:color="auto" w:fill="FFFFFF"/>
            <w:vAlign w:val="center"/>
          </w:tcPr>
          <w:p w14:paraId="7801054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.000</w:t>
            </w:r>
          </w:p>
        </w:tc>
        <w:tc>
          <w:tcPr>
            <w:tcW w:w="1017" w:type="dxa"/>
            <w:tcBorders>
              <w:top w:val="single" w:sz="4" w:space="0" w:color="auto"/>
              <w:bottom w:val="single" w:sz="4" w:space="0" w:color="auto"/>
              <w:tl2br w:val="nil"/>
              <w:tr2bl w:val="nil"/>
            </w:tcBorders>
            <w:shd w:val="clear" w:color="auto" w:fill="FFFFFF"/>
            <w:vAlign w:val="center"/>
          </w:tcPr>
          <w:p w14:paraId="5A352CB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-.5281</w:t>
            </w:r>
          </w:p>
        </w:tc>
        <w:tc>
          <w:tcPr>
            <w:tcW w:w="863" w:type="dxa"/>
            <w:tcBorders>
              <w:top w:val="single" w:sz="4" w:space="0" w:color="auto"/>
              <w:bottom w:val="single" w:sz="4" w:space="0" w:color="auto"/>
              <w:tl2br w:val="nil"/>
              <w:tr2bl w:val="nil"/>
            </w:tcBorders>
            <w:shd w:val="clear" w:color="auto" w:fill="FFFFFF"/>
            <w:vAlign w:val="center"/>
          </w:tcPr>
          <w:p w14:paraId="45016F4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-.1200</w:t>
            </w:r>
          </w:p>
        </w:tc>
        <w:tc>
          <w:tcPr>
            <w:tcW w:w="1526" w:type="dxa"/>
            <w:tcBorders>
              <w:top w:val="single" w:sz="4" w:space="0" w:color="auto"/>
              <w:bottom w:val="single" w:sz="4" w:space="0" w:color="auto"/>
              <w:tl2br w:val="nil"/>
              <w:tr2bl w:val="nil"/>
            </w:tcBorders>
            <w:shd w:val="clear" w:color="auto" w:fill="FFFFFF"/>
            <w:vAlign w:val="center"/>
          </w:tcPr>
          <w:p w14:paraId="6316C7D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6CC6B54E" w14:textId="77777777" w:rsidTr="00FA1462">
        <w:trPr>
          <w:cantSplit/>
          <w:trHeight w:val="245"/>
        </w:trPr>
        <w:tc>
          <w:tcPr>
            <w:tcW w:w="898" w:type="dxa"/>
            <w:vMerge/>
            <w:tcBorders>
              <w:tl2br w:val="nil"/>
              <w:tr2bl w:val="nil"/>
            </w:tcBorders>
            <w:shd w:val="clear" w:color="auto" w:fill="FFFFFF"/>
            <w:vAlign w:val="center"/>
          </w:tcPr>
          <w:p w14:paraId="677590DC" w14:textId="77777777" w:rsidR="00372A1B" w:rsidRPr="00AC1665" w:rsidRDefault="00372A1B" w:rsidP="00372A1B">
            <w:pPr>
              <w:rPr>
                <w:rFonts w:ascii="Arial" w:hAnsi="Arial"/>
                <w:sz w:val="18"/>
                <w:szCs w:val="18"/>
              </w:rPr>
            </w:pPr>
          </w:p>
        </w:tc>
        <w:tc>
          <w:tcPr>
            <w:tcW w:w="1554" w:type="dxa"/>
            <w:tcBorders>
              <w:top w:val="single" w:sz="4" w:space="0" w:color="auto"/>
              <w:tl2br w:val="nil"/>
              <w:tr2bl w:val="nil"/>
            </w:tcBorders>
            <w:shd w:val="clear" w:color="auto" w:fill="FFFFFF"/>
            <w:vAlign w:val="center"/>
          </w:tcPr>
          <w:p w14:paraId="2443370B" w14:textId="77777777" w:rsidR="00372A1B" w:rsidRPr="00AC1665" w:rsidRDefault="00372A1B" w:rsidP="00372A1B">
            <w:pPr>
              <w:ind w:left="60" w:right="60"/>
              <w:rPr>
                <w:rFonts w:ascii="Arial" w:hAnsi="Arial"/>
                <w:sz w:val="18"/>
                <w:szCs w:val="18"/>
              </w:rPr>
            </w:pPr>
            <w:r w:rsidRPr="00AC1665">
              <w:rPr>
                <w:rFonts w:ascii="Arial" w:hAnsi="Arial"/>
                <w:sz w:val="18"/>
                <w:szCs w:val="18"/>
              </w:rPr>
              <w:t>31 to 40 years old</w:t>
            </w:r>
          </w:p>
        </w:tc>
        <w:tc>
          <w:tcPr>
            <w:tcW w:w="968" w:type="dxa"/>
            <w:tcBorders>
              <w:top w:val="single" w:sz="4" w:space="0" w:color="auto"/>
              <w:tl2br w:val="nil"/>
              <w:tr2bl w:val="nil"/>
            </w:tcBorders>
            <w:shd w:val="clear" w:color="auto" w:fill="FFFFFF"/>
            <w:vAlign w:val="center"/>
          </w:tcPr>
          <w:p w14:paraId="41A362C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-.17155</w:t>
            </w:r>
          </w:p>
        </w:tc>
        <w:tc>
          <w:tcPr>
            <w:tcW w:w="727" w:type="dxa"/>
            <w:tcBorders>
              <w:top w:val="single" w:sz="4" w:space="0" w:color="auto"/>
              <w:tl2br w:val="nil"/>
              <w:tr2bl w:val="nil"/>
            </w:tcBorders>
            <w:shd w:val="clear" w:color="auto" w:fill="FFFFFF"/>
            <w:vAlign w:val="center"/>
          </w:tcPr>
          <w:p w14:paraId="34117EE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.08269</w:t>
            </w:r>
          </w:p>
        </w:tc>
        <w:tc>
          <w:tcPr>
            <w:tcW w:w="622" w:type="dxa"/>
            <w:tcBorders>
              <w:top w:val="single" w:sz="4" w:space="0" w:color="auto"/>
              <w:tl2br w:val="nil"/>
              <w:tr2bl w:val="nil"/>
            </w:tcBorders>
            <w:shd w:val="clear" w:color="auto" w:fill="FFFFFF"/>
            <w:vAlign w:val="center"/>
          </w:tcPr>
          <w:p w14:paraId="1E3F35F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.303</w:t>
            </w:r>
          </w:p>
        </w:tc>
        <w:tc>
          <w:tcPr>
            <w:tcW w:w="1017" w:type="dxa"/>
            <w:tcBorders>
              <w:top w:val="single" w:sz="4" w:space="0" w:color="auto"/>
              <w:tl2br w:val="nil"/>
              <w:tr2bl w:val="nil"/>
            </w:tcBorders>
            <w:shd w:val="clear" w:color="auto" w:fill="FFFFFF"/>
            <w:vAlign w:val="center"/>
          </w:tcPr>
          <w:p w14:paraId="7A0740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-.4088</w:t>
            </w:r>
          </w:p>
        </w:tc>
        <w:tc>
          <w:tcPr>
            <w:tcW w:w="863" w:type="dxa"/>
            <w:tcBorders>
              <w:top w:val="single" w:sz="4" w:space="0" w:color="auto"/>
              <w:tl2br w:val="nil"/>
              <w:tr2bl w:val="nil"/>
            </w:tcBorders>
            <w:shd w:val="clear" w:color="auto" w:fill="FFFFFF"/>
            <w:vAlign w:val="center"/>
          </w:tcPr>
          <w:p w14:paraId="0349A3F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.0656</w:t>
            </w:r>
          </w:p>
        </w:tc>
        <w:tc>
          <w:tcPr>
            <w:tcW w:w="1526" w:type="dxa"/>
            <w:tcBorders>
              <w:top w:val="single" w:sz="4" w:space="0" w:color="auto"/>
              <w:tl2br w:val="nil"/>
              <w:tr2bl w:val="nil"/>
            </w:tcBorders>
            <w:shd w:val="clear" w:color="auto" w:fill="FFFFFF"/>
            <w:vAlign w:val="center"/>
          </w:tcPr>
          <w:p w14:paraId="3B23F0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0CF99DC2" w14:textId="77777777" w:rsidTr="00FA1462">
        <w:trPr>
          <w:cantSplit/>
          <w:trHeight w:val="245"/>
        </w:trPr>
        <w:tc>
          <w:tcPr>
            <w:tcW w:w="898" w:type="dxa"/>
            <w:vMerge/>
            <w:tcBorders>
              <w:tl2br w:val="nil"/>
              <w:tr2bl w:val="nil"/>
            </w:tcBorders>
            <w:shd w:val="clear" w:color="auto" w:fill="FFFFFF"/>
            <w:vAlign w:val="center"/>
          </w:tcPr>
          <w:p w14:paraId="1E26616E" w14:textId="77777777" w:rsidR="00372A1B" w:rsidRPr="00AC1665" w:rsidRDefault="00372A1B" w:rsidP="00372A1B">
            <w:pPr>
              <w:rPr>
                <w:rFonts w:ascii="Arial" w:hAnsi="Arial"/>
                <w:sz w:val="18"/>
                <w:szCs w:val="18"/>
              </w:rPr>
            </w:pPr>
          </w:p>
        </w:tc>
        <w:tc>
          <w:tcPr>
            <w:tcW w:w="1554" w:type="dxa"/>
            <w:tcBorders>
              <w:bottom w:val="single" w:sz="4" w:space="0" w:color="auto"/>
              <w:tl2br w:val="nil"/>
              <w:tr2bl w:val="nil"/>
            </w:tcBorders>
            <w:shd w:val="clear" w:color="auto" w:fill="FFFFFF"/>
            <w:vAlign w:val="center"/>
          </w:tcPr>
          <w:p w14:paraId="4174889C" w14:textId="77777777" w:rsidR="00372A1B" w:rsidRPr="00AC1665" w:rsidRDefault="00372A1B" w:rsidP="00372A1B">
            <w:pPr>
              <w:ind w:left="60" w:right="60"/>
              <w:rPr>
                <w:rFonts w:ascii="Arial" w:hAnsi="Arial"/>
                <w:sz w:val="18"/>
                <w:szCs w:val="18"/>
              </w:rPr>
            </w:pPr>
            <w:r w:rsidRPr="00AC1665">
              <w:rPr>
                <w:rFonts w:ascii="Arial" w:hAnsi="Arial"/>
                <w:sz w:val="18"/>
                <w:szCs w:val="18"/>
              </w:rPr>
              <w:t>51 to 60 years old</w:t>
            </w:r>
          </w:p>
        </w:tc>
        <w:tc>
          <w:tcPr>
            <w:tcW w:w="968" w:type="dxa"/>
            <w:tcBorders>
              <w:bottom w:val="single" w:sz="4" w:space="0" w:color="auto"/>
              <w:tl2br w:val="nil"/>
              <w:tr2bl w:val="nil"/>
            </w:tcBorders>
            <w:shd w:val="clear" w:color="auto" w:fill="FFFFFF"/>
            <w:vAlign w:val="center"/>
          </w:tcPr>
          <w:p w14:paraId="2EA9A5B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-.17705</w:t>
            </w:r>
          </w:p>
        </w:tc>
        <w:tc>
          <w:tcPr>
            <w:tcW w:w="727" w:type="dxa"/>
            <w:tcBorders>
              <w:bottom w:val="single" w:sz="4" w:space="0" w:color="auto"/>
              <w:tl2br w:val="nil"/>
              <w:tr2bl w:val="nil"/>
            </w:tcBorders>
            <w:shd w:val="clear" w:color="auto" w:fill="FFFFFF"/>
            <w:vAlign w:val="center"/>
          </w:tcPr>
          <w:p w14:paraId="3D47E7B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.08717</w:t>
            </w:r>
          </w:p>
        </w:tc>
        <w:tc>
          <w:tcPr>
            <w:tcW w:w="622" w:type="dxa"/>
            <w:tcBorders>
              <w:bottom w:val="single" w:sz="4" w:space="0" w:color="auto"/>
              <w:tl2br w:val="nil"/>
              <w:tr2bl w:val="nil"/>
            </w:tcBorders>
            <w:shd w:val="clear" w:color="auto" w:fill="FFFFFF"/>
            <w:vAlign w:val="center"/>
          </w:tcPr>
          <w:p w14:paraId="0A90A60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.327</w:t>
            </w:r>
          </w:p>
        </w:tc>
        <w:tc>
          <w:tcPr>
            <w:tcW w:w="1017" w:type="dxa"/>
            <w:tcBorders>
              <w:bottom w:val="single" w:sz="4" w:space="0" w:color="auto"/>
              <w:tl2br w:val="nil"/>
              <w:tr2bl w:val="nil"/>
            </w:tcBorders>
            <w:shd w:val="clear" w:color="auto" w:fill="FFFFFF"/>
            <w:vAlign w:val="center"/>
          </w:tcPr>
          <w:p w14:paraId="6A3E38E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-.4271</w:t>
            </w:r>
          </w:p>
        </w:tc>
        <w:tc>
          <w:tcPr>
            <w:tcW w:w="863" w:type="dxa"/>
            <w:tcBorders>
              <w:bottom w:val="single" w:sz="4" w:space="0" w:color="auto"/>
              <w:tl2br w:val="nil"/>
              <w:tr2bl w:val="nil"/>
            </w:tcBorders>
            <w:shd w:val="clear" w:color="auto" w:fill="FFFFFF"/>
            <w:vAlign w:val="center"/>
          </w:tcPr>
          <w:p w14:paraId="7018DD8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.0730</w:t>
            </w:r>
          </w:p>
        </w:tc>
        <w:tc>
          <w:tcPr>
            <w:tcW w:w="1526" w:type="dxa"/>
            <w:tcBorders>
              <w:bottom w:val="single" w:sz="4" w:space="0" w:color="auto"/>
              <w:tl2br w:val="nil"/>
              <w:tr2bl w:val="nil"/>
            </w:tcBorders>
            <w:shd w:val="clear" w:color="auto" w:fill="FFFFFF"/>
            <w:vAlign w:val="center"/>
          </w:tcPr>
          <w:p w14:paraId="04F6D94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1B3CBA24" w14:textId="77777777" w:rsidTr="00FA1462">
        <w:trPr>
          <w:cantSplit/>
          <w:trHeight w:val="245"/>
        </w:trPr>
        <w:tc>
          <w:tcPr>
            <w:tcW w:w="898" w:type="dxa"/>
            <w:vMerge/>
            <w:tcBorders>
              <w:tl2br w:val="nil"/>
              <w:tr2bl w:val="nil"/>
            </w:tcBorders>
            <w:shd w:val="clear" w:color="auto" w:fill="FFFFFF"/>
            <w:vAlign w:val="center"/>
          </w:tcPr>
          <w:p w14:paraId="5F25DAB7" w14:textId="77777777" w:rsidR="00372A1B" w:rsidRPr="00AC1665" w:rsidRDefault="00372A1B" w:rsidP="00372A1B">
            <w:pPr>
              <w:rPr>
                <w:rFonts w:ascii="Arial" w:hAnsi="Arial"/>
                <w:sz w:val="18"/>
                <w:szCs w:val="18"/>
              </w:rPr>
            </w:pPr>
          </w:p>
        </w:tc>
        <w:tc>
          <w:tcPr>
            <w:tcW w:w="1554" w:type="dxa"/>
            <w:tcBorders>
              <w:top w:val="single" w:sz="4" w:space="0" w:color="auto"/>
              <w:bottom w:val="single" w:sz="4" w:space="0" w:color="auto"/>
              <w:tl2br w:val="nil"/>
              <w:tr2bl w:val="nil"/>
            </w:tcBorders>
            <w:shd w:val="clear" w:color="auto" w:fill="FFFFFF"/>
            <w:vAlign w:val="center"/>
          </w:tcPr>
          <w:p w14:paraId="4A448402" w14:textId="77777777" w:rsidR="00372A1B" w:rsidRPr="00AC1665" w:rsidRDefault="00372A1B" w:rsidP="00372A1B">
            <w:pPr>
              <w:ind w:left="60" w:right="60"/>
              <w:rPr>
                <w:rFonts w:ascii="Arial" w:hAnsi="Arial"/>
                <w:sz w:val="18"/>
                <w:szCs w:val="18"/>
              </w:rPr>
            </w:pPr>
            <w:r w:rsidRPr="00AC1665">
              <w:rPr>
                <w:rFonts w:ascii="Arial" w:hAnsi="Arial"/>
                <w:sz w:val="18"/>
                <w:szCs w:val="18"/>
              </w:rPr>
              <w:t>61 years old and above</w:t>
            </w:r>
          </w:p>
        </w:tc>
        <w:tc>
          <w:tcPr>
            <w:tcW w:w="968" w:type="dxa"/>
            <w:tcBorders>
              <w:top w:val="single" w:sz="4" w:space="0" w:color="auto"/>
              <w:bottom w:val="single" w:sz="4" w:space="0" w:color="auto"/>
              <w:tl2br w:val="nil"/>
              <w:tr2bl w:val="nil"/>
            </w:tcBorders>
            <w:shd w:val="clear" w:color="auto" w:fill="FFFFFF"/>
            <w:vAlign w:val="center"/>
          </w:tcPr>
          <w:p w14:paraId="41891F4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-.00862</w:t>
            </w:r>
          </w:p>
        </w:tc>
        <w:tc>
          <w:tcPr>
            <w:tcW w:w="727" w:type="dxa"/>
            <w:tcBorders>
              <w:top w:val="single" w:sz="4" w:space="0" w:color="auto"/>
              <w:bottom w:val="single" w:sz="4" w:space="0" w:color="auto"/>
              <w:tl2br w:val="nil"/>
              <w:tr2bl w:val="nil"/>
            </w:tcBorders>
            <w:shd w:val="clear" w:color="auto" w:fill="FFFFFF"/>
            <w:vAlign w:val="center"/>
          </w:tcPr>
          <w:p w14:paraId="448216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.12519</w:t>
            </w:r>
          </w:p>
        </w:tc>
        <w:tc>
          <w:tcPr>
            <w:tcW w:w="622" w:type="dxa"/>
            <w:tcBorders>
              <w:top w:val="single" w:sz="4" w:space="0" w:color="auto"/>
              <w:bottom w:val="single" w:sz="4" w:space="0" w:color="auto"/>
              <w:tl2br w:val="nil"/>
              <w:tr2bl w:val="nil"/>
            </w:tcBorders>
            <w:shd w:val="clear" w:color="auto" w:fill="FFFFFF"/>
            <w:vAlign w:val="center"/>
          </w:tcPr>
          <w:p w14:paraId="4D9A84D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7" w:type="dxa"/>
            <w:tcBorders>
              <w:top w:val="single" w:sz="4" w:space="0" w:color="auto"/>
              <w:bottom w:val="single" w:sz="4" w:space="0" w:color="auto"/>
              <w:tl2br w:val="nil"/>
              <w:tr2bl w:val="nil"/>
            </w:tcBorders>
            <w:shd w:val="clear" w:color="auto" w:fill="FFFFFF"/>
            <w:vAlign w:val="center"/>
          </w:tcPr>
          <w:p w14:paraId="3BE6C53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-.3678</w:t>
            </w:r>
          </w:p>
        </w:tc>
        <w:tc>
          <w:tcPr>
            <w:tcW w:w="863" w:type="dxa"/>
            <w:tcBorders>
              <w:top w:val="single" w:sz="4" w:space="0" w:color="auto"/>
              <w:bottom w:val="single" w:sz="4" w:space="0" w:color="auto"/>
              <w:tl2br w:val="nil"/>
              <w:tr2bl w:val="nil"/>
            </w:tcBorders>
            <w:shd w:val="clear" w:color="auto" w:fill="FFFFFF"/>
            <w:vAlign w:val="center"/>
          </w:tcPr>
          <w:p w14:paraId="1F28565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.3505</w:t>
            </w:r>
          </w:p>
        </w:tc>
        <w:tc>
          <w:tcPr>
            <w:tcW w:w="1526" w:type="dxa"/>
            <w:tcBorders>
              <w:top w:val="single" w:sz="4" w:space="0" w:color="auto"/>
              <w:bottom w:val="single" w:sz="4" w:space="0" w:color="auto"/>
              <w:tl2br w:val="nil"/>
              <w:tr2bl w:val="nil"/>
            </w:tcBorders>
            <w:shd w:val="clear" w:color="auto" w:fill="FFFFFF"/>
            <w:vAlign w:val="center"/>
          </w:tcPr>
          <w:p w14:paraId="6984805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bl>
    <w:p w14:paraId="03BDA876" w14:textId="77777777" w:rsidR="00372A1B" w:rsidRPr="00372A1B" w:rsidRDefault="00372A1B" w:rsidP="00372A1B">
      <w:pPr>
        <w:jc w:val="both"/>
        <w:rPr>
          <w:rFonts w:ascii="Arial" w:hAnsi="Arial" w:cs="Arial"/>
          <w:lang w:val="en-PH"/>
        </w:rPr>
      </w:pPr>
    </w:p>
    <w:p w14:paraId="1DF45EE2" w14:textId="77777777" w:rsidR="00372A1B" w:rsidRDefault="00372A1B" w:rsidP="00372A1B">
      <w:pPr>
        <w:ind w:firstLine="720"/>
        <w:jc w:val="both"/>
        <w:rPr>
          <w:rFonts w:ascii="Arial" w:hAnsi="Arial" w:cs="Arial"/>
          <w:bCs/>
        </w:rPr>
      </w:pPr>
      <w:r w:rsidRPr="00372A1B">
        <w:rPr>
          <w:rFonts w:ascii="Arial" w:hAnsi="Arial" w:cs="Arial"/>
          <w:bCs/>
        </w:rPr>
        <w:t xml:space="preserve">This pattern suggests that stakeholders in the 41- to 50-year-old group may have reduced exposure to institutional communication channels or initiatives compared to younger age groups, who are more likely to be active students or recent graduates frequently engaged in university activities. This supports the concept in Freeman's Stakeholder Theory (1984) that stakeholders' awareness is influenced by their level of engagement and proximity to institutional operations. Similarly, Yáñez et al. (2018) emphasize the role of sustained participation in enhancing stakeholder understanding of strategic frameworks. These findings underscore the importance of targeted engagement efforts among middle-aged stakeholders, particularly those who are not regularly involved in academic or institutional interactions, to foster broader awareness and alignment with </w:t>
      </w:r>
      <w:proofErr w:type="spellStart"/>
      <w:r w:rsidRPr="00372A1B">
        <w:rPr>
          <w:rFonts w:ascii="Arial" w:hAnsi="Arial" w:cs="Arial"/>
          <w:bCs/>
        </w:rPr>
        <w:t>DOrSU’s</w:t>
      </w:r>
      <w:proofErr w:type="spellEnd"/>
      <w:r w:rsidRPr="00372A1B">
        <w:rPr>
          <w:rFonts w:ascii="Arial" w:hAnsi="Arial" w:cs="Arial"/>
          <w:bCs/>
        </w:rPr>
        <w:t xml:space="preserve"> educational objectives.</w:t>
      </w:r>
    </w:p>
    <w:p w14:paraId="24615B2E" w14:textId="77777777" w:rsidR="00AC1665" w:rsidRPr="00372A1B" w:rsidRDefault="00AC1665" w:rsidP="00372A1B">
      <w:pPr>
        <w:ind w:firstLine="720"/>
        <w:jc w:val="both"/>
        <w:rPr>
          <w:rFonts w:ascii="Arial" w:hAnsi="Arial" w:cs="Arial"/>
          <w:bCs/>
        </w:rPr>
      </w:pPr>
    </w:p>
    <w:p w14:paraId="42E8B76D" w14:textId="0F480721" w:rsidR="00372A1B" w:rsidRDefault="00372A1B" w:rsidP="00372A1B">
      <w:pPr>
        <w:ind w:firstLine="720"/>
        <w:jc w:val="both"/>
        <w:rPr>
          <w:rFonts w:ascii="Arial" w:hAnsi="Arial" w:cs="Arial"/>
          <w:bCs/>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5</w:t>
      </w:r>
      <w:r w:rsidRPr="00372A1B">
        <w:rPr>
          <w:rFonts w:ascii="Arial" w:hAnsi="Arial" w:cs="Arial"/>
          <w:color w:val="000000" w:themeColor="text1"/>
          <w:lang w:val="en-PH"/>
        </w:rPr>
        <w:t xml:space="preserve"> presents the test for differences in awareness </w:t>
      </w:r>
      <w:r w:rsidRPr="00372A1B">
        <w:rPr>
          <w:rFonts w:ascii="Arial" w:eastAsia="Times New Roman" w:hAnsi="Arial" w:cs="Arial"/>
          <w:bCs/>
          <w:lang w:val="en-PH"/>
        </w:rPr>
        <w:t xml:space="preserve">levels by sex. The </w:t>
      </w:r>
      <w:r w:rsidRPr="00372A1B">
        <w:rPr>
          <w:rFonts w:ascii="Arial" w:hAnsi="Arial" w:cs="Arial"/>
          <w:bCs/>
          <w:lang w:val="en-PH"/>
        </w:rPr>
        <w:t xml:space="preserve">results of an independent samples t-test conducted to determine whether there is a significant difference in the level of awareness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between male and female respondents are presented. The analysis yielded a (p-value of 0.864), which is greater than the 0.05 level of significance (p &gt; 0.05). This indicates </w:t>
      </w:r>
      <w:r w:rsidRPr="00372A1B">
        <w:rPr>
          <w:rFonts w:ascii="Arial" w:hAnsi="Arial" w:cs="Arial"/>
          <w:bCs/>
          <w:lang w:val="en-PH"/>
        </w:rPr>
        <w:lastRenderedPageBreak/>
        <w:t>that there is no statistically significant difference in the level of awareness between male and female stakeholders.</w:t>
      </w:r>
    </w:p>
    <w:p w14:paraId="7E6BF801" w14:textId="77777777" w:rsidR="00AC1665" w:rsidRPr="00372A1B" w:rsidRDefault="00AC1665" w:rsidP="00372A1B">
      <w:pPr>
        <w:ind w:firstLine="720"/>
        <w:jc w:val="both"/>
        <w:rPr>
          <w:rFonts w:ascii="Arial" w:hAnsi="Arial" w:cs="Arial"/>
          <w:bCs/>
          <w:lang w:val="en-PH"/>
        </w:rPr>
      </w:pPr>
    </w:p>
    <w:p w14:paraId="74D1BAB1" w14:textId="15CE5B04" w:rsidR="00372A1B" w:rsidRPr="00372A1B" w:rsidRDefault="00372A1B" w:rsidP="00372A1B">
      <w:pPr>
        <w:contextualSpacing/>
        <w:jc w:val="both"/>
        <w:rPr>
          <w:rFonts w:ascii="Arial" w:hAnsi="Arial" w:cs="Arial"/>
        </w:rPr>
      </w:pPr>
      <w:r w:rsidRPr="00372A1B">
        <w:rPr>
          <w:rFonts w:ascii="Arial" w:hAnsi="Arial" w:cs="Arial"/>
        </w:rPr>
        <w:t>Table 1</w:t>
      </w:r>
      <w:r w:rsidR="00AC1665">
        <w:rPr>
          <w:rFonts w:ascii="Arial" w:hAnsi="Arial" w:cs="Arial"/>
        </w:rPr>
        <w:t>5</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sex</w:t>
      </w:r>
    </w:p>
    <w:tbl>
      <w:tblPr>
        <w:tblW w:w="814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82"/>
        <w:gridCol w:w="418"/>
        <w:gridCol w:w="375"/>
        <w:gridCol w:w="1009"/>
        <w:gridCol w:w="1083"/>
        <w:gridCol w:w="1405"/>
        <w:gridCol w:w="726"/>
        <w:gridCol w:w="950"/>
      </w:tblGrid>
      <w:tr w:rsidR="00372A1B" w:rsidRPr="00AC1665" w14:paraId="716FEBA8" w14:textId="77777777" w:rsidTr="00AC1665">
        <w:trPr>
          <w:cantSplit/>
          <w:trHeight w:val="356"/>
        </w:trPr>
        <w:tc>
          <w:tcPr>
            <w:tcW w:w="2182" w:type="dxa"/>
            <w:tcBorders>
              <w:bottom w:val="single" w:sz="4" w:space="0" w:color="auto"/>
              <w:tl2br w:val="nil"/>
              <w:tr2bl w:val="nil"/>
            </w:tcBorders>
            <w:shd w:val="clear" w:color="auto" w:fill="FFFFFF"/>
          </w:tcPr>
          <w:p w14:paraId="2CF4204C" w14:textId="77777777" w:rsidR="00372A1B" w:rsidRPr="00AC1665" w:rsidRDefault="00372A1B" w:rsidP="00372A1B">
            <w:pPr>
              <w:ind w:left="60" w:right="60"/>
              <w:rPr>
                <w:rFonts w:ascii="Arial" w:hAnsi="Arial"/>
                <w:sz w:val="18"/>
                <w:szCs w:val="18"/>
              </w:rPr>
            </w:pPr>
          </w:p>
        </w:tc>
        <w:tc>
          <w:tcPr>
            <w:tcW w:w="5966" w:type="dxa"/>
            <w:gridSpan w:val="7"/>
            <w:tcBorders>
              <w:bottom w:val="single" w:sz="4" w:space="0" w:color="auto"/>
              <w:tl2br w:val="nil"/>
              <w:tr2bl w:val="nil"/>
            </w:tcBorders>
            <w:shd w:val="clear" w:color="auto" w:fill="FFFFFF"/>
          </w:tcPr>
          <w:p w14:paraId="2C87D12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t-test for Equality of Means</w:t>
            </w:r>
          </w:p>
        </w:tc>
      </w:tr>
      <w:tr w:rsidR="00372A1B" w:rsidRPr="00AC1665" w14:paraId="17CEC2ED" w14:textId="77777777" w:rsidTr="00AC1665">
        <w:trPr>
          <w:cantSplit/>
          <w:trHeight w:val="673"/>
        </w:trPr>
        <w:tc>
          <w:tcPr>
            <w:tcW w:w="2182" w:type="dxa"/>
            <w:vMerge w:val="restart"/>
            <w:tcBorders>
              <w:top w:val="single" w:sz="4" w:space="0" w:color="auto"/>
              <w:tl2br w:val="nil"/>
              <w:tr2bl w:val="nil"/>
            </w:tcBorders>
            <w:shd w:val="clear" w:color="auto" w:fill="FFFFFF"/>
          </w:tcPr>
          <w:p w14:paraId="6DB07D18" w14:textId="77777777" w:rsidR="00372A1B" w:rsidRPr="00AC1665" w:rsidRDefault="00372A1B" w:rsidP="00372A1B">
            <w:pPr>
              <w:rPr>
                <w:rFonts w:ascii="Arial" w:hAnsi="Arial"/>
                <w:sz w:val="18"/>
                <w:szCs w:val="18"/>
              </w:rPr>
            </w:pPr>
          </w:p>
        </w:tc>
        <w:tc>
          <w:tcPr>
            <w:tcW w:w="418" w:type="dxa"/>
            <w:vMerge w:val="restart"/>
            <w:tcBorders>
              <w:top w:val="single" w:sz="4" w:space="0" w:color="auto"/>
              <w:bottom w:val="single" w:sz="4" w:space="0" w:color="auto"/>
              <w:tl2br w:val="nil"/>
              <w:tr2bl w:val="nil"/>
            </w:tcBorders>
            <w:shd w:val="clear" w:color="auto" w:fill="FFFFFF"/>
            <w:vAlign w:val="center"/>
          </w:tcPr>
          <w:p w14:paraId="26BC05AB" w14:textId="77777777" w:rsidR="00372A1B" w:rsidRPr="00AC1665" w:rsidRDefault="00372A1B" w:rsidP="00372A1B">
            <w:pPr>
              <w:ind w:left="60" w:right="60"/>
              <w:rPr>
                <w:rFonts w:ascii="Arial" w:hAnsi="Arial"/>
                <w:sz w:val="18"/>
                <w:szCs w:val="18"/>
              </w:rPr>
            </w:pPr>
            <w:r w:rsidRPr="00AC1665">
              <w:rPr>
                <w:rFonts w:ascii="Arial" w:hAnsi="Arial"/>
                <w:sz w:val="18"/>
                <w:szCs w:val="18"/>
              </w:rPr>
              <w:t>T</w:t>
            </w:r>
          </w:p>
        </w:tc>
        <w:tc>
          <w:tcPr>
            <w:tcW w:w="375" w:type="dxa"/>
            <w:vMerge w:val="restart"/>
            <w:tcBorders>
              <w:top w:val="single" w:sz="4" w:space="0" w:color="auto"/>
              <w:bottom w:val="single" w:sz="4" w:space="0" w:color="auto"/>
              <w:tl2br w:val="nil"/>
              <w:tr2bl w:val="nil"/>
            </w:tcBorders>
            <w:shd w:val="clear" w:color="auto" w:fill="FFFFFF"/>
            <w:vAlign w:val="center"/>
          </w:tcPr>
          <w:p w14:paraId="16324605" w14:textId="77777777" w:rsidR="00372A1B" w:rsidRPr="00AC1665" w:rsidRDefault="00372A1B" w:rsidP="00372A1B">
            <w:pPr>
              <w:ind w:left="60" w:right="60"/>
              <w:rPr>
                <w:rFonts w:ascii="Arial" w:hAnsi="Arial"/>
                <w:sz w:val="18"/>
                <w:szCs w:val="18"/>
              </w:rPr>
            </w:pPr>
            <w:r w:rsidRPr="00AC1665">
              <w:rPr>
                <w:rFonts w:ascii="Arial" w:hAnsi="Arial"/>
                <w:sz w:val="18"/>
                <w:szCs w:val="18"/>
              </w:rPr>
              <w:t>df</w:t>
            </w:r>
          </w:p>
        </w:tc>
        <w:tc>
          <w:tcPr>
            <w:tcW w:w="1009" w:type="dxa"/>
            <w:vMerge w:val="restart"/>
            <w:tcBorders>
              <w:top w:val="single" w:sz="4" w:space="0" w:color="auto"/>
              <w:bottom w:val="single" w:sz="4" w:space="0" w:color="auto"/>
              <w:tl2br w:val="nil"/>
              <w:tr2bl w:val="nil"/>
            </w:tcBorders>
            <w:shd w:val="clear" w:color="auto" w:fill="FFFFFF"/>
            <w:vAlign w:val="center"/>
          </w:tcPr>
          <w:p w14:paraId="21B4D99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 (2-tailed)</w:t>
            </w:r>
          </w:p>
        </w:tc>
        <w:tc>
          <w:tcPr>
            <w:tcW w:w="1083" w:type="dxa"/>
            <w:vMerge w:val="restart"/>
            <w:tcBorders>
              <w:top w:val="single" w:sz="4" w:space="0" w:color="auto"/>
              <w:bottom w:val="single" w:sz="4" w:space="0" w:color="auto"/>
              <w:tl2br w:val="nil"/>
              <w:tr2bl w:val="nil"/>
            </w:tcBorders>
            <w:shd w:val="clear" w:color="auto" w:fill="FFFFFF"/>
            <w:vAlign w:val="center"/>
          </w:tcPr>
          <w:p w14:paraId="320BB93D"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w:t>
            </w:r>
          </w:p>
        </w:tc>
        <w:tc>
          <w:tcPr>
            <w:tcW w:w="1405" w:type="dxa"/>
            <w:vMerge w:val="restart"/>
            <w:tcBorders>
              <w:top w:val="single" w:sz="4" w:space="0" w:color="auto"/>
              <w:bottom w:val="single" w:sz="4" w:space="0" w:color="auto"/>
              <w:tl2br w:val="nil"/>
              <w:tr2bl w:val="nil"/>
            </w:tcBorders>
            <w:shd w:val="clear" w:color="auto" w:fill="FFFFFF"/>
            <w:vAlign w:val="center"/>
          </w:tcPr>
          <w:p w14:paraId="06CE350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 Difference</w:t>
            </w:r>
          </w:p>
        </w:tc>
        <w:tc>
          <w:tcPr>
            <w:tcW w:w="1674" w:type="dxa"/>
            <w:gridSpan w:val="2"/>
            <w:tcBorders>
              <w:top w:val="single" w:sz="4" w:space="0" w:color="auto"/>
              <w:bottom w:val="single" w:sz="4" w:space="0" w:color="auto"/>
              <w:tl2br w:val="nil"/>
              <w:tr2bl w:val="nil"/>
            </w:tcBorders>
            <w:shd w:val="clear" w:color="auto" w:fill="FFFFFF"/>
            <w:vAlign w:val="center"/>
          </w:tcPr>
          <w:p w14:paraId="2FD4F52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 of the Difference</w:t>
            </w:r>
          </w:p>
        </w:tc>
      </w:tr>
      <w:tr w:rsidR="00372A1B" w:rsidRPr="00AC1665" w14:paraId="1D69063A" w14:textId="77777777" w:rsidTr="00AC1665">
        <w:trPr>
          <w:cantSplit/>
          <w:trHeight w:val="356"/>
        </w:trPr>
        <w:tc>
          <w:tcPr>
            <w:tcW w:w="2182" w:type="dxa"/>
            <w:vMerge/>
            <w:tcBorders>
              <w:top w:val="single" w:sz="4" w:space="0" w:color="auto"/>
              <w:bottom w:val="single" w:sz="4" w:space="0" w:color="auto"/>
              <w:tl2br w:val="nil"/>
              <w:tr2bl w:val="nil"/>
            </w:tcBorders>
            <w:shd w:val="clear" w:color="auto" w:fill="FFFFFF"/>
          </w:tcPr>
          <w:p w14:paraId="7218B012" w14:textId="77777777" w:rsidR="00372A1B" w:rsidRPr="00AC1665" w:rsidRDefault="00372A1B" w:rsidP="00372A1B">
            <w:pPr>
              <w:rPr>
                <w:rFonts w:ascii="Arial" w:hAnsi="Arial"/>
                <w:sz w:val="18"/>
                <w:szCs w:val="18"/>
              </w:rPr>
            </w:pPr>
          </w:p>
        </w:tc>
        <w:tc>
          <w:tcPr>
            <w:tcW w:w="418" w:type="dxa"/>
            <w:vMerge/>
            <w:tcBorders>
              <w:top w:val="single" w:sz="4" w:space="0" w:color="auto"/>
              <w:bottom w:val="single" w:sz="4" w:space="0" w:color="auto"/>
              <w:tl2br w:val="nil"/>
              <w:tr2bl w:val="nil"/>
            </w:tcBorders>
            <w:shd w:val="clear" w:color="auto" w:fill="FFFFFF"/>
            <w:vAlign w:val="center"/>
          </w:tcPr>
          <w:p w14:paraId="3827A8A9" w14:textId="77777777" w:rsidR="00372A1B" w:rsidRPr="00AC1665" w:rsidRDefault="00372A1B" w:rsidP="00372A1B">
            <w:pPr>
              <w:rPr>
                <w:rFonts w:ascii="Arial" w:hAnsi="Arial"/>
                <w:sz w:val="18"/>
                <w:szCs w:val="18"/>
              </w:rPr>
            </w:pPr>
          </w:p>
        </w:tc>
        <w:tc>
          <w:tcPr>
            <w:tcW w:w="375" w:type="dxa"/>
            <w:vMerge/>
            <w:tcBorders>
              <w:top w:val="single" w:sz="4" w:space="0" w:color="auto"/>
              <w:bottom w:val="single" w:sz="4" w:space="0" w:color="auto"/>
              <w:tl2br w:val="nil"/>
              <w:tr2bl w:val="nil"/>
            </w:tcBorders>
            <w:shd w:val="clear" w:color="auto" w:fill="FFFFFF"/>
            <w:vAlign w:val="center"/>
          </w:tcPr>
          <w:p w14:paraId="647E3AA0" w14:textId="77777777" w:rsidR="00372A1B" w:rsidRPr="00AC1665" w:rsidRDefault="00372A1B" w:rsidP="00372A1B">
            <w:pPr>
              <w:rPr>
                <w:rFonts w:ascii="Arial" w:hAnsi="Arial"/>
                <w:sz w:val="18"/>
                <w:szCs w:val="18"/>
              </w:rPr>
            </w:pPr>
          </w:p>
        </w:tc>
        <w:tc>
          <w:tcPr>
            <w:tcW w:w="1009" w:type="dxa"/>
            <w:vMerge/>
            <w:tcBorders>
              <w:top w:val="single" w:sz="4" w:space="0" w:color="auto"/>
              <w:bottom w:val="single" w:sz="4" w:space="0" w:color="auto"/>
              <w:tl2br w:val="nil"/>
              <w:tr2bl w:val="nil"/>
            </w:tcBorders>
            <w:shd w:val="clear" w:color="auto" w:fill="FFFFFF"/>
            <w:vAlign w:val="center"/>
          </w:tcPr>
          <w:p w14:paraId="599C0728" w14:textId="77777777" w:rsidR="00372A1B" w:rsidRPr="00AC1665" w:rsidRDefault="00372A1B" w:rsidP="00372A1B">
            <w:pPr>
              <w:rPr>
                <w:rFonts w:ascii="Arial" w:hAnsi="Arial"/>
                <w:sz w:val="18"/>
                <w:szCs w:val="18"/>
              </w:rPr>
            </w:pPr>
          </w:p>
        </w:tc>
        <w:tc>
          <w:tcPr>
            <w:tcW w:w="1083" w:type="dxa"/>
            <w:vMerge/>
            <w:tcBorders>
              <w:top w:val="single" w:sz="4" w:space="0" w:color="auto"/>
              <w:bottom w:val="single" w:sz="4" w:space="0" w:color="auto"/>
              <w:tl2br w:val="nil"/>
              <w:tr2bl w:val="nil"/>
            </w:tcBorders>
            <w:shd w:val="clear" w:color="auto" w:fill="FFFFFF"/>
            <w:vAlign w:val="center"/>
          </w:tcPr>
          <w:p w14:paraId="51CB6D1C" w14:textId="77777777" w:rsidR="00372A1B" w:rsidRPr="00AC1665" w:rsidRDefault="00372A1B" w:rsidP="00372A1B">
            <w:pPr>
              <w:jc w:val="center"/>
              <w:rPr>
                <w:rFonts w:ascii="Arial" w:hAnsi="Arial"/>
                <w:sz w:val="18"/>
                <w:szCs w:val="18"/>
              </w:rPr>
            </w:pPr>
          </w:p>
        </w:tc>
        <w:tc>
          <w:tcPr>
            <w:tcW w:w="1405" w:type="dxa"/>
            <w:vMerge/>
            <w:tcBorders>
              <w:top w:val="single" w:sz="4" w:space="0" w:color="auto"/>
              <w:bottom w:val="single" w:sz="4" w:space="0" w:color="auto"/>
              <w:tl2br w:val="nil"/>
              <w:tr2bl w:val="nil"/>
            </w:tcBorders>
            <w:shd w:val="clear" w:color="auto" w:fill="FFFFFF"/>
            <w:vAlign w:val="center"/>
          </w:tcPr>
          <w:p w14:paraId="0425B460" w14:textId="77777777" w:rsidR="00372A1B" w:rsidRPr="00AC1665" w:rsidRDefault="00372A1B" w:rsidP="00372A1B">
            <w:pPr>
              <w:jc w:val="center"/>
              <w:rPr>
                <w:rFonts w:ascii="Arial" w:hAnsi="Arial"/>
                <w:sz w:val="18"/>
                <w:szCs w:val="18"/>
              </w:rPr>
            </w:pPr>
          </w:p>
        </w:tc>
        <w:tc>
          <w:tcPr>
            <w:tcW w:w="726" w:type="dxa"/>
            <w:tcBorders>
              <w:top w:val="single" w:sz="4" w:space="0" w:color="auto"/>
              <w:bottom w:val="single" w:sz="4" w:space="0" w:color="auto"/>
              <w:tl2br w:val="nil"/>
              <w:tr2bl w:val="nil"/>
            </w:tcBorders>
            <w:shd w:val="clear" w:color="auto" w:fill="FFFFFF"/>
            <w:vAlign w:val="center"/>
          </w:tcPr>
          <w:p w14:paraId="35857B4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w:t>
            </w:r>
          </w:p>
        </w:tc>
        <w:tc>
          <w:tcPr>
            <w:tcW w:w="947" w:type="dxa"/>
            <w:tcBorders>
              <w:top w:val="single" w:sz="4" w:space="0" w:color="auto"/>
              <w:bottom w:val="single" w:sz="4" w:space="0" w:color="auto"/>
              <w:tl2br w:val="nil"/>
              <w:tr2bl w:val="nil"/>
            </w:tcBorders>
            <w:shd w:val="clear" w:color="auto" w:fill="FFFFFF"/>
            <w:vAlign w:val="center"/>
          </w:tcPr>
          <w:p w14:paraId="5CD61ED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w:t>
            </w:r>
          </w:p>
        </w:tc>
      </w:tr>
      <w:tr w:rsidR="00372A1B" w:rsidRPr="00AC1665" w14:paraId="152B602B" w14:textId="77777777" w:rsidTr="00AC1665">
        <w:trPr>
          <w:cantSplit/>
          <w:trHeight w:val="356"/>
        </w:trPr>
        <w:tc>
          <w:tcPr>
            <w:tcW w:w="2182" w:type="dxa"/>
            <w:tcBorders>
              <w:top w:val="single" w:sz="4" w:space="0" w:color="auto"/>
              <w:tl2br w:val="nil"/>
              <w:tr2bl w:val="nil"/>
            </w:tcBorders>
            <w:shd w:val="clear" w:color="auto" w:fill="FFFFFF"/>
            <w:vAlign w:val="center"/>
          </w:tcPr>
          <w:p w14:paraId="6120B1CA" w14:textId="77777777" w:rsidR="00372A1B" w:rsidRPr="00AC1665" w:rsidRDefault="00372A1B" w:rsidP="00372A1B">
            <w:pPr>
              <w:ind w:right="60"/>
              <w:rPr>
                <w:rFonts w:ascii="Arial" w:hAnsi="Arial"/>
                <w:sz w:val="18"/>
                <w:szCs w:val="18"/>
              </w:rPr>
            </w:pPr>
            <w:r w:rsidRPr="00AC1665">
              <w:rPr>
                <w:rFonts w:ascii="Arial" w:hAnsi="Arial"/>
                <w:sz w:val="18"/>
                <w:szCs w:val="18"/>
              </w:rPr>
              <w:t>Awareness of VMPEO</w:t>
            </w:r>
          </w:p>
        </w:tc>
        <w:tc>
          <w:tcPr>
            <w:tcW w:w="418" w:type="dxa"/>
            <w:tcBorders>
              <w:top w:val="single" w:sz="4" w:space="0" w:color="auto"/>
              <w:tl2br w:val="nil"/>
              <w:tr2bl w:val="nil"/>
            </w:tcBorders>
            <w:shd w:val="clear" w:color="auto" w:fill="FFFFFF"/>
            <w:vAlign w:val="center"/>
          </w:tcPr>
          <w:p w14:paraId="3E51809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.172</w:t>
            </w:r>
          </w:p>
        </w:tc>
        <w:tc>
          <w:tcPr>
            <w:tcW w:w="375" w:type="dxa"/>
            <w:tcBorders>
              <w:top w:val="single" w:sz="4" w:space="0" w:color="auto"/>
              <w:tl2br w:val="nil"/>
              <w:tr2bl w:val="nil"/>
            </w:tcBorders>
            <w:shd w:val="clear" w:color="auto" w:fill="FFFFFF"/>
            <w:vAlign w:val="center"/>
          </w:tcPr>
          <w:p w14:paraId="57BF753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297</w:t>
            </w:r>
          </w:p>
        </w:tc>
        <w:tc>
          <w:tcPr>
            <w:tcW w:w="1009" w:type="dxa"/>
            <w:tcBorders>
              <w:top w:val="single" w:sz="4" w:space="0" w:color="auto"/>
              <w:tl2br w:val="nil"/>
              <w:tr2bl w:val="nil"/>
            </w:tcBorders>
            <w:shd w:val="clear" w:color="auto" w:fill="FFFFFF"/>
            <w:vAlign w:val="center"/>
          </w:tcPr>
          <w:p w14:paraId="67001CE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.864</w:t>
            </w:r>
          </w:p>
        </w:tc>
        <w:tc>
          <w:tcPr>
            <w:tcW w:w="1083" w:type="dxa"/>
            <w:tcBorders>
              <w:top w:val="single" w:sz="4" w:space="0" w:color="auto"/>
              <w:tl2br w:val="nil"/>
              <w:tr2bl w:val="nil"/>
            </w:tcBorders>
            <w:shd w:val="clear" w:color="auto" w:fill="FFFFFF"/>
            <w:vAlign w:val="center"/>
          </w:tcPr>
          <w:p w14:paraId="0A6117D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.01032</w:t>
            </w:r>
          </w:p>
        </w:tc>
        <w:tc>
          <w:tcPr>
            <w:tcW w:w="1405" w:type="dxa"/>
            <w:tcBorders>
              <w:top w:val="single" w:sz="4" w:space="0" w:color="auto"/>
              <w:tl2br w:val="nil"/>
              <w:tr2bl w:val="nil"/>
            </w:tcBorders>
            <w:shd w:val="clear" w:color="auto" w:fill="FFFFFF"/>
            <w:vAlign w:val="center"/>
          </w:tcPr>
          <w:p w14:paraId="49DD6C9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.06009</w:t>
            </w:r>
          </w:p>
        </w:tc>
        <w:tc>
          <w:tcPr>
            <w:tcW w:w="726" w:type="dxa"/>
            <w:tcBorders>
              <w:top w:val="single" w:sz="4" w:space="0" w:color="auto"/>
              <w:tl2br w:val="nil"/>
              <w:tr2bl w:val="nil"/>
            </w:tcBorders>
            <w:shd w:val="clear" w:color="auto" w:fill="FFFFFF"/>
            <w:vAlign w:val="center"/>
          </w:tcPr>
          <w:p w14:paraId="4E9C185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-.10793</w:t>
            </w:r>
          </w:p>
        </w:tc>
        <w:tc>
          <w:tcPr>
            <w:tcW w:w="947" w:type="dxa"/>
            <w:tcBorders>
              <w:top w:val="single" w:sz="4" w:space="0" w:color="auto"/>
              <w:tl2br w:val="nil"/>
              <w:tr2bl w:val="nil"/>
            </w:tcBorders>
            <w:shd w:val="clear" w:color="auto" w:fill="FFFFFF"/>
            <w:vAlign w:val="center"/>
          </w:tcPr>
          <w:p w14:paraId="555E13D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.12857</w:t>
            </w:r>
          </w:p>
        </w:tc>
      </w:tr>
    </w:tbl>
    <w:p w14:paraId="3C151548" w14:textId="77777777" w:rsidR="00372A1B" w:rsidRPr="00372A1B" w:rsidRDefault="00372A1B" w:rsidP="00372A1B">
      <w:pPr>
        <w:contextualSpacing/>
        <w:jc w:val="both"/>
        <w:rPr>
          <w:rFonts w:ascii="Arial" w:hAnsi="Arial" w:cs="Arial"/>
        </w:rPr>
      </w:pPr>
    </w:p>
    <w:p w14:paraId="0FDE45D3"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The result suggests that both male and female respondents exhibit comparable levels of awareness regarding the university's VMPEO. This outcome suggests that gender does not significantly influence how stakeholders perceive or understand the institution's vision, mission, and program objectives. This finding aligns with the ideas presented in Freeman’s Stakeholder Theory (1984), which emphasizes that stakeholder roles and engagement, rather than inherent demographic characteristics like gender, are more likely to influence awareness and alignment with institutional goals. Therefore, </w:t>
      </w:r>
      <w:proofErr w:type="spellStart"/>
      <w:r w:rsidRPr="00372A1B">
        <w:rPr>
          <w:rFonts w:ascii="Arial" w:hAnsi="Arial" w:cs="Arial"/>
          <w:bCs/>
          <w:lang w:val="en-PH"/>
        </w:rPr>
        <w:t>DOrSU’s</w:t>
      </w:r>
      <w:proofErr w:type="spellEnd"/>
      <w:r w:rsidRPr="00372A1B">
        <w:rPr>
          <w:rFonts w:ascii="Arial" w:hAnsi="Arial" w:cs="Arial"/>
          <w:bCs/>
          <w:lang w:val="en-PH"/>
        </w:rPr>
        <w:t xml:space="preserve"> communication strategies are gender-inclusive and equally effective in reaching both male and female stakeholders.</w:t>
      </w:r>
    </w:p>
    <w:p w14:paraId="0614E47E" w14:textId="77777777" w:rsidR="00AC1665" w:rsidRPr="00372A1B" w:rsidRDefault="00AC1665" w:rsidP="00372A1B">
      <w:pPr>
        <w:ind w:firstLine="720"/>
        <w:jc w:val="both"/>
        <w:rPr>
          <w:rFonts w:ascii="Arial" w:hAnsi="Arial" w:cs="Arial"/>
          <w:bCs/>
          <w:lang w:val="en-PH"/>
        </w:rPr>
      </w:pPr>
    </w:p>
    <w:p w14:paraId="5D295AE2" w14:textId="1DBB995A" w:rsidR="00372A1B" w:rsidRDefault="00372A1B" w:rsidP="00372A1B">
      <w:pPr>
        <w:ind w:firstLine="720"/>
        <w:jc w:val="both"/>
        <w:rPr>
          <w:rFonts w:ascii="Arial" w:hAnsi="Arial" w:cs="Arial"/>
          <w:bCs/>
          <w:lang w:val="en-PH"/>
        </w:rPr>
      </w:pPr>
      <w:r w:rsidRPr="00372A1B">
        <w:rPr>
          <w:rFonts w:ascii="Arial" w:hAnsi="Arial" w:cs="Arial"/>
          <w:color w:val="000000" w:themeColor="text1"/>
          <w:lang w:val="en-PH"/>
        </w:rPr>
        <w:t>Table 1</w:t>
      </w:r>
      <w:r w:rsidR="00AC1665">
        <w:rPr>
          <w:rFonts w:ascii="Arial" w:hAnsi="Arial" w:cs="Arial"/>
          <w:color w:val="000000" w:themeColor="text1"/>
          <w:lang w:val="en-PH"/>
        </w:rPr>
        <w:t>6</w:t>
      </w:r>
      <w:r w:rsidRPr="00372A1B">
        <w:rPr>
          <w:rFonts w:ascii="Arial" w:hAnsi="Arial" w:cs="Arial"/>
          <w:color w:val="000000" w:themeColor="text1"/>
          <w:lang w:val="en-PH"/>
        </w:rPr>
        <w:t xml:space="preserve"> presents the test for differences in awareness levels according to </w:t>
      </w:r>
      <w:r w:rsidRPr="00372A1B">
        <w:rPr>
          <w:rFonts w:ascii="Arial" w:hAnsi="Arial" w:cs="Arial"/>
        </w:rPr>
        <w:t xml:space="preserve">educational attainment. </w:t>
      </w:r>
      <w:r w:rsidRPr="00372A1B">
        <w:rPr>
          <w:rFonts w:ascii="Arial" w:hAnsi="Arial" w:cs="Arial"/>
          <w:bCs/>
          <w:lang w:val="en-PH"/>
        </w:rPr>
        <w:t xml:space="preserve">The results of the analysis of variance (ANOVA) conducted to determine whether the level of awareness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groups with different educational attainment levels are presented. The analysis yielded a statistically significant result (F = 4.849, p = .000), indicating that awareness levels vary across educational backgrounds.</w:t>
      </w:r>
    </w:p>
    <w:p w14:paraId="144ACB82" w14:textId="77777777" w:rsidR="00AC1665" w:rsidRPr="00372A1B" w:rsidRDefault="00AC1665" w:rsidP="00372A1B">
      <w:pPr>
        <w:ind w:firstLine="720"/>
        <w:jc w:val="both"/>
        <w:rPr>
          <w:rFonts w:ascii="Arial" w:hAnsi="Arial" w:cs="Arial"/>
          <w:bCs/>
          <w:lang w:val="en-PH"/>
        </w:rPr>
      </w:pPr>
    </w:p>
    <w:p w14:paraId="169088E4" w14:textId="11823ECC"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6</w:t>
      </w:r>
      <w:r w:rsidRPr="00372A1B">
        <w:rPr>
          <w:rFonts w:ascii="Arial" w:hAnsi="Arial" w:cs="Arial"/>
        </w:rPr>
        <w:t xml:space="preserve">: Test for difference in the level of awareness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educational attainment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9"/>
        <w:gridCol w:w="1669"/>
        <w:gridCol w:w="551"/>
        <w:gridCol w:w="113"/>
        <w:gridCol w:w="1631"/>
        <w:gridCol w:w="1022"/>
        <w:gridCol w:w="1384"/>
      </w:tblGrid>
      <w:tr w:rsidR="00372A1B" w:rsidRPr="00AC1665" w14:paraId="6E44366A" w14:textId="77777777" w:rsidTr="00AC1665">
        <w:trPr>
          <w:trHeight w:val="220"/>
        </w:trPr>
        <w:tc>
          <w:tcPr>
            <w:tcW w:w="1929" w:type="dxa"/>
            <w:tcBorders>
              <w:top w:val="single" w:sz="4" w:space="0" w:color="auto"/>
              <w:bottom w:val="single" w:sz="4" w:space="0" w:color="auto"/>
            </w:tcBorders>
          </w:tcPr>
          <w:p w14:paraId="41E03ED0" w14:textId="77777777" w:rsidR="00372A1B" w:rsidRPr="00AC1665" w:rsidRDefault="00372A1B" w:rsidP="00372A1B">
            <w:pPr>
              <w:rPr>
                <w:rFonts w:ascii="Arial" w:hAnsi="Arial" w:cs="Arial"/>
                <w:sz w:val="18"/>
                <w:szCs w:val="18"/>
              </w:rPr>
            </w:pPr>
          </w:p>
        </w:tc>
        <w:tc>
          <w:tcPr>
            <w:tcW w:w="1669" w:type="dxa"/>
            <w:tcBorders>
              <w:top w:val="single" w:sz="4" w:space="0" w:color="auto"/>
              <w:bottom w:val="single" w:sz="4" w:space="0" w:color="auto"/>
            </w:tcBorders>
          </w:tcPr>
          <w:p w14:paraId="52D67CF1"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51" w:type="dxa"/>
            <w:tcBorders>
              <w:top w:val="single" w:sz="4" w:space="0" w:color="auto"/>
              <w:bottom w:val="single" w:sz="4" w:space="0" w:color="auto"/>
            </w:tcBorders>
          </w:tcPr>
          <w:p w14:paraId="0983F90E"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44" w:type="dxa"/>
            <w:gridSpan w:val="2"/>
            <w:tcBorders>
              <w:top w:val="single" w:sz="4" w:space="0" w:color="auto"/>
              <w:bottom w:val="single" w:sz="4" w:space="0" w:color="auto"/>
            </w:tcBorders>
          </w:tcPr>
          <w:p w14:paraId="26F636D9"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22" w:type="dxa"/>
            <w:tcBorders>
              <w:top w:val="single" w:sz="4" w:space="0" w:color="auto"/>
              <w:bottom w:val="single" w:sz="4" w:space="0" w:color="auto"/>
            </w:tcBorders>
          </w:tcPr>
          <w:p w14:paraId="4EA2F57A"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84" w:type="dxa"/>
            <w:tcBorders>
              <w:top w:val="single" w:sz="4" w:space="0" w:color="auto"/>
              <w:bottom w:val="single" w:sz="4" w:space="0" w:color="auto"/>
            </w:tcBorders>
          </w:tcPr>
          <w:p w14:paraId="5CB03092"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164F872C" w14:textId="77777777" w:rsidTr="00AC1665">
        <w:trPr>
          <w:trHeight w:val="220"/>
        </w:trPr>
        <w:tc>
          <w:tcPr>
            <w:tcW w:w="1929" w:type="dxa"/>
            <w:tcBorders>
              <w:top w:val="single" w:sz="4" w:space="0" w:color="auto"/>
              <w:bottom w:val="single" w:sz="4" w:space="0" w:color="auto"/>
            </w:tcBorders>
          </w:tcPr>
          <w:p w14:paraId="49E8777E"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69" w:type="dxa"/>
            <w:tcBorders>
              <w:top w:val="single" w:sz="4" w:space="0" w:color="auto"/>
              <w:bottom w:val="single" w:sz="4" w:space="0" w:color="auto"/>
            </w:tcBorders>
            <w:shd w:val="clear" w:color="auto" w:fill="FFFFFF"/>
            <w:vAlign w:val="center"/>
          </w:tcPr>
          <w:p w14:paraId="763D07B1"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5.555</w:t>
            </w:r>
          </w:p>
        </w:tc>
        <w:tc>
          <w:tcPr>
            <w:tcW w:w="664" w:type="dxa"/>
            <w:gridSpan w:val="2"/>
            <w:tcBorders>
              <w:top w:val="single" w:sz="4" w:space="0" w:color="auto"/>
              <w:bottom w:val="single" w:sz="4" w:space="0" w:color="auto"/>
            </w:tcBorders>
            <w:shd w:val="clear" w:color="auto" w:fill="FFFFFF"/>
            <w:vAlign w:val="center"/>
          </w:tcPr>
          <w:p w14:paraId="1E5D193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6</w:t>
            </w:r>
          </w:p>
        </w:tc>
        <w:tc>
          <w:tcPr>
            <w:tcW w:w="1631" w:type="dxa"/>
            <w:tcBorders>
              <w:top w:val="single" w:sz="4" w:space="0" w:color="auto"/>
              <w:bottom w:val="single" w:sz="4" w:space="0" w:color="auto"/>
            </w:tcBorders>
            <w:shd w:val="clear" w:color="auto" w:fill="FFFFFF"/>
            <w:vAlign w:val="center"/>
          </w:tcPr>
          <w:p w14:paraId="749D665D"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1.069</w:t>
            </w:r>
          </w:p>
        </w:tc>
        <w:tc>
          <w:tcPr>
            <w:tcW w:w="1022" w:type="dxa"/>
            <w:tcBorders>
              <w:top w:val="single" w:sz="4" w:space="0" w:color="auto"/>
              <w:bottom w:val="single" w:sz="4" w:space="0" w:color="auto"/>
            </w:tcBorders>
            <w:shd w:val="clear" w:color="auto" w:fill="FFFFFF"/>
            <w:vAlign w:val="center"/>
          </w:tcPr>
          <w:p w14:paraId="556CE2A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4.849</w:t>
            </w:r>
          </w:p>
        </w:tc>
        <w:tc>
          <w:tcPr>
            <w:tcW w:w="1384" w:type="dxa"/>
            <w:tcBorders>
              <w:top w:val="single" w:sz="4" w:space="0" w:color="auto"/>
              <w:bottom w:val="single" w:sz="4" w:space="0" w:color="auto"/>
            </w:tcBorders>
            <w:shd w:val="clear" w:color="auto" w:fill="FFFFFF"/>
            <w:vAlign w:val="center"/>
          </w:tcPr>
          <w:p w14:paraId="4D3F73E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681AD348" w14:textId="77777777" w:rsidTr="00AC1665">
        <w:trPr>
          <w:trHeight w:val="321"/>
        </w:trPr>
        <w:tc>
          <w:tcPr>
            <w:tcW w:w="1929" w:type="dxa"/>
            <w:tcBorders>
              <w:top w:val="single" w:sz="4" w:space="0" w:color="auto"/>
              <w:bottom w:val="single" w:sz="4" w:space="0" w:color="auto"/>
            </w:tcBorders>
          </w:tcPr>
          <w:p w14:paraId="04015351"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69" w:type="dxa"/>
            <w:tcBorders>
              <w:top w:val="single" w:sz="4" w:space="0" w:color="auto"/>
              <w:bottom w:val="single" w:sz="4" w:space="0" w:color="auto"/>
            </w:tcBorders>
            <w:shd w:val="clear" w:color="auto" w:fill="FFFFFF"/>
            <w:vAlign w:val="center"/>
          </w:tcPr>
          <w:p w14:paraId="41E603F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55.758</w:t>
            </w:r>
          </w:p>
        </w:tc>
        <w:tc>
          <w:tcPr>
            <w:tcW w:w="664" w:type="dxa"/>
            <w:gridSpan w:val="2"/>
            <w:tcBorders>
              <w:top w:val="single" w:sz="4" w:space="0" w:color="auto"/>
              <w:bottom w:val="single" w:sz="4" w:space="0" w:color="auto"/>
            </w:tcBorders>
            <w:shd w:val="clear" w:color="auto" w:fill="FFFFFF"/>
            <w:vAlign w:val="center"/>
          </w:tcPr>
          <w:p w14:paraId="30332E1E"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292</w:t>
            </w:r>
          </w:p>
        </w:tc>
        <w:tc>
          <w:tcPr>
            <w:tcW w:w="1631" w:type="dxa"/>
            <w:tcBorders>
              <w:top w:val="single" w:sz="4" w:space="0" w:color="auto"/>
              <w:bottom w:val="single" w:sz="4" w:space="0" w:color="auto"/>
            </w:tcBorders>
            <w:shd w:val="clear" w:color="auto" w:fill="FFFFFF"/>
            <w:vAlign w:val="center"/>
          </w:tcPr>
          <w:p w14:paraId="367CF36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0.191</w:t>
            </w:r>
          </w:p>
        </w:tc>
        <w:tc>
          <w:tcPr>
            <w:tcW w:w="1022" w:type="dxa"/>
            <w:tcBorders>
              <w:top w:val="single" w:sz="4" w:space="0" w:color="auto"/>
              <w:bottom w:val="single" w:sz="4" w:space="0" w:color="auto"/>
            </w:tcBorders>
            <w:shd w:val="clear" w:color="auto" w:fill="FFFFFF"/>
            <w:vAlign w:val="center"/>
          </w:tcPr>
          <w:p w14:paraId="72920988" w14:textId="77777777" w:rsidR="00372A1B" w:rsidRPr="00AC1665" w:rsidRDefault="00372A1B" w:rsidP="00372A1B">
            <w:pPr>
              <w:jc w:val="center"/>
              <w:rPr>
                <w:sz w:val="18"/>
                <w:szCs w:val="18"/>
              </w:rPr>
            </w:pPr>
          </w:p>
        </w:tc>
        <w:tc>
          <w:tcPr>
            <w:tcW w:w="1384" w:type="dxa"/>
            <w:tcBorders>
              <w:top w:val="single" w:sz="4" w:space="0" w:color="auto"/>
              <w:bottom w:val="single" w:sz="4" w:space="0" w:color="auto"/>
            </w:tcBorders>
            <w:shd w:val="clear" w:color="auto" w:fill="FFFFFF"/>
            <w:vAlign w:val="center"/>
          </w:tcPr>
          <w:p w14:paraId="6784AE2D" w14:textId="77777777" w:rsidR="00372A1B" w:rsidRPr="00AC1665" w:rsidRDefault="00372A1B" w:rsidP="00372A1B">
            <w:pPr>
              <w:jc w:val="center"/>
              <w:rPr>
                <w:sz w:val="18"/>
                <w:szCs w:val="18"/>
              </w:rPr>
            </w:pPr>
          </w:p>
        </w:tc>
      </w:tr>
      <w:tr w:rsidR="00372A1B" w:rsidRPr="00AC1665" w14:paraId="61EDD630" w14:textId="77777777" w:rsidTr="00AC1665">
        <w:trPr>
          <w:trHeight w:val="370"/>
        </w:trPr>
        <w:tc>
          <w:tcPr>
            <w:tcW w:w="1929" w:type="dxa"/>
            <w:tcBorders>
              <w:top w:val="single" w:sz="4" w:space="0" w:color="auto"/>
              <w:bottom w:val="single" w:sz="4" w:space="0" w:color="auto"/>
            </w:tcBorders>
          </w:tcPr>
          <w:p w14:paraId="68285050"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69" w:type="dxa"/>
            <w:tcBorders>
              <w:top w:val="single" w:sz="4" w:space="0" w:color="auto"/>
              <w:bottom w:val="single" w:sz="4" w:space="0" w:color="auto"/>
            </w:tcBorders>
            <w:shd w:val="clear" w:color="auto" w:fill="FFFFFF"/>
            <w:vAlign w:val="center"/>
          </w:tcPr>
          <w:p w14:paraId="6D9E0120"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61.313</w:t>
            </w:r>
          </w:p>
        </w:tc>
        <w:tc>
          <w:tcPr>
            <w:tcW w:w="664" w:type="dxa"/>
            <w:gridSpan w:val="2"/>
            <w:tcBorders>
              <w:top w:val="single" w:sz="4" w:space="0" w:color="auto"/>
              <w:bottom w:val="single" w:sz="4" w:space="0" w:color="auto"/>
            </w:tcBorders>
            <w:shd w:val="clear" w:color="auto" w:fill="FFFFFF"/>
            <w:vAlign w:val="center"/>
          </w:tcPr>
          <w:p w14:paraId="619E105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298</w:t>
            </w:r>
          </w:p>
        </w:tc>
        <w:tc>
          <w:tcPr>
            <w:tcW w:w="1631" w:type="dxa"/>
            <w:tcBorders>
              <w:top w:val="single" w:sz="4" w:space="0" w:color="auto"/>
              <w:bottom w:val="single" w:sz="4" w:space="0" w:color="auto"/>
            </w:tcBorders>
            <w:shd w:val="clear" w:color="auto" w:fill="FFFFFF"/>
            <w:vAlign w:val="center"/>
          </w:tcPr>
          <w:p w14:paraId="07E528FB" w14:textId="77777777" w:rsidR="00372A1B" w:rsidRPr="00AC1665" w:rsidRDefault="00372A1B" w:rsidP="00372A1B">
            <w:pPr>
              <w:jc w:val="center"/>
              <w:rPr>
                <w:sz w:val="18"/>
                <w:szCs w:val="18"/>
              </w:rPr>
            </w:pPr>
          </w:p>
        </w:tc>
        <w:tc>
          <w:tcPr>
            <w:tcW w:w="1022" w:type="dxa"/>
            <w:tcBorders>
              <w:top w:val="single" w:sz="4" w:space="0" w:color="auto"/>
              <w:bottom w:val="single" w:sz="4" w:space="0" w:color="auto"/>
            </w:tcBorders>
            <w:shd w:val="clear" w:color="auto" w:fill="FFFFFF"/>
            <w:vAlign w:val="center"/>
          </w:tcPr>
          <w:p w14:paraId="7D61DD14" w14:textId="77777777" w:rsidR="00372A1B" w:rsidRPr="00AC1665" w:rsidRDefault="00372A1B" w:rsidP="00372A1B">
            <w:pPr>
              <w:jc w:val="center"/>
              <w:rPr>
                <w:sz w:val="18"/>
                <w:szCs w:val="18"/>
              </w:rPr>
            </w:pPr>
          </w:p>
        </w:tc>
        <w:tc>
          <w:tcPr>
            <w:tcW w:w="1384" w:type="dxa"/>
            <w:tcBorders>
              <w:top w:val="single" w:sz="4" w:space="0" w:color="auto"/>
              <w:bottom w:val="single" w:sz="4" w:space="0" w:color="auto"/>
            </w:tcBorders>
            <w:shd w:val="clear" w:color="auto" w:fill="FFFFFF"/>
            <w:vAlign w:val="center"/>
          </w:tcPr>
          <w:p w14:paraId="2E6B3570" w14:textId="77777777" w:rsidR="00372A1B" w:rsidRPr="00AC1665" w:rsidRDefault="00372A1B" w:rsidP="00372A1B">
            <w:pPr>
              <w:jc w:val="center"/>
              <w:rPr>
                <w:sz w:val="18"/>
                <w:szCs w:val="18"/>
              </w:rPr>
            </w:pPr>
          </w:p>
        </w:tc>
      </w:tr>
    </w:tbl>
    <w:p w14:paraId="7C3EDABB" w14:textId="77777777" w:rsidR="00372A1B" w:rsidRPr="00372A1B" w:rsidRDefault="00372A1B" w:rsidP="00372A1B">
      <w:pPr>
        <w:jc w:val="both"/>
        <w:rPr>
          <w:rFonts w:ascii="Arial" w:hAnsi="Arial" w:cs="Arial"/>
        </w:rPr>
      </w:pPr>
    </w:p>
    <w:p w14:paraId="125A3C56" w14:textId="4F7D9064" w:rsidR="00372A1B" w:rsidRDefault="00372A1B" w:rsidP="00372A1B">
      <w:pPr>
        <w:ind w:firstLine="720"/>
        <w:jc w:val="both"/>
        <w:rPr>
          <w:rFonts w:ascii="Arial" w:hAnsi="Arial" w:cs="Arial"/>
          <w:bCs/>
        </w:rPr>
      </w:pPr>
      <w:r w:rsidRPr="00372A1B">
        <w:rPr>
          <w:rFonts w:ascii="Arial" w:hAnsi="Arial" w:cs="Arial"/>
          <w:bCs/>
          <w:lang w:val="en-PH"/>
        </w:rPr>
        <w:t xml:space="preserve">The significant difference suggests that stakeholders’ awareness of the university’s VMPEO is influenced by their level of educational attainment. This aligns with the principles of Freeman’s Stakeholder Theory (1984), which highlights how stakeholder characteristics—such as education and role—shape their level of engagement and understanding of institutional frameworks. </w:t>
      </w:r>
      <w:r w:rsidRPr="00372A1B">
        <w:rPr>
          <w:rFonts w:ascii="Arial" w:hAnsi="Arial" w:cs="Arial"/>
          <w:bCs/>
        </w:rPr>
        <w:t xml:space="preserve">The result also supports the findings of Yáñez et al. (2018) and </w:t>
      </w:r>
      <w:proofErr w:type="spellStart"/>
      <w:r w:rsidRPr="00372A1B">
        <w:rPr>
          <w:rFonts w:ascii="Arial" w:hAnsi="Arial" w:cs="Arial"/>
          <w:bCs/>
        </w:rPr>
        <w:t>Almarghani</w:t>
      </w:r>
      <w:proofErr w:type="spellEnd"/>
      <w:r w:rsidRPr="00372A1B">
        <w:rPr>
          <w:rFonts w:ascii="Arial" w:hAnsi="Arial" w:cs="Arial"/>
          <w:bCs/>
        </w:rPr>
        <w:t xml:space="preserve"> and </w:t>
      </w:r>
      <w:proofErr w:type="spellStart"/>
      <w:r w:rsidRPr="00372A1B">
        <w:rPr>
          <w:rFonts w:ascii="Arial" w:hAnsi="Arial" w:cs="Arial"/>
          <w:bCs/>
        </w:rPr>
        <w:t>Mijatovic</w:t>
      </w:r>
      <w:proofErr w:type="spellEnd"/>
      <w:r w:rsidRPr="00372A1B">
        <w:rPr>
          <w:rFonts w:ascii="Arial" w:hAnsi="Arial" w:cs="Arial"/>
          <w:bCs/>
        </w:rPr>
        <w:t xml:space="preserve"> (2017), who emphasized the importance of tailored communication strategies to effectively reach diverse stakeholder groups. Differences in educational background may correspond with varying degrees of exposure to academic and institutional messaging, which can impact how well stakeholders understand </w:t>
      </w:r>
      <w:proofErr w:type="spellStart"/>
      <w:r w:rsidRPr="00372A1B">
        <w:rPr>
          <w:rFonts w:ascii="Arial" w:hAnsi="Arial" w:cs="Arial"/>
          <w:bCs/>
        </w:rPr>
        <w:t>DOrSU’s</w:t>
      </w:r>
      <w:proofErr w:type="spellEnd"/>
      <w:r w:rsidRPr="00372A1B">
        <w:rPr>
          <w:rFonts w:ascii="Arial" w:hAnsi="Arial" w:cs="Arial"/>
          <w:bCs/>
        </w:rPr>
        <w:t xml:space="preserve"> core goals. </w:t>
      </w:r>
    </w:p>
    <w:p w14:paraId="62BD8B7D" w14:textId="77777777" w:rsidR="00AC1665" w:rsidRPr="00372A1B" w:rsidRDefault="00AC1665" w:rsidP="00372A1B">
      <w:pPr>
        <w:ind w:firstLine="720"/>
        <w:jc w:val="both"/>
        <w:rPr>
          <w:rFonts w:ascii="Arial" w:hAnsi="Arial" w:cs="Arial"/>
          <w:bCs/>
          <w:lang w:val="en-PH"/>
        </w:rPr>
      </w:pPr>
    </w:p>
    <w:p w14:paraId="2AC96139" w14:textId="1D7A3B8A" w:rsidR="00372A1B" w:rsidRDefault="00372A1B" w:rsidP="00372A1B">
      <w:pPr>
        <w:ind w:firstLine="720"/>
        <w:jc w:val="both"/>
        <w:rPr>
          <w:rFonts w:ascii="Arial" w:hAnsi="Arial" w:cs="Arial"/>
          <w:bCs/>
          <w:lang w:val="en-PH"/>
        </w:rPr>
      </w:pPr>
      <w:r w:rsidRPr="00372A1B">
        <w:rPr>
          <w:rFonts w:ascii="Arial" w:hAnsi="Arial" w:cs="Arial"/>
          <w:lang w:val="en-PH"/>
        </w:rPr>
        <w:t>Table 1</w:t>
      </w:r>
      <w:r w:rsidR="00AC1665">
        <w:rPr>
          <w:rFonts w:ascii="Arial" w:hAnsi="Arial" w:cs="Arial"/>
          <w:lang w:val="en-PH"/>
        </w:rPr>
        <w:t>7</w:t>
      </w:r>
      <w:r w:rsidRPr="00372A1B">
        <w:rPr>
          <w:rFonts w:ascii="Arial" w:hAnsi="Arial" w:cs="Arial"/>
          <w:lang w:val="en-PH"/>
        </w:rPr>
        <w:t xml:space="preserve"> presents a detailed comparison that indicates significant differences in educational attainment levels of awareness. It </w:t>
      </w:r>
      <w:r w:rsidRPr="00372A1B">
        <w:rPr>
          <w:rFonts w:ascii="Arial" w:hAnsi="Arial" w:cs="Arial"/>
          <w:bCs/>
          <w:lang w:val="en-PH"/>
        </w:rPr>
        <w:t xml:space="preserve">presents the post hoc analysis of the differences in awareness levels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(PEOs) among stakeholders with varying educational attainment. The results reveal significant differences between high school graduates and college-level individuals (p = 0.001) and </w:t>
      </w:r>
      <w:r w:rsidRPr="00372A1B">
        <w:rPr>
          <w:rFonts w:ascii="Arial" w:hAnsi="Arial" w:cs="Arial"/>
          <w:bCs/>
          <w:lang w:val="en-PH"/>
        </w:rPr>
        <w:lastRenderedPageBreak/>
        <w:t>between high school graduates and graduate-level individuals (p = 0.047). In both cases, high school graduates demonstrated lower levels of awareness compared to those who pursued higher education. All other comparisons—such as high school graduates versus elementary-level graduates, elementary graduates, or college graduates—showed no statistically significant difference, indicating similar awareness levels among these groups.</w:t>
      </w:r>
    </w:p>
    <w:p w14:paraId="12A005E9" w14:textId="77777777" w:rsidR="00AC1665" w:rsidRPr="00372A1B" w:rsidRDefault="00AC1665" w:rsidP="00372A1B">
      <w:pPr>
        <w:ind w:firstLine="720"/>
        <w:jc w:val="both"/>
        <w:rPr>
          <w:rFonts w:ascii="Arial" w:hAnsi="Arial" w:cs="Arial"/>
          <w:lang w:val="en-PH"/>
        </w:rPr>
      </w:pPr>
    </w:p>
    <w:p w14:paraId="0AA3811B" w14:textId="5BEC10C8"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7</w:t>
      </w:r>
      <w:r w:rsidRPr="00372A1B">
        <w:rPr>
          <w:rFonts w:ascii="Arial" w:hAnsi="Arial" w:cs="Arial"/>
        </w:rPr>
        <w:t>: Detailed comparison of educational attainment where significant difference in the level of awareness is found</w:t>
      </w:r>
    </w:p>
    <w:tbl>
      <w:tblPr>
        <w:tblW w:w="813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80"/>
        <w:gridCol w:w="1360"/>
        <w:gridCol w:w="1070"/>
        <w:gridCol w:w="618"/>
        <w:gridCol w:w="619"/>
        <w:gridCol w:w="1013"/>
        <w:gridCol w:w="857"/>
        <w:gridCol w:w="1519"/>
      </w:tblGrid>
      <w:tr w:rsidR="00372A1B" w:rsidRPr="00AC1665" w14:paraId="17CCCF17" w14:textId="77777777" w:rsidTr="00FA1462">
        <w:trPr>
          <w:cantSplit/>
          <w:trHeight w:val="291"/>
        </w:trPr>
        <w:tc>
          <w:tcPr>
            <w:tcW w:w="1080" w:type="dxa"/>
            <w:vMerge w:val="restart"/>
            <w:tcBorders>
              <w:tl2br w:val="nil"/>
              <w:tr2bl w:val="nil"/>
            </w:tcBorders>
            <w:shd w:val="clear" w:color="auto" w:fill="FFFFFF"/>
          </w:tcPr>
          <w:p w14:paraId="3D9CA188" w14:textId="77777777" w:rsidR="00372A1B" w:rsidRPr="00AC1665" w:rsidRDefault="00372A1B" w:rsidP="00372A1B">
            <w:pPr>
              <w:ind w:left="60" w:right="60"/>
              <w:rPr>
                <w:rFonts w:ascii="Arial" w:hAnsi="Arial"/>
                <w:sz w:val="18"/>
                <w:szCs w:val="18"/>
              </w:rPr>
            </w:pPr>
            <w:r w:rsidRPr="00AC1665">
              <w:rPr>
                <w:rFonts w:ascii="Arial" w:hAnsi="Arial"/>
                <w:sz w:val="18"/>
                <w:szCs w:val="18"/>
              </w:rPr>
              <w:t>(I) Educational Attainment</w:t>
            </w:r>
          </w:p>
        </w:tc>
        <w:tc>
          <w:tcPr>
            <w:tcW w:w="1360" w:type="dxa"/>
            <w:vMerge w:val="restart"/>
            <w:tcBorders>
              <w:tl2br w:val="nil"/>
              <w:tr2bl w:val="nil"/>
            </w:tcBorders>
            <w:shd w:val="clear" w:color="auto" w:fill="FFFFFF"/>
          </w:tcPr>
          <w:p w14:paraId="3CEDA524" w14:textId="77777777" w:rsidR="00372A1B" w:rsidRPr="00AC1665" w:rsidRDefault="00372A1B" w:rsidP="00372A1B">
            <w:pPr>
              <w:ind w:left="60" w:right="60"/>
              <w:rPr>
                <w:rFonts w:ascii="Arial" w:hAnsi="Arial"/>
                <w:sz w:val="18"/>
                <w:szCs w:val="18"/>
              </w:rPr>
            </w:pPr>
            <w:r w:rsidRPr="00AC1665">
              <w:rPr>
                <w:rFonts w:ascii="Arial" w:hAnsi="Arial"/>
                <w:sz w:val="18"/>
                <w:szCs w:val="18"/>
              </w:rPr>
              <w:t>(J) Educational Attainment</w:t>
            </w:r>
          </w:p>
        </w:tc>
        <w:tc>
          <w:tcPr>
            <w:tcW w:w="1070" w:type="dxa"/>
            <w:vMerge w:val="restart"/>
            <w:tcBorders>
              <w:tl2br w:val="nil"/>
              <w:tr2bl w:val="nil"/>
            </w:tcBorders>
            <w:shd w:val="clear" w:color="auto" w:fill="FFFFFF"/>
          </w:tcPr>
          <w:p w14:paraId="03E51B8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618" w:type="dxa"/>
            <w:vMerge w:val="restart"/>
            <w:tcBorders>
              <w:tl2br w:val="nil"/>
              <w:tr2bl w:val="nil"/>
            </w:tcBorders>
            <w:shd w:val="clear" w:color="auto" w:fill="FFFFFF"/>
          </w:tcPr>
          <w:p w14:paraId="075E3F3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19" w:type="dxa"/>
            <w:vMerge w:val="restart"/>
            <w:tcBorders>
              <w:tl2br w:val="nil"/>
              <w:tr2bl w:val="nil"/>
            </w:tcBorders>
            <w:shd w:val="clear" w:color="auto" w:fill="FFFFFF"/>
          </w:tcPr>
          <w:p w14:paraId="45AC292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70" w:type="dxa"/>
            <w:gridSpan w:val="2"/>
            <w:tcBorders>
              <w:tl2br w:val="nil"/>
              <w:tr2bl w:val="nil"/>
            </w:tcBorders>
            <w:shd w:val="clear" w:color="auto" w:fill="FFFFFF"/>
          </w:tcPr>
          <w:p w14:paraId="78B28C0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19" w:type="dxa"/>
            <w:vMerge w:val="restart"/>
            <w:tcBorders>
              <w:tl2br w:val="nil"/>
              <w:tr2bl w:val="nil"/>
            </w:tcBorders>
            <w:shd w:val="clear" w:color="auto" w:fill="FFFFFF"/>
            <w:vAlign w:val="center"/>
          </w:tcPr>
          <w:p w14:paraId="74B3262F"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FA1462" w:rsidRPr="00AC1665" w14:paraId="175829B1" w14:textId="77777777" w:rsidTr="00FA1462">
        <w:trPr>
          <w:cantSplit/>
          <w:trHeight w:val="327"/>
        </w:trPr>
        <w:tc>
          <w:tcPr>
            <w:tcW w:w="1080" w:type="dxa"/>
            <w:vMerge/>
            <w:tcBorders>
              <w:bottom w:val="single" w:sz="4" w:space="0" w:color="auto"/>
              <w:tl2br w:val="nil"/>
              <w:tr2bl w:val="nil"/>
            </w:tcBorders>
            <w:shd w:val="clear" w:color="auto" w:fill="FFFFFF"/>
          </w:tcPr>
          <w:p w14:paraId="27315C21" w14:textId="77777777" w:rsidR="00372A1B" w:rsidRPr="00AC1665" w:rsidRDefault="00372A1B" w:rsidP="00372A1B">
            <w:pPr>
              <w:rPr>
                <w:rFonts w:ascii="Arial" w:hAnsi="Arial"/>
                <w:sz w:val="18"/>
                <w:szCs w:val="18"/>
              </w:rPr>
            </w:pPr>
          </w:p>
        </w:tc>
        <w:tc>
          <w:tcPr>
            <w:tcW w:w="1360" w:type="dxa"/>
            <w:vMerge/>
            <w:tcBorders>
              <w:bottom w:val="single" w:sz="4" w:space="0" w:color="auto"/>
              <w:tl2br w:val="nil"/>
              <w:tr2bl w:val="nil"/>
            </w:tcBorders>
            <w:shd w:val="clear" w:color="auto" w:fill="FFFFFF"/>
          </w:tcPr>
          <w:p w14:paraId="2BA82F5D" w14:textId="77777777" w:rsidR="00372A1B" w:rsidRPr="00AC1665" w:rsidRDefault="00372A1B" w:rsidP="00372A1B">
            <w:pPr>
              <w:rPr>
                <w:rFonts w:ascii="Arial" w:hAnsi="Arial"/>
                <w:sz w:val="18"/>
                <w:szCs w:val="18"/>
              </w:rPr>
            </w:pPr>
          </w:p>
        </w:tc>
        <w:tc>
          <w:tcPr>
            <w:tcW w:w="1070" w:type="dxa"/>
            <w:vMerge/>
            <w:tcBorders>
              <w:bottom w:val="single" w:sz="4" w:space="0" w:color="auto"/>
              <w:tl2br w:val="nil"/>
              <w:tr2bl w:val="nil"/>
            </w:tcBorders>
            <w:shd w:val="clear" w:color="auto" w:fill="FFFFFF"/>
          </w:tcPr>
          <w:p w14:paraId="6E2DC04C" w14:textId="77777777" w:rsidR="00372A1B" w:rsidRPr="00AC1665" w:rsidRDefault="00372A1B" w:rsidP="00372A1B">
            <w:pPr>
              <w:rPr>
                <w:rFonts w:ascii="Arial" w:hAnsi="Arial"/>
                <w:sz w:val="18"/>
                <w:szCs w:val="18"/>
              </w:rPr>
            </w:pPr>
          </w:p>
        </w:tc>
        <w:tc>
          <w:tcPr>
            <w:tcW w:w="618" w:type="dxa"/>
            <w:vMerge/>
            <w:tcBorders>
              <w:bottom w:val="single" w:sz="4" w:space="0" w:color="auto"/>
              <w:tl2br w:val="nil"/>
              <w:tr2bl w:val="nil"/>
            </w:tcBorders>
            <w:shd w:val="clear" w:color="auto" w:fill="FFFFFF"/>
          </w:tcPr>
          <w:p w14:paraId="6C3728AE" w14:textId="77777777" w:rsidR="00372A1B" w:rsidRPr="00AC1665" w:rsidRDefault="00372A1B" w:rsidP="00372A1B">
            <w:pPr>
              <w:rPr>
                <w:rFonts w:ascii="Arial" w:hAnsi="Arial"/>
                <w:sz w:val="18"/>
                <w:szCs w:val="18"/>
              </w:rPr>
            </w:pPr>
          </w:p>
        </w:tc>
        <w:tc>
          <w:tcPr>
            <w:tcW w:w="619" w:type="dxa"/>
            <w:vMerge/>
            <w:tcBorders>
              <w:bottom w:val="single" w:sz="4" w:space="0" w:color="auto"/>
              <w:tl2br w:val="nil"/>
              <w:tr2bl w:val="nil"/>
            </w:tcBorders>
            <w:shd w:val="clear" w:color="auto" w:fill="FFFFFF"/>
          </w:tcPr>
          <w:p w14:paraId="1B208BD5" w14:textId="77777777" w:rsidR="00372A1B" w:rsidRPr="00AC1665" w:rsidRDefault="00372A1B" w:rsidP="00372A1B">
            <w:pPr>
              <w:rPr>
                <w:rFonts w:ascii="Arial" w:hAnsi="Arial"/>
                <w:sz w:val="18"/>
                <w:szCs w:val="18"/>
              </w:rPr>
            </w:pPr>
          </w:p>
        </w:tc>
        <w:tc>
          <w:tcPr>
            <w:tcW w:w="1013" w:type="dxa"/>
            <w:tcBorders>
              <w:bottom w:val="single" w:sz="4" w:space="0" w:color="auto"/>
              <w:tl2br w:val="nil"/>
              <w:tr2bl w:val="nil"/>
            </w:tcBorders>
            <w:shd w:val="clear" w:color="auto" w:fill="FFFFFF"/>
          </w:tcPr>
          <w:p w14:paraId="4AA11E2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57" w:type="dxa"/>
            <w:tcBorders>
              <w:bottom w:val="single" w:sz="4" w:space="0" w:color="auto"/>
              <w:tl2br w:val="nil"/>
              <w:tr2bl w:val="nil"/>
            </w:tcBorders>
            <w:shd w:val="clear" w:color="auto" w:fill="FFFFFF"/>
          </w:tcPr>
          <w:p w14:paraId="220EABB7"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19" w:type="dxa"/>
            <w:vMerge/>
            <w:tcBorders>
              <w:bottom w:val="single" w:sz="4" w:space="0" w:color="auto"/>
              <w:tl2br w:val="nil"/>
              <w:tr2bl w:val="nil"/>
            </w:tcBorders>
            <w:shd w:val="clear" w:color="auto" w:fill="FFFFFF"/>
          </w:tcPr>
          <w:p w14:paraId="27DE5463" w14:textId="77777777" w:rsidR="00372A1B" w:rsidRPr="00AC1665" w:rsidRDefault="00372A1B" w:rsidP="00372A1B">
            <w:pPr>
              <w:ind w:left="60" w:right="60"/>
              <w:jc w:val="center"/>
              <w:rPr>
                <w:rFonts w:ascii="Arial" w:hAnsi="Arial"/>
                <w:sz w:val="18"/>
                <w:szCs w:val="18"/>
              </w:rPr>
            </w:pPr>
          </w:p>
        </w:tc>
      </w:tr>
      <w:tr w:rsidR="00FA1462" w:rsidRPr="00AC1665" w14:paraId="7C631C14" w14:textId="77777777" w:rsidTr="00FA1462">
        <w:trPr>
          <w:cantSplit/>
          <w:trHeight w:val="258"/>
        </w:trPr>
        <w:tc>
          <w:tcPr>
            <w:tcW w:w="1080" w:type="dxa"/>
            <w:vMerge w:val="restart"/>
            <w:tcBorders>
              <w:top w:val="single" w:sz="4" w:space="0" w:color="auto"/>
              <w:tl2br w:val="nil"/>
              <w:tr2bl w:val="nil"/>
            </w:tcBorders>
            <w:shd w:val="clear" w:color="auto" w:fill="FFFFFF"/>
            <w:vAlign w:val="center"/>
          </w:tcPr>
          <w:p w14:paraId="2C4428F8" w14:textId="77777777" w:rsidR="00372A1B" w:rsidRPr="00AC1665" w:rsidRDefault="00372A1B" w:rsidP="00372A1B">
            <w:pPr>
              <w:ind w:left="60" w:right="60"/>
              <w:rPr>
                <w:rFonts w:ascii="Arial" w:hAnsi="Arial"/>
                <w:sz w:val="18"/>
                <w:szCs w:val="18"/>
              </w:rPr>
            </w:pPr>
            <w:r w:rsidRPr="00AC1665">
              <w:rPr>
                <w:rFonts w:ascii="Arial" w:hAnsi="Arial"/>
                <w:sz w:val="18"/>
                <w:szCs w:val="18"/>
              </w:rPr>
              <w:t>High School Graduate</w:t>
            </w:r>
          </w:p>
        </w:tc>
        <w:tc>
          <w:tcPr>
            <w:tcW w:w="1360" w:type="dxa"/>
            <w:tcBorders>
              <w:top w:val="single" w:sz="4" w:space="0" w:color="auto"/>
              <w:bottom w:val="single" w:sz="4" w:space="0" w:color="auto"/>
              <w:tl2br w:val="nil"/>
              <w:tr2bl w:val="nil"/>
            </w:tcBorders>
            <w:shd w:val="clear" w:color="auto" w:fill="FFFFFF"/>
            <w:vAlign w:val="center"/>
          </w:tcPr>
          <w:p w14:paraId="4DE47860" w14:textId="77777777" w:rsidR="00372A1B" w:rsidRPr="00AC1665" w:rsidRDefault="00372A1B" w:rsidP="00372A1B">
            <w:pPr>
              <w:ind w:left="60" w:right="60"/>
              <w:rPr>
                <w:rFonts w:ascii="Arial" w:hAnsi="Arial"/>
                <w:sz w:val="18"/>
                <w:szCs w:val="18"/>
              </w:rPr>
            </w:pPr>
            <w:r w:rsidRPr="00AC1665">
              <w:rPr>
                <w:rFonts w:ascii="Arial" w:hAnsi="Arial"/>
                <w:sz w:val="18"/>
                <w:szCs w:val="18"/>
              </w:rPr>
              <w:t>Elementary Level</w:t>
            </w:r>
          </w:p>
        </w:tc>
        <w:tc>
          <w:tcPr>
            <w:tcW w:w="1070" w:type="dxa"/>
            <w:tcBorders>
              <w:top w:val="single" w:sz="4" w:space="0" w:color="auto"/>
              <w:bottom w:val="single" w:sz="4" w:space="0" w:color="auto"/>
              <w:tl2br w:val="nil"/>
              <w:tr2bl w:val="nil"/>
            </w:tcBorders>
            <w:shd w:val="clear" w:color="auto" w:fill="FFFFFF"/>
            <w:vAlign w:val="center"/>
          </w:tcPr>
          <w:p w14:paraId="50EAE34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.18540</w:t>
            </w:r>
          </w:p>
        </w:tc>
        <w:tc>
          <w:tcPr>
            <w:tcW w:w="618" w:type="dxa"/>
            <w:tcBorders>
              <w:top w:val="single" w:sz="4" w:space="0" w:color="auto"/>
              <w:bottom w:val="single" w:sz="4" w:space="0" w:color="auto"/>
              <w:tl2br w:val="nil"/>
              <w:tr2bl w:val="nil"/>
            </w:tcBorders>
            <w:shd w:val="clear" w:color="auto" w:fill="FFFFFF"/>
            <w:vAlign w:val="center"/>
          </w:tcPr>
          <w:p w14:paraId="5E1CE91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.23216</w:t>
            </w:r>
          </w:p>
        </w:tc>
        <w:tc>
          <w:tcPr>
            <w:tcW w:w="619" w:type="dxa"/>
            <w:tcBorders>
              <w:top w:val="single" w:sz="4" w:space="0" w:color="auto"/>
              <w:bottom w:val="single" w:sz="4" w:space="0" w:color="auto"/>
              <w:tl2br w:val="nil"/>
              <w:tr2bl w:val="nil"/>
            </w:tcBorders>
            <w:shd w:val="clear" w:color="auto" w:fill="FFFFFF"/>
            <w:vAlign w:val="center"/>
          </w:tcPr>
          <w:p w14:paraId="1625EA5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.985</w:t>
            </w:r>
          </w:p>
        </w:tc>
        <w:tc>
          <w:tcPr>
            <w:tcW w:w="1013" w:type="dxa"/>
            <w:tcBorders>
              <w:top w:val="single" w:sz="4" w:space="0" w:color="auto"/>
              <w:bottom w:val="single" w:sz="4" w:space="0" w:color="auto"/>
              <w:tl2br w:val="nil"/>
              <w:tr2bl w:val="nil"/>
            </w:tcBorders>
            <w:shd w:val="clear" w:color="auto" w:fill="FFFFFF"/>
            <w:vAlign w:val="center"/>
          </w:tcPr>
          <w:p w14:paraId="479C228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-.5039</w:t>
            </w:r>
          </w:p>
        </w:tc>
        <w:tc>
          <w:tcPr>
            <w:tcW w:w="857" w:type="dxa"/>
            <w:tcBorders>
              <w:top w:val="single" w:sz="4" w:space="0" w:color="auto"/>
              <w:bottom w:val="single" w:sz="4" w:space="0" w:color="auto"/>
              <w:tl2br w:val="nil"/>
              <w:tr2bl w:val="nil"/>
            </w:tcBorders>
            <w:shd w:val="clear" w:color="auto" w:fill="FFFFFF"/>
            <w:vAlign w:val="center"/>
          </w:tcPr>
          <w:p w14:paraId="4BE4CEA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.8747</w:t>
            </w:r>
          </w:p>
        </w:tc>
        <w:tc>
          <w:tcPr>
            <w:tcW w:w="1519" w:type="dxa"/>
            <w:tcBorders>
              <w:top w:val="single" w:sz="4" w:space="0" w:color="auto"/>
              <w:bottom w:val="single" w:sz="4" w:space="0" w:color="auto"/>
              <w:tl2br w:val="nil"/>
              <w:tr2bl w:val="nil"/>
            </w:tcBorders>
            <w:shd w:val="clear" w:color="auto" w:fill="FFFFFF"/>
            <w:vAlign w:val="center"/>
          </w:tcPr>
          <w:p w14:paraId="23D9FA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3D65C35D" w14:textId="77777777" w:rsidTr="00FA1462">
        <w:trPr>
          <w:cantSplit/>
          <w:trHeight w:val="258"/>
        </w:trPr>
        <w:tc>
          <w:tcPr>
            <w:tcW w:w="1080" w:type="dxa"/>
            <w:vMerge/>
            <w:tcBorders>
              <w:tl2br w:val="nil"/>
              <w:tr2bl w:val="nil"/>
            </w:tcBorders>
            <w:shd w:val="clear" w:color="auto" w:fill="FFFFFF"/>
            <w:vAlign w:val="center"/>
          </w:tcPr>
          <w:p w14:paraId="01392481"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083A1872" w14:textId="77777777" w:rsidR="00372A1B" w:rsidRPr="00AC1665" w:rsidRDefault="00372A1B" w:rsidP="00372A1B">
            <w:pPr>
              <w:ind w:left="60" w:right="60"/>
              <w:rPr>
                <w:rFonts w:ascii="Arial" w:hAnsi="Arial"/>
                <w:sz w:val="18"/>
                <w:szCs w:val="18"/>
              </w:rPr>
            </w:pPr>
            <w:r w:rsidRPr="00AC1665">
              <w:rPr>
                <w:rFonts w:ascii="Arial" w:hAnsi="Arial"/>
                <w:sz w:val="18"/>
                <w:szCs w:val="18"/>
              </w:rPr>
              <w:t>Elementary Graduate</w:t>
            </w:r>
          </w:p>
        </w:tc>
        <w:tc>
          <w:tcPr>
            <w:tcW w:w="1070" w:type="dxa"/>
            <w:tcBorders>
              <w:top w:val="single" w:sz="4" w:space="0" w:color="auto"/>
              <w:bottom w:val="single" w:sz="4" w:space="0" w:color="auto"/>
              <w:tl2br w:val="nil"/>
              <w:tr2bl w:val="nil"/>
            </w:tcBorders>
            <w:shd w:val="clear" w:color="auto" w:fill="FFFFFF"/>
            <w:vAlign w:val="center"/>
          </w:tcPr>
          <w:p w14:paraId="37C88E0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.02862</w:t>
            </w:r>
          </w:p>
        </w:tc>
        <w:tc>
          <w:tcPr>
            <w:tcW w:w="618" w:type="dxa"/>
            <w:tcBorders>
              <w:top w:val="single" w:sz="4" w:space="0" w:color="auto"/>
              <w:bottom w:val="single" w:sz="4" w:space="0" w:color="auto"/>
              <w:tl2br w:val="nil"/>
              <w:tr2bl w:val="nil"/>
            </w:tcBorders>
            <w:shd w:val="clear" w:color="auto" w:fill="FFFFFF"/>
            <w:vAlign w:val="center"/>
          </w:tcPr>
          <w:p w14:paraId="23FC915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.18286</w:t>
            </w:r>
          </w:p>
        </w:tc>
        <w:tc>
          <w:tcPr>
            <w:tcW w:w="619" w:type="dxa"/>
            <w:tcBorders>
              <w:top w:val="single" w:sz="4" w:space="0" w:color="auto"/>
              <w:bottom w:val="single" w:sz="4" w:space="0" w:color="auto"/>
              <w:tl2br w:val="nil"/>
              <w:tr2bl w:val="nil"/>
            </w:tcBorders>
            <w:shd w:val="clear" w:color="auto" w:fill="FFFFFF"/>
            <w:vAlign w:val="center"/>
          </w:tcPr>
          <w:p w14:paraId="2B61B2F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3" w:type="dxa"/>
            <w:tcBorders>
              <w:top w:val="single" w:sz="4" w:space="0" w:color="auto"/>
              <w:bottom w:val="single" w:sz="4" w:space="0" w:color="auto"/>
              <w:tl2br w:val="nil"/>
              <w:tr2bl w:val="nil"/>
            </w:tcBorders>
            <w:shd w:val="clear" w:color="auto" w:fill="FFFFFF"/>
            <w:vAlign w:val="center"/>
          </w:tcPr>
          <w:p w14:paraId="5E1AA1B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-.5143</w:t>
            </w:r>
          </w:p>
        </w:tc>
        <w:tc>
          <w:tcPr>
            <w:tcW w:w="857" w:type="dxa"/>
            <w:tcBorders>
              <w:top w:val="single" w:sz="4" w:space="0" w:color="auto"/>
              <w:bottom w:val="single" w:sz="4" w:space="0" w:color="auto"/>
              <w:tl2br w:val="nil"/>
              <w:tr2bl w:val="nil"/>
            </w:tcBorders>
            <w:shd w:val="clear" w:color="auto" w:fill="FFFFFF"/>
            <w:vAlign w:val="center"/>
          </w:tcPr>
          <w:p w14:paraId="3EB9CA7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.5715</w:t>
            </w:r>
          </w:p>
        </w:tc>
        <w:tc>
          <w:tcPr>
            <w:tcW w:w="1519" w:type="dxa"/>
            <w:tcBorders>
              <w:top w:val="single" w:sz="4" w:space="0" w:color="auto"/>
              <w:bottom w:val="single" w:sz="4" w:space="0" w:color="auto"/>
              <w:tl2br w:val="nil"/>
              <w:tr2bl w:val="nil"/>
            </w:tcBorders>
            <w:shd w:val="clear" w:color="auto" w:fill="FFFFFF"/>
            <w:vAlign w:val="center"/>
          </w:tcPr>
          <w:p w14:paraId="7899BFF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0574DD8F" w14:textId="77777777" w:rsidTr="00FA1462">
        <w:trPr>
          <w:cantSplit/>
          <w:trHeight w:val="258"/>
        </w:trPr>
        <w:tc>
          <w:tcPr>
            <w:tcW w:w="1080" w:type="dxa"/>
            <w:vMerge/>
            <w:tcBorders>
              <w:tl2br w:val="nil"/>
              <w:tr2bl w:val="nil"/>
            </w:tcBorders>
            <w:shd w:val="clear" w:color="auto" w:fill="FFFFFF"/>
            <w:vAlign w:val="center"/>
          </w:tcPr>
          <w:p w14:paraId="0404AAD2" w14:textId="77777777" w:rsidR="00372A1B" w:rsidRPr="00AC1665" w:rsidRDefault="00372A1B" w:rsidP="00372A1B">
            <w:pPr>
              <w:rPr>
                <w:rFonts w:ascii="Arial" w:hAnsi="Arial"/>
                <w:sz w:val="18"/>
                <w:szCs w:val="18"/>
              </w:rPr>
            </w:pPr>
          </w:p>
        </w:tc>
        <w:tc>
          <w:tcPr>
            <w:tcW w:w="1360" w:type="dxa"/>
            <w:tcBorders>
              <w:top w:val="single" w:sz="4" w:space="0" w:color="auto"/>
              <w:tl2br w:val="nil"/>
              <w:tr2bl w:val="nil"/>
            </w:tcBorders>
            <w:shd w:val="clear" w:color="auto" w:fill="FFFFFF"/>
            <w:vAlign w:val="center"/>
          </w:tcPr>
          <w:p w14:paraId="4219DA35" w14:textId="77777777" w:rsidR="00372A1B" w:rsidRPr="00AC1665" w:rsidRDefault="00372A1B" w:rsidP="00372A1B">
            <w:pPr>
              <w:ind w:left="60" w:right="60"/>
              <w:rPr>
                <w:rFonts w:ascii="Arial" w:hAnsi="Arial"/>
                <w:sz w:val="18"/>
                <w:szCs w:val="18"/>
              </w:rPr>
            </w:pPr>
            <w:r w:rsidRPr="00AC1665">
              <w:rPr>
                <w:rFonts w:ascii="Arial" w:hAnsi="Arial"/>
                <w:sz w:val="18"/>
                <w:szCs w:val="18"/>
              </w:rPr>
              <w:t>High School Level</w:t>
            </w:r>
          </w:p>
        </w:tc>
        <w:tc>
          <w:tcPr>
            <w:tcW w:w="1070" w:type="dxa"/>
            <w:tcBorders>
              <w:top w:val="single" w:sz="4" w:space="0" w:color="auto"/>
              <w:tl2br w:val="nil"/>
              <w:tr2bl w:val="nil"/>
            </w:tcBorders>
            <w:shd w:val="clear" w:color="auto" w:fill="FFFFFF"/>
            <w:vAlign w:val="center"/>
          </w:tcPr>
          <w:p w14:paraId="74D50BA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.03990</w:t>
            </w:r>
          </w:p>
        </w:tc>
        <w:tc>
          <w:tcPr>
            <w:tcW w:w="618" w:type="dxa"/>
            <w:tcBorders>
              <w:top w:val="single" w:sz="4" w:space="0" w:color="auto"/>
              <w:tl2br w:val="nil"/>
              <w:tr2bl w:val="nil"/>
            </w:tcBorders>
            <w:shd w:val="clear" w:color="auto" w:fill="FFFFFF"/>
            <w:vAlign w:val="center"/>
          </w:tcPr>
          <w:p w14:paraId="2C2BFA4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.15892</w:t>
            </w:r>
          </w:p>
        </w:tc>
        <w:tc>
          <w:tcPr>
            <w:tcW w:w="619" w:type="dxa"/>
            <w:tcBorders>
              <w:top w:val="single" w:sz="4" w:space="0" w:color="auto"/>
              <w:tl2br w:val="nil"/>
              <w:tr2bl w:val="nil"/>
            </w:tcBorders>
            <w:shd w:val="clear" w:color="auto" w:fill="FFFFFF"/>
            <w:vAlign w:val="center"/>
          </w:tcPr>
          <w:p w14:paraId="2E2E3B8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1.000</w:t>
            </w:r>
          </w:p>
        </w:tc>
        <w:tc>
          <w:tcPr>
            <w:tcW w:w="1013" w:type="dxa"/>
            <w:tcBorders>
              <w:top w:val="single" w:sz="4" w:space="0" w:color="auto"/>
              <w:tl2br w:val="nil"/>
              <w:tr2bl w:val="nil"/>
            </w:tcBorders>
            <w:shd w:val="clear" w:color="auto" w:fill="FFFFFF"/>
            <w:vAlign w:val="center"/>
          </w:tcPr>
          <w:p w14:paraId="3EADB46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-.4319</w:t>
            </w:r>
          </w:p>
        </w:tc>
        <w:tc>
          <w:tcPr>
            <w:tcW w:w="857" w:type="dxa"/>
            <w:tcBorders>
              <w:top w:val="single" w:sz="4" w:space="0" w:color="auto"/>
              <w:tl2br w:val="nil"/>
              <w:tr2bl w:val="nil"/>
            </w:tcBorders>
            <w:shd w:val="clear" w:color="auto" w:fill="FFFFFF"/>
            <w:vAlign w:val="center"/>
          </w:tcPr>
          <w:p w14:paraId="28EECCE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.5117</w:t>
            </w:r>
          </w:p>
        </w:tc>
        <w:tc>
          <w:tcPr>
            <w:tcW w:w="1519" w:type="dxa"/>
            <w:tcBorders>
              <w:top w:val="single" w:sz="4" w:space="0" w:color="auto"/>
              <w:tl2br w:val="nil"/>
              <w:tr2bl w:val="nil"/>
            </w:tcBorders>
            <w:shd w:val="clear" w:color="auto" w:fill="FFFFFF"/>
            <w:vAlign w:val="center"/>
          </w:tcPr>
          <w:p w14:paraId="6C36981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660FD8CA" w14:textId="77777777" w:rsidTr="00FA1462">
        <w:trPr>
          <w:cantSplit/>
          <w:trHeight w:val="258"/>
        </w:trPr>
        <w:tc>
          <w:tcPr>
            <w:tcW w:w="1080" w:type="dxa"/>
            <w:vMerge/>
            <w:tcBorders>
              <w:tl2br w:val="nil"/>
              <w:tr2bl w:val="nil"/>
            </w:tcBorders>
            <w:shd w:val="clear" w:color="auto" w:fill="FFFFFF"/>
            <w:vAlign w:val="center"/>
          </w:tcPr>
          <w:p w14:paraId="6F646387" w14:textId="77777777" w:rsidR="00372A1B" w:rsidRPr="00AC1665" w:rsidRDefault="00372A1B" w:rsidP="00372A1B">
            <w:pPr>
              <w:rPr>
                <w:rFonts w:ascii="Arial" w:hAnsi="Arial"/>
                <w:sz w:val="18"/>
                <w:szCs w:val="18"/>
              </w:rPr>
            </w:pPr>
          </w:p>
        </w:tc>
        <w:tc>
          <w:tcPr>
            <w:tcW w:w="1360" w:type="dxa"/>
            <w:tcBorders>
              <w:bottom w:val="single" w:sz="4" w:space="0" w:color="auto"/>
              <w:tl2br w:val="nil"/>
              <w:tr2bl w:val="nil"/>
            </w:tcBorders>
            <w:shd w:val="clear" w:color="auto" w:fill="FFFFFF"/>
            <w:vAlign w:val="center"/>
          </w:tcPr>
          <w:p w14:paraId="794B352A" w14:textId="77777777" w:rsidR="00372A1B" w:rsidRPr="00AC1665" w:rsidRDefault="00372A1B" w:rsidP="00372A1B">
            <w:pPr>
              <w:ind w:left="60" w:right="60"/>
              <w:rPr>
                <w:rFonts w:ascii="Arial" w:hAnsi="Arial"/>
                <w:sz w:val="18"/>
                <w:szCs w:val="18"/>
              </w:rPr>
            </w:pPr>
            <w:r w:rsidRPr="00AC1665">
              <w:rPr>
                <w:rFonts w:ascii="Arial" w:hAnsi="Arial"/>
                <w:sz w:val="18"/>
                <w:szCs w:val="18"/>
              </w:rPr>
              <w:t>College Level</w:t>
            </w:r>
          </w:p>
        </w:tc>
        <w:tc>
          <w:tcPr>
            <w:tcW w:w="1070" w:type="dxa"/>
            <w:tcBorders>
              <w:bottom w:val="single" w:sz="4" w:space="0" w:color="auto"/>
              <w:tl2br w:val="nil"/>
              <w:tr2bl w:val="nil"/>
            </w:tcBorders>
            <w:shd w:val="clear" w:color="auto" w:fill="FFFFFF"/>
            <w:vAlign w:val="center"/>
          </w:tcPr>
          <w:p w14:paraId="554387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-.35936</w:t>
            </w:r>
            <w:r w:rsidRPr="00AC1665">
              <w:rPr>
                <w:rFonts w:ascii="Arial" w:hAnsi="Arial"/>
                <w:sz w:val="18"/>
                <w:szCs w:val="18"/>
                <w:vertAlign w:val="superscript"/>
              </w:rPr>
              <w:t>*</w:t>
            </w:r>
          </w:p>
        </w:tc>
        <w:tc>
          <w:tcPr>
            <w:tcW w:w="618" w:type="dxa"/>
            <w:tcBorders>
              <w:bottom w:val="single" w:sz="4" w:space="0" w:color="auto"/>
              <w:tl2br w:val="nil"/>
              <w:tr2bl w:val="nil"/>
            </w:tcBorders>
            <w:shd w:val="clear" w:color="auto" w:fill="FFFFFF"/>
            <w:vAlign w:val="center"/>
          </w:tcPr>
          <w:p w14:paraId="1AB864E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.08923</w:t>
            </w:r>
          </w:p>
        </w:tc>
        <w:tc>
          <w:tcPr>
            <w:tcW w:w="619" w:type="dxa"/>
            <w:tcBorders>
              <w:bottom w:val="single" w:sz="4" w:space="0" w:color="auto"/>
              <w:tl2br w:val="nil"/>
              <w:tr2bl w:val="nil"/>
            </w:tcBorders>
            <w:shd w:val="clear" w:color="auto" w:fill="FFFFFF"/>
            <w:vAlign w:val="center"/>
          </w:tcPr>
          <w:p w14:paraId="2F035A6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.001</w:t>
            </w:r>
          </w:p>
        </w:tc>
        <w:tc>
          <w:tcPr>
            <w:tcW w:w="1013" w:type="dxa"/>
            <w:tcBorders>
              <w:bottom w:val="single" w:sz="4" w:space="0" w:color="auto"/>
              <w:tl2br w:val="nil"/>
              <w:tr2bl w:val="nil"/>
            </w:tcBorders>
            <w:shd w:val="clear" w:color="auto" w:fill="FFFFFF"/>
            <w:vAlign w:val="center"/>
          </w:tcPr>
          <w:p w14:paraId="2EAF86D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-.6243</w:t>
            </w:r>
          </w:p>
        </w:tc>
        <w:tc>
          <w:tcPr>
            <w:tcW w:w="857" w:type="dxa"/>
            <w:tcBorders>
              <w:bottom w:val="single" w:sz="4" w:space="0" w:color="auto"/>
              <w:tl2br w:val="nil"/>
              <w:tr2bl w:val="nil"/>
            </w:tcBorders>
            <w:shd w:val="clear" w:color="auto" w:fill="FFFFFF"/>
            <w:vAlign w:val="center"/>
          </w:tcPr>
          <w:p w14:paraId="1ED3EDA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-.0944</w:t>
            </w:r>
          </w:p>
        </w:tc>
        <w:tc>
          <w:tcPr>
            <w:tcW w:w="1519" w:type="dxa"/>
            <w:tcBorders>
              <w:bottom w:val="single" w:sz="4" w:space="0" w:color="auto"/>
              <w:tl2br w:val="nil"/>
              <w:tr2bl w:val="nil"/>
            </w:tcBorders>
            <w:shd w:val="clear" w:color="auto" w:fill="FFFFFF"/>
            <w:vAlign w:val="center"/>
          </w:tcPr>
          <w:p w14:paraId="434FC39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FA1462" w:rsidRPr="00AC1665" w14:paraId="134A05E8" w14:textId="77777777" w:rsidTr="00FA1462">
        <w:trPr>
          <w:cantSplit/>
          <w:trHeight w:val="258"/>
        </w:trPr>
        <w:tc>
          <w:tcPr>
            <w:tcW w:w="1080" w:type="dxa"/>
            <w:vMerge/>
            <w:tcBorders>
              <w:tl2br w:val="nil"/>
              <w:tr2bl w:val="nil"/>
            </w:tcBorders>
            <w:shd w:val="clear" w:color="auto" w:fill="FFFFFF"/>
            <w:vAlign w:val="center"/>
          </w:tcPr>
          <w:p w14:paraId="08FCA22A"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5EE5E47F" w14:textId="77777777" w:rsidR="00372A1B" w:rsidRPr="00AC1665" w:rsidRDefault="00372A1B" w:rsidP="00372A1B">
            <w:pPr>
              <w:ind w:left="60" w:right="60"/>
              <w:rPr>
                <w:rFonts w:ascii="Arial" w:hAnsi="Arial"/>
                <w:sz w:val="18"/>
                <w:szCs w:val="18"/>
              </w:rPr>
            </w:pPr>
            <w:r w:rsidRPr="00AC1665">
              <w:rPr>
                <w:rFonts w:ascii="Arial" w:hAnsi="Arial"/>
                <w:sz w:val="18"/>
                <w:szCs w:val="18"/>
              </w:rPr>
              <w:t>College Graduate</w:t>
            </w:r>
          </w:p>
        </w:tc>
        <w:tc>
          <w:tcPr>
            <w:tcW w:w="1070" w:type="dxa"/>
            <w:tcBorders>
              <w:top w:val="single" w:sz="4" w:space="0" w:color="auto"/>
              <w:bottom w:val="single" w:sz="4" w:space="0" w:color="auto"/>
              <w:tl2br w:val="nil"/>
              <w:tr2bl w:val="nil"/>
            </w:tcBorders>
            <w:shd w:val="clear" w:color="auto" w:fill="FFFFFF"/>
            <w:vAlign w:val="center"/>
          </w:tcPr>
          <w:p w14:paraId="347BC1A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-.24410</w:t>
            </w:r>
          </w:p>
        </w:tc>
        <w:tc>
          <w:tcPr>
            <w:tcW w:w="618" w:type="dxa"/>
            <w:tcBorders>
              <w:top w:val="single" w:sz="4" w:space="0" w:color="auto"/>
              <w:bottom w:val="single" w:sz="4" w:space="0" w:color="auto"/>
              <w:tl2br w:val="nil"/>
              <w:tr2bl w:val="nil"/>
            </w:tcBorders>
            <w:shd w:val="clear" w:color="auto" w:fill="FFFFFF"/>
            <w:vAlign w:val="center"/>
          </w:tcPr>
          <w:p w14:paraId="0AC1755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.08886</w:t>
            </w:r>
          </w:p>
        </w:tc>
        <w:tc>
          <w:tcPr>
            <w:tcW w:w="619" w:type="dxa"/>
            <w:tcBorders>
              <w:top w:val="single" w:sz="4" w:space="0" w:color="auto"/>
              <w:bottom w:val="single" w:sz="4" w:space="0" w:color="auto"/>
              <w:tl2br w:val="nil"/>
              <w:tr2bl w:val="nil"/>
            </w:tcBorders>
            <w:shd w:val="clear" w:color="auto" w:fill="FFFFFF"/>
            <w:vAlign w:val="center"/>
          </w:tcPr>
          <w:p w14:paraId="3ABE871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.091</w:t>
            </w:r>
          </w:p>
        </w:tc>
        <w:tc>
          <w:tcPr>
            <w:tcW w:w="1013" w:type="dxa"/>
            <w:tcBorders>
              <w:top w:val="single" w:sz="4" w:space="0" w:color="auto"/>
              <w:bottom w:val="single" w:sz="4" w:space="0" w:color="auto"/>
              <w:tl2br w:val="nil"/>
              <w:tr2bl w:val="nil"/>
            </w:tcBorders>
            <w:shd w:val="clear" w:color="auto" w:fill="FFFFFF"/>
            <w:vAlign w:val="center"/>
          </w:tcPr>
          <w:p w14:paraId="3A51F91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-.5079</w:t>
            </w:r>
          </w:p>
        </w:tc>
        <w:tc>
          <w:tcPr>
            <w:tcW w:w="857" w:type="dxa"/>
            <w:tcBorders>
              <w:top w:val="single" w:sz="4" w:space="0" w:color="auto"/>
              <w:bottom w:val="single" w:sz="4" w:space="0" w:color="auto"/>
              <w:tl2br w:val="nil"/>
              <w:tr2bl w:val="nil"/>
            </w:tcBorders>
            <w:shd w:val="clear" w:color="auto" w:fill="FFFFFF"/>
            <w:vAlign w:val="center"/>
          </w:tcPr>
          <w:p w14:paraId="75CEB35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.0197</w:t>
            </w:r>
          </w:p>
        </w:tc>
        <w:tc>
          <w:tcPr>
            <w:tcW w:w="1519" w:type="dxa"/>
            <w:tcBorders>
              <w:top w:val="single" w:sz="4" w:space="0" w:color="auto"/>
              <w:bottom w:val="single" w:sz="4" w:space="0" w:color="auto"/>
              <w:tl2br w:val="nil"/>
              <w:tr2bl w:val="nil"/>
            </w:tcBorders>
            <w:shd w:val="clear" w:color="auto" w:fill="FFFFFF"/>
            <w:vAlign w:val="center"/>
          </w:tcPr>
          <w:p w14:paraId="15C3CAD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65418FF0" w14:textId="77777777" w:rsidTr="00FA1462">
        <w:trPr>
          <w:cantSplit/>
          <w:trHeight w:val="258"/>
        </w:trPr>
        <w:tc>
          <w:tcPr>
            <w:tcW w:w="1080" w:type="dxa"/>
            <w:vMerge/>
            <w:tcBorders>
              <w:tl2br w:val="nil"/>
              <w:tr2bl w:val="nil"/>
            </w:tcBorders>
            <w:shd w:val="clear" w:color="auto" w:fill="FFFFFF"/>
            <w:vAlign w:val="center"/>
          </w:tcPr>
          <w:p w14:paraId="19D160A9" w14:textId="77777777" w:rsidR="00372A1B" w:rsidRPr="00AC1665" w:rsidRDefault="00372A1B" w:rsidP="00372A1B">
            <w:pPr>
              <w:rPr>
                <w:rFonts w:ascii="Arial" w:hAnsi="Arial"/>
                <w:sz w:val="18"/>
                <w:szCs w:val="18"/>
              </w:rPr>
            </w:pPr>
          </w:p>
        </w:tc>
        <w:tc>
          <w:tcPr>
            <w:tcW w:w="1360" w:type="dxa"/>
            <w:tcBorders>
              <w:top w:val="single" w:sz="4" w:space="0" w:color="auto"/>
              <w:bottom w:val="single" w:sz="4" w:space="0" w:color="auto"/>
              <w:tl2br w:val="nil"/>
              <w:tr2bl w:val="nil"/>
            </w:tcBorders>
            <w:shd w:val="clear" w:color="auto" w:fill="FFFFFF"/>
            <w:vAlign w:val="center"/>
          </w:tcPr>
          <w:p w14:paraId="107602E6" w14:textId="77777777" w:rsidR="00372A1B" w:rsidRPr="00AC1665" w:rsidRDefault="00372A1B" w:rsidP="00372A1B">
            <w:pPr>
              <w:ind w:left="60" w:right="60"/>
              <w:rPr>
                <w:rFonts w:ascii="Arial" w:hAnsi="Arial"/>
                <w:sz w:val="18"/>
                <w:szCs w:val="18"/>
              </w:rPr>
            </w:pPr>
            <w:r w:rsidRPr="00AC1665">
              <w:rPr>
                <w:rFonts w:ascii="Arial" w:hAnsi="Arial"/>
                <w:sz w:val="18"/>
                <w:szCs w:val="18"/>
              </w:rPr>
              <w:t>Graduate Level</w:t>
            </w:r>
          </w:p>
        </w:tc>
        <w:tc>
          <w:tcPr>
            <w:tcW w:w="1070" w:type="dxa"/>
            <w:tcBorders>
              <w:top w:val="single" w:sz="4" w:space="0" w:color="auto"/>
              <w:bottom w:val="single" w:sz="4" w:space="0" w:color="auto"/>
              <w:tl2br w:val="nil"/>
              <w:tr2bl w:val="nil"/>
            </w:tcBorders>
            <w:shd w:val="clear" w:color="auto" w:fill="FFFFFF"/>
            <w:vAlign w:val="center"/>
          </w:tcPr>
          <w:p w14:paraId="1A59DA5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-.33161</w:t>
            </w:r>
            <w:r w:rsidRPr="00AC1665">
              <w:rPr>
                <w:rFonts w:ascii="Arial" w:hAnsi="Arial"/>
                <w:sz w:val="18"/>
                <w:szCs w:val="18"/>
                <w:vertAlign w:val="superscript"/>
              </w:rPr>
              <w:t>*</w:t>
            </w:r>
          </w:p>
        </w:tc>
        <w:tc>
          <w:tcPr>
            <w:tcW w:w="618" w:type="dxa"/>
            <w:tcBorders>
              <w:top w:val="single" w:sz="4" w:space="0" w:color="auto"/>
              <w:bottom w:val="single" w:sz="4" w:space="0" w:color="auto"/>
              <w:tl2br w:val="nil"/>
              <w:tr2bl w:val="nil"/>
            </w:tcBorders>
            <w:shd w:val="clear" w:color="auto" w:fill="FFFFFF"/>
            <w:vAlign w:val="center"/>
          </w:tcPr>
          <w:p w14:paraId="0419281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.11099</w:t>
            </w:r>
          </w:p>
        </w:tc>
        <w:tc>
          <w:tcPr>
            <w:tcW w:w="619" w:type="dxa"/>
            <w:tcBorders>
              <w:top w:val="single" w:sz="4" w:space="0" w:color="auto"/>
              <w:bottom w:val="single" w:sz="4" w:space="0" w:color="auto"/>
              <w:tl2br w:val="nil"/>
              <w:tr2bl w:val="nil"/>
            </w:tcBorders>
            <w:shd w:val="clear" w:color="auto" w:fill="FFFFFF"/>
            <w:vAlign w:val="center"/>
          </w:tcPr>
          <w:p w14:paraId="542321CA"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.047</w:t>
            </w:r>
          </w:p>
        </w:tc>
        <w:tc>
          <w:tcPr>
            <w:tcW w:w="1013" w:type="dxa"/>
            <w:tcBorders>
              <w:top w:val="single" w:sz="4" w:space="0" w:color="auto"/>
              <w:bottom w:val="single" w:sz="4" w:space="0" w:color="auto"/>
              <w:tl2br w:val="nil"/>
              <w:tr2bl w:val="nil"/>
            </w:tcBorders>
            <w:shd w:val="clear" w:color="auto" w:fill="FFFFFF"/>
            <w:vAlign w:val="center"/>
          </w:tcPr>
          <w:p w14:paraId="62D427C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-.6612</w:t>
            </w:r>
          </w:p>
        </w:tc>
        <w:tc>
          <w:tcPr>
            <w:tcW w:w="857" w:type="dxa"/>
            <w:tcBorders>
              <w:top w:val="single" w:sz="4" w:space="0" w:color="auto"/>
              <w:bottom w:val="single" w:sz="4" w:space="0" w:color="auto"/>
              <w:tl2br w:val="nil"/>
              <w:tr2bl w:val="nil"/>
            </w:tcBorders>
            <w:shd w:val="clear" w:color="auto" w:fill="FFFFFF"/>
            <w:vAlign w:val="center"/>
          </w:tcPr>
          <w:p w14:paraId="0006347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-.0021</w:t>
            </w:r>
          </w:p>
        </w:tc>
        <w:tc>
          <w:tcPr>
            <w:tcW w:w="1519" w:type="dxa"/>
            <w:tcBorders>
              <w:top w:val="single" w:sz="4" w:space="0" w:color="auto"/>
              <w:bottom w:val="single" w:sz="4" w:space="0" w:color="auto"/>
              <w:tl2br w:val="nil"/>
              <w:tr2bl w:val="nil"/>
            </w:tcBorders>
            <w:shd w:val="clear" w:color="auto" w:fill="FFFFFF"/>
            <w:vAlign w:val="center"/>
          </w:tcPr>
          <w:p w14:paraId="09177DC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bl>
    <w:p w14:paraId="1F3BE4B7" w14:textId="77777777" w:rsidR="00372A1B" w:rsidRPr="00372A1B" w:rsidRDefault="00372A1B" w:rsidP="00372A1B">
      <w:pPr>
        <w:jc w:val="both"/>
        <w:rPr>
          <w:rFonts w:ascii="Arial" w:hAnsi="Arial" w:cs="Arial"/>
        </w:rPr>
      </w:pPr>
    </w:p>
    <w:p w14:paraId="57C211C7" w14:textId="3D37C571" w:rsidR="00372A1B" w:rsidRDefault="00372A1B" w:rsidP="00372A1B">
      <w:pPr>
        <w:ind w:firstLine="720"/>
        <w:jc w:val="both"/>
        <w:rPr>
          <w:rFonts w:ascii="Arial" w:hAnsi="Arial" w:cs="Arial"/>
          <w:bCs/>
        </w:rPr>
      </w:pPr>
      <w:r w:rsidRPr="00372A1B">
        <w:rPr>
          <w:rFonts w:ascii="Arial" w:hAnsi="Arial" w:cs="Arial"/>
          <w:bCs/>
          <w:lang w:val="en-PH"/>
        </w:rPr>
        <w:t xml:space="preserve">These findings suggest that stakeholders with higher educational attainment have a better understanding of the university's VMPEO. </w:t>
      </w:r>
      <w:r w:rsidRPr="00372A1B">
        <w:rPr>
          <w:rFonts w:ascii="Arial" w:hAnsi="Arial" w:cs="Arial"/>
          <w:bCs/>
        </w:rPr>
        <w:t xml:space="preserve">This is consistent with Freeman’s (1984) Stakeholder Theory, which emphasizes that individuals’ ability to process and engage with institutional information is often shaped by their educational and experiential background. Likewise, Yáñez et al. (2018) and </w:t>
      </w:r>
      <w:proofErr w:type="spellStart"/>
      <w:r w:rsidRPr="00372A1B">
        <w:rPr>
          <w:rFonts w:ascii="Arial" w:hAnsi="Arial" w:cs="Arial"/>
          <w:bCs/>
        </w:rPr>
        <w:t>Almarghani</w:t>
      </w:r>
      <w:proofErr w:type="spellEnd"/>
      <w:r w:rsidRPr="00372A1B">
        <w:rPr>
          <w:rFonts w:ascii="Arial" w:hAnsi="Arial" w:cs="Arial"/>
          <w:bCs/>
        </w:rPr>
        <w:t xml:space="preserve"> and </w:t>
      </w:r>
      <w:proofErr w:type="spellStart"/>
      <w:r w:rsidRPr="00372A1B">
        <w:rPr>
          <w:rFonts w:ascii="Arial" w:hAnsi="Arial" w:cs="Arial"/>
          <w:bCs/>
        </w:rPr>
        <w:t>Mijatovic</w:t>
      </w:r>
      <w:proofErr w:type="spellEnd"/>
      <w:r w:rsidRPr="00372A1B">
        <w:rPr>
          <w:rFonts w:ascii="Arial" w:hAnsi="Arial" w:cs="Arial"/>
          <w:bCs/>
        </w:rPr>
        <w:t xml:space="preserve"> (2017) argue that stakeholder awareness is closely linked to their capacity to comprehend institutional objectives and their likelihood of engaging in strategic initiatives. </w:t>
      </w:r>
    </w:p>
    <w:p w14:paraId="70537950" w14:textId="77777777" w:rsidR="00AC1665" w:rsidRPr="00372A1B" w:rsidRDefault="00AC1665" w:rsidP="00372A1B">
      <w:pPr>
        <w:ind w:firstLine="720"/>
        <w:jc w:val="both"/>
        <w:rPr>
          <w:rFonts w:ascii="Arial" w:hAnsi="Arial" w:cs="Arial"/>
          <w:bCs/>
        </w:rPr>
      </w:pPr>
    </w:p>
    <w:p w14:paraId="4B30DC34" w14:textId="77777777" w:rsidR="00372A1B" w:rsidRDefault="00372A1B" w:rsidP="00AC1665">
      <w:pPr>
        <w:jc w:val="center"/>
        <w:rPr>
          <w:rFonts w:ascii="Arial" w:hAnsi="Arial" w:cs="Arial"/>
          <w:b/>
          <w:bCs/>
        </w:rPr>
      </w:pPr>
      <w:r w:rsidRPr="00372A1B">
        <w:rPr>
          <w:rFonts w:ascii="Arial" w:hAnsi="Arial" w:cs="Arial"/>
          <w:b/>
          <w:bCs/>
        </w:rPr>
        <w:t xml:space="preserve">Differences in </w:t>
      </w:r>
      <w:proofErr w:type="spellStart"/>
      <w:r w:rsidRPr="00372A1B">
        <w:rPr>
          <w:rFonts w:ascii="Arial" w:hAnsi="Arial" w:cs="Arial"/>
          <w:b/>
          <w:bCs/>
        </w:rPr>
        <w:t>BEEd</w:t>
      </w:r>
      <w:proofErr w:type="spellEnd"/>
      <w:r w:rsidRPr="00372A1B">
        <w:rPr>
          <w:rFonts w:ascii="Arial" w:hAnsi="Arial" w:cs="Arial"/>
          <w:b/>
          <w:bCs/>
        </w:rPr>
        <w:t xml:space="preserve"> Stakeholders’ Level of Acceptance of </w:t>
      </w:r>
      <w:proofErr w:type="spellStart"/>
      <w:r w:rsidRPr="00372A1B">
        <w:rPr>
          <w:rFonts w:ascii="Arial" w:hAnsi="Arial" w:cs="Arial"/>
          <w:b/>
          <w:bCs/>
        </w:rPr>
        <w:t>DOrSU’s</w:t>
      </w:r>
      <w:proofErr w:type="spellEnd"/>
      <w:r w:rsidRPr="00372A1B">
        <w:rPr>
          <w:rFonts w:ascii="Arial" w:hAnsi="Arial" w:cs="Arial"/>
          <w:b/>
          <w:bCs/>
        </w:rPr>
        <w:t xml:space="preserve"> VMPEO</w:t>
      </w:r>
    </w:p>
    <w:p w14:paraId="10B94E0D" w14:textId="77777777" w:rsidR="00AC1665" w:rsidRPr="00372A1B" w:rsidRDefault="00AC1665" w:rsidP="00AC1665">
      <w:pPr>
        <w:jc w:val="center"/>
        <w:rPr>
          <w:rFonts w:ascii="Arial" w:hAnsi="Arial" w:cs="Arial"/>
          <w:b/>
          <w:bCs/>
        </w:rPr>
      </w:pPr>
    </w:p>
    <w:p w14:paraId="2C7C99B9" w14:textId="77777777" w:rsidR="00372A1B" w:rsidRDefault="00372A1B" w:rsidP="00372A1B">
      <w:pPr>
        <w:ind w:firstLine="720"/>
        <w:jc w:val="both"/>
        <w:rPr>
          <w:rFonts w:ascii="Arial" w:hAnsi="Arial" w:cs="Arial"/>
          <w:bCs/>
          <w:lang w:val="en-PH"/>
        </w:rPr>
      </w:pPr>
      <w:r w:rsidRPr="00372A1B">
        <w:rPr>
          <w:rFonts w:ascii="Arial" w:hAnsi="Arial" w:cs="Arial"/>
        </w:rPr>
        <w:t xml:space="preserve">The following table presents the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across stakeholder categories. The </w:t>
      </w:r>
      <w:r w:rsidRPr="00372A1B">
        <w:rPr>
          <w:rFonts w:ascii="Arial" w:hAnsi="Arial" w:cs="Arial"/>
          <w:bCs/>
          <w:lang w:val="en-PH"/>
        </w:rPr>
        <w:t xml:space="preserve">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various stakeholder categories are presented. The analysis yielded a statistically significant result (F = 10.174, p = .000), indicating that stakeholder groups differ significantly in their level of acceptance of the university's VMPEO.</w:t>
      </w:r>
    </w:p>
    <w:p w14:paraId="6C65D8B2" w14:textId="77777777" w:rsidR="00AC1665" w:rsidRPr="00372A1B" w:rsidRDefault="00AC1665" w:rsidP="00372A1B">
      <w:pPr>
        <w:ind w:firstLine="720"/>
        <w:jc w:val="both"/>
        <w:rPr>
          <w:rFonts w:ascii="Arial" w:hAnsi="Arial" w:cs="Arial"/>
          <w:bCs/>
          <w:lang w:val="en-PH"/>
        </w:rPr>
      </w:pPr>
    </w:p>
    <w:p w14:paraId="43221816" w14:textId="3EC8D490" w:rsidR="00372A1B" w:rsidRPr="00372A1B" w:rsidRDefault="00372A1B" w:rsidP="00372A1B">
      <w:pPr>
        <w:jc w:val="both"/>
        <w:rPr>
          <w:rFonts w:ascii="Arial" w:hAnsi="Arial" w:cs="Arial"/>
        </w:rPr>
      </w:pPr>
      <w:r w:rsidRPr="00372A1B">
        <w:rPr>
          <w:rFonts w:ascii="Arial" w:hAnsi="Arial" w:cs="Arial"/>
        </w:rPr>
        <w:t>Table 1</w:t>
      </w:r>
      <w:r w:rsidR="00AC1665">
        <w:rPr>
          <w:rFonts w:ascii="Arial" w:hAnsi="Arial" w:cs="Arial"/>
        </w:rPr>
        <w:t>8</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their category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6"/>
        <w:gridCol w:w="1676"/>
        <w:gridCol w:w="553"/>
        <w:gridCol w:w="114"/>
        <w:gridCol w:w="1638"/>
        <w:gridCol w:w="1026"/>
        <w:gridCol w:w="1389"/>
      </w:tblGrid>
      <w:tr w:rsidR="00372A1B" w:rsidRPr="00AC1665" w14:paraId="640E49C4" w14:textId="77777777" w:rsidTr="00AC1665">
        <w:trPr>
          <w:trHeight w:val="246"/>
        </w:trPr>
        <w:tc>
          <w:tcPr>
            <w:tcW w:w="1936" w:type="dxa"/>
            <w:tcBorders>
              <w:top w:val="single" w:sz="4" w:space="0" w:color="auto"/>
              <w:bottom w:val="single" w:sz="4" w:space="0" w:color="auto"/>
            </w:tcBorders>
          </w:tcPr>
          <w:p w14:paraId="0E02E195" w14:textId="77777777" w:rsidR="00372A1B" w:rsidRPr="00AC1665" w:rsidRDefault="00372A1B" w:rsidP="00372A1B">
            <w:pPr>
              <w:rPr>
                <w:rFonts w:ascii="Arial" w:hAnsi="Arial" w:cs="Arial"/>
                <w:sz w:val="18"/>
                <w:szCs w:val="18"/>
              </w:rPr>
            </w:pPr>
          </w:p>
        </w:tc>
        <w:tc>
          <w:tcPr>
            <w:tcW w:w="1676" w:type="dxa"/>
            <w:tcBorders>
              <w:top w:val="single" w:sz="4" w:space="0" w:color="auto"/>
              <w:bottom w:val="single" w:sz="4" w:space="0" w:color="auto"/>
            </w:tcBorders>
          </w:tcPr>
          <w:p w14:paraId="1F94BF9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53" w:type="dxa"/>
            <w:tcBorders>
              <w:top w:val="single" w:sz="4" w:space="0" w:color="auto"/>
              <w:bottom w:val="single" w:sz="4" w:space="0" w:color="auto"/>
            </w:tcBorders>
          </w:tcPr>
          <w:p w14:paraId="2886A8A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51" w:type="dxa"/>
            <w:gridSpan w:val="2"/>
            <w:tcBorders>
              <w:top w:val="single" w:sz="4" w:space="0" w:color="auto"/>
              <w:bottom w:val="single" w:sz="4" w:space="0" w:color="auto"/>
            </w:tcBorders>
          </w:tcPr>
          <w:p w14:paraId="5100A2E6"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26" w:type="dxa"/>
            <w:tcBorders>
              <w:top w:val="single" w:sz="4" w:space="0" w:color="auto"/>
              <w:bottom w:val="single" w:sz="4" w:space="0" w:color="auto"/>
            </w:tcBorders>
          </w:tcPr>
          <w:p w14:paraId="20762D0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89" w:type="dxa"/>
            <w:tcBorders>
              <w:top w:val="single" w:sz="4" w:space="0" w:color="auto"/>
              <w:bottom w:val="single" w:sz="4" w:space="0" w:color="auto"/>
            </w:tcBorders>
          </w:tcPr>
          <w:p w14:paraId="70AAD08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27A7AF7A" w14:textId="77777777" w:rsidTr="00AC1665">
        <w:trPr>
          <w:trHeight w:val="246"/>
        </w:trPr>
        <w:tc>
          <w:tcPr>
            <w:tcW w:w="1936" w:type="dxa"/>
            <w:tcBorders>
              <w:top w:val="single" w:sz="4" w:space="0" w:color="auto"/>
              <w:bottom w:val="single" w:sz="4" w:space="0" w:color="auto"/>
            </w:tcBorders>
          </w:tcPr>
          <w:p w14:paraId="1330E11D"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76" w:type="dxa"/>
            <w:tcBorders>
              <w:top w:val="single" w:sz="4" w:space="0" w:color="auto"/>
              <w:bottom w:val="single" w:sz="4" w:space="0" w:color="auto"/>
            </w:tcBorders>
            <w:shd w:val="clear" w:color="auto" w:fill="FFFFFF"/>
            <w:vAlign w:val="center"/>
          </w:tcPr>
          <w:p w14:paraId="5538C12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7.812</w:t>
            </w:r>
          </w:p>
        </w:tc>
        <w:tc>
          <w:tcPr>
            <w:tcW w:w="667" w:type="dxa"/>
            <w:gridSpan w:val="2"/>
            <w:tcBorders>
              <w:top w:val="single" w:sz="4" w:space="0" w:color="auto"/>
              <w:bottom w:val="single" w:sz="4" w:space="0" w:color="auto"/>
            </w:tcBorders>
            <w:shd w:val="clear" w:color="auto" w:fill="FFFFFF"/>
            <w:vAlign w:val="center"/>
          </w:tcPr>
          <w:p w14:paraId="7D56775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5</w:t>
            </w:r>
          </w:p>
        </w:tc>
        <w:tc>
          <w:tcPr>
            <w:tcW w:w="1638" w:type="dxa"/>
            <w:tcBorders>
              <w:top w:val="single" w:sz="4" w:space="0" w:color="auto"/>
              <w:bottom w:val="single" w:sz="4" w:space="0" w:color="auto"/>
            </w:tcBorders>
            <w:shd w:val="clear" w:color="auto" w:fill="FFFFFF"/>
            <w:vAlign w:val="center"/>
          </w:tcPr>
          <w:p w14:paraId="792D28B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1.562</w:t>
            </w:r>
          </w:p>
        </w:tc>
        <w:tc>
          <w:tcPr>
            <w:tcW w:w="1026" w:type="dxa"/>
            <w:tcBorders>
              <w:top w:val="single" w:sz="4" w:space="0" w:color="auto"/>
              <w:bottom w:val="single" w:sz="4" w:space="0" w:color="auto"/>
            </w:tcBorders>
            <w:shd w:val="clear" w:color="auto" w:fill="FFFFFF"/>
            <w:vAlign w:val="center"/>
          </w:tcPr>
          <w:p w14:paraId="547F9B5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10.174</w:t>
            </w:r>
          </w:p>
        </w:tc>
        <w:tc>
          <w:tcPr>
            <w:tcW w:w="1389" w:type="dxa"/>
            <w:tcBorders>
              <w:top w:val="single" w:sz="4" w:space="0" w:color="auto"/>
              <w:bottom w:val="single" w:sz="4" w:space="0" w:color="auto"/>
            </w:tcBorders>
            <w:shd w:val="clear" w:color="auto" w:fill="FFFFFF"/>
            <w:vAlign w:val="center"/>
          </w:tcPr>
          <w:p w14:paraId="3E78497A"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.000</w:t>
            </w:r>
          </w:p>
        </w:tc>
      </w:tr>
      <w:tr w:rsidR="00372A1B" w:rsidRPr="00AC1665" w14:paraId="0892853D" w14:textId="77777777" w:rsidTr="00AC1665">
        <w:trPr>
          <w:trHeight w:val="246"/>
        </w:trPr>
        <w:tc>
          <w:tcPr>
            <w:tcW w:w="1936" w:type="dxa"/>
            <w:tcBorders>
              <w:top w:val="single" w:sz="4" w:space="0" w:color="auto"/>
              <w:bottom w:val="single" w:sz="4" w:space="0" w:color="auto"/>
            </w:tcBorders>
          </w:tcPr>
          <w:p w14:paraId="6703B336"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76" w:type="dxa"/>
            <w:tcBorders>
              <w:top w:val="single" w:sz="4" w:space="0" w:color="auto"/>
              <w:bottom w:val="single" w:sz="4" w:space="0" w:color="auto"/>
            </w:tcBorders>
            <w:shd w:val="clear" w:color="auto" w:fill="FFFFFF"/>
            <w:vAlign w:val="center"/>
          </w:tcPr>
          <w:p w14:paraId="13FEFAEF"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45.000</w:t>
            </w:r>
          </w:p>
        </w:tc>
        <w:tc>
          <w:tcPr>
            <w:tcW w:w="667" w:type="dxa"/>
            <w:gridSpan w:val="2"/>
            <w:tcBorders>
              <w:top w:val="single" w:sz="4" w:space="0" w:color="auto"/>
              <w:bottom w:val="single" w:sz="4" w:space="0" w:color="auto"/>
            </w:tcBorders>
            <w:shd w:val="clear" w:color="auto" w:fill="FFFFFF"/>
            <w:vAlign w:val="center"/>
          </w:tcPr>
          <w:p w14:paraId="37ED4DE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293</w:t>
            </w:r>
          </w:p>
        </w:tc>
        <w:tc>
          <w:tcPr>
            <w:tcW w:w="1638" w:type="dxa"/>
            <w:tcBorders>
              <w:top w:val="single" w:sz="4" w:space="0" w:color="auto"/>
              <w:bottom w:val="single" w:sz="4" w:space="0" w:color="auto"/>
            </w:tcBorders>
            <w:shd w:val="clear" w:color="auto" w:fill="FFFFFF"/>
            <w:vAlign w:val="center"/>
          </w:tcPr>
          <w:p w14:paraId="25D2A822"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.154</w:t>
            </w:r>
          </w:p>
        </w:tc>
        <w:tc>
          <w:tcPr>
            <w:tcW w:w="1026" w:type="dxa"/>
            <w:tcBorders>
              <w:top w:val="single" w:sz="4" w:space="0" w:color="auto"/>
              <w:bottom w:val="single" w:sz="4" w:space="0" w:color="auto"/>
            </w:tcBorders>
            <w:shd w:val="clear" w:color="auto" w:fill="FFFFFF"/>
            <w:vAlign w:val="center"/>
          </w:tcPr>
          <w:p w14:paraId="1D88D494" w14:textId="77777777" w:rsidR="00372A1B" w:rsidRPr="00AC1665" w:rsidRDefault="00372A1B" w:rsidP="00372A1B">
            <w:pPr>
              <w:jc w:val="center"/>
              <w:rPr>
                <w:sz w:val="18"/>
                <w:szCs w:val="18"/>
              </w:rPr>
            </w:pPr>
          </w:p>
        </w:tc>
        <w:tc>
          <w:tcPr>
            <w:tcW w:w="1389" w:type="dxa"/>
            <w:tcBorders>
              <w:top w:val="single" w:sz="4" w:space="0" w:color="auto"/>
              <w:bottom w:val="single" w:sz="4" w:space="0" w:color="auto"/>
            </w:tcBorders>
            <w:shd w:val="clear" w:color="auto" w:fill="FFFFFF"/>
            <w:vAlign w:val="center"/>
          </w:tcPr>
          <w:p w14:paraId="254FFC65" w14:textId="77777777" w:rsidR="00372A1B" w:rsidRPr="00AC1665" w:rsidRDefault="00372A1B" w:rsidP="00372A1B">
            <w:pPr>
              <w:jc w:val="center"/>
              <w:rPr>
                <w:sz w:val="18"/>
                <w:szCs w:val="18"/>
              </w:rPr>
            </w:pPr>
          </w:p>
        </w:tc>
      </w:tr>
      <w:tr w:rsidR="00372A1B" w:rsidRPr="00AC1665" w14:paraId="72067750" w14:textId="77777777" w:rsidTr="00AC1665">
        <w:trPr>
          <w:trHeight w:val="265"/>
        </w:trPr>
        <w:tc>
          <w:tcPr>
            <w:tcW w:w="1936" w:type="dxa"/>
            <w:tcBorders>
              <w:top w:val="single" w:sz="4" w:space="0" w:color="auto"/>
              <w:bottom w:val="single" w:sz="4" w:space="0" w:color="auto"/>
            </w:tcBorders>
          </w:tcPr>
          <w:p w14:paraId="780E20C4"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76" w:type="dxa"/>
            <w:tcBorders>
              <w:top w:val="single" w:sz="4" w:space="0" w:color="auto"/>
              <w:bottom w:val="single" w:sz="4" w:space="0" w:color="auto"/>
            </w:tcBorders>
            <w:shd w:val="clear" w:color="auto" w:fill="FFFFFF"/>
            <w:vAlign w:val="center"/>
          </w:tcPr>
          <w:p w14:paraId="510BF477"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52.812</w:t>
            </w:r>
          </w:p>
        </w:tc>
        <w:tc>
          <w:tcPr>
            <w:tcW w:w="667" w:type="dxa"/>
            <w:gridSpan w:val="2"/>
            <w:tcBorders>
              <w:top w:val="single" w:sz="4" w:space="0" w:color="auto"/>
              <w:bottom w:val="single" w:sz="4" w:space="0" w:color="auto"/>
            </w:tcBorders>
            <w:shd w:val="clear" w:color="auto" w:fill="FFFFFF"/>
            <w:vAlign w:val="center"/>
          </w:tcPr>
          <w:p w14:paraId="52AE5D69"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298</w:t>
            </w:r>
          </w:p>
        </w:tc>
        <w:tc>
          <w:tcPr>
            <w:tcW w:w="1638" w:type="dxa"/>
            <w:tcBorders>
              <w:top w:val="single" w:sz="4" w:space="0" w:color="auto"/>
              <w:bottom w:val="single" w:sz="4" w:space="0" w:color="auto"/>
            </w:tcBorders>
            <w:shd w:val="clear" w:color="auto" w:fill="FFFFFF"/>
            <w:vAlign w:val="center"/>
          </w:tcPr>
          <w:p w14:paraId="0642595E" w14:textId="77777777" w:rsidR="00372A1B" w:rsidRPr="00AC1665" w:rsidRDefault="00372A1B" w:rsidP="00372A1B">
            <w:pPr>
              <w:jc w:val="center"/>
              <w:rPr>
                <w:sz w:val="18"/>
                <w:szCs w:val="18"/>
              </w:rPr>
            </w:pPr>
          </w:p>
        </w:tc>
        <w:tc>
          <w:tcPr>
            <w:tcW w:w="1026" w:type="dxa"/>
            <w:tcBorders>
              <w:top w:val="single" w:sz="4" w:space="0" w:color="auto"/>
              <w:bottom w:val="single" w:sz="4" w:space="0" w:color="auto"/>
            </w:tcBorders>
            <w:shd w:val="clear" w:color="auto" w:fill="FFFFFF"/>
            <w:vAlign w:val="center"/>
          </w:tcPr>
          <w:p w14:paraId="3A6B24EB" w14:textId="77777777" w:rsidR="00372A1B" w:rsidRPr="00AC1665" w:rsidRDefault="00372A1B" w:rsidP="00372A1B">
            <w:pPr>
              <w:jc w:val="center"/>
              <w:rPr>
                <w:sz w:val="18"/>
                <w:szCs w:val="18"/>
              </w:rPr>
            </w:pPr>
          </w:p>
        </w:tc>
        <w:tc>
          <w:tcPr>
            <w:tcW w:w="1389" w:type="dxa"/>
            <w:tcBorders>
              <w:top w:val="single" w:sz="4" w:space="0" w:color="auto"/>
              <w:bottom w:val="single" w:sz="4" w:space="0" w:color="auto"/>
            </w:tcBorders>
            <w:shd w:val="clear" w:color="auto" w:fill="FFFFFF"/>
            <w:vAlign w:val="center"/>
          </w:tcPr>
          <w:p w14:paraId="3B7426EF" w14:textId="77777777" w:rsidR="00372A1B" w:rsidRPr="00AC1665" w:rsidRDefault="00372A1B" w:rsidP="00372A1B">
            <w:pPr>
              <w:jc w:val="center"/>
              <w:rPr>
                <w:sz w:val="18"/>
                <w:szCs w:val="18"/>
              </w:rPr>
            </w:pPr>
          </w:p>
        </w:tc>
      </w:tr>
    </w:tbl>
    <w:p w14:paraId="7D1C25C1" w14:textId="77777777" w:rsidR="00372A1B" w:rsidRPr="00372A1B" w:rsidRDefault="00372A1B" w:rsidP="00372A1B">
      <w:pPr>
        <w:jc w:val="both"/>
        <w:rPr>
          <w:rFonts w:ascii="Arial" w:hAnsi="Arial" w:cs="Arial"/>
        </w:rPr>
      </w:pPr>
    </w:p>
    <w:p w14:paraId="3BE15A52"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This finding implies that not all stakeholder groups share the same level of acceptance, which may be influenced by factors such as their roles, engagement levels, and direct involvement with the academic and operational aspects of the institution. According to Freeman’s Stakeholder Theory (1984), each group interprets and accepts institutional goals </w:t>
      </w:r>
      <w:r w:rsidRPr="00372A1B">
        <w:rPr>
          <w:rFonts w:ascii="Arial" w:hAnsi="Arial" w:cs="Arial"/>
          <w:bCs/>
          <w:lang w:val="en-PH"/>
        </w:rPr>
        <w:lastRenderedPageBreak/>
        <w:t>differently based on their interactions and stakes in the organization. This variation also reflects the perspectives presented by Yáñez et al. (2018), who argue that active stakeholder engagement enhances alignment with institutional values.</w:t>
      </w:r>
    </w:p>
    <w:p w14:paraId="791A961A" w14:textId="77777777" w:rsidR="00AC1665" w:rsidRPr="00372A1B" w:rsidRDefault="00AC1665" w:rsidP="00372A1B">
      <w:pPr>
        <w:ind w:firstLine="720"/>
        <w:jc w:val="both"/>
        <w:rPr>
          <w:rFonts w:ascii="Arial" w:hAnsi="Arial" w:cs="Arial"/>
          <w:bCs/>
          <w:lang w:val="en-PH"/>
        </w:rPr>
      </w:pPr>
    </w:p>
    <w:p w14:paraId="4F52C358" w14:textId="7C6EE11A" w:rsidR="00372A1B" w:rsidRDefault="00372A1B" w:rsidP="00372A1B">
      <w:pPr>
        <w:ind w:firstLine="720"/>
        <w:jc w:val="both"/>
        <w:rPr>
          <w:rFonts w:ascii="Arial" w:hAnsi="Arial" w:cs="Arial"/>
          <w:bCs/>
          <w:lang w:val="en-PH"/>
        </w:rPr>
      </w:pPr>
      <w:r w:rsidRPr="00372A1B">
        <w:rPr>
          <w:rFonts w:ascii="Arial" w:hAnsi="Arial" w:cs="Arial"/>
        </w:rPr>
        <w:t xml:space="preserve">Table </w:t>
      </w:r>
      <w:r w:rsidR="00AC1665">
        <w:rPr>
          <w:rFonts w:ascii="Arial" w:hAnsi="Arial" w:cs="Arial"/>
        </w:rPr>
        <w:t>19</w:t>
      </w:r>
      <w:r w:rsidRPr="00372A1B">
        <w:rPr>
          <w:rFonts w:ascii="Arial" w:hAnsi="Arial" w:cs="Arial"/>
        </w:rPr>
        <w:t xml:space="preserve"> presents a detailed comparison that highlights the specific stakeholder category with significant differences in awareness levels. It shows </w:t>
      </w:r>
      <w:proofErr w:type="spellStart"/>
      <w:r w:rsidRPr="00372A1B">
        <w:rPr>
          <w:rFonts w:ascii="Arial" w:hAnsi="Arial" w:cs="Arial"/>
        </w:rPr>
        <w:t>th</w:t>
      </w:r>
      <w:proofErr w:type="spellEnd"/>
      <w:r w:rsidRPr="00372A1B">
        <w:rPr>
          <w:rFonts w:ascii="Arial" w:hAnsi="Arial" w:cs="Arial"/>
          <w:bCs/>
          <w:lang w:val="en-PH"/>
        </w:rPr>
        <w:t xml:space="preserve">e post hoc analysis of the differences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among various stakeholder categories. The results reveal that parents exhibit significantly lower levels of acceptance compared to faculty members (p = 0.004), industry partners (p &lt; 0.0001), non-teaching staff (p = 0.001), and students (p &lt; 0.0001). However, the comparison between parents and alumni (p = 0.383) showed no statistically significant difference, suggesting that these two groups share a similar level of acceptance toward the university's VMPEO.</w:t>
      </w:r>
    </w:p>
    <w:p w14:paraId="6D7E2AF0" w14:textId="77777777" w:rsidR="00AC1665" w:rsidRPr="00372A1B" w:rsidRDefault="00AC1665" w:rsidP="00372A1B">
      <w:pPr>
        <w:ind w:firstLine="720"/>
        <w:jc w:val="both"/>
        <w:rPr>
          <w:rFonts w:ascii="Arial" w:hAnsi="Arial" w:cs="Arial"/>
          <w:bCs/>
          <w:lang w:val="en-PH"/>
        </w:rPr>
      </w:pPr>
    </w:p>
    <w:p w14:paraId="351CF2B7" w14:textId="79CB9E63" w:rsidR="00372A1B" w:rsidRPr="00372A1B" w:rsidRDefault="00372A1B" w:rsidP="00372A1B">
      <w:pPr>
        <w:jc w:val="both"/>
        <w:rPr>
          <w:rFonts w:ascii="Arial" w:hAnsi="Arial" w:cs="Arial"/>
        </w:rPr>
      </w:pPr>
      <w:r w:rsidRPr="00372A1B">
        <w:rPr>
          <w:rFonts w:ascii="Arial" w:hAnsi="Arial" w:cs="Arial"/>
        </w:rPr>
        <w:t xml:space="preserve">Table </w:t>
      </w:r>
      <w:r w:rsidR="00AC1665">
        <w:rPr>
          <w:rFonts w:ascii="Arial" w:hAnsi="Arial" w:cs="Arial"/>
        </w:rPr>
        <w:t>19</w:t>
      </w:r>
      <w:r w:rsidRPr="00372A1B">
        <w:rPr>
          <w:rFonts w:ascii="Arial" w:hAnsi="Arial" w:cs="Arial"/>
        </w:rPr>
        <w:t>. Detailed comparison of stakeholder category where significant difference in the level of acceptance is found</w:t>
      </w:r>
    </w:p>
    <w:tbl>
      <w:tblPr>
        <w:tblW w:w="819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170"/>
        <w:gridCol w:w="1269"/>
        <w:gridCol w:w="981"/>
        <w:gridCol w:w="704"/>
        <w:gridCol w:w="617"/>
        <w:gridCol w:w="1011"/>
        <w:gridCol w:w="1196"/>
        <w:gridCol w:w="1242"/>
      </w:tblGrid>
      <w:tr w:rsidR="00FA1462" w:rsidRPr="00AC1665" w14:paraId="690554DF" w14:textId="77777777" w:rsidTr="00FA1462">
        <w:trPr>
          <w:cantSplit/>
          <w:trHeight w:val="282"/>
        </w:trPr>
        <w:tc>
          <w:tcPr>
            <w:tcW w:w="1170" w:type="dxa"/>
            <w:vMerge w:val="restart"/>
            <w:tcBorders>
              <w:tl2br w:val="nil"/>
              <w:tr2bl w:val="nil"/>
            </w:tcBorders>
            <w:shd w:val="clear" w:color="auto" w:fill="FFFFFF"/>
          </w:tcPr>
          <w:p w14:paraId="329837F7" w14:textId="77777777" w:rsidR="00372A1B" w:rsidRPr="00AC1665" w:rsidRDefault="00372A1B" w:rsidP="00AC1665">
            <w:pPr>
              <w:ind w:left="60" w:right="60"/>
              <w:rPr>
                <w:rFonts w:ascii="Arial" w:hAnsi="Arial"/>
                <w:sz w:val="18"/>
                <w:szCs w:val="18"/>
              </w:rPr>
            </w:pPr>
            <w:r w:rsidRPr="00AC1665">
              <w:rPr>
                <w:rFonts w:ascii="Arial" w:hAnsi="Arial"/>
                <w:sz w:val="18"/>
                <w:szCs w:val="18"/>
              </w:rPr>
              <w:t xml:space="preserve">(I) </w:t>
            </w:r>
            <w:proofErr w:type="spellStart"/>
            <w:r w:rsidRPr="00AC1665">
              <w:rPr>
                <w:rFonts w:ascii="Arial" w:hAnsi="Arial"/>
                <w:sz w:val="18"/>
                <w:szCs w:val="18"/>
              </w:rPr>
              <w:t>Stakeholder_Category</w:t>
            </w:r>
            <w:proofErr w:type="spellEnd"/>
          </w:p>
        </w:tc>
        <w:tc>
          <w:tcPr>
            <w:tcW w:w="1269" w:type="dxa"/>
            <w:vMerge w:val="restart"/>
            <w:tcBorders>
              <w:tl2br w:val="nil"/>
              <w:tr2bl w:val="nil"/>
            </w:tcBorders>
            <w:shd w:val="clear" w:color="auto" w:fill="FFFFFF"/>
          </w:tcPr>
          <w:p w14:paraId="14A7BE46" w14:textId="77777777" w:rsidR="00372A1B" w:rsidRPr="00AC1665" w:rsidRDefault="00372A1B" w:rsidP="00AC1665">
            <w:pPr>
              <w:ind w:left="60" w:right="60"/>
              <w:rPr>
                <w:rFonts w:ascii="Arial" w:hAnsi="Arial"/>
                <w:sz w:val="18"/>
                <w:szCs w:val="18"/>
              </w:rPr>
            </w:pPr>
            <w:r w:rsidRPr="00AC1665">
              <w:rPr>
                <w:rFonts w:ascii="Arial" w:hAnsi="Arial"/>
                <w:sz w:val="18"/>
                <w:szCs w:val="18"/>
              </w:rPr>
              <w:t xml:space="preserve">(J) </w:t>
            </w:r>
            <w:proofErr w:type="spellStart"/>
            <w:r w:rsidRPr="00AC1665">
              <w:rPr>
                <w:rFonts w:ascii="Arial" w:hAnsi="Arial"/>
                <w:sz w:val="18"/>
                <w:szCs w:val="18"/>
              </w:rPr>
              <w:t>Stakeholder_Category</w:t>
            </w:r>
            <w:proofErr w:type="spellEnd"/>
          </w:p>
        </w:tc>
        <w:tc>
          <w:tcPr>
            <w:tcW w:w="981" w:type="dxa"/>
            <w:vMerge w:val="restart"/>
            <w:tcBorders>
              <w:tl2br w:val="nil"/>
              <w:tr2bl w:val="nil"/>
            </w:tcBorders>
            <w:shd w:val="clear" w:color="auto" w:fill="FFFFFF"/>
          </w:tcPr>
          <w:p w14:paraId="023B381C"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Mean Difference (I-J)</w:t>
            </w:r>
          </w:p>
        </w:tc>
        <w:tc>
          <w:tcPr>
            <w:tcW w:w="704" w:type="dxa"/>
            <w:vMerge w:val="restart"/>
            <w:tcBorders>
              <w:tl2br w:val="nil"/>
              <w:tr2bl w:val="nil"/>
            </w:tcBorders>
            <w:shd w:val="clear" w:color="auto" w:fill="FFFFFF"/>
          </w:tcPr>
          <w:p w14:paraId="34E431E3"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Std. Error</w:t>
            </w:r>
          </w:p>
        </w:tc>
        <w:tc>
          <w:tcPr>
            <w:tcW w:w="617" w:type="dxa"/>
            <w:vMerge w:val="restart"/>
            <w:tcBorders>
              <w:tl2br w:val="nil"/>
              <w:tr2bl w:val="nil"/>
            </w:tcBorders>
            <w:shd w:val="clear" w:color="auto" w:fill="FFFFFF"/>
          </w:tcPr>
          <w:p w14:paraId="315A8F49"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Sig.</w:t>
            </w:r>
          </w:p>
        </w:tc>
        <w:tc>
          <w:tcPr>
            <w:tcW w:w="2207" w:type="dxa"/>
            <w:gridSpan w:val="2"/>
            <w:tcBorders>
              <w:tl2br w:val="nil"/>
              <w:tr2bl w:val="nil"/>
            </w:tcBorders>
            <w:shd w:val="clear" w:color="auto" w:fill="FFFFFF"/>
          </w:tcPr>
          <w:p w14:paraId="7A37A860"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95% Confidence Interval</w:t>
            </w:r>
          </w:p>
        </w:tc>
        <w:tc>
          <w:tcPr>
            <w:tcW w:w="1242" w:type="dxa"/>
            <w:vMerge w:val="restart"/>
            <w:tcBorders>
              <w:tl2br w:val="nil"/>
              <w:tr2bl w:val="nil"/>
            </w:tcBorders>
            <w:shd w:val="clear" w:color="auto" w:fill="FFFFFF"/>
            <w:vAlign w:val="center"/>
          </w:tcPr>
          <w:p w14:paraId="4443684E"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Interpretation</w:t>
            </w:r>
          </w:p>
        </w:tc>
      </w:tr>
      <w:tr w:rsidR="00FA1462" w:rsidRPr="00AC1665" w14:paraId="466057A7" w14:textId="77777777" w:rsidTr="00FA1462">
        <w:trPr>
          <w:cantSplit/>
          <w:trHeight w:val="162"/>
        </w:trPr>
        <w:tc>
          <w:tcPr>
            <w:tcW w:w="1170" w:type="dxa"/>
            <w:vMerge/>
            <w:tcBorders>
              <w:bottom w:val="single" w:sz="4" w:space="0" w:color="auto"/>
              <w:tl2br w:val="nil"/>
              <w:tr2bl w:val="nil"/>
            </w:tcBorders>
            <w:shd w:val="clear" w:color="auto" w:fill="FFFFFF"/>
          </w:tcPr>
          <w:p w14:paraId="0C95D55E" w14:textId="77777777" w:rsidR="00372A1B" w:rsidRPr="00AC1665" w:rsidRDefault="00372A1B" w:rsidP="00AC1665">
            <w:pPr>
              <w:rPr>
                <w:rFonts w:ascii="Arial" w:hAnsi="Arial"/>
                <w:sz w:val="18"/>
                <w:szCs w:val="18"/>
              </w:rPr>
            </w:pPr>
          </w:p>
        </w:tc>
        <w:tc>
          <w:tcPr>
            <w:tcW w:w="1269" w:type="dxa"/>
            <w:vMerge/>
            <w:tcBorders>
              <w:bottom w:val="single" w:sz="4" w:space="0" w:color="auto"/>
              <w:tl2br w:val="nil"/>
              <w:tr2bl w:val="nil"/>
            </w:tcBorders>
            <w:shd w:val="clear" w:color="auto" w:fill="FFFFFF"/>
          </w:tcPr>
          <w:p w14:paraId="6B272F44" w14:textId="77777777" w:rsidR="00372A1B" w:rsidRPr="00AC1665" w:rsidRDefault="00372A1B" w:rsidP="00AC1665">
            <w:pPr>
              <w:rPr>
                <w:rFonts w:ascii="Arial" w:hAnsi="Arial"/>
                <w:sz w:val="18"/>
                <w:szCs w:val="18"/>
              </w:rPr>
            </w:pPr>
          </w:p>
        </w:tc>
        <w:tc>
          <w:tcPr>
            <w:tcW w:w="981" w:type="dxa"/>
            <w:vMerge/>
            <w:tcBorders>
              <w:bottom w:val="single" w:sz="4" w:space="0" w:color="auto"/>
              <w:tl2br w:val="nil"/>
              <w:tr2bl w:val="nil"/>
            </w:tcBorders>
            <w:shd w:val="clear" w:color="auto" w:fill="FFFFFF"/>
          </w:tcPr>
          <w:p w14:paraId="594D45C7" w14:textId="77777777" w:rsidR="00372A1B" w:rsidRPr="00AC1665" w:rsidRDefault="00372A1B" w:rsidP="00AC1665">
            <w:pPr>
              <w:rPr>
                <w:rFonts w:ascii="Arial" w:hAnsi="Arial"/>
                <w:sz w:val="18"/>
                <w:szCs w:val="18"/>
              </w:rPr>
            </w:pPr>
          </w:p>
        </w:tc>
        <w:tc>
          <w:tcPr>
            <w:tcW w:w="704" w:type="dxa"/>
            <w:vMerge/>
            <w:tcBorders>
              <w:bottom w:val="single" w:sz="4" w:space="0" w:color="auto"/>
              <w:tl2br w:val="nil"/>
              <w:tr2bl w:val="nil"/>
            </w:tcBorders>
            <w:shd w:val="clear" w:color="auto" w:fill="FFFFFF"/>
          </w:tcPr>
          <w:p w14:paraId="047AC9B9" w14:textId="77777777" w:rsidR="00372A1B" w:rsidRPr="00AC1665" w:rsidRDefault="00372A1B" w:rsidP="00AC1665">
            <w:pPr>
              <w:rPr>
                <w:rFonts w:ascii="Arial" w:hAnsi="Arial"/>
                <w:sz w:val="18"/>
                <w:szCs w:val="18"/>
              </w:rPr>
            </w:pPr>
          </w:p>
        </w:tc>
        <w:tc>
          <w:tcPr>
            <w:tcW w:w="617" w:type="dxa"/>
            <w:vMerge/>
            <w:tcBorders>
              <w:bottom w:val="single" w:sz="4" w:space="0" w:color="auto"/>
              <w:tl2br w:val="nil"/>
              <w:tr2bl w:val="nil"/>
            </w:tcBorders>
            <w:shd w:val="clear" w:color="auto" w:fill="FFFFFF"/>
          </w:tcPr>
          <w:p w14:paraId="75997D4B" w14:textId="77777777" w:rsidR="00372A1B" w:rsidRPr="00AC1665" w:rsidRDefault="00372A1B" w:rsidP="00AC1665">
            <w:pPr>
              <w:rPr>
                <w:rFonts w:ascii="Arial" w:hAnsi="Arial"/>
                <w:sz w:val="18"/>
                <w:szCs w:val="18"/>
              </w:rPr>
            </w:pPr>
          </w:p>
        </w:tc>
        <w:tc>
          <w:tcPr>
            <w:tcW w:w="1011" w:type="dxa"/>
            <w:tcBorders>
              <w:bottom w:val="single" w:sz="4" w:space="0" w:color="auto"/>
              <w:tl2br w:val="nil"/>
              <w:tr2bl w:val="nil"/>
            </w:tcBorders>
            <w:shd w:val="clear" w:color="auto" w:fill="FFFFFF"/>
          </w:tcPr>
          <w:p w14:paraId="1C68A434"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Lower Bound</w:t>
            </w:r>
          </w:p>
        </w:tc>
        <w:tc>
          <w:tcPr>
            <w:tcW w:w="1196" w:type="dxa"/>
            <w:tcBorders>
              <w:bottom w:val="single" w:sz="4" w:space="0" w:color="auto"/>
              <w:tl2br w:val="nil"/>
              <w:tr2bl w:val="nil"/>
            </w:tcBorders>
            <w:shd w:val="clear" w:color="auto" w:fill="FFFFFF"/>
          </w:tcPr>
          <w:p w14:paraId="75701F67" w14:textId="77777777" w:rsidR="00372A1B" w:rsidRPr="00AC1665" w:rsidRDefault="00372A1B" w:rsidP="00AC1665">
            <w:pPr>
              <w:ind w:left="60" w:right="60"/>
              <w:jc w:val="center"/>
              <w:rPr>
                <w:rFonts w:ascii="Arial" w:hAnsi="Arial"/>
                <w:sz w:val="18"/>
                <w:szCs w:val="18"/>
              </w:rPr>
            </w:pPr>
            <w:r w:rsidRPr="00AC1665">
              <w:rPr>
                <w:rFonts w:ascii="Arial" w:hAnsi="Arial"/>
                <w:sz w:val="18"/>
                <w:szCs w:val="18"/>
              </w:rPr>
              <w:t>Upper Bound</w:t>
            </w:r>
          </w:p>
        </w:tc>
        <w:tc>
          <w:tcPr>
            <w:tcW w:w="1242" w:type="dxa"/>
            <w:vMerge/>
            <w:tcBorders>
              <w:bottom w:val="single" w:sz="4" w:space="0" w:color="auto"/>
              <w:tl2br w:val="nil"/>
              <w:tr2bl w:val="nil"/>
            </w:tcBorders>
            <w:shd w:val="clear" w:color="auto" w:fill="FFFFFF"/>
          </w:tcPr>
          <w:p w14:paraId="69719B51" w14:textId="77777777" w:rsidR="00372A1B" w:rsidRPr="00AC1665" w:rsidRDefault="00372A1B" w:rsidP="00AC1665">
            <w:pPr>
              <w:ind w:left="60" w:right="60"/>
              <w:jc w:val="center"/>
              <w:rPr>
                <w:rFonts w:ascii="Arial" w:hAnsi="Arial"/>
                <w:sz w:val="18"/>
                <w:szCs w:val="18"/>
              </w:rPr>
            </w:pPr>
          </w:p>
        </w:tc>
      </w:tr>
      <w:tr w:rsidR="00FA1462" w:rsidRPr="00AC1665" w14:paraId="1BEE1A4C" w14:textId="77777777" w:rsidTr="00FA1462">
        <w:trPr>
          <w:cantSplit/>
          <w:trHeight w:val="250"/>
        </w:trPr>
        <w:tc>
          <w:tcPr>
            <w:tcW w:w="1170" w:type="dxa"/>
            <w:vMerge w:val="restart"/>
            <w:tcBorders>
              <w:top w:val="single" w:sz="4" w:space="0" w:color="auto"/>
              <w:tl2br w:val="nil"/>
              <w:tr2bl w:val="nil"/>
            </w:tcBorders>
            <w:shd w:val="clear" w:color="auto" w:fill="FFFFFF"/>
            <w:vAlign w:val="center"/>
          </w:tcPr>
          <w:p w14:paraId="790F8AB7" w14:textId="77777777" w:rsidR="00372A1B" w:rsidRPr="00AC1665" w:rsidRDefault="00372A1B" w:rsidP="00AC1665">
            <w:pPr>
              <w:ind w:left="60" w:right="60"/>
              <w:rPr>
                <w:rFonts w:ascii="Arial" w:hAnsi="Arial"/>
                <w:sz w:val="18"/>
                <w:szCs w:val="18"/>
              </w:rPr>
            </w:pPr>
            <w:r w:rsidRPr="00AC1665">
              <w:rPr>
                <w:rFonts w:ascii="Arial" w:hAnsi="Arial"/>
                <w:sz w:val="18"/>
                <w:szCs w:val="18"/>
              </w:rPr>
              <w:t>Parent</w:t>
            </w:r>
          </w:p>
        </w:tc>
        <w:tc>
          <w:tcPr>
            <w:tcW w:w="1269" w:type="dxa"/>
            <w:tcBorders>
              <w:top w:val="single" w:sz="4" w:space="0" w:color="auto"/>
              <w:bottom w:val="single" w:sz="4" w:space="0" w:color="auto"/>
              <w:tl2br w:val="nil"/>
              <w:tr2bl w:val="nil"/>
            </w:tcBorders>
            <w:shd w:val="clear" w:color="auto" w:fill="FFFFFF"/>
            <w:vAlign w:val="center"/>
          </w:tcPr>
          <w:p w14:paraId="644981A5" w14:textId="77777777" w:rsidR="00372A1B" w:rsidRPr="00AC1665" w:rsidRDefault="00372A1B" w:rsidP="00AC1665">
            <w:pPr>
              <w:ind w:left="60" w:right="60"/>
              <w:rPr>
                <w:rFonts w:ascii="Arial" w:hAnsi="Arial"/>
                <w:sz w:val="18"/>
                <w:szCs w:val="18"/>
              </w:rPr>
            </w:pPr>
            <w:r w:rsidRPr="00AC1665">
              <w:rPr>
                <w:rFonts w:ascii="Arial" w:hAnsi="Arial"/>
                <w:sz w:val="18"/>
                <w:szCs w:val="18"/>
              </w:rPr>
              <w:t>Alumni</w:t>
            </w:r>
          </w:p>
        </w:tc>
        <w:tc>
          <w:tcPr>
            <w:tcW w:w="981" w:type="dxa"/>
            <w:tcBorders>
              <w:top w:val="single" w:sz="4" w:space="0" w:color="auto"/>
              <w:bottom w:val="single" w:sz="4" w:space="0" w:color="auto"/>
              <w:tl2br w:val="nil"/>
              <w:tr2bl w:val="nil"/>
            </w:tcBorders>
            <w:shd w:val="clear" w:color="auto" w:fill="FFFFFF"/>
            <w:vAlign w:val="center"/>
          </w:tcPr>
          <w:p w14:paraId="72FF77D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-.24666</w:t>
            </w:r>
          </w:p>
        </w:tc>
        <w:tc>
          <w:tcPr>
            <w:tcW w:w="704" w:type="dxa"/>
            <w:tcBorders>
              <w:top w:val="single" w:sz="4" w:space="0" w:color="auto"/>
              <w:bottom w:val="single" w:sz="4" w:space="0" w:color="auto"/>
              <w:tl2br w:val="nil"/>
              <w:tr2bl w:val="nil"/>
            </w:tcBorders>
            <w:shd w:val="clear" w:color="auto" w:fill="FFFFFF"/>
            <w:vAlign w:val="center"/>
          </w:tcPr>
          <w:p w14:paraId="4DA4AE2C"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.12749</w:t>
            </w:r>
          </w:p>
        </w:tc>
        <w:tc>
          <w:tcPr>
            <w:tcW w:w="617" w:type="dxa"/>
            <w:tcBorders>
              <w:top w:val="single" w:sz="4" w:space="0" w:color="auto"/>
              <w:bottom w:val="single" w:sz="4" w:space="0" w:color="auto"/>
              <w:tl2br w:val="nil"/>
              <w:tr2bl w:val="nil"/>
            </w:tcBorders>
            <w:shd w:val="clear" w:color="auto" w:fill="FFFFFF"/>
            <w:vAlign w:val="center"/>
          </w:tcPr>
          <w:p w14:paraId="41BAA3A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.383</w:t>
            </w:r>
          </w:p>
        </w:tc>
        <w:tc>
          <w:tcPr>
            <w:tcW w:w="1011" w:type="dxa"/>
            <w:tcBorders>
              <w:top w:val="single" w:sz="4" w:space="0" w:color="auto"/>
              <w:bottom w:val="single" w:sz="4" w:space="0" w:color="auto"/>
              <w:tl2br w:val="nil"/>
              <w:tr2bl w:val="nil"/>
            </w:tcBorders>
            <w:shd w:val="clear" w:color="auto" w:fill="FFFFFF"/>
            <w:vAlign w:val="center"/>
          </w:tcPr>
          <w:p w14:paraId="3024229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-.6124</w:t>
            </w:r>
          </w:p>
        </w:tc>
        <w:tc>
          <w:tcPr>
            <w:tcW w:w="1196" w:type="dxa"/>
            <w:tcBorders>
              <w:top w:val="single" w:sz="4" w:space="0" w:color="auto"/>
              <w:bottom w:val="single" w:sz="4" w:space="0" w:color="auto"/>
              <w:tl2br w:val="nil"/>
              <w:tr2bl w:val="nil"/>
            </w:tcBorders>
            <w:shd w:val="clear" w:color="auto" w:fill="FFFFFF"/>
            <w:vAlign w:val="center"/>
          </w:tcPr>
          <w:p w14:paraId="754EEEA9"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.1191</w:t>
            </w:r>
          </w:p>
        </w:tc>
        <w:tc>
          <w:tcPr>
            <w:tcW w:w="1242" w:type="dxa"/>
            <w:tcBorders>
              <w:top w:val="single" w:sz="4" w:space="0" w:color="auto"/>
              <w:bottom w:val="single" w:sz="4" w:space="0" w:color="auto"/>
              <w:tl2br w:val="nil"/>
              <w:tr2bl w:val="nil"/>
            </w:tcBorders>
            <w:shd w:val="clear" w:color="auto" w:fill="FFFFFF"/>
            <w:vAlign w:val="center"/>
          </w:tcPr>
          <w:p w14:paraId="7026CF5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no difference</w:t>
            </w:r>
          </w:p>
        </w:tc>
      </w:tr>
      <w:tr w:rsidR="00FA1462" w:rsidRPr="00AC1665" w14:paraId="228EE0DD" w14:textId="77777777" w:rsidTr="00FA1462">
        <w:trPr>
          <w:cantSplit/>
          <w:trHeight w:val="250"/>
        </w:trPr>
        <w:tc>
          <w:tcPr>
            <w:tcW w:w="1170" w:type="dxa"/>
            <w:vMerge/>
            <w:tcBorders>
              <w:tl2br w:val="nil"/>
              <w:tr2bl w:val="nil"/>
            </w:tcBorders>
            <w:shd w:val="clear" w:color="auto" w:fill="FFFFFF"/>
            <w:vAlign w:val="center"/>
          </w:tcPr>
          <w:p w14:paraId="1873A4A9" w14:textId="77777777" w:rsidR="00372A1B" w:rsidRPr="00AC1665" w:rsidRDefault="00372A1B" w:rsidP="00AC1665">
            <w:pPr>
              <w:rPr>
                <w:rFonts w:ascii="Arial" w:hAnsi="Arial"/>
                <w:sz w:val="18"/>
                <w:szCs w:val="18"/>
              </w:rPr>
            </w:pPr>
          </w:p>
        </w:tc>
        <w:tc>
          <w:tcPr>
            <w:tcW w:w="1269" w:type="dxa"/>
            <w:tcBorders>
              <w:top w:val="single" w:sz="4" w:space="0" w:color="auto"/>
              <w:bottom w:val="single" w:sz="4" w:space="0" w:color="auto"/>
              <w:tl2br w:val="nil"/>
              <w:tr2bl w:val="nil"/>
            </w:tcBorders>
            <w:shd w:val="clear" w:color="auto" w:fill="FFFFFF"/>
            <w:vAlign w:val="center"/>
          </w:tcPr>
          <w:p w14:paraId="2780B313" w14:textId="77777777" w:rsidR="00372A1B" w:rsidRPr="00AC1665" w:rsidRDefault="00372A1B" w:rsidP="00AC1665">
            <w:pPr>
              <w:ind w:left="60" w:right="60"/>
              <w:rPr>
                <w:rFonts w:ascii="Arial" w:hAnsi="Arial"/>
                <w:sz w:val="18"/>
                <w:szCs w:val="18"/>
              </w:rPr>
            </w:pPr>
            <w:r w:rsidRPr="00AC1665">
              <w:rPr>
                <w:rFonts w:ascii="Arial" w:hAnsi="Arial"/>
                <w:sz w:val="18"/>
                <w:szCs w:val="18"/>
              </w:rPr>
              <w:t>Faculty</w:t>
            </w:r>
          </w:p>
        </w:tc>
        <w:tc>
          <w:tcPr>
            <w:tcW w:w="981" w:type="dxa"/>
            <w:tcBorders>
              <w:top w:val="single" w:sz="4" w:space="0" w:color="auto"/>
              <w:bottom w:val="single" w:sz="4" w:space="0" w:color="auto"/>
              <w:tl2br w:val="nil"/>
              <w:tr2bl w:val="nil"/>
            </w:tcBorders>
            <w:shd w:val="clear" w:color="auto" w:fill="FFFFFF"/>
            <w:vAlign w:val="center"/>
          </w:tcPr>
          <w:p w14:paraId="0F62A4EA"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-.44780</w:t>
            </w:r>
            <w:r w:rsidRPr="00AC1665">
              <w:rPr>
                <w:rFonts w:ascii="Arial" w:hAnsi="Arial"/>
                <w:sz w:val="18"/>
                <w:szCs w:val="18"/>
                <w:vertAlign w:val="superscript"/>
              </w:rPr>
              <w:t>*</w:t>
            </w:r>
          </w:p>
        </w:tc>
        <w:tc>
          <w:tcPr>
            <w:tcW w:w="704" w:type="dxa"/>
            <w:tcBorders>
              <w:top w:val="single" w:sz="4" w:space="0" w:color="auto"/>
              <w:bottom w:val="single" w:sz="4" w:space="0" w:color="auto"/>
              <w:tl2br w:val="nil"/>
              <w:tr2bl w:val="nil"/>
            </w:tcBorders>
            <w:shd w:val="clear" w:color="auto" w:fill="FFFFFF"/>
            <w:vAlign w:val="center"/>
          </w:tcPr>
          <w:p w14:paraId="565D63A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.12284</w:t>
            </w:r>
          </w:p>
        </w:tc>
        <w:tc>
          <w:tcPr>
            <w:tcW w:w="617" w:type="dxa"/>
            <w:tcBorders>
              <w:top w:val="single" w:sz="4" w:space="0" w:color="auto"/>
              <w:bottom w:val="single" w:sz="4" w:space="0" w:color="auto"/>
              <w:tl2br w:val="nil"/>
              <w:tr2bl w:val="nil"/>
            </w:tcBorders>
            <w:shd w:val="clear" w:color="auto" w:fill="FFFFFF"/>
            <w:vAlign w:val="center"/>
          </w:tcPr>
          <w:p w14:paraId="57C4AB73"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.004</w:t>
            </w:r>
          </w:p>
        </w:tc>
        <w:tc>
          <w:tcPr>
            <w:tcW w:w="1011" w:type="dxa"/>
            <w:tcBorders>
              <w:top w:val="single" w:sz="4" w:space="0" w:color="auto"/>
              <w:bottom w:val="single" w:sz="4" w:space="0" w:color="auto"/>
              <w:tl2br w:val="nil"/>
              <w:tr2bl w:val="nil"/>
            </w:tcBorders>
            <w:shd w:val="clear" w:color="auto" w:fill="FFFFFF"/>
            <w:vAlign w:val="center"/>
          </w:tcPr>
          <w:p w14:paraId="2EF233F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-.8002</w:t>
            </w:r>
          </w:p>
        </w:tc>
        <w:tc>
          <w:tcPr>
            <w:tcW w:w="1196" w:type="dxa"/>
            <w:tcBorders>
              <w:top w:val="single" w:sz="4" w:space="0" w:color="auto"/>
              <w:bottom w:val="single" w:sz="4" w:space="0" w:color="auto"/>
              <w:tl2br w:val="nil"/>
              <w:tr2bl w:val="nil"/>
            </w:tcBorders>
            <w:shd w:val="clear" w:color="auto" w:fill="FFFFFF"/>
            <w:vAlign w:val="center"/>
          </w:tcPr>
          <w:p w14:paraId="1CBF843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-.0954</w:t>
            </w:r>
          </w:p>
        </w:tc>
        <w:tc>
          <w:tcPr>
            <w:tcW w:w="1242" w:type="dxa"/>
            <w:tcBorders>
              <w:top w:val="single" w:sz="4" w:space="0" w:color="auto"/>
              <w:bottom w:val="single" w:sz="4" w:space="0" w:color="auto"/>
              <w:tl2br w:val="nil"/>
              <w:tr2bl w:val="nil"/>
            </w:tcBorders>
            <w:shd w:val="clear" w:color="auto" w:fill="FFFFFF"/>
            <w:vAlign w:val="center"/>
          </w:tcPr>
          <w:p w14:paraId="7A40C9E9"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0656C08E" w14:textId="77777777" w:rsidTr="00FA1462">
        <w:trPr>
          <w:cantSplit/>
          <w:trHeight w:val="250"/>
        </w:trPr>
        <w:tc>
          <w:tcPr>
            <w:tcW w:w="1170" w:type="dxa"/>
            <w:vMerge/>
            <w:tcBorders>
              <w:tl2br w:val="nil"/>
              <w:tr2bl w:val="nil"/>
            </w:tcBorders>
            <w:shd w:val="clear" w:color="auto" w:fill="FFFFFF"/>
            <w:vAlign w:val="center"/>
          </w:tcPr>
          <w:p w14:paraId="5E554371" w14:textId="77777777" w:rsidR="00372A1B" w:rsidRPr="00AC1665" w:rsidRDefault="00372A1B" w:rsidP="00AC1665">
            <w:pPr>
              <w:rPr>
                <w:rFonts w:ascii="Arial" w:hAnsi="Arial"/>
                <w:sz w:val="18"/>
                <w:szCs w:val="18"/>
              </w:rPr>
            </w:pPr>
          </w:p>
        </w:tc>
        <w:tc>
          <w:tcPr>
            <w:tcW w:w="1269" w:type="dxa"/>
            <w:tcBorders>
              <w:top w:val="single" w:sz="4" w:space="0" w:color="auto"/>
              <w:tl2br w:val="nil"/>
              <w:tr2bl w:val="nil"/>
            </w:tcBorders>
            <w:shd w:val="clear" w:color="auto" w:fill="FFFFFF"/>
            <w:vAlign w:val="center"/>
          </w:tcPr>
          <w:p w14:paraId="080938FF" w14:textId="77777777" w:rsidR="00372A1B" w:rsidRPr="00AC1665" w:rsidRDefault="00372A1B" w:rsidP="00AC1665">
            <w:pPr>
              <w:ind w:left="60" w:right="60"/>
              <w:rPr>
                <w:rFonts w:ascii="Arial" w:hAnsi="Arial"/>
                <w:sz w:val="18"/>
                <w:szCs w:val="18"/>
              </w:rPr>
            </w:pPr>
            <w:r w:rsidRPr="00AC1665">
              <w:rPr>
                <w:rFonts w:ascii="Arial" w:hAnsi="Arial"/>
                <w:sz w:val="18"/>
                <w:szCs w:val="18"/>
              </w:rPr>
              <w:t>Industry</w:t>
            </w:r>
          </w:p>
        </w:tc>
        <w:tc>
          <w:tcPr>
            <w:tcW w:w="981" w:type="dxa"/>
            <w:tcBorders>
              <w:top w:val="single" w:sz="4" w:space="0" w:color="auto"/>
              <w:tl2br w:val="nil"/>
              <w:tr2bl w:val="nil"/>
            </w:tcBorders>
            <w:shd w:val="clear" w:color="auto" w:fill="FFFFFF"/>
            <w:vAlign w:val="center"/>
          </w:tcPr>
          <w:p w14:paraId="64DC342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-.33129</w:t>
            </w:r>
            <w:r w:rsidRPr="00AC1665">
              <w:rPr>
                <w:rFonts w:ascii="Arial" w:hAnsi="Arial"/>
                <w:sz w:val="18"/>
                <w:szCs w:val="18"/>
                <w:vertAlign w:val="superscript"/>
              </w:rPr>
              <w:t>*</w:t>
            </w:r>
          </w:p>
        </w:tc>
        <w:tc>
          <w:tcPr>
            <w:tcW w:w="704" w:type="dxa"/>
            <w:tcBorders>
              <w:top w:val="single" w:sz="4" w:space="0" w:color="auto"/>
              <w:tl2br w:val="nil"/>
              <w:tr2bl w:val="nil"/>
            </w:tcBorders>
            <w:shd w:val="clear" w:color="auto" w:fill="FFFFFF"/>
            <w:vAlign w:val="center"/>
          </w:tcPr>
          <w:p w14:paraId="6ECA7C4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.06175</w:t>
            </w:r>
          </w:p>
        </w:tc>
        <w:tc>
          <w:tcPr>
            <w:tcW w:w="617" w:type="dxa"/>
            <w:tcBorders>
              <w:top w:val="single" w:sz="4" w:space="0" w:color="auto"/>
              <w:tl2br w:val="nil"/>
              <w:tr2bl w:val="nil"/>
            </w:tcBorders>
            <w:shd w:val="clear" w:color="auto" w:fill="FFFFFF"/>
            <w:vAlign w:val="center"/>
          </w:tcPr>
          <w:p w14:paraId="690DEEFA"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.000</w:t>
            </w:r>
          </w:p>
        </w:tc>
        <w:tc>
          <w:tcPr>
            <w:tcW w:w="1011" w:type="dxa"/>
            <w:tcBorders>
              <w:top w:val="single" w:sz="4" w:space="0" w:color="auto"/>
              <w:tl2br w:val="nil"/>
              <w:tr2bl w:val="nil"/>
            </w:tcBorders>
            <w:shd w:val="clear" w:color="auto" w:fill="FFFFFF"/>
            <w:vAlign w:val="center"/>
          </w:tcPr>
          <w:p w14:paraId="5695E887"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-.5084</w:t>
            </w:r>
          </w:p>
        </w:tc>
        <w:tc>
          <w:tcPr>
            <w:tcW w:w="1196" w:type="dxa"/>
            <w:tcBorders>
              <w:top w:val="single" w:sz="4" w:space="0" w:color="auto"/>
              <w:tl2br w:val="nil"/>
              <w:tr2bl w:val="nil"/>
            </w:tcBorders>
            <w:shd w:val="clear" w:color="auto" w:fill="FFFFFF"/>
            <w:vAlign w:val="center"/>
          </w:tcPr>
          <w:p w14:paraId="5006589C"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-.1542</w:t>
            </w:r>
          </w:p>
        </w:tc>
        <w:tc>
          <w:tcPr>
            <w:tcW w:w="1242" w:type="dxa"/>
            <w:tcBorders>
              <w:top w:val="single" w:sz="4" w:space="0" w:color="auto"/>
              <w:tl2br w:val="nil"/>
              <w:tr2bl w:val="nil"/>
            </w:tcBorders>
            <w:shd w:val="clear" w:color="auto" w:fill="FFFFFF"/>
            <w:vAlign w:val="center"/>
          </w:tcPr>
          <w:p w14:paraId="1E82432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174B8AEF" w14:textId="77777777" w:rsidTr="00FA1462">
        <w:trPr>
          <w:cantSplit/>
          <w:trHeight w:val="250"/>
        </w:trPr>
        <w:tc>
          <w:tcPr>
            <w:tcW w:w="1170" w:type="dxa"/>
            <w:vMerge/>
            <w:tcBorders>
              <w:tl2br w:val="nil"/>
              <w:tr2bl w:val="nil"/>
            </w:tcBorders>
            <w:shd w:val="clear" w:color="auto" w:fill="FFFFFF"/>
            <w:vAlign w:val="center"/>
          </w:tcPr>
          <w:p w14:paraId="4925C075" w14:textId="77777777" w:rsidR="00372A1B" w:rsidRPr="00AC1665" w:rsidRDefault="00372A1B" w:rsidP="00AC1665">
            <w:pPr>
              <w:rPr>
                <w:rFonts w:ascii="Arial" w:hAnsi="Arial"/>
                <w:sz w:val="18"/>
                <w:szCs w:val="18"/>
              </w:rPr>
            </w:pPr>
          </w:p>
        </w:tc>
        <w:tc>
          <w:tcPr>
            <w:tcW w:w="1269" w:type="dxa"/>
            <w:tcBorders>
              <w:bottom w:val="single" w:sz="4" w:space="0" w:color="auto"/>
              <w:tl2br w:val="nil"/>
              <w:tr2bl w:val="nil"/>
            </w:tcBorders>
            <w:shd w:val="clear" w:color="auto" w:fill="FFFFFF"/>
            <w:vAlign w:val="center"/>
          </w:tcPr>
          <w:p w14:paraId="48551D2C" w14:textId="77777777" w:rsidR="00372A1B" w:rsidRPr="00AC1665" w:rsidRDefault="00372A1B" w:rsidP="00AC1665">
            <w:pPr>
              <w:ind w:left="60" w:right="60"/>
              <w:rPr>
                <w:rFonts w:ascii="Arial" w:hAnsi="Arial"/>
                <w:sz w:val="18"/>
                <w:szCs w:val="18"/>
              </w:rPr>
            </w:pPr>
            <w:r w:rsidRPr="00AC1665">
              <w:rPr>
                <w:rFonts w:ascii="Arial" w:hAnsi="Arial"/>
                <w:sz w:val="18"/>
                <w:szCs w:val="18"/>
              </w:rPr>
              <w:t>Non-Teaching Staff</w:t>
            </w:r>
          </w:p>
        </w:tc>
        <w:tc>
          <w:tcPr>
            <w:tcW w:w="981" w:type="dxa"/>
            <w:tcBorders>
              <w:bottom w:val="single" w:sz="4" w:space="0" w:color="auto"/>
              <w:tl2br w:val="nil"/>
              <w:tr2bl w:val="nil"/>
            </w:tcBorders>
            <w:shd w:val="clear" w:color="auto" w:fill="FFFFFF"/>
            <w:vAlign w:val="center"/>
          </w:tcPr>
          <w:p w14:paraId="044D0491"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-.52484</w:t>
            </w:r>
            <w:r w:rsidRPr="00AC1665">
              <w:rPr>
                <w:rFonts w:ascii="Arial" w:hAnsi="Arial"/>
                <w:sz w:val="18"/>
                <w:szCs w:val="18"/>
                <w:vertAlign w:val="superscript"/>
              </w:rPr>
              <w:t>*</w:t>
            </w:r>
          </w:p>
        </w:tc>
        <w:tc>
          <w:tcPr>
            <w:tcW w:w="704" w:type="dxa"/>
            <w:tcBorders>
              <w:bottom w:val="single" w:sz="4" w:space="0" w:color="auto"/>
              <w:tl2br w:val="nil"/>
              <w:tr2bl w:val="nil"/>
            </w:tcBorders>
            <w:shd w:val="clear" w:color="auto" w:fill="FFFFFF"/>
            <w:vAlign w:val="center"/>
          </w:tcPr>
          <w:p w14:paraId="19B4F18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.12749</w:t>
            </w:r>
          </w:p>
        </w:tc>
        <w:tc>
          <w:tcPr>
            <w:tcW w:w="617" w:type="dxa"/>
            <w:tcBorders>
              <w:bottom w:val="single" w:sz="4" w:space="0" w:color="auto"/>
              <w:tl2br w:val="nil"/>
              <w:tr2bl w:val="nil"/>
            </w:tcBorders>
            <w:shd w:val="clear" w:color="auto" w:fill="FFFFFF"/>
            <w:vAlign w:val="center"/>
          </w:tcPr>
          <w:p w14:paraId="4DA2095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.001</w:t>
            </w:r>
          </w:p>
        </w:tc>
        <w:tc>
          <w:tcPr>
            <w:tcW w:w="1011" w:type="dxa"/>
            <w:tcBorders>
              <w:bottom w:val="single" w:sz="4" w:space="0" w:color="auto"/>
              <w:tl2br w:val="nil"/>
              <w:tr2bl w:val="nil"/>
            </w:tcBorders>
            <w:shd w:val="clear" w:color="auto" w:fill="FFFFFF"/>
            <w:vAlign w:val="center"/>
          </w:tcPr>
          <w:p w14:paraId="5C4CB414"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-.8906</w:t>
            </w:r>
          </w:p>
        </w:tc>
        <w:tc>
          <w:tcPr>
            <w:tcW w:w="1196" w:type="dxa"/>
            <w:tcBorders>
              <w:bottom w:val="single" w:sz="4" w:space="0" w:color="auto"/>
              <w:tl2br w:val="nil"/>
              <w:tr2bl w:val="nil"/>
            </w:tcBorders>
            <w:shd w:val="clear" w:color="auto" w:fill="FFFFFF"/>
            <w:vAlign w:val="center"/>
          </w:tcPr>
          <w:p w14:paraId="05A557E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-.1591</w:t>
            </w:r>
          </w:p>
        </w:tc>
        <w:tc>
          <w:tcPr>
            <w:tcW w:w="1242" w:type="dxa"/>
            <w:tcBorders>
              <w:bottom w:val="single" w:sz="4" w:space="0" w:color="auto"/>
              <w:tl2br w:val="nil"/>
              <w:tr2bl w:val="nil"/>
            </w:tcBorders>
            <w:shd w:val="clear" w:color="auto" w:fill="FFFFFF"/>
            <w:vAlign w:val="center"/>
          </w:tcPr>
          <w:p w14:paraId="332B182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r w:rsidR="00FA1462" w:rsidRPr="00AC1665" w14:paraId="5CB330D5" w14:textId="77777777" w:rsidTr="00FA1462">
        <w:trPr>
          <w:cantSplit/>
          <w:trHeight w:val="250"/>
        </w:trPr>
        <w:tc>
          <w:tcPr>
            <w:tcW w:w="1170" w:type="dxa"/>
            <w:vMerge/>
            <w:tcBorders>
              <w:tl2br w:val="nil"/>
              <w:tr2bl w:val="nil"/>
            </w:tcBorders>
            <w:shd w:val="clear" w:color="auto" w:fill="FFFFFF"/>
            <w:vAlign w:val="center"/>
          </w:tcPr>
          <w:p w14:paraId="481DADB8" w14:textId="77777777" w:rsidR="00372A1B" w:rsidRPr="00AC1665" w:rsidRDefault="00372A1B" w:rsidP="00AC1665">
            <w:pPr>
              <w:rPr>
                <w:rFonts w:ascii="Arial" w:hAnsi="Arial"/>
                <w:sz w:val="18"/>
                <w:szCs w:val="18"/>
              </w:rPr>
            </w:pPr>
          </w:p>
        </w:tc>
        <w:tc>
          <w:tcPr>
            <w:tcW w:w="1269" w:type="dxa"/>
            <w:tcBorders>
              <w:top w:val="single" w:sz="4" w:space="0" w:color="auto"/>
              <w:bottom w:val="single" w:sz="4" w:space="0" w:color="auto"/>
              <w:tl2br w:val="nil"/>
              <w:tr2bl w:val="nil"/>
            </w:tcBorders>
            <w:shd w:val="clear" w:color="auto" w:fill="FFFFFF"/>
            <w:vAlign w:val="center"/>
          </w:tcPr>
          <w:p w14:paraId="359E3CD8" w14:textId="77777777" w:rsidR="00372A1B" w:rsidRPr="00AC1665" w:rsidRDefault="00372A1B" w:rsidP="00AC1665">
            <w:pPr>
              <w:ind w:left="60" w:right="60"/>
              <w:rPr>
                <w:rFonts w:ascii="Arial" w:hAnsi="Arial"/>
                <w:sz w:val="18"/>
                <w:szCs w:val="18"/>
              </w:rPr>
            </w:pPr>
            <w:r w:rsidRPr="00AC1665">
              <w:rPr>
                <w:rFonts w:ascii="Arial" w:hAnsi="Arial"/>
                <w:sz w:val="18"/>
                <w:szCs w:val="18"/>
              </w:rPr>
              <w:t>Student</w:t>
            </w:r>
          </w:p>
        </w:tc>
        <w:tc>
          <w:tcPr>
            <w:tcW w:w="981" w:type="dxa"/>
            <w:tcBorders>
              <w:top w:val="single" w:sz="4" w:space="0" w:color="auto"/>
              <w:bottom w:val="single" w:sz="4" w:space="0" w:color="auto"/>
              <w:tl2br w:val="nil"/>
              <w:tr2bl w:val="nil"/>
            </w:tcBorders>
            <w:shd w:val="clear" w:color="auto" w:fill="FFFFFF"/>
            <w:vAlign w:val="center"/>
          </w:tcPr>
          <w:p w14:paraId="1290EB82"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-.39566</w:t>
            </w:r>
            <w:r w:rsidRPr="00AC1665">
              <w:rPr>
                <w:rFonts w:ascii="Arial" w:hAnsi="Arial"/>
                <w:sz w:val="18"/>
                <w:szCs w:val="18"/>
                <w:vertAlign w:val="superscript"/>
              </w:rPr>
              <w:t>*</w:t>
            </w:r>
          </w:p>
        </w:tc>
        <w:tc>
          <w:tcPr>
            <w:tcW w:w="704" w:type="dxa"/>
            <w:tcBorders>
              <w:top w:val="single" w:sz="4" w:space="0" w:color="auto"/>
              <w:bottom w:val="single" w:sz="4" w:space="0" w:color="auto"/>
              <w:tl2br w:val="nil"/>
              <w:tr2bl w:val="nil"/>
            </w:tcBorders>
            <w:shd w:val="clear" w:color="auto" w:fill="FFFFFF"/>
            <w:vAlign w:val="center"/>
          </w:tcPr>
          <w:p w14:paraId="5CA7A72D"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.06225</w:t>
            </w:r>
          </w:p>
        </w:tc>
        <w:tc>
          <w:tcPr>
            <w:tcW w:w="617" w:type="dxa"/>
            <w:tcBorders>
              <w:top w:val="single" w:sz="4" w:space="0" w:color="auto"/>
              <w:bottom w:val="single" w:sz="4" w:space="0" w:color="auto"/>
              <w:tl2br w:val="nil"/>
              <w:tr2bl w:val="nil"/>
            </w:tcBorders>
            <w:shd w:val="clear" w:color="auto" w:fill="FFFFFF"/>
            <w:vAlign w:val="center"/>
          </w:tcPr>
          <w:p w14:paraId="26C55818"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.000</w:t>
            </w:r>
          </w:p>
        </w:tc>
        <w:tc>
          <w:tcPr>
            <w:tcW w:w="1011" w:type="dxa"/>
            <w:tcBorders>
              <w:top w:val="single" w:sz="4" w:space="0" w:color="auto"/>
              <w:bottom w:val="single" w:sz="4" w:space="0" w:color="auto"/>
              <w:tl2br w:val="nil"/>
              <w:tr2bl w:val="nil"/>
            </w:tcBorders>
            <w:shd w:val="clear" w:color="auto" w:fill="FFFFFF"/>
            <w:vAlign w:val="center"/>
          </w:tcPr>
          <w:p w14:paraId="7BD15606"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-.5742</w:t>
            </w:r>
          </w:p>
        </w:tc>
        <w:tc>
          <w:tcPr>
            <w:tcW w:w="1196" w:type="dxa"/>
            <w:tcBorders>
              <w:top w:val="single" w:sz="4" w:space="0" w:color="auto"/>
              <w:bottom w:val="single" w:sz="4" w:space="0" w:color="auto"/>
              <w:tl2br w:val="nil"/>
              <w:tr2bl w:val="nil"/>
            </w:tcBorders>
            <w:shd w:val="clear" w:color="auto" w:fill="FFFFFF"/>
            <w:vAlign w:val="center"/>
          </w:tcPr>
          <w:p w14:paraId="28DE250F"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-.2171</w:t>
            </w:r>
          </w:p>
        </w:tc>
        <w:tc>
          <w:tcPr>
            <w:tcW w:w="1242" w:type="dxa"/>
            <w:tcBorders>
              <w:top w:val="single" w:sz="4" w:space="0" w:color="auto"/>
              <w:bottom w:val="single" w:sz="4" w:space="0" w:color="auto"/>
              <w:tl2br w:val="nil"/>
              <w:tr2bl w:val="nil"/>
            </w:tcBorders>
            <w:shd w:val="clear" w:color="auto" w:fill="FFFFFF"/>
            <w:vAlign w:val="center"/>
          </w:tcPr>
          <w:p w14:paraId="6D40741B" w14:textId="77777777" w:rsidR="00372A1B" w:rsidRPr="00AC1665" w:rsidRDefault="00372A1B" w:rsidP="00AC1665">
            <w:pPr>
              <w:ind w:left="60" w:right="60"/>
              <w:jc w:val="right"/>
              <w:rPr>
                <w:rFonts w:ascii="Arial" w:hAnsi="Arial"/>
                <w:sz w:val="18"/>
                <w:szCs w:val="18"/>
              </w:rPr>
            </w:pPr>
            <w:r w:rsidRPr="00AC1665">
              <w:rPr>
                <w:rFonts w:ascii="Arial" w:hAnsi="Arial"/>
                <w:sz w:val="18"/>
                <w:szCs w:val="18"/>
              </w:rPr>
              <w:t>Has difference</w:t>
            </w:r>
          </w:p>
        </w:tc>
      </w:tr>
    </w:tbl>
    <w:p w14:paraId="0740C2C6" w14:textId="53F762CC" w:rsidR="00372A1B" w:rsidRPr="00372A1B" w:rsidRDefault="00372A1B" w:rsidP="009B2A20">
      <w:pPr>
        <w:ind w:firstLine="720"/>
        <w:jc w:val="both"/>
        <w:rPr>
          <w:rFonts w:ascii="Arial" w:hAnsi="Arial" w:cs="Arial"/>
          <w:bCs/>
          <w:lang w:val="en-PH"/>
        </w:rPr>
      </w:pPr>
      <w:r w:rsidRPr="00372A1B">
        <w:rPr>
          <w:rFonts w:ascii="Arial" w:hAnsi="Arial" w:cs="Arial"/>
          <w:bCs/>
        </w:rPr>
        <w:t>These findings suggest that parents and alumni show lower acceptance, likely due to limited involvement in daily academic activities.</w:t>
      </w:r>
      <w:r w:rsidRPr="00372A1B">
        <w:rPr>
          <w:rFonts w:ascii="Arial" w:hAnsi="Arial" w:cs="Arial"/>
          <w:bCs/>
          <w:lang w:val="en-PH"/>
        </w:rPr>
        <w:t xml:space="preserve"> On the other hand, internal stakeholders—such as faculty, non-teaching staff, and students—demonstrated higher acceptance levels, possibly due to their direct involvement in implementing institutional objectives. </w:t>
      </w:r>
    </w:p>
    <w:p w14:paraId="5A7CC9AB" w14:textId="77777777" w:rsidR="00372A1B" w:rsidRDefault="00372A1B" w:rsidP="00372A1B">
      <w:pPr>
        <w:ind w:firstLine="720"/>
        <w:jc w:val="both"/>
        <w:rPr>
          <w:rFonts w:ascii="Arial" w:hAnsi="Arial" w:cs="Arial"/>
          <w:bCs/>
        </w:rPr>
      </w:pPr>
      <w:r w:rsidRPr="00372A1B">
        <w:rPr>
          <w:rFonts w:ascii="Arial" w:hAnsi="Arial" w:cs="Arial"/>
          <w:bCs/>
          <w:lang w:val="en-PH"/>
        </w:rPr>
        <w:t xml:space="preserve">This outcome aligns with Freeman’s (1984) Stakeholder Theory, which posits that stakeholders' perceptions and responses are shaped by their roles and engagement with the organization. </w:t>
      </w:r>
      <w:r w:rsidRPr="00372A1B">
        <w:rPr>
          <w:rFonts w:ascii="Arial" w:hAnsi="Arial" w:cs="Arial"/>
          <w:bCs/>
        </w:rPr>
        <w:t xml:space="preserve">Similarly, Yáñez et al. (2018) note that stakeholder acceptance increases with involvement, suggesting that </w:t>
      </w:r>
      <w:proofErr w:type="spellStart"/>
      <w:r w:rsidRPr="00372A1B">
        <w:rPr>
          <w:rFonts w:ascii="Arial" w:hAnsi="Arial" w:cs="Arial"/>
          <w:bCs/>
        </w:rPr>
        <w:t>DOrSU</w:t>
      </w:r>
      <w:proofErr w:type="spellEnd"/>
      <w:r w:rsidRPr="00372A1B">
        <w:rPr>
          <w:rFonts w:ascii="Arial" w:hAnsi="Arial" w:cs="Arial"/>
          <w:bCs/>
        </w:rPr>
        <w:t xml:space="preserve"> should enhance communication and inclusion to strengthen shared support for its goals.</w:t>
      </w:r>
    </w:p>
    <w:p w14:paraId="19AD774F" w14:textId="77777777" w:rsidR="00AC1665" w:rsidRPr="00372A1B" w:rsidRDefault="00AC1665" w:rsidP="00372A1B">
      <w:pPr>
        <w:ind w:firstLine="720"/>
        <w:jc w:val="both"/>
        <w:rPr>
          <w:rFonts w:ascii="Arial" w:hAnsi="Arial" w:cs="Arial"/>
          <w:bCs/>
        </w:rPr>
      </w:pPr>
    </w:p>
    <w:p w14:paraId="0051979E" w14:textId="3AA303E6" w:rsid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0</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across various age groups. </w:t>
      </w:r>
      <w:r w:rsidRPr="00372A1B">
        <w:rPr>
          <w:rFonts w:ascii="Arial" w:hAnsi="Arial" w:cs="Arial"/>
          <w:bCs/>
          <w:lang w:val="en-PH"/>
        </w:rPr>
        <w:t xml:space="preserve">The 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stakeholders from different age groups are presented. The analysis yielded a statistically significant result (F = 4.510, p = .001), indicating that stakeholders' acceptance levels vary significantly based on their age.</w:t>
      </w:r>
    </w:p>
    <w:p w14:paraId="4A827DBA" w14:textId="77777777" w:rsidR="00AC1665" w:rsidRPr="00372A1B" w:rsidRDefault="00AC1665" w:rsidP="00372A1B">
      <w:pPr>
        <w:ind w:firstLine="720"/>
        <w:jc w:val="both"/>
        <w:rPr>
          <w:rStyle w:val="Strong"/>
          <w:rFonts w:ascii="Arial" w:hAnsi="Arial" w:cs="Arial"/>
          <w:b w:val="0"/>
          <w:lang w:val="en-PH"/>
        </w:rPr>
      </w:pPr>
    </w:p>
    <w:p w14:paraId="55322A7D" w14:textId="63C75E9D"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0</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4"/>
        <w:gridCol w:w="1657"/>
        <w:gridCol w:w="547"/>
        <w:gridCol w:w="112"/>
        <w:gridCol w:w="1619"/>
        <w:gridCol w:w="1015"/>
        <w:gridCol w:w="1374"/>
      </w:tblGrid>
      <w:tr w:rsidR="00372A1B" w:rsidRPr="00AC1665" w14:paraId="69EEEDE2" w14:textId="77777777" w:rsidTr="00AC1665">
        <w:trPr>
          <w:trHeight w:val="162"/>
        </w:trPr>
        <w:tc>
          <w:tcPr>
            <w:tcW w:w="1914" w:type="dxa"/>
            <w:tcBorders>
              <w:top w:val="single" w:sz="4" w:space="0" w:color="auto"/>
              <w:bottom w:val="single" w:sz="4" w:space="0" w:color="auto"/>
            </w:tcBorders>
          </w:tcPr>
          <w:p w14:paraId="0094F00E" w14:textId="77777777" w:rsidR="00372A1B" w:rsidRPr="00AC1665" w:rsidRDefault="00372A1B" w:rsidP="00372A1B">
            <w:pPr>
              <w:rPr>
                <w:rFonts w:ascii="Arial" w:hAnsi="Arial" w:cs="Arial"/>
                <w:sz w:val="18"/>
                <w:szCs w:val="18"/>
              </w:rPr>
            </w:pPr>
          </w:p>
        </w:tc>
        <w:tc>
          <w:tcPr>
            <w:tcW w:w="1657" w:type="dxa"/>
            <w:tcBorders>
              <w:top w:val="single" w:sz="4" w:space="0" w:color="auto"/>
              <w:bottom w:val="single" w:sz="4" w:space="0" w:color="auto"/>
            </w:tcBorders>
          </w:tcPr>
          <w:p w14:paraId="6CCA0780"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Sum of Squares</w:t>
            </w:r>
          </w:p>
        </w:tc>
        <w:tc>
          <w:tcPr>
            <w:tcW w:w="547" w:type="dxa"/>
            <w:tcBorders>
              <w:top w:val="single" w:sz="4" w:space="0" w:color="auto"/>
              <w:bottom w:val="single" w:sz="4" w:space="0" w:color="auto"/>
            </w:tcBorders>
          </w:tcPr>
          <w:p w14:paraId="1D8E9F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Df</w:t>
            </w:r>
          </w:p>
        </w:tc>
        <w:tc>
          <w:tcPr>
            <w:tcW w:w="1731" w:type="dxa"/>
            <w:gridSpan w:val="2"/>
            <w:tcBorders>
              <w:top w:val="single" w:sz="4" w:space="0" w:color="auto"/>
              <w:bottom w:val="single" w:sz="4" w:space="0" w:color="auto"/>
            </w:tcBorders>
          </w:tcPr>
          <w:p w14:paraId="037A9984"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Mean Square</w:t>
            </w:r>
          </w:p>
        </w:tc>
        <w:tc>
          <w:tcPr>
            <w:tcW w:w="1015" w:type="dxa"/>
            <w:tcBorders>
              <w:top w:val="single" w:sz="4" w:space="0" w:color="auto"/>
              <w:bottom w:val="single" w:sz="4" w:space="0" w:color="auto"/>
            </w:tcBorders>
          </w:tcPr>
          <w:p w14:paraId="1160141B"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F</w:t>
            </w:r>
          </w:p>
        </w:tc>
        <w:tc>
          <w:tcPr>
            <w:tcW w:w="1374" w:type="dxa"/>
            <w:tcBorders>
              <w:top w:val="single" w:sz="4" w:space="0" w:color="auto"/>
              <w:bottom w:val="single" w:sz="4" w:space="0" w:color="auto"/>
            </w:tcBorders>
          </w:tcPr>
          <w:p w14:paraId="2DEFF74C" w14:textId="77777777" w:rsidR="00372A1B" w:rsidRPr="00AC1665" w:rsidRDefault="00372A1B" w:rsidP="00372A1B">
            <w:pPr>
              <w:jc w:val="center"/>
              <w:rPr>
                <w:rFonts w:ascii="Arial" w:hAnsi="Arial" w:cs="Arial"/>
                <w:sz w:val="18"/>
                <w:szCs w:val="18"/>
              </w:rPr>
            </w:pPr>
            <w:r w:rsidRPr="00AC1665">
              <w:rPr>
                <w:rFonts w:ascii="Arial" w:hAnsi="Arial" w:cs="Arial"/>
                <w:sz w:val="18"/>
                <w:szCs w:val="18"/>
              </w:rPr>
              <w:t>Sig.</w:t>
            </w:r>
          </w:p>
        </w:tc>
      </w:tr>
      <w:tr w:rsidR="00372A1B" w:rsidRPr="00AC1665" w14:paraId="72A0A176" w14:textId="77777777" w:rsidTr="00AC1665">
        <w:trPr>
          <w:trHeight w:val="246"/>
        </w:trPr>
        <w:tc>
          <w:tcPr>
            <w:tcW w:w="1914" w:type="dxa"/>
            <w:tcBorders>
              <w:top w:val="single" w:sz="4" w:space="0" w:color="auto"/>
              <w:bottom w:val="single" w:sz="4" w:space="0" w:color="auto"/>
            </w:tcBorders>
          </w:tcPr>
          <w:p w14:paraId="0E28D7B0" w14:textId="77777777" w:rsidR="00372A1B" w:rsidRPr="00AC1665" w:rsidRDefault="00372A1B" w:rsidP="00372A1B">
            <w:pPr>
              <w:rPr>
                <w:rFonts w:ascii="Arial" w:hAnsi="Arial" w:cs="Arial"/>
                <w:sz w:val="18"/>
                <w:szCs w:val="18"/>
              </w:rPr>
            </w:pPr>
            <w:r w:rsidRPr="00AC1665">
              <w:rPr>
                <w:rFonts w:ascii="Arial" w:hAnsi="Arial" w:cs="Arial"/>
                <w:sz w:val="18"/>
                <w:szCs w:val="18"/>
              </w:rPr>
              <w:t>Between Groups</w:t>
            </w:r>
          </w:p>
        </w:tc>
        <w:tc>
          <w:tcPr>
            <w:tcW w:w="1657" w:type="dxa"/>
            <w:tcBorders>
              <w:top w:val="single" w:sz="4" w:space="0" w:color="auto"/>
              <w:bottom w:val="single" w:sz="4" w:space="0" w:color="auto"/>
            </w:tcBorders>
            <w:shd w:val="clear" w:color="auto" w:fill="FFFFFF"/>
            <w:vAlign w:val="center"/>
          </w:tcPr>
          <w:p w14:paraId="4FE73395"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3.774</w:t>
            </w:r>
          </w:p>
        </w:tc>
        <w:tc>
          <w:tcPr>
            <w:tcW w:w="659" w:type="dxa"/>
            <w:gridSpan w:val="2"/>
            <w:tcBorders>
              <w:top w:val="single" w:sz="4" w:space="0" w:color="auto"/>
              <w:bottom w:val="single" w:sz="4" w:space="0" w:color="auto"/>
            </w:tcBorders>
            <w:shd w:val="clear" w:color="auto" w:fill="FFFFFF"/>
            <w:vAlign w:val="center"/>
          </w:tcPr>
          <w:p w14:paraId="73B2C141"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w:t>
            </w:r>
          </w:p>
        </w:tc>
        <w:tc>
          <w:tcPr>
            <w:tcW w:w="1619" w:type="dxa"/>
            <w:tcBorders>
              <w:top w:val="single" w:sz="4" w:space="0" w:color="auto"/>
              <w:bottom w:val="single" w:sz="4" w:space="0" w:color="auto"/>
            </w:tcBorders>
            <w:shd w:val="clear" w:color="auto" w:fill="FFFFFF"/>
            <w:vAlign w:val="center"/>
          </w:tcPr>
          <w:p w14:paraId="2BACCA8F"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0.755</w:t>
            </w:r>
          </w:p>
        </w:tc>
        <w:tc>
          <w:tcPr>
            <w:tcW w:w="1015" w:type="dxa"/>
            <w:tcBorders>
              <w:top w:val="single" w:sz="4" w:space="0" w:color="auto"/>
              <w:bottom w:val="single" w:sz="4" w:space="0" w:color="auto"/>
            </w:tcBorders>
            <w:shd w:val="clear" w:color="auto" w:fill="FFFFFF"/>
            <w:vAlign w:val="center"/>
          </w:tcPr>
          <w:p w14:paraId="1EE391D0"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4.510</w:t>
            </w:r>
          </w:p>
        </w:tc>
        <w:tc>
          <w:tcPr>
            <w:tcW w:w="1374" w:type="dxa"/>
            <w:tcBorders>
              <w:top w:val="single" w:sz="4" w:space="0" w:color="auto"/>
              <w:bottom w:val="single" w:sz="4" w:space="0" w:color="auto"/>
            </w:tcBorders>
            <w:shd w:val="clear" w:color="auto" w:fill="FFFFFF"/>
            <w:vAlign w:val="center"/>
          </w:tcPr>
          <w:p w14:paraId="1B5DA57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.001</w:t>
            </w:r>
          </w:p>
        </w:tc>
      </w:tr>
      <w:tr w:rsidR="00372A1B" w:rsidRPr="00AC1665" w14:paraId="3A86942E" w14:textId="77777777" w:rsidTr="00AC1665">
        <w:trPr>
          <w:trHeight w:val="246"/>
        </w:trPr>
        <w:tc>
          <w:tcPr>
            <w:tcW w:w="1914" w:type="dxa"/>
            <w:tcBorders>
              <w:top w:val="single" w:sz="4" w:space="0" w:color="auto"/>
              <w:bottom w:val="single" w:sz="4" w:space="0" w:color="auto"/>
            </w:tcBorders>
          </w:tcPr>
          <w:p w14:paraId="175F1BAA" w14:textId="77777777" w:rsidR="00372A1B" w:rsidRPr="00AC1665" w:rsidRDefault="00372A1B" w:rsidP="00372A1B">
            <w:pPr>
              <w:rPr>
                <w:rFonts w:ascii="Arial" w:hAnsi="Arial" w:cs="Arial"/>
                <w:sz w:val="18"/>
                <w:szCs w:val="18"/>
              </w:rPr>
            </w:pPr>
            <w:r w:rsidRPr="00AC1665">
              <w:rPr>
                <w:rFonts w:ascii="Arial" w:hAnsi="Arial" w:cs="Arial"/>
                <w:sz w:val="18"/>
                <w:szCs w:val="18"/>
              </w:rPr>
              <w:t>Within Groups</w:t>
            </w:r>
          </w:p>
        </w:tc>
        <w:tc>
          <w:tcPr>
            <w:tcW w:w="1657" w:type="dxa"/>
            <w:tcBorders>
              <w:top w:val="single" w:sz="4" w:space="0" w:color="auto"/>
              <w:bottom w:val="single" w:sz="4" w:space="0" w:color="auto"/>
            </w:tcBorders>
            <w:shd w:val="clear" w:color="auto" w:fill="FFFFFF"/>
            <w:vAlign w:val="center"/>
          </w:tcPr>
          <w:p w14:paraId="36B4FC89"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49.038</w:t>
            </w:r>
          </w:p>
        </w:tc>
        <w:tc>
          <w:tcPr>
            <w:tcW w:w="659" w:type="dxa"/>
            <w:gridSpan w:val="2"/>
            <w:tcBorders>
              <w:top w:val="single" w:sz="4" w:space="0" w:color="auto"/>
              <w:bottom w:val="single" w:sz="4" w:space="0" w:color="auto"/>
            </w:tcBorders>
            <w:shd w:val="clear" w:color="auto" w:fill="FFFFFF"/>
            <w:vAlign w:val="center"/>
          </w:tcPr>
          <w:p w14:paraId="5848DAF3"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293</w:t>
            </w:r>
          </w:p>
        </w:tc>
        <w:tc>
          <w:tcPr>
            <w:tcW w:w="1619" w:type="dxa"/>
            <w:tcBorders>
              <w:top w:val="single" w:sz="4" w:space="0" w:color="auto"/>
              <w:bottom w:val="single" w:sz="4" w:space="0" w:color="auto"/>
            </w:tcBorders>
            <w:shd w:val="clear" w:color="auto" w:fill="FFFFFF"/>
            <w:vAlign w:val="center"/>
          </w:tcPr>
          <w:p w14:paraId="7E048B8B"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0.167</w:t>
            </w:r>
          </w:p>
        </w:tc>
        <w:tc>
          <w:tcPr>
            <w:tcW w:w="1015" w:type="dxa"/>
            <w:tcBorders>
              <w:top w:val="single" w:sz="4" w:space="0" w:color="auto"/>
              <w:bottom w:val="single" w:sz="4" w:space="0" w:color="auto"/>
            </w:tcBorders>
            <w:shd w:val="clear" w:color="auto" w:fill="FFFFFF"/>
            <w:vAlign w:val="center"/>
          </w:tcPr>
          <w:p w14:paraId="0F6A4996" w14:textId="77777777" w:rsidR="00372A1B" w:rsidRPr="00AC1665" w:rsidRDefault="00372A1B" w:rsidP="00372A1B">
            <w:pPr>
              <w:jc w:val="center"/>
              <w:rPr>
                <w:sz w:val="18"/>
                <w:szCs w:val="18"/>
              </w:rPr>
            </w:pPr>
          </w:p>
        </w:tc>
        <w:tc>
          <w:tcPr>
            <w:tcW w:w="1374" w:type="dxa"/>
            <w:tcBorders>
              <w:top w:val="single" w:sz="4" w:space="0" w:color="auto"/>
              <w:bottom w:val="single" w:sz="4" w:space="0" w:color="auto"/>
            </w:tcBorders>
            <w:shd w:val="clear" w:color="auto" w:fill="FFFFFF"/>
            <w:vAlign w:val="center"/>
          </w:tcPr>
          <w:p w14:paraId="7B95BD28" w14:textId="77777777" w:rsidR="00372A1B" w:rsidRPr="00AC1665" w:rsidRDefault="00372A1B" w:rsidP="00372A1B">
            <w:pPr>
              <w:jc w:val="center"/>
              <w:rPr>
                <w:sz w:val="18"/>
                <w:szCs w:val="18"/>
              </w:rPr>
            </w:pPr>
          </w:p>
        </w:tc>
      </w:tr>
      <w:tr w:rsidR="00372A1B" w:rsidRPr="00AC1665" w14:paraId="1DED2736" w14:textId="77777777" w:rsidTr="00AC1665">
        <w:trPr>
          <w:trHeight w:val="265"/>
        </w:trPr>
        <w:tc>
          <w:tcPr>
            <w:tcW w:w="1914" w:type="dxa"/>
            <w:tcBorders>
              <w:top w:val="single" w:sz="4" w:space="0" w:color="auto"/>
              <w:bottom w:val="single" w:sz="4" w:space="0" w:color="auto"/>
            </w:tcBorders>
          </w:tcPr>
          <w:p w14:paraId="57EF6ADF" w14:textId="77777777" w:rsidR="00372A1B" w:rsidRPr="00AC1665" w:rsidRDefault="00372A1B" w:rsidP="00372A1B">
            <w:pPr>
              <w:rPr>
                <w:rFonts w:ascii="Arial" w:hAnsi="Arial" w:cs="Arial"/>
                <w:sz w:val="18"/>
                <w:szCs w:val="18"/>
              </w:rPr>
            </w:pPr>
            <w:r w:rsidRPr="00AC1665">
              <w:rPr>
                <w:rFonts w:ascii="Arial" w:hAnsi="Arial" w:cs="Arial"/>
                <w:sz w:val="18"/>
                <w:szCs w:val="18"/>
              </w:rPr>
              <w:t>Total</w:t>
            </w:r>
          </w:p>
        </w:tc>
        <w:tc>
          <w:tcPr>
            <w:tcW w:w="1657" w:type="dxa"/>
            <w:tcBorders>
              <w:top w:val="single" w:sz="4" w:space="0" w:color="auto"/>
              <w:bottom w:val="single" w:sz="4" w:space="0" w:color="auto"/>
            </w:tcBorders>
            <w:shd w:val="clear" w:color="auto" w:fill="FFFFFF"/>
            <w:vAlign w:val="center"/>
          </w:tcPr>
          <w:p w14:paraId="16E3D5C4"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52.812</w:t>
            </w:r>
          </w:p>
        </w:tc>
        <w:tc>
          <w:tcPr>
            <w:tcW w:w="659" w:type="dxa"/>
            <w:gridSpan w:val="2"/>
            <w:tcBorders>
              <w:top w:val="single" w:sz="4" w:space="0" w:color="auto"/>
              <w:bottom w:val="single" w:sz="4" w:space="0" w:color="auto"/>
            </w:tcBorders>
            <w:shd w:val="clear" w:color="auto" w:fill="FFFFFF"/>
            <w:vAlign w:val="center"/>
          </w:tcPr>
          <w:p w14:paraId="3D8C7122" w14:textId="77777777" w:rsidR="00372A1B" w:rsidRPr="00AC1665" w:rsidRDefault="00372A1B" w:rsidP="00372A1B">
            <w:pPr>
              <w:ind w:left="60" w:right="60"/>
              <w:jc w:val="center"/>
              <w:rPr>
                <w:rFonts w:ascii="Arial" w:hAnsi="Arial"/>
                <w:sz w:val="18"/>
                <w:szCs w:val="18"/>
              </w:rPr>
            </w:pPr>
            <w:r w:rsidRPr="00AC1665">
              <w:rPr>
                <w:rFonts w:ascii="Arial" w:hAnsi="Arial"/>
                <w:color w:val="000000"/>
                <w:sz w:val="18"/>
                <w:szCs w:val="18"/>
              </w:rPr>
              <w:t>298</w:t>
            </w:r>
          </w:p>
        </w:tc>
        <w:tc>
          <w:tcPr>
            <w:tcW w:w="1619" w:type="dxa"/>
            <w:tcBorders>
              <w:top w:val="single" w:sz="4" w:space="0" w:color="auto"/>
              <w:bottom w:val="single" w:sz="4" w:space="0" w:color="auto"/>
            </w:tcBorders>
            <w:shd w:val="clear" w:color="auto" w:fill="FFFFFF"/>
            <w:vAlign w:val="center"/>
          </w:tcPr>
          <w:p w14:paraId="4FDCF047" w14:textId="77777777" w:rsidR="00372A1B" w:rsidRPr="00AC1665" w:rsidRDefault="00372A1B" w:rsidP="00372A1B">
            <w:pPr>
              <w:jc w:val="center"/>
              <w:rPr>
                <w:sz w:val="18"/>
                <w:szCs w:val="18"/>
              </w:rPr>
            </w:pPr>
          </w:p>
        </w:tc>
        <w:tc>
          <w:tcPr>
            <w:tcW w:w="1015" w:type="dxa"/>
            <w:tcBorders>
              <w:top w:val="single" w:sz="4" w:space="0" w:color="auto"/>
              <w:bottom w:val="single" w:sz="4" w:space="0" w:color="auto"/>
            </w:tcBorders>
            <w:shd w:val="clear" w:color="auto" w:fill="FFFFFF"/>
            <w:vAlign w:val="center"/>
          </w:tcPr>
          <w:p w14:paraId="69FAC635" w14:textId="77777777" w:rsidR="00372A1B" w:rsidRPr="00AC1665" w:rsidRDefault="00372A1B" w:rsidP="00372A1B">
            <w:pPr>
              <w:jc w:val="center"/>
              <w:rPr>
                <w:sz w:val="18"/>
                <w:szCs w:val="18"/>
              </w:rPr>
            </w:pPr>
          </w:p>
        </w:tc>
        <w:tc>
          <w:tcPr>
            <w:tcW w:w="1374" w:type="dxa"/>
            <w:tcBorders>
              <w:top w:val="single" w:sz="4" w:space="0" w:color="auto"/>
              <w:bottom w:val="single" w:sz="4" w:space="0" w:color="auto"/>
            </w:tcBorders>
            <w:shd w:val="clear" w:color="auto" w:fill="FFFFFF"/>
            <w:vAlign w:val="center"/>
          </w:tcPr>
          <w:p w14:paraId="5492C71B" w14:textId="77777777" w:rsidR="00372A1B" w:rsidRPr="00AC1665" w:rsidRDefault="00372A1B" w:rsidP="00372A1B">
            <w:pPr>
              <w:jc w:val="center"/>
              <w:rPr>
                <w:sz w:val="18"/>
                <w:szCs w:val="18"/>
              </w:rPr>
            </w:pPr>
          </w:p>
        </w:tc>
      </w:tr>
    </w:tbl>
    <w:p w14:paraId="2E05F246" w14:textId="77777777" w:rsidR="00372A1B" w:rsidRPr="00372A1B" w:rsidRDefault="00372A1B" w:rsidP="00372A1B">
      <w:pPr>
        <w:jc w:val="both"/>
        <w:rPr>
          <w:rFonts w:ascii="Arial" w:hAnsi="Arial" w:cs="Arial"/>
        </w:rPr>
      </w:pPr>
    </w:p>
    <w:p w14:paraId="7B13654A" w14:textId="262255C8" w:rsidR="00372A1B" w:rsidRPr="008B1BC3" w:rsidRDefault="00372A1B" w:rsidP="008B1BC3">
      <w:pPr>
        <w:jc w:val="both"/>
        <w:rPr>
          <w:rFonts w:ascii="Arial" w:hAnsi="Arial" w:cs="Arial"/>
          <w:bCs/>
          <w:lang w:val="en-PH"/>
        </w:rPr>
      </w:pPr>
      <w:r w:rsidRPr="00372A1B">
        <w:rPr>
          <w:rFonts w:ascii="Arial" w:hAnsi="Arial" w:cs="Arial"/>
        </w:rPr>
        <w:lastRenderedPageBreak/>
        <w:tab/>
      </w:r>
      <w:r w:rsidRPr="00372A1B">
        <w:rPr>
          <w:rFonts w:ascii="Arial" w:hAnsi="Arial" w:cs="Arial"/>
          <w:bCs/>
          <w:lang w:val="en-PH"/>
        </w:rPr>
        <w:t xml:space="preserve">This result suggests that age influences how stakeholders accept and relate to the institution’s VMPEO. Differences in acceptance could be attributed to generational values, experience with the university, and roles played within the academic environment. According to Freeman’s Stakeholder Theory (1984), such differences in perspective arise due to varying levels of engagement and exposure to institutional policies and culture. </w:t>
      </w:r>
    </w:p>
    <w:p w14:paraId="6A75D30A" w14:textId="77777777" w:rsidR="00AC1665" w:rsidRPr="00372A1B" w:rsidRDefault="00AC1665" w:rsidP="00372A1B">
      <w:pPr>
        <w:ind w:firstLine="720"/>
        <w:jc w:val="both"/>
        <w:rPr>
          <w:rFonts w:ascii="Arial" w:hAnsi="Arial" w:cs="Arial"/>
        </w:rPr>
      </w:pPr>
    </w:p>
    <w:p w14:paraId="3221CFBB" w14:textId="0BDE7095" w:rsidR="00372A1B" w:rsidRP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1</w:t>
      </w:r>
      <w:r w:rsidRPr="00372A1B">
        <w:rPr>
          <w:rFonts w:ascii="Arial" w:hAnsi="Arial" w:cs="Arial"/>
        </w:rPr>
        <w:t xml:space="preserve"> presents a detailed comparison that highlights the specific age groups with significant differences in awareness levels. It </w:t>
      </w:r>
      <w:r w:rsidRPr="00372A1B">
        <w:rPr>
          <w:rFonts w:ascii="Arial" w:hAnsi="Arial" w:cs="Arial"/>
          <w:bCs/>
          <w:lang w:val="en-PH"/>
        </w:rPr>
        <w:t>shows that the 41 to 50 years old group had significantly lower acceptance compared to the 20 years old and below group (p = .003), the 21 to 30 years old group (p = .002), and the 31 to 40 years old group (p = .034). No other age group comparisons were significant.</w:t>
      </w:r>
    </w:p>
    <w:p w14:paraId="562AF88C" w14:textId="77777777" w:rsidR="00372A1B" w:rsidRPr="00372A1B" w:rsidRDefault="00372A1B" w:rsidP="00372A1B">
      <w:pPr>
        <w:ind w:firstLine="720"/>
        <w:jc w:val="both"/>
        <w:rPr>
          <w:rFonts w:ascii="Arial" w:hAnsi="Arial" w:cs="Arial"/>
          <w:bCs/>
          <w:lang w:val="en-PH"/>
        </w:rPr>
      </w:pPr>
    </w:p>
    <w:p w14:paraId="498DF4DE" w14:textId="77777777" w:rsidR="00372A1B" w:rsidRDefault="00372A1B" w:rsidP="00372A1B">
      <w:pPr>
        <w:ind w:firstLine="720"/>
        <w:jc w:val="both"/>
        <w:rPr>
          <w:rFonts w:ascii="Arial" w:hAnsi="Arial" w:cs="Arial"/>
          <w:bCs/>
          <w:lang w:val="en-PH"/>
        </w:rPr>
      </w:pPr>
    </w:p>
    <w:p w14:paraId="5BF1F8B9" w14:textId="77777777" w:rsidR="009B2A20" w:rsidRDefault="009B2A20" w:rsidP="008B1BC3">
      <w:pPr>
        <w:jc w:val="both"/>
        <w:rPr>
          <w:rFonts w:ascii="Arial" w:hAnsi="Arial" w:cs="Arial"/>
          <w:bCs/>
          <w:lang w:val="en-PH"/>
        </w:rPr>
      </w:pPr>
    </w:p>
    <w:p w14:paraId="562677EC" w14:textId="77777777" w:rsidR="009B2A20" w:rsidRDefault="009B2A20" w:rsidP="00372A1B">
      <w:pPr>
        <w:ind w:firstLine="720"/>
        <w:jc w:val="both"/>
        <w:rPr>
          <w:rFonts w:ascii="Arial" w:hAnsi="Arial" w:cs="Arial"/>
          <w:bCs/>
          <w:lang w:val="en-PH"/>
        </w:rPr>
      </w:pPr>
    </w:p>
    <w:p w14:paraId="4CD9B66D" w14:textId="77777777" w:rsidR="009B2A20" w:rsidRPr="00372A1B" w:rsidRDefault="009B2A20" w:rsidP="00372A1B">
      <w:pPr>
        <w:ind w:firstLine="720"/>
        <w:jc w:val="both"/>
        <w:rPr>
          <w:rFonts w:ascii="Arial" w:hAnsi="Arial" w:cs="Arial"/>
          <w:bCs/>
          <w:lang w:val="en-PH"/>
        </w:rPr>
      </w:pPr>
    </w:p>
    <w:p w14:paraId="6A8BA27F" w14:textId="711F8E44"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1</w:t>
      </w:r>
      <w:r w:rsidRPr="00372A1B">
        <w:rPr>
          <w:rFonts w:ascii="Arial" w:hAnsi="Arial" w:cs="Arial"/>
        </w:rPr>
        <w:t>: Detailed comparison of different age groups where significant difference in the level of acceptance is found</w:t>
      </w:r>
    </w:p>
    <w:tbl>
      <w:tblPr>
        <w:tblW w:w="819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900"/>
        <w:gridCol w:w="1558"/>
        <w:gridCol w:w="892"/>
        <w:gridCol w:w="806"/>
        <w:gridCol w:w="622"/>
        <w:gridCol w:w="1019"/>
        <w:gridCol w:w="865"/>
        <w:gridCol w:w="1529"/>
      </w:tblGrid>
      <w:tr w:rsidR="00372A1B" w:rsidRPr="00AC1665" w14:paraId="6FAC2EEC" w14:textId="77777777" w:rsidTr="00AC1665">
        <w:trPr>
          <w:cantSplit/>
          <w:trHeight w:val="280"/>
        </w:trPr>
        <w:tc>
          <w:tcPr>
            <w:tcW w:w="900" w:type="dxa"/>
            <w:vMerge w:val="restart"/>
            <w:tcBorders>
              <w:tl2br w:val="nil"/>
              <w:tr2bl w:val="nil"/>
            </w:tcBorders>
            <w:shd w:val="clear" w:color="auto" w:fill="FFFFFF"/>
          </w:tcPr>
          <w:p w14:paraId="09E5D934" w14:textId="77777777" w:rsidR="00372A1B" w:rsidRPr="00AC1665" w:rsidRDefault="00372A1B" w:rsidP="00372A1B">
            <w:pPr>
              <w:ind w:left="60" w:right="60"/>
              <w:rPr>
                <w:rFonts w:ascii="Arial" w:hAnsi="Arial"/>
                <w:sz w:val="18"/>
                <w:szCs w:val="18"/>
              </w:rPr>
            </w:pPr>
            <w:r w:rsidRPr="00AC1665">
              <w:rPr>
                <w:rFonts w:ascii="Arial" w:hAnsi="Arial"/>
                <w:sz w:val="18"/>
                <w:szCs w:val="18"/>
              </w:rPr>
              <w:t>(I) Age</w:t>
            </w:r>
          </w:p>
        </w:tc>
        <w:tc>
          <w:tcPr>
            <w:tcW w:w="1558" w:type="dxa"/>
            <w:vMerge w:val="restart"/>
            <w:tcBorders>
              <w:tl2br w:val="nil"/>
              <w:tr2bl w:val="nil"/>
            </w:tcBorders>
            <w:shd w:val="clear" w:color="auto" w:fill="FFFFFF"/>
          </w:tcPr>
          <w:p w14:paraId="51CA450E" w14:textId="77777777" w:rsidR="00372A1B" w:rsidRPr="00AC1665" w:rsidRDefault="00372A1B" w:rsidP="00372A1B">
            <w:pPr>
              <w:ind w:left="60" w:right="60"/>
              <w:rPr>
                <w:rFonts w:ascii="Arial" w:hAnsi="Arial"/>
                <w:sz w:val="18"/>
                <w:szCs w:val="18"/>
              </w:rPr>
            </w:pPr>
            <w:r w:rsidRPr="00AC1665">
              <w:rPr>
                <w:rFonts w:ascii="Arial" w:hAnsi="Arial"/>
                <w:sz w:val="18"/>
                <w:szCs w:val="18"/>
              </w:rPr>
              <w:t>(J) Age</w:t>
            </w:r>
          </w:p>
        </w:tc>
        <w:tc>
          <w:tcPr>
            <w:tcW w:w="892" w:type="dxa"/>
            <w:vMerge w:val="restart"/>
            <w:tcBorders>
              <w:tl2br w:val="nil"/>
              <w:tr2bl w:val="nil"/>
            </w:tcBorders>
            <w:shd w:val="clear" w:color="auto" w:fill="FFFFFF"/>
          </w:tcPr>
          <w:p w14:paraId="57C8078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 (I-J)</w:t>
            </w:r>
          </w:p>
        </w:tc>
        <w:tc>
          <w:tcPr>
            <w:tcW w:w="806" w:type="dxa"/>
            <w:vMerge w:val="restart"/>
            <w:tcBorders>
              <w:tl2br w:val="nil"/>
              <w:tr2bl w:val="nil"/>
            </w:tcBorders>
            <w:shd w:val="clear" w:color="auto" w:fill="FFFFFF"/>
          </w:tcPr>
          <w:p w14:paraId="2FD5669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w:t>
            </w:r>
          </w:p>
        </w:tc>
        <w:tc>
          <w:tcPr>
            <w:tcW w:w="622" w:type="dxa"/>
            <w:vMerge w:val="restart"/>
            <w:tcBorders>
              <w:tl2br w:val="nil"/>
              <w:tr2bl w:val="nil"/>
            </w:tcBorders>
            <w:shd w:val="clear" w:color="auto" w:fill="FFFFFF"/>
          </w:tcPr>
          <w:p w14:paraId="28CC75B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w:t>
            </w:r>
          </w:p>
        </w:tc>
        <w:tc>
          <w:tcPr>
            <w:tcW w:w="1884" w:type="dxa"/>
            <w:gridSpan w:val="2"/>
            <w:tcBorders>
              <w:tl2br w:val="nil"/>
              <w:tr2bl w:val="nil"/>
            </w:tcBorders>
            <w:shd w:val="clear" w:color="auto" w:fill="FFFFFF"/>
          </w:tcPr>
          <w:p w14:paraId="46CC80F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w:t>
            </w:r>
          </w:p>
        </w:tc>
        <w:tc>
          <w:tcPr>
            <w:tcW w:w="1529" w:type="dxa"/>
            <w:vMerge w:val="restart"/>
            <w:tcBorders>
              <w:tl2br w:val="nil"/>
              <w:tr2bl w:val="nil"/>
            </w:tcBorders>
            <w:shd w:val="clear" w:color="auto" w:fill="FFFFFF"/>
            <w:vAlign w:val="center"/>
          </w:tcPr>
          <w:p w14:paraId="2E7C3FE6"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Interpretation</w:t>
            </w:r>
          </w:p>
        </w:tc>
      </w:tr>
      <w:tr w:rsidR="00372A1B" w:rsidRPr="00AC1665" w14:paraId="0EC94037" w14:textId="77777777" w:rsidTr="00AC1665">
        <w:trPr>
          <w:cantSplit/>
          <w:trHeight w:val="378"/>
        </w:trPr>
        <w:tc>
          <w:tcPr>
            <w:tcW w:w="900" w:type="dxa"/>
            <w:vMerge/>
            <w:tcBorders>
              <w:bottom w:val="single" w:sz="4" w:space="0" w:color="auto"/>
              <w:tl2br w:val="nil"/>
              <w:tr2bl w:val="nil"/>
            </w:tcBorders>
            <w:shd w:val="clear" w:color="auto" w:fill="FFFFFF"/>
          </w:tcPr>
          <w:p w14:paraId="3B9101CE" w14:textId="77777777" w:rsidR="00372A1B" w:rsidRPr="00AC1665" w:rsidRDefault="00372A1B" w:rsidP="00372A1B">
            <w:pPr>
              <w:rPr>
                <w:rFonts w:ascii="Arial" w:hAnsi="Arial"/>
                <w:sz w:val="18"/>
                <w:szCs w:val="18"/>
              </w:rPr>
            </w:pPr>
          </w:p>
        </w:tc>
        <w:tc>
          <w:tcPr>
            <w:tcW w:w="1558" w:type="dxa"/>
            <w:vMerge/>
            <w:tcBorders>
              <w:bottom w:val="single" w:sz="4" w:space="0" w:color="auto"/>
              <w:tl2br w:val="nil"/>
              <w:tr2bl w:val="nil"/>
            </w:tcBorders>
            <w:shd w:val="clear" w:color="auto" w:fill="FFFFFF"/>
          </w:tcPr>
          <w:p w14:paraId="44FF0F3B" w14:textId="77777777" w:rsidR="00372A1B" w:rsidRPr="00AC1665" w:rsidRDefault="00372A1B" w:rsidP="00372A1B">
            <w:pPr>
              <w:rPr>
                <w:rFonts w:ascii="Arial" w:hAnsi="Arial"/>
                <w:sz w:val="18"/>
                <w:szCs w:val="18"/>
              </w:rPr>
            </w:pPr>
          </w:p>
        </w:tc>
        <w:tc>
          <w:tcPr>
            <w:tcW w:w="892" w:type="dxa"/>
            <w:vMerge/>
            <w:tcBorders>
              <w:bottom w:val="single" w:sz="4" w:space="0" w:color="auto"/>
              <w:tl2br w:val="nil"/>
              <w:tr2bl w:val="nil"/>
            </w:tcBorders>
            <w:shd w:val="clear" w:color="auto" w:fill="FFFFFF"/>
          </w:tcPr>
          <w:p w14:paraId="07F82AA5" w14:textId="77777777" w:rsidR="00372A1B" w:rsidRPr="00AC1665" w:rsidRDefault="00372A1B" w:rsidP="00372A1B">
            <w:pPr>
              <w:rPr>
                <w:rFonts w:ascii="Arial" w:hAnsi="Arial"/>
                <w:sz w:val="18"/>
                <w:szCs w:val="18"/>
              </w:rPr>
            </w:pPr>
          </w:p>
        </w:tc>
        <w:tc>
          <w:tcPr>
            <w:tcW w:w="806" w:type="dxa"/>
            <w:vMerge/>
            <w:tcBorders>
              <w:bottom w:val="single" w:sz="4" w:space="0" w:color="auto"/>
              <w:tl2br w:val="nil"/>
              <w:tr2bl w:val="nil"/>
            </w:tcBorders>
            <w:shd w:val="clear" w:color="auto" w:fill="FFFFFF"/>
          </w:tcPr>
          <w:p w14:paraId="5688B81C" w14:textId="77777777" w:rsidR="00372A1B" w:rsidRPr="00AC1665" w:rsidRDefault="00372A1B" w:rsidP="00372A1B">
            <w:pPr>
              <w:rPr>
                <w:rFonts w:ascii="Arial" w:hAnsi="Arial"/>
                <w:sz w:val="18"/>
                <w:szCs w:val="18"/>
              </w:rPr>
            </w:pPr>
          </w:p>
        </w:tc>
        <w:tc>
          <w:tcPr>
            <w:tcW w:w="622" w:type="dxa"/>
            <w:vMerge/>
            <w:tcBorders>
              <w:bottom w:val="single" w:sz="4" w:space="0" w:color="auto"/>
              <w:tl2br w:val="nil"/>
              <w:tr2bl w:val="nil"/>
            </w:tcBorders>
            <w:shd w:val="clear" w:color="auto" w:fill="FFFFFF"/>
          </w:tcPr>
          <w:p w14:paraId="560BDE8A" w14:textId="77777777" w:rsidR="00372A1B" w:rsidRPr="00AC1665" w:rsidRDefault="00372A1B" w:rsidP="00372A1B">
            <w:pPr>
              <w:rPr>
                <w:rFonts w:ascii="Arial" w:hAnsi="Arial"/>
                <w:sz w:val="18"/>
                <w:szCs w:val="18"/>
              </w:rPr>
            </w:pPr>
          </w:p>
        </w:tc>
        <w:tc>
          <w:tcPr>
            <w:tcW w:w="1019" w:type="dxa"/>
            <w:tcBorders>
              <w:bottom w:val="single" w:sz="4" w:space="0" w:color="auto"/>
              <w:tl2br w:val="nil"/>
              <w:tr2bl w:val="nil"/>
            </w:tcBorders>
            <w:shd w:val="clear" w:color="auto" w:fill="FFFFFF"/>
          </w:tcPr>
          <w:p w14:paraId="20654234"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 Bound</w:t>
            </w:r>
          </w:p>
        </w:tc>
        <w:tc>
          <w:tcPr>
            <w:tcW w:w="864" w:type="dxa"/>
            <w:tcBorders>
              <w:bottom w:val="single" w:sz="4" w:space="0" w:color="auto"/>
              <w:tl2br w:val="nil"/>
              <w:tr2bl w:val="nil"/>
            </w:tcBorders>
            <w:shd w:val="clear" w:color="auto" w:fill="FFFFFF"/>
          </w:tcPr>
          <w:p w14:paraId="67A9983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 Bound</w:t>
            </w:r>
          </w:p>
        </w:tc>
        <w:tc>
          <w:tcPr>
            <w:tcW w:w="1529" w:type="dxa"/>
            <w:vMerge/>
            <w:tcBorders>
              <w:bottom w:val="single" w:sz="4" w:space="0" w:color="auto"/>
              <w:tl2br w:val="nil"/>
              <w:tr2bl w:val="nil"/>
            </w:tcBorders>
            <w:shd w:val="clear" w:color="auto" w:fill="FFFFFF"/>
          </w:tcPr>
          <w:p w14:paraId="704128DB" w14:textId="77777777" w:rsidR="00372A1B" w:rsidRPr="00AC1665" w:rsidRDefault="00372A1B" w:rsidP="00372A1B">
            <w:pPr>
              <w:ind w:left="60" w:right="60"/>
              <w:jc w:val="center"/>
              <w:rPr>
                <w:rFonts w:ascii="Arial" w:hAnsi="Arial"/>
                <w:sz w:val="18"/>
                <w:szCs w:val="18"/>
              </w:rPr>
            </w:pPr>
          </w:p>
        </w:tc>
      </w:tr>
      <w:tr w:rsidR="00372A1B" w:rsidRPr="00AC1665" w14:paraId="41B4A147" w14:textId="77777777" w:rsidTr="00AC1665">
        <w:trPr>
          <w:cantSplit/>
          <w:trHeight w:val="249"/>
        </w:trPr>
        <w:tc>
          <w:tcPr>
            <w:tcW w:w="900" w:type="dxa"/>
            <w:vMerge w:val="restart"/>
            <w:tcBorders>
              <w:top w:val="single" w:sz="4" w:space="0" w:color="auto"/>
              <w:tl2br w:val="nil"/>
              <w:tr2bl w:val="nil"/>
            </w:tcBorders>
            <w:shd w:val="clear" w:color="auto" w:fill="FFFFFF"/>
            <w:vAlign w:val="center"/>
          </w:tcPr>
          <w:p w14:paraId="59B12BC3" w14:textId="77777777" w:rsidR="00372A1B" w:rsidRPr="00AC1665" w:rsidRDefault="00372A1B" w:rsidP="00372A1B">
            <w:pPr>
              <w:ind w:left="60" w:right="60"/>
              <w:rPr>
                <w:rFonts w:ascii="Arial" w:hAnsi="Arial"/>
                <w:sz w:val="18"/>
                <w:szCs w:val="18"/>
              </w:rPr>
            </w:pPr>
            <w:r w:rsidRPr="00AC1665">
              <w:rPr>
                <w:rFonts w:ascii="Arial" w:hAnsi="Arial"/>
                <w:sz w:val="18"/>
                <w:szCs w:val="18"/>
              </w:rPr>
              <w:t>41 to 50 years old</w:t>
            </w:r>
          </w:p>
        </w:tc>
        <w:tc>
          <w:tcPr>
            <w:tcW w:w="1558" w:type="dxa"/>
            <w:tcBorders>
              <w:top w:val="single" w:sz="4" w:space="0" w:color="auto"/>
              <w:bottom w:val="single" w:sz="4" w:space="0" w:color="auto"/>
              <w:tl2br w:val="nil"/>
              <w:tr2bl w:val="nil"/>
            </w:tcBorders>
            <w:shd w:val="clear" w:color="auto" w:fill="FFFFFF"/>
            <w:vAlign w:val="center"/>
          </w:tcPr>
          <w:p w14:paraId="7CE8B100" w14:textId="77777777" w:rsidR="00372A1B" w:rsidRPr="00AC1665" w:rsidRDefault="00372A1B" w:rsidP="00372A1B">
            <w:pPr>
              <w:ind w:left="60" w:right="60"/>
              <w:rPr>
                <w:rFonts w:ascii="Arial" w:hAnsi="Arial"/>
                <w:sz w:val="18"/>
                <w:szCs w:val="18"/>
              </w:rPr>
            </w:pPr>
            <w:r w:rsidRPr="00AC1665">
              <w:rPr>
                <w:rFonts w:ascii="Arial" w:hAnsi="Arial"/>
                <w:sz w:val="18"/>
                <w:szCs w:val="18"/>
              </w:rPr>
              <w:t>20 years old and below</w:t>
            </w:r>
          </w:p>
        </w:tc>
        <w:tc>
          <w:tcPr>
            <w:tcW w:w="892" w:type="dxa"/>
            <w:tcBorders>
              <w:top w:val="single" w:sz="4" w:space="0" w:color="auto"/>
              <w:bottom w:val="single" w:sz="4" w:space="0" w:color="auto"/>
              <w:tl2br w:val="nil"/>
              <w:tr2bl w:val="nil"/>
            </w:tcBorders>
            <w:shd w:val="clear" w:color="auto" w:fill="FFFFFF"/>
            <w:vAlign w:val="center"/>
          </w:tcPr>
          <w:p w14:paraId="05DB530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-.31097</w:t>
            </w:r>
            <w:r w:rsidRPr="00AC1665">
              <w:rPr>
                <w:rFonts w:ascii="Arial" w:hAnsi="Arial"/>
                <w:sz w:val="18"/>
                <w:szCs w:val="18"/>
                <w:vertAlign w:val="superscript"/>
              </w:rPr>
              <w:t>*</w:t>
            </w:r>
          </w:p>
        </w:tc>
        <w:tc>
          <w:tcPr>
            <w:tcW w:w="806" w:type="dxa"/>
            <w:tcBorders>
              <w:top w:val="single" w:sz="4" w:space="0" w:color="auto"/>
              <w:bottom w:val="single" w:sz="4" w:space="0" w:color="auto"/>
              <w:tl2br w:val="nil"/>
              <w:tr2bl w:val="nil"/>
            </w:tcBorders>
            <w:shd w:val="clear" w:color="auto" w:fill="FFFFFF"/>
            <w:vAlign w:val="center"/>
          </w:tcPr>
          <w:p w14:paraId="4A0DCB8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.08286</w:t>
            </w:r>
          </w:p>
        </w:tc>
        <w:tc>
          <w:tcPr>
            <w:tcW w:w="622" w:type="dxa"/>
            <w:tcBorders>
              <w:top w:val="single" w:sz="4" w:space="0" w:color="auto"/>
              <w:bottom w:val="single" w:sz="4" w:space="0" w:color="auto"/>
              <w:tl2br w:val="nil"/>
              <w:tr2bl w:val="nil"/>
            </w:tcBorders>
            <w:shd w:val="clear" w:color="auto" w:fill="FFFFFF"/>
            <w:vAlign w:val="center"/>
          </w:tcPr>
          <w:p w14:paraId="0E46B20C"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.003</w:t>
            </w:r>
          </w:p>
        </w:tc>
        <w:tc>
          <w:tcPr>
            <w:tcW w:w="1019" w:type="dxa"/>
            <w:tcBorders>
              <w:top w:val="single" w:sz="4" w:space="0" w:color="auto"/>
              <w:bottom w:val="single" w:sz="4" w:space="0" w:color="auto"/>
              <w:tl2br w:val="nil"/>
              <w:tr2bl w:val="nil"/>
            </w:tcBorders>
            <w:shd w:val="clear" w:color="auto" w:fill="FFFFFF"/>
            <w:vAlign w:val="center"/>
          </w:tcPr>
          <w:p w14:paraId="4929375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-.5487</w:t>
            </w:r>
          </w:p>
        </w:tc>
        <w:tc>
          <w:tcPr>
            <w:tcW w:w="864" w:type="dxa"/>
            <w:tcBorders>
              <w:top w:val="single" w:sz="4" w:space="0" w:color="auto"/>
              <w:bottom w:val="single" w:sz="4" w:space="0" w:color="auto"/>
              <w:tl2br w:val="nil"/>
              <w:tr2bl w:val="nil"/>
            </w:tcBorders>
            <w:shd w:val="clear" w:color="auto" w:fill="FFFFFF"/>
            <w:vAlign w:val="center"/>
          </w:tcPr>
          <w:p w14:paraId="4D3C312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-.0733</w:t>
            </w:r>
          </w:p>
        </w:tc>
        <w:tc>
          <w:tcPr>
            <w:tcW w:w="1529" w:type="dxa"/>
            <w:tcBorders>
              <w:top w:val="single" w:sz="4" w:space="0" w:color="auto"/>
              <w:bottom w:val="single" w:sz="4" w:space="0" w:color="auto"/>
              <w:tl2br w:val="nil"/>
              <w:tr2bl w:val="nil"/>
            </w:tcBorders>
            <w:shd w:val="clear" w:color="auto" w:fill="FFFFFF"/>
            <w:vAlign w:val="center"/>
          </w:tcPr>
          <w:p w14:paraId="1935D83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2B8E4742" w14:textId="77777777" w:rsidTr="00AC1665">
        <w:trPr>
          <w:cantSplit/>
          <w:trHeight w:val="249"/>
        </w:trPr>
        <w:tc>
          <w:tcPr>
            <w:tcW w:w="900" w:type="dxa"/>
            <w:vMerge/>
            <w:tcBorders>
              <w:tl2br w:val="nil"/>
              <w:tr2bl w:val="nil"/>
            </w:tcBorders>
            <w:shd w:val="clear" w:color="auto" w:fill="FFFFFF"/>
            <w:vAlign w:val="center"/>
          </w:tcPr>
          <w:p w14:paraId="499BFED4" w14:textId="77777777" w:rsidR="00372A1B" w:rsidRPr="00AC1665" w:rsidRDefault="00372A1B" w:rsidP="00372A1B">
            <w:pPr>
              <w:rPr>
                <w:rFonts w:ascii="Arial" w:hAnsi="Arial"/>
                <w:sz w:val="18"/>
                <w:szCs w:val="18"/>
              </w:rPr>
            </w:pPr>
          </w:p>
        </w:tc>
        <w:tc>
          <w:tcPr>
            <w:tcW w:w="1558" w:type="dxa"/>
            <w:tcBorders>
              <w:top w:val="single" w:sz="4" w:space="0" w:color="auto"/>
              <w:bottom w:val="single" w:sz="4" w:space="0" w:color="auto"/>
              <w:tl2br w:val="nil"/>
              <w:tr2bl w:val="nil"/>
            </w:tcBorders>
            <w:shd w:val="clear" w:color="auto" w:fill="FFFFFF"/>
            <w:vAlign w:val="center"/>
          </w:tcPr>
          <w:p w14:paraId="008BE349" w14:textId="77777777" w:rsidR="00372A1B" w:rsidRPr="00AC1665" w:rsidRDefault="00372A1B" w:rsidP="00372A1B">
            <w:pPr>
              <w:ind w:left="60" w:right="60"/>
              <w:rPr>
                <w:rFonts w:ascii="Arial" w:hAnsi="Arial"/>
                <w:sz w:val="18"/>
                <w:szCs w:val="18"/>
              </w:rPr>
            </w:pPr>
            <w:r w:rsidRPr="00AC1665">
              <w:rPr>
                <w:rFonts w:ascii="Arial" w:hAnsi="Arial"/>
                <w:sz w:val="18"/>
                <w:szCs w:val="18"/>
              </w:rPr>
              <w:t>21 to 30 years old</w:t>
            </w:r>
          </w:p>
        </w:tc>
        <w:tc>
          <w:tcPr>
            <w:tcW w:w="892" w:type="dxa"/>
            <w:tcBorders>
              <w:top w:val="single" w:sz="4" w:space="0" w:color="auto"/>
              <w:bottom w:val="single" w:sz="4" w:space="0" w:color="auto"/>
              <w:tl2br w:val="nil"/>
              <w:tr2bl w:val="nil"/>
            </w:tcBorders>
            <w:shd w:val="clear" w:color="auto" w:fill="FFFFFF"/>
            <w:vAlign w:val="center"/>
          </w:tcPr>
          <w:p w14:paraId="119B19F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-.26032</w:t>
            </w:r>
            <w:r w:rsidRPr="00AC1665">
              <w:rPr>
                <w:rFonts w:ascii="Arial" w:hAnsi="Arial"/>
                <w:sz w:val="18"/>
                <w:szCs w:val="18"/>
                <w:vertAlign w:val="superscript"/>
              </w:rPr>
              <w:t>*</w:t>
            </w:r>
          </w:p>
        </w:tc>
        <w:tc>
          <w:tcPr>
            <w:tcW w:w="806" w:type="dxa"/>
            <w:tcBorders>
              <w:top w:val="single" w:sz="4" w:space="0" w:color="auto"/>
              <w:bottom w:val="single" w:sz="4" w:space="0" w:color="auto"/>
              <w:tl2br w:val="nil"/>
              <w:tr2bl w:val="nil"/>
            </w:tcBorders>
            <w:shd w:val="clear" w:color="auto" w:fill="FFFFFF"/>
            <w:vAlign w:val="center"/>
          </w:tcPr>
          <w:p w14:paraId="063F3C2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.06659</w:t>
            </w:r>
          </w:p>
        </w:tc>
        <w:tc>
          <w:tcPr>
            <w:tcW w:w="622" w:type="dxa"/>
            <w:tcBorders>
              <w:top w:val="single" w:sz="4" w:space="0" w:color="auto"/>
              <w:bottom w:val="single" w:sz="4" w:space="0" w:color="auto"/>
              <w:tl2br w:val="nil"/>
              <w:tr2bl w:val="nil"/>
            </w:tcBorders>
            <w:shd w:val="clear" w:color="auto" w:fill="FFFFFF"/>
            <w:vAlign w:val="center"/>
          </w:tcPr>
          <w:p w14:paraId="42F2431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.002</w:t>
            </w:r>
          </w:p>
        </w:tc>
        <w:tc>
          <w:tcPr>
            <w:tcW w:w="1019" w:type="dxa"/>
            <w:tcBorders>
              <w:top w:val="single" w:sz="4" w:space="0" w:color="auto"/>
              <w:bottom w:val="single" w:sz="4" w:space="0" w:color="auto"/>
              <w:tl2br w:val="nil"/>
              <w:tr2bl w:val="nil"/>
            </w:tcBorders>
            <w:shd w:val="clear" w:color="auto" w:fill="FFFFFF"/>
            <w:vAlign w:val="center"/>
          </w:tcPr>
          <w:p w14:paraId="6305D3E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-.4514</w:t>
            </w:r>
          </w:p>
        </w:tc>
        <w:tc>
          <w:tcPr>
            <w:tcW w:w="864" w:type="dxa"/>
            <w:tcBorders>
              <w:top w:val="single" w:sz="4" w:space="0" w:color="auto"/>
              <w:bottom w:val="single" w:sz="4" w:space="0" w:color="auto"/>
              <w:tl2br w:val="nil"/>
              <w:tr2bl w:val="nil"/>
            </w:tcBorders>
            <w:shd w:val="clear" w:color="auto" w:fill="FFFFFF"/>
            <w:vAlign w:val="center"/>
          </w:tcPr>
          <w:p w14:paraId="719EA8E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-.0693</w:t>
            </w:r>
          </w:p>
        </w:tc>
        <w:tc>
          <w:tcPr>
            <w:tcW w:w="1529" w:type="dxa"/>
            <w:tcBorders>
              <w:top w:val="single" w:sz="4" w:space="0" w:color="auto"/>
              <w:bottom w:val="single" w:sz="4" w:space="0" w:color="auto"/>
              <w:tl2br w:val="nil"/>
              <w:tr2bl w:val="nil"/>
            </w:tcBorders>
            <w:shd w:val="clear" w:color="auto" w:fill="FFFFFF"/>
            <w:vAlign w:val="center"/>
          </w:tcPr>
          <w:p w14:paraId="6EC2359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1685559A" w14:textId="77777777" w:rsidTr="00AC1665">
        <w:trPr>
          <w:cantSplit/>
          <w:trHeight w:val="249"/>
        </w:trPr>
        <w:tc>
          <w:tcPr>
            <w:tcW w:w="900" w:type="dxa"/>
            <w:vMerge/>
            <w:tcBorders>
              <w:tl2br w:val="nil"/>
              <w:tr2bl w:val="nil"/>
            </w:tcBorders>
            <w:shd w:val="clear" w:color="auto" w:fill="FFFFFF"/>
            <w:vAlign w:val="center"/>
          </w:tcPr>
          <w:p w14:paraId="0C507663" w14:textId="77777777" w:rsidR="00372A1B" w:rsidRPr="00AC1665" w:rsidRDefault="00372A1B" w:rsidP="00372A1B">
            <w:pPr>
              <w:rPr>
                <w:rFonts w:ascii="Arial" w:hAnsi="Arial"/>
                <w:sz w:val="18"/>
                <w:szCs w:val="18"/>
              </w:rPr>
            </w:pPr>
          </w:p>
        </w:tc>
        <w:tc>
          <w:tcPr>
            <w:tcW w:w="1558" w:type="dxa"/>
            <w:tcBorders>
              <w:top w:val="single" w:sz="4" w:space="0" w:color="auto"/>
              <w:tl2br w:val="nil"/>
              <w:tr2bl w:val="nil"/>
            </w:tcBorders>
            <w:shd w:val="clear" w:color="auto" w:fill="FFFFFF"/>
            <w:vAlign w:val="center"/>
          </w:tcPr>
          <w:p w14:paraId="05DA6B6A" w14:textId="77777777" w:rsidR="00372A1B" w:rsidRPr="00AC1665" w:rsidRDefault="00372A1B" w:rsidP="00372A1B">
            <w:pPr>
              <w:ind w:left="60" w:right="60"/>
              <w:rPr>
                <w:rFonts w:ascii="Arial" w:hAnsi="Arial"/>
                <w:sz w:val="18"/>
                <w:szCs w:val="18"/>
              </w:rPr>
            </w:pPr>
            <w:r w:rsidRPr="00AC1665">
              <w:rPr>
                <w:rFonts w:ascii="Arial" w:hAnsi="Arial"/>
                <w:sz w:val="18"/>
                <w:szCs w:val="18"/>
              </w:rPr>
              <w:t>31 to 40 years old</w:t>
            </w:r>
          </w:p>
        </w:tc>
        <w:tc>
          <w:tcPr>
            <w:tcW w:w="892" w:type="dxa"/>
            <w:tcBorders>
              <w:top w:val="single" w:sz="4" w:space="0" w:color="auto"/>
              <w:tl2br w:val="nil"/>
              <w:tr2bl w:val="nil"/>
            </w:tcBorders>
            <w:shd w:val="clear" w:color="auto" w:fill="FFFFFF"/>
            <w:vAlign w:val="center"/>
          </w:tcPr>
          <w:p w14:paraId="275784D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-.23257</w:t>
            </w:r>
            <w:r w:rsidRPr="00AC1665">
              <w:rPr>
                <w:rFonts w:ascii="Arial" w:hAnsi="Arial"/>
                <w:sz w:val="18"/>
                <w:szCs w:val="18"/>
                <w:vertAlign w:val="superscript"/>
              </w:rPr>
              <w:t>*</w:t>
            </w:r>
          </w:p>
        </w:tc>
        <w:tc>
          <w:tcPr>
            <w:tcW w:w="806" w:type="dxa"/>
            <w:tcBorders>
              <w:top w:val="single" w:sz="4" w:space="0" w:color="auto"/>
              <w:tl2br w:val="nil"/>
              <w:tr2bl w:val="nil"/>
            </w:tcBorders>
            <w:shd w:val="clear" w:color="auto" w:fill="FFFFFF"/>
            <w:vAlign w:val="center"/>
          </w:tcPr>
          <w:p w14:paraId="63911DC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.07740</w:t>
            </w:r>
          </w:p>
        </w:tc>
        <w:tc>
          <w:tcPr>
            <w:tcW w:w="622" w:type="dxa"/>
            <w:tcBorders>
              <w:top w:val="single" w:sz="4" w:space="0" w:color="auto"/>
              <w:tl2br w:val="nil"/>
              <w:tr2bl w:val="nil"/>
            </w:tcBorders>
            <w:shd w:val="clear" w:color="auto" w:fill="FFFFFF"/>
            <w:vAlign w:val="center"/>
          </w:tcPr>
          <w:p w14:paraId="5131238E"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.034</w:t>
            </w:r>
          </w:p>
        </w:tc>
        <w:tc>
          <w:tcPr>
            <w:tcW w:w="1019" w:type="dxa"/>
            <w:tcBorders>
              <w:top w:val="single" w:sz="4" w:space="0" w:color="auto"/>
              <w:tl2br w:val="nil"/>
              <w:tr2bl w:val="nil"/>
            </w:tcBorders>
            <w:shd w:val="clear" w:color="auto" w:fill="FFFFFF"/>
            <w:vAlign w:val="center"/>
          </w:tcPr>
          <w:p w14:paraId="652DCF8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-.4546</w:t>
            </w:r>
          </w:p>
        </w:tc>
        <w:tc>
          <w:tcPr>
            <w:tcW w:w="864" w:type="dxa"/>
            <w:tcBorders>
              <w:top w:val="single" w:sz="4" w:space="0" w:color="auto"/>
              <w:tl2br w:val="nil"/>
              <w:tr2bl w:val="nil"/>
            </w:tcBorders>
            <w:shd w:val="clear" w:color="auto" w:fill="FFFFFF"/>
            <w:vAlign w:val="center"/>
          </w:tcPr>
          <w:p w14:paraId="297E8EA9"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-.0105</w:t>
            </w:r>
          </w:p>
        </w:tc>
        <w:tc>
          <w:tcPr>
            <w:tcW w:w="1529" w:type="dxa"/>
            <w:tcBorders>
              <w:top w:val="single" w:sz="4" w:space="0" w:color="auto"/>
              <w:tl2br w:val="nil"/>
              <w:tr2bl w:val="nil"/>
            </w:tcBorders>
            <w:shd w:val="clear" w:color="auto" w:fill="FFFFFF"/>
            <w:vAlign w:val="center"/>
          </w:tcPr>
          <w:p w14:paraId="7733BA7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difference</w:t>
            </w:r>
          </w:p>
        </w:tc>
      </w:tr>
      <w:tr w:rsidR="00372A1B" w:rsidRPr="00AC1665" w14:paraId="60B58A86" w14:textId="77777777" w:rsidTr="00AC1665">
        <w:trPr>
          <w:cantSplit/>
          <w:trHeight w:val="249"/>
        </w:trPr>
        <w:tc>
          <w:tcPr>
            <w:tcW w:w="900" w:type="dxa"/>
            <w:vMerge/>
            <w:tcBorders>
              <w:tl2br w:val="nil"/>
              <w:tr2bl w:val="nil"/>
            </w:tcBorders>
            <w:shd w:val="clear" w:color="auto" w:fill="FFFFFF"/>
            <w:vAlign w:val="center"/>
          </w:tcPr>
          <w:p w14:paraId="1431BDDB" w14:textId="77777777" w:rsidR="00372A1B" w:rsidRPr="00AC1665" w:rsidRDefault="00372A1B" w:rsidP="00372A1B">
            <w:pPr>
              <w:rPr>
                <w:rFonts w:ascii="Arial" w:hAnsi="Arial"/>
                <w:sz w:val="18"/>
                <w:szCs w:val="18"/>
              </w:rPr>
            </w:pPr>
          </w:p>
        </w:tc>
        <w:tc>
          <w:tcPr>
            <w:tcW w:w="1558" w:type="dxa"/>
            <w:tcBorders>
              <w:bottom w:val="single" w:sz="4" w:space="0" w:color="auto"/>
              <w:tl2br w:val="nil"/>
              <w:tr2bl w:val="nil"/>
            </w:tcBorders>
            <w:shd w:val="clear" w:color="auto" w:fill="FFFFFF"/>
            <w:vAlign w:val="center"/>
          </w:tcPr>
          <w:p w14:paraId="534D23EB" w14:textId="77777777" w:rsidR="00372A1B" w:rsidRPr="00AC1665" w:rsidRDefault="00372A1B" w:rsidP="00372A1B">
            <w:pPr>
              <w:ind w:left="60" w:right="60"/>
              <w:rPr>
                <w:rFonts w:ascii="Arial" w:hAnsi="Arial"/>
                <w:sz w:val="18"/>
                <w:szCs w:val="18"/>
              </w:rPr>
            </w:pPr>
            <w:r w:rsidRPr="00AC1665">
              <w:rPr>
                <w:rFonts w:ascii="Arial" w:hAnsi="Arial"/>
                <w:sz w:val="18"/>
                <w:szCs w:val="18"/>
              </w:rPr>
              <w:t>51 to 60 years old</w:t>
            </w:r>
          </w:p>
        </w:tc>
        <w:tc>
          <w:tcPr>
            <w:tcW w:w="892" w:type="dxa"/>
            <w:tcBorders>
              <w:bottom w:val="single" w:sz="4" w:space="0" w:color="auto"/>
              <w:tl2br w:val="nil"/>
              <w:tr2bl w:val="nil"/>
            </w:tcBorders>
            <w:shd w:val="clear" w:color="auto" w:fill="FFFFFF"/>
            <w:vAlign w:val="center"/>
          </w:tcPr>
          <w:p w14:paraId="5167D26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-.13862</w:t>
            </w:r>
          </w:p>
        </w:tc>
        <w:tc>
          <w:tcPr>
            <w:tcW w:w="806" w:type="dxa"/>
            <w:tcBorders>
              <w:bottom w:val="single" w:sz="4" w:space="0" w:color="auto"/>
              <w:tl2br w:val="nil"/>
              <w:tr2bl w:val="nil"/>
            </w:tcBorders>
            <w:shd w:val="clear" w:color="auto" w:fill="FFFFFF"/>
            <w:vAlign w:val="center"/>
          </w:tcPr>
          <w:p w14:paraId="16FF7FB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.08159</w:t>
            </w:r>
          </w:p>
        </w:tc>
        <w:tc>
          <w:tcPr>
            <w:tcW w:w="622" w:type="dxa"/>
            <w:tcBorders>
              <w:bottom w:val="single" w:sz="4" w:space="0" w:color="auto"/>
              <w:tl2br w:val="nil"/>
              <w:tr2bl w:val="nil"/>
            </w:tcBorders>
            <w:shd w:val="clear" w:color="auto" w:fill="FFFFFF"/>
            <w:vAlign w:val="center"/>
          </w:tcPr>
          <w:p w14:paraId="62D2DE6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.534</w:t>
            </w:r>
          </w:p>
        </w:tc>
        <w:tc>
          <w:tcPr>
            <w:tcW w:w="1019" w:type="dxa"/>
            <w:tcBorders>
              <w:bottom w:val="single" w:sz="4" w:space="0" w:color="auto"/>
              <w:tl2br w:val="nil"/>
              <w:tr2bl w:val="nil"/>
            </w:tcBorders>
            <w:shd w:val="clear" w:color="auto" w:fill="FFFFFF"/>
            <w:vAlign w:val="center"/>
          </w:tcPr>
          <w:p w14:paraId="4EAAF03B"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-.3727</w:t>
            </w:r>
          </w:p>
        </w:tc>
        <w:tc>
          <w:tcPr>
            <w:tcW w:w="864" w:type="dxa"/>
            <w:tcBorders>
              <w:bottom w:val="single" w:sz="4" w:space="0" w:color="auto"/>
              <w:tl2br w:val="nil"/>
              <w:tr2bl w:val="nil"/>
            </w:tcBorders>
            <w:shd w:val="clear" w:color="auto" w:fill="FFFFFF"/>
            <w:vAlign w:val="center"/>
          </w:tcPr>
          <w:p w14:paraId="0ECEE6F8"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.0954</w:t>
            </w:r>
          </w:p>
        </w:tc>
        <w:tc>
          <w:tcPr>
            <w:tcW w:w="1529" w:type="dxa"/>
            <w:tcBorders>
              <w:bottom w:val="single" w:sz="4" w:space="0" w:color="auto"/>
              <w:tl2br w:val="nil"/>
              <w:tr2bl w:val="nil"/>
            </w:tcBorders>
            <w:shd w:val="clear" w:color="auto" w:fill="FFFFFF"/>
            <w:vAlign w:val="center"/>
          </w:tcPr>
          <w:p w14:paraId="327F8246"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r w:rsidR="00372A1B" w:rsidRPr="00AC1665" w14:paraId="28785895" w14:textId="77777777" w:rsidTr="00AC1665">
        <w:trPr>
          <w:cantSplit/>
          <w:trHeight w:val="249"/>
        </w:trPr>
        <w:tc>
          <w:tcPr>
            <w:tcW w:w="900" w:type="dxa"/>
            <w:vMerge/>
            <w:tcBorders>
              <w:tl2br w:val="nil"/>
              <w:tr2bl w:val="nil"/>
            </w:tcBorders>
            <w:shd w:val="clear" w:color="auto" w:fill="FFFFFF"/>
            <w:vAlign w:val="center"/>
          </w:tcPr>
          <w:p w14:paraId="2F902161" w14:textId="77777777" w:rsidR="00372A1B" w:rsidRPr="00AC1665" w:rsidRDefault="00372A1B" w:rsidP="00372A1B">
            <w:pPr>
              <w:rPr>
                <w:rFonts w:ascii="Arial" w:hAnsi="Arial"/>
                <w:sz w:val="18"/>
                <w:szCs w:val="18"/>
              </w:rPr>
            </w:pPr>
          </w:p>
        </w:tc>
        <w:tc>
          <w:tcPr>
            <w:tcW w:w="1558" w:type="dxa"/>
            <w:tcBorders>
              <w:top w:val="single" w:sz="4" w:space="0" w:color="auto"/>
              <w:bottom w:val="single" w:sz="4" w:space="0" w:color="auto"/>
              <w:tl2br w:val="nil"/>
              <w:tr2bl w:val="nil"/>
            </w:tcBorders>
            <w:shd w:val="clear" w:color="auto" w:fill="FFFFFF"/>
            <w:vAlign w:val="center"/>
          </w:tcPr>
          <w:p w14:paraId="475D52E4" w14:textId="77777777" w:rsidR="00372A1B" w:rsidRPr="00AC1665" w:rsidRDefault="00372A1B" w:rsidP="00372A1B">
            <w:pPr>
              <w:ind w:left="60" w:right="60"/>
              <w:rPr>
                <w:rFonts w:ascii="Arial" w:hAnsi="Arial"/>
                <w:sz w:val="18"/>
                <w:szCs w:val="18"/>
              </w:rPr>
            </w:pPr>
            <w:r w:rsidRPr="00AC1665">
              <w:rPr>
                <w:rFonts w:ascii="Arial" w:hAnsi="Arial"/>
                <w:sz w:val="18"/>
                <w:szCs w:val="18"/>
              </w:rPr>
              <w:t>61 years old and above</w:t>
            </w:r>
          </w:p>
        </w:tc>
        <w:tc>
          <w:tcPr>
            <w:tcW w:w="892" w:type="dxa"/>
            <w:tcBorders>
              <w:top w:val="single" w:sz="4" w:space="0" w:color="auto"/>
              <w:bottom w:val="single" w:sz="4" w:space="0" w:color="auto"/>
              <w:tl2br w:val="nil"/>
              <w:tr2bl w:val="nil"/>
            </w:tcBorders>
            <w:shd w:val="clear" w:color="auto" w:fill="FFFFFF"/>
            <w:vAlign w:val="center"/>
          </w:tcPr>
          <w:p w14:paraId="6241C7B2"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-.06077</w:t>
            </w:r>
          </w:p>
        </w:tc>
        <w:tc>
          <w:tcPr>
            <w:tcW w:w="806" w:type="dxa"/>
            <w:tcBorders>
              <w:top w:val="single" w:sz="4" w:space="0" w:color="auto"/>
              <w:bottom w:val="single" w:sz="4" w:space="0" w:color="auto"/>
              <w:tl2br w:val="nil"/>
              <w:tr2bl w:val="nil"/>
            </w:tcBorders>
            <w:shd w:val="clear" w:color="auto" w:fill="FFFFFF"/>
            <w:vAlign w:val="center"/>
          </w:tcPr>
          <w:p w14:paraId="1096F3D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.11719</w:t>
            </w:r>
          </w:p>
        </w:tc>
        <w:tc>
          <w:tcPr>
            <w:tcW w:w="622" w:type="dxa"/>
            <w:tcBorders>
              <w:top w:val="single" w:sz="4" w:space="0" w:color="auto"/>
              <w:bottom w:val="single" w:sz="4" w:space="0" w:color="auto"/>
              <w:tl2br w:val="nil"/>
              <w:tr2bl w:val="nil"/>
            </w:tcBorders>
            <w:shd w:val="clear" w:color="auto" w:fill="FFFFFF"/>
            <w:vAlign w:val="center"/>
          </w:tcPr>
          <w:p w14:paraId="0A14984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.995</w:t>
            </w:r>
          </w:p>
        </w:tc>
        <w:tc>
          <w:tcPr>
            <w:tcW w:w="1019" w:type="dxa"/>
            <w:tcBorders>
              <w:top w:val="single" w:sz="4" w:space="0" w:color="auto"/>
              <w:bottom w:val="single" w:sz="4" w:space="0" w:color="auto"/>
              <w:tl2br w:val="nil"/>
              <w:tr2bl w:val="nil"/>
            </w:tcBorders>
            <w:shd w:val="clear" w:color="auto" w:fill="FFFFFF"/>
            <w:vAlign w:val="center"/>
          </w:tcPr>
          <w:p w14:paraId="5323BA15"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-.3969</w:t>
            </w:r>
          </w:p>
        </w:tc>
        <w:tc>
          <w:tcPr>
            <w:tcW w:w="864" w:type="dxa"/>
            <w:tcBorders>
              <w:top w:val="single" w:sz="4" w:space="0" w:color="auto"/>
              <w:bottom w:val="single" w:sz="4" w:space="0" w:color="auto"/>
              <w:tl2br w:val="nil"/>
              <w:tr2bl w:val="nil"/>
            </w:tcBorders>
            <w:shd w:val="clear" w:color="auto" w:fill="FFFFFF"/>
            <w:vAlign w:val="center"/>
          </w:tcPr>
          <w:p w14:paraId="1CA697F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.2754</w:t>
            </w:r>
          </w:p>
        </w:tc>
        <w:tc>
          <w:tcPr>
            <w:tcW w:w="1529" w:type="dxa"/>
            <w:tcBorders>
              <w:top w:val="single" w:sz="4" w:space="0" w:color="auto"/>
              <w:bottom w:val="single" w:sz="4" w:space="0" w:color="auto"/>
              <w:tl2br w:val="nil"/>
              <w:tr2bl w:val="nil"/>
            </w:tcBorders>
            <w:shd w:val="clear" w:color="auto" w:fill="FFFFFF"/>
            <w:vAlign w:val="center"/>
          </w:tcPr>
          <w:p w14:paraId="3E218F04"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Has no difference</w:t>
            </w:r>
          </w:p>
        </w:tc>
      </w:tr>
    </w:tbl>
    <w:p w14:paraId="2BEB1496" w14:textId="77777777" w:rsidR="00372A1B" w:rsidRPr="00372A1B" w:rsidRDefault="00372A1B" w:rsidP="00372A1B">
      <w:pPr>
        <w:jc w:val="both"/>
        <w:rPr>
          <w:rFonts w:ascii="Arial" w:hAnsi="Arial" w:cs="Arial"/>
          <w:lang w:val="en-PH"/>
        </w:rPr>
      </w:pPr>
    </w:p>
    <w:p w14:paraId="74818AC4" w14:textId="77777777" w:rsidR="00372A1B" w:rsidRPr="00372A1B" w:rsidRDefault="00372A1B" w:rsidP="00372A1B">
      <w:pPr>
        <w:jc w:val="both"/>
        <w:rPr>
          <w:rFonts w:ascii="Arial" w:hAnsi="Arial" w:cs="Arial"/>
          <w:bCs/>
          <w:lang w:val="en-PH"/>
        </w:rPr>
      </w:pPr>
      <w:r w:rsidRPr="00372A1B">
        <w:rPr>
          <w:rFonts w:ascii="Arial" w:hAnsi="Arial" w:cs="Arial"/>
          <w:lang w:val="en-PH"/>
        </w:rPr>
        <w:tab/>
      </w:r>
      <w:r w:rsidRPr="00372A1B">
        <w:rPr>
          <w:rFonts w:ascii="Arial" w:hAnsi="Arial" w:cs="Arial"/>
          <w:bCs/>
          <w:lang w:val="en-PH"/>
        </w:rPr>
        <w:t xml:space="preserve">With this, the lower acceptance observed in the 41 to 50 age group could be attributed to factors such as limited engagement with institutional updates or reduced participation in university initiatives. In contrast, the higher acceptance levels among younger stakeholders may stem from their ongoing academic involvement and direct exposure to the university’s VMPEO. This supports the argument of Yáñez et al. (2018) and </w:t>
      </w:r>
      <w:proofErr w:type="spellStart"/>
      <w:r w:rsidRPr="00372A1B">
        <w:rPr>
          <w:rFonts w:ascii="Arial" w:hAnsi="Arial" w:cs="Arial"/>
          <w:bCs/>
          <w:lang w:val="en-PH"/>
        </w:rPr>
        <w:t>Bridgstock</w:t>
      </w:r>
      <w:proofErr w:type="spellEnd"/>
      <w:r w:rsidRPr="00372A1B">
        <w:rPr>
          <w:rFonts w:ascii="Arial" w:hAnsi="Arial" w:cs="Arial"/>
          <w:bCs/>
          <w:lang w:val="en-PH"/>
        </w:rPr>
        <w:t xml:space="preserve"> &amp; Jackson (2019) that active institutional engagement enhances stakeholder alignment. The findings also align with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and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emphasized the importance of effective communication strategies in promoting awareness and acceptance of institutional goals. </w:t>
      </w:r>
    </w:p>
    <w:p w14:paraId="55AE0A7A" w14:textId="2C23E8D0" w:rsidR="00372A1B" w:rsidRDefault="00372A1B" w:rsidP="00372A1B">
      <w:pPr>
        <w:ind w:firstLine="720"/>
        <w:jc w:val="both"/>
        <w:rPr>
          <w:rFonts w:ascii="Arial" w:hAnsi="Arial" w:cs="Arial"/>
          <w:bCs/>
          <w:lang w:val="en-PH"/>
        </w:rPr>
      </w:pPr>
      <w:r w:rsidRPr="00372A1B">
        <w:rPr>
          <w:rFonts w:ascii="Arial" w:hAnsi="Arial" w:cs="Arial"/>
        </w:rPr>
        <w:t>Table 2</w:t>
      </w:r>
      <w:r w:rsidR="00AC1665">
        <w:rPr>
          <w:rFonts w:ascii="Arial" w:hAnsi="Arial" w:cs="Arial"/>
        </w:rPr>
        <w:t>2</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based on sex. </w:t>
      </w:r>
      <w:r w:rsidRPr="00372A1B">
        <w:rPr>
          <w:rFonts w:ascii="Arial" w:hAnsi="Arial" w:cs="Arial"/>
          <w:bCs/>
          <w:lang w:val="en-PH"/>
        </w:rPr>
        <w:t xml:space="preserve">The results of an independent samples t-test conducted to determine whether there is a significant difference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between male and female respondents are presented. The result yielded a p-value of 0.953, which is greater than the 0.05 level of significance (p &gt; 0.05), indicating that there is no statistically significant difference in acceptance levels between male and female stakeholders.</w:t>
      </w:r>
    </w:p>
    <w:p w14:paraId="167F6D34" w14:textId="77777777" w:rsidR="00AC1665" w:rsidRPr="00372A1B" w:rsidRDefault="00AC1665" w:rsidP="00372A1B">
      <w:pPr>
        <w:ind w:firstLine="720"/>
        <w:jc w:val="both"/>
        <w:rPr>
          <w:rFonts w:ascii="Arial" w:hAnsi="Arial" w:cs="Arial"/>
          <w:bCs/>
          <w:lang w:val="en-PH"/>
        </w:rPr>
      </w:pPr>
    </w:p>
    <w:p w14:paraId="10D4C86F" w14:textId="386B01FA" w:rsidR="00372A1B" w:rsidRPr="00372A1B" w:rsidRDefault="00372A1B" w:rsidP="00372A1B">
      <w:pPr>
        <w:jc w:val="both"/>
        <w:rPr>
          <w:rFonts w:ascii="Arial" w:hAnsi="Arial" w:cs="Arial"/>
        </w:rPr>
      </w:pPr>
      <w:r w:rsidRPr="00372A1B">
        <w:rPr>
          <w:rFonts w:ascii="Arial" w:hAnsi="Arial" w:cs="Arial"/>
        </w:rPr>
        <w:t>Table 2</w:t>
      </w:r>
      <w:r w:rsidR="00AC1665">
        <w:rPr>
          <w:rFonts w:ascii="Arial" w:hAnsi="Arial" w:cs="Arial"/>
        </w:rPr>
        <w:t>2</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sex</w:t>
      </w:r>
    </w:p>
    <w:tbl>
      <w:tblPr>
        <w:tblW w:w="8131"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178"/>
        <w:gridCol w:w="417"/>
        <w:gridCol w:w="373"/>
        <w:gridCol w:w="1006"/>
        <w:gridCol w:w="1081"/>
        <w:gridCol w:w="1402"/>
        <w:gridCol w:w="725"/>
        <w:gridCol w:w="949"/>
      </w:tblGrid>
      <w:tr w:rsidR="00372A1B" w:rsidRPr="00AC1665" w14:paraId="395DF3F6" w14:textId="77777777" w:rsidTr="00AC1665">
        <w:trPr>
          <w:cantSplit/>
          <w:trHeight w:val="210"/>
        </w:trPr>
        <w:tc>
          <w:tcPr>
            <w:tcW w:w="2178" w:type="dxa"/>
            <w:tcBorders>
              <w:bottom w:val="single" w:sz="4" w:space="0" w:color="auto"/>
              <w:tl2br w:val="nil"/>
              <w:tr2bl w:val="nil"/>
            </w:tcBorders>
            <w:shd w:val="clear" w:color="auto" w:fill="FFFFFF"/>
          </w:tcPr>
          <w:p w14:paraId="4E1A0332" w14:textId="77777777" w:rsidR="00372A1B" w:rsidRPr="00AC1665" w:rsidRDefault="00372A1B" w:rsidP="00372A1B">
            <w:pPr>
              <w:ind w:left="60" w:right="60"/>
              <w:rPr>
                <w:rFonts w:ascii="Arial" w:hAnsi="Arial"/>
                <w:sz w:val="18"/>
                <w:szCs w:val="18"/>
              </w:rPr>
            </w:pPr>
          </w:p>
        </w:tc>
        <w:tc>
          <w:tcPr>
            <w:tcW w:w="5953" w:type="dxa"/>
            <w:gridSpan w:val="7"/>
            <w:tcBorders>
              <w:bottom w:val="single" w:sz="4" w:space="0" w:color="auto"/>
              <w:tl2br w:val="nil"/>
              <w:tr2bl w:val="nil"/>
            </w:tcBorders>
            <w:shd w:val="clear" w:color="auto" w:fill="FFFFFF"/>
          </w:tcPr>
          <w:p w14:paraId="56F969D5"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t-test for Equality of Means</w:t>
            </w:r>
          </w:p>
        </w:tc>
      </w:tr>
      <w:tr w:rsidR="00372A1B" w:rsidRPr="00AC1665" w14:paraId="545F035C" w14:textId="77777777" w:rsidTr="00AC1665">
        <w:trPr>
          <w:cantSplit/>
          <w:trHeight w:val="692"/>
        </w:trPr>
        <w:tc>
          <w:tcPr>
            <w:tcW w:w="2178" w:type="dxa"/>
            <w:vMerge w:val="restart"/>
            <w:tcBorders>
              <w:top w:val="single" w:sz="4" w:space="0" w:color="auto"/>
              <w:tl2br w:val="nil"/>
              <w:tr2bl w:val="nil"/>
            </w:tcBorders>
            <w:shd w:val="clear" w:color="auto" w:fill="FFFFFF"/>
          </w:tcPr>
          <w:p w14:paraId="6464E734" w14:textId="77777777" w:rsidR="00372A1B" w:rsidRPr="00AC1665" w:rsidRDefault="00372A1B" w:rsidP="00372A1B">
            <w:pPr>
              <w:rPr>
                <w:rFonts w:ascii="Arial" w:hAnsi="Arial"/>
                <w:sz w:val="18"/>
                <w:szCs w:val="18"/>
              </w:rPr>
            </w:pPr>
          </w:p>
        </w:tc>
        <w:tc>
          <w:tcPr>
            <w:tcW w:w="417" w:type="dxa"/>
            <w:vMerge w:val="restart"/>
            <w:tcBorders>
              <w:top w:val="single" w:sz="4" w:space="0" w:color="auto"/>
              <w:bottom w:val="single" w:sz="4" w:space="0" w:color="auto"/>
              <w:tl2br w:val="nil"/>
              <w:tr2bl w:val="nil"/>
            </w:tcBorders>
            <w:shd w:val="clear" w:color="auto" w:fill="FFFFFF"/>
            <w:vAlign w:val="center"/>
          </w:tcPr>
          <w:p w14:paraId="0E0690A2" w14:textId="77777777" w:rsidR="00372A1B" w:rsidRPr="00AC1665" w:rsidRDefault="00372A1B" w:rsidP="00372A1B">
            <w:pPr>
              <w:ind w:left="60" w:right="60"/>
              <w:rPr>
                <w:rFonts w:ascii="Arial" w:hAnsi="Arial"/>
                <w:sz w:val="18"/>
                <w:szCs w:val="18"/>
              </w:rPr>
            </w:pPr>
            <w:r w:rsidRPr="00AC1665">
              <w:rPr>
                <w:rFonts w:ascii="Arial" w:hAnsi="Arial"/>
                <w:sz w:val="18"/>
                <w:szCs w:val="18"/>
              </w:rPr>
              <w:t>t</w:t>
            </w:r>
          </w:p>
        </w:tc>
        <w:tc>
          <w:tcPr>
            <w:tcW w:w="373" w:type="dxa"/>
            <w:vMerge w:val="restart"/>
            <w:tcBorders>
              <w:top w:val="single" w:sz="4" w:space="0" w:color="auto"/>
              <w:bottom w:val="single" w:sz="4" w:space="0" w:color="auto"/>
              <w:tl2br w:val="nil"/>
              <w:tr2bl w:val="nil"/>
            </w:tcBorders>
            <w:shd w:val="clear" w:color="auto" w:fill="FFFFFF"/>
            <w:vAlign w:val="center"/>
          </w:tcPr>
          <w:p w14:paraId="2CE7490E" w14:textId="77777777" w:rsidR="00372A1B" w:rsidRPr="00AC1665" w:rsidRDefault="00372A1B" w:rsidP="00372A1B">
            <w:pPr>
              <w:ind w:left="60" w:right="60"/>
              <w:rPr>
                <w:rFonts w:ascii="Arial" w:hAnsi="Arial"/>
                <w:sz w:val="18"/>
                <w:szCs w:val="18"/>
              </w:rPr>
            </w:pPr>
            <w:r w:rsidRPr="00AC1665">
              <w:rPr>
                <w:rFonts w:ascii="Arial" w:hAnsi="Arial"/>
                <w:sz w:val="18"/>
                <w:szCs w:val="18"/>
              </w:rPr>
              <w:t>Df</w:t>
            </w:r>
          </w:p>
        </w:tc>
        <w:tc>
          <w:tcPr>
            <w:tcW w:w="1006" w:type="dxa"/>
            <w:vMerge w:val="restart"/>
            <w:tcBorders>
              <w:top w:val="single" w:sz="4" w:space="0" w:color="auto"/>
              <w:bottom w:val="single" w:sz="4" w:space="0" w:color="auto"/>
              <w:tl2br w:val="nil"/>
              <w:tr2bl w:val="nil"/>
            </w:tcBorders>
            <w:shd w:val="clear" w:color="auto" w:fill="FFFFFF"/>
            <w:vAlign w:val="center"/>
          </w:tcPr>
          <w:p w14:paraId="3FEA6C63"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Sig. (2-tailed)</w:t>
            </w:r>
          </w:p>
        </w:tc>
        <w:tc>
          <w:tcPr>
            <w:tcW w:w="1081" w:type="dxa"/>
            <w:vMerge w:val="restart"/>
            <w:tcBorders>
              <w:top w:val="single" w:sz="4" w:space="0" w:color="auto"/>
              <w:bottom w:val="single" w:sz="4" w:space="0" w:color="auto"/>
              <w:tl2br w:val="nil"/>
              <w:tr2bl w:val="nil"/>
            </w:tcBorders>
            <w:shd w:val="clear" w:color="auto" w:fill="FFFFFF"/>
            <w:vAlign w:val="center"/>
          </w:tcPr>
          <w:p w14:paraId="1F4CE4B0"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Mean Difference</w:t>
            </w:r>
          </w:p>
        </w:tc>
        <w:tc>
          <w:tcPr>
            <w:tcW w:w="1402" w:type="dxa"/>
            <w:vMerge w:val="restart"/>
            <w:tcBorders>
              <w:top w:val="single" w:sz="4" w:space="0" w:color="auto"/>
              <w:bottom w:val="single" w:sz="4" w:space="0" w:color="auto"/>
              <w:tl2br w:val="nil"/>
              <w:tr2bl w:val="nil"/>
            </w:tcBorders>
            <w:shd w:val="clear" w:color="auto" w:fill="FFFFFF"/>
            <w:vAlign w:val="center"/>
          </w:tcPr>
          <w:p w14:paraId="63EDFBC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Std. Error Difference</w:t>
            </w:r>
          </w:p>
        </w:tc>
        <w:tc>
          <w:tcPr>
            <w:tcW w:w="1672" w:type="dxa"/>
            <w:gridSpan w:val="2"/>
            <w:tcBorders>
              <w:top w:val="single" w:sz="4" w:space="0" w:color="auto"/>
              <w:bottom w:val="single" w:sz="4" w:space="0" w:color="auto"/>
              <w:tl2br w:val="nil"/>
              <w:tr2bl w:val="nil"/>
            </w:tcBorders>
            <w:shd w:val="clear" w:color="auto" w:fill="FFFFFF"/>
            <w:vAlign w:val="center"/>
          </w:tcPr>
          <w:p w14:paraId="3BE17C01"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95% Confidence Interval of the Difference</w:t>
            </w:r>
          </w:p>
        </w:tc>
      </w:tr>
      <w:tr w:rsidR="00372A1B" w:rsidRPr="00AC1665" w14:paraId="09B1EA0C" w14:textId="77777777" w:rsidTr="00AC1665">
        <w:trPr>
          <w:cantSplit/>
          <w:trHeight w:val="367"/>
        </w:trPr>
        <w:tc>
          <w:tcPr>
            <w:tcW w:w="2178" w:type="dxa"/>
            <w:vMerge/>
            <w:tcBorders>
              <w:top w:val="single" w:sz="4" w:space="0" w:color="auto"/>
              <w:bottom w:val="single" w:sz="4" w:space="0" w:color="auto"/>
              <w:tl2br w:val="nil"/>
              <w:tr2bl w:val="nil"/>
            </w:tcBorders>
            <w:shd w:val="clear" w:color="auto" w:fill="FFFFFF"/>
          </w:tcPr>
          <w:p w14:paraId="5C10C7D2" w14:textId="77777777" w:rsidR="00372A1B" w:rsidRPr="00AC1665" w:rsidRDefault="00372A1B" w:rsidP="00372A1B">
            <w:pPr>
              <w:rPr>
                <w:rFonts w:ascii="Arial" w:hAnsi="Arial"/>
                <w:sz w:val="18"/>
                <w:szCs w:val="18"/>
              </w:rPr>
            </w:pPr>
          </w:p>
        </w:tc>
        <w:tc>
          <w:tcPr>
            <w:tcW w:w="417" w:type="dxa"/>
            <w:vMerge/>
            <w:tcBorders>
              <w:top w:val="single" w:sz="4" w:space="0" w:color="auto"/>
              <w:bottom w:val="single" w:sz="4" w:space="0" w:color="auto"/>
              <w:tl2br w:val="nil"/>
              <w:tr2bl w:val="nil"/>
            </w:tcBorders>
            <w:shd w:val="clear" w:color="auto" w:fill="FFFFFF"/>
            <w:vAlign w:val="center"/>
          </w:tcPr>
          <w:p w14:paraId="0ACEB69B" w14:textId="77777777" w:rsidR="00372A1B" w:rsidRPr="00AC1665" w:rsidRDefault="00372A1B" w:rsidP="00372A1B">
            <w:pPr>
              <w:rPr>
                <w:rFonts w:ascii="Arial" w:hAnsi="Arial"/>
                <w:sz w:val="18"/>
                <w:szCs w:val="18"/>
              </w:rPr>
            </w:pPr>
          </w:p>
        </w:tc>
        <w:tc>
          <w:tcPr>
            <w:tcW w:w="373" w:type="dxa"/>
            <w:vMerge/>
            <w:tcBorders>
              <w:top w:val="single" w:sz="4" w:space="0" w:color="auto"/>
              <w:bottom w:val="single" w:sz="4" w:space="0" w:color="auto"/>
              <w:tl2br w:val="nil"/>
              <w:tr2bl w:val="nil"/>
            </w:tcBorders>
            <w:shd w:val="clear" w:color="auto" w:fill="FFFFFF"/>
            <w:vAlign w:val="center"/>
          </w:tcPr>
          <w:p w14:paraId="374020B1" w14:textId="77777777" w:rsidR="00372A1B" w:rsidRPr="00AC1665" w:rsidRDefault="00372A1B" w:rsidP="00372A1B">
            <w:pPr>
              <w:rPr>
                <w:rFonts w:ascii="Arial" w:hAnsi="Arial"/>
                <w:sz w:val="18"/>
                <w:szCs w:val="18"/>
              </w:rPr>
            </w:pPr>
          </w:p>
        </w:tc>
        <w:tc>
          <w:tcPr>
            <w:tcW w:w="1006" w:type="dxa"/>
            <w:vMerge/>
            <w:tcBorders>
              <w:top w:val="single" w:sz="4" w:space="0" w:color="auto"/>
              <w:bottom w:val="single" w:sz="4" w:space="0" w:color="auto"/>
              <w:tl2br w:val="nil"/>
              <w:tr2bl w:val="nil"/>
            </w:tcBorders>
            <w:shd w:val="clear" w:color="auto" w:fill="FFFFFF"/>
            <w:vAlign w:val="center"/>
          </w:tcPr>
          <w:p w14:paraId="3232EB9C" w14:textId="77777777" w:rsidR="00372A1B" w:rsidRPr="00AC1665" w:rsidRDefault="00372A1B" w:rsidP="00372A1B">
            <w:pPr>
              <w:rPr>
                <w:rFonts w:ascii="Arial" w:hAnsi="Arial"/>
                <w:sz w:val="18"/>
                <w:szCs w:val="18"/>
              </w:rPr>
            </w:pPr>
          </w:p>
        </w:tc>
        <w:tc>
          <w:tcPr>
            <w:tcW w:w="1081" w:type="dxa"/>
            <w:vMerge/>
            <w:tcBorders>
              <w:top w:val="single" w:sz="4" w:space="0" w:color="auto"/>
              <w:bottom w:val="single" w:sz="4" w:space="0" w:color="auto"/>
              <w:tl2br w:val="nil"/>
              <w:tr2bl w:val="nil"/>
            </w:tcBorders>
            <w:shd w:val="clear" w:color="auto" w:fill="FFFFFF"/>
            <w:vAlign w:val="center"/>
          </w:tcPr>
          <w:p w14:paraId="66859A2F" w14:textId="77777777" w:rsidR="00372A1B" w:rsidRPr="00AC1665" w:rsidRDefault="00372A1B" w:rsidP="00372A1B">
            <w:pPr>
              <w:jc w:val="center"/>
              <w:rPr>
                <w:rFonts w:ascii="Arial" w:hAnsi="Arial"/>
                <w:sz w:val="18"/>
                <w:szCs w:val="18"/>
              </w:rPr>
            </w:pPr>
          </w:p>
        </w:tc>
        <w:tc>
          <w:tcPr>
            <w:tcW w:w="1402" w:type="dxa"/>
            <w:vMerge/>
            <w:tcBorders>
              <w:top w:val="single" w:sz="4" w:space="0" w:color="auto"/>
              <w:bottom w:val="single" w:sz="4" w:space="0" w:color="auto"/>
              <w:tl2br w:val="nil"/>
              <w:tr2bl w:val="nil"/>
            </w:tcBorders>
            <w:shd w:val="clear" w:color="auto" w:fill="FFFFFF"/>
            <w:vAlign w:val="center"/>
          </w:tcPr>
          <w:p w14:paraId="2E78E719" w14:textId="77777777" w:rsidR="00372A1B" w:rsidRPr="00AC1665" w:rsidRDefault="00372A1B" w:rsidP="00372A1B">
            <w:pPr>
              <w:jc w:val="center"/>
              <w:rPr>
                <w:rFonts w:ascii="Arial" w:hAnsi="Arial"/>
                <w:sz w:val="18"/>
                <w:szCs w:val="18"/>
              </w:rPr>
            </w:pPr>
          </w:p>
        </w:tc>
        <w:tc>
          <w:tcPr>
            <w:tcW w:w="725" w:type="dxa"/>
            <w:tcBorders>
              <w:top w:val="single" w:sz="4" w:space="0" w:color="auto"/>
              <w:bottom w:val="single" w:sz="4" w:space="0" w:color="auto"/>
              <w:tl2br w:val="nil"/>
              <w:tr2bl w:val="nil"/>
            </w:tcBorders>
            <w:shd w:val="clear" w:color="auto" w:fill="FFFFFF"/>
            <w:vAlign w:val="center"/>
          </w:tcPr>
          <w:p w14:paraId="6F4684BE"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Lower</w:t>
            </w:r>
          </w:p>
        </w:tc>
        <w:tc>
          <w:tcPr>
            <w:tcW w:w="946" w:type="dxa"/>
            <w:tcBorders>
              <w:top w:val="single" w:sz="4" w:space="0" w:color="auto"/>
              <w:bottom w:val="single" w:sz="4" w:space="0" w:color="auto"/>
              <w:tl2br w:val="nil"/>
              <w:tr2bl w:val="nil"/>
            </w:tcBorders>
            <w:shd w:val="clear" w:color="auto" w:fill="FFFFFF"/>
            <w:vAlign w:val="center"/>
          </w:tcPr>
          <w:p w14:paraId="7F5F64FB" w14:textId="77777777" w:rsidR="00372A1B" w:rsidRPr="00AC1665" w:rsidRDefault="00372A1B" w:rsidP="00372A1B">
            <w:pPr>
              <w:ind w:left="60" w:right="60"/>
              <w:jc w:val="center"/>
              <w:rPr>
                <w:rFonts w:ascii="Arial" w:hAnsi="Arial"/>
                <w:sz w:val="18"/>
                <w:szCs w:val="18"/>
              </w:rPr>
            </w:pPr>
            <w:r w:rsidRPr="00AC1665">
              <w:rPr>
                <w:rFonts w:ascii="Arial" w:hAnsi="Arial"/>
                <w:sz w:val="18"/>
                <w:szCs w:val="18"/>
              </w:rPr>
              <w:t>Upper</w:t>
            </w:r>
          </w:p>
        </w:tc>
      </w:tr>
      <w:tr w:rsidR="00372A1B" w:rsidRPr="00AC1665" w14:paraId="640D9939" w14:textId="77777777" w:rsidTr="00AC1665">
        <w:trPr>
          <w:cantSplit/>
          <w:trHeight w:val="367"/>
        </w:trPr>
        <w:tc>
          <w:tcPr>
            <w:tcW w:w="2178" w:type="dxa"/>
            <w:tcBorders>
              <w:top w:val="single" w:sz="4" w:space="0" w:color="auto"/>
              <w:tl2br w:val="nil"/>
              <w:tr2bl w:val="nil"/>
            </w:tcBorders>
            <w:shd w:val="clear" w:color="auto" w:fill="FFFFFF"/>
            <w:vAlign w:val="center"/>
          </w:tcPr>
          <w:p w14:paraId="096C8164" w14:textId="77777777" w:rsidR="00372A1B" w:rsidRPr="00AC1665" w:rsidRDefault="00372A1B" w:rsidP="00372A1B">
            <w:pPr>
              <w:ind w:right="60"/>
              <w:rPr>
                <w:rFonts w:ascii="Arial" w:hAnsi="Arial"/>
                <w:sz w:val="18"/>
                <w:szCs w:val="18"/>
              </w:rPr>
            </w:pPr>
            <w:r w:rsidRPr="00AC1665">
              <w:rPr>
                <w:rFonts w:ascii="Arial" w:hAnsi="Arial"/>
                <w:sz w:val="18"/>
                <w:szCs w:val="18"/>
              </w:rPr>
              <w:t>Acceptance of VMPEO</w:t>
            </w:r>
          </w:p>
        </w:tc>
        <w:tc>
          <w:tcPr>
            <w:tcW w:w="417" w:type="dxa"/>
            <w:tcBorders>
              <w:top w:val="single" w:sz="4" w:space="0" w:color="auto"/>
              <w:tl2br w:val="nil"/>
              <w:tr2bl w:val="nil"/>
            </w:tcBorders>
            <w:shd w:val="clear" w:color="auto" w:fill="FFFFFF"/>
            <w:vAlign w:val="center"/>
          </w:tcPr>
          <w:p w14:paraId="22AC8131"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-.059</w:t>
            </w:r>
          </w:p>
        </w:tc>
        <w:tc>
          <w:tcPr>
            <w:tcW w:w="373" w:type="dxa"/>
            <w:tcBorders>
              <w:top w:val="single" w:sz="4" w:space="0" w:color="auto"/>
              <w:tl2br w:val="nil"/>
              <w:tr2bl w:val="nil"/>
            </w:tcBorders>
            <w:shd w:val="clear" w:color="auto" w:fill="FFFFFF"/>
            <w:vAlign w:val="center"/>
          </w:tcPr>
          <w:p w14:paraId="4EE5008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297</w:t>
            </w:r>
          </w:p>
        </w:tc>
        <w:tc>
          <w:tcPr>
            <w:tcW w:w="1006" w:type="dxa"/>
            <w:tcBorders>
              <w:top w:val="single" w:sz="4" w:space="0" w:color="auto"/>
              <w:tl2br w:val="nil"/>
              <w:tr2bl w:val="nil"/>
            </w:tcBorders>
            <w:shd w:val="clear" w:color="auto" w:fill="FFFFFF"/>
            <w:vAlign w:val="center"/>
          </w:tcPr>
          <w:p w14:paraId="42531390"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.953</w:t>
            </w:r>
          </w:p>
        </w:tc>
        <w:tc>
          <w:tcPr>
            <w:tcW w:w="1081" w:type="dxa"/>
            <w:tcBorders>
              <w:top w:val="single" w:sz="4" w:space="0" w:color="auto"/>
              <w:tl2br w:val="nil"/>
              <w:tr2bl w:val="nil"/>
            </w:tcBorders>
            <w:shd w:val="clear" w:color="auto" w:fill="FFFFFF"/>
            <w:vAlign w:val="center"/>
          </w:tcPr>
          <w:p w14:paraId="08225C33"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-.00327</w:t>
            </w:r>
          </w:p>
        </w:tc>
        <w:tc>
          <w:tcPr>
            <w:tcW w:w="1402" w:type="dxa"/>
            <w:tcBorders>
              <w:top w:val="single" w:sz="4" w:space="0" w:color="auto"/>
              <w:tl2br w:val="nil"/>
              <w:tr2bl w:val="nil"/>
            </w:tcBorders>
            <w:shd w:val="clear" w:color="auto" w:fill="FFFFFF"/>
            <w:vAlign w:val="center"/>
          </w:tcPr>
          <w:p w14:paraId="2937BEAF"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.05577</w:t>
            </w:r>
          </w:p>
        </w:tc>
        <w:tc>
          <w:tcPr>
            <w:tcW w:w="725" w:type="dxa"/>
            <w:tcBorders>
              <w:top w:val="single" w:sz="4" w:space="0" w:color="auto"/>
              <w:tl2br w:val="nil"/>
              <w:tr2bl w:val="nil"/>
            </w:tcBorders>
            <w:shd w:val="clear" w:color="auto" w:fill="FFFFFF"/>
            <w:vAlign w:val="center"/>
          </w:tcPr>
          <w:p w14:paraId="5A9B1537"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-.11302</w:t>
            </w:r>
          </w:p>
        </w:tc>
        <w:tc>
          <w:tcPr>
            <w:tcW w:w="946" w:type="dxa"/>
            <w:tcBorders>
              <w:top w:val="single" w:sz="4" w:space="0" w:color="auto"/>
              <w:tl2br w:val="nil"/>
              <w:tr2bl w:val="nil"/>
            </w:tcBorders>
            <w:shd w:val="clear" w:color="auto" w:fill="FFFFFF"/>
            <w:vAlign w:val="center"/>
          </w:tcPr>
          <w:p w14:paraId="0A89D06D" w14:textId="77777777" w:rsidR="00372A1B" w:rsidRPr="00AC1665" w:rsidRDefault="00372A1B" w:rsidP="00372A1B">
            <w:pPr>
              <w:ind w:left="60" w:right="60"/>
              <w:jc w:val="right"/>
              <w:rPr>
                <w:rFonts w:ascii="Arial" w:hAnsi="Arial"/>
                <w:sz w:val="18"/>
                <w:szCs w:val="18"/>
              </w:rPr>
            </w:pPr>
            <w:r w:rsidRPr="00AC1665">
              <w:rPr>
                <w:rFonts w:ascii="Arial" w:hAnsi="Arial"/>
                <w:sz w:val="18"/>
                <w:szCs w:val="18"/>
              </w:rPr>
              <w:t>.10649</w:t>
            </w:r>
          </w:p>
        </w:tc>
      </w:tr>
    </w:tbl>
    <w:p w14:paraId="78BBFF50" w14:textId="77777777" w:rsidR="00372A1B" w:rsidRPr="00372A1B" w:rsidRDefault="00372A1B" w:rsidP="00372A1B">
      <w:pPr>
        <w:jc w:val="both"/>
        <w:rPr>
          <w:rFonts w:ascii="Arial" w:hAnsi="Arial" w:cs="Arial"/>
        </w:rPr>
      </w:pPr>
    </w:p>
    <w:p w14:paraId="5F3E9792" w14:textId="77777777" w:rsidR="00372A1B" w:rsidRDefault="00372A1B" w:rsidP="00372A1B">
      <w:pPr>
        <w:jc w:val="both"/>
        <w:rPr>
          <w:rFonts w:ascii="Arial" w:hAnsi="Arial" w:cs="Arial"/>
          <w:bCs/>
          <w:lang w:val="en-PH"/>
        </w:rPr>
      </w:pPr>
      <w:r w:rsidRPr="00372A1B">
        <w:rPr>
          <w:rFonts w:ascii="Arial" w:hAnsi="Arial" w:cs="Arial"/>
        </w:rPr>
        <w:tab/>
      </w:r>
      <w:r w:rsidRPr="00372A1B">
        <w:rPr>
          <w:rFonts w:ascii="Arial" w:hAnsi="Arial" w:cs="Arial"/>
          <w:bCs/>
          <w:lang w:val="en-PH"/>
        </w:rPr>
        <w:t xml:space="preserve">This finding implies that gender does not influence how stakeholders accept or relate to the university’s VMPEO. Both male and female respondents appear to share similar levels of support and alignment with </w:t>
      </w:r>
      <w:proofErr w:type="spellStart"/>
      <w:r w:rsidRPr="00372A1B">
        <w:rPr>
          <w:rFonts w:ascii="Arial" w:hAnsi="Arial" w:cs="Arial"/>
          <w:bCs/>
          <w:lang w:val="en-PH"/>
        </w:rPr>
        <w:t>DOrSU’s</w:t>
      </w:r>
      <w:proofErr w:type="spellEnd"/>
      <w:r w:rsidRPr="00372A1B">
        <w:rPr>
          <w:rFonts w:ascii="Arial" w:hAnsi="Arial" w:cs="Arial"/>
          <w:bCs/>
          <w:lang w:val="en-PH"/>
        </w:rPr>
        <w:t xml:space="preserve"> institutional goals. This is consistent with Freeman's Stakeholder Theory (1984), which emphasizes that stakeholder alignment is more closely linked to involvement and institutional roles than to demographic characteristics such as gender. The result also aligns with the conclusions of Caldwell et al. (2017) and Gupta et al. (2020), who suggest that equitable and inclusive communication strategies facilitate consistent stakeholder engagement, regardless of gender.</w:t>
      </w:r>
    </w:p>
    <w:p w14:paraId="35340938" w14:textId="77777777" w:rsidR="00B76074" w:rsidRPr="00372A1B" w:rsidRDefault="00B76074" w:rsidP="00372A1B">
      <w:pPr>
        <w:jc w:val="both"/>
        <w:rPr>
          <w:rFonts w:ascii="Arial" w:hAnsi="Arial" w:cs="Arial"/>
          <w:bCs/>
          <w:lang w:val="en-PH"/>
        </w:rPr>
      </w:pPr>
    </w:p>
    <w:p w14:paraId="7F49B173" w14:textId="5168BF75" w:rsidR="00372A1B" w:rsidRDefault="00372A1B" w:rsidP="00372A1B">
      <w:pPr>
        <w:ind w:firstLine="720"/>
        <w:jc w:val="both"/>
        <w:rPr>
          <w:rFonts w:ascii="Arial" w:hAnsi="Arial" w:cs="Arial"/>
          <w:bCs/>
          <w:lang w:val="en-PH"/>
        </w:rPr>
      </w:pPr>
      <w:r w:rsidRPr="00372A1B">
        <w:rPr>
          <w:rFonts w:ascii="Arial" w:hAnsi="Arial" w:cs="Arial"/>
        </w:rPr>
        <w:t>Table 2</w:t>
      </w:r>
      <w:r w:rsidR="00B76074">
        <w:rPr>
          <w:rFonts w:ascii="Arial" w:hAnsi="Arial" w:cs="Arial"/>
        </w:rPr>
        <w:t>3</w:t>
      </w:r>
      <w:r w:rsidRPr="00372A1B">
        <w:rPr>
          <w:rFonts w:ascii="Arial" w:hAnsi="Arial" w:cs="Arial"/>
        </w:rPr>
        <w:t xml:space="preserve"> presents a test for differences in the level of acceptance of </w:t>
      </w:r>
      <w:proofErr w:type="spellStart"/>
      <w:r w:rsidRPr="00372A1B">
        <w:rPr>
          <w:rFonts w:ascii="Arial" w:hAnsi="Arial" w:cs="Arial"/>
        </w:rPr>
        <w:t>DOrSU’s</w:t>
      </w:r>
      <w:proofErr w:type="spellEnd"/>
      <w:r w:rsidRPr="00372A1B">
        <w:rPr>
          <w:rFonts w:ascii="Arial" w:hAnsi="Arial" w:cs="Arial"/>
        </w:rPr>
        <w:t xml:space="preserve"> VMPEO based on educational attainment. </w:t>
      </w:r>
      <w:r w:rsidRPr="00372A1B">
        <w:rPr>
          <w:rFonts w:ascii="Arial" w:hAnsi="Arial" w:cs="Arial"/>
          <w:bCs/>
          <w:lang w:val="en-PH"/>
        </w:rPr>
        <w:t xml:space="preserve">The results of the analysis of variance (ANOVA) conducted to determine whether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significantly differs among stakeholders with varying educational attainment are presented. The results indicate a statistically significant difference (F = 5.861, p = .000), which is less than the 0.05 level of significance, suggesting that acceptance levels vary depending on educational background.</w:t>
      </w:r>
    </w:p>
    <w:p w14:paraId="191C72D2" w14:textId="77777777" w:rsidR="00B76074" w:rsidRPr="00372A1B" w:rsidRDefault="00B76074" w:rsidP="00372A1B">
      <w:pPr>
        <w:ind w:firstLine="720"/>
        <w:jc w:val="both"/>
        <w:rPr>
          <w:rFonts w:ascii="Arial" w:hAnsi="Arial" w:cs="Arial"/>
          <w:bCs/>
          <w:lang w:val="en-PH"/>
        </w:rPr>
      </w:pPr>
    </w:p>
    <w:p w14:paraId="49297AD1" w14:textId="5C579FE6" w:rsidR="00372A1B" w:rsidRPr="00372A1B" w:rsidRDefault="00372A1B" w:rsidP="00372A1B">
      <w:pPr>
        <w:jc w:val="both"/>
        <w:rPr>
          <w:rFonts w:ascii="Arial" w:hAnsi="Arial" w:cs="Arial"/>
        </w:rPr>
      </w:pPr>
      <w:r w:rsidRPr="00372A1B">
        <w:rPr>
          <w:rFonts w:ascii="Arial" w:hAnsi="Arial" w:cs="Arial"/>
        </w:rPr>
        <w:t>Table 2</w:t>
      </w:r>
      <w:r w:rsidR="00B76074">
        <w:rPr>
          <w:rFonts w:ascii="Arial" w:hAnsi="Arial" w:cs="Arial"/>
        </w:rPr>
        <w:t>3</w:t>
      </w:r>
      <w:r w:rsidRPr="00372A1B">
        <w:rPr>
          <w:rFonts w:ascii="Arial" w:hAnsi="Arial" w:cs="Arial"/>
        </w:rPr>
        <w:t xml:space="preserve">:  Test for difference in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educational attainment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1"/>
        <w:gridCol w:w="1663"/>
        <w:gridCol w:w="549"/>
        <w:gridCol w:w="112"/>
        <w:gridCol w:w="1626"/>
        <w:gridCol w:w="1019"/>
        <w:gridCol w:w="1379"/>
      </w:tblGrid>
      <w:tr w:rsidR="00372A1B" w:rsidRPr="00B76074" w14:paraId="67B4B4D6" w14:textId="77777777" w:rsidTr="00B76074">
        <w:trPr>
          <w:trHeight w:val="246"/>
        </w:trPr>
        <w:tc>
          <w:tcPr>
            <w:tcW w:w="1921" w:type="dxa"/>
            <w:tcBorders>
              <w:top w:val="single" w:sz="4" w:space="0" w:color="auto"/>
              <w:bottom w:val="single" w:sz="4" w:space="0" w:color="auto"/>
            </w:tcBorders>
          </w:tcPr>
          <w:p w14:paraId="57598F72" w14:textId="77777777" w:rsidR="00372A1B" w:rsidRPr="00B76074" w:rsidRDefault="00372A1B" w:rsidP="00372A1B">
            <w:pPr>
              <w:rPr>
                <w:rFonts w:ascii="Arial" w:hAnsi="Arial" w:cs="Arial"/>
                <w:sz w:val="18"/>
                <w:szCs w:val="18"/>
              </w:rPr>
            </w:pPr>
          </w:p>
        </w:tc>
        <w:tc>
          <w:tcPr>
            <w:tcW w:w="1663" w:type="dxa"/>
            <w:tcBorders>
              <w:top w:val="single" w:sz="4" w:space="0" w:color="auto"/>
              <w:bottom w:val="single" w:sz="4" w:space="0" w:color="auto"/>
            </w:tcBorders>
          </w:tcPr>
          <w:p w14:paraId="21E0FB5B"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Sum of Squares</w:t>
            </w:r>
          </w:p>
        </w:tc>
        <w:tc>
          <w:tcPr>
            <w:tcW w:w="549" w:type="dxa"/>
            <w:tcBorders>
              <w:top w:val="single" w:sz="4" w:space="0" w:color="auto"/>
              <w:bottom w:val="single" w:sz="4" w:space="0" w:color="auto"/>
            </w:tcBorders>
          </w:tcPr>
          <w:p w14:paraId="4F179DF6"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Df</w:t>
            </w:r>
          </w:p>
        </w:tc>
        <w:tc>
          <w:tcPr>
            <w:tcW w:w="1738" w:type="dxa"/>
            <w:gridSpan w:val="2"/>
            <w:tcBorders>
              <w:top w:val="single" w:sz="4" w:space="0" w:color="auto"/>
              <w:bottom w:val="single" w:sz="4" w:space="0" w:color="auto"/>
            </w:tcBorders>
          </w:tcPr>
          <w:p w14:paraId="5813C048"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Mean Square</w:t>
            </w:r>
          </w:p>
        </w:tc>
        <w:tc>
          <w:tcPr>
            <w:tcW w:w="1019" w:type="dxa"/>
            <w:tcBorders>
              <w:top w:val="single" w:sz="4" w:space="0" w:color="auto"/>
              <w:bottom w:val="single" w:sz="4" w:space="0" w:color="auto"/>
            </w:tcBorders>
          </w:tcPr>
          <w:p w14:paraId="08C462CD"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F</w:t>
            </w:r>
          </w:p>
        </w:tc>
        <w:tc>
          <w:tcPr>
            <w:tcW w:w="1379" w:type="dxa"/>
            <w:tcBorders>
              <w:top w:val="single" w:sz="4" w:space="0" w:color="auto"/>
              <w:bottom w:val="single" w:sz="4" w:space="0" w:color="auto"/>
            </w:tcBorders>
          </w:tcPr>
          <w:p w14:paraId="710F0160" w14:textId="77777777" w:rsidR="00372A1B" w:rsidRPr="00B76074" w:rsidRDefault="00372A1B" w:rsidP="00372A1B">
            <w:pPr>
              <w:jc w:val="center"/>
              <w:rPr>
                <w:rFonts w:ascii="Arial" w:hAnsi="Arial" w:cs="Arial"/>
                <w:sz w:val="18"/>
                <w:szCs w:val="18"/>
              </w:rPr>
            </w:pPr>
            <w:r w:rsidRPr="00B76074">
              <w:rPr>
                <w:rFonts w:ascii="Arial" w:hAnsi="Arial" w:cs="Arial"/>
                <w:sz w:val="18"/>
                <w:szCs w:val="18"/>
              </w:rPr>
              <w:t>Sig.</w:t>
            </w:r>
          </w:p>
        </w:tc>
      </w:tr>
      <w:tr w:rsidR="00372A1B" w:rsidRPr="00B76074" w14:paraId="60EF88BC" w14:textId="77777777" w:rsidTr="00B76074">
        <w:trPr>
          <w:trHeight w:val="246"/>
        </w:trPr>
        <w:tc>
          <w:tcPr>
            <w:tcW w:w="1921" w:type="dxa"/>
            <w:tcBorders>
              <w:top w:val="single" w:sz="4" w:space="0" w:color="auto"/>
              <w:bottom w:val="single" w:sz="4" w:space="0" w:color="auto"/>
            </w:tcBorders>
          </w:tcPr>
          <w:p w14:paraId="1A8A646A" w14:textId="77777777" w:rsidR="00372A1B" w:rsidRPr="00B76074" w:rsidRDefault="00372A1B" w:rsidP="00372A1B">
            <w:pPr>
              <w:rPr>
                <w:rFonts w:ascii="Arial" w:hAnsi="Arial" w:cs="Arial"/>
                <w:sz w:val="18"/>
                <w:szCs w:val="18"/>
              </w:rPr>
            </w:pPr>
            <w:r w:rsidRPr="00B76074">
              <w:rPr>
                <w:rFonts w:ascii="Arial" w:hAnsi="Arial" w:cs="Arial"/>
                <w:sz w:val="18"/>
                <w:szCs w:val="18"/>
              </w:rPr>
              <w:t>Between Groups</w:t>
            </w:r>
          </w:p>
        </w:tc>
        <w:tc>
          <w:tcPr>
            <w:tcW w:w="1663" w:type="dxa"/>
            <w:tcBorders>
              <w:top w:val="single" w:sz="4" w:space="0" w:color="auto"/>
              <w:bottom w:val="single" w:sz="4" w:space="0" w:color="auto"/>
            </w:tcBorders>
            <w:shd w:val="clear" w:color="auto" w:fill="FFFFFF"/>
            <w:vAlign w:val="center"/>
          </w:tcPr>
          <w:p w14:paraId="4A3AF4D9"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5.677</w:t>
            </w:r>
          </w:p>
        </w:tc>
        <w:tc>
          <w:tcPr>
            <w:tcW w:w="661" w:type="dxa"/>
            <w:gridSpan w:val="2"/>
            <w:tcBorders>
              <w:top w:val="single" w:sz="4" w:space="0" w:color="auto"/>
              <w:bottom w:val="single" w:sz="4" w:space="0" w:color="auto"/>
            </w:tcBorders>
            <w:shd w:val="clear" w:color="auto" w:fill="FFFFFF"/>
            <w:vAlign w:val="center"/>
          </w:tcPr>
          <w:p w14:paraId="52D00777"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6</w:t>
            </w:r>
          </w:p>
        </w:tc>
        <w:tc>
          <w:tcPr>
            <w:tcW w:w="1625" w:type="dxa"/>
            <w:tcBorders>
              <w:top w:val="single" w:sz="4" w:space="0" w:color="auto"/>
              <w:bottom w:val="single" w:sz="4" w:space="0" w:color="auto"/>
            </w:tcBorders>
            <w:shd w:val="clear" w:color="auto" w:fill="FFFFFF"/>
            <w:vAlign w:val="center"/>
          </w:tcPr>
          <w:p w14:paraId="11BB49E2"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0.946</w:t>
            </w:r>
          </w:p>
        </w:tc>
        <w:tc>
          <w:tcPr>
            <w:tcW w:w="1019" w:type="dxa"/>
            <w:tcBorders>
              <w:top w:val="single" w:sz="4" w:space="0" w:color="auto"/>
              <w:bottom w:val="single" w:sz="4" w:space="0" w:color="auto"/>
            </w:tcBorders>
            <w:shd w:val="clear" w:color="auto" w:fill="FFFFFF"/>
            <w:vAlign w:val="center"/>
          </w:tcPr>
          <w:p w14:paraId="590E1AEC"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5.861</w:t>
            </w:r>
          </w:p>
        </w:tc>
        <w:tc>
          <w:tcPr>
            <w:tcW w:w="1379" w:type="dxa"/>
            <w:tcBorders>
              <w:top w:val="single" w:sz="4" w:space="0" w:color="auto"/>
              <w:bottom w:val="single" w:sz="4" w:space="0" w:color="auto"/>
            </w:tcBorders>
            <w:shd w:val="clear" w:color="auto" w:fill="FFFFFF"/>
            <w:vAlign w:val="center"/>
          </w:tcPr>
          <w:p w14:paraId="0D2BB5F1"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.000</w:t>
            </w:r>
          </w:p>
        </w:tc>
      </w:tr>
      <w:tr w:rsidR="00372A1B" w:rsidRPr="00B76074" w14:paraId="70D5F868" w14:textId="77777777" w:rsidTr="00B76074">
        <w:trPr>
          <w:trHeight w:val="246"/>
        </w:trPr>
        <w:tc>
          <w:tcPr>
            <w:tcW w:w="1921" w:type="dxa"/>
            <w:tcBorders>
              <w:top w:val="single" w:sz="4" w:space="0" w:color="auto"/>
              <w:bottom w:val="single" w:sz="4" w:space="0" w:color="auto"/>
            </w:tcBorders>
          </w:tcPr>
          <w:p w14:paraId="605D7840" w14:textId="77777777" w:rsidR="00372A1B" w:rsidRPr="00B76074" w:rsidRDefault="00372A1B" w:rsidP="00372A1B">
            <w:pPr>
              <w:rPr>
                <w:rFonts w:ascii="Arial" w:hAnsi="Arial" w:cs="Arial"/>
                <w:sz w:val="18"/>
                <w:szCs w:val="18"/>
              </w:rPr>
            </w:pPr>
            <w:r w:rsidRPr="00B76074">
              <w:rPr>
                <w:rFonts w:ascii="Arial" w:hAnsi="Arial" w:cs="Arial"/>
                <w:sz w:val="18"/>
                <w:szCs w:val="18"/>
              </w:rPr>
              <w:t>Within Groups</w:t>
            </w:r>
          </w:p>
        </w:tc>
        <w:tc>
          <w:tcPr>
            <w:tcW w:w="1663" w:type="dxa"/>
            <w:tcBorders>
              <w:top w:val="single" w:sz="4" w:space="0" w:color="auto"/>
              <w:bottom w:val="single" w:sz="4" w:space="0" w:color="auto"/>
            </w:tcBorders>
            <w:shd w:val="clear" w:color="auto" w:fill="FFFFFF"/>
            <w:vAlign w:val="center"/>
          </w:tcPr>
          <w:p w14:paraId="7CDB14ED"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47.135</w:t>
            </w:r>
          </w:p>
        </w:tc>
        <w:tc>
          <w:tcPr>
            <w:tcW w:w="661" w:type="dxa"/>
            <w:gridSpan w:val="2"/>
            <w:tcBorders>
              <w:top w:val="single" w:sz="4" w:space="0" w:color="auto"/>
              <w:bottom w:val="single" w:sz="4" w:space="0" w:color="auto"/>
            </w:tcBorders>
            <w:shd w:val="clear" w:color="auto" w:fill="FFFFFF"/>
            <w:vAlign w:val="center"/>
          </w:tcPr>
          <w:p w14:paraId="7BBEB497"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292</w:t>
            </w:r>
          </w:p>
        </w:tc>
        <w:tc>
          <w:tcPr>
            <w:tcW w:w="1625" w:type="dxa"/>
            <w:tcBorders>
              <w:top w:val="single" w:sz="4" w:space="0" w:color="auto"/>
              <w:bottom w:val="single" w:sz="4" w:space="0" w:color="auto"/>
            </w:tcBorders>
            <w:shd w:val="clear" w:color="auto" w:fill="FFFFFF"/>
            <w:vAlign w:val="center"/>
          </w:tcPr>
          <w:p w14:paraId="5E2305A8"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0.161</w:t>
            </w:r>
          </w:p>
        </w:tc>
        <w:tc>
          <w:tcPr>
            <w:tcW w:w="1019" w:type="dxa"/>
            <w:tcBorders>
              <w:top w:val="single" w:sz="4" w:space="0" w:color="auto"/>
              <w:bottom w:val="single" w:sz="4" w:space="0" w:color="auto"/>
            </w:tcBorders>
            <w:shd w:val="clear" w:color="auto" w:fill="FFFFFF"/>
            <w:vAlign w:val="center"/>
          </w:tcPr>
          <w:p w14:paraId="009CE12A" w14:textId="77777777" w:rsidR="00372A1B" w:rsidRPr="00B76074"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1D76C7A6" w14:textId="77777777" w:rsidR="00372A1B" w:rsidRPr="00B76074" w:rsidRDefault="00372A1B" w:rsidP="00372A1B">
            <w:pPr>
              <w:jc w:val="center"/>
              <w:rPr>
                <w:sz w:val="18"/>
                <w:szCs w:val="18"/>
              </w:rPr>
            </w:pPr>
          </w:p>
        </w:tc>
      </w:tr>
      <w:tr w:rsidR="00372A1B" w:rsidRPr="00B76074" w14:paraId="3F5088AD" w14:textId="77777777" w:rsidTr="00B76074">
        <w:trPr>
          <w:trHeight w:val="265"/>
        </w:trPr>
        <w:tc>
          <w:tcPr>
            <w:tcW w:w="1921" w:type="dxa"/>
            <w:tcBorders>
              <w:top w:val="single" w:sz="4" w:space="0" w:color="auto"/>
              <w:bottom w:val="single" w:sz="4" w:space="0" w:color="auto"/>
            </w:tcBorders>
          </w:tcPr>
          <w:p w14:paraId="5BA78F99" w14:textId="77777777" w:rsidR="00372A1B" w:rsidRPr="00B76074" w:rsidRDefault="00372A1B" w:rsidP="00372A1B">
            <w:pPr>
              <w:rPr>
                <w:rFonts w:ascii="Arial" w:hAnsi="Arial" w:cs="Arial"/>
                <w:sz w:val="18"/>
                <w:szCs w:val="18"/>
              </w:rPr>
            </w:pPr>
            <w:r w:rsidRPr="00B76074">
              <w:rPr>
                <w:rFonts w:ascii="Arial" w:hAnsi="Arial" w:cs="Arial"/>
                <w:sz w:val="18"/>
                <w:szCs w:val="18"/>
              </w:rPr>
              <w:t>Total</w:t>
            </w:r>
          </w:p>
        </w:tc>
        <w:tc>
          <w:tcPr>
            <w:tcW w:w="1663" w:type="dxa"/>
            <w:tcBorders>
              <w:top w:val="single" w:sz="4" w:space="0" w:color="auto"/>
              <w:bottom w:val="single" w:sz="4" w:space="0" w:color="auto"/>
            </w:tcBorders>
            <w:shd w:val="clear" w:color="auto" w:fill="FFFFFF"/>
            <w:vAlign w:val="center"/>
          </w:tcPr>
          <w:p w14:paraId="463CD2B3"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52.812</w:t>
            </w:r>
          </w:p>
        </w:tc>
        <w:tc>
          <w:tcPr>
            <w:tcW w:w="661" w:type="dxa"/>
            <w:gridSpan w:val="2"/>
            <w:tcBorders>
              <w:top w:val="single" w:sz="4" w:space="0" w:color="auto"/>
              <w:bottom w:val="single" w:sz="4" w:space="0" w:color="auto"/>
            </w:tcBorders>
            <w:shd w:val="clear" w:color="auto" w:fill="FFFFFF"/>
            <w:vAlign w:val="center"/>
          </w:tcPr>
          <w:p w14:paraId="266BE902" w14:textId="77777777" w:rsidR="00372A1B" w:rsidRPr="00B76074" w:rsidRDefault="00372A1B" w:rsidP="00372A1B">
            <w:pPr>
              <w:ind w:left="60" w:right="60"/>
              <w:jc w:val="center"/>
              <w:rPr>
                <w:rFonts w:ascii="Arial" w:hAnsi="Arial"/>
                <w:sz w:val="18"/>
                <w:szCs w:val="18"/>
              </w:rPr>
            </w:pPr>
            <w:r w:rsidRPr="00B76074">
              <w:rPr>
                <w:rFonts w:ascii="Arial" w:hAnsi="Arial"/>
                <w:color w:val="000000"/>
                <w:sz w:val="18"/>
                <w:szCs w:val="18"/>
              </w:rPr>
              <w:t>298</w:t>
            </w:r>
          </w:p>
        </w:tc>
        <w:tc>
          <w:tcPr>
            <w:tcW w:w="1625" w:type="dxa"/>
            <w:tcBorders>
              <w:top w:val="single" w:sz="4" w:space="0" w:color="auto"/>
              <w:bottom w:val="single" w:sz="4" w:space="0" w:color="auto"/>
            </w:tcBorders>
            <w:shd w:val="clear" w:color="auto" w:fill="FFFFFF"/>
            <w:vAlign w:val="center"/>
          </w:tcPr>
          <w:p w14:paraId="14D6AC40" w14:textId="77777777" w:rsidR="00372A1B" w:rsidRPr="00B76074" w:rsidRDefault="00372A1B" w:rsidP="00372A1B">
            <w:pPr>
              <w:jc w:val="center"/>
              <w:rPr>
                <w:sz w:val="18"/>
                <w:szCs w:val="18"/>
              </w:rPr>
            </w:pPr>
          </w:p>
        </w:tc>
        <w:tc>
          <w:tcPr>
            <w:tcW w:w="1019" w:type="dxa"/>
            <w:tcBorders>
              <w:top w:val="single" w:sz="4" w:space="0" w:color="auto"/>
              <w:bottom w:val="single" w:sz="4" w:space="0" w:color="auto"/>
            </w:tcBorders>
            <w:shd w:val="clear" w:color="auto" w:fill="FFFFFF"/>
            <w:vAlign w:val="center"/>
          </w:tcPr>
          <w:p w14:paraId="0A9AC169" w14:textId="77777777" w:rsidR="00372A1B" w:rsidRPr="00B76074" w:rsidRDefault="00372A1B" w:rsidP="00372A1B">
            <w:pPr>
              <w:jc w:val="center"/>
              <w:rPr>
                <w:sz w:val="18"/>
                <w:szCs w:val="18"/>
              </w:rPr>
            </w:pPr>
          </w:p>
        </w:tc>
        <w:tc>
          <w:tcPr>
            <w:tcW w:w="1379" w:type="dxa"/>
            <w:tcBorders>
              <w:top w:val="single" w:sz="4" w:space="0" w:color="auto"/>
              <w:bottom w:val="single" w:sz="4" w:space="0" w:color="auto"/>
            </w:tcBorders>
            <w:shd w:val="clear" w:color="auto" w:fill="FFFFFF"/>
            <w:vAlign w:val="center"/>
          </w:tcPr>
          <w:p w14:paraId="6DFA886C" w14:textId="77777777" w:rsidR="00372A1B" w:rsidRPr="00B76074" w:rsidRDefault="00372A1B" w:rsidP="00372A1B">
            <w:pPr>
              <w:jc w:val="center"/>
              <w:rPr>
                <w:sz w:val="18"/>
                <w:szCs w:val="18"/>
              </w:rPr>
            </w:pPr>
          </w:p>
        </w:tc>
      </w:tr>
    </w:tbl>
    <w:p w14:paraId="0F982EFD" w14:textId="77777777" w:rsidR="00372A1B" w:rsidRPr="00372A1B" w:rsidRDefault="00372A1B" w:rsidP="00372A1B">
      <w:pPr>
        <w:jc w:val="both"/>
        <w:rPr>
          <w:rFonts w:ascii="Arial" w:hAnsi="Arial" w:cs="Arial"/>
        </w:rPr>
      </w:pPr>
    </w:p>
    <w:p w14:paraId="5C4F6717" w14:textId="77777777" w:rsidR="00372A1B" w:rsidRDefault="00372A1B" w:rsidP="00372A1B">
      <w:pPr>
        <w:jc w:val="both"/>
        <w:rPr>
          <w:rFonts w:ascii="Arial" w:hAnsi="Arial" w:cs="Arial"/>
          <w:bCs/>
          <w:lang w:val="en-PH"/>
        </w:rPr>
      </w:pPr>
      <w:r w:rsidRPr="00372A1B">
        <w:rPr>
          <w:rFonts w:ascii="Arial" w:hAnsi="Arial" w:cs="Arial"/>
        </w:rPr>
        <w:tab/>
      </w:r>
      <w:r w:rsidRPr="00372A1B">
        <w:rPr>
          <w:rFonts w:ascii="Arial" w:hAnsi="Arial" w:cs="Arial"/>
          <w:bCs/>
          <w:lang w:val="en-PH"/>
        </w:rPr>
        <w:t>This finding implies that stakeholders’ acceptance of the university’s institutional goals may be shaped by their level of educational experience and exposure to academic or strategic initiatives. According to Freeman’s Stakeholder Theory (1984), stakeholder perceptions are influenced by their understanding and relationship with the institution, which can be affected by educational attainment. This is supported by Yáñez et al. (2018) and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 that higher levels of education can enhance individuals’ capacity to engage with and internalize institutional values and goals.</w:t>
      </w:r>
    </w:p>
    <w:p w14:paraId="24237D57" w14:textId="77777777" w:rsidR="00B76074" w:rsidRPr="00372A1B" w:rsidRDefault="00B76074" w:rsidP="00372A1B">
      <w:pPr>
        <w:jc w:val="both"/>
        <w:rPr>
          <w:rFonts w:ascii="Arial" w:hAnsi="Arial" w:cs="Arial"/>
          <w:bCs/>
          <w:lang w:val="en-PH"/>
        </w:rPr>
      </w:pPr>
    </w:p>
    <w:p w14:paraId="6D32CC9F" w14:textId="7C746AF4" w:rsidR="00372A1B" w:rsidRDefault="00372A1B" w:rsidP="00372A1B">
      <w:pPr>
        <w:ind w:firstLine="720"/>
        <w:jc w:val="both"/>
        <w:rPr>
          <w:rFonts w:ascii="Arial" w:hAnsi="Arial" w:cs="Arial"/>
          <w:bCs/>
          <w:lang w:val="en-PH"/>
        </w:rPr>
      </w:pPr>
      <w:r w:rsidRPr="00372A1B">
        <w:rPr>
          <w:rFonts w:ascii="Arial" w:hAnsi="Arial" w:cs="Arial"/>
        </w:rPr>
        <w:t>Table 2</w:t>
      </w:r>
      <w:r w:rsidR="00B76074">
        <w:rPr>
          <w:rFonts w:ascii="Arial" w:hAnsi="Arial" w:cs="Arial"/>
        </w:rPr>
        <w:t>4</w:t>
      </w:r>
      <w:r w:rsidRPr="00372A1B">
        <w:rPr>
          <w:rFonts w:ascii="Arial" w:hAnsi="Arial" w:cs="Arial"/>
        </w:rPr>
        <w:t xml:space="preserve"> presents a detailed comparison indicating the educational attainment. It </w:t>
      </w:r>
      <w:r w:rsidRPr="00372A1B">
        <w:rPr>
          <w:rFonts w:ascii="Arial" w:hAnsi="Arial" w:cs="Arial"/>
          <w:bCs/>
          <w:lang w:val="en-PH"/>
        </w:rPr>
        <w:t xml:space="preserve">shows the post hoc analysis of the differences in the level of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(PEO) among stakeholders with varying educational attainment. Significant differences were observed between high school graduates and college-level stakeholders (p = 0.000), high school graduates and college graduates (p = 0.003), and high school graduates and graduate-level stakeholders (p = 0.000). In these comparisons, those with higher educational attainment showed greater acceptance of the VMPEO. No significant differences were found between high school graduates and those with elementary or high school-level education, suggesting similar acceptance levels within these lower educational groups.</w:t>
      </w:r>
    </w:p>
    <w:p w14:paraId="786DFC59" w14:textId="77777777" w:rsidR="00B76074" w:rsidRPr="00372A1B" w:rsidRDefault="00B76074" w:rsidP="00372A1B">
      <w:pPr>
        <w:ind w:firstLine="720"/>
        <w:jc w:val="both"/>
        <w:rPr>
          <w:rFonts w:ascii="Arial" w:hAnsi="Arial" w:cs="Arial"/>
          <w:bCs/>
          <w:lang w:val="en-PH"/>
        </w:rPr>
      </w:pPr>
    </w:p>
    <w:p w14:paraId="50E0E5D9" w14:textId="778731AE" w:rsidR="00372A1B" w:rsidRPr="00372A1B" w:rsidRDefault="00372A1B" w:rsidP="00372A1B">
      <w:pPr>
        <w:jc w:val="both"/>
        <w:rPr>
          <w:rFonts w:ascii="Arial" w:hAnsi="Arial" w:cs="Arial"/>
        </w:rPr>
      </w:pPr>
      <w:r w:rsidRPr="00372A1B">
        <w:rPr>
          <w:rFonts w:ascii="Arial" w:hAnsi="Arial" w:cs="Arial"/>
        </w:rPr>
        <w:t>Table 2</w:t>
      </w:r>
      <w:r w:rsidR="00B76074">
        <w:rPr>
          <w:rFonts w:ascii="Arial" w:hAnsi="Arial" w:cs="Arial"/>
        </w:rPr>
        <w:t>4</w:t>
      </w:r>
      <w:r w:rsidRPr="00372A1B">
        <w:rPr>
          <w:rFonts w:ascii="Arial" w:hAnsi="Arial" w:cs="Arial"/>
        </w:rPr>
        <w:t>: Detailed comparison of educational attainment where significant difference in the level of acceptance is found</w:t>
      </w:r>
    </w:p>
    <w:tbl>
      <w:tblPr>
        <w:tblW w:w="813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080"/>
        <w:gridCol w:w="1362"/>
        <w:gridCol w:w="978"/>
        <w:gridCol w:w="709"/>
        <w:gridCol w:w="618"/>
        <w:gridCol w:w="1012"/>
        <w:gridCol w:w="924"/>
        <w:gridCol w:w="1455"/>
      </w:tblGrid>
      <w:tr w:rsidR="00372A1B" w:rsidRPr="00B76074" w14:paraId="12DBE823" w14:textId="77777777" w:rsidTr="00397B95">
        <w:trPr>
          <w:cantSplit/>
          <w:trHeight w:val="275"/>
        </w:trPr>
        <w:tc>
          <w:tcPr>
            <w:tcW w:w="1080" w:type="dxa"/>
            <w:vMerge w:val="restart"/>
            <w:tcBorders>
              <w:tl2br w:val="nil"/>
              <w:tr2bl w:val="nil"/>
            </w:tcBorders>
            <w:shd w:val="clear" w:color="auto" w:fill="FFFFFF"/>
          </w:tcPr>
          <w:p w14:paraId="5EDE99DC" w14:textId="77777777" w:rsidR="00372A1B" w:rsidRPr="00B76074" w:rsidRDefault="00372A1B" w:rsidP="00372A1B">
            <w:pPr>
              <w:ind w:left="60" w:right="60"/>
              <w:rPr>
                <w:rFonts w:ascii="Arial" w:hAnsi="Arial"/>
                <w:sz w:val="18"/>
                <w:szCs w:val="18"/>
              </w:rPr>
            </w:pPr>
            <w:r w:rsidRPr="00B76074">
              <w:rPr>
                <w:rFonts w:ascii="Arial" w:hAnsi="Arial"/>
                <w:sz w:val="18"/>
                <w:szCs w:val="18"/>
              </w:rPr>
              <w:t>(I) Educational Attainment</w:t>
            </w:r>
          </w:p>
        </w:tc>
        <w:tc>
          <w:tcPr>
            <w:tcW w:w="1362" w:type="dxa"/>
            <w:vMerge w:val="restart"/>
            <w:tcBorders>
              <w:tl2br w:val="nil"/>
              <w:tr2bl w:val="nil"/>
            </w:tcBorders>
            <w:shd w:val="clear" w:color="auto" w:fill="FFFFFF"/>
          </w:tcPr>
          <w:p w14:paraId="1CC17992" w14:textId="77777777" w:rsidR="00372A1B" w:rsidRPr="00B76074" w:rsidRDefault="00372A1B" w:rsidP="00372A1B">
            <w:pPr>
              <w:ind w:left="60" w:right="60"/>
              <w:rPr>
                <w:rFonts w:ascii="Arial" w:hAnsi="Arial"/>
                <w:sz w:val="18"/>
                <w:szCs w:val="18"/>
              </w:rPr>
            </w:pPr>
            <w:r w:rsidRPr="00B76074">
              <w:rPr>
                <w:rFonts w:ascii="Arial" w:hAnsi="Arial"/>
                <w:sz w:val="18"/>
                <w:szCs w:val="18"/>
              </w:rPr>
              <w:t>(J) Educational Attainment</w:t>
            </w:r>
          </w:p>
        </w:tc>
        <w:tc>
          <w:tcPr>
            <w:tcW w:w="978" w:type="dxa"/>
            <w:vMerge w:val="restart"/>
            <w:tcBorders>
              <w:tl2br w:val="nil"/>
              <w:tr2bl w:val="nil"/>
            </w:tcBorders>
            <w:shd w:val="clear" w:color="auto" w:fill="FFFFFF"/>
          </w:tcPr>
          <w:p w14:paraId="4561980D"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Mean Difference (I-J)</w:t>
            </w:r>
          </w:p>
        </w:tc>
        <w:tc>
          <w:tcPr>
            <w:tcW w:w="709" w:type="dxa"/>
            <w:vMerge w:val="restart"/>
            <w:tcBorders>
              <w:tl2br w:val="nil"/>
              <w:tr2bl w:val="nil"/>
            </w:tcBorders>
            <w:shd w:val="clear" w:color="auto" w:fill="FFFFFF"/>
          </w:tcPr>
          <w:p w14:paraId="4C130589"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Std. Error</w:t>
            </w:r>
          </w:p>
        </w:tc>
        <w:tc>
          <w:tcPr>
            <w:tcW w:w="618" w:type="dxa"/>
            <w:vMerge w:val="restart"/>
            <w:tcBorders>
              <w:tl2br w:val="nil"/>
              <w:tr2bl w:val="nil"/>
            </w:tcBorders>
            <w:shd w:val="clear" w:color="auto" w:fill="FFFFFF"/>
          </w:tcPr>
          <w:p w14:paraId="10C8384E"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Sig.</w:t>
            </w:r>
          </w:p>
        </w:tc>
        <w:tc>
          <w:tcPr>
            <w:tcW w:w="1936" w:type="dxa"/>
            <w:gridSpan w:val="2"/>
            <w:tcBorders>
              <w:tl2br w:val="nil"/>
              <w:tr2bl w:val="nil"/>
            </w:tcBorders>
            <w:shd w:val="clear" w:color="auto" w:fill="FFFFFF"/>
          </w:tcPr>
          <w:p w14:paraId="6C24D283"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95% Confidence Interval</w:t>
            </w:r>
          </w:p>
        </w:tc>
        <w:tc>
          <w:tcPr>
            <w:tcW w:w="1455" w:type="dxa"/>
            <w:vMerge w:val="restart"/>
            <w:tcBorders>
              <w:tl2br w:val="nil"/>
              <w:tr2bl w:val="nil"/>
            </w:tcBorders>
            <w:shd w:val="clear" w:color="auto" w:fill="FFFFFF"/>
            <w:vAlign w:val="center"/>
          </w:tcPr>
          <w:p w14:paraId="5BACE50C"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Interpretation</w:t>
            </w:r>
          </w:p>
        </w:tc>
      </w:tr>
      <w:tr w:rsidR="00397B95" w:rsidRPr="00B76074" w14:paraId="13B83406" w14:textId="77777777" w:rsidTr="00397B95">
        <w:trPr>
          <w:cantSplit/>
          <w:trHeight w:val="299"/>
        </w:trPr>
        <w:tc>
          <w:tcPr>
            <w:tcW w:w="1080" w:type="dxa"/>
            <w:vMerge/>
            <w:tcBorders>
              <w:bottom w:val="single" w:sz="4" w:space="0" w:color="auto"/>
              <w:tl2br w:val="nil"/>
              <w:tr2bl w:val="nil"/>
            </w:tcBorders>
            <w:shd w:val="clear" w:color="auto" w:fill="FFFFFF"/>
          </w:tcPr>
          <w:p w14:paraId="196533F9" w14:textId="77777777" w:rsidR="00372A1B" w:rsidRPr="00B76074" w:rsidRDefault="00372A1B" w:rsidP="00372A1B">
            <w:pPr>
              <w:rPr>
                <w:rFonts w:ascii="Arial" w:hAnsi="Arial"/>
                <w:sz w:val="18"/>
                <w:szCs w:val="18"/>
              </w:rPr>
            </w:pPr>
          </w:p>
        </w:tc>
        <w:tc>
          <w:tcPr>
            <w:tcW w:w="1362" w:type="dxa"/>
            <w:vMerge/>
            <w:tcBorders>
              <w:bottom w:val="single" w:sz="4" w:space="0" w:color="auto"/>
              <w:tl2br w:val="nil"/>
              <w:tr2bl w:val="nil"/>
            </w:tcBorders>
            <w:shd w:val="clear" w:color="auto" w:fill="FFFFFF"/>
          </w:tcPr>
          <w:p w14:paraId="5A87A635" w14:textId="77777777" w:rsidR="00372A1B" w:rsidRPr="00B76074" w:rsidRDefault="00372A1B" w:rsidP="00372A1B">
            <w:pPr>
              <w:rPr>
                <w:rFonts w:ascii="Arial" w:hAnsi="Arial"/>
                <w:sz w:val="18"/>
                <w:szCs w:val="18"/>
              </w:rPr>
            </w:pPr>
          </w:p>
        </w:tc>
        <w:tc>
          <w:tcPr>
            <w:tcW w:w="978" w:type="dxa"/>
            <w:vMerge/>
            <w:tcBorders>
              <w:bottom w:val="single" w:sz="4" w:space="0" w:color="auto"/>
              <w:tl2br w:val="nil"/>
              <w:tr2bl w:val="nil"/>
            </w:tcBorders>
            <w:shd w:val="clear" w:color="auto" w:fill="FFFFFF"/>
          </w:tcPr>
          <w:p w14:paraId="2100156C" w14:textId="77777777" w:rsidR="00372A1B" w:rsidRPr="00B76074" w:rsidRDefault="00372A1B" w:rsidP="00372A1B">
            <w:pPr>
              <w:rPr>
                <w:rFonts w:ascii="Arial" w:hAnsi="Arial"/>
                <w:sz w:val="18"/>
                <w:szCs w:val="18"/>
              </w:rPr>
            </w:pPr>
          </w:p>
        </w:tc>
        <w:tc>
          <w:tcPr>
            <w:tcW w:w="709" w:type="dxa"/>
            <w:vMerge/>
            <w:tcBorders>
              <w:bottom w:val="single" w:sz="4" w:space="0" w:color="auto"/>
              <w:tl2br w:val="nil"/>
              <w:tr2bl w:val="nil"/>
            </w:tcBorders>
            <w:shd w:val="clear" w:color="auto" w:fill="FFFFFF"/>
          </w:tcPr>
          <w:p w14:paraId="1B42A5BB" w14:textId="77777777" w:rsidR="00372A1B" w:rsidRPr="00B76074" w:rsidRDefault="00372A1B" w:rsidP="00372A1B">
            <w:pPr>
              <w:rPr>
                <w:rFonts w:ascii="Arial" w:hAnsi="Arial"/>
                <w:sz w:val="18"/>
                <w:szCs w:val="18"/>
              </w:rPr>
            </w:pPr>
          </w:p>
        </w:tc>
        <w:tc>
          <w:tcPr>
            <w:tcW w:w="618" w:type="dxa"/>
            <w:vMerge/>
            <w:tcBorders>
              <w:bottom w:val="single" w:sz="4" w:space="0" w:color="auto"/>
              <w:tl2br w:val="nil"/>
              <w:tr2bl w:val="nil"/>
            </w:tcBorders>
            <w:shd w:val="clear" w:color="auto" w:fill="FFFFFF"/>
          </w:tcPr>
          <w:p w14:paraId="66DCB413" w14:textId="77777777" w:rsidR="00372A1B" w:rsidRPr="00B76074" w:rsidRDefault="00372A1B" w:rsidP="00372A1B">
            <w:pPr>
              <w:rPr>
                <w:rFonts w:ascii="Arial" w:hAnsi="Arial"/>
                <w:sz w:val="18"/>
                <w:szCs w:val="18"/>
              </w:rPr>
            </w:pPr>
          </w:p>
        </w:tc>
        <w:tc>
          <w:tcPr>
            <w:tcW w:w="1012" w:type="dxa"/>
            <w:tcBorders>
              <w:bottom w:val="single" w:sz="4" w:space="0" w:color="auto"/>
              <w:tl2br w:val="nil"/>
              <w:tr2bl w:val="nil"/>
            </w:tcBorders>
            <w:shd w:val="clear" w:color="auto" w:fill="FFFFFF"/>
          </w:tcPr>
          <w:p w14:paraId="3BF51F22"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Lower Bound</w:t>
            </w:r>
          </w:p>
        </w:tc>
        <w:tc>
          <w:tcPr>
            <w:tcW w:w="924" w:type="dxa"/>
            <w:tcBorders>
              <w:bottom w:val="single" w:sz="4" w:space="0" w:color="auto"/>
              <w:tl2br w:val="nil"/>
              <w:tr2bl w:val="nil"/>
            </w:tcBorders>
            <w:shd w:val="clear" w:color="auto" w:fill="FFFFFF"/>
          </w:tcPr>
          <w:p w14:paraId="45B83A36" w14:textId="77777777" w:rsidR="00372A1B" w:rsidRPr="00B76074" w:rsidRDefault="00372A1B" w:rsidP="00372A1B">
            <w:pPr>
              <w:ind w:left="60" w:right="60"/>
              <w:jc w:val="center"/>
              <w:rPr>
                <w:rFonts w:ascii="Arial" w:hAnsi="Arial"/>
                <w:sz w:val="18"/>
                <w:szCs w:val="18"/>
              </w:rPr>
            </w:pPr>
            <w:r w:rsidRPr="00B76074">
              <w:rPr>
                <w:rFonts w:ascii="Arial" w:hAnsi="Arial"/>
                <w:sz w:val="18"/>
                <w:szCs w:val="18"/>
              </w:rPr>
              <w:t>Upper Bound</w:t>
            </w:r>
          </w:p>
        </w:tc>
        <w:tc>
          <w:tcPr>
            <w:tcW w:w="1455" w:type="dxa"/>
            <w:vMerge/>
            <w:tcBorders>
              <w:bottom w:val="single" w:sz="4" w:space="0" w:color="auto"/>
              <w:tl2br w:val="nil"/>
              <w:tr2bl w:val="nil"/>
            </w:tcBorders>
            <w:shd w:val="clear" w:color="auto" w:fill="FFFFFF"/>
          </w:tcPr>
          <w:p w14:paraId="479E01CF" w14:textId="77777777" w:rsidR="00372A1B" w:rsidRPr="00B76074" w:rsidRDefault="00372A1B" w:rsidP="00372A1B">
            <w:pPr>
              <w:ind w:left="60" w:right="60"/>
              <w:jc w:val="center"/>
              <w:rPr>
                <w:rFonts w:ascii="Arial" w:hAnsi="Arial"/>
                <w:sz w:val="18"/>
                <w:szCs w:val="18"/>
              </w:rPr>
            </w:pPr>
          </w:p>
        </w:tc>
      </w:tr>
      <w:tr w:rsidR="00397B95" w:rsidRPr="00B76074" w14:paraId="0D8243D7" w14:textId="77777777" w:rsidTr="00397B95">
        <w:trPr>
          <w:cantSplit/>
          <w:trHeight w:val="244"/>
        </w:trPr>
        <w:tc>
          <w:tcPr>
            <w:tcW w:w="1080" w:type="dxa"/>
            <w:vMerge w:val="restart"/>
            <w:tcBorders>
              <w:top w:val="single" w:sz="4" w:space="0" w:color="auto"/>
              <w:tl2br w:val="nil"/>
              <w:tr2bl w:val="nil"/>
            </w:tcBorders>
            <w:shd w:val="clear" w:color="auto" w:fill="FFFFFF"/>
            <w:vAlign w:val="center"/>
          </w:tcPr>
          <w:p w14:paraId="1CB08B25" w14:textId="77777777" w:rsidR="00372A1B" w:rsidRPr="00B76074" w:rsidRDefault="00372A1B" w:rsidP="00372A1B">
            <w:pPr>
              <w:ind w:left="60" w:right="60"/>
              <w:rPr>
                <w:rFonts w:ascii="Arial" w:hAnsi="Arial"/>
                <w:sz w:val="18"/>
                <w:szCs w:val="18"/>
              </w:rPr>
            </w:pPr>
            <w:r w:rsidRPr="00B76074">
              <w:rPr>
                <w:rFonts w:ascii="Arial" w:hAnsi="Arial"/>
                <w:sz w:val="18"/>
                <w:szCs w:val="18"/>
              </w:rPr>
              <w:t>High School Graduate</w:t>
            </w:r>
          </w:p>
        </w:tc>
        <w:tc>
          <w:tcPr>
            <w:tcW w:w="1362" w:type="dxa"/>
            <w:tcBorders>
              <w:top w:val="single" w:sz="4" w:space="0" w:color="auto"/>
              <w:bottom w:val="single" w:sz="4" w:space="0" w:color="auto"/>
              <w:tl2br w:val="nil"/>
              <w:tr2bl w:val="nil"/>
            </w:tcBorders>
            <w:shd w:val="clear" w:color="auto" w:fill="FFFFFF"/>
            <w:vAlign w:val="center"/>
          </w:tcPr>
          <w:p w14:paraId="3BD6D06D" w14:textId="77777777" w:rsidR="00372A1B" w:rsidRPr="00B76074" w:rsidRDefault="00372A1B" w:rsidP="00372A1B">
            <w:pPr>
              <w:ind w:left="60" w:right="60"/>
              <w:rPr>
                <w:rFonts w:ascii="Arial" w:hAnsi="Arial"/>
                <w:sz w:val="18"/>
                <w:szCs w:val="18"/>
              </w:rPr>
            </w:pPr>
            <w:r w:rsidRPr="00B76074">
              <w:rPr>
                <w:rFonts w:ascii="Arial" w:hAnsi="Arial"/>
                <w:sz w:val="18"/>
                <w:szCs w:val="18"/>
              </w:rPr>
              <w:t>Elementary Level</w:t>
            </w:r>
          </w:p>
        </w:tc>
        <w:tc>
          <w:tcPr>
            <w:tcW w:w="978" w:type="dxa"/>
            <w:tcBorders>
              <w:top w:val="single" w:sz="4" w:space="0" w:color="auto"/>
              <w:bottom w:val="single" w:sz="4" w:space="0" w:color="auto"/>
              <w:tl2br w:val="nil"/>
              <w:tr2bl w:val="nil"/>
            </w:tcBorders>
            <w:shd w:val="clear" w:color="auto" w:fill="FFFFFF"/>
            <w:vAlign w:val="center"/>
          </w:tcPr>
          <w:p w14:paraId="3B06B21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.01871</w:t>
            </w:r>
          </w:p>
        </w:tc>
        <w:tc>
          <w:tcPr>
            <w:tcW w:w="709" w:type="dxa"/>
            <w:tcBorders>
              <w:top w:val="single" w:sz="4" w:space="0" w:color="auto"/>
              <w:bottom w:val="single" w:sz="4" w:space="0" w:color="auto"/>
              <w:tl2br w:val="nil"/>
              <w:tr2bl w:val="nil"/>
            </w:tcBorders>
            <w:shd w:val="clear" w:color="auto" w:fill="FFFFFF"/>
            <w:vAlign w:val="center"/>
          </w:tcPr>
          <w:p w14:paraId="0AEB546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.21345</w:t>
            </w:r>
          </w:p>
        </w:tc>
        <w:tc>
          <w:tcPr>
            <w:tcW w:w="618" w:type="dxa"/>
            <w:tcBorders>
              <w:top w:val="single" w:sz="4" w:space="0" w:color="auto"/>
              <w:bottom w:val="single" w:sz="4" w:space="0" w:color="auto"/>
              <w:tl2br w:val="nil"/>
              <w:tr2bl w:val="nil"/>
            </w:tcBorders>
            <w:shd w:val="clear" w:color="auto" w:fill="FFFFFF"/>
            <w:vAlign w:val="center"/>
          </w:tcPr>
          <w:p w14:paraId="0110EB47"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bottom w:val="single" w:sz="4" w:space="0" w:color="auto"/>
              <w:tl2br w:val="nil"/>
              <w:tr2bl w:val="nil"/>
            </w:tcBorders>
            <w:shd w:val="clear" w:color="auto" w:fill="FFFFFF"/>
            <w:vAlign w:val="center"/>
          </w:tcPr>
          <w:p w14:paraId="011EB4B3"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-.6150</w:t>
            </w:r>
          </w:p>
        </w:tc>
        <w:tc>
          <w:tcPr>
            <w:tcW w:w="924" w:type="dxa"/>
            <w:tcBorders>
              <w:top w:val="single" w:sz="4" w:space="0" w:color="auto"/>
              <w:bottom w:val="single" w:sz="4" w:space="0" w:color="auto"/>
              <w:tl2br w:val="nil"/>
              <w:tr2bl w:val="nil"/>
            </w:tcBorders>
            <w:shd w:val="clear" w:color="auto" w:fill="FFFFFF"/>
            <w:vAlign w:val="center"/>
          </w:tcPr>
          <w:p w14:paraId="1206E975"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.6525</w:t>
            </w:r>
          </w:p>
        </w:tc>
        <w:tc>
          <w:tcPr>
            <w:tcW w:w="1455" w:type="dxa"/>
            <w:tcBorders>
              <w:top w:val="single" w:sz="4" w:space="0" w:color="auto"/>
              <w:bottom w:val="single" w:sz="4" w:space="0" w:color="auto"/>
              <w:tl2br w:val="nil"/>
              <w:tr2bl w:val="nil"/>
            </w:tcBorders>
            <w:shd w:val="clear" w:color="auto" w:fill="FFFFFF"/>
            <w:vAlign w:val="center"/>
          </w:tcPr>
          <w:p w14:paraId="2E36F5D9"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51F790F8" w14:textId="77777777" w:rsidTr="00397B95">
        <w:trPr>
          <w:cantSplit/>
          <w:trHeight w:val="244"/>
        </w:trPr>
        <w:tc>
          <w:tcPr>
            <w:tcW w:w="1080" w:type="dxa"/>
            <w:vMerge/>
            <w:tcBorders>
              <w:tl2br w:val="nil"/>
              <w:tr2bl w:val="nil"/>
            </w:tcBorders>
            <w:shd w:val="clear" w:color="auto" w:fill="FFFFFF"/>
            <w:vAlign w:val="center"/>
          </w:tcPr>
          <w:p w14:paraId="59713B33"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67F8FC8A" w14:textId="77777777" w:rsidR="00372A1B" w:rsidRPr="00B76074" w:rsidRDefault="00372A1B" w:rsidP="00372A1B">
            <w:pPr>
              <w:ind w:left="60" w:right="60"/>
              <w:rPr>
                <w:rFonts w:ascii="Arial" w:hAnsi="Arial"/>
                <w:sz w:val="18"/>
                <w:szCs w:val="18"/>
              </w:rPr>
            </w:pPr>
            <w:r w:rsidRPr="00B76074">
              <w:rPr>
                <w:rFonts w:ascii="Arial" w:hAnsi="Arial"/>
                <w:sz w:val="18"/>
                <w:szCs w:val="18"/>
              </w:rPr>
              <w:t>Elementary Graduate</w:t>
            </w:r>
          </w:p>
        </w:tc>
        <w:tc>
          <w:tcPr>
            <w:tcW w:w="978" w:type="dxa"/>
            <w:tcBorders>
              <w:top w:val="single" w:sz="4" w:space="0" w:color="auto"/>
              <w:bottom w:val="single" w:sz="4" w:space="0" w:color="auto"/>
              <w:tl2br w:val="nil"/>
              <w:tr2bl w:val="nil"/>
            </w:tcBorders>
            <w:shd w:val="clear" w:color="auto" w:fill="FFFFFF"/>
            <w:vAlign w:val="center"/>
          </w:tcPr>
          <w:p w14:paraId="55FD1698"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-.01558</w:t>
            </w:r>
          </w:p>
        </w:tc>
        <w:tc>
          <w:tcPr>
            <w:tcW w:w="709" w:type="dxa"/>
            <w:tcBorders>
              <w:top w:val="single" w:sz="4" w:space="0" w:color="auto"/>
              <w:bottom w:val="single" w:sz="4" w:space="0" w:color="auto"/>
              <w:tl2br w:val="nil"/>
              <w:tr2bl w:val="nil"/>
            </w:tcBorders>
            <w:shd w:val="clear" w:color="auto" w:fill="FFFFFF"/>
            <w:vAlign w:val="center"/>
          </w:tcPr>
          <w:p w14:paraId="6958A49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.16813</w:t>
            </w:r>
          </w:p>
        </w:tc>
        <w:tc>
          <w:tcPr>
            <w:tcW w:w="618" w:type="dxa"/>
            <w:tcBorders>
              <w:top w:val="single" w:sz="4" w:space="0" w:color="auto"/>
              <w:bottom w:val="single" w:sz="4" w:space="0" w:color="auto"/>
              <w:tl2br w:val="nil"/>
              <w:tr2bl w:val="nil"/>
            </w:tcBorders>
            <w:shd w:val="clear" w:color="auto" w:fill="FFFFFF"/>
            <w:vAlign w:val="center"/>
          </w:tcPr>
          <w:p w14:paraId="08AF8A8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bottom w:val="single" w:sz="4" w:space="0" w:color="auto"/>
              <w:tl2br w:val="nil"/>
              <w:tr2bl w:val="nil"/>
            </w:tcBorders>
            <w:shd w:val="clear" w:color="auto" w:fill="FFFFFF"/>
            <w:vAlign w:val="center"/>
          </w:tcPr>
          <w:p w14:paraId="51631E8F"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-.5148</w:t>
            </w:r>
          </w:p>
        </w:tc>
        <w:tc>
          <w:tcPr>
            <w:tcW w:w="924" w:type="dxa"/>
            <w:tcBorders>
              <w:top w:val="single" w:sz="4" w:space="0" w:color="auto"/>
              <w:bottom w:val="single" w:sz="4" w:space="0" w:color="auto"/>
              <w:tl2br w:val="nil"/>
              <w:tr2bl w:val="nil"/>
            </w:tcBorders>
            <w:shd w:val="clear" w:color="auto" w:fill="FFFFFF"/>
            <w:vAlign w:val="center"/>
          </w:tcPr>
          <w:p w14:paraId="62983DE5"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.4836</w:t>
            </w:r>
          </w:p>
        </w:tc>
        <w:tc>
          <w:tcPr>
            <w:tcW w:w="1455" w:type="dxa"/>
            <w:tcBorders>
              <w:top w:val="single" w:sz="4" w:space="0" w:color="auto"/>
              <w:bottom w:val="single" w:sz="4" w:space="0" w:color="auto"/>
              <w:tl2br w:val="nil"/>
              <w:tr2bl w:val="nil"/>
            </w:tcBorders>
            <w:shd w:val="clear" w:color="auto" w:fill="FFFFFF"/>
            <w:vAlign w:val="center"/>
          </w:tcPr>
          <w:p w14:paraId="058B744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20F21DAB" w14:textId="77777777" w:rsidTr="00397B95">
        <w:trPr>
          <w:cantSplit/>
          <w:trHeight w:val="244"/>
        </w:trPr>
        <w:tc>
          <w:tcPr>
            <w:tcW w:w="1080" w:type="dxa"/>
            <w:vMerge/>
            <w:tcBorders>
              <w:tl2br w:val="nil"/>
              <w:tr2bl w:val="nil"/>
            </w:tcBorders>
            <w:shd w:val="clear" w:color="auto" w:fill="FFFFFF"/>
            <w:vAlign w:val="center"/>
          </w:tcPr>
          <w:p w14:paraId="21814C24" w14:textId="77777777" w:rsidR="00372A1B" w:rsidRPr="00B76074" w:rsidRDefault="00372A1B" w:rsidP="00372A1B">
            <w:pPr>
              <w:rPr>
                <w:rFonts w:ascii="Arial" w:hAnsi="Arial"/>
                <w:sz w:val="18"/>
                <w:szCs w:val="18"/>
              </w:rPr>
            </w:pPr>
          </w:p>
        </w:tc>
        <w:tc>
          <w:tcPr>
            <w:tcW w:w="1362" w:type="dxa"/>
            <w:tcBorders>
              <w:top w:val="single" w:sz="4" w:space="0" w:color="auto"/>
              <w:tl2br w:val="nil"/>
              <w:tr2bl w:val="nil"/>
            </w:tcBorders>
            <w:shd w:val="clear" w:color="auto" w:fill="FFFFFF"/>
            <w:vAlign w:val="center"/>
          </w:tcPr>
          <w:p w14:paraId="7852D6F1" w14:textId="77777777" w:rsidR="00372A1B" w:rsidRPr="00B76074" w:rsidRDefault="00372A1B" w:rsidP="00372A1B">
            <w:pPr>
              <w:ind w:left="60" w:right="60"/>
              <w:rPr>
                <w:rFonts w:ascii="Arial" w:hAnsi="Arial"/>
                <w:sz w:val="18"/>
                <w:szCs w:val="18"/>
              </w:rPr>
            </w:pPr>
            <w:r w:rsidRPr="00B76074">
              <w:rPr>
                <w:rFonts w:ascii="Arial" w:hAnsi="Arial"/>
                <w:sz w:val="18"/>
                <w:szCs w:val="18"/>
              </w:rPr>
              <w:t>High School Level</w:t>
            </w:r>
          </w:p>
        </w:tc>
        <w:tc>
          <w:tcPr>
            <w:tcW w:w="978" w:type="dxa"/>
            <w:tcBorders>
              <w:top w:val="single" w:sz="4" w:space="0" w:color="auto"/>
              <w:tl2br w:val="nil"/>
              <w:tr2bl w:val="nil"/>
            </w:tcBorders>
            <w:shd w:val="clear" w:color="auto" w:fill="FFFFFF"/>
            <w:vAlign w:val="center"/>
          </w:tcPr>
          <w:p w14:paraId="1D0CE1E6"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-.05429</w:t>
            </w:r>
          </w:p>
        </w:tc>
        <w:tc>
          <w:tcPr>
            <w:tcW w:w="709" w:type="dxa"/>
            <w:tcBorders>
              <w:top w:val="single" w:sz="4" w:space="0" w:color="auto"/>
              <w:tl2br w:val="nil"/>
              <w:tr2bl w:val="nil"/>
            </w:tcBorders>
            <w:shd w:val="clear" w:color="auto" w:fill="FFFFFF"/>
            <w:vAlign w:val="center"/>
          </w:tcPr>
          <w:p w14:paraId="1243024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.14611</w:t>
            </w:r>
          </w:p>
        </w:tc>
        <w:tc>
          <w:tcPr>
            <w:tcW w:w="618" w:type="dxa"/>
            <w:tcBorders>
              <w:top w:val="single" w:sz="4" w:space="0" w:color="auto"/>
              <w:tl2br w:val="nil"/>
              <w:tr2bl w:val="nil"/>
            </w:tcBorders>
            <w:shd w:val="clear" w:color="auto" w:fill="FFFFFF"/>
            <w:vAlign w:val="center"/>
          </w:tcPr>
          <w:p w14:paraId="2FBA5F5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1.000</w:t>
            </w:r>
          </w:p>
        </w:tc>
        <w:tc>
          <w:tcPr>
            <w:tcW w:w="1012" w:type="dxa"/>
            <w:tcBorders>
              <w:top w:val="single" w:sz="4" w:space="0" w:color="auto"/>
              <w:tl2br w:val="nil"/>
              <w:tr2bl w:val="nil"/>
            </w:tcBorders>
            <w:shd w:val="clear" w:color="auto" w:fill="FFFFFF"/>
            <w:vAlign w:val="center"/>
          </w:tcPr>
          <w:p w14:paraId="1BE768E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-.4881</w:t>
            </w:r>
          </w:p>
        </w:tc>
        <w:tc>
          <w:tcPr>
            <w:tcW w:w="924" w:type="dxa"/>
            <w:tcBorders>
              <w:top w:val="single" w:sz="4" w:space="0" w:color="auto"/>
              <w:tl2br w:val="nil"/>
              <w:tr2bl w:val="nil"/>
            </w:tcBorders>
            <w:shd w:val="clear" w:color="auto" w:fill="FFFFFF"/>
            <w:vAlign w:val="center"/>
          </w:tcPr>
          <w:p w14:paraId="17AFAAB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.3795</w:t>
            </w:r>
          </w:p>
        </w:tc>
        <w:tc>
          <w:tcPr>
            <w:tcW w:w="1455" w:type="dxa"/>
            <w:tcBorders>
              <w:top w:val="single" w:sz="4" w:space="0" w:color="auto"/>
              <w:tl2br w:val="nil"/>
              <w:tr2bl w:val="nil"/>
            </w:tcBorders>
            <w:shd w:val="clear" w:color="auto" w:fill="FFFFFF"/>
            <w:vAlign w:val="center"/>
          </w:tcPr>
          <w:p w14:paraId="4935686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no difference</w:t>
            </w:r>
          </w:p>
        </w:tc>
      </w:tr>
      <w:tr w:rsidR="00397B95" w:rsidRPr="00B76074" w14:paraId="74AA181F" w14:textId="77777777" w:rsidTr="00397B95">
        <w:trPr>
          <w:cantSplit/>
          <w:trHeight w:val="244"/>
        </w:trPr>
        <w:tc>
          <w:tcPr>
            <w:tcW w:w="1080" w:type="dxa"/>
            <w:vMerge/>
            <w:tcBorders>
              <w:tl2br w:val="nil"/>
              <w:tr2bl w:val="nil"/>
            </w:tcBorders>
            <w:shd w:val="clear" w:color="auto" w:fill="FFFFFF"/>
            <w:vAlign w:val="center"/>
          </w:tcPr>
          <w:p w14:paraId="0368E717" w14:textId="77777777" w:rsidR="00372A1B" w:rsidRPr="00B76074" w:rsidRDefault="00372A1B" w:rsidP="00372A1B">
            <w:pPr>
              <w:rPr>
                <w:rFonts w:ascii="Arial" w:hAnsi="Arial"/>
                <w:sz w:val="18"/>
                <w:szCs w:val="18"/>
              </w:rPr>
            </w:pPr>
          </w:p>
        </w:tc>
        <w:tc>
          <w:tcPr>
            <w:tcW w:w="1362" w:type="dxa"/>
            <w:tcBorders>
              <w:bottom w:val="single" w:sz="4" w:space="0" w:color="auto"/>
              <w:tl2br w:val="nil"/>
              <w:tr2bl w:val="nil"/>
            </w:tcBorders>
            <w:shd w:val="clear" w:color="auto" w:fill="FFFFFF"/>
            <w:vAlign w:val="center"/>
          </w:tcPr>
          <w:p w14:paraId="6A761925" w14:textId="77777777" w:rsidR="00372A1B" w:rsidRPr="00B76074" w:rsidRDefault="00372A1B" w:rsidP="00372A1B">
            <w:pPr>
              <w:ind w:left="60" w:right="60"/>
              <w:rPr>
                <w:rFonts w:ascii="Arial" w:hAnsi="Arial"/>
                <w:sz w:val="18"/>
                <w:szCs w:val="18"/>
              </w:rPr>
            </w:pPr>
            <w:r w:rsidRPr="00B76074">
              <w:rPr>
                <w:rFonts w:ascii="Arial" w:hAnsi="Arial"/>
                <w:sz w:val="18"/>
                <w:szCs w:val="18"/>
              </w:rPr>
              <w:t>College Level</w:t>
            </w:r>
          </w:p>
        </w:tc>
        <w:tc>
          <w:tcPr>
            <w:tcW w:w="978" w:type="dxa"/>
            <w:tcBorders>
              <w:bottom w:val="single" w:sz="4" w:space="0" w:color="auto"/>
              <w:tl2br w:val="nil"/>
              <w:tr2bl w:val="nil"/>
            </w:tcBorders>
            <w:shd w:val="clear" w:color="auto" w:fill="FFFFFF"/>
            <w:vAlign w:val="center"/>
          </w:tcPr>
          <w:p w14:paraId="4FAF9EB2"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-.38025</w:t>
            </w:r>
            <w:r w:rsidRPr="00B76074">
              <w:rPr>
                <w:rFonts w:ascii="Arial" w:hAnsi="Arial"/>
                <w:sz w:val="18"/>
                <w:szCs w:val="18"/>
                <w:vertAlign w:val="superscript"/>
              </w:rPr>
              <w:t>*</w:t>
            </w:r>
          </w:p>
        </w:tc>
        <w:tc>
          <w:tcPr>
            <w:tcW w:w="709" w:type="dxa"/>
            <w:tcBorders>
              <w:bottom w:val="single" w:sz="4" w:space="0" w:color="auto"/>
              <w:tl2br w:val="nil"/>
              <w:tr2bl w:val="nil"/>
            </w:tcBorders>
            <w:shd w:val="clear" w:color="auto" w:fill="FFFFFF"/>
            <w:vAlign w:val="center"/>
          </w:tcPr>
          <w:p w14:paraId="1F67EEF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.08204</w:t>
            </w:r>
          </w:p>
        </w:tc>
        <w:tc>
          <w:tcPr>
            <w:tcW w:w="618" w:type="dxa"/>
            <w:tcBorders>
              <w:bottom w:val="single" w:sz="4" w:space="0" w:color="auto"/>
              <w:tl2br w:val="nil"/>
              <w:tr2bl w:val="nil"/>
            </w:tcBorders>
            <w:shd w:val="clear" w:color="auto" w:fill="FFFFFF"/>
            <w:vAlign w:val="center"/>
          </w:tcPr>
          <w:p w14:paraId="7147BE4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.000</w:t>
            </w:r>
          </w:p>
        </w:tc>
        <w:tc>
          <w:tcPr>
            <w:tcW w:w="1012" w:type="dxa"/>
            <w:tcBorders>
              <w:bottom w:val="single" w:sz="4" w:space="0" w:color="auto"/>
              <w:tl2br w:val="nil"/>
              <w:tr2bl w:val="nil"/>
            </w:tcBorders>
            <w:shd w:val="clear" w:color="auto" w:fill="FFFFFF"/>
            <w:vAlign w:val="center"/>
          </w:tcPr>
          <w:p w14:paraId="685B218C"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-.6238</w:t>
            </w:r>
          </w:p>
        </w:tc>
        <w:tc>
          <w:tcPr>
            <w:tcW w:w="924" w:type="dxa"/>
            <w:tcBorders>
              <w:bottom w:val="single" w:sz="4" w:space="0" w:color="auto"/>
              <w:tl2br w:val="nil"/>
              <w:tr2bl w:val="nil"/>
            </w:tcBorders>
            <w:shd w:val="clear" w:color="auto" w:fill="FFFFFF"/>
            <w:vAlign w:val="center"/>
          </w:tcPr>
          <w:p w14:paraId="0B22F8F7"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-.1367</w:t>
            </w:r>
          </w:p>
        </w:tc>
        <w:tc>
          <w:tcPr>
            <w:tcW w:w="1455" w:type="dxa"/>
            <w:tcBorders>
              <w:bottom w:val="single" w:sz="4" w:space="0" w:color="auto"/>
              <w:tl2br w:val="nil"/>
              <w:tr2bl w:val="nil"/>
            </w:tcBorders>
            <w:shd w:val="clear" w:color="auto" w:fill="FFFFFF"/>
            <w:vAlign w:val="center"/>
          </w:tcPr>
          <w:p w14:paraId="57B5CDE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r w:rsidR="00397B95" w:rsidRPr="00B76074" w14:paraId="39F3AD79" w14:textId="77777777" w:rsidTr="00397B95">
        <w:trPr>
          <w:cantSplit/>
          <w:trHeight w:val="244"/>
        </w:trPr>
        <w:tc>
          <w:tcPr>
            <w:tcW w:w="1080" w:type="dxa"/>
            <w:vMerge/>
            <w:tcBorders>
              <w:tl2br w:val="nil"/>
              <w:tr2bl w:val="nil"/>
            </w:tcBorders>
            <w:shd w:val="clear" w:color="auto" w:fill="FFFFFF"/>
            <w:vAlign w:val="center"/>
          </w:tcPr>
          <w:p w14:paraId="3C6C5659"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23395C31" w14:textId="77777777" w:rsidR="00372A1B" w:rsidRPr="00B76074" w:rsidRDefault="00372A1B" w:rsidP="00372A1B">
            <w:pPr>
              <w:ind w:left="60" w:right="60"/>
              <w:rPr>
                <w:rFonts w:ascii="Arial" w:hAnsi="Arial"/>
                <w:sz w:val="18"/>
                <w:szCs w:val="18"/>
              </w:rPr>
            </w:pPr>
            <w:r w:rsidRPr="00B76074">
              <w:rPr>
                <w:rFonts w:ascii="Arial" w:hAnsi="Arial"/>
                <w:sz w:val="18"/>
                <w:szCs w:val="18"/>
              </w:rPr>
              <w:t>College Graduate</w:t>
            </w:r>
          </w:p>
        </w:tc>
        <w:tc>
          <w:tcPr>
            <w:tcW w:w="978" w:type="dxa"/>
            <w:tcBorders>
              <w:top w:val="single" w:sz="4" w:space="0" w:color="auto"/>
              <w:bottom w:val="single" w:sz="4" w:space="0" w:color="auto"/>
              <w:tl2br w:val="nil"/>
              <w:tr2bl w:val="nil"/>
            </w:tcBorders>
            <w:shd w:val="clear" w:color="auto" w:fill="FFFFFF"/>
            <w:vAlign w:val="center"/>
          </w:tcPr>
          <w:p w14:paraId="6A927EB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-.31320</w:t>
            </w:r>
            <w:r w:rsidRPr="00B76074">
              <w:rPr>
                <w:rFonts w:ascii="Arial" w:hAnsi="Arial"/>
                <w:sz w:val="18"/>
                <w:szCs w:val="18"/>
                <w:vertAlign w:val="superscript"/>
              </w:rPr>
              <w:t>*</w:t>
            </w:r>
          </w:p>
        </w:tc>
        <w:tc>
          <w:tcPr>
            <w:tcW w:w="709" w:type="dxa"/>
            <w:tcBorders>
              <w:top w:val="single" w:sz="4" w:space="0" w:color="auto"/>
              <w:bottom w:val="single" w:sz="4" w:space="0" w:color="auto"/>
              <w:tl2br w:val="nil"/>
              <w:tr2bl w:val="nil"/>
            </w:tcBorders>
            <w:shd w:val="clear" w:color="auto" w:fill="FFFFFF"/>
            <w:vAlign w:val="center"/>
          </w:tcPr>
          <w:p w14:paraId="111343AA"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.08170</w:t>
            </w:r>
          </w:p>
        </w:tc>
        <w:tc>
          <w:tcPr>
            <w:tcW w:w="618" w:type="dxa"/>
            <w:tcBorders>
              <w:top w:val="single" w:sz="4" w:space="0" w:color="auto"/>
              <w:bottom w:val="single" w:sz="4" w:space="0" w:color="auto"/>
              <w:tl2br w:val="nil"/>
              <w:tr2bl w:val="nil"/>
            </w:tcBorders>
            <w:shd w:val="clear" w:color="auto" w:fill="FFFFFF"/>
            <w:vAlign w:val="center"/>
          </w:tcPr>
          <w:p w14:paraId="2B1791CC"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.003</w:t>
            </w:r>
          </w:p>
        </w:tc>
        <w:tc>
          <w:tcPr>
            <w:tcW w:w="1012" w:type="dxa"/>
            <w:tcBorders>
              <w:top w:val="single" w:sz="4" w:space="0" w:color="auto"/>
              <w:bottom w:val="single" w:sz="4" w:space="0" w:color="auto"/>
              <w:tl2br w:val="nil"/>
              <w:tr2bl w:val="nil"/>
            </w:tcBorders>
            <w:shd w:val="clear" w:color="auto" w:fill="FFFFFF"/>
            <w:vAlign w:val="center"/>
          </w:tcPr>
          <w:p w14:paraId="42410C10"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-.5558</w:t>
            </w:r>
          </w:p>
        </w:tc>
        <w:tc>
          <w:tcPr>
            <w:tcW w:w="924" w:type="dxa"/>
            <w:tcBorders>
              <w:top w:val="single" w:sz="4" w:space="0" w:color="auto"/>
              <w:bottom w:val="single" w:sz="4" w:space="0" w:color="auto"/>
              <w:tl2br w:val="nil"/>
              <w:tr2bl w:val="nil"/>
            </w:tcBorders>
            <w:shd w:val="clear" w:color="auto" w:fill="FFFFFF"/>
            <w:vAlign w:val="center"/>
          </w:tcPr>
          <w:p w14:paraId="54788A3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-.0706</w:t>
            </w:r>
          </w:p>
        </w:tc>
        <w:tc>
          <w:tcPr>
            <w:tcW w:w="1455" w:type="dxa"/>
            <w:tcBorders>
              <w:top w:val="single" w:sz="4" w:space="0" w:color="auto"/>
              <w:bottom w:val="single" w:sz="4" w:space="0" w:color="auto"/>
              <w:tl2br w:val="nil"/>
              <w:tr2bl w:val="nil"/>
            </w:tcBorders>
            <w:shd w:val="clear" w:color="auto" w:fill="FFFFFF"/>
            <w:vAlign w:val="center"/>
          </w:tcPr>
          <w:p w14:paraId="2F5A6579"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r w:rsidR="00397B95" w:rsidRPr="00B76074" w14:paraId="5D33E46F" w14:textId="77777777" w:rsidTr="00397B95">
        <w:trPr>
          <w:cantSplit/>
          <w:trHeight w:val="244"/>
        </w:trPr>
        <w:tc>
          <w:tcPr>
            <w:tcW w:w="1080" w:type="dxa"/>
            <w:vMerge/>
            <w:tcBorders>
              <w:tl2br w:val="nil"/>
              <w:tr2bl w:val="nil"/>
            </w:tcBorders>
            <w:shd w:val="clear" w:color="auto" w:fill="FFFFFF"/>
            <w:vAlign w:val="center"/>
          </w:tcPr>
          <w:p w14:paraId="5452BE9E" w14:textId="77777777" w:rsidR="00372A1B" w:rsidRPr="00B76074" w:rsidRDefault="00372A1B" w:rsidP="00372A1B">
            <w:pPr>
              <w:rPr>
                <w:rFonts w:ascii="Arial" w:hAnsi="Arial"/>
                <w:sz w:val="18"/>
                <w:szCs w:val="18"/>
              </w:rPr>
            </w:pPr>
          </w:p>
        </w:tc>
        <w:tc>
          <w:tcPr>
            <w:tcW w:w="1362" w:type="dxa"/>
            <w:tcBorders>
              <w:top w:val="single" w:sz="4" w:space="0" w:color="auto"/>
              <w:bottom w:val="single" w:sz="4" w:space="0" w:color="auto"/>
              <w:tl2br w:val="nil"/>
              <w:tr2bl w:val="nil"/>
            </w:tcBorders>
            <w:shd w:val="clear" w:color="auto" w:fill="FFFFFF"/>
            <w:vAlign w:val="center"/>
          </w:tcPr>
          <w:p w14:paraId="05678E11" w14:textId="77777777" w:rsidR="00372A1B" w:rsidRPr="00B76074" w:rsidRDefault="00372A1B" w:rsidP="00372A1B">
            <w:pPr>
              <w:ind w:left="60" w:right="60"/>
              <w:rPr>
                <w:rFonts w:ascii="Arial" w:hAnsi="Arial"/>
                <w:sz w:val="18"/>
                <w:szCs w:val="18"/>
              </w:rPr>
            </w:pPr>
            <w:r w:rsidRPr="00B76074">
              <w:rPr>
                <w:rFonts w:ascii="Arial" w:hAnsi="Arial"/>
                <w:sz w:val="18"/>
                <w:szCs w:val="18"/>
              </w:rPr>
              <w:t>Graduate Level</w:t>
            </w:r>
          </w:p>
        </w:tc>
        <w:tc>
          <w:tcPr>
            <w:tcW w:w="978" w:type="dxa"/>
            <w:tcBorders>
              <w:top w:val="single" w:sz="4" w:space="0" w:color="auto"/>
              <w:bottom w:val="single" w:sz="4" w:space="0" w:color="auto"/>
              <w:tl2br w:val="nil"/>
              <w:tr2bl w:val="nil"/>
            </w:tcBorders>
            <w:shd w:val="clear" w:color="auto" w:fill="FFFFFF"/>
            <w:vAlign w:val="center"/>
          </w:tcPr>
          <w:p w14:paraId="70C1CD68"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-.44032</w:t>
            </w:r>
            <w:r w:rsidRPr="00B76074">
              <w:rPr>
                <w:rFonts w:ascii="Arial" w:hAnsi="Arial"/>
                <w:sz w:val="18"/>
                <w:szCs w:val="18"/>
                <w:vertAlign w:val="superscript"/>
              </w:rPr>
              <w:t>*</w:t>
            </w:r>
          </w:p>
        </w:tc>
        <w:tc>
          <w:tcPr>
            <w:tcW w:w="709" w:type="dxa"/>
            <w:tcBorders>
              <w:top w:val="single" w:sz="4" w:space="0" w:color="auto"/>
              <w:bottom w:val="single" w:sz="4" w:space="0" w:color="auto"/>
              <w:tl2br w:val="nil"/>
              <w:tr2bl w:val="nil"/>
            </w:tcBorders>
            <w:shd w:val="clear" w:color="auto" w:fill="FFFFFF"/>
            <w:vAlign w:val="center"/>
          </w:tcPr>
          <w:p w14:paraId="55F20791"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.10205</w:t>
            </w:r>
          </w:p>
        </w:tc>
        <w:tc>
          <w:tcPr>
            <w:tcW w:w="618" w:type="dxa"/>
            <w:tcBorders>
              <w:top w:val="single" w:sz="4" w:space="0" w:color="auto"/>
              <w:bottom w:val="single" w:sz="4" w:space="0" w:color="auto"/>
              <w:tl2br w:val="nil"/>
              <w:tr2bl w:val="nil"/>
            </w:tcBorders>
            <w:shd w:val="clear" w:color="auto" w:fill="FFFFFF"/>
            <w:vAlign w:val="center"/>
          </w:tcPr>
          <w:p w14:paraId="41191806"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.000</w:t>
            </w:r>
          </w:p>
        </w:tc>
        <w:tc>
          <w:tcPr>
            <w:tcW w:w="1012" w:type="dxa"/>
            <w:tcBorders>
              <w:top w:val="single" w:sz="4" w:space="0" w:color="auto"/>
              <w:bottom w:val="single" w:sz="4" w:space="0" w:color="auto"/>
              <w:tl2br w:val="nil"/>
              <w:tr2bl w:val="nil"/>
            </w:tcBorders>
            <w:shd w:val="clear" w:color="auto" w:fill="FFFFFF"/>
            <w:vAlign w:val="center"/>
          </w:tcPr>
          <w:p w14:paraId="7ABB698E"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-.7433</w:t>
            </w:r>
          </w:p>
        </w:tc>
        <w:tc>
          <w:tcPr>
            <w:tcW w:w="924" w:type="dxa"/>
            <w:tcBorders>
              <w:top w:val="single" w:sz="4" w:space="0" w:color="auto"/>
              <w:bottom w:val="single" w:sz="4" w:space="0" w:color="auto"/>
              <w:tl2br w:val="nil"/>
              <w:tr2bl w:val="nil"/>
            </w:tcBorders>
            <w:shd w:val="clear" w:color="auto" w:fill="FFFFFF"/>
            <w:vAlign w:val="center"/>
          </w:tcPr>
          <w:p w14:paraId="02CD6274"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-.1373</w:t>
            </w:r>
          </w:p>
        </w:tc>
        <w:tc>
          <w:tcPr>
            <w:tcW w:w="1455" w:type="dxa"/>
            <w:tcBorders>
              <w:top w:val="single" w:sz="4" w:space="0" w:color="auto"/>
              <w:bottom w:val="single" w:sz="4" w:space="0" w:color="auto"/>
              <w:tl2br w:val="nil"/>
              <w:tr2bl w:val="nil"/>
            </w:tcBorders>
            <w:shd w:val="clear" w:color="auto" w:fill="FFFFFF"/>
            <w:vAlign w:val="center"/>
          </w:tcPr>
          <w:p w14:paraId="1C46A4FB" w14:textId="77777777" w:rsidR="00372A1B" w:rsidRPr="00B76074" w:rsidRDefault="00372A1B" w:rsidP="00372A1B">
            <w:pPr>
              <w:ind w:left="60" w:right="60"/>
              <w:jc w:val="right"/>
              <w:rPr>
                <w:rFonts w:ascii="Arial" w:hAnsi="Arial"/>
                <w:sz w:val="18"/>
                <w:szCs w:val="18"/>
              </w:rPr>
            </w:pPr>
            <w:r w:rsidRPr="00B76074">
              <w:rPr>
                <w:rFonts w:ascii="Arial" w:hAnsi="Arial"/>
                <w:sz w:val="18"/>
                <w:szCs w:val="18"/>
              </w:rPr>
              <w:t>Has difference</w:t>
            </w:r>
          </w:p>
        </w:tc>
      </w:tr>
    </w:tbl>
    <w:p w14:paraId="731A1530" w14:textId="41CD7C33" w:rsidR="00372A1B" w:rsidRDefault="00372A1B" w:rsidP="00F3494B">
      <w:pPr>
        <w:ind w:firstLine="720"/>
        <w:jc w:val="both"/>
        <w:rPr>
          <w:rFonts w:ascii="Arial" w:hAnsi="Arial" w:cs="Arial"/>
          <w:bCs/>
          <w:lang w:val="en-PH"/>
        </w:rPr>
      </w:pPr>
      <w:r w:rsidRPr="00372A1B">
        <w:rPr>
          <w:rFonts w:ascii="Arial" w:hAnsi="Arial" w:cs="Arial"/>
          <w:bCs/>
          <w:lang w:val="en-PH"/>
        </w:rPr>
        <w:t xml:space="preserve">These findings indicate that stakeholders with higher educational attainment are more likely to embrace and align with </w:t>
      </w:r>
      <w:proofErr w:type="spellStart"/>
      <w:r w:rsidRPr="00372A1B">
        <w:rPr>
          <w:rFonts w:ascii="Arial" w:hAnsi="Arial" w:cs="Arial"/>
          <w:bCs/>
          <w:lang w:val="en-PH"/>
        </w:rPr>
        <w:t>DOrSU’s</w:t>
      </w:r>
      <w:proofErr w:type="spellEnd"/>
      <w:r w:rsidRPr="00372A1B">
        <w:rPr>
          <w:rFonts w:ascii="Arial" w:hAnsi="Arial" w:cs="Arial"/>
          <w:bCs/>
          <w:lang w:val="en-PH"/>
        </w:rPr>
        <w:t xml:space="preserve"> institutional goals, likely due to enhanced exposure to academic frameworks and a deeper understanding of the university’s mission and objectives. This outcome supports the claims of Yáñez et al. (2018) and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who emphasized that education enhances stakeholders’ ability to internalize and support institutional strategies. </w:t>
      </w:r>
    </w:p>
    <w:p w14:paraId="4AABC6BA" w14:textId="77777777" w:rsidR="00372A1B" w:rsidRDefault="00372A1B" w:rsidP="009B2A20">
      <w:pPr>
        <w:ind w:firstLine="720"/>
        <w:jc w:val="both"/>
        <w:rPr>
          <w:rFonts w:ascii="Arial" w:hAnsi="Arial" w:cs="Arial"/>
          <w:bCs/>
        </w:rPr>
      </w:pPr>
      <w:r w:rsidRPr="00372A1B">
        <w:rPr>
          <w:rFonts w:ascii="Arial" w:hAnsi="Arial" w:cs="Arial"/>
          <w:bCs/>
        </w:rPr>
        <w:t xml:space="preserve">The results reinforce Freeman’s Stakeholder Theory (1984), which explains that awareness and acceptance are influenced by engagement and the capacity to interpret institutional goals. This highlights the need for inclusive communication to bridge gaps among stakeholders with lower educational backgrounds and promote stronger alignment. </w:t>
      </w:r>
      <w:proofErr w:type="spellStart"/>
      <w:r w:rsidRPr="00372A1B">
        <w:rPr>
          <w:rFonts w:ascii="Arial" w:hAnsi="Arial" w:cs="Arial"/>
          <w:bCs/>
        </w:rPr>
        <w:t>DOrSU’s</w:t>
      </w:r>
      <w:proofErr w:type="spellEnd"/>
      <w:r w:rsidRPr="00372A1B">
        <w:rPr>
          <w:rFonts w:ascii="Arial" w:hAnsi="Arial" w:cs="Arial"/>
          <w:bCs/>
        </w:rPr>
        <w:t xml:space="preserve"> clear articulation of its Program Educational Objectives (PEOs) ensures that all education partners, from students to industry collaborators, contribute meaningfully to the achievement of its academic mission.</w:t>
      </w:r>
    </w:p>
    <w:p w14:paraId="4F1F2902" w14:textId="77777777" w:rsidR="00F3494B" w:rsidRPr="00372A1B" w:rsidRDefault="00F3494B" w:rsidP="00F3494B">
      <w:pPr>
        <w:ind w:firstLine="720"/>
        <w:jc w:val="center"/>
        <w:rPr>
          <w:rFonts w:ascii="Arial" w:hAnsi="Arial" w:cs="Arial"/>
          <w:bCs/>
        </w:rPr>
      </w:pPr>
    </w:p>
    <w:p w14:paraId="3AF3A3D0" w14:textId="77777777" w:rsidR="00372A1B" w:rsidRDefault="00372A1B" w:rsidP="00F3494B">
      <w:pPr>
        <w:jc w:val="center"/>
        <w:rPr>
          <w:rFonts w:ascii="Arial" w:hAnsi="Arial" w:cs="Arial"/>
          <w:b/>
          <w:bCs/>
        </w:rPr>
      </w:pPr>
      <w:r w:rsidRPr="00372A1B">
        <w:rPr>
          <w:rFonts w:ascii="Arial" w:hAnsi="Arial" w:cs="Arial"/>
          <w:b/>
          <w:bCs/>
        </w:rPr>
        <w:t xml:space="preserve">Relationship of </w:t>
      </w:r>
      <w:proofErr w:type="spellStart"/>
      <w:r w:rsidRPr="00372A1B">
        <w:rPr>
          <w:rFonts w:ascii="Arial" w:hAnsi="Arial" w:cs="Arial"/>
          <w:b/>
          <w:bCs/>
        </w:rPr>
        <w:t>DOrSU</w:t>
      </w:r>
      <w:proofErr w:type="spellEnd"/>
      <w:r w:rsidRPr="00372A1B">
        <w:rPr>
          <w:rFonts w:ascii="Arial" w:hAnsi="Arial" w:cs="Arial"/>
          <w:b/>
          <w:bCs/>
        </w:rPr>
        <w:t xml:space="preserve"> Stakeholders’ Level of Awareness and Level of Acceptance</w:t>
      </w:r>
    </w:p>
    <w:p w14:paraId="6197CF4D" w14:textId="77777777" w:rsidR="00F3494B" w:rsidRPr="00372A1B" w:rsidRDefault="00F3494B" w:rsidP="00F3494B">
      <w:pPr>
        <w:jc w:val="center"/>
        <w:rPr>
          <w:rFonts w:ascii="Arial" w:hAnsi="Arial" w:cs="Arial"/>
          <w:b/>
          <w:bCs/>
        </w:rPr>
      </w:pPr>
    </w:p>
    <w:p w14:paraId="2FE03F06" w14:textId="77777777" w:rsidR="00372A1B" w:rsidRDefault="00372A1B" w:rsidP="00372A1B">
      <w:pPr>
        <w:ind w:firstLine="720"/>
        <w:jc w:val="both"/>
        <w:rPr>
          <w:rFonts w:ascii="Arial" w:hAnsi="Arial" w:cs="Arial"/>
          <w:bCs/>
          <w:lang w:val="en-PH"/>
        </w:rPr>
      </w:pPr>
      <w:r w:rsidRPr="00372A1B">
        <w:rPr>
          <w:rFonts w:ascii="Arial" w:hAnsi="Arial" w:cs="Arial"/>
        </w:rPr>
        <w:t xml:space="preserve">The following table illustrates the relationship between the level of awareness and acceptance among </w:t>
      </w:r>
      <w:proofErr w:type="spellStart"/>
      <w:r w:rsidRPr="00372A1B">
        <w:rPr>
          <w:rFonts w:ascii="Arial" w:hAnsi="Arial" w:cs="Arial"/>
        </w:rPr>
        <w:t>DOrSU</w:t>
      </w:r>
      <w:proofErr w:type="spellEnd"/>
      <w:r w:rsidRPr="00372A1B">
        <w:rPr>
          <w:rFonts w:ascii="Arial" w:hAnsi="Arial" w:cs="Arial"/>
        </w:rPr>
        <w:t xml:space="preserve"> stakeholders. It </w:t>
      </w:r>
      <w:r w:rsidRPr="00372A1B">
        <w:rPr>
          <w:rFonts w:ascii="Arial" w:hAnsi="Arial" w:cs="Arial"/>
          <w:bCs/>
          <w:lang w:val="en-PH"/>
        </w:rPr>
        <w:t xml:space="preserve">shows that the Pearson correlation analysis was conducted to examine the relationship between stakeholders' awareness and acceptance of </w:t>
      </w:r>
      <w:proofErr w:type="spellStart"/>
      <w:r w:rsidRPr="00372A1B">
        <w:rPr>
          <w:rFonts w:ascii="Arial" w:hAnsi="Arial" w:cs="Arial"/>
          <w:bCs/>
          <w:lang w:val="en-PH"/>
        </w:rPr>
        <w:t>DOrSU’s</w:t>
      </w:r>
      <w:proofErr w:type="spellEnd"/>
      <w:r w:rsidRPr="00372A1B">
        <w:rPr>
          <w:rFonts w:ascii="Arial" w:hAnsi="Arial" w:cs="Arial"/>
          <w:bCs/>
          <w:lang w:val="en-PH"/>
        </w:rPr>
        <w:t xml:space="preserve"> Vision, Mission, and Program Educational Objectives (VMPEO). The results show a strong positive correlation between awareness and acceptance, with a correlation coefficient of (r = 0.874 and a p-value of 0.000), indicating that the relationship is highly significant at the (0.01 level 2-tailed).</w:t>
      </w:r>
    </w:p>
    <w:p w14:paraId="7E5ABFC2" w14:textId="77777777" w:rsidR="00F3494B" w:rsidRPr="00372A1B" w:rsidRDefault="00F3494B" w:rsidP="00372A1B">
      <w:pPr>
        <w:ind w:firstLine="720"/>
        <w:jc w:val="both"/>
        <w:rPr>
          <w:rFonts w:ascii="Arial" w:hAnsi="Arial" w:cs="Arial"/>
          <w:bCs/>
          <w:lang w:val="en-PH"/>
        </w:rPr>
      </w:pPr>
    </w:p>
    <w:p w14:paraId="48DEA890" w14:textId="372320D7" w:rsidR="00372A1B" w:rsidRPr="00372A1B" w:rsidRDefault="00372A1B" w:rsidP="00372A1B">
      <w:pPr>
        <w:jc w:val="both"/>
        <w:rPr>
          <w:rFonts w:ascii="Arial" w:hAnsi="Arial" w:cs="Arial"/>
        </w:rPr>
      </w:pPr>
      <w:r w:rsidRPr="00372A1B">
        <w:rPr>
          <w:rFonts w:ascii="Arial" w:hAnsi="Arial" w:cs="Arial"/>
        </w:rPr>
        <w:t>Table 2</w:t>
      </w:r>
      <w:r w:rsidR="00F3494B">
        <w:rPr>
          <w:rFonts w:ascii="Arial" w:hAnsi="Arial" w:cs="Arial"/>
        </w:rPr>
        <w:t>5</w:t>
      </w:r>
      <w:r w:rsidRPr="00372A1B">
        <w:rPr>
          <w:rFonts w:ascii="Arial" w:hAnsi="Arial" w:cs="Arial"/>
        </w:rPr>
        <w:t xml:space="preserve">: Relationship between the level of awareness and the level of acceptance of </w:t>
      </w:r>
      <w:proofErr w:type="spellStart"/>
      <w:r w:rsidRPr="00372A1B">
        <w:rPr>
          <w:rFonts w:ascii="Arial" w:hAnsi="Arial" w:cs="Arial"/>
        </w:rPr>
        <w:t>DOrSU’s</w:t>
      </w:r>
      <w:proofErr w:type="spellEnd"/>
      <w:r w:rsidRPr="00372A1B">
        <w:rPr>
          <w:rFonts w:ascii="Arial" w:hAnsi="Arial" w:cs="Arial"/>
        </w:rPr>
        <w:t xml:space="preserve"> vision, mission, and program educational objectives (PEO) according to age, gender, educational attainment, and stakeholder category</w:t>
      </w:r>
    </w:p>
    <w:tbl>
      <w:tblPr>
        <w:tblW w:w="8184" w:type="dxa"/>
        <w:tblLayout w:type="fixed"/>
        <w:tblCellMar>
          <w:left w:w="0" w:type="dxa"/>
          <w:right w:w="0" w:type="dxa"/>
        </w:tblCellMar>
        <w:tblLook w:val="04A0" w:firstRow="1" w:lastRow="0" w:firstColumn="1" w:lastColumn="0" w:noHBand="0" w:noVBand="1"/>
      </w:tblPr>
      <w:tblGrid>
        <w:gridCol w:w="2268"/>
        <w:gridCol w:w="2570"/>
        <w:gridCol w:w="1670"/>
        <w:gridCol w:w="1676"/>
      </w:tblGrid>
      <w:tr w:rsidR="00372A1B" w:rsidRPr="00F3494B" w14:paraId="774CAA15" w14:textId="77777777" w:rsidTr="00F3494B">
        <w:trPr>
          <w:cantSplit/>
          <w:trHeight w:val="195"/>
        </w:trPr>
        <w:tc>
          <w:tcPr>
            <w:tcW w:w="4838" w:type="dxa"/>
            <w:gridSpan w:val="2"/>
            <w:tcBorders>
              <w:top w:val="single" w:sz="4" w:space="0" w:color="auto"/>
              <w:bottom w:val="single" w:sz="4" w:space="0" w:color="auto"/>
              <w:tl2br w:val="nil"/>
              <w:tr2bl w:val="nil"/>
            </w:tcBorders>
            <w:shd w:val="clear" w:color="auto" w:fill="FFFFFF"/>
          </w:tcPr>
          <w:p w14:paraId="20F57EEC" w14:textId="77777777" w:rsidR="00372A1B" w:rsidRPr="00F3494B" w:rsidRDefault="00372A1B" w:rsidP="00372A1B">
            <w:pPr>
              <w:ind w:left="60" w:right="60"/>
              <w:rPr>
                <w:rFonts w:ascii="Arial" w:hAnsi="Arial"/>
                <w:sz w:val="18"/>
                <w:szCs w:val="18"/>
              </w:rPr>
            </w:pPr>
          </w:p>
        </w:tc>
        <w:tc>
          <w:tcPr>
            <w:tcW w:w="1670" w:type="dxa"/>
            <w:tcBorders>
              <w:top w:val="single" w:sz="4" w:space="0" w:color="auto"/>
              <w:bottom w:val="single" w:sz="4" w:space="0" w:color="auto"/>
              <w:tl2br w:val="nil"/>
              <w:tr2bl w:val="nil"/>
            </w:tcBorders>
            <w:shd w:val="clear" w:color="auto" w:fill="FFFFFF"/>
          </w:tcPr>
          <w:p w14:paraId="0512D8B6"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Awareness of VMPEO</w:t>
            </w:r>
          </w:p>
        </w:tc>
        <w:tc>
          <w:tcPr>
            <w:tcW w:w="1674" w:type="dxa"/>
            <w:tcBorders>
              <w:top w:val="single" w:sz="4" w:space="0" w:color="auto"/>
              <w:bottom w:val="single" w:sz="4" w:space="0" w:color="auto"/>
              <w:tl2br w:val="nil"/>
              <w:tr2bl w:val="nil"/>
            </w:tcBorders>
            <w:shd w:val="clear" w:color="auto" w:fill="FFFFFF"/>
          </w:tcPr>
          <w:p w14:paraId="3F1081B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Acceptance of VMPEO</w:t>
            </w:r>
          </w:p>
        </w:tc>
      </w:tr>
      <w:tr w:rsidR="00372A1B" w:rsidRPr="00F3494B" w14:paraId="3324C10A" w14:textId="77777777" w:rsidTr="00F3494B">
        <w:trPr>
          <w:cantSplit/>
          <w:trHeight w:val="341"/>
        </w:trPr>
        <w:tc>
          <w:tcPr>
            <w:tcW w:w="2268" w:type="dxa"/>
            <w:vMerge w:val="restart"/>
            <w:tcBorders>
              <w:top w:val="single" w:sz="4" w:space="0" w:color="auto"/>
              <w:bottom w:val="single" w:sz="4" w:space="0" w:color="auto"/>
              <w:tl2br w:val="nil"/>
              <w:tr2bl w:val="nil"/>
            </w:tcBorders>
            <w:shd w:val="clear" w:color="auto" w:fill="FFFFFF"/>
            <w:vAlign w:val="center"/>
          </w:tcPr>
          <w:p w14:paraId="5325E3B6" w14:textId="77777777" w:rsidR="00372A1B" w:rsidRPr="00F3494B" w:rsidRDefault="00372A1B" w:rsidP="00372A1B">
            <w:pPr>
              <w:ind w:left="60" w:right="60"/>
              <w:rPr>
                <w:rFonts w:ascii="Arial" w:hAnsi="Arial"/>
                <w:sz w:val="18"/>
                <w:szCs w:val="18"/>
              </w:rPr>
            </w:pPr>
            <w:r w:rsidRPr="00F3494B">
              <w:rPr>
                <w:rFonts w:ascii="Arial" w:hAnsi="Arial"/>
                <w:sz w:val="18"/>
                <w:szCs w:val="18"/>
              </w:rPr>
              <w:t>Awareness of VMPEO</w:t>
            </w:r>
          </w:p>
        </w:tc>
        <w:tc>
          <w:tcPr>
            <w:tcW w:w="2570" w:type="dxa"/>
            <w:tcBorders>
              <w:top w:val="single" w:sz="4" w:space="0" w:color="auto"/>
              <w:bottom w:val="single" w:sz="4" w:space="0" w:color="auto"/>
              <w:tl2br w:val="nil"/>
              <w:tr2bl w:val="nil"/>
            </w:tcBorders>
            <w:shd w:val="clear" w:color="auto" w:fill="FFFFFF"/>
            <w:vAlign w:val="center"/>
          </w:tcPr>
          <w:p w14:paraId="6F9D8F29" w14:textId="77777777" w:rsidR="00372A1B" w:rsidRPr="00F3494B" w:rsidRDefault="00372A1B" w:rsidP="00372A1B">
            <w:pPr>
              <w:ind w:left="60" w:right="60"/>
              <w:rPr>
                <w:rFonts w:ascii="Arial" w:hAnsi="Arial"/>
                <w:sz w:val="18"/>
                <w:szCs w:val="18"/>
              </w:rPr>
            </w:pPr>
            <w:r w:rsidRPr="00F3494B">
              <w:rPr>
                <w:rFonts w:ascii="Arial" w:hAnsi="Arial"/>
                <w:sz w:val="18"/>
                <w:szCs w:val="18"/>
              </w:rPr>
              <w:t>Pearson Correlation</w:t>
            </w:r>
          </w:p>
        </w:tc>
        <w:tc>
          <w:tcPr>
            <w:tcW w:w="1670" w:type="dxa"/>
            <w:tcBorders>
              <w:top w:val="single" w:sz="4" w:space="0" w:color="auto"/>
              <w:bottom w:val="single" w:sz="4" w:space="0" w:color="auto"/>
              <w:tl2br w:val="nil"/>
              <w:tr2bl w:val="nil"/>
            </w:tcBorders>
            <w:shd w:val="clear" w:color="auto" w:fill="FFFFFF"/>
            <w:vAlign w:val="center"/>
          </w:tcPr>
          <w:p w14:paraId="0A8A1421"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1</w:t>
            </w:r>
          </w:p>
        </w:tc>
        <w:tc>
          <w:tcPr>
            <w:tcW w:w="1674" w:type="dxa"/>
            <w:tcBorders>
              <w:top w:val="single" w:sz="4" w:space="0" w:color="auto"/>
              <w:bottom w:val="single" w:sz="4" w:space="0" w:color="auto"/>
              <w:tl2br w:val="nil"/>
              <w:tr2bl w:val="nil"/>
            </w:tcBorders>
            <w:shd w:val="clear" w:color="auto" w:fill="FFFFFF"/>
            <w:vAlign w:val="center"/>
          </w:tcPr>
          <w:p w14:paraId="6E32EFC1"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.874</w:t>
            </w:r>
            <w:r w:rsidRPr="00F3494B">
              <w:rPr>
                <w:rFonts w:ascii="Arial" w:hAnsi="Arial"/>
                <w:sz w:val="18"/>
                <w:szCs w:val="18"/>
                <w:vertAlign w:val="superscript"/>
              </w:rPr>
              <w:t>**</w:t>
            </w:r>
          </w:p>
        </w:tc>
      </w:tr>
      <w:tr w:rsidR="00372A1B" w:rsidRPr="00F3494B" w14:paraId="5B604094" w14:textId="77777777" w:rsidTr="00F3494B">
        <w:trPr>
          <w:cantSplit/>
          <w:trHeight w:val="341"/>
        </w:trPr>
        <w:tc>
          <w:tcPr>
            <w:tcW w:w="2268" w:type="dxa"/>
            <w:vMerge/>
            <w:tcBorders>
              <w:top w:val="single" w:sz="4" w:space="0" w:color="auto"/>
              <w:tl2br w:val="nil"/>
              <w:tr2bl w:val="nil"/>
            </w:tcBorders>
            <w:shd w:val="clear" w:color="auto" w:fill="FFFFFF"/>
            <w:vAlign w:val="center"/>
          </w:tcPr>
          <w:p w14:paraId="240E7546"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59B5D3B2" w14:textId="77777777" w:rsidR="00372A1B" w:rsidRPr="00F3494B" w:rsidRDefault="00372A1B" w:rsidP="00372A1B">
            <w:pPr>
              <w:ind w:left="60" w:right="60"/>
              <w:rPr>
                <w:rFonts w:ascii="Arial" w:hAnsi="Arial"/>
                <w:sz w:val="18"/>
                <w:szCs w:val="18"/>
              </w:rPr>
            </w:pPr>
            <w:r w:rsidRPr="00F3494B">
              <w:rPr>
                <w:rFonts w:ascii="Arial" w:hAnsi="Arial"/>
                <w:sz w:val="18"/>
                <w:szCs w:val="18"/>
              </w:rPr>
              <w:t>Sig. (2-tailed)</w:t>
            </w:r>
          </w:p>
        </w:tc>
        <w:tc>
          <w:tcPr>
            <w:tcW w:w="1670" w:type="dxa"/>
            <w:tcBorders>
              <w:top w:val="single" w:sz="4" w:space="0" w:color="auto"/>
              <w:bottom w:val="single" w:sz="4" w:space="0" w:color="auto"/>
              <w:tl2br w:val="nil"/>
              <w:tr2bl w:val="nil"/>
            </w:tcBorders>
            <w:shd w:val="clear" w:color="auto" w:fill="FFFFFF"/>
          </w:tcPr>
          <w:p w14:paraId="2F8748A1" w14:textId="77777777" w:rsidR="00372A1B" w:rsidRPr="00F3494B" w:rsidRDefault="00372A1B" w:rsidP="00372A1B">
            <w:pPr>
              <w:jc w:val="center"/>
              <w:rPr>
                <w:sz w:val="18"/>
                <w:szCs w:val="18"/>
              </w:rPr>
            </w:pPr>
          </w:p>
        </w:tc>
        <w:tc>
          <w:tcPr>
            <w:tcW w:w="1674" w:type="dxa"/>
            <w:tcBorders>
              <w:top w:val="single" w:sz="4" w:space="0" w:color="auto"/>
              <w:bottom w:val="single" w:sz="4" w:space="0" w:color="auto"/>
              <w:tl2br w:val="nil"/>
              <w:tr2bl w:val="nil"/>
            </w:tcBorders>
            <w:shd w:val="clear" w:color="auto" w:fill="FFFFFF"/>
            <w:vAlign w:val="center"/>
          </w:tcPr>
          <w:p w14:paraId="73FA10B7"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.000</w:t>
            </w:r>
          </w:p>
        </w:tc>
      </w:tr>
      <w:tr w:rsidR="00372A1B" w:rsidRPr="00F3494B" w14:paraId="0B5D1586" w14:textId="77777777" w:rsidTr="00F3494B">
        <w:trPr>
          <w:cantSplit/>
          <w:trHeight w:val="186"/>
        </w:trPr>
        <w:tc>
          <w:tcPr>
            <w:tcW w:w="2268" w:type="dxa"/>
            <w:vMerge/>
            <w:tcBorders>
              <w:bottom w:val="single" w:sz="4" w:space="0" w:color="auto"/>
              <w:tl2br w:val="nil"/>
              <w:tr2bl w:val="nil"/>
            </w:tcBorders>
            <w:shd w:val="clear" w:color="auto" w:fill="FFFFFF"/>
            <w:vAlign w:val="center"/>
          </w:tcPr>
          <w:p w14:paraId="169A5099"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3912C776" w14:textId="77777777" w:rsidR="00372A1B" w:rsidRPr="00F3494B" w:rsidRDefault="00372A1B" w:rsidP="00372A1B">
            <w:pPr>
              <w:ind w:left="60" w:right="60"/>
              <w:rPr>
                <w:rFonts w:ascii="Arial" w:hAnsi="Arial"/>
                <w:sz w:val="18"/>
                <w:szCs w:val="18"/>
              </w:rPr>
            </w:pPr>
            <w:r w:rsidRPr="00F3494B">
              <w:rPr>
                <w:rFonts w:ascii="Arial" w:hAnsi="Arial"/>
                <w:sz w:val="18"/>
                <w:szCs w:val="18"/>
              </w:rPr>
              <w:t>N</w:t>
            </w:r>
          </w:p>
        </w:tc>
        <w:tc>
          <w:tcPr>
            <w:tcW w:w="1670" w:type="dxa"/>
            <w:tcBorders>
              <w:top w:val="single" w:sz="4" w:space="0" w:color="auto"/>
              <w:bottom w:val="single" w:sz="4" w:space="0" w:color="auto"/>
              <w:tl2br w:val="nil"/>
              <w:tr2bl w:val="nil"/>
            </w:tcBorders>
            <w:shd w:val="clear" w:color="auto" w:fill="FFFFFF"/>
            <w:vAlign w:val="center"/>
          </w:tcPr>
          <w:p w14:paraId="207AD77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c>
          <w:tcPr>
            <w:tcW w:w="1674" w:type="dxa"/>
            <w:tcBorders>
              <w:top w:val="single" w:sz="4" w:space="0" w:color="auto"/>
              <w:bottom w:val="single" w:sz="4" w:space="0" w:color="auto"/>
              <w:tl2br w:val="nil"/>
              <w:tr2bl w:val="nil"/>
            </w:tcBorders>
            <w:shd w:val="clear" w:color="auto" w:fill="FFFFFF"/>
            <w:vAlign w:val="center"/>
          </w:tcPr>
          <w:p w14:paraId="23A851F6"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r>
      <w:tr w:rsidR="00372A1B" w:rsidRPr="00F3494B" w14:paraId="6BE82C68" w14:textId="77777777" w:rsidTr="00F3494B">
        <w:trPr>
          <w:cantSplit/>
          <w:trHeight w:val="341"/>
        </w:trPr>
        <w:tc>
          <w:tcPr>
            <w:tcW w:w="2268" w:type="dxa"/>
            <w:vMerge w:val="restart"/>
            <w:tcBorders>
              <w:top w:val="single" w:sz="4" w:space="0" w:color="auto"/>
              <w:tl2br w:val="nil"/>
              <w:tr2bl w:val="nil"/>
            </w:tcBorders>
            <w:shd w:val="clear" w:color="auto" w:fill="FFFFFF"/>
            <w:vAlign w:val="center"/>
          </w:tcPr>
          <w:p w14:paraId="0D0F7047" w14:textId="77777777" w:rsidR="00372A1B" w:rsidRPr="00F3494B" w:rsidRDefault="00372A1B" w:rsidP="00372A1B">
            <w:pPr>
              <w:ind w:left="60" w:right="60"/>
              <w:rPr>
                <w:rFonts w:ascii="Arial" w:hAnsi="Arial"/>
                <w:sz w:val="18"/>
                <w:szCs w:val="18"/>
              </w:rPr>
            </w:pPr>
            <w:r w:rsidRPr="00F3494B">
              <w:rPr>
                <w:rFonts w:ascii="Arial" w:hAnsi="Arial"/>
                <w:sz w:val="18"/>
                <w:szCs w:val="18"/>
              </w:rPr>
              <w:t>Acceptance of VMPEO</w:t>
            </w:r>
          </w:p>
        </w:tc>
        <w:tc>
          <w:tcPr>
            <w:tcW w:w="2570" w:type="dxa"/>
            <w:tcBorders>
              <w:top w:val="single" w:sz="4" w:space="0" w:color="auto"/>
              <w:bottom w:val="single" w:sz="4" w:space="0" w:color="auto"/>
              <w:tl2br w:val="nil"/>
              <w:tr2bl w:val="nil"/>
            </w:tcBorders>
            <w:shd w:val="clear" w:color="auto" w:fill="FFFFFF"/>
            <w:vAlign w:val="center"/>
          </w:tcPr>
          <w:p w14:paraId="245308EB" w14:textId="77777777" w:rsidR="00372A1B" w:rsidRPr="00F3494B" w:rsidRDefault="00372A1B" w:rsidP="00372A1B">
            <w:pPr>
              <w:ind w:left="60" w:right="60"/>
              <w:rPr>
                <w:rFonts w:ascii="Arial" w:hAnsi="Arial"/>
                <w:sz w:val="18"/>
                <w:szCs w:val="18"/>
              </w:rPr>
            </w:pPr>
            <w:r w:rsidRPr="00F3494B">
              <w:rPr>
                <w:rFonts w:ascii="Arial" w:hAnsi="Arial"/>
                <w:sz w:val="18"/>
                <w:szCs w:val="18"/>
              </w:rPr>
              <w:t>Pearson Correlation</w:t>
            </w:r>
          </w:p>
        </w:tc>
        <w:tc>
          <w:tcPr>
            <w:tcW w:w="1670" w:type="dxa"/>
            <w:tcBorders>
              <w:top w:val="single" w:sz="4" w:space="0" w:color="auto"/>
              <w:bottom w:val="single" w:sz="4" w:space="0" w:color="auto"/>
              <w:tl2br w:val="nil"/>
              <w:tr2bl w:val="nil"/>
            </w:tcBorders>
            <w:shd w:val="clear" w:color="auto" w:fill="FFFFFF"/>
            <w:vAlign w:val="center"/>
          </w:tcPr>
          <w:p w14:paraId="2089F0E5"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.874</w:t>
            </w:r>
            <w:r w:rsidRPr="00F3494B">
              <w:rPr>
                <w:rFonts w:ascii="Arial" w:hAnsi="Arial"/>
                <w:sz w:val="18"/>
                <w:szCs w:val="18"/>
                <w:vertAlign w:val="superscript"/>
              </w:rPr>
              <w:t>**</w:t>
            </w:r>
          </w:p>
        </w:tc>
        <w:tc>
          <w:tcPr>
            <w:tcW w:w="1674" w:type="dxa"/>
            <w:tcBorders>
              <w:top w:val="single" w:sz="4" w:space="0" w:color="auto"/>
              <w:bottom w:val="single" w:sz="4" w:space="0" w:color="auto"/>
              <w:tl2br w:val="nil"/>
              <w:tr2bl w:val="nil"/>
            </w:tcBorders>
            <w:shd w:val="clear" w:color="auto" w:fill="FFFFFF"/>
            <w:vAlign w:val="center"/>
          </w:tcPr>
          <w:p w14:paraId="66EB4CA4"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1</w:t>
            </w:r>
          </w:p>
        </w:tc>
      </w:tr>
      <w:tr w:rsidR="00372A1B" w:rsidRPr="00F3494B" w14:paraId="51A99E93" w14:textId="77777777" w:rsidTr="00F3494B">
        <w:trPr>
          <w:cantSplit/>
          <w:trHeight w:val="341"/>
        </w:trPr>
        <w:tc>
          <w:tcPr>
            <w:tcW w:w="2268" w:type="dxa"/>
            <w:vMerge/>
            <w:tcBorders>
              <w:tl2br w:val="nil"/>
              <w:tr2bl w:val="nil"/>
            </w:tcBorders>
            <w:shd w:val="clear" w:color="auto" w:fill="FFFFFF"/>
            <w:vAlign w:val="center"/>
          </w:tcPr>
          <w:p w14:paraId="44FC8326" w14:textId="77777777" w:rsidR="00372A1B" w:rsidRPr="00F3494B" w:rsidRDefault="00372A1B" w:rsidP="00372A1B">
            <w:pPr>
              <w:rPr>
                <w:rFonts w:ascii="Arial" w:hAnsi="Arial"/>
                <w:sz w:val="18"/>
                <w:szCs w:val="18"/>
              </w:rPr>
            </w:pPr>
          </w:p>
        </w:tc>
        <w:tc>
          <w:tcPr>
            <w:tcW w:w="2570" w:type="dxa"/>
            <w:tcBorders>
              <w:top w:val="single" w:sz="4" w:space="0" w:color="auto"/>
              <w:bottom w:val="single" w:sz="4" w:space="0" w:color="auto"/>
              <w:tl2br w:val="nil"/>
              <w:tr2bl w:val="nil"/>
            </w:tcBorders>
            <w:shd w:val="clear" w:color="auto" w:fill="FFFFFF"/>
            <w:vAlign w:val="center"/>
          </w:tcPr>
          <w:p w14:paraId="26401BE7" w14:textId="77777777" w:rsidR="00372A1B" w:rsidRPr="00F3494B" w:rsidRDefault="00372A1B" w:rsidP="00372A1B">
            <w:pPr>
              <w:ind w:left="60" w:right="60"/>
              <w:rPr>
                <w:rFonts w:ascii="Arial" w:hAnsi="Arial"/>
                <w:sz w:val="18"/>
                <w:szCs w:val="18"/>
              </w:rPr>
            </w:pPr>
            <w:r w:rsidRPr="00F3494B">
              <w:rPr>
                <w:rFonts w:ascii="Arial" w:hAnsi="Arial"/>
                <w:sz w:val="18"/>
                <w:szCs w:val="18"/>
              </w:rPr>
              <w:t>Sig. (2-tailed)</w:t>
            </w:r>
          </w:p>
        </w:tc>
        <w:tc>
          <w:tcPr>
            <w:tcW w:w="1670" w:type="dxa"/>
            <w:tcBorders>
              <w:top w:val="single" w:sz="4" w:space="0" w:color="auto"/>
              <w:bottom w:val="single" w:sz="4" w:space="0" w:color="auto"/>
              <w:tl2br w:val="nil"/>
              <w:tr2bl w:val="nil"/>
            </w:tcBorders>
            <w:shd w:val="clear" w:color="auto" w:fill="FFFFFF"/>
            <w:vAlign w:val="center"/>
          </w:tcPr>
          <w:p w14:paraId="047B3142"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.000</w:t>
            </w:r>
          </w:p>
        </w:tc>
        <w:tc>
          <w:tcPr>
            <w:tcW w:w="1674" w:type="dxa"/>
            <w:tcBorders>
              <w:top w:val="single" w:sz="4" w:space="0" w:color="auto"/>
              <w:bottom w:val="single" w:sz="4" w:space="0" w:color="auto"/>
              <w:tl2br w:val="nil"/>
              <w:tr2bl w:val="nil"/>
            </w:tcBorders>
            <w:shd w:val="clear" w:color="auto" w:fill="FFFFFF"/>
          </w:tcPr>
          <w:p w14:paraId="051D5745" w14:textId="77777777" w:rsidR="00372A1B" w:rsidRPr="00F3494B" w:rsidRDefault="00372A1B" w:rsidP="00372A1B">
            <w:pPr>
              <w:jc w:val="center"/>
              <w:rPr>
                <w:sz w:val="18"/>
                <w:szCs w:val="18"/>
              </w:rPr>
            </w:pPr>
          </w:p>
        </w:tc>
      </w:tr>
      <w:tr w:rsidR="00372A1B" w:rsidRPr="00F3494B" w14:paraId="0F4FFC64" w14:textId="77777777" w:rsidTr="00F3494B">
        <w:trPr>
          <w:cantSplit/>
          <w:trHeight w:val="341"/>
        </w:trPr>
        <w:tc>
          <w:tcPr>
            <w:tcW w:w="2268" w:type="dxa"/>
            <w:vMerge/>
            <w:tcBorders>
              <w:bottom w:val="single" w:sz="4" w:space="0" w:color="auto"/>
              <w:tl2br w:val="nil"/>
              <w:tr2bl w:val="nil"/>
            </w:tcBorders>
            <w:shd w:val="clear" w:color="auto" w:fill="FFFFFF"/>
            <w:vAlign w:val="center"/>
          </w:tcPr>
          <w:p w14:paraId="73354331" w14:textId="77777777" w:rsidR="00372A1B" w:rsidRPr="00F3494B" w:rsidRDefault="00372A1B" w:rsidP="00372A1B">
            <w:pPr>
              <w:rPr>
                <w:sz w:val="18"/>
                <w:szCs w:val="18"/>
              </w:rPr>
            </w:pPr>
          </w:p>
        </w:tc>
        <w:tc>
          <w:tcPr>
            <w:tcW w:w="2570" w:type="dxa"/>
            <w:tcBorders>
              <w:top w:val="single" w:sz="4" w:space="0" w:color="auto"/>
              <w:bottom w:val="nil"/>
              <w:tl2br w:val="nil"/>
              <w:tr2bl w:val="nil"/>
            </w:tcBorders>
            <w:shd w:val="clear" w:color="auto" w:fill="FFFFFF"/>
            <w:vAlign w:val="center"/>
          </w:tcPr>
          <w:p w14:paraId="5D5FAE2D" w14:textId="77777777" w:rsidR="00372A1B" w:rsidRPr="00F3494B" w:rsidRDefault="00372A1B" w:rsidP="00372A1B">
            <w:pPr>
              <w:ind w:left="60" w:right="60"/>
              <w:rPr>
                <w:rFonts w:ascii="Arial" w:hAnsi="Arial"/>
                <w:sz w:val="18"/>
                <w:szCs w:val="18"/>
              </w:rPr>
            </w:pPr>
            <w:r w:rsidRPr="00F3494B">
              <w:rPr>
                <w:rFonts w:ascii="Arial" w:hAnsi="Arial"/>
                <w:sz w:val="18"/>
                <w:szCs w:val="18"/>
              </w:rPr>
              <w:t>N</w:t>
            </w:r>
          </w:p>
        </w:tc>
        <w:tc>
          <w:tcPr>
            <w:tcW w:w="1670" w:type="dxa"/>
            <w:tcBorders>
              <w:top w:val="single" w:sz="4" w:space="0" w:color="auto"/>
              <w:bottom w:val="nil"/>
              <w:tl2br w:val="nil"/>
              <w:tr2bl w:val="nil"/>
            </w:tcBorders>
            <w:shd w:val="clear" w:color="auto" w:fill="FFFFFF"/>
            <w:vAlign w:val="center"/>
          </w:tcPr>
          <w:p w14:paraId="3AA9EC75"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c>
          <w:tcPr>
            <w:tcW w:w="1674" w:type="dxa"/>
            <w:tcBorders>
              <w:top w:val="single" w:sz="4" w:space="0" w:color="auto"/>
              <w:bottom w:val="nil"/>
              <w:tl2br w:val="nil"/>
              <w:tr2bl w:val="nil"/>
            </w:tcBorders>
            <w:shd w:val="clear" w:color="auto" w:fill="FFFFFF"/>
            <w:vAlign w:val="center"/>
          </w:tcPr>
          <w:p w14:paraId="23E124DD" w14:textId="77777777" w:rsidR="00372A1B" w:rsidRPr="00F3494B" w:rsidRDefault="00372A1B" w:rsidP="00372A1B">
            <w:pPr>
              <w:ind w:left="60" w:right="60"/>
              <w:jc w:val="center"/>
              <w:rPr>
                <w:rFonts w:ascii="Arial" w:hAnsi="Arial"/>
                <w:sz w:val="18"/>
                <w:szCs w:val="18"/>
              </w:rPr>
            </w:pPr>
            <w:r w:rsidRPr="00F3494B">
              <w:rPr>
                <w:rFonts w:ascii="Arial" w:hAnsi="Arial"/>
                <w:sz w:val="18"/>
                <w:szCs w:val="18"/>
              </w:rPr>
              <w:t>299</w:t>
            </w:r>
          </w:p>
        </w:tc>
      </w:tr>
      <w:tr w:rsidR="00372A1B" w:rsidRPr="00F3494B" w14:paraId="2ABED4F6" w14:textId="77777777" w:rsidTr="00F3494B">
        <w:trPr>
          <w:cantSplit/>
          <w:trHeight w:val="341"/>
        </w:trPr>
        <w:tc>
          <w:tcPr>
            <w:tcW w:w="8184" w:type="dxa"/>
            <w:gridSpan w:val="4"/>
            <w:tcBorders>
              <w:top w:val="single" w:sz="4" w:space="0" w:color="auto"/>
              <w:tl2br w:val="nil"/>
              <w:tr2bl w:val="nil"/>
            </w:tcBorders>
            <w:shd w:val="clear" w:color="auto" w:fill="FFFFFF"/>
          </w:tcPr>
          <w:p w14:paraId="0A925475" w14:textId="77777777" w:rsidR="00372A1B" w:rsidRPr="00F3494B" w:rsidRDefault="00372A1B" w:rsidP="00372A1B">
            <w:pPr>
              <w:ind w:left="60" w:right="60"/>
              <w:rPr>
                <w:rFonts w:ascii="Arial" w:hAnsi="Arial"/>
                <w:sz w:val="18"/>
                <w:szCs w:val="18"/>
              </w:rPr>
            </w:pPr>
          </w:p>
        </w:tc>
      </w:tr>
    </w:tbl>
    <w:p w14:paraId="75FCADA4" w14:textId="77777777" w:rsidR="00372A1B" w:rsidRDefault="00372A1B" w:rsidP="00372A1B">
      <w:pPr>
        <w:ind w:firstLine="720"/>
        <w:jc w:val="both"/>
        <w:rPr>
          <w:rFonts w:ascii="Arial" w:hAnsi="Arial" w:cs="Arial"/>
          <w:bCs/>
          <w:lang w:val="en-PH"/>
        </w:rPr>
      </w:pPr>
      <w:r w:rsidRPr="00372A1B">
        <w:rPr>
          <w:rFonts w:ascii="Arial" w:hAnsi="Arial" w:cs="Arial"/>
          <w:bCs/>
          <w:lang w:val="en-PH"/>
        </w:rPr>
        <w:t xml:space="preserve">This finding implies that as stakeholders’ awareness increases, their acceptance of the VMPEO also tends to rise, supporting the notion that informed stakeholders are more likely </w:t>
      </w:r>
      <w:r w:rsidRPr="00372A1B">
        <w:rPr>
          <w:rFonts w:ascii="Arial" w:hAnsi="Arial" w:cs="Arial"/>
          <w:bCs/>
          <w:lang w:val="en-PH"/>
        </w:rPr>
        <w:lastRenderedPageBreak/>
        <w:t>to align with institutional goals. This result aligns with the arguments of Ferrer-</w:t>
      </w:r>
      <w:proofErr w:type="spellStart"/>
      <w:r w:rsidRPr="00372A1B">
        <w:rPr>
          <w:rFonts w:ascii="Arial" w:hAnsi="Arial" w:cs="Arial"/>
          <w:bCs/>
          <w:lang w:val="en-PH"/>
        </w:rPr>
        <w:t>Estévez</w:t>
      </w:r>
      <w:proofErr w:type="spellEnd"/>
      <w:r w:rsidRPr="00372A1B">
        <w:rPr>
          <w:rFonts w:ascii="Arial" w:hAnsi="Arial" w:cs="Arial"/>
          <w:bCs/>
          <w:lang w:val="en-PH"/>
        </w:rPr>
        <w:t xml:space="preserve"> &amp; </w:t>
      </w:r>
      <w:proofErr w:type="spellStart"/>
      <w:r w:rsidRPr="00372A1B">
        <w:rPr>
          <w:rFonts w:ascii="Arial" w:hAnsi="Arial" w:cs="Arial"/>
          <w:bCs/>
          <w:lang w:val="en-PH"/>
        </w:rPr>
        <w:t>Chalmeta</w:t>
      </w:r>
      <w:proofErr w:type="spellEnd"/>
      <w:r w:rsidRPr="00372A1B">
        <w:rPr>
          <w:rFonts w:ascii="Arial" w:hAnsi="Arial" w:cs="Arial"/>
          <w:bCs/>
          <w:lang w:val="en-PH"/>
        </w:rPr>
        <w:t xml:space="preserve"> (2021) and </w:t>
      </w:r>
      <w:proofErr w:type="spellStart"/>
      <w:r w:rsidRPr="00372A1B">
        <w:rPr>
          <w:rFonts w:ascii="Arial" w:hAnsi="Arial" w:cs="Arial"/>
          <w:bCs/>
          <w:lang w:val="en-PH"/>
        </w:rPr>
        <w:t>Yáñez</w:t>
      </w:r>
      <w:proofErr w:type="spellEnd"/>
      <w:r w:rsidRPr="00372A1B">
        <w:rPr>
          <w:rFonts w:ascii="Arial" w:hAnsi="Arial" w:cs="Arial"/>
          <w:bCs/>
          <w:lang w:val="en-PH"/>
        </w:rPr>
        <w:t xml:space="preserve"> et al. (2018), who assert that effective communication and stakeholder engagement foster greater understanding and institutional alignment. </w:t>
      </w:r>
    </w:p>
    <w:p w14:paraId="799E6955" w14:textId="77777777" w:rsidR="00372A1B" w:rsidRPr="00372A1B" w:rsidRDefault="00372A1B" w:rsidP="009B2A20">
      <w:pPr>
        <w:ind w:firstLine="720"/>
        <w:jc w:val="both"/>
        <w:rPr>
          <w:rFonts w:ascii="Arial" w:hAnsi="Arial" w:cs="Arial"/>
          <w:bCs/>
          <w:lang w:val="en-PH"/>
        </w:rPr>
      </w:pPr>
      <w:r w:rsidRPr="00372A1B">
        <w:rPr>
          <w:rFonts w:ascii="Arial" w:hAnsi="Arial" w:cs="Arial"/>
          <w:bCs/>
          <w:lang w:val="en-PH"/>
        </w:rPr>
        <w:t xml:space="preserve">Additionally, the result reinforces Freeman’s Stakeholder Theory (1984), which emphasizes the importance of informing and involving stakeholders to gain their support and commitment. Therefore, these findings highlight the need for </w:t>
      </w:r>
      <w:proofErr w:type="spellStart"/>
      <w:r w:rsidRPr="00372A1B">
        <w:rPr>
          <w:rFonts w:ascii="Arial" w:hAnsi="Arial" w:cs="Arial"/>
          <w:bCs/>
          <w:lang w:val="en-PH"/>
        </w:rPr>
        <w:t>DOrSU</w:t>
      </w:r>
      <w:proofErr w:type="spellEnd"/>
      <w:r w:rsidRPr="00372A1B">
        <w:rPr>
          <w:rFonts w:ascii="Arial" w:hAnsi="Arial" w:cs="Arial"/>
          <w:bCs/>
          <w:lang w:val="en-PH"/>
        </w:rPr>
        <w:t xml:space="preserve"> to continue strengthening its awareness-raising efforts as a strategic pathway to improve acceptance and institutional unity across stakeholder groups.</w:t>
      </w:r>
    </w:p>
    <w:p w14:paraId="3F26AC36" w14:textId="77777777" w:rsidR="00EC0D89" w:rsidRDefault="00EC0D89">
      <w:pPr>
        <w:pBdr>
          <w:top w:val="nil"/>
          <w:left w:val="nil"/>
          <w:bottom w:val="nil"/>
          <w:right w:val="nil"/>
          <w:between w:val="nil"/>
        </w:pBdr>
        <w:jc w:val="both"/>
        <w:rPr>
          <w:rFonts w:ascii="Arial" w:eastAsia="Arial" w:hAnsi="Arial" w:cs="Arial"/>
          <w:color w:val="000000"/>
          <w:highlight w:val="white"/>
        </w:rPr>
      </w:pPr>
    </w:p>
    <w:p w14:paraId="2FE154EB" w14:textId="0BD79E20" w:rsidR="000B1D44" w:rsidRDefault="001856BB">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5. CONCLUSIONS AND RECOMMENDATIONS </w:t>
      </w:r>
    </w:p>
    <w:p w14:paraId="6FB4C4A8" w14:textId="77777777" w:rsidR="009B2A20" w:rsidRDefault="001856BB" w:rsidP="009B2A20">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Conclusion</w:t>
      </w:r>
    </w:p>
    <w:p w14:paraId="09B58947" w14:textId="1857418F" w:rsidR="00026464" w:rsidRPr="009B2A20" w:rsidRDefault="00026464" w:rsidP="009B2A20">
      <w:pPr>
        <w:pBdr>
          <w:top w:val="nil"/>
          <w:left w:val="nil"/>
          <w:bottom w:val="nil"/>
          <w:right w:val="nil"/>
          <w:between w:val="nil"/>
        </w:pBdr>
        <w:jc w:val="both"/>
        <w:rPr>
          <w:rFonts w:ascii="Arial" w:eastAsia="Arial" w:hAnsi="Arial" w:cs="Arial"/>
          <w:b/>
          <w:color w:val="000000"/>
          <w:highlight w:val="white"/>
        </w:rPr>
      </w:pPr>
      <w:r w:rsidRPr="00026464">
        <w:rPr>
          <w:rFonts w:ascii="Arial" w:eastAsia="Arial" w:hAnsi="Arial" w:cs="Arial"/>
          <w:color w:val="000000"/>
        </w:rPr>
        <w:t>Based on the findings and statistical results of the study, the following conclusions were drawn:</w:t>
      </w:r>
    </w:p>
    <w:p w14:paraId="5D76EFAC" w14:textId="77777777" w:rsidR="008B5EF1" w:rsidRP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The demographic profile of the respondents was thoroughly examined in terms of stakeholder category, age, sex, and educational attainment, with respondents including industry partners, students, parents, faculty, alumni, and non-teaching staff, where industry partners comprised the largest group and parents the smallest.</w:t>
      </w:r>
    </w:p>
    <w:p w14:paraId="31555833" w14:textId="77777777" w:rsid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The study found that the level of awareness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Vision, Mission, and Program Educational Objectives (PEO) was generally high among BEED stakeholders, with faculty and students exhibiting the highest levels, whereas parents showed comparatively lower awareness, and overall, stakeholders were fully aware of the university's goals, particularly its commitment to institutional excellence and educational quality.</w:t>
      </w:r>
    </w:p>
    <w:p w14:paraId="2743F4F6" w14:textId="77777777" w:rsid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In terms of acceptance, most BEED stakeholders demonstrated full acceptance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Vision, Mission, and Program Educational Objectives, with faculty and students showing the highest levels of full acceptance, while parents exhibited lower levels compared to other groups, and this highlighted a gap in engagement and alignment that could be addressed through targeted strategies.</w:t>
      </w:r>
    </w:p>
    <w:p w14:paraId="29750CA7" w14:textId="3793417C" w:rsidR="008B5EF1" w:rsidRPr="008B5EF1" w:rsidRDefault="008B5EF1" w:rsidP="00200FB5">
      <w:pPr>
        <w:pStyle w:val="ListParagraph"/>
        <w:numPr>
          <w:ilvl w:val="0"/>
          <w:numId w:val="2"/>
        </w:numPr>
        <w:jc w:val="both"/>
        <w:rPr>
          <w:rFonts w:ascii="Arial" w:eastAsia="Arial" w:hAnsi="Arial" w:cs="Arial"/>
          <w:color w:val="000000"/>
        </w:rPr>
      </w:pPr>
      <w:r w:rsidRPr="008B5EF1">
        <w:rPr>
          <w:rFonts w:ascii="Arial" w:eastAsia="Arial" w:hAnsi="Arial" w:cs="Arial"/>
          <w:color w:val="000000"/>
        </w:rPr>
        <w:t xml:space="preserve">Significant differences in the level of awareness of </w:t>
      </w:r>
      <w:proofErr w:type="spellStart"/>
      <w:r w:rsidRPr="008B5EF1">
        <w:rPr>
          <w:rFonts w:ascii="Arial" w:eastAsia="Arial" w:hAnsi="Arial" w:cs="Arial"/>
          <w:color w:val="000000"/>
        </w:rPr>
        <w:t>DOrSU’s</w:t>
      </w:r>
      <w:proofErr w:type="spellEnd"/>
      <w:r w:rsidRPr="008B5EF1">
        <w:rPr>
          <w:rFonts w:ascii="Arial" w:eastAsia="Arial" w:hAnsi="Arial" w:cs="Arial"/>
          <w:color w:val="000000"/>
        </w:rPr>
        <w:t xml:space="preserve"> PMEO were observed when BEED stakeholders were grouped by stakeholder category, age, sex, and educational attainment, with parents exhibiting lower awareness compared to faculty, students, and industry partners.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610A68AC" w:rsidR="000B1D44" w:rsidRDefault="001856BB">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Recommendation</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010B228B" w14:textId="7773771D" w:rsidR="008B5EF1" w:rsidRPr="008B5EF1"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Although alumni participation in the survey was relatively low, their responses indicated consistent support for the goals; to enhance future engagement, administrators can implement tracking strategies and establish a dedicated database to communicate regularly through an online platform such as social media.</w:t>
      </w:r>
    </w:p>
    <w:p w14:paraId="575B6533" w14:textId="77777777" w:rsid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 xml:space="preserve">In response to the high but varied awareness of </w:t>
      </w:r>
      <w:proofErr w:type="spellStart"/>
      <w:r w:rsidRPr="006702B8">
        <w:rPr>
          <w:rFonts w:ascii="Arial" w:eastAsia="Arial" w:hAnsi="Arial" w:cs="Arial"/>
          <w:color w:val="000000"/>
        </w:rPr>
        <w:t>DOrSU’s</w:t>
      </w:r>
      <w:proofErr w:type="spellEnd"/>
      <w:r w:rsidRPr="006702B8">
        <w:rPr>
          <w:rFonts w:ascii="Arial" w:eastAsia="Arial" w:hAnsi="Arial" w:cs="Arial"/>
          <w:color w:val="000000"/>
        </w:rPr>
        <w:t xml:space="preserve"> VMPEO among BEED stakeholders, the university should sustain campaigns, institutionalize orientations, incorporate VMPEO discussions into classes, and display key statements to ensure stakeholders internalize its significance academically and non-academically.</w:t>
      </w:r>
    </w:p>
    <w:p w14:paraId="151AEE55" w14:textId="77777777"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Regarding VMPEO acceptance, which was generally positive but uneven across categories, the university can offer reflective opportunities like workshops, integration programs, and school events, helping stakeholders feel they are contributing to the university's mission and support it meaningfully.</w:t>
      </w:r>
    </w:p>
    <w:p w14:paraId="22721288" w14:textId="77777777"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The study revealed awareness differences based on stakeholder category, age, sex, and education; the university may offer targeted sessions like parent-alumni orientations and student-based activities, ensuring all groups can engage with institutional goals, regardless of background, using customized approaches.</w:t>
      </w:r>
    </w:p>
    <w:p w14:paraId="6E4F2EB6" w14:textId="77777777" w:rsid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 xml:space="preserve">Considering significant acceptance differences among demographic groups, targeted efforts like community narratives, success stories, and inclusion in planning can build </w:t>
      </w:r>
      <w:r w:rsidRPr="006702B8">
        <w:rPr>
          <w:rFonts w:ascii="Arial" w:eastAsia="Arial" w:hAnsi="Arial" w:cs="Arial"/>
          <w:color w:val="000000"/>
        </w:rPr>
        <w:lastRenderedPageBreak/>
        <w:t>stronger alignment, especially among parents and those with lower educational attainment, clarifying the VMPEO’s relevance and promoting stakeholder ownership.</w:t>
      </w:r>
    </w:p>
    <w:p w14:paraId="1EE8D069" w14:textId="56329A1D" w:rsidR="006702B8" w:rsidRPr="006702B8" w:rsidRDefault="006702B8" w:rsidP="00200FB5">
      <w:pPr>
        <w:pStyle w:val="ListParagraph"/>
        <w:numPr>
          <w:ilvl w:val="0"/>
          <w:numId w:val="3"/>
        </w:numPr>
        <w:jc w:val="both"/>
        <w:rPr>
          <w:rFonts w:ascii="Arial" w:eastAsia="Arial" w:hAnsi="Arial" w:cs="Arial"/>
          <w:color w:val="000000"/>
        </w:rPr>
      </w:pPr>
      <w:r w:rsidRPr="006702B8">
        <w:rPr>
          <w:rFonts w:ascii="Arial" w:eastAsia="Arial" w:hAnsi="Arial" w:cs="Arial"/>
          <w:color w:val="000000"/>
        </w:rPr>
        <w:t>Given the identified gap between VMPEO awareness and acceptance, the university is encouraged to implement annual surveys, FGDs, or feedback tools to monitor improvement areas, ultimately building increased acceptance across all groups for a purpose-driven academic community.</w:t>
      </w:r>
    </w:p>
    <w:p w14:paraId="171DE34A" w14:textId="77777777" w:rsidR="00552E1E" w:rsidRPr="00552E1E" w:rsidRDefault="00552E1E" w:rsidP="00552E1E">
      <w:pPr>
        <w:pStyle w:val="ListParagraph"/>
        <w:jc w:val="both"/>
        <w:rPr>
          <w:rFonts w:ascii="Arial" w:eastAsia="Arial" w:hAnsi="Arial" w:cs="Arial"/>
          <w:color w:val="000000"/>
        </w:rPr>
      </w:pPr>
    </w:p>
    <w:p w14:paraId="34868D52" w14:textId="77777777" w:rsidR="009B2A20" w:rsidRDefault="009B2A20" w:rsidP="00AF3C8B">
      <w:pPr>
        <w:pBdr>
          <w:top w:val="nil"/>
          <w:left w:val="nil"/>
          <w:bottom w:val="nil"/>
          <w:right w:val="nil"/>
          <w:between w:val="nil"/>
        </w:pBdr>
        <w:jc w:val="both"/>
        <w:rPr>
          <w:rFonts w:ascii="Arial" w:eastAsia="Arial" w:hAnsi="Arial" w:cs="Arial"/>
          <w:b/>
          <w:color w:val="000000"/>
          <w:highlight w:val="white"/>
        </w:rPr>
      </w:pPr>
    </w:p>
    <w:p w14:paraId="46BCFF0B" w14:textId="77777777" w:rsidR="009B2A20" w:rsidRDefault="009B2A20" w:rsidP="00AF3C8B">
      <w:pPr>
        <w:pBdr>
          <w:top w:val="nil"/>
          <w:left w:val="nil"/>
          <w:bottom w:val="nil"/>
          <w:right w:val="nil"/>
          <w:between w:val="nil"/>
        </w:pBdr>
        <w:jc w:val="both"/>
        <w:rPr>
          <w:rFonts w:ascii="Arial" w:eastAsia="Arial" w:hAnsi="Arial" w:cs="Arial"/>
          <w:b/>
          <w:color w:val="000000"/>
          <w:highlight w:val="white"/>
        </w:rPr>
      </w:pPr>
    </w:p>
    <w:p w14:paraId="02D88659" w14:textId="77777777" w:rsidR="009B2A20" w:rsidRDefault="009B2A20" w:rsidP="00AF3C8B">
      <w:pPr>
        <w:pBdr>
          <w:top w:val="nil"/>
          <w:left w:val="nil"/>
          <w:bottom w:val="nil"/>
          <w:right w:val="nil"/>
          <w:between w:val="nil"/>
        </w:pBdr>
        <w:jc w:val="both"/>
        <w:rPr>
          <w:rFonts w:ascii="Arial" w:eastAsia="Arial" w:hAnsi="Arial" w:cs="Arial"/>
          <w:b/>
          <w:color w:val="000000"/>
          <w:highlight w:val="white"/>
        </w:rPr>
      </w:pPr>
    </w:p>
    <w:p w14:paraId="2530602B" w14:textId="2F1990E6" w:rsidR="000B1D44" w:rsidRDefault="001856BB"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ACKNOWLEDGEMENTS</w:t>
      </w:r>
    </w:p>
    <w:p w14:paraId="25A6B93C" w14:textId="77777777" w:rsidR="005820CC" w:rsidRDefault="005820CC" w:rsidP="00AF3C8B">
      <w:pPr>
        <w:pBdr>
          <w:top w:val="nil"/>
          <w:left w:val="nil"/>
          <w:bottom w:val="nil"/>
          <w:right w:val="nil"/>
          <w:between w:val="nil"/>
        </w:pBdr>
        <w:jc w:val="both"/>
        <w:rPr>
          <w:rFonts w:ascii="Arial" w:eastAsia="Arial" w:hAnsi="Arial" w:cs="Arial"/>
          <w:b/>
          <w:color w:val="000000"/>
          <w:highlight w:val="white"/>
        </w:rPr>
      </w:pPr>
    </w:p>
    <w:p w14:paraId="1C591E2D" w14:textId="6A73A1D2" w:rsidR="003C563F" w:rsidRPr="00680E6A" w:rsidRDefault="006C7BD7" w:rsidP="00680E6A">
      <w:pPr>
        <w:pBdr>
          <w:top w:val="nil"/>
          <w:left w:val="nil"/>
          <w:bottom w:val="nil"/>
          <w:right w:val="nil"/>
          <w:between w:val="nil"/>
        </w:pBdr>
        <w:ind w:firstLine="720"/>
        <w:jc w:val="both"/>
        <w:rPr>
          <w:rFonts w:ascii="Arial" w:eastAsia="Arial" w:hAnsi="Arial" w:cs="Arial"/>
          <w:color w:val="000000"/>
        </w:rPr>
      </w:pPr>
      <w:r w:rsidRPr="006C7BD7">
        <w:rPr>
          <w:rFonts w:ascii="Arial" w:eastAsia="Arial" w:hAnsi="Arial" w:cs="Arial"/>
          <w:color w:val="000000"/>
        </w:rPr>
        <w:t xml:space="preserve">First and foremost, we offer our deepest thanks to God, whose grace and guidance gave us the strength, patience, and determination to complete this research journey. In every step, we felt His presence sustaining us. We are profoundly grateful to our families for their unconditional love, moral support, and understanding. Their belief in us never wavered, and their financial support made it possible for us to accomplish the work we set out to do. For every sacrifice they made along the way, we are truly thankful. To our adviser, Ms. Marisa Langoban, we express our sincere appreciation for her constant guidance, valuable insights, and genuine concern. Her support and encouragement inspired us to keep going, even in the most challenging moments. We also extend our heartfelt thanks to our panel members—Ms. Mary Lovely P. Mendez, Ms. </w:t>
      </w:r>
      <w:proofErr w:type="spellStart"/>
      <w:r w:rsidRPr="006C7BD7">
        <w:rPr>
          <w:rFonts w:ascii="Arial" w:eastAsia="Arial" w:hAnsi="Arial" w:cs="Arial"/>
          <w:color w:val="000000"/>
        </w:rPr>
        <w:t>Leneth</w:t>
      </w:r>
      <w:proofErr w:type="spellEnd"/>
      <w:r w:rsidRPr="006C7BD7">
        <w:rPr>
          <w:rFonts w:ascii="Arial" w:eastAsia="Arial" w:hAnsi="Arial" w:cs="Arial"/>
          <w:color w:val="000000"/>
        </w:rPr>
        <w:t xml:space="preserve"> Pearl S. </w:t>
      </w:r>
      <w:proofErr w:type="spellStart"/>
      <w:r w:rsidRPr="006C7BD7">
        <w:rPr>
          <w:rFonts w:ascii="Arial" w:eastAsia="Arial" w:hAnsi="Arial" w:cs="Arial"/>
          <w:color w:val="000000"/>
        </w:rPr>
        <w:t>Pingot</w:t>
      </w:r>
      <w:proofErr w:type="spellEnd"/>
      <w:r w:rsidRPr="006C7BD7">
        <w:rPr>
          <w:rFonts w:ascii="Arial" w:eastAsia="Arial" w:hAnsi="Arial" w:cs="Arial"/>
          <w:color w:val="000000"/>
        </w:rPr>
        <w:t xml:space="preserve">, and our Chairman, Mr. Bryan L. </w:t>
      </w:r>
      <w:proofErr w:type="spellStart"/>
      <w:r w:rsidRPr="006C7BD7">
        <w:rPr>
          <w:rFonts w:ascii="Arial" w:eastAsia="Arial" w:hAnsi="Arial" w:cs="Arial"/>
          <w:color w:val="000000"/>
        </w:rPr>
        <w:t>Susada</w:t>
      </w:r>
      <w:proofErr w:type="spellEnd"/>
      <w:r w:rsidRPr="006C7BD7">
        <w:rPr>
          <w:rFonts w:ascii="Arial" w:eastAsia="Arial" w:hAnsi="Arial" w:cs="Arial"/>
          <w:color w:val="000000"/>
        </w:rPr>
        <w:t>—for their thoughtful feedback, constructive suggestions, and encouragement. Their words of guidance played a crucial role in refining and improving the quality of our study. This research would not have been possible without the help, support, and inspiration of all those mentioned above. To each of you, we are deeply grateful.</w:t>
      </w:r>
    </w:p>
    <w:p w14:paraId="1AC96189" w14:textId="77777777" w:rsidR="003C563F" w:rsidRDefault="003C563F" w:rsidP="0054506C">
      <w:pPr>
        <w:pBdr>
          <w:top w:val="nil"/>
          <w:left w:val="nil"/>
          <w:bottom w:val="nil"/>
          <w:right w:val="nil"/>
          <w:between w:val="nil"/>
        </w:pBdr>
        <w:jc w:val="both"/>
        <w:rPr>
          <w:rFonts w:ascii="Arial" w:eastAsia="Arial" w:hAnsi="Arial" w:cs="Arial"/>
          <w:b/>
          <w:color w:val="000000"/>
        </w:rPr>
      </w:pPr>
    </w:p>
    <w:p w14:paraId="5EB5702E" w14:textId="5DE7A59D" w:rsidR="0054506C" w:rsidRPr="0054506C" w:rsidRDefault="0054506C" w:rsidP="0054506C">
      <w:pPr>
        <w:pBdr>
          <w:top w:val="nil"/>
          <w:left w:val="nil"/>
          <w:bottom w:val="nil"/>
          <w:right w:val="nil"/>
          <w:between w:val="nil"/>
        </w:pBdr>
        <w:jc w:val="both"/>
        <w:rPr>
          <w:rFonts w:ascii="Arial" w:eastAsia="Arial" w:hAnsi="Arial" w:cs="Arial"/>
          <w:b/>
          <w:color w:val="000000"/>
        </w:rPr>
      </w:pPr>
      <w:r w:rsidRPr="0054506C">
        <w:rPr>
          <w:rFonts w:ascii="Arial" w:eastAsia="Arial" w:hAnsi="Arial" w:cs="Arial"/>
          <w:b/>
          <w:color w:val="000000"/>
        </w:rPr>
        <w:t>AUTHORS’ CONTRIBUTIONS</w:t>
      </w:r>
    </w:p>
    <w:p w14:paraId="657363A4" w14:textId="77777777" w:rsidR="0054506C" w:rsidRDefault="0054506C" w:rsidP="0054506C">
      <w:pPr>
        <w:pBdr>
          <w:top w:val="nil"/>
          <w:left w:val="nil"/>
          <w:bottom w:val="nil"/>
          <w:right w:val="nil"/>
          <w:between w:val="nil"/>
        </w:pBdr>
        <w:jc w:val="both"/>
        <w:rPr>
          <w:rFonts w:ascii="Arial" w:eastAsia="Arial" w:hAnsi="Arial" w:cs="Arial"/>
          <w:b/>
          <w:color w:val="000000"/>
        </w:rPr>
      </w:pPr>
      <w:r w:rsidRPr="0054506C">
        <w:rPr>
          <w:rFonts w:ascii="Arial" w:eastAsia="Arial" w:hAnsi="Arial" w:cs="Arial"/>
          <w:b/>
          <w:color w:val="000000"/>
        </w:rPr>
        <w:t xml:space="preserve"> </w:t>
      </w:r>
    </w:p>
    <w:p w14:paraId="228B7727" w14:textId="02F04043" w:rsidR="000B1D44" w:rsidRDefault="0054506C" w:rsidP="0054506C">
      <w:pPr>
        <w:pBdr>
          <w:top w:val="nil"/>
          <w:left w:val="nil"/>
          <w:bottom w:val="nil"/>
          <w:right w:val="nil"/>
          <w:between w:val="nil"/>
        </w:pBdr>
        <w:ind w:firstLine="720"/>
        <w:jc w:val="both"/>
        <w:rPr>
          <w:rFonts w:ascii="Arial" w:eastAsia="Arial" w:hAnsi="Arial" w:cs="Arial"/>
          <w:bCs/>
          <w:color w:val="000000"/>
        </w:rPr>
      </w:pPr>
      <w:r w:rsidRPr="0054506C">
        <w:rPr>
          <w:rFonts w:ascii="Arial" w:eastAsia="Arial" w:hAnsi="Arial" w:cs="Arial"/>
          <w:bCs/>
          <w:color w:val="000000"/>
        </w:rPr>
        <w:t xml:space="preserve">We, the authors, worked collaboratively to complete this research. I, </w:t>
      </w:r>
      <w:proofErr w:type="spellStart"/>
      <w:r w:rsidRPr="0054506C">
        <w:rPr>
          <w:rFonts w:ascii="Arial" w:eastAsia="Arial" w:hAnsi="Arial" w:cs="Arial"/>
          <w:bCs/>
          <w:color w:val="000000"/>
        </w:rPr>
        <w:t>Allesa</w:t>
      </w:r>
      <w:proofErr w:type="spellEnd"/>
      <w:r w:rsidRPr="0054506C">
        <w:rPr>
          <w:rFonts w:ascii="Arial" w:eastAsia="Arial" w:hAnsi="Arial" w:cs="Arial"/>
          <w:bCs/>
          <w:color w:val="000000"/>
        </w:rPr>
        <w:t xml:space="preserve"> B. </w:t>
      </w:r>
      <w:proofErr w:type="spellStart"/>
      <w:r w:rsidRPr="0054506C">
        <w:rPr>
          <w:rFonts w:ascii="Arial" w:eastAsia="Arial" w:hAnsi="Arial" w:cs="Arial"/>
          <w:bCs/>
          <w:color w:val="000000"/>
        </w:rPr>
        <w:t>Lancian</w:t>
      </w:r>
      <w:proofErr w:type="spellEnd"/>
      <w:r w:rsidRPr="0054506C">
        <w:rPr>
          <w:rFonts w:ascii="Arial" w:eastAsia="Arial" w:hAnsi="Arial" w:cs="Arial"/>
          <w:bCs/>
          <w:color w:val="000000"/>
        </w:rPr>
        <w:t>, was primarily responsible for drafting the initial version of our thesis, organizing the structure, and ensuring that the content reflected our research journey. My co-member, Marry Joy R. Deva, carefully reviewed and edited the manuscript, enhancing its clarity and overall presentation. Ariane Nicole E. Bonita led the data collection process and facilitated the distribution of survey instruments to our respondents. Together, we discussed the content, shared feedback, and approved the final version of the manuscript as a collective effort.</w:t>
      </w:r>
    </w:p>
    <w:p w14:paraId="19378730" w14:textId="77777777" w:rsidR="00D402D2" w:rsidRDefault="00D402D2" w:rsidP="00D402D2">
      <w:r>
        <w:t>Disclaimer (Artificial intelligence)</w:t>
      </w:r>
    </w:p>
    <w:p w14:paraId="024A0DD0" w14:textId="77777777" w:rsidR="00D402D2" w:rsidRDefault="00D402D2" w:rsidP="00D402D2">
      <w:r>
        <w:t xml:space="preserve">Option 1: </w:t>
      </w:r>
    </w:p>
    <w:p w14:paraId="6E00A213" w14:textId="77777777" w:rsidR="00D402D2" w:rsidRDefault="00D402D2" w:rsidP="00D402D2">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2956B7FB" w14:textId="77777777" w:rsidR="00D402D2" w:rsidRDefault="00D402D2" w:rsidP="00D402D2">
      <w:r>
        <w:t xml:space="preserve">Option 2: </w:t>
      </w:r>
    </w:p>
    <w:p w14:paraId="7EDCD326" w14:textId="77777777" w:rsidR="00D402D2" w:rsidRDefault="00D402D2" w:rsidP="00D402D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9D5721" w14:textId="77777777" w:rsidR="00D402D2" w:rsidRDefault="00D402D2" w:rsidP="00D402D2">
      <w:r>
        <w:t>Details of the AI usage are given below:</w:t>
      </w:r>
    </w:p>
    <w:p w14:paraId="472496C8" w14:textId="77777777" w:rsidR="00D402D2" w:rsidRDefault="00D402D2" w:rsidP="00D402D2">
      <w:r>
        <w:t>1.</w:t>
      </w:r>
    </w:p>
    <w:p w14:paraId="61B951FE" w14:textId="77777777" w:rsidR="00D402D2" w:rsidRDefault="00D402D2" w:rsidP="00D402D2">
      <w:r>
        <w:t>2.</w:t>
      </w:r>
    </w:p>
    <w:p w14:paraId="1D8B6739" w14:textId="77777777" w:rsidR="00D402D2" w:rsidRDefault="00D402D2" w:rsidP="00D402D2">
      <w:r>
        <w:t>3.</w:t>
      </w:r>
    </w:p>
    <w:p w14:paraId="0803C968" w14:textId="77777777" w:rsidR="00D402D2" w:rsidRDefault="00D402D2" w:rsidP="00D402D2"/>
    <w:p w14:paraId="55DDFA11" w14:textId="77777777" w:rsidR="00D402D2" w:rsidRDefault="00D402D2" w:rsidP="0054506C">
      <w:pPr>
        <w:pBdr>
          <w:top w:val="nil"/>
          <w:left w:val="nil"/>
          <w:bottom w:val="nil"/>
          <w:right w:val="nil"/>
          <w:between w:val="nil"/>
        </w:pBdr>
        <w:ind w:firstLine="720"/>
        <w:jc w:val="both"/>
        <w:rPr>
          <w:rFonts w:ascii="Arial" w:eastAsia="Arial" w:hAnsi="Arial" w:cs="Arial"/>
          <w:bCs/>
          <w:color w:val="000000"/>
        </w:rPr>
      </w:pPr>
    </w:p>
    <w:p w14:paraId="58358231" w14:textId="77777777" w:rsidR="0054506C" w:rsidRPr="0054506C" w:rsidRDefault="0054506C" w:rsidP="0054506C">
      <w:pPr>
        <w:pBdr>
          <w:top w:val="nil"/>
          <w:left w:val="nil"/>
          <w:bottom w:val="nil"/>
          <w:right w:val="nil"/>
          <w:between w:val="nil"/>
        </w:pBdr>
        <w:jc w:val="both"/>
        <w:rPr>
          <w:rFonts w:ascii="Arial" w:eastAsia="Arial" w:hAnsi="Arial" w:cs="Arial"/>
          <w:bCs/>
          <w:color w:val="000000"/>
          <w:highlight w:val="white"/>
        </w:rPr>
      </w:pPr>
    </w:p>
    <w:p w14:paraId="5B66E60A" w14:textId="77777777" w:rsidR="000B1D44" w:rsidRPr="0054506C" w:rsidRDefault="001856BB" w:rsidP="00AF3C8B">
      <w:pPr>
        <w:pBdr>
          <w:top w:val="nil"/>
          <w:left w:val="nil"/>
          <w:bottom w:val="nil"/>
          <w:right w:val="nil"/>
          <w:between w:val="nil"/>
        </w:pBdr>
        <w:jc w:val="both"/>
        <w:rPr>
          <w:rFonts w:ascii="Arial" w:eastAsia="Arial" w:hAnsi="Arial" w:cs="Arial"/>
          <w:b/>
          <w:color w:val="000000"/>
          <w:highlight w:val="white"/>
        </w:rPr>
      </w:pPr>
      <w:r w:rsidRPr="0054506C">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3BF6559A" w14:textId="1F4B027B" w:rsidR="003741B3" w:rsidRPr="003741B3" w:rsidRDefault="00346183" w:rsidP="00200FB5">
      <w:pPr>
        <w:pStyle w:val="ListParagraph"/>
        <w:numPr>
          <w:ilvl w:val="0"/>
          <w:numId w:val="4"/>
        </w:numPr>
        <w:jc w:val="both"/>
        <w:rPr>
          <w:rFonts w:ascii="Arial" w:hAnsi="Arial" w:cs="Arial"/>
        </w:rPr>
      </w:pPr>
      <w:bookmarkStart w:id="2" w:name="_Hlk187733717"/>
      <w:proofErr w:type="spellStart"/>
      <w:r w:rsidRPr="003741B3">
        <w:rPr>
          <w:rFonts w:ascii="Arial" w:hAnsi="Arial" w:cs="Arial"/>
        </w:rPr>
        <w:t>Aldowah</w:t>
      </w:r>
      <w:bookmarkEnd w:id="2"/>
      <w:proofErr w:type="spellEnd"/>
      <w:r w:rsidRPr="003741B3">
        <w:rPr>
          <w:rFonts w:ascii="Arial" w:hAnsi="Arial" w:cs="Arial"/>
        </w:rPr>
        <w:t>, H., Al-</w:t>
      </w:r>
      <w:proofErr w:type="spellStart"/>
      <w:r w:rsidRPr="003741B3">
        <w:rPr>
          <w:rFonts w:ascii="Arial" w:hAnsi="Arial" w:cs="Arial"/>
        </w:rPr>
        <w:t>Samarraie</w:t>
      </w:r>
      <w:proofErr w:type="spellEnd"/>
      <w:r w:rsidRPr="003741B3">
        <w:rPr>
          <w:rFonts w:ascii="Arial" w:hAnsi="Arial" w:cs="Arial"/>
        </w:rPr>
        <w:t xml:space="preserve">, H., &amp; </w:t>
      </w:r>
      <w:proofErr w:type="spellStart"/>
      <w:r w:rsidRPr="003741B3">
        <w:rPr>
          <w:rFonts w:ascii="Arial" w:hAnsi="Arial" w:cs="Arial"/>
        </w:rPr>
        <w:t>Fauzy</w:t>
      </w:r>
      <w:proofErr w:type="spellEnd"/>
      <w:r w:rsidRPr="003741B3">
        <w:rPr>
          <w:rFonts w:ascii="Arial" w:hAnsi="Arial" w:cs="Arial"/>
        </w:rPr>
        <w:t>, W. M. (2019). </w:t>
      </w:r>
      <w:r w:rsidRPr="003741B3">
        <w:rPr>
          <w:rFonts w:ascii="Arial" w:hAnsi="Arial" w:cs="Arial"/>
          <w:i/>
          <w:iCs/>
        </w:rPr>
        <w:t>Educational Data Mining and Learning Analytics for 21stcentury higher education: A Review and Synthesis. Telematics and Informatics.</w:t>
      </w:r>
      <w:r w:rsidRPr="003741B3">
        <w:rPr>
          <w:rFonts w:ascii="Arial" w:hAnsi="Arial" w:cs="Arial"/>
        </w:rPr>
        <w:t> </w:t>
      </w:r>
      <w:hyperlink r:id="rId9" w:history="1">
        <w:r w:rsidR="009E21A1" w:rsidRPr="00F74887">
          <w:rPr>
            <w:rStyle w:val="Hyperlink"/>
            <w:rFonts w:ascii="Arial" w:hAnsi="Arial" w:cs="Arial"/>
          </w:rPr>
          <w:t>https://doi: 10.1016/j.tele.2019.01.007</w:t>
        </w:r>
      </w:hyperlink>
    </w:p>
    <w:p w14:paraId="78A454DB" w14:textId="3BE8541C" w:rsidR="009D6152" w:rsidRPr="003741B3" w:rsidRDefault="00346183" w:rsidP="00200FB5">
      <w:pPr>
        <w:pStyle w:val="ListParagraph"/>
        <w:numPr>
          <w:ilvl w:val="0"/>
          <w:numId w:val="4"/>
        </w:numPr>
        <w:jc w:val="both"/>
        <w:rPr>
          <w:rFonts w:ascii="Arial" w:hAnsi="Arial" w:cs="Arial"/>
        </w:rPr>
      </w:pPr>
      <w:proofErr w:type="spellStart"/>
      <w:r w:rsidRPr="003741B3">
        <w:rPr>
          <w:rFonts w:ascii="Arial" w:hAnsi="Arial" w:cs="Arial"/>
        </w:rPr>
        <w:t>Alhejji</w:t>
      </w:r>
      <w:proofErr w:type="spellEnd"/>
      <w:r w:rsidRPr="003741B3">
        <w:rPr>
          <w:rFonts w:ascii="Arial" w:hAnsi="Arial" w:cs="Arial"/>
        </w:rPr>
        <w:t xml:space="preserve">, H., </w:t>
      </w:r>
      <w:proofErr w:type="spellStart"/>
      <w:r w:rsidRPr="003741B3">
        <w:rPr>
          <w:rFonts w:ascii="Arial" w:hAnsi="Arial" w:cs="Arial"/>
        </w:rPr>
        <w:t>Garavan</w:t>
      </w:r>
      <w:proofErr w:type="spellEnd"/>
      <w:r w:rsidRPr="003741B3">
        <w:rPr>
          <w:rFonts w:ascii="Arial" w:hAnsi="Arial" w:cs="Arial"/>
        </w:rPr>
        <w:t>, T., Carbery, R., O’Brien, F., &amp; McGuire, D. (2015). </w:t>
      </w:r>
      <w:r w:rsidRPr="003741B3">
        <w:rPr>
          <w:rFonts w:ascii="Arial" w:hAnsi="Arial" w:cs="Arial"/>
          <w:i/>
          <w:iCs/>
        </w:rPr>
        <w:t xml:space="preserve">Diversity Training </w:t>
      </w:r>
      <w:proofErr w:type="spellStart"/>
      <w:r w:rsidRPr="003741B3">
        <w:rPr>
          <w:rFonts w:ascii="Arial" w:hAnsi="Arial" w:cs="Arial"/>
          <w:i/>
          <w:iCs/>
        </w:rPr>
        <w:t>Programme</w:t>
      </w:r>
      <w:proofErr w:type="spellEnd"/>
      <w:r w:rsidRPr="003741B3">
        <w:rPr>
          <w:rFonts w:ascii="Arial" w:hAnsi="Arial" w:cs="Arial"/>
          <w:i/>
          <w:iCs/>
        </w:rPr>
        <w:t xml:space="preserve"> Outcomes: A Systematic Review. Human Resource Development Quarterly, 27(1), 95–149.</w:t>
      </w:r>
      <w:r w:rsidRPr="003741B3">
        <w:rPr>
          <w:rFonts w:ascii="Arial" w:hAnsi="Arial" w:cs="Arial"/>
        </w:rPr>
        <w:t> </w:t>
      </w:r>
      <w:hyperlink r:id="rId10" w:history="1">
        <w:r w:rsidR="009E21A1" w:rsidRPr="00F74887">
          <w:rPr>
            <w:rStyle w:val="Hyperlink"/>
            <w:rFonts w:ascii="Arial" w:hAnsi="Arial" w:cs="Arial"/>
          </w:rPr>
          <w:t>https://doi:10.1002/hrdq.21221 </w:t>
        </w:r>
      </w:hyperlink>
    </w:p>
    <w:p w14:paraId="106F30C5" w14:textId="51F01D91" w:rsidR="00346183" w:rsidRPr="009D6152" w:rsidRDefault="00346183" w:rsidP="00200FB5">
      <w:pPr>
        <w:pStyle w:val="ListParagraph"/>
        <w:numPr>
          <w:ilvl w:val="0"/>
          <w:numId w:val="4"/>
        </w:numPr>
        <w:jc w:val="both"/>
        <w:rPr>
          <w:rFonts w:ascii="Arial" w:hAnsi="Arial" w:cs="Arial"/>
        </w:rPr>
      </w:pPr>
      <w:proofErr w:type="spellStart"/>
      <w:r w:rsidRPr="009D6152">
        <w:rPr>
          <w:rFonts w:ascii="Arial" w:hAnsi="Arial" w:cs="Arial"/>
        </w:rPr>
        <w:t>Almarghani</w:t>
      </w:r>
      <w:proofErr w:type="spellEnd"/>
      <w:r w:rsidRPr="009D6152">
        <w:rPr>
          <w:rFonts w:ascii="Arial" w:hAnsi="Arial" w:cs="Arial"/>
        </w:rPr>
        <w:t>, E. M., &amp; Mijatovic, I. (2017). </w:t>
      </w:r>
      <w:r w:rsidRPr="009D6152">
        <w:rPr>
          <w:rFonts w:ascii="Arial" w:hAnsi="Arial" w:cs="Arial"/>
          <w:i/>
          <w:iCs/>
        </w:rPr>
        <w:t>Factors affecting student engagement in HEIs - it is all about good teaching. Teaching in Higher Education, 22(8), 940–956.</w:t>
      </w:r>
      <w:r w:rsidRPr="009D6152">
        <w:rPr>
          <w:rFonts w:ascii="Arial" w:hAnsi="Arial" w:cs="Arial"/>
        </w:rPr>
        <w:t> </w:t>
      </w:r>
      <w:hyperlink r:id="rId11" w:history="1">
        <w:r w:rsidR="009E21A1" w:rsidRPr="00F74887">
          <w:rPr>
            <w:rStyle w:val="Hyperlink"/>
            <w:rFonts w:ascii="Arial" w:hAnsi="Arial" w:cs="Arial"/>
          </w:rPr>
          <w:t>https://doi:10.1080/13562517.2017.1319808 </w:t>
        </w:r>
      </w:hyperlink>
    </w:p>
    <w:p w14:paraId="0DB1647D" w14:textId="76541154" w:rsidR="00346183" w:rsidRPr="00346183" w:rsidRDefault="00346183" w:rsidP="00200FB5">
      <w:pPr>
        <w:pStyle w:val="ListParagraph"/>
        <w:numPr>
          <w:ilvl w:val="0"/>
          <w:numId w:val="4"/>
        </w:numPr>
        <w:jc w:val="both"/>
        <w:rPr>
          <w:rFonts w:ascii="Arial" w:hAnsi="Arial" w:cs="Arial"/>
        </w:rPr>
      </w:pPr>
      <w:bookmarkStart w:id="3" w:name="_Hlk187731300"/>
      <w:r w:rsidRPr="00346183">
        <w:rPr>
          <w:rFonts w:ascii="Arial" w:hAnsi="Arial" w:cs="Arial"/>
        </w:rPr>
        <w:t>Ayers,</w:t>
      </w:r>
      <w:bookmarkEnd w:id="3"/>
      <w:r w:rsidRPr="00346183">
        <w:rPr>
          <w:rFonts w:ascii="Arial" w:hAnsi="Arial" w:cs="Arial"/>
        </w:rPr>
        <w:t xml:space="preserve"> D. F. (2015). </w:t>
      </w:r>
      <w:r w:rsidRPr="00346183">
        <w:rPr>
          <w:rFonts w:ascii="Arial" w:hAnsi="Arial" w:cs="Arial"/>
          <w:i/>
          <w:iCs/>
        </w:rPr>
        <w:t>Credentialing Structures, Pedagogies, Practices, and Curriculum Goals. Community College Review, 43(2), 191–214.</w:t>
      </w:r>
      <w:r w:rsidRPr="00346183">
        <w:rPr>
          <w:rFonts w:ascii="Arial" w:hAnsi="Arial" w:cs="Arial"/>
        </w:rPr>
        <w:t> </w:t>
      </w:r>
      <w:hyperlink r:id="rId12" w:history="1">
        <w:r w:rsidR="009E21A1" w:rsidRPr="00F74887">
          <w:rPr>
            <w:rStyle w:val="Hyperlink"/>
            <w:rFonts w:ascii="Arial" w:hAnsi="Arial" w:cs="Arial"/>
          </w:rPr>
          <w:t>https://doi:10.1177/0091552115569847</w:t>
        </w:r>
      </w:hyperlink>
    </w:p>
    <w:p w14:paraId="6968BF10" w14:textId="1FC9D870" w:rsidR="00346183" w:rsidRPr="00346183" w:rsidRDefault="00346183" w:rsidP="00200FB5">
      <w:pPr>
        <w:pStyle w:val="ListParagraph"/>
        <w:numPr>
          <w:ilvl w:val="0"/>
          <w:numId w:val="4"/>
        </w:numPr>
        <w:jc w:val="both"/>
        <w:rPr>
          <w:rFonts w:ascii="Arial" w:hAnsi="Arial" w:cs="Arial"/>
        </w:rPr>
      </w:pPr>
      <w:bookmarkStart w:id="4" w:name="_Hlk187733599"/>
      <w:r w:rsidRPr="00346183">
        <w:rPr>
          <w:rFonts w:ascii="Arial" w:hAnsi="Arial" w:cs="Arial"/>
        </w:rPr>
        <w:t>Bachmann</w:t>
      </w:r>
      <w:bookmarkEnd w:id="4"/>
      <w:r w:rsidRPr="00346183">
        <w:rPr>
          <w:rFonts w:ascii="Arial" w:hAnsi="Arial" w:cs="Arial"/>
        </w:rPr>
        <w:t>, R., Gillespie, N., &amp; Priem, R. (2015). </w:t>
      </w:r>
      <w:r w:rsidRPr="00346183">
        <w:rPr>
          <w:rFonts w:ascii="Arial" w:hAnsi="Arial" w:cs="Arial"/>
          <w:i/>
          <w:iCs/>
        </w:rPr>
        <w:t>Repairing Trust in Organizations and Institutions: Toward a Conceptual Framework. Organization Studies, 36(9), 1123–1142.</w:t>
      </w:r>
      <w:r w:rsidRPr="00346183">
        <w:rPr>
          <w:rFonts w:ascii="Arial" w:hAnsi="Arial" w:cs="Arial"/>
        </w:rPr>
        <w:t> </w:t>
      </w:r>
      <w:hyperlink r:id="rId13" w:history="1">
        <w:r w:rsidR="009E21A1" w:rsidRPr="00F74887">
          <w:rPr>
            <w:rStyle w:val="Hyperlink"/>
            <w:rFonts w:ascii="Arial" w:hAnsi="Arial" w:cs="Arial"/>
          </w:rPr>
          <w:t>https://doi:10.1177/0170840615599334 </w:t>
        </w:r>
      </w:hyperlink>
    </w:p>
    <w:p w14:paraId="5A5F67D7" w14:textId="4EBC6A9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 xml:space="preserve">Barrick, M. R., Thurgood, G. R., Smith, T. A., &amp; Courtright, S. H. (2015). </w:t>
      </w:r>
      <w:r w:rsidRPr="009D6152">
        <w:rPr>
          <w:rFonts w:ascii="Arial" w:hAnsi="Arial" w:cs="Arial"/>
          <w:i/>
          <w:iCs/>
        </w:rPr>
        <w:t>Collective Organizational Engagement: Linking Motivational Antecedents,</w:t>
      </w:r>
      <w:r w:rsidRPr="009D6152">
        <w:rPr>
          <w:rFonts w:ascii="Arial" w:hAnsi="Arial" w:cs="Arial"/>
        </w:rPr>
        <w:t xml:space="preserve"> </w:t>
      </w:r>
      <w:r w:rsidRPr="009D6152">
        <w:rPr>
          <w:rFonts w:ascii="Arial" w:hAnsi="Arial" w:cs="Arial"/>
          <w:i/>
          <w:iCs/>
        </w:rPr>
        <w:t>Strategic Implementation, and Firm Performance. Academy of Management Journal,</w:t>
      </w:r>
      <w:r w:rsidRPr="009D6152">
        <w:rPr>
          <w:rFonts w:ascii="Arial" w:hAnsi="Arial" w:cs="Arial"/>
        </w:rPr>
        <w:t xml:space="preserve"> 58(1), 111–135. </w:t>
      </w:r>
      <w:hyperlink r:id="rId14" w:history="1">
        <w:r w:rsidR="009E21A1" w:rsidRPr="00F74887">
          <w:rPr>
            <w:rStyle w:val="Hyperlink"/>
            <w:rFonts w:ascii="Arial" w:hAnsi="Arial" w:cs="Arial"/>
          </w:rPr>
          <w:t>https://doi:10.5465/amj.2013.0227</w:t>
        </w:r>
      </w:hyperlink>
    </w:p>
    <w:p w14:paraId="0BA3DE8D" w14:textId="26A3A8C8" w:rsidR="009D6152" w:rsidRPr="009D6152" w:rsidRDefault="00346183" w:rsidP="00200FB5">
      <w:pPr>
        <w:pStyle w:val="ListParagraph"/>
        <w:numPr>
          <w:ilvl w:val="0"/>
          <w:numId w:val="4"/>
        </w:numPr>
        <w:jc w:val="both"/>
        <w:rPr>
          <w:rFonts w:ascii="Arial" w:hAnsi="Arial" w:cs="Arial"/>
        </w:rPr>
      </w:pPr>
      <w:bookmarkStart w:id="5" w:name="_Hlk187731126"/>
      <w:r w:rsidRPr="00346183">
        <w:rPr>
          <w:rFonts w:ascii="Arial" w:hAnsi="Arial" w:cs="Arial"/>
        </w:rPr>
        <w:t>Bhuyan</w:t>
      </w:r>
      <w:bookmarkEnd w:id="5"/>
      <w:r w:rsidRPr="00346183">
        <w:rPr>
          <w:rFonts w:ascii="Arial" w:hAnsi="Arial" w:cs="Arial"/>
        </w:rPr>
        <w:t xml:space="preserve">, R., Bejan, R., &amp; </w:t>
      </w:r>
      <w:proofErr w:type="spellStart"/>
      <w:r w:rsidRPr="00346183">
        <w:rPr>
          <w:rFonts w:ascii="Arial" w:hAnsi="Arial" w:cs="Arial"/>
        </w:rPr>
        <w:t>Jeyapal</w:t>
      </w:r>
      <w:proofErr w:type="spellEnd"/>
      <w:r w:rsidRPr="00346183">
        <w:rPr>
          <w:rFonts w:ascii="Arial" w:hAnsi="Arial" w:cs="Arial"/>
        </w:rPr>
        <w:t>, D. (2017). </w:t>
      </w:r>
      <w:r w:rsidRPr="00346183">
        <w:rPr>
          <w:rFonts w:ascii="Arial" w:hAnsi="Arial" w:cs="Arial"/>
          <w:i/>
          <w:iCs/>
        </w:rPr>
        <w:t>Social workers’ perspectives on social justice in social work education: when mainstreaming social justice masks structural inequalities. Social Work Education, 36(4), 373–390.</w:t>
      </w:r>
      <w:r w:rsidRPr="00346183">
        <w:rPr>
          <w:rFonts w:ascii="Arial" w:hAnsi="Arial" w:cs="Arial"/>
        </w:rPr>
        <w:t> </w:t>
      </w:r>
      <w:hyperlink r:id="rId15" w:history="1">
        <w:r w:rsidR="009E21A1" w:rsidRPr="00F74887">
          <w:rPr>
            <w:rStyle w:val="Hyperlink"/>
            <w:rFonts w:ascii="Arial" w:hAnsi="Arial" w:cs="Arial"/>
          </w:rPr>
          <w:t>https://doi:10.1080/02615479.2017.1298741 </w:t>
        </w:r>
      </w:hyperlink>
    </w:p>
    <w:p w14:paraId="6BEE94B5" w14:textId="48EE0EB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 xml:space="preserve">Bishop, D. V. M., </w:t>
      </w:r>
      <w:proofErr w:type="spellStart"/>
      <w:r w:rsidRPr="009D6152">
        <w:rPr>
          <w:rFonts w:ascii="Arial" w:hAnsi="Arial" w:cs="Arial"/>
        </w:rPr>
        <w:t>Snowling</w:t>
      </w:r>
      <w:proofErr w:type="spellEnd"/>
      <w:r w:rsidRPr="009D6152">
        <w:rPr>
          <w:rFonts w:ascii="Arial" w:hAnsi="Arial" w:cs="Arial"/>
        </w:rPr>
        <w:t>, M. J., Thompson, P. A., &amp; Greenhalgh, T. (2016). </w:t>
      </w:r>
      <w:r w:rsidRPr="009D6152">
        <w:rPr>
          <w:rFonts w:ascii="Arial" w:hAnsi="Arial" w:cs="Arial"/>
          <w:i/>
          <w:iCs/>
        </w:rPr>
        <w:t>CATALISE: A Multinational and Multidisciplinary Delphi Consensus Study. Identifying Language Impairments in Children. PLOS ONE, 11(7), e0158753.</w:t>
      </w:r>
      <w:r w:rsidRPr="009D6152">
        <w:rPr>
          <w:rFonts w:ascii="Arial" w:hAnsi="Arial" w:cs="Arial"/>
        </w:rPr>
        <w:t> </w:t>
      </w:r>
      <w:hyperlink r:id="rId16" w:history="1">
        <w:r w:rsidR="009E21A1" w:rsidRPr="00F74887">
          <w:rPr>
            <w:rStyle w:val="Hyperlink"/>
            <w:rFonts w:ascii="Arial" w:hAnsi="Arial" w:cs="Arial"/>
          </w:rPr>
          <w:t>https://doi: 10.1371/journal.pone.0158753 </w:t>
        </w:r>
      </w:hyperlink>
    </w:p>
    <w:p w14:paraId="394E72B0" w14:textId="62D08FC1" w:rsidR="00346183" w:rsidRPr="009D6152" w:rsidRDefault="00346183" w:rsidP="00200FB5">
      <w:pPr>
        <w:pStyle w:val="ListParagraph"/>
        <w:numPr>
          <w:ilvl w:val="0"/>
          <w:numId w:val="4"/>
        </w:numPr>
        <w:jc w:val="both"/>
        <w:rPr>
          <w:rFonts w:ascii="Arial" w:hAnsi="Arial" w:cs="Arial"/>
        </w:rPr>
      </w:pPr>
      <w:bookmarkStart w:id="6" w:name="_Hlk187696446"/>
      <w:proofErr w:type="spellStart"/>
      <w:r w:rsidRPr="009D6152">
        <w:rPr>
          <w:rFonts w:ascii="Arial" w:hAnsi="Arial" w:cs="Arial"/>
        </w:rPr>
        <w:t>Bridgstock</w:t>
      </w:r>
      <w:proofErr w:type="spellEnd"/>
      <w:r w:rsidRPr="009D6152">
        <w:rPr>
          <w:rFonts w:ascii="Arial" w:hAnsi="Arial" w:cs="Arial"/>
        </w:rPr>
        <w:t>, R., &amp; Jackson, D. (2019). </w:t>
      </w:r>
      <w:bookmarkEnd w:id="6"/>
      <w:r w:rsidRPr="009D6152">
        <w:rPr>
          <w:rFonts w:ascii="Arial" w:hAnsi="Arial" w:cs="Arial"/>
          <w:i/>
          <w:iCs/>
        </w:rPr>
        <w:t>Strategic institutional approaches to graduate employability: navigating meanings, measurements and what really matters. Journal of Higher Education Policy and Management, 1–17.</w:t>
      </w:r>
      <w:r w:rsidRPr="009D6152">
        <w:rPr>
          <w:rFonts w:ascii="Arial" w:hAnsi="Arial" w:cs="Arial"/>
        </w:rPr>
        <w:t> </w:t>
      </w:r>
      <w:hyperlink r:id="rId17" w:history="1">
        <w:r w:rsidR="009E21A1" w:rsidRPr="00F74887">
          <w:rPr>
            <w:rStyle w:val="Hyperlink"/>
            <w:rFonts w:ascii="Arial" w:hAnsi="Arial" w:cs="Arial"/>
          </w:rPr>
          <w:t>https://doi:10.1080/1360080x.2019.1646378 </w:t>
        </w:r>
      </w:hyperlink>
    </w:p>
    <w:p w14:paraId="4C455179" w14:textId="4DA65601" w:rsidR="00346183" w:rsidRPr="00346183" w:rsidRDefault="00346183" w:rsidP="00200FB5">
      <w:pPr>
        <w:pStyle w:val="ListParagraph"/>
        <w:numPr>
          <w:ilvl w:val="0"/>
          <w:numId w:val="4"/>
        </w:numPr>
        <w:jc w:val="both"/>
        <w:rPr>
          <w:rFonts w:ascii="Arial" w:hAnsi="Arial" w:cs="Arial"/>
        </w:rPr>
      </w:pPr>
      <w:bookmarkStart w:id="7" w:name="_Hlk187731553"/>
      <w:r w:rsidRPr="00346183">
        <w:rPr>
          <w:rFonts w:ascii="Arial" w:hAnsi="Arial" w:cs="Arial"/>
        </w:rPr>
        <w:t>Bubb, S., &amp; Jones, M.-A. (2020). </w:t>
      </w:r>
      <w:bookmarkEnd w:id="7"/>
      <w:r w:rsidRPr="00346183">
        <w:rPr>
          <w:rFonts w:ascii="Arial" w:hAnsi="Arial" w:cs="Arial"/>
          <w:i/>
          <w:iCs/>
        </w:rPr>
        <w:t>Learning from the COVID-19 home-schooling experience: Listening to pupils, parents/carers and teachers. Improving Schools, 136548022095879.</w:t>
      </w:r>
      <w:r w:rsidRPr="00346183">
        <w:rPr>
          <w:rFonts w:ascii="Arial" w:hAnsi="Arial" w:cs="Arial"/>
        </w:rPr>
        <w:t> </w:t>
      </w:r>
      <w:hyperlink r:id="rId18" w:history="1">
        <w:r w:rsidR="009E21A1" w:rsidRPr="00F74887">
          <w:rPr>
            <w:rStyle w:val="Hyperlink"/>
            <w:rFonts w:ascii="Arial" w:hAnsi="Arial" w:cs="Arial"/>
          </w:rPr>
          <w:t>https://doi:10.1177/1365480220958797 </w:t>
        </w:r>
      </w:hyperlink>
    </w:p>
    <w:p w14:paraId="1A537F94" w14:textId="7C407564" w:rsidR="00346183" w:rsidRPr="00346183" w:rsidRDefault="00346183" w:rsidP="00200FB5">
      <w:pPr>
        <w:pStyle w:val="ListParagraph"/>
        <w:numPr>
          <w:ilvl w:val="0"/>
          <w:numId w:val="4"/>
        </w:numPr>
        <w:jc w:val="both"/>
        <w:rPr>
          <w:rFonts w:ascii="Arial" w:hAnsi="Arial" w:cs="Arial"/>
        </w:rPr>
      </w:pPr>
      <w:bookmarkStart w:id="8" w:name="_Hlk187733125"/>
      <w:r w:rsidRPr="00346183">
        <w:rPr>
          <w:rFonts w:ascii="Arial" w:hAnsi="Arial" w:cs="Arial"/>
        </w:rPr>
        <w:t>Bundy</w:t>
      </w:r>
      <w:bookmarkEnd w:id="8"/>
      <w:r w:rsidRPr="00346183">
        <w:rPr>
          <w:rFonts w:ascii="Arial" w:hAnsi="Arial" w:cs="Arial"/>
        </w:rPr>
        <w:t>, J., Vogel, R. M., &amp; Zachary, M. A. (2017). </w:t>
      </w:r>
      <w:r w:rsidRPr="00346183">
        <w:rPr>
          <w:rFonts w:ascii="Arial" w:hAnsi="Arial" w:cs="Arial"/>
          <w:i/>
          <w:iCs/>
        </w:rPr>
        <w:t>Organization-stakeholder fit: A dynamic theory of cooperation, compromise, and conflict between an organization and its stakeholders. Strategic Management Journal, 39(2), 476–501.</w:t>
      </w:r>
      <w:r w:rsidRPr="00346183">
        <w:rPr>
          <w:rFonts w:ascii="Arial" w:hAnsi="Arial" w:cs="Arial"/>
        </w:rPr>
        <w:t> </w:t>
      </w:r>
      <w:hyperlink r:id="rId19" w:history="1">
        <w:r w:rsidR="009E21A1" w:rsidRPr="00F74887">
          <w:rPr>
            <w:rStyle w:val="Hyperlink"/>
            <w:rFonts w:ascii="Arial" w:hAnsi="Arial" w:cs="Arial"/>
          </w:rPr>
          <w:t>https://doi:10.1002/smj.2736 </w:t>
        </w:r>
      </w:hyperlink>
    </w:p>
    <w:p w14:paraId="10520478" w14:textId="3165E0FB"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Butt, A., </w:t>
      </w:r>
      <w:proofErr w:type="spellStart"/>
      <w:r w:rsidRPr="00346183">
        <w:rPr>
          <w:rFonts w:ascii="Arial" w:hAnsi="Arial" w:cs="Arial"/>
        </w:rPr>
        <w:t>Naaranoja</w:t>
      </w:r>
      <w:proofErr w:type="spellEnd"/>
      <w:r w:rsidRPr="00346183">
        <w:rPr>
          <w:rFonts w:ascii="Arial" w:hAnsi="Arial" w:cs="Arial"/>
        </w:rPr>
        <w:t>, M., &amp; Savolainen, J. (2016). </w:t>
      </w:r>
      <w:r w:rsidRPr="00346183">
        <w:rPr>
          <w:rFonts w:ascii="Arial" w:hAnsi="Arial" w:cs="Arial"/>
          <w:i/>
          <w:iCs/>
        </w:rPr>
        <w:t>Project change stakeholder communication. International Journal of Project Management, 34(8), 1579–1595.</w:t>
      </w:r>
      <w:r w:rsidRPr="00346183">
        <w:rPr>
          <w:rFonts w:ascii="Arial" w:hAnsi="Arial" w:cs="Arial"/>
        </w:rPr>
        <w:t> </w:t>
      </w:r>
      <w:hyperlink r:id="rId20" w:history="1">
        <w:r w:rsidR="009E21A1" w:rsidRPr="00F74887">
          <w:rPr>
            <w:rStyle w:val="Hyperlink"/>
            <w:rFonts w:ascii="Arial" w:hAnsi="Arial" w:cs="Arial"/>
          </w:rPr>
          <w:t>https://doi: 10.1016/j.ijproman.2016.08.010 </w:t>
        </w:r>
      </w:hyperlink>
    </w:p>
    <w:p w14:paraId="328B4B8C" w14:textId="78AD3EA3" w:rsidR="009D6152" w:rsidRPr="009D6152" w:rsidRDefault="00346183" w:rsidP="00200FB5">
      <w:pPr>
        <w:pStyle w:val="ListParagraph"/>
        <w:numPr>
          <w:ilvl w:val="0"/>
          <w:numId w:val="4"/>
        </w:numPr>
        <w:jc w:val="both"/>
        <w:rPr>
          <w:rFonts w:ascii="Arial" w:hAnsi="Arial" w:cs="Arial"/>
        </w:rPr>
      </w:pPr>
      <w:bookmarkStart w:id="9" w:name="_Hlk187732996"/>
      <w:r w:rsidRPr="00346183">
        <w:rPr>
          <w:rFonts w:ascii="Arial" w:hAnsi="Arial" w:cs="Arial"/>
        </w:rPr>
        <w:t>Caldwell,</w:t>
      </w:r>
      <w:bookmarkEnd w:id="9"/>
      <w:r w:rsidRPr="00346183">
        <w:rPr>
          <w:rFonts w:ascii="Arial" w:hAnsi="Arial" w:cs="Arial"/>
        </w:rPr>
        <w:t xml:space="preserve"> N. D., Roehrich, J. K., &amp; George, G. (2017). </w:t>
      </w:r>
      <w:r w:rsidRPr="00346183">
        <w:rPr>
          <w:rFonts w:ascii="Arial" w:hAnsi="Arial" w:cs="Arial"/>
          <w:i/>
          <w:iCs/>
        </w:rPr>
        <w:t>Social Value Creation and Relational Coordination in Public-Private Collaborations. Journal of Management Studies, 54(6), 906–928.</w:t>
      </w:r>
      <w:r w:rsidRPr="00346183">
        <w:rPr>
          <w:rFonts w:ascii="Arial" w:hAnsi="Arial" w:cs="Arial"/>
        </w:rPr>
        <w:t> </w:t>
      </w:r>
      <w:hyperlink r:id="rId21" w:history="1">
        <w:r w:rsidR="009E21A1" w:rsidRPr="00F74887">
          <w:rPr>
            <w:rStyle w:val="Hyperlink"/>
            <w:rFonts w:ascii="Arial" w:hAnsi="Arial" w:cs="Arial"/>
          </w:rPr>
          <w:t>https://doi:10.1111/joms.12268 </w:t>
        </w:r>
      </w:hyperlink>
      <w:bookmarkStart w:id="10" w:name="_Hlk187693973"/>
    </w:p>
    <w:p w14:paraId="5E70E539" w14:textId="58E8C737"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Cardoso</w:t>
      </w:r>
      <w:bookmarkEnd w:id="10"/>
      <w:r w:rsidRPr="009D6152">
        <w:rPr>
          <w:rFonts w:ascii="Arial" w:hAnsi="Arial" w:cs="Arial"/>
        </w:rPr>
        <w:t xml:space="preserve">, S., Rosa, M. J., &amp; </w:t>
      </w:r>
      <w:proofErr w:type="spellStart"/>
      <w:r w:rsidRPr="009D6152">
        <w:rPr>
          <w:rFonts w:ascii="Arial" w:hAnsi="Arial" w:cs="Arial"/>
        </w:rPr>
        <w:t>Stensaker</w:t>
      </w:r>
      <w:proofErr w:type="spellEnd"/>
      <w:r w:rsidRPr="009D6152">
        <w:rPr>
          <w:rFonts w:ascii="Arial" w:hAnsi="Arial" w:cs="Arial"/>
        </w:rPr>
        <w:t>, B. (2015). </w:t>
      </w:r>
      <w:r w:rsidRPr="009D6152">
        <w:rPr>
          <w:rFonts w:ascii="Arial" w:hAnsi="Arial" w:cs="Arial"/>
          <w:i/>
          <w:iCs/>
        </w:rPr>
        <w:t>Why is quality in higher education not achieved? The view of academics. Assessment &amp; Evaluation in Higher Education, 41(6), 950–965.</w:t>
      </w:r>
      <w:r w:rsidRPr="009D6152">
        <w:rPr>
          <w:rFonts w:ascii="Arial" w:hAnsi="Arial" w:cs="Arial"/>
        </w:rPr>
        <w:t> </w:t>
      </w:r>
      <w:hyperlink r:id="rId22" w:history="1">
        <w:r w:rsidR="009E21A1" w:rsidRPr="00F74887">
          <w:rPr>
            <w:rStyle w:val="Hyperlink"/>
            <w:rFonts w:ascii="Arial" w:hAnsi="Arial" w:cs="Arial"/>
          </w:rPr>
          <w:t>https://doi:10.1080/02602938.2015.1052775 </w:t>
        </w:r>
      </w:hyperlink>
    </w:p>
    <w:p w14:paraId="6511274C" w14:textId="064B0615" w:rsidR="003741B3" w:rsidRPr="003741B3" w:rsidRDefault="00346183" w:rsidP="00200FB5">
      <w:pPr>
        <w:pStyle w:val="ListParagraph"/>
        <w:numPr>
          <w:ilvl w:val="0"/>
          <w:numId w:val="4"/>
        </w:numPr>
        <w:jc w:val="both"/>
        <w:rPr>
          <w:rFonts w:ascii="Arial" w:hAnsi="Arial" w:cs="Arial"/>
        </w:rPr>
      </w:pPr>
      <w:bookmarkStart w:id="11" w:name="_Hlk187679146"/>
      <w:r w:rsidRPr="00346183">
        <w:rPr>
          <w:rFonts w:ascii="Arial" w:hAnsi="Arial" w:cs="Arial"/>
        </w:rPr>
        <w:t>Chan</w:t>
      </w:r>
      <w:bookmarkEnd w:id="11"/>
      <w:r w:rsidRPr="00346183">
        <w:rPr>
          <w:rFonts w:ascii="Arial" w:hAnsi="Arial" w:cs="Arial"/>
        </w:rPr>
        <w:t>, C. K. Y., Fong, E. T. Y., Luk, L. Y. Y., &amp; Ho, R. (2017). </w:t>
      </w:r>
      <w:r w:rsidRPr="00346183">
        <w:rPr>
          <w:rFonts w:ascii="Arial" w:hAnsi="Arial" w:cs="Arial"/>
          <w:i/>
          <w:iCs/>
        </w:rPr>
        <w:t xml:space="preserve">A review of literature on challenges in the development and implementation of generic competencies in higher </w:t>
      </w:r>
      <w:r w:rsidRPr="00346183">
        <w:rPr>
          <w:rFonts w:ascii="Arial" w:hAnsi="Arial" w:cs="Arial"/>
          <w:i/>
          <w:iCs/>
        </w:rPr>
        <w:lastRenderedPageBreak/>
        <w:t>education curriculum. International Journal of Educational Development, 57, 1–10.</w:t>
      </w:r>
      <w:r w:rsidRPr="00346183">
        <w:rPr>
          <w:rFonts w:ascii="Arial" w:hAnsi="Arial" w:cs="Arial"/>
        </w:rPr>
        <w:t> </w:t>
      </w:r>
      <w:hyperlink r:id="rId23" w:history="1">
        <w:r w:rsidR="003741B3" w:rsidRPr="00353753">
          <w:rPr>
            <w:rStyle w:val="Hyperlink"/>
            <w:rFonts w:ascii="Arial" w:hAnsi="Arial" w:cs="Arial"/>
          </w:rPr>
          <w:t>https://</w:t>
        </w:r>
        <w:r w:rsidR="009D6152" w:rsidRPr="00353753">
          <w:rPr>
            <w:rStyle w:val="Hyperlink"/>
            <w:rFonts w:ascii="Arial" w:hAnsi="Arial" w:cs="Arial"/>
          </w:rPr>
          <w:t>doi: 10.1016/j.ijedudev</w:t>
        </w:r>
        <w:r w:rsidRPr="00353753">
          <w:rPr>
            <w:rStyle w:val="Hyperlink"/>
            <w:rFonts w:ascii="Arial" w:hAnsi="Arial" w:cs="Arial"/>
          </w:rPr>
          <w:t>.2017</w:t>
        </w:r>
      </w:hyperlink>
    </w:p>
    <w:p w14:paraId="7DA13D6B" w14:textId="68257701" w:rsidR="00346183" w:rsidRPr="003741B3" w:rsidRDefault="00346183" w:rsidP="00200FB5">
      <w:pPr>
        <w:pStyle w:val="ListParagraph"/>
        <w:numPr>
          <w:ilvl w:val="0"/>
          <w:numId w:val="4"/>
        </w:numPr>
        <w:jc w:val="both"/>
        <w:rPr>
          <w:rFonts w:ascii="Arial" w:hAnsi="Arial" w:cs="Arial"/>
        </w:rPr>
      </w:pPr>
      <w:r w:rsidRPr="00346183">
        <w:rPr>
          <w:rFonts w:ascii="Arial" w:hAnsi="Arial" w:cs="Arial"/>
        </w:rPr>
        <w:t>Chen, Z., Wang, J., &amp; Li, F. (2020). Gender equality in educational engagement: Examining institutional awareness among students. Gender and Education, 32(3), 279-297.</w:t>
      </w:r>
      <w:r w:rsidR="003741B3">
        <w:rPr>
          <w:rFonts w:ascii="Arial" w:hAnsi="Arial" w:cs="Arial"/>
        </w:rPr>
        <w:t xml:space="preserve"> </w:t>
      </w:r>
      <w:hyperlink r:id="rId24" w:history="1">
        <w:r w:rsidR="003741B3" w:rsidRPr="00F74887">
          <w:rPr>
            <w:rStyle w:val="Hyperlink"/>
            <w:rFonts w:ascii="Arial" w:hAnsi="Arial" w:cs="Arial"/>
          </w:rPr>
          <w:t>https://doi.org/10.37028/lingcure.v5nS2.1615</w:t>
        </w:r>
      </w:hyperlink>
    </w:p>
    <w:p w14:paraId="7AD43D47" w14:textId="2EB0F9BA" w:rsidR="003741B3" w:rsidRPr="003741B3" w:rsidRDefault="00346183" w:rsidP="00200FB5">
      <w:pPr>
        <w:pStyle w:val="ListParagraph"/>
        <w:numPr>
          <w:ilvl w:val="0"/>
          <w:numId w:val="4"/>
        </w:numPr>
        <w:jc w:val="both"/>
        <w:rPr>
          <w:rFonts w:ascii="Arial" w:hAnsi="Arial" w:cs="Arial"/>
        </w:rPr>
      </w:pPr>
      <w:r w:rsidRPr="00346183">
        <w:rPr>
          <w:rFonts w:ascii="Arial" w:hAnsi="Arial" w:cs="Arial"/>
        </w:rPr>
        <w:t xml:space="preserve">Clemente, B. G., Clemente, R. C., </w:t>
      </w:r>
      <w:proofErr w:type="spellStart"/>
      <w:r w:rsidRPr="00346183">
        <w:rPr>
          <w:rFonts w:ascii="Arial" w:hAnsi="Arial" w:cs="Arial"/>
        </w:rPr>
        <w:t>Calanoga</w:t>
      </w:r>
      <w:proofErr w:type="spellEnd"/>
      <w:r w:rsidRPr="00346183">
        <w:rPr>
          <w:rFonts w:ascii="Arial" w:hAnsi="Arial" w:cs="Arial"/>
        </w:rPr>
        <w:t xml:space="preserve">, M. C. M., Lavarias, G. M., Aquino, I. P., &amp; </w:t>
      </w:r>
      <w:proofErr w:type="spellStart"/>
      <w:r w:rsidRPr="00346183">
        <w:rPr>
          <w:rFonts w:ascii="Arial" w:hAnsi="Arial" w:cs="Arial"/>
        </w:rPr>
        <w:t>Bistayan</w:t>
      </w:r>
      <w:proofErr w:type="spellEnd"/>
      <w:r w:rsidRPr="00346183">
        <w:rPr>
          <w:rFonts w:ascii="Arial" w:hAnsi="Arial" w:cs="Arial"/>
        </w:rPr>
        <w:t xml:space="preserve">, P. A. (2021). </w:t>
      </w:r>
      <w:r w:rsidRPr="00346183">
        <w:rPr>
          <w:rFonts w:ascii="Arial" w:hAnsi="Arial" w:cs="Arial"/>
          <w:i/>
          <w:iCs/>
        </w:rPr>
        <w:t>Multisectoral awareness and acceptability of the VMGO and meaning making of the vision and mission. Linguistics and Culture Review,</w:t>
      </w:r>
      <w:r w:rsidRPr="00346183">
        <w:rPr>
          <w:rFonts w:ascii="Arial" w:hAnsi="Arial" w:cs="Arial"/>
        </w:rPr>
        <w:t xml:space="preserve"> 5(S2), 956–973. </w:t>
      </w:r>
      <w:hyperlink r:id="rId25" w:history="1">
        <w:r w:rsidR="003741B3" w:rsidRPr="00F74887">
          <w:rPr>
            <w:rStyle w:val="Hyperlink"/>
            <w:rFonts w:ascii="Arial" w:hAnsi="Arial" w:cs="Arial"/>
          </w:rPr>
          <w:t>https://doi.org/10.37028/lingcure.v5nS2.1615</w:t>
        </w:r>
      </w:hyperlink>
    </w:p>
    <w:p w14:paraId="6E2B8F21" w14:textId="622B37B7" w:rsidR="00346183" w:rsidRPr="003741B3" w:rsidRDefault="00346183" w:rsidP="00200FB5">
      <w:pPr>
        <w:pStyle w:val="ListParagraph"/>
        <w:numPr>
          <w:ilvl w:val="0"/>
          <w:numId w:val="4"/>
        </w:numPr>
        <w:jc w:val="both"/>
        <w:rPr>
          <w:rFonts w:ascii="Arial" w:hAnsi="Arial" w:cs="Arial"/>
        </w:rPr>
      </w:pPr>
      <w:r w:rsidRPr="009D6152">
        <w:rPr>
          <w:rFonts w:ascii="Arial" w:hAnsi="Arial" w:cs="Arial"/>
        </w:rPr>
        <w:t xml:space="preserve">Dagdag, J. D., </w:t>
      </w:r>
      <w:proofErr w:type="spellStart"/>
      <w:r w:rsidRPr="009D6152">
        <w:rPr>
          <w:rFonts w:ascii="Arial" w:hAnsi="Arial" w:cs="Arial"/>
        </w:rPr>
        <w:t>Palapuz</w:t>
      </w:r>
      <w:proofErr w:type="spellEnd"/>
      <w:r w:rsidRPr="009D6152">
        <w:rPr>
          <w:rFonts w:ascii="Arial" w:hAnsi="Arial" w:cs="Arial"/>
        </w:rPr>
        <w:t xml:space="preserve">, N. A., Caliboso, J. C., Peru, E. I., &amp; Mauro, R. P. (2023). Stakeholders’ awareness and acceptance of the vision, mission, goals, and outcomes statements of a teacher education college. International Journal of Evaluation and Research in Education (IJERE), 13(1). </w:t>
      </w:r>
      <w:hyperlink r:id="rId26" w:history="1">
        <w:r w:rsidR="009E21A1" w:rsidRPr="00F74887">
          <w:rPr>
            <w:rStyle w:val="Hyperlink"/>
            <w:rFonts w:ascii="Arial" w:hAnsi="Arial" w:cs="Arial"/>
          </w:rPr>
          <w:t>https://doi.org/10.11591/ijere.v13i1.25395</w:t>
        </w:r>
      </w:hyperlink>
    </w:p>
    <w:p w14:paraId="17907839" w14:textId="0886D6C0" w:rsidR="003741B3" w:rsidRPr="003741B3" w:rsidRDefault="00346183" w:rsidP="00200FB5">
      <w:pPr>
        <w:pStyle w:val="ListParagraph"/>
        <w:numPr>
          <w:ilvl w:val="0"/>
          <w:numId w:val="4"/>
        </w:numPr>
        <w:jc w:val="both"/>
        <w:rPr>
          <w:rFonts w:ascii="Arial" w:hAnsi="Arial" w:cs="Arial"/>
        </w:rPr>
      </w:pPr>
      <w:r w:rsidRPr="00346183">
        <w:rPr>
          <w:rFonts w:ascii="Arial" w:hAnsi="Arial" w:cs="Arial"/>
        </w:rPr>
        <w:t>Day, C., Gu, Q., &amp; Sammons, P. (2016). </w:t>
      </w:r>
      <w:r w:rsidRPr="00346183">
        <w:rPr>
          <w:rFonts w:ascii="Arial" w:hAnsi="Arial" w:cs="Arial"/>
          <w:i/>
          <w:iCs/>
        </w:rPr>
        <w:t>The Impact of Leadership on Student Outcomes. Educational Administration Quarterly, 52(2), 221–258.</w:t>
      </w:r>
      <w:r w:rsidRPr="00346183">
        <w:rPr>
          <w:rFonts w:ascii="Arial" w:hAnsi="Arial" w:cs="Arial"/>
        </w:rPr>
        <w:t> </w:t>
      </w:r>
      <w:hyperlink r:id="rId27" w:history="1">
        <w:r w:rsidR="009E21A1" w:rsidRPr="00F74887">
          <w:rPr>
            <w:rStyle w:val="Hyperlink"/>
            <w:rFonts w:ascii="Arial" w:hAnsi="Arial" w:cs="Arial"/>
          </w:rPr>
          <w:t>https://doi:10.1177/0013161x15616863</w:t>
        </w:r>
      </w:hyperlink>
    </w:p>
    <w:p w14:paraId="55EF44A5" w14:textId="33E058FC" w:rsidR="003741B3" w:rsidRPr="003741B3" w:rsidRDefault="00346183" w:rsidP="00200FB5">
      <w:pPr>
        <w:pStyle w:val="ListParagraph"/>
        <w:numPr>
          <w:ilvl w:val="0"/>
          <w:numId w:val="4"/>
        </w:numPr>
        <w:jc w:val="both"/>
        <w:rPr>
          <w:rFonts w:ascii="Arial" w:hAnsi="Arial" w:cs="Arial"/>
        </w:rPr>
      </w:pPr>
      <w:r w:rsidRPr="003741B3">
        <w:rPr>
          <w:rFonts w:ascii="Arial" w:hAnsi="Arial" w:cs="Arial"/>
          <w:color w:val="4F81BD" w:themeColor="accent1"/>
        </w:rPr>
        <w:t> </w:t>
      </w:r>
      <w:bookmarkStart w:id="12" w:name="_Hlk187698541"/>
      <w:r w:rsidRPr="003741B3">
        <w:rPr>
          <w:rFonts w:ascii="Arial" w:hAnsi="Arial" w:cs="Arial"/>
        </w:rPr>
        <w:t xml:space="preserve">Di Maddaloni, F., &amp; Davis, K. (2018). </w:t>
      </w:r>
      <w:bookmarkEnd w:id="12"/>
      <w:r w:rsidRPr="003741B3">
        <w:rPr>
          <w:rFonts w:ascii="Arial" w:hAnsi="Arial" w:cs="Arial"/>
          <w:i/>
          <w:iCs/>
        </w:rPr>
        <w:t xml:space="preserve">Project manager’s perception of the local communities’ stakeholder in megaprojects. An empirical investigation in the UK. International Journal of Project Management, </w:t>
      </w:r>
      <w:r w:rsidRPr="003741B3">
        <w:rPr>
          <w:rFonts w:ascii="Arial" w:hAnsi="Arial" w:cs="Arial"/>
        </w:rPr>
        <w:t xml:space="preserve">36(3), 542–565. </w:t>
      </w:r>
      <w:hyperlink r:id="rId28" w:history="1">
        <w:r w:rsidR="003741B3" w:rsidRPr="00AA79C0">
          <w:rPr>
            <w:rStyle w:val="Hyperlink"/>
            <w:rFonts w:ascii="Arial" w:hAnsi="Arial" w:cs="Arial"/>
          </w:rPr>
          <w:t>https://</w:t>
        </w:r>
        <w:r w:rsidR="009D6152" w:rsidRPr="00AA79C0">
          <w:rPr>
            <w:rStyle w:val="Hyperlink"/>
            <w:rFonts w:ascii="Arial" w:hAnsi="Arial" w:cs="Arial"/>
          </w:rPr>
          <w:t>doi: 10.1016/j.ijproman</w:t>
        </w:r>
        <w:r w:rsidRPr="00AA79C0">
          <w:rPr>
            <w:rStyle w:val="Hyperlink"/>
            <w:rFonts w:ascii="Arial" w:hAnsi="Arial" w:cs="Arial"/>
          </w:rPr>
          <w:t>.2017.11.003 </w:t>
        </w:r>
      </w:hyperlink>
    </w:p>
    <w:p w14:paraId="45C38B36" w14:textId="2202CCDF" w:rsidR="00346183" w:rsidRPr="00346183" w:rsidRDefault="00346183" w:rsidP="00200FB5">
      <w:pPr>
        <w:pStyle w:val="ListParagraph"/>
        <w:numPr>
          <w:ilvl w:val="0"/>
          <w:numId w:val="4"/>
        </w:numPr>
        <w:jc w:val="both"/>
        <w:rPr>
          <w:rFonts w:ascii="Arial" w:hAnsi="Arial" w:cs="Arial"/>
        </w:rPr>
      </w:pPr>
      <w:bookmarkStart w:id="13" w:name="_Hlk187733235"/>
      <w:r w:rsidRPr="00346183">
        <w:rPr>
          <w:rFonts w:ascii="Arial" w:hAnsi="Arial" w:cs="Arial"/>
        </w:rPr>
        <w:t>Dmytriyev,</w:t>
      </w:r>
      <w:bookmarkEnd w:id="13"/>
      <w:r w:rsidRPr="00346183">
        <w:rPr>
          <w:rFonts w:ascii="Arial" w:hAnsi="Arial" w:cs="Arial"/>
        </w:rPr>
        <w:t xml:space="preserve"> S. D., Freeman, R. E., &amp; </w:t>
      </w:r>
      <w:proofErr w:type="spellStart"/>
      <w:r w:rsidRPr="00346183">
        <w:rPr>
          <w:rFonts w:ascii="Arial" w:hAnsi="Arial" w:cs="Arial"/>
        </w:rPr>
        <w:t>Hörisch</w:t>
      </w:r>
      <w:proofErr w:type="spellEnd"/>
      <w:r w:rsidRPr="00346183">
        <w:rPr>
          <w:rFonts w:ascii="Arial" w:hAnsi="Arial" w:cs="Arial"/>
        </w:rPr>
        <w:t>, J. (2021). </w:t>
      </w:r>
      <w:r w:rsidRPr="00346183">
        <w:rPr>
          <w:rFonts w:ascii="Arial" w:hAnsi="Arial" w:cs="Arial"/>
          <w:i/>
          <w:iCs/>
        </w:rPr>
        <w:t>The Relationship between Stakeholder Theory and Corporate Social Responsibility: Differences, Similarities, and Implications for Social Issues in Management. Journal of Management Studies, 58(6), 1441–1470.</w:t>
      </w:r>
      <w:r w:rsidRPr="00346183">
        <w:rPr>
          <w:rFonts w:ascii="Arial" w:hAnsi="Arial" w:cs="Arial"/>
        </w:rPr>
        <w:t> </w:t>
      </w:r>
      <w:hyperlink r:id="rId29" w:history="1">
        <w:r w:rsidR="009E21A1" w:rsidRPr="00F74887">
          <w:rPr>
            <w:rStyle w:val="Hyperlink"/>
            <w:rFonts w:ascii="Arial" w:hAnsi="Arial" w:cs="Arial"/>
          </w:rPr>
          <w:t>https://doi:10.1111/joms.12684 </w:t>
        </w:r>
      </w:hyperlink>
    </w:p>
    <w:p w14:paraId="79C06AFC" w14:textId="117A3CA4"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Dyer, G., &amp; Dyer, M. (2017). </w:t>
      </w:r>
      <w:r w:rsidRPr="00346183">
        <w:rPr>
          <w:rFonts w:ascii="Arial" w:hAnsi="Arial" w:cs="Arial"/>
          <w:i/>
          <w:iCs/>
        </w:rPr>
        <w:t>Strategic leadership for sustainability by higher education: the American College &amp; University Presidents’ Climate Commitment. Journal of Cleaner Production,</w:t>
      </w:r>
      <w:r w:rsidRPr="00346183">
        <w:rPr>
          <w:rFonts w:ascii="Arial" w:hAnsi="Arial" w:cs="Arial"/>
        </w:rPr>
        <w:t xml:space="preserve"> 140, 111–116. </w:t>
      </w:r>
      <w:hyperlink r:id="rId30" w:history="1">
        <w:r w:rsidR="009E21A1" w:rsidRPr="00F74887">
          <w:rPr>
            <w:rStyle w:val="Hyperlink"/>
            <w:rFonts w:ascii="Arial" w:hAnsi="Arial" w:cs="Arial"/>
          </w:rPr>
          <w:t>https://doi: 10.1016/j.jclepro.2015.08.077 </w:t>
        </w:r>
      </w:hyperlink>
    </w:p>
    <w:p w14:paraId="65D5339D" w14:textId="3756481E"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Dzimińska</w:t>
      </w:r>
      <w:proofErr w:type="spellEnd"/>
      <w:r w:rsidRPr="00346183">
        <w:rPr>
          <w:rFonts w:ascii="Arial" w:hAnsi="Arial" w:cs="Arial"/>
        </w:rPr>
        <w:t xml:space="preserve">, M., </w:t>
      </w:r>
      <w:proofErr w:type="spellStart"/>
      <w:r w:rsidRPr="00346183">
        <w:rPr>
          <w:rFonts w:ascii="Arial" w:hAnsi="Arial" w:cs="Arial"/>
        </w:rPr>
        <w:t>Fijałkowska</w:t>
      </w:r>
      <w:proofErr w:type="spellEnd"/>
      <w:r w:rsidRPr="00346183">
        <w:rPr>
          <w:rFonts w:ascii="Arial" w:hAnsi="Arial" w:cs="Arial"/>
        </w:rPr>
        <w:t xml:space="preserve">, J., &amp; </w:t>
      </w:r>
      <w:proofErr w:type="spellStart"/>
      <w:r w:rsidRPr="00346183">
        <w:rPr>
          <w:rFonts w:ascii="Arial" w:hAnsi="Arial" w:cs="Arial"/>
        </w:rPr>
        <w:t>Sułkowski</w:t>
      </w:r>
      <w:proofErr w:type="spellEnd"/>
      <w:r w:rsidRPr="00346183">
        <w:rPr>
          <w:rFonts w:ascii="Arial" w:hAnsi="Arial" w:cs="Arial"/>
        </w:rPr>
        <w:t>, Ł. (2018). </w:t>
      </w:r>
      <w:r w:rsidRPr="00346183">
        <w:rPr>
          <w:rFonts w:ascii="Arial" w:hAnsi="Arial" w:cs="Arial"/>
          <w:i/>
          <w:iCs/>
        </w:rPr>
        <w:t>Trust-Based Quality Culture Conceptual Model for Higher Education Institutions. Sustainability, 10(8), 2599.</w:t>
      </w:r>
      <w:r w:rsidRPr="00346183">
        <w:rPr>
          <w:rFonts w:ascii="Arial" w:hAnsi="Arial" w:cs="Arial"/>
        </w:rPr>
        <w:t> </w:t>
      </w:r>
      <w:hyperlink r:id="rId31" w:history="1">
        <w:r w:rsidR="009E21A1" w:rsidRPr="00F74887">
          <w:rPr>
            <w:rStyle w:val="Hyperlink"/>
            <w:rFonts w:ascii="Arial" w:hAnsi="Arial" w:cs="Arial"/>
          </w:rPr>
          <w:t>https://doi:10.3390/su10082599 </w:t>
        </w:r>
      </w:hyperlink>
    </w:p>
    <w:p w14:paraId="3F2A07CB" w14:textId="22BE6602" w:rsidR="00346183" w:rsidRPr="00346183" w:rsidRDefault="00346183" w:rsidP="00200FB5">
      <w:pPr>
        <w:pStyle w:val="ListParagraph"/>
        <w:numPr>
          <w:ilvl w:val="0"/>
          <w:numId w:val="4"/>
        </w:numPr>
        <w:jc w:val="both"/>
        <w:rPr>
          <w:rFonts w:ascii="Arial" w:hAnsi="Arial" w:cs="Arial"/>
        </w:rPr>
      </w:pPr>
      <w:bookmarkStart w:id="14" w:name="_Hlk187694351"/>
      <w:r w:rsidRPr="00346183">
        <w:rPr>
          <w:rFonts w:ascii="Arial" w:hAnsi="Arial" w:cs="Arial"/>
        </w:rPr>
        <w:t>Evans. (2019). </w:t>
      </w:r>
      <w:bookmarkEnd w:id="14"/>
      <w:r w:rsidRPr="00346183">
        <w:rPr>
          <w:rFonts w:ascii="Arial" w:hAnsi="Arial" w:cs="Arial"/>
          <w:i/>
          <w:iCs/>
        </w:rPr>
        <w:t>Competencies and Pedagogies for Sustainability Education: A Roadmap for Sustainability Studies Program Development in Colleges and Universities. Sustainability, 11(19), 5526.</w:t>
      </w:r>
      <w:r w:rsidRPr="00346183">
        <w:rPr>
          <w:rFonts w:ascii="Arial" w:hAnsi="Arial" w:cs="Arial"/>
        </w:rPr>
        <w:t> </w:t>
      </w:r>
      <w:hyperlink r:id="rId32" w:history="1">
        <w:r w:rsidR="009E21A1" w:rsidRPr="00F74887">
          <w:rPr>
            <w:rStyle w:val="Hyperlink"/>
            <w:rFonts w:ascii="Arial" w:hAnsi="Arial" w:cs="Arial"/>
          </w:rPr>
          <w:t>https://doi:10.3390/su11195526 </w:t>
        </w:r>
      </w:hyperlink>
    </w:p>
    <w:p w14:paraId="283932EB" w14:textId="141E44CD" w:rsidR="009D6152" w:rsidRPr="009D6152" w:rsidRDefault="00346183" w:rsidP="00200FB5">
      <w:pPr>
        <w:pStyle w:val="ListParagraph"/>
        <w:numPr>
          <w:ilvl w:val="0"/>
          <w:numId w:val="4"/>
        </w:numPr>
        <w:jc w:val="both"/>
        <w:rPr>
          <w:rFonts w:ascii="Arial" w:hAnsi="Arial" w:cs="Arial"/>
        </w:rPr>
      </w:pPr>
      <w:bookmarkStart w:id="15" w:name="_Hlk187692467"/>
      <w:r w:rsidRPr="00346183">
        <w:rPr>
          <w:rFonts w:ascii="Arial" w:hAnsi="Arial" w:cs="Arial"/>
        </w:rPr>
        <w:t xml:space="preserve">Ferrer-Estévez, M., &amp; </w:t>
      </w:r>
      <w:proofErr w:type="spellStart"/>
      <w:r w:rsidRPr="00346183">
        <w:rPr>
          <w:rFonts w:ascii="Arial" w:hAnsi="Arial" w:cs="Arial"/>
        </w:rPr>
        <w:t>Chalmeta</w:t>
      </w:r>
      <w:proofErr w:type="spellEnd"/>
      <w:r w:rsidRPr="00346183">
        <w:rPr>
          <w:rFonts w:ascii="Arial" w:hAnsi="Arial" w:cs="Arial"/>
        </w:rPr>
        <w:t>, R. (2021)</w:t>
      </w:r>
      <w:bookmarkEnd w:id="15"/>
      <w:r w:rsidRPr="00346183">
        <w:rPr>
          <w:rFonts w:ascii="Arial" w:hAnsi="Arial" w:cs="Arial"/>
        </w:rPr>
        <w:t>. </w:t>
      </w:r>
      <w:r w:rsidRPr="00346183">
        <w:rPr>
          <w:rFonts w:ascii="Arial" w:hAnsi="Arial" w:cs="Arial"/>
          <w:i/>
          <w:iCs/>
        </w:rPr>
        <w:t>Integrating Sustainable Development Goals in educational institutions. The International Journal of Management Education, 19(2), 100494.</w:t>
      </w:r>
      <w:r w:rsidRPr="00346183">
        <w:rPr>
          <w:rFonts w:ascii="Arial" w:hAnsi="Arial" w:cs="Arial"/>
        </w:rPr>
        <w:t> </w:t>
      </w:r>
      <w:hyperlink r:id="rId33" w:history="1">
        <w:r w:rsidR="009E21A1" w:rsidRPr="00F74887">
          <w:rPr>
            <w:rStyle w:val="Hyperlink"/>
            <w:rFonts w:ascii="Arial" w:hAnsi="Arial" w:cs="Arial"/>
          </w:rPr>
          <w:t>https://doi: 10.1016/j.ijme.2021.100494</w:t>
        </w:r>
      </w:hyperlink>
      <w:bookmarkStart w:id="16" w:name="_Hlk187695402"/>
    </w:p>
    <w:p w14:paraId="3F38312C" w14:textId="40E542F5"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Findler</w:t>
      </w:r>
      <w:bookmarkEnd w:id="16"/>
      <w:r w:rsidRPr="009D6152">
        <w:rPr>
          <w:rFonts w:ascii="Arial" w:hAnsi="Arial" w:cs="Arial"/>
        </w:rPr>
        <w:t xml:space="preserve">, F., </w:t>
      </w:r>
      <w:proofErr w:type="spellStart"/>
      <w:r w:rsidRPr="009D6152">
        <w:rPr>
          <w:rFonts w:ascii="Arial" w:hAnsi="Arial" w:cs="Arial"/>
        </w:rPr>
        <w:t>Schönherr</w:t>
      </w:r>
      <w:proofErr w:type="spellEnd"/>
      <w:r w:rsidRPr="009D6152">
        <w:rPr>
          <w:rFonts w:ascii="Arial" w:hAnsi="Arial" w:cs="Arial"/>
        </w:rPr>
        <w:t xml:space="preserve">, N., Lozano, R., &amp; </w:t>
      </w:r>
      <w:proofErr w:type="spellStart"/>
      <w:r w:rsidRPr="009D6152">
        <w:rPr>
          <w:rFonts w:ascii="Arial" w:hAnsi="Arial" w:cs="Arial"/>
        </w:rPr>
        <w:t>Stacherl</w:t>
      </w:r>
      <w:proofErr w:type="spellEnd"/>
      <w:r w:rsidRPr="009D6152">
        <w:rPr>
          <w:rFonts w:ascii="Arial" w:hAnsi="Arial" w:cs="Arial"/>
        </w:rPr>
        <w:t>, B. (2018). </w:t>
      </w:r>
      <w:r w:rsidRPr="009D6152">
        <w:rPr>
          <w:rFonts w:ascii="Arial" w:hAnsi="Arial" w:cs="Arial"/>
          <w:i/>
          <w:iCs/>
        </w:rPr>
        <w:t>Assessing the Impacts of Higher Education Institutions on Sustainable Development—An Analysis of Tools and Indicators. Sustainability, 11(1), 59.</w:t>
      </w:r>
      <w:r w:rsidRPr="009D6152">
        <w:rPr>
          <w:rFonts w:ascii="Arial" w:hAnsi="Arial" w:cs="Arial"/>
        </w:rPr>
        <w:t> </w:t>
      </w:r>
      <w:hyperlink r:id="rId34" w:history="1">
        <w:r w:rsidR="009E21A1" w:rsidRPr="00F74887">
          <w:rPr>
            <w:rStyle w:val="Hyperlink"/>
            <w:rFonts w:ascii="Arial" w:hAnsi="Arial" w:cs="Arial"/>
          </w:rPr>
          <w:t>https://doi:10.3390/su11010059 </w:t>
        </w:r>
      </w:hyperlink>
    </w:p>
    <w:p w14:paraId="69C3395A" w14:textId="4AC43772" w:rsidR="00346183" w:rsidRPr="00346183" w:rsidRDefault="00346183" w:rsidP="00200FB5">
      <w:pPr>
        <w:pStyle w:val="ListParagraph"/>
        <w:numPr>
          <w:ilvl w:val="0"/>
          <w:numId w:val="4"/>
        </w:numPr>
        <w:jc w:val="both"/>
        <w:rPr>
          <w:rFonts w:ascii="Arial" w:hAnsi="Arial" w:cs="Arial"/>
        </w:rPr>
      </w:pPr>
      <w:bookmarkStart w:id="17" w:name="_Hlk187677544"/>
      <w:proofErr w:type="spellStart"/>
      <w:r w:rsidRPr="00346183">
        <w:rPr>
          <w:rFonts w:ascii="Arial" w:hAnsi="Arial" w:cs="Arial"/>
        </w:rPr>
        <w:t>Fleacă</w:t>
      </w:r>
      <w:proofErr w:type="spellEnd"/>
      <w:r w:rsidRPr="00346183">
        <w:rPr>
          <w:rFonts w:ascii="Arial" w:hAnsi="Arial" w:cs="Arial"/>
        </w:rPr>
        <w:t>,</w:t>
      </w:r>
      <w:bookmarkEnd w:id="17"/>
      <w:r w:rsidRPr="00346183">
        <w:rPr>
          <w:rFonts w:ascii="Arial" w:hAnsi="Arial" w:cs="Arial"/>
        </w:rPr>
        <w:t xml:space="preserve"> E., </w:t>
      </w:r>
      <w:proofErr w:type="spellStart"/>
      <w:r w:rsidRPr="00346183">
        <w:rPr>
          <w:rFonts w:ascii="Arial" w:hAnsi="Arial" w:cs="Arial"/>
        </w:rPr>
        <w:t>Fleacă</w:t>
      </w:r>
      <w:proofErr w:type="spellEnd"/>
      <w:r w:rsidRPr="00346183">
        <w:rPr>
          <w:rFonts w:ascii="Arial" w:hAnsi="Arial" w:cs="Arial"/>
        </w:rPr>
        <w:t xml:space="preserve">, B., &amp; </w:t>
      </w:r>
      <w:proofErr w:type="spellStart"/>
      <w:r w:rsidRPr="00346183">
        <w:rPr>
          <w:rFonts w:ascii="Arial" w:hAnsi="Arial" w:cs="Arial"/>
        </w:rPr>
        <w:t>Maiduc</w:t>
      </w:r>
      <w:proofErr w:type="spellEnd"/>
      <w:r w:rsidRPr="00346183">
        <w:rPr>
          <w:rFonts w:ascii="Arial" w:hAnsi="Arial" w:cs="Arial"/>
        </w:rPr>
        <w:t>, S. (2018). </w:t>
      </w:r>
      <w:r w:rsidRPr="00346183">
        <w:rPr>
          <w:rFonts w:ascii="Arial" w:hAnsi="Arial" w:cs="Arial"/>
          <w:i/>
          <w:iCs/>
        </w:rPr>
        <w:t>Aligning Strategy with Sustainable Development Goals (SDGs): Process Scoping Diagram for Entrepreneurial Higher Education Institutions (HEIs). Sustainability, 10(4), 1032.</w:t>
      </w:r>
      <w:r w:rsidRPr="00346183">
        <w:rPr>
          <w:rFonts w:ascii="Arial" w:hAnsi="Arial" w:cs="Arial"/>
        </w:rPr>
        <w:t> </w:t>
      </w:r>
      <w:hyperlink r:id="rId35" w:history="1">
        <w:r w:rsidR="009E21A1" w:rsidRPr="00F74887">
          <w:rPr>
            <w:rStyle w:val="Hyperlink"/>
            <w:rFonts w:ascii="Arial" w:hAnsi="Arial" w:cs="Arial"/>
          </w:rPr>
          <w:t>https://doi:10.3390/su10041032 </w:t>
        </w:r>
      </w:hyperlink>
    </w:p>
    <w:p w14:paraId="11DB7587" w14:textId="36163B7E"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Garcia, S., </w:t>
      </w:r>
      <w:proofErr w:type="spellStart"/>
      <w:r w:rsidRPr="00346183">
        <w:rPr>
          <w:rFonts w:ascii="Arial" w:hAnsi="Arial" w:cs="Arial"/>
        </w:rPr>
        <w:t>Rogayan</w:t>
      </w:r>
      <w:proofErr w:type="spellEnd"/>
      <w:r w:rsidRPr="00346183">
        <w:rPr>
          <w:rFonts w:ascii="Arial" w:hAnsi="Arial" w:cs="Arial"/>
        </w:rPr>
        <w:t xml:space="preserve">, D., &amp; </w:t>
      </w:r>
      <w:proofErr w:type="spellStart"/>
      <w:r w:rsidRPr="00346183">
        <w:rPr>
          <w:rFonts w:ascii="Arial" w:hAnsi="Arial" w:cs="Arial"/>
        </w:rPr>
        <w:t>Gagasa</w:t>
      </w:r>
      <w:proofErr w:type="spellEnd"/>
      <w:r w:rsidRPr="00346183">
        <w:rPr>
          <w:rFonts w:ascii="Arial" w:hAnsi="Arial" w:cs="Arial"/>
        </w:rPr>
        <w:t xml:space="preserve">, K. L. (2021). Stakeholders’ Awareness and Acceptability of University’s Vision and Mission, and Teacher Education Program Goals and Objectives in a State Institution in Central Luzon, Philippines. International Journal of Multidisciplinary: Applied Business and Education Research, 2(1), 17-23. </w:t>
      </w:r>
      <w:hyperlink r:id="rId36" w:history="1">
        <w:r w:rsidRPr="00353753">
          <w:rPr>
            <w:rStyle w:val="Hyperlink"/>
            <w:rFonts w:ascii="Arial" w:hAnsi="Arial" w:cs="Arial"/>
          </w:rPr>
          <w:t>https://doi.org/10.11594/ijmaber.02.01.03BAMR Journal+2BAMR Journal+2Ejournal UPI+2</w:t>
        </w:r>
      </w:hyperlink>
    </w:p>
    <w:p w14:paraId="2B386EEC" w14:textId="4B97B80B" w:rsidR="00346183" w:rsidRPr="00346183" w:rsidRDefault="00346183" w:rsidP="00200FB5">
      <w:pPr>
        <w:pStyle w:val="ListParagraph"/>
        <w:numPr>
          <w:ilvl w:val="0"/>
          <w:numId w:val="4"/>
        </w:numPr>
        <w:jc w:val="both"/>
        <w:rPr>
          <w:rFonts w:ascii="Arial" w:hAnsi="Arial" w:cs="Arial"/>
        </w:rPr>
      </w:pPr>
      <w:bookmarkStart w:id="18" w:name="_Hlk187732866"/>
      <w:r w:rsidRPr="00346183">
        <w:rPr>
          <w:rFonts w:ascii="Arial" w:hAnsi="Arial" w:cs="Arial"/>
        </w:rPr>
        <w:t>Gupta</w:t>
      </w:r>
      <w:bookmarkEnd w:id="18"/>
      <w:r w:rsidRPr="00346183">
        <w:rPr>
          <w:rFonts w:ascii="Arial" w:hAnsi="Arial" w:cs="Arial"/>
        </w:rPr>
        <w:t xml:space="preserve">, K., Crilly, D., &amp; </w:t>
      </w:r>
      <w:proofErr w:type="spellStart"/>
      <w:r w:rsidRPr="00346183">
        <w:rPr>
          <w:rFonts w:ascii="Arial" w:hAnsi="Arial" w:cs="Arial"/>
        </w:rPr>
        <w:t>Greckhamer</w:t>
      </w:r>
      <w:proofErr w:type="spellEnd"/>
      <w:r w:rsidRPr="00346183">
        <w:rPr>
          <w:rFonts w:ascii="Arial" w:hAnsi="Arial" w:cs="Arial"/>
        </w:rPr>
        <w:t>, T. (2020). </w:t>
      </w:r>
      <w:r w:rsidRPr="00346183">
        <w:rPr>
          <w:rFonts w:ascii="Arial" w:hAnsi="Arial" w:cs="Arial"/>
          <w:i/>
          <w:iCs/>
        </w:rPr>
        <w:t>Stakeholder Engagement Strategies, National Institutions, And Firm Performance: A Configurational Perspective. Strategic Management Journal.</w:t>
      </w:r>
      <w:r w:rsidRPr="00346183">
        <w:rPr>
          <w:rFonts w:ascii="Arial" w:hAnsi="Arial" w:cs="Arial"/>
        </w:rPr>
        <w:t> </w:t>
      </w:r>
      <w:hyperlink r:id="rId37" w:history="1">
        <w:r w:rsidR="009E21A1" w:rsidRPr="00F74887">
          <w:rPr>
            <w:rStyle w:val="Hyperlink"/>
            <w:rFonts w:ascii="Arial" w:hAnsi="Arial" w:cs="Arial"/>
          </w:rPr>
          <w:t>https://doi:10.1002/smj.3204 </w:t>
        </w:r>
      </w:hyperlink>
    </w:p>
    <w:p w14:paraId="70DC4DCA" w14:textId="136317BA" w:rsidR="00346183" w:rsidRPr="00346183" w:rsidRDefault="00346183" w:rsidP="00200FB5">
      <w:pPr>
        <w:pStyle w:val="ListParagraph"/>
        <w:numPr>
          <w:ilvl w:val="0"/>
          <w:numId w:val="4"/>
        </w:numPr>
        <w:jc w:val="both"/>
        <w:rPr>
          <w:rFonts w:ascii="Arial" w:hAnsi="Arial" w:cs="Arial"/>
        </w:rPr>
      </w:pPr>
      <w:bookmarkStart w:id="19" w:name="_Hlk187693686"/>
      <w:r w:rsidRPr="00346183">
        <w:rPr>
          <w:rFonts w:ascii="Arial" w:hAnsi="Arial" w:cs="Arial"/>
        </w:rPr>
        <w:lastRenderedPageBreak/>
        <w:t>Hayter, C. S., &amp; Cahoy, D. R. (2016</w:t>
      </w:r>
      <w:bookmarkEnd w:id="19"/>
      <w:r w:rsidRPr="00346183">
        <w:rPr>
          <w:rFonts w:ascii="Arial" w:hAnsi="Arial" w:cs="Arial"/>
        </w:rPr>
        <w:t>). </w:t>
      </w:r>
      <w:r w:rsidRPr="00346183">
        <w:rPr>
          <w:rFonts w:ascii="Arial" w:hAnsi="Arial" w:cs="Arial"/>
          <w:i/>
          <w:iCs/>
        </w:rPr>
        <w:t>Toward a strategic view of higher education social responsibilities: A dynamic capabilities approach. Strategic Organization, 16(1), 12–34.</w:t>
      </w:r>
      <w:r w:rsidRPr="00346183">
        <w:rPr>
          <w:rFonts w:ascii="Arial" w:hAnsi="Arial" w:cs="Arial"/>
        </w:rPr>
        <w:t> </w:t>
      </w:r>
      <w:hyperlink r:id="rId38" w:history="1">
        <w:r w:rsidR="009E21A1" w:rsidRPr="00F74887">
          <w:rPr>
            <w:rStyle w:val="Hyperlink"/>
            <w:rFonts w:ascii="Arial" w:hAnsi="Arial" w:cs="Arial"/>
          </w:rPr>
          <w:t>https://doi:10.1177/1476127016680564</w:t>
        </w:r>
      </w:hyperlink>
    </w:p>
    <w:p w14:paraId="6BE25670" w14:textId="1C37B96F" w:rsidR="009D6152" w:rsidRPr="009D6152" w:rsidRDefault="00346183" w:rsidP="00200FB5">
      <w:pPr>
        <w:pStyle w:val="ListParagraph"/>
        <w:numPr>
          <w:ilvl w:val="0"/>
          <w:numId w:val="4"/>
        </w:numPr>
        <w:jc w:val="both"/>
        <w:rPr>
          <w:rFonts w:ascii="Arial" w:hAnsi="Arial" w:cs="Arial"/>
        </w:rPr>
      </w:pPr>
      <w:bookmarkStart w:id="20" w:name="_Hlk187733380"/>
      <w:r w:rsidRPr="00346183">
        <w:rPr>
          <w:rFonts w:ascii="Arial" w:hAnsi="Arial" w:cs="Arial"/>
        </w:rPr>
        <w:t>Hickey</w:t>
      </w:r>
      <w:bookmarkEnd w:id="20"/>
      <w:r w:rsidRPr="00346183">
        <w:rPr>
          <w:rFonts w:ascii="Arial" w:hAnsi="Arial" w:cs="Arial"/>
        </w:rPr>
        <w:t>, G., McGilloway, S., O’Brien, M., Leckey, Y., Devlin, M., &amp; Donnelly, M. (2018). </w:t>
      </w:r>
      <w:r w:rsidRPr="00346183">
        <w:rPr>
          <w:rFonts w:ascii="Arial" w:hAnsi="Arial" w:cs="Arial"/>
          <w:i/>
          <w:iCs/>
        </w:rPr>
        <w:t>Strengthening stakeholder buy-in and engagement for successful exploration and installation: A case study of the development of an area-wide, evidence-based prevention and early intervention strategy. Children and Youth Services Review, 91, 185–195.</w:t>
      </w:r>
      <w:r w:rsidRPr="00346183">
        <w:rPr>
          <w:rFonts w:ascii="Arial" w:hAnsi="Arial" w:cs="Arial"/>
        </w:rPr>
        <w:t> </w:t>
      </w:r>
      <w:hyperlink r:id="rId39" w:history="1">
        <w:r w:rsidR="009E21A1" w:rsidRPr="00F74887">
          <w:rPr>
            <w:rStyle w:val="Hyperlink"/>
            <w:rFonts w:ascii="Arial" w:hAnsi="Arial" w:cs="Arial"/>
          </w:rPr>
          <w:t>https://doi: 10.1016/j.childyouth.2018.06.008 </w:t>
        </w:r>
      </w:hyperlink>
      <w:bookmarkStart w:id="21" w:name="_Hlk187698314"/>
    </w:p>
    <w:p w14:paraId="1A247B3D" w14:textId="2C41A971"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Hitt</w:t>
      </w:r>
      <w:bookmarkEnd w:id="21"/>
      <w:r w:rsidRPr="009D6152">
        <w:rPr>
          <w:rFonts w:ascii="Arial" w:hAnsi="Arial" w:cs="Arial"/>
        </w:rPr>
        <w:t xml:space="preserve">, D. H., &amp; Tucker, P. D. (2016). </w:t>
      </w:r>
      <w:r w:rsidRPr="009D6152">
        <w:rPr>
          <w:rFonts w:ascii="Arial" w:hAnsi="Arial" w:cs="Arial"/>
          <w:i/>
          <w:iCs/>
        </w:rPr>
        <w:t>Systematic Review of Key Leader Practices Found to Influence Student Achievement. Review of Educational Research,</w:t>
      </w:r>
      <w:r w:rsidRPr="009D6152">
        <w:rPr>
          <w:rFonts w:ascii="Arial" w:hAnsi="Arial" w:cs="Arial"/>
        </w:rPr>
        <w:t xml:space="preserve"> 86(2), 531–569. </w:t>
      </w:r>
      <w:hyperlink r:id="rId40" w:history="1">
        <w:r w:rsidR="009E21A1" w:rsidRPr="00F74887">
          <w:rPr>
            <w:rStyle w:val="Hyperlink"/>
            <w:rFonts w:ascii="Arial" w:hAnsi="Arial" w:cs="Arial"/>
          </w:rPr>
          <w:t>https://doi:10.3102/0034654315614911 </w:t>
        </w:r>
      </w:hyperlink>
    </w:p>
    <w:p w14:paraId="0498A3F0" w14:textId="7777777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Huang, H., &amp; Li, J. (2018). Gender and institutional awareness in higher education: A comprehensive study. Journal of Educational Research, 50(2), 133-148.</w:t>
      </w:r>
    </w:p>
    <w:p w14:paraId="6ED5DA51" w14:textId="189F3EE5" w:rsidR="00346183" w:rsidRPr="00346183" w:rsidRDefault="00346183" w:rsidP="00200FB5">
      <w:pPr>
        <w:pStyle w:val="ListParagraph"/>
        <w:numPr>
          <w:ilvl w:val="0"/>
          <w:numId w:val="4"/>
        </w:numPr>
        <w:jc w:val="both"/>
        <w:rPr>
          <w:rFonts w:ascii="Arial" w:hAnsi="Arial" w:cs="Arial"/>
        </w:rPr>
      </w:pPr>
      <w:bookmarkStart w:id="22" w:name="_Hlk187734706"/>
      <w:proofErr w:type="spellStart"/>
      <w:r w:rsidRPr="00346183">
        <w:rPr>
          <w:rFonts w:ascii="Arial" w:hAnsi="Arial" w:cs="Arial"/>
        </w:rPr>
        <w:t>Ikoni</w:t>
      </w:r>
      <w:proofErr w:type="spellEnd"/>
      <w:r w:rsidRPr="00346183">
        <w:rPr>
          <w:rFonts w:ascii="Arial" w:hAnsi="Arial" w:cs="Arial"/>
        </w:rPr>
        <w:t>,</w:t>
      </w:r>
      <w:bookmarkEnd w:id="22"/>
      <w:r w:rsidRPr="00346183">
        <w:rPr>
          <w:rFonts w:ascii="Arial" w:hAnsi="Arial" w:cs="Arial"/>
        </w:rPr>
        <w:t xml:space="preserve"> J. O., Titus, M. K., </w:t>
      </w:r>
      <w:proofErr w:type="spellStart"/>
      <w:r w:rsidRPr="00346183">
        <w:rPr>
          <w:rFonts w:ascii="Arial" w:hAnsi="Arial" w:cs="Arial"/>
        </w:rPr>
        <w:t>Onesmus</w:t>
      </w:r>
      <w:proofErr w:type="spellEnd"/>
      <w:r w:rsidRPr="00346183">
        <w:rPr>
          <w:rFonts w:ascii="Arial" w:hAnsi="Arial" w:cs="Arial"/>
        </w:rPr>
        <w:t>, W. G., &amp; Julius, W. M. (2016). </w:t>
      </w:r>
      <w:r w:rsidRPr="00346183">
        <w:rPr>
          <w:rFonts w:ascii="Arial" w:hAnsi="Arial" w:cs="Arial"/>
          <w:i/>
          <w:iCs/>
        </w:rPr>
        <w:t>Development of Pharmacy Education in Kenya Universities to date. African Journal of Pharmacy and Pharmacology, 10(18), 385–392.</w:t>
      </w:r>
      <w:r w:rsidRPr="00346183">
        <w:rPr>
          <w:rFonts w:ascii="Arial" w:hAnsi="Arial" w:cs="Arial"/>
        </w:rPr>
        <w:t> </w:t>
      </w:r>
      <w:hyperlink r:id="rId41" w:history="1">
        <w:r w:rsidR="00353753" w:rsidRPr="00353753">
          <w:rPr>
            <w:rStyle w:val="Hyperlink"/>
            <w:rFonts w:ascii="Arial" w:hAnsi="Arial" w:cs="Arial"/>
          </w:rPr>
          <w:t>https://</w:t>
        </w:r>
        <w:r w:rsidRPr="00353753">
          <w:rPr>
            <w:rStyle w:val="Hyperlink"/>
            <w:rFonts w:ascii="Arial" w:hAnsi="Arial" w:cs="Arial"/>
          </w:rPr>
          <w:t>doi:10.5897/ajpp2015.4407 </w:t>
        </w:r>
      </w:hyperlink>
    </w:p>
    <w:p w14:paraId="4C3257FF" w14:textId="77777777" w:rsidR="00E14DE9" w:rsidRDefault="00346183" w:rsidP="00200FB5">
      <w:pPr>
        <w:pStyle w:val="ListParagraph"/>
        <w:numPr>
          <w:ilvl w:val="0"/>
          <w:numId w:val="4"/>
        </w:numPr>
        <w:jc w:val="both"/>
        <w:rPr>
          <w:rFonts w:ascii="Arial" w:hAnsi="Arial" w:cs="Arial"/>
        </w:rPr>
      </w:pPr>
      <w:r w:rsidRPr="00346183">
        <w:rPr>
          <w:rFonts w:ascii="Arial" w:hAnsi="Arial" w:cs="Arial"/>
        </w:rPr>
        <w:t>Johnson, R., &amp; Allen, P. (2016). Engaging stakeholders in the implementation of institutional missions. Higher Education Review, 28(3), 118-134.</w:t>
      </w:r>
      <w:bookmarkStart w:id="23" w:name="_Hlk187731678"/>
    </w:p>
    <w:p w14:paraId="3C3EB411" w14:textId="010061B2" w:rsidR="00346183" w:rsidRPr="00E14DE9" w:rsidRDefault="00346183" w:rsidP="00200FB5">
      <w:pPr>
        <w:pStyle w:val="ListParagraph"/>
        <w:numPr>
          <w:ilvl w:val="0"/>
          <w:numId w:val="4"/>
        </w:numPr>
        <w:jc w:val="both"/>
        <w:rPr>
          <w:rFonts w:ascii="Arial" w:hAnsi="Arial" w:cs="Arial"/>
        </w:rPr>
      </w:pPr>
      <w:r w:rsidRPr="00E14DE9">
        <w:rPr>
          <w:rFonts w:ascii="Arial" w:hAnsi="Arial" w:cs="Arial"/>
        </w:rPr>
        <w:t>Joosten</w:t>
      </w:r>
      <w:bookmarkEnd w:id="23"/>
      <w:r w:rsidRPr="00E14DE9">
        <w:rPr>
          <w:rFonts w:ascii="Arial" w:hAnsi="Arial" w:cs="Arial"/>
        </w:rPr>
        <w:t>, Y. A., Israel, T. L., Head, A., Vaughn, Y., Villalta Gil, V., Mouton, C., &amp; Wilkins, C. H. (2018). </w:t>
      </w:r>
      <w:r w:rsidRPr="00E14DE9">
        <w:rPr>
          <w:rFonts w:ascii="Arial" w:hAnsi="Arial" w:cs="Arial"/>
          <w:i/>
          <w:iCs/>
        </w:rPr>
        <w:t>Enhancing translational researchers’ ability to collaborate with community stakeholders: Lessons from the Community Engagement Studio. Journal of Clinical and Translational Science, 2(4), 201–207.</w:t>
      </w:r>
      <w:r w:rsidRPr="00E14DE9">
        <w:rPr>
          <w:rFonts w:ascii="Arial" w:hAnsi="Arial" w:cs="Arial"/>
        </w:rPr>
        <w:t> </w:t>
      </w:r>
      <w:hyperlink r:id="rId42" w:history="1">
        <w:r w:rsidR="00353753" w:rsidRPr="00353753">
          <w:rPr>
            <w:rStyle w:val="Hyperlink"/>
            <w:rFonts w:ascii="Arial" w:hAnsi="Arial" w:cs="Arial"/>
          </w:rPr>
          <w:t>https://</w:t>
        </w:r>
        <w:r w:rsidRPr="00353753">
          <w:rPr>
            <w:rStyle w:val="Hyperlink"/>
            <w:rFonts w:ascii="Arial" w:hAnsi="Arial" w:cs="Arial"/>
          </w:rPr>
          <w:t>doi:10.1017/cts.2018.323 </w:t>
        </w:r>
      </w:hyperlink>
    </w:p>
    <w:p w14:paraId="161E42DA" w14:textId="54158CD9" w:rsidR="00E14DE9" w:rsidRPr="00353753" w:rsidRDefault="00346183" w:rsidP="00200FB5">
      <w:pPr>
        <w:pStyle w:val="ListParagraph"/>
        <w:numPr>
          <w:ilvl w:val="0"/>
          <w:numId w:val="4"/>
        </w:numPr>
        <w:jc w:val="both"/>
        <w:rPr>
          <w:rStyle w:val="Hyperlink"/>
          <w:rFonts w:ascii="Arial" w:hAnsi="Arial" w:cs="Arial"/>
        </w:rPr>
      </w:pPr>
      <w:r w:rsidRPr="00346183">
        <w:rPr>
          <w:rFonts w:ascii="Arial" w:hAnsi="Arial" w:cs="Arial"/>
        </w:rPr>
        <w:t xml:space="preserve">Kahu, E. R., &amp; Nelson, K. (2018). Student engagement in the educational interface: Understanding the mechanisms of student success. Higher Education Research &amp; Development, 37(1), 58–71. </w:t>
      </w:r>
      <w:r w:rsidR="00353753">
        <w:rPr>
          <w:rFonts w:ascii="Arial" w:hAnsi="Arial" w:cs="Arial"/>
          <w:color w:val="4F81BD" w:themeColor="accent1"/>
          <w:u w:val="single"/>
        </w:rPr>
        <w:fldChar w:fldCharType="begin"/>
      </w:r>
      <w:r w:rsidR="00353753">
        <w:rPr>
          <w:rFonts w:ascii="Arial" w:hAnsi="Arial" w:cs="Arial"/>
          <w:color w:val="4F81BD" w:themeColor="accent1"/>
          <w:u w:val="single"/>
        </w:rPr>
        <w:instrText>HYPERLINK "https://doi.org/10.1080/07294360.2017.1344197"</w:instrText>
      </w:r>
      <w:r w:rsidR="00353753">
        <w:rPr>
          <w:rFonts w:ascii="Arial" w:hAnsi="Arial" w:cs="Arial"/>
          <w:color w:val="4F81BD" w:themeColor="accent1"/>
          <w:u w:val="single"/>
        </w:rPr>
        <w:fldChar w:fldCharType="separate"/>
      </w:r>
      <w:r w:rsidR="00E14DE9" w:rsidRPr="00353753">
        <w:rPr>
          <w:rStyle w:val="Hyperlink"/>
          <w:rFonts w:ascii="Arial" w:hAnsi="Arial" w:cs="Arial"/>
        </w:rPr>
        <w:t>https://doi.org/10.1080/07294360.2017.1344197</w:t>
      </w:r>
    </w:p>
    <w:p w14:paraId="1B6A7E54" w14:textId="2BA21CDC" w:rsidR="00346183" w:rsidRPr="00353753" w:rsidRDefault="00353753" w:rsidP="00200FB5">
      <w:pPr>
        <w:pStyle w:val="ListParagraph"/>
        <w:numPr>
          <w:ilvl w:val="0"/>
          <w:numId w:val="4"/>
        </w:numPr>
        <w:jc w:val="both"/>
        <w:rPr>
          <w:rStyle w:val="Hyperlink"/>
          <w:rFonts w:ascii="Arial" w:hAnsi="Arial" w:cs="Arial"/>
        </w:rPr>
      </w:pPr>
      <w:r>
        <w:rPr>
          <w:rFonts w:ascii="Arial" w:hAnsi="Arial" w:cs="Arial"/>
          <w:color w:val="4F81BD" w:themeColor="accent1"/>
          <w:u w:val="single"/>
        </w:rPr>
        <w:fldChar w:fldCharType="end"/>
      </w:r>
      <w:r w:rsidR="00346183" w:rsidRPr="00E14DE9">
        <w:rPr>
          <w:rFonts w:ascii="Arial" w:hAnsi="Arial" w:cs="Arial"/>
        </w:rPr>
        <w:t xml:space="preserve">Kelly, M. E., Patterson, F., O’Flynn, S., Mulligan, J., &amp; Murphy, A. W. (2018). A systematic review of stakeholder views of selection methods for medical </w:t>
      </w:r>
      <w:proofErr w:type="gramStart"/>
      <w:r w:rsidR="00346183" w:rsidRPr="00E14DE9">
        <w:rPr>
          <w:rFonts w:ascii="Arial" w:hAnsi="Arial" w:cs="Arial"/>
        </w:rPr>
        <w:t>schools</w:t>
      </w:r>
      <w:proofErr w:type="gramEnd"/>
      <w:r w:rsidR="00346183" w:rsidRPr="00E14DE9">
        <w:rPr>
          <w:rFonts w:ascii="Arial" w:hAnsi="Arial" w:cs="Arial"/>
        </w:rPr>
        <w:t xml:space="preserve"> admission. BMC Medical Education, 18(1), 139. </w:t>
      </w:r>
      <w:r>
        <w:rPr>
          <w:rFonts w:ascii="Arial" w:hAnsi="Arial" w:cs="Arial"/>
          <w:color w:val="4F81BD" w:themeColor="accent1"/>
          <w:u w:val="single"/>
        </w:rPr>
        <w:fldChar w:fldCharType="begin"/>
      </w:r>
      <w:r>
        <w:rPr>
          <w:rFonts w:ascii="Arial" w:hAnsi="Arial" w:cs="Arial"/>
          <w:color w:val="4F81BD" w:themeColor="accent1"/>
          <w:u w:val="single"/>
        </w:rPr>
        <w:instrText>HYPERLINK "https://doi.org/10.1186/s12909-018-1235-x"</w:instrText>
      </w:r>
      <w:r>
        <w:rPr>
          <w:rFonts w:ascii="Arial" w:hAnsi="Arial" w:cs="Arial"/>
          <w:color w:val="4F81BD" w:themeColor="accent1"/>
          <w:u w:val="single"/>
        </w:rPr>
        <w:fldChar w:fldCharType="separate"/>
      </w:r>
      <w:r w:rsidR="00346183" w:rsidRPr="00353753">
        <w:rPr>
          <w:rStyle w:val="Hyperlink"/>
          <w:rFonts w:ascii="Arial" w:hAnsi="Arial" w:cs="Arial"/>
        </w:rPr>
        <w:t>https://doi.org/10.1186/s12909-018-1235-x</w:t>
      </w:r>
    </w:p>
    <w:bookmarkStart w:id="24" w:name="_Hlk187697996"/>
    <w:p w14:paraId="3BA5904E" w14:textId="77777777" w:rsidR="00353753" w:rsidRDefault="00353753" w:rsidP="00200FB5">
      <w:pPr>
        <w:pStyle w:val="ListParagraph"/>
        <w:numPr>
          <w:ilvl w:val="0"/>
          <w:numId w:val="4"/>
        </w:numPr>
        <w:jc w:val="both"/>
        <w:rPr>
          <w:rFonts w:ascii="Arial" w:hAnsi="Arial" w:cs="Arial"/>
        </w:rPr>
      </w:pPr>
      <w:r>
        <w:rPr>
          <w:rFonts w:ascii="Arial" w:hAnsi="Arial" w:cs="Arial"/>
          <w:color w:val="4F81BD" w:themeColor="accent1"/>
          <w:u w:val="single"/>
        </w:rPr>
        <w:fldChar w:fldCharType="end"/>
      </w:r>
      <w:proofErr w:type="spellStart"/>
      <w:r w:rsidR="00346183" w:rsidRPr="00346183">
        <w:rPr>
          <w:rFonts w:ascii="Arial" w:hAnsi="Arial" w:cs="Arial"/>
        </w:rPr>
        <w:t>Kibler</w:t>
      </w:r>
      <w:proofErr w:type="spellEnd"/>
      <w:r w:rsidR="00346183" w:rsidRPr="00346183">
        <w:rPr>
          <w:rFonts w:ascii="Arial" w:hAnsi="Arial" w:cs="Arial"/>
        </w:rPr>
        <w:t>, A. K., &amp; Valdés, G. (2016)</w:t>
      </w:r>
      <w:bookmarkEnd w:id="24"/>
      <w:r w:rsidR="00346183" w:rsidRPr="00346183">
        <w:rPr>
          <w:rFonts w:ascii="Arial" w:hAnsi="Arial" w:cs="Arial"/>
        </w:rPr>
        <w:t>. </w:t>
      </w:r>
      <w:r w:rsidR="00346183" w:rsidRPr="00346183">
        <w:rPr>
          <w:rFonts w:ascii="Arial" w:hAnsi="Arial" w:cs="Arial"/>
          <w:i/>
          <w:iCs/>
        </w:rPr>
        <w:t xml:space="preserve">Conceptualizing Language Learners: </w:t>
      </w:r>
      <w:proofErr w:type="spellStart"/>
      <w:r w:rsidR="00346183" w:rsidRPr="00346183">
        <w:rPr>
          <w:rFonts w:ascii="Arial" w:hAnsi="Arial" w:cs="Arial"/>
          <w:i/>
          <w:iCs/>
        </w:rPr>
        <w:t>Socioinstitutional</w:t>
      </w:r>
      <w:proofErr w:type="spellEnd"/>
      <w:r w:rsidR="00346183" w:rsidRPr="00346183">
        <w:rPr>
          <w:rFonts w:ascii="Arial" w:hAnsi="Arial" w:cs="Arial"/>
          <w:i/>
          <w:iCs/>
        </w:rPr>
        <w:t xml:space="preserve"> Mechanisms and their Consequences. The Modern Language Journal, 100(S1), 96–116.</w:t>
      </w:r>
      <w:r w:rsidR="00346183" w:rsidRPr="00346183">
        <w:rPr>
          <w:rFonts w:ascii="Arial" w:hAnsi="Arial" w:cs="Arial"/>
        </w:rPr>
        <w:t> </w:t>
      </w:r>
      <w:hyperlink r:id="rId43" w:history="1">
        <w:r w:rsidRPr="00353753">
          <w:rPr>
            <w:rStyle w:val="Hyperlink"/>
            <w:rFonts w:ascii="Arial" w:hAnsi="Arial" w:cs="Arial"/>
          </w:rPr>
          <w:t>https://</w:t>
        </w:r>
        <w:r w:rsidR="00346183" w:rsidRPr="00353753">
          <w:rPr>
            <w:rStyle w:val="Hyperlink"/>
            <w:rFonts w:ascii="Arial" w:hAnsi="Arial" w:cs="Arial"/>
          </w:rPr>
          <w:t>doi:10.1111/modl.12310 </w:t>
        </w:r>
      </w:hyperlink>
    </w:p>
    <w:p w14:paraId="5D70A2B5" w14:textId="75904B4C" w:rsidR="00346183" w:rsidRPr="00353753" w:rsidRDefault="00346183" w:rsidP="00200FB5">
      <w:pPr>
        <w:pStyle w:val="ListParagraph"/>
        <w:numPr>
          <w:ilvl w:val="0"/>
          <w:numId w:val="4"/>
        </w:numPr>
        <w:jc w:val="both"/>
        <w:rPr>
          <w:rStyle w:val="Hyperlink"/>
          <w:rFonts w:ascii="Arial" w:hAnsi="Arial" w:cs="Arial"/>
          <w:color w:val="auto"/>
          <w:u w:val="none"/>
        </w:rPr>
      </w:pPr>
      <w:r w:rsidRPr="00353753">
        <w:rPr>
          <w:rFonts w:ascii="Arial" w:hAnsi="Arial" w:cs="Arial"/>
        </w:rPr>
        <w:t>Kissell, R. E., &amp; Trujillo, T. (202</w:t>
      </w:r>
      <w:r w:rsidRPr="00353753">
        <w:rPr>
          <w:rFonts w:ascii="Arial" w:hAnsi="Arial" w:cs="Arial"/>
          <w:i/>
          <w:iCs/>
        </w:rPr>
        <w:t xml:space="preserve">0). Leading Towards Equity Through Decades of Reform: Oral Histories of District Politics and Community-Driven Reform in Oakland. Urban Education, 004208592095490. </w:t>
      </w:r>
      <w:r w:rsidR="00353753">
        <w:rPr>
          <w:rFonts w:ascii="Arial" w:hAnsi="Arial" w:cs="Arial"/>
          <w:color w:val="4F81BD" w:themeColor="accent1"/>
        </w:rPr>
        <w:fldChar w:fldCharType="begin"/>
      </w:r>
      <w:r w:rsidR="00353753" w:rsidRPr="00353753">
        <w:rPr>
          <w:rFonts w:ascii="Arial" w:hAnsi="Arial" w:cs="Arial"/>
          <w:color w:val="4F81BD" w:themeColor="accent1"/>
        </w:rPr>
        <w:instrText>HYPERLINK "https://doi.org/10.1177/004208592"</w:instrText>
      </w:r>
      <w:r w:rsidR="00353753">
        <w:rPr>
          <w:rFonts w:ascii="Arial" w:hAnsi="Arial" w:cs="Arial"/>
          <w:color w:val="4F81BD" w:themeColor="accent1"/>
        </w:rPr>
        <w:fldChar w:fldCharType="separate"/>
      </w:r>
      <w:r w:rsidRPr="00353753">
        <w:rPr>
          <w:rStyle w:val="Hyperlink"/>
          <w:rFonts w:ascii="Arial" w:hAnsi="Arial" w:cs="Arial"/>
        </w:rPr>
        <w:t>https://doi.org/10.1177/004208592</w:t>
      </w:r>
    </w:p>
    <w:p w14:paraId="451EF3E3" w14:textId="57DA9A94" w:rsidR="00346183" w:rsidRPr="00346183" w:rsidRDefault="00353753" w:rsidP="00A11CE9">
      <w:pPr>
        <w:pStyle w:val="ListParagraph"/>
        <w:jc w:val="both"/>
        <w:rPr>
          <w:rFonts w:ascii="Arial" w:hAnsi="Arial" w:cs="Arial"/>
        </w:rPr>
      </w:pPr>
      <w:r>
        <w:rPr>
          <w:rFonts w:ascii="Arial" w:hAnsi="Arial" w:cs="Arial"/>
          <w:color w:val="4F81BD" w:themeColor="accent1"/>
        </w:rPr>
        <w:fldChar w:fldCharType="end"/>
      </w:r>
    </w:p>
    <w:p w14:paraId="422F257E" w14:textId="77777777" w:rsidR="00267778" w:rsidRPr="00267778" w:rsidRDefault="00346183" w:rsidP="00200FB5">
      <w:pPr>
        <w:pStyle w:val="ListParagraph"/>
        <w:numPr>
          <w:ilvl w:val="0"/>
          <w:numId w:val="4"/>
        </w:numPr>
        <w:jc w:val="both"/>
        <w:rPr>
          <w:rFonts w:ascii="Arial" w:hAnsi="Arial" w:cs="Arial"/>
        </w:rPr>
      </w:pPr>
      <w:r w:rsidRPr="00346183">
        <w:rPr>
          <w:rFonts w:ascii="Arial" w:hAnsi="Arial" w:cs="Arial"/>
        </w:rPr>
        <w:t xml:space="preserve">Laurente, M. L. (2019). Stakeholders’ Awareness and Acceptability of the Leyte Normal University’s Vision, Mission, Goal and Objectives. International Journal for Innovation Education and Research, 7(4), 108-117. </w:t>
      </w:r>
      <w:hyperlink r:id="rId44" w:history="1">
        <w:r w:rsidR="00267778" w:rsidRPr="00F74887">
          <w:rPr>
            <w:rStyle w:val="Hyperlink"/>
            <w:rFonts w:ascii="Arial" w:hAnsi="Arial" w:cs="Arial"/>
          </w:rPr>
          <w:t>https://doi.org/10.31686/ijier.vol7.iss4</w:t>
        </w:r>
      </w:hyperlink>
      <w:bookmarkStart w:id="25" w:name="_Hlk187676466"/>
    </w:p>
    <w:p w14:paraId="5C342E18" w14:textId="75680D52" w:rsidR="00346183" w:rsidRPr="00267778" w:rsidRDefault="00346183" w:rsidP="00200FB5">
      <w:pPr>
        <w:pStyle w:val="ListParagraph"/>
        <w:numPr>
          <w:ilvl w:val="0"/>
          <w:numId w:val="4"/>
        </w:numPr>
        <w:jc w:val="both"/>
        <w:rPr>
          <w:rFonts w:ascii="Arial" w:hAnsi="Arial" w:cs="Arial"/>
        </w:rPr>
      </w:pPr>
      <w:r w:rsidRPr="00267778">
        <w:rPr>
          <w:rFonts w:ascii="Arial" w:hAnsi="Arial" w:cs="Arial"/>
        </w:rPr>
        <w:t>Leal Filho</w:t>
      </w:r>
      <w:bookmarkEnd w:id="25"/>
      <w:r w:rsidRPr="00267778">
        <w:rPr>
          <w:rFonts w:ascii="Arial" w:hAnsi="Arial" w:cs="Arial"/>
        </w:rPr>
        <w:t xml:space="preserve">, W., Pallant, E., </w:t>
      </w:r>
      <w:proofErr w:type="spellStart"/>
      <w:r w:rsidRPr="00267778">
        <w:rPr>
          <w:rFonts w:ascii="Arial" w:hAnsi="Arial" w:cs="Arial"/>
        </w:rPr>
        <w:t>Enete</w:t>
      </w:r>
      <w:proofErr w:type="spellEnd"/>
      <w:r w:rsidRPr="00267778">
        <w:rPr>
          <w:rFonts w:ascii="Arial" w:hAnsi="Arial" w:cs="Arial"/>
        </w:rPr>
        <w:t>, A., Richter, B., &amp; Brandli, L. L. (2018). </w:t>
      </w:r>
      <w:r w:rsidRPr="00267778">
        <w:rPr>
          <w:rFonts w:ascii="Arial" w:hAnsi="Arial" w:cs="Arial"/>
          <w:i/>
          <w:iCs/>
        </w:rPr>
        <w:t>Planning and implementing sustainability in higher education institutions: an overview of the difficulties and potentials. International Journal of Sustainable Development &amp; World Ecology, 1–9.</w:t>
      </w:r>
      <w:r w:rsidRPr="00267778">
        <w:rPr>
          <w:rFonts w:ascii="Arial" w:hAnsi="Arial" w:cs="Arial"/>
        </w:rPr>
        <w:t> </w:t>
      </w:r>
      <w:hyperlink r:id="rId45" w:history="1">
        <w:r w:rsidR="00267778" w:rsidRPr="00267778">
          <w:rPr>
            <w:rStyle w:val="Hyperlink"/>
            <w:rFonts w:ascii="Arial" w:hAnsi="Arial" w:cs="Arial"/>
          </w:rPr>
          <w:t>https://</w:t>
        </w:r>
        <w:r w:rsidRPr="00267778">
          <w:rPr>
            <w:rStyle w:val="Hyperlink"/>
            <w:rFonts w:ascii="Arial" w:hAnsi="Arial" w:cs="Arial"/>
          </w:rPr>
          <w:t>doi:10.1080/13504509.2018.1461707 </w:t>
        </w:r>
      </w:hyperlink>
    </w:p>
    <w:p w14:paraId="58D924F6" w14:textId="3E84C7C0" w:rsidR="00346183" w:rsidRPr="00346183" w:rsidRDefault="00346183" w:rsidP="00200FB5">
      <w:pPr>
        <w:pStyle w:val="ListParagraph"/>
        <w:numPr>
          <w:ilvl w:val="0"/>
          <w:numId w:val="4"/>
        </w:numPr>
        <w:jc w:val="both"/>
        <w:rPr>
          <w:rFonts w:ascii="Arial" w:hAnsi="Arial" w:cs="Arial"/>
        </w:rPr>
      </w:pPr>
      <w:bookmarkStart w:id="26" w:name="_Hlk187696591"/>
      <w:r w:rsidRPr="00346183">
        <w:rPr>
          <w:rFonts w:ascii="Arial" w:hAnsi="Arial" w:cs="Arial"/>
        </w:rPr>
        <w:t>Leal Filho</w:t>
      </w:r>
      <w:bookmarkEnd w:id="26"/>
      <w:r w:rsidRPr="00346183">
        <w:rPr>
          <w:rFonts w:ascii="Arial" w:hAnsi="Arial" w:cs="Arial"/>
        </w:rPr>
        <w:t xml:space="preserve">, W., Shiel, C., &amp; </w:t>
      </w:r>
      <w:proofErr w:type="spellStart"/>
      <w:r w:rsidRPr="00346183">
        <w:rPr>
          <w:rFonts w:ascii="Arial" w:hAnsi="Arial" w:cs="Arial"/>
        </w:rPr>
        <w:t>Paço</w:t>
      </w:r>
      <w:proofErr w:type="spellEnd"/>
      <w:r w:rsidRPr="00346183">
        <w:rPr>
          <w:rFonts w:ascii="Arial" w:hAnsi="Arial" w:cs="Arial"/>
        </w:rPr>
        <w:t>, A. (2016). </w:t>
      </w:r>
      <w:r w:rsidRPr="00346183">
        <w:rPr>
          <w:rFonts w:ascii="Arial" w:hAnsi="Arial" w:cs="Arial"/>
          <w:i/>
          <w:iCs/>
        </w:rPr>
        <w:t xml:space="preserve">Implementing and </w:t>
      </w:r>
      <w:proofErr w:type="spellStart"/>
      <w:r w:rsidRPr="00346183">
        <w:rPr>
          <w:rFonts w:ascii="Arial" w:hAnsi="Arial" w:cs="Arial"/>
          <w:i/>
          <w:iCs/>
        </w:rPr>
        <w:t>operationalising</w:t>
      </w:r>
      <w:proofErr w:type="spellEnd"/>
      <w:r w:rsidRPr="00346183">
        <w:rPr>
          <w:rFonts w:ascii="Arial" w:hAnsi="Arial" w:cs="Arial"/>
          <w:i/>
          <w:iCs/>
        </w:rPr>
        <w:t xml:space="preserve"> integrative approaches to sustainability in higher education: the role of project-oriented learning. Journal of Cleaner Production, 133, 126–135.</w:t>
      </w:r>
      <w:r w:rsidRPr="00346183">
        <w:rPr>
          <w:rFonts w:ascii="Arial" w:hAnsi="Arial" w:cs="Arial"/>
        </w:rPr>
        <w:t> </w:t>
      </w:r>
      <w:hyperlink r:id="rId46" w:history="1">
        <w:r w:rsidR="00267778" w:rsidRPr="00267778">
          <w:rPr>
            <w:rStyle w:val="Hyperlink"/>
            <w:rFonts w:ascii="Arial" w:hAnsi="Arial" w:cs="Arial"/>
          </w:rPr>
          <w:t>https://</w:t>
        </w:r>
        <w:r w:rsidR="009D6152" w:rsidRPr="00267778">
          <w:rPr>
            <w:rStyle w:val="Hyperlink"/>
            <w:rFonts w:ascii="Arial" w:hAnsi="Arial" w:cs="Arial"/>
          </w:rPr>
          <w:t>doi: 10.1016/j.jclepro</w:t>
        </w:r>
        <w:r w:rsidRPr="00267778">
          <w:rPr>
            <w:rStyle w:val="Hyperlink"/>
            <w:rFonts w:ascii="Arial" w:hAnsi="Arial" w:cs="Arial"/>
          </w:rPr>
          <w:t>.2016.05.079 </w:t>
        </w:r>
      </w:hyperlink>
    </w:p>
    <w:p w14:paraId="1D6BCDD5" w14:textId="4417E98E" w:rsidR="00346183" w:rsidRPr="00346183" w:rsidRDefault="00346183" w:rsidP="00200FB5">
      <w:pPr>
        <w:pStyle w:val="ListParagraph"/>
        <w:numPr>
          <w:ilvl w:val="0"/>
          <w:numId w:val="4"/>
        </w:numPr>
        <w:jc w:val="both"/>
        <w:rPr>
          <w:rFonts w:ascii="Arial" w:hAnsi="Arial" w:cs="Arial"/>
        </w:rPr>
      </w:pPr>
      <w:bookmarkStart w:id="27" w:name="_Hlk187730670"/>
      <w:r w:rsidRPr="00346183">
        <w:rPr>
          <w:rFonts w:ascii="Arial" w:hAnsi="Arial" w:cs="Arial"/>
        </w:rPr>
        <w:t>Leal Filho</w:t>
      </w:r>
      <w:bookmarkEnd w:id="27"/>
      <w:r w:rsidRPr="00346183">
        <w:rPr>
          <w:rFonts w:ascii="Arial" w:hAnsi="Arial" w:cs="Arial"/>
        </w:rPr>
        <w:t xml:space="preserve">, W., Tripathi, S. K., Andrade Guerra, J. B. S. O. D., </w:t>
      </w:r>
      <w:proofErr w:type="spellStart"/>
      <w:r w:rsidRPr="00346183">
        <w:rPr>
          <w:rFonts w:ascii="Arial" w:hAnsi="Arial" w:cs="Arial"/>
        </w:rPr>
        <w:t>Giné-Garriga</w:t>
      </w:r>
      <w:proofErr w:type="spellEnd"/>
      <w:r w:rsidRPr="00346183">
        <w:rPr>
          <w:rFonts w:ascii="Arial" w:hAnsi="Arial" w:cs="Arial"/>
        </w:rPr>
        <w:t xml:space="preserve">, R., </w:t>
      </w:r>
      <w:proofErr w:type="spellStart"/>
      <w:r w:rsidRPr="00346183">
        <w:rPr>
          <w:rFonts w:ascii="Arial" w:hAnsi="Arial" w:cs="Arial"/>
        </w:rPr>
        <w:t>Orlovic</w:t>
      </w:r>
      <w:proofErr w:type="spellEnd"/>
      <w:r w:rsidRPr="00346183">
        <w:rPr>
          <w:rFonts w:ascii="Arial" w:hAnsi="Arial" w:cs="Arial"/>
        </w:rPr>
        <w:t xml:space="preserve"> </w:t>
      </w:r>
      <w:proofErr w:type="spellStart"/>
      <w:r w:rsidRPr="00346183">
        <w:rPr>
          <w:rFonts w:ascii="Arial" w:hAnsi="Arial" w:cs="Arial"/>
        </w:rPr>
        <w:t>Lovren</w:t>
      </w:r>
      <w:proofErr w:type="spellEnd"/>
      <w:r w:rsidRPr="00346183">
        <w:rPr>
          <w:rFonts w:ascii="Arial" w:hAnsi="Arial" w:cs="Arial"/>
        </w:rPr>
        <w:t>, V., &amp; Willats, J. (2018). </w:t>
      </w:r>
      <w:r w:rsidRPr="00346183">
        <w:rPr>
          <w:rFonts w:ascii="Arial" w:hAnsi="Arial" w:cs="Arial"/>
          <w:i/>
          <w:iCs/>
        </w:rPr>
        <w:t>Using the sustainable development goals towards a better understanding of sustainability challenges. International Journal of Sustainable Development &amp; World Ecology, 1–12.</w:t>
      </w:r>
      <w:r w:rsidRPr="00346183">
        <w:rPr>
          <w:rFonts w:ascii="Arial" w:hAnsi="Arial" w:cs="Arial"/>
        </w:rPr>
        <w:t> </w:t>
      </w:r>
      <w:hyperlink r:id="rId47" w:history="1">
        <w:r w:rsidR="00267778" w:rsidRPr="00267778">
          <w:rPr>
            <w:rStyle w:val="Hyperlink"/>
            <w:rFonts w:ascii="Arial" w:hAnsi="Arial" w:cs="Arial"/>
          </w:rPr>
          <w:t>https://</w:t>
        </w:r>
        <w:r w:rsidRPr="00267778">
          <w:rPr>
            <w:rStyle w:val="Hyperlink"/>
            <w:rFonts w:ascii="Arial" w:hAnsi="Arial" w:cs="Arial"/>
          </w:rPr>
          <w:t>doi:10.1080/13504509.2018.1505674 </w:t>
        </w:r>
      </w:hyperlink>
    </w:p>
    <w:p w14:paraId="4BC41D66" w14:textId="3575671E" w:rsidR="00346183" w:rsidRPr="00346183" w:rsidRDefault="00346183" w:rsidP="00200FB5">
      <w:pPr>
        <w:pStyle w:val="ListParagraph"/>
        <w:numPr>
          <w:ilvl w:val="0"/>
          <w:numId w:val="4"/>
        </w:numPr>
        <w:jc w:val="both"/>
        <w:rPr>
          <w:rFonts w:ascii="Arial" w:hAnsi="Arial" w:cs="Arial"/>
        </w:rPr>
      </w:pPr>
      <w:bookmarkStart w:id="28" w:name="_Hlk187695234"/>
      <w:r w:rsidRPr="00346183">
        <w:rPr>
          <w:rFonts w:ascii="Arial" w:hAnsi="Arial" w:cs="Arial"/>
        </w:rPr>
        <w:lastRenderedPageBreak/>
        <w:t>Lee, M. T., &amp; Raschke, R. L. (2020). </w:t>
      </w:r>
      <w:bookmarkEnd w:id="28"/>
      <w:r w:rsidRPr="00346183">
        <w:rPr>
          <w:rFonts w:ascii="Arial" w:hAnsi="Arial" w:cs="Arial"/>
          <w:i/>
          <w:iCs/>
        </w:rPr>
        <w:t>Innovative sustainability and stakeholders’ shared understanding: The secret sauce to “performance with a purpose.” Journal of Business Research, 108, 20–28.</w:t>
      </w:r>
      <w:r w:rsidRPr="00346183">
        <w:rPr>
          <w:rFonts w:ascii="Arial" w:hAnsi="Arial" w:cs="Arial"/>
        </w:rPr>
        <w:t> </w:t>
      </w:r>
      <w:hyperlink r:id="rId48" w:history="1">
        <w:r w:rsidR="00267778" w:rsidRPr="00267778">
          <w:rPr>
            <w:rStyle w:val="Hyperlink"/>
            <w:rFonts w:ascii="Arial" w:hAnsi="Arial" w:cs="Arial"/>
          </w:rPr>
          <w:t>https://</w:t>
        </w:r>
        <w:r w:rsidR="009D6152" w:rsidRPr="00267778">
          <w:rPr>
            <w:rStyle w:val="Hyperlink"/>
            <w:rFonts w:ascii="Arial" w:hAnsi="Arial" w:cs="Arial"/>
          </w:rPr>
          <w:t>doi: 10.1016/j.jbusres</w:t>
        </w:r>
        <w:r w:rsidRPr="00267778">
          <w:rPr>
            <w:rStyle w:val="Hyperlink"/>
            <w:rFonts w:ascii="Arial" w:hAnsi="Arial" w:cs="Arial"/>
          </w:rPr>
          <w:t>.2019.10.020 </w:t>
        </w:r>
      </w:hyperlink>
    </w:p>
    <w:p w14:paraId="0C2792BC" w14:textId="394F3054"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Masika, R., &amp; Jones, J. (2015). </w:t>
      </w:r>
      <w:r w:rsidRPr="00346183">
        <w:rPr>
          <w:rFonts w:ascii="Arial" w:hAnsi="Arial" w:cs="Arial"/>
          <w:i/>
          <w:iCs/>
        </w:rPr>
        <w:t>Building student belonging and engagement: insights into higher education students’ experiences of participating and learning together. Teaching in Higher Education, 21(2), 138–150.</w:t>
      </w:r>
      <w:r w:rsidRPr="00346183">
        <w:rPr>
          <w:rFonts w:ascii="Arial" w:hAnsi="Arial" w:cs="Arial"/>
        </w:rPr>
        <w:t> </w:t>
      </w:r>
      <w:hyperlink r:id="rId49" w:history="1">
        <w:r w:rsidR="00267778" w:rsidRPr="00267778">
          <w:rPr>
            <w:rStyle w:val="Hyperlink"/>
            <w:rFonts w:ascii="Arial" w:hAnsi="Arial" w:cs="Arial"/>
          </w:rPr>
          <w:t>https://</w:t>
        </w:r>
        <w:r w:rsidRPr="00267778">
          <w:rPr>
            <w:rStyle w:val="Hyperlink"/>
            <w:rFonts w:ascii="Arial" w:hAnsi="Arial" w:cs="Arial"/>
          </w:rPr>
          <w:t>doi:10.1080/13562517.2015.1122585 </w:t>
        </w:r>
      </w:hyperlink>
    </w:p>
    <w:p w14:paraId="6221D80F" w14:textId="70767CA4"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Mirtl</w:t>
      </w:r>
      <w:proofErr w:type="spellEnd"/>
      <w:r w:rsidRPr="00346183">
        <w:rPr>
          <w:rFonts w:ascii="Arial" w:hAnsi="Arial" w:cs="Arial"/>
        </w:rPr>
        <w:t xml:space="preserve">, M., T. Borer, E., Djukic, I., </w:t>
      </w:r>
      <w:proofErr w:type="spellStart"/>
      <w:r w:rsidRPr="00346183">
        <w:rPr>
          <w:rFonts w:ascii="Arial" w:hAnsi="Arial" w:cs="Arial"/>
        </w:rPr>
        <w:t>Forsius</w:t>
      </w:r>
      <w:proofErr w:type="spellEnd"/>
      <w:r w:rsidRPr="00346183">
        <w:rPr>
          <w:rFonts w:ascii="Arial" w:hAnsi="Arial" w:cs="Arial"/>
        </w:rPr>
        <w:t>, M., Haubold, H., Hugo, W., … Haase, P. (2018). </w:t>
      </w:r>
      <w:r w:rsidRPr="00346183">
        <w:rPr>
          <w:rFonts w:ascii="Arial" w:hAnsi="Arial" w:cs="Arial"/>
          <w:i/>
          <w:iCs/>
        </w:rPr>
        <w:t>Genesis, goals and achievements of Long-Term Ecological Research at the global scale: A critical review of ILTER and future directions. Science of The Total Environment, 626, 1439–1462.</w:t>
      </w:r>
      <w:r w:rsidRPr="00346183">
        <w:rPr>
          <w:rFonts w:ascii="Arial" w:hAnsi="Arial" w:cs="Arial"/>
        </w:rPr>
        <w:t> </w:t>
      </w:r>
      <w:hyperlink r:id="rId50" w:history="1">
        <w:r w:rsidR="00267778" w:rsidRPr="00267778">
          <w:rPr>
            <w:rStyle w:val="Hyperlink"/>
            <w:rFonts w:ascii="Arial" w:hAnsi="Arial" w:cs="Arial"/>
          </w:rPr>
          <w:t>https://</w:t>
        </w:r>
        <w:r w:rsidR="009D6152" w:rsidRPr="00267778">
          <w:rPr>
            <w:rStyle w:val="Hyperlink"/>
            <w:rFonts w:ascii="Arial" w:hAnsi="Arial" w:cs="Arial"/>
          </w:rPr>
          <w:t>doi: 10.1016/j.scitotenv</w:t>
        </w:r>
        <w:r w:rsidRPr="00267778">
          <w:rPr>
            <w:rStyle w:val="Hyperlink"/>
            <w:rFonts w:ascii="Arial" w:hAnsi="Arial" w:cs="Arial"/>
          </w:rPr>
          <w:t>.2017.120</w:t>
        </w:r>
      </w:hyperlink>
    </w:p>
    <w:p w14:paraId="476AB3AE" w14:textId="1ADAE362" w:rsidR="00346183" w:rsidRPr="00346183" w:rsidRDefault="00346183" w:rsidP="00200FB5">
      <w:pPr>
        <w:pStyle w:val="ListParagraph"/>
        <w:numPr>
          <w:ilvl w:val="0"/>
          <w:numId w:val="4"/>
        </w:numPr>
        <w:jc w:val="both"/>
        <w:rPr>
          <w:rFonts w:ascii="Arial" w:hAnsi="Arial" w:cs="Arial"/>
        </w:rPr>
      </w:pPr>
      <w:bookmarkStart w:id="29" w:name="_Hlk187697592"/>
      <w:r w:rsidRPr="00346183">
        <w:rPr>
          <w:rFonts w:ascii="Arial" w:hAnsi="Arial" w:cs="Arial"/>
        </w:rPr>
        <w:t>Moerschell, L., &amp; Novak, S. S. (2019)</w:t>
      </w:r>
      <w:bookmarkEnd w:id="29"/>
      <w:r w:rsidRPr="00346183">
        <w:rPr>
          <w:rFonts w:ascii="Arial" w:hAnsi="Arial" w:cs="Arial"/>
        </w:rPr>
        <w:t>. </w:t>
      </w:r>
      <w:r w:rsidRPr="00346183">
        <w:rPr>
          <w:rFonts w:ascii="Arial" w:hAnsi="Arial" w:cs="Arial"/>
          <w:i/>
          <w:iCs/>
        </w:rPr>
        <w:t>Managing crisis in a university setting: The challenge of alignment. Journal of Contingencies and Crisis Management.</w:t>
      </w:r>
      <w:r w:rsidRPr="00346183">
        <w:rPr>
          <w:rFonts w:ascii="Arial" w:hAnsi="Arial" w:cs="Arial"/>
        </w:rPr>
        <w:t> </w:t>
      </w:r>
      <w:hyperlink r:id="rId51" w:history="1">
        <w:r w:rsidR="00267778" w:rsidRPr="00267778">
          <w:rPr>
            <w:rStyle w:val="Hyperlink"/>
            <w:rFonts w:ascii="Arial" w:hAnsi="Arial" w:cs="Arial"/>
          </w:rPr>
          <w:t>https://</w:t>
        </w:r>
        <w:r w:rsidRPr="00267778">
          <w:rPr>
            <w:rStyle w:val="Hyperlink"/>
            <w:rFonts w:ascii="Arial" w:hAnsi="Arial" w:cs="Arial"/>
          </w:rPr>
          <w:t>doi:10.1111/1468-5973.12266</w:t>
        </w:r>
      </w:hyperlink>
    </w:p>
    <w:p w14:paraId="637BFA31" w14:textId="1655D9B8" w:rsidR="00346183" w:rsidRPr="00346183" w:rsidRDefault="00346183" w:rsidP="00200FB5">
      <w:pPr>
        <w:pStyle w:val="ListParagraph"/>
        <w:numPr>
          <w:ilvl w:val="0"/>
          <w:numId w:val="4"/>
        </w:numPr>
        <w:jc w:val="both"/>
        <w:rPr>
          <w:rFonts w:ascii="Arial" w:hAnsi="Arial" w:cs="Arial"/>
        </w:rPr>
      </w:pPr>
      <w:bookmarkStart w:id="30" w:name="_Hlk187732095"/>
      <w:r w:rsidRPr="00346183">
        <w:rPr>
          <w:rFonts w:ascii="Arial" w:hAnsi="Arial" w:cs="Arial"/>
        </w:rPr>
        <w:t>Naveed Bin Rais</w:t>
      </w:r>
      <w:bookmarkEnd w:id="30"/>
      <w:r w:rsidRPr="00346183">
        <w:rPr>
          <w:rFonts w:ascii="Arial" w:hAnsi="Arial" w:cs="Arial"/>
        </w:rPr>
        <w:t>, R., Rashid, M., Zakria, M., Hussain, S., Qadir, J., &amp; Imran, M. A. (2021). </w:t>
      </w:r>
      <w:r w:rsidRPr="00346183">
        <w:rPr>
          <w:rFonts w:ascii="Arial" w:hAnsi="Arial" w:cs="Arial"/>
          <w:i/>
          <w:iCs/>
        </w:rPr>
        <w:t>Employing Industrial Quality Management Systems for Quality Assurance in Outcome-Based Engineering Education: A Review. Education Sciences, 11(2), 45.</w:t>
      </w:r>
      <w:r w:rsidRPr="00346183">
        <w:rPr>
          <w:rFonts w:ascii="Arial" w:hAnsi="Arial" w:cs="Arial"/>
        </w:rPr>
        <w:t> </w:t>
      </w:r>
      <w:hyperlink r:id="rId52" w:history="1">
        <w:r w:rsidR="00267778" w:rsidRPr="00267778">
          <w:rPr>
            <w:rStyle w:val="Hyperlink"/>
            <w:rFonts w:ascii="Arial" w:hAnsi="Arial" w:cs="Arial"/>
          </w:rPr>
          <w:t>https://</w:t>
        </w:r>
        <w:r w:rsidRPr="00267778">
          <w:rPr>
            <w:rStyle w:val="Hyperlink"/>
            <w:rFonts w:ascii="Arial" w:hAnsi="Arial" w:cs="Arial"/>
          </w:rPr>
          <w:t>doi:10.3390/educsci11020045 </w:t>
        </w:r>
      </w:hyperlink>
    </w:p>
    <w:p w14:paraId="35EB2890" w14:textId="70594D11" w:rsidR="00D56D70" w:rsidRPr="00D56D70" w:rsidRDefault="00346183" w:rsidP="00200FB5">
      <w:pPr>
        <w:pStyle w:val="ListParagraph"/>
        <w:numPr>
          <w:ilvl w:val="0"/>
          <w:numId w:val="4"/>
        </w:numPr>
        <w:jc w:val="both"/>
        <w:rPr>
          <w:rFonts w:ascii="Arial" w:hAnsi="Arial" w:cs="Arial"/>
        </w:rPr>
      </w:pPr>
      <w:bookmarkStart w:id="31" w:name="_Hlk187692824"/>
      <w:r w:rsidRPr="00346183">
        <w:rPr>
          <w:rFonts w:ascii="Arial" w:hAnsi="Arial" w:cs="Arial"/>
        </w:rPr>
        <w:t>Oliveira</w:t>
      </w:r>
      <w:bookmarkEnd w:id="31"/>
      <w:r w:rsidRPr="00346183">
        <w:rPr>
          <w:rFonts w:ascii="Arial" w:hAnsi="Arial" w:cs="Arial"/>
        </w:rPr>
        <w:t>, L., &amp; Figueira, Á. (2015). </w:t>
      </w:r>
      <w:r w:rsidRPr="00346183">
        <w:rPr>
          <w:rFonts w:ascii="Arial" w:hAnsi="Arial" w:cs="Arial"/>
          <w:i/>
          <w:iCs/>
        </w:rPr>
        <w:t>Benchmarking Analysis of Social Media Strategies in the Higher Education Sector. Procedia Computer Science, 64, 779–786.</w:t>
      </w:r>
      <w:r w:rsidRPr="00346183">
        <w:rPr>
          <w:rFonts w:ascii="Arial" w:hAnsi="Arial" w:cs="Arial"/>
        </w:rPr>
        <w:t> </w:t>
      </w:r>
      <w:hyperlink r:id="rId53" w:history="1">
        <w:r w:rsidR="00267778" w:rsidRPr="000B541E">
          <w:rPr>
            <w:rStyle w:val="Hyperlink"/>
            <w:rFonts w:ascii="Arial" w:hAnsi="Arial" w:cs="Arial"/>
          </w:rPr>
          <w:t>https://</w:t>
        </w:r>
        <w:r w:rsidR="009D6152" w:rsidRPr="000B541E">
          <w:rPr>
            <w:rStyle w:val="Hyperlink"/>
            <w:rFonts w:ascii="Arial" w:hAnsi="Arial" w:cs="Arial"/>
          </w:rPr>
          <w:t>doi: 10.1016/j.procs</w:t>
        </w:r>
        <w:r w:rsidRPr="000B541E">
          <w:rPr>
            <w:rStyle w:val="Hyperlink"/>
            <w:rFonts w:ascii="Arial" w:hAnsi="Arial" w:cs="Arial"/>
          </w:rPr>
          <w:t>.2015.08.628 </w:t>
        </w:r>
        <w:bookmarkStart w:id="32" w:name="_Hlk187678737"/>
      </w:hyperlink>
    </w:p>
    <w:p w14:paraId="06B0C0BA" w14:textId="1E8807E9" w:rsidR="00D56D70" w:rsidRPr="00D56D70" w:rsidRDefault="00346183" w:rsidP="00200FB5">
      <w:pPr>
        <w:pStyle w:val="ListParagraph"/>
        <w:numPr>
          <w:ilvl w:val="0"/>
          <w:numId w:val="4"/>
        </w:numPr>
        <w:jc w:val="both"/>
        <w:rPr>
          <w:rFonts w:ascii="Arial" w:hAnsi="Arial" w:cs="Arial"/>
        </w:rPr>
      </w:pPr>
      <w:r w:rsidRPr="00D56D70">
        <w:rPr>
          <w:rFonts w:ascii="Arial" w:hAnsi="Arial" w:cs="Arial"/>
        </w:rPr>
        <w:t xml:space="preserve">Painter, </w:t>
      </w:r>
      <w:bookmarkEnd w:id="32"/>
      <w:r w:rsidRPr="00D56D70">
        <w:rPr>
          <w:rFonts w:ascii="Arial" w:hAnsi="Arial" w:cs="Arial"/>
        </w:rPr>
        <w:t xml:space="preserve">M., </w:t>
      </w:r>
      <w:proofErr w:type="spellStart"/>
      <w:r w:rsidRPr="00D56D70">
        <w:rPr>
          <w:rFonts w:ascii="Arial" w:hAnsi="Arial" w:cs="Arial"/>
        </w:rPr>
        <w:t>Pérezts</w:t>
      </w:r>
      <w:proofErr w:type="spellEnd"/>
      <w:r w:rsidRPr="00D56D70">
        <w:rPr>
          <w:rFonts w:ascii="Arial" w:hAnsi="Arial" w:cs="Arial"/>
        </w:rPr>
        <w:t>, M., &amp; Deslandes, G. (2020). </w:t>
      </w:r>
      <w:r w:rsidRPr="00D56D70">
        <w:rPr>
          <w:rFonts w:ascii="Arial" w:hAnsi="Arial" w:cs="Arial"/>
          <w:i/>
          <w:iCs/>
        </w:rPr>
        <w:t>Understanding the human in stakeholder theory: a phenomenological approach to affect-based learning. Management Learning, 52(2), 203–223.</w:t>
      </w:r>
      <w:r w:rsidRPr="00D56D70">
        <w:rPr>
          <w:rFonts w:ascii="Arial" w:hAnsi="Arial" w:cs="Arial"/>
        </w:rPr>
        <w:t> </w:t>
      </w:r>
      <w:hyperlink r:id="rId54" w:history="1">
        <w:r w:rsidR="000B541E" w:rsidRPr="000B541E">
          <w:rPr>
            <w:rStyle w:val="Hyperlink"/>
            <w:rFonts w:ascii="Arial" w:hAnsi="Arial" w:cs="Arial"/>
          </w:rPr>
          <w:t>https://</w:t>
        </w:r>
        <w:r w:rsidRPr="000B541E">
          <w:rPr>
            <w:rStyle w:val="Hyperlink"/>
            <w:rFonts w:ascii="Arial" w:hAnsi="Arial" w:cs="Arial"/>
          </w:rPr>
          <w:t>doi:10.1177/1350507620978860</w:t>
        </w:r>
        <w:bookmarkStart w:id="33" w:name="_Hlk187698791"/>
      </w:hyperlink>
    </w:p>
    <w:p w14:paraId="5837030E" w14:textId="49E3BA5C" w:rsidR="00346183" w:rsidRPr="00D56D70" w:rsidRDefault="00346183" w:rsidP="00200FB5">
      <w:pPr>
        <w:pStyle w:val="ListParagraph"/>
        <w:numPr>
          <w:ilvl w:val="0"/>
          <w:numId w:val="4"/>
        </w:numPr>
        <w:jc w:val="both"/>
        <w:rPr>
          <w:rFonts w:ascii="Arial" w:hAnsi="Arial" w:cs="Arial"/>
        </w:rPr>
      </w:pPr>
      <w:r w:rsidRPr="00D56D70">
        <w:rPr>
          <w:rFonts w:ascii="Arial" w:hAnsi="Arial" w:cs="Arial"/>
        </w:rPr>
        <w:t>Penuel</w:t>
      </w:r>
      <w:bookmarkEnd w:id="33"/>
      <w:r w:rsidRPr="00D56D70">
        <w:rPr>
          <w:rFonts w:ascii="Arial" w:hAnsi="Arial" w:cs="Arial"/>
        </w:rPr>
        <w:t xml:space="preserve">, W. R., Riedy, R., Barber, M. S., </w:t>
      </w:r>
      <w:proofErr w:type="spellStart"/>
      <w:r w:rsidRPr="00D56D70">
        <w:rPr>
          <w:rFonts w:ascii="Arial" w:hAnsi="Arial" w:cs="Arial"/>
        </w:rPr>
        <w:t>Peurach</w:t>
      </w:r>
      <w:proofErr w:type="spellEnd"/>
      <w:r w:rsidRPr="00D56D70">
        <w:rPr>
          <w:rFonts w:ascii="Arial" w:hAnsi="Arial" w:cs="Arial"/>
        </w:rPr>
        <w:t>, D. J., LeBouef, W. A., &amp; Clark, T. (2020). </w:t>
      </w:r>
      <w:r w:rsidRPr="00D56D70">
        <w:rPr>
          <w:rFonts w:ascii="Arial" w:hAnsi="Arial" w:cs="Arial"/>
          <w:i/>
          <w:iCs/>
        </w:rPr>
        <w:t xml:space="preserve">Principles of Collaborative Education Research </w:t>
      </w:r>
      <w:proofErr w:type="gramStart"/>
      <w:r w:rsidRPr="00D56D70">
        <w:rPr>
          <w:rFonts w:ascii="Arial" w:hAnsi="Arial" w:cs="Arial"/>
          <w:i/>
          <w:iCs/>
        </w:rPr>
        <w:t>With</w:t>
      </w:r>
      <w:proofErr w:type="gramEnd"/>
      <w:r w:rsidRPr="00D56D70">
        <w:rPr>
          <w:rFonts w:ascii="Arial" w:hAnsi="Arial" w:cs="Arial"/>
          <w:i/>
          <w:iCs/>
        </w:rPr>
        <w:t xml:space="preserve"> Stakeholders: Toward Requirements for a New Research and Development Infrastructure. Review of Educational Research, 003465432093812.</w:t>
      </w:r>
      <w:r w:rsidRPr="00D56D70">
        <w:rPr>
          <w:rFonts w:ascii="Arial" w:hAnsi="Arial" w:cs="Arial"/>
        </w:rPr>
        <w:t> </w:t>
      </w:r>
      <w:hyperlink r:id="rId55" w:history="1">
        <w:r w:rsidR="000B541E" w:rsidRPr="000B541E">
          <w:rPr>
            <w:rStyle w:val="Hyperlink"/>
            <w:rFonts w:ascii="Arial" w:hAnsi="Arial" w:cs="Arial"/>
          </w:rPr>
          <w:t>https://</w:t>
        </w:r>
        <w:r w:rsidRPr="000B541E">
          <w:rPr>
            <w:rStyle w:val="Hyperlink"/>
            <w:rFonts w:ascii="Arial" w:hAnsi="Arial" w:cs="Arial"/>
          </w:rPr>
          <w:t>doi:10.3102/0034654320938126</w:t>
        </w:r>
      </w:hyperlink>
      <w:r w:rsidRPr="00D56D70">
        <w:rPr>
          <w:rFonts w:ascii="Arial" w:hAnsi="Arial" w:cs="Arial"/>
          <w:color w:val="4F81BD" w:themeColor="accent1"/>
          <w:u w:val="single"/>
        </w:rPr>
        <w:t> </w:t>
      </w:r>
    </w:p>
    <w:p w14:paraId="3ED452A1" w14:textId="6A4AF33C" w:rsidR="00D56D70" w:rsidRPr="00D56D70" w:rsidRDefault="00346183" w:rsidP="00200FB5">
      <w:pPr>
        <w:pStyle w:val="ListParagraph"/>
        <w:numPr>
          <w:ilvl w:val="0"/>
          <w:numId w:val="4"/>
        </w:numPr>
        <w:jc w:val="both"/>
        <w:rPr>
          <w:rFonts w:ascii="Arial" w:hAnsi="Arial" w:cs="Arial"/>
        </w:rPr>
      </w:pPr>
      <w:r w:rsidRPr="00346183">
        <w:rPr>
          <w:rFonts w:ascii="Arial" w:hAnsi="Arial" w:cs="Arial"/>
        </w:rPr>
        <w:t>Pinheiro, R., Langa, P. V., &amp; Pausits, A. (2015). </w:t>
      </w:r>
      <w:r w:rsidRPr="00346183">
        <w:rPr>
          <w:rFonts w:ascii="Arial" w:hAnsi="Arial" w:cs="Arial"/>
          <w:i/>
          <w:iCs/>
        </w:rPr>
        <w:t>One and two equals three? The third mission of higher education institutions. European Journal of Higher Education, 5(3), 233–249.</w:t>
      </w:r>
      <w:r w:rsidRPr="00346183">
        <w:rPr>
          <w:rFonts w:ascii="Arial" w:hAnsi="Arial" w:cs="Arial"/>
        </w:rPr>
        <w:t> </w:t>
      </w:r>
      <w:hyperlink r:id="rId56" w:history="1">
        <w:r w:rsidR="000B541E" w:rsidRPr="000B541E">
          <w:rPr>
            <w:rStyle w:val="Hyperlink"/>
            <w:rFonts w:ascii="Arial" w:hAnsi="Arial" w:cs="Arial"/>
          </w:rPr>
          <w:t>https://</w:t>
        </w:r>
        <w:r w:rsidRPr="000B541E">
          <w:rPr>
            <w:rStyle w:val="Hyperlink"/>
            <w:rFonts w:ascii="Arial" w:hAnsi="Arial" w:cs="Arial"/>
          </w:rPr>
          <w:t>doi:10.1080/21568235.2015.1044552 </w:t>
        </w:r>
      </w:hyperlink>
    </w:p>
    <w:p w14:paraId="492ACA1A" w14:textId="5DA0D31E" w:rsidR="00D56D70" w:rsidRPr="00D56D70" w:rsidRDefault="00346183" w:rsidP="00200FB5">
      <w:pPr>
        <w:pStyle w:val="ListParagraph"/>
        <w:numPr>
          <w:ilvl w:val="0"/>
          <w:numId w:val="4"/>
        </w:numPr>
        <w:jc w:val="both"/>
        <w:rPr>
          <w:rFonts w:ascii="Arial" w:hAnsi="Arial" w:cs="Arial"/>
        </w:rPr>
      </w:pPr>
      <w:proofErr w:type="spellStart"/>
      <w:r w:rsidRPr="00D56D70">
        <w:rPr>
          <w:rFonts w:ascii="Arial" w:hAnsi="Arial" w:cs="Arial"/>
        </w:rPr>
        <w:t>Pizzutilo</w:t>
      </w:r>
      <w:proofErr w:type="spellEnd"/>
      <w:r w:rsidRPr="00D56D70">
        <w:rPr>
          <w:rFonts w:ascii="Arial" w:hAnsi="Arial" w:cs="Arial"/>
        </w:rPr>
        <w:t>, F., &amp; Venezia, E. (2021). </w:t>
      </w:r>
      <w:r w:rsidRPr="00D56D70">
        <w:rPr>
          <w:rFonts w:ascii="Arial" w:hAnsi="Arial" w:cs="Arial"/>
          <w:i/>
          <w:iCs/>
        </w:rPr>
        <w:t>On the maturity of social responsibility and sustainability integration in higher education institutions: Descriptive criteria and conceptual framework. The International Journal of Management Education, 19(3), 100515.</w:t>
      </w:r>
      <w:r w:rsidRPr="00D56D70">
        <w:rPr>
          <w:rFonts w:ascii="Arial" w:hAnsi="Arial" w:cs="Arial"/>
        </w:rPr>
        <w:t> </w:t>
      </w:r>
      <w:hyperlink r:id="rId57" w:history="1">
        <w:r w:rsidR="000B541E" w:rsidRPr="000B541E">
          <w:rPr>
            <w:rStyle w:val="Hyperlink"/>
            <w:rFonts w:ascii="Arial" w:hAnsi="Arial" w:cs="Arial"/>
          </w:rPr>
          <w:t>https://</w:t>
        </w:r>
        <w:r w:rsidR="009D6152" w:rsidRPr="000B541E">
          <w:rPr>
            <w:rStyle w:val="Hyperlink"/>
            <w:rFonts w:ascii="Arial" w:hAnsi="Arial" w:cs="Arial"/>
          </w:rPr>
          <w:t>doi: 10.1016/j.ijme</w:t>
        </w:r>
        <w:r w:rsidRPr="000B541E">
          <w:rPr>
            <w:rStyle w:val="Hyperlink"/>
            <w:rFonts w:ascii="Arial" w:hAnsi="Arial" w:cs="Arial"/>
          </w:rPr>
          <w:t>.2021.100515 </w:t>
        </w:r>
      </w:hyperlink>
    </w:p>
    <w:p w14:paraId="5C6CD4EF" w14:textId="77777777" w:rsidR="000B541E" w:rsidRPr="000B541E" w:rsidRDefault="00346183" w:rsidP="00200FB5">
      <w:pPr>
        <w:pStyle w:val="ListParagraph"/>
        <w:numPr>
          <w:ilvl w:val="0"/>
          <w:numId w:val="4"/>
        </w:numPr>
        <w:jc w:val="both"/>
        <w:rPr>
          <w:rFonts w:ascii="Arial" w:hAnsi="Arial" w:cs="Arial"/>
        </w:rPr>
      </w:pPr>
      <w:r w:rsidRPr="00D56D70">
        <w:rPr>
          <w:rFonts w:ascii="Arial" w:hAnsi="Arial" w:cs="Arial"/>
        </w:rPr>
        <w:t xml:space="preserve">Pugh, G., Wilson, N., &amp; Black, A. (2020). Reconnecting with disengaged alumni: A strategy for higher education institutions. Journal of Marketing for Higher Education, 30(1), 45–65. </w:t>
      </w:r>
      <w:hyperlink r:id="rId58" w:history="1">
        <w:r w:rsidR="000B541E" w:rsidRPr="00F74887">
          <w:rPr>
            <w:rStyle w:val="Hyperlink"/>
            <w:rFonts w:ascii="Arial" w:hAnsi="Arial" w:cs="Arial"/>
          </w:rPr>
          <w:t>https://doi.org/10.1080/08841241.2020.1712134</w:t>
        </w:r>
      </w:hyperlink>
    </w:p>
    <w:p w14:paraId="577EDC2D" w14:textId="77777777" w:rsidR="000B541E" w:rsidRPr="000B541E" w:rsidRDefault="00346183" w:rsidP="00200FB5">
      <w:pPr>
        <w:pStyle w:val="ListParagraph"/>
        <w:numPr>
          <w:ilvl w:val="0"/>
          <w:numId w:val="4"/>
        </w:numPr>
        <w:jc w:val="both"/>
        <w:rPr>
          <w:rFonts w:ascii="Arial" w:hAnsi="Arial" w:cs="Arial"/>
        </w:rPr>
      </w:pPr>
      <w:r w:rsidRPr="000B541E">
        <w:rPr>
          <w:rFonts w:ascii="Arial" w:hAnsi="Arial" w:cs="Arial"/>
        </w:rPr>
        <w:t xml:space="preserve">Rabourn, K. E., &amp; </w:t>
      </w:r>
      <w:proofErr w:type="spellStart"/>
      <w:r w:rsidRPr="000B541E">
        <w:rPr>
          <w:rFonts w:ascii="Arial" w:hAnsi="Arial" w:cs="Arial"/>
        </w:rPr>
        <w:t>BrckaLorenz</w:t>
      </w:r>
      <w:proofErr w:type="spellEnd"/>
      <w:r w:rsidRPr="000B541E">
        <w:rPr>
          <w:rFonts w:ascii="Arial" w:hAnsi="Arial" w:cs="Arial"/>
        </w:rPr>
        <w:t xml:space="preserve">, A. (2019). Campus climate and the student experience: Examining differences by student demographics. Journal of College Student Development, 60(6), 695–710. </w:t>
      </w:r>
      <w:hyperlink r:id="rId59" w:history="1">
        <w:r w:rsidR="000B541E" w:rsidRPr="00F74887">
          <w:rPr>
            <w:rStyle w:val="Hyperlink"/>
            <w:rFonts w:ascii="Arial" w:hAnsi="Arial" w:cs="Arial"/>
          </w:rPr>
          <w:t>https://doi.org/10.1353/csd.2019.0063</w:t>
        </w:r>
      </w:hyperlink>
      <w:bookmarkStart w:id="34" w:name="_Hlk187697461"/>
    </w:p>
    <w:p w14:paraId="790F0EB3" w14:textId="36B5FADE" w:rsidR="00346183" w:rsidRPr="000B541E" w:rsidRDefault="00346183" w:rsidP="00200FB5">
      <w:pPr>
        <w:pStyle w:val="ListParagraph"/>
        <w:numPr>
          <w:ilvl w:val="0"/>
          <w:numId w:val="4"/>
        </w:numPr>
        <w:jc w:val="both"/>
        <w:rPr>
          <w:rFonts w:ascii="Arial" w:hAnsi="Arial" w:cs="Arial"/>
        </w:rPr>
      </w:pPr>
      <w:proofErr w:type="spellStart"/>
      <w:r w:rsidRPr="000B541E">
        <w:rPr>
          <w:rFonts w:ascii="Arial" w:hAnsi="Arial" w:cs="Arial"/>
        </w:rPr>
        <w:t>Ramísio</w:t>
      </w:r>
      <w:bookmarkEnd w:id="34"/>
      <w:proofErr w:type="spellEnd"/>
      <w:r w:rsidRPr="000B541E">
        <w:rPr>
          <w:rFonts w:ascii="Arial" w:hAnsi="Arial" w:cs="Arial"/>
        </w:rPr>
        <w:t xml:space="preserve">, P. J., Costa Pinto, L. M., Gouveia, N., Costa, H., &amp; </w:t>
      </w:r>
      <w:proofErr w:type="spellStart"/>
      <w:r w:rsidRPr="000B541E">
        <w:rPr>
          <w:rFonts w:ascii="Arial" w:hAnsi="Arial" w:cs="Arial"/>
        </w:rPr>
        <w:t>Arezes</w:t>
      </w:r>
      <w:proofErr w:type="spellEnd"/>
      <w:r w:rsidRPr="000B541E">
        <w:rPr>
          <w:rFonts w:ascii="Arial" w:hAnsi="Arial" w:cs="Arial"/>
        </w:rPr>
        <w:t>, D. (2019). </w:t>
      </w:r>
      <w:r w:rsidRPr="000B541E">
        <w:rPr>
          <w:rFonts w:ascii="Arial" w:hAnsi="Arial" w:cs="Arial"/>
          <w:i/>
          <w:iCs/>
        </w:rPr>
        <w:t>Sustainability Strategy in Higher Education Institutions: Lessons learned from a nine-year case study. Journal of Cleaner Production.</w:t>
      </w:r>
      <w:r w:rsidRPr="000B541E">
        <w:rPr>
          <w:rFonts w:ascii="Arial" w:hAnsi="Arial" w:cs="Arial"/>
        </w:rPr>
        <w:t> </w:t>
      </w:r>
      <w:hyperlink r:id="rId60" w:history="1">
        <w:r w:rsidR="000B541E" w:rsidRPr="000B541E">
          <w:rPr>
            <w:rStyle w:val="Hyperlink"/>
            <w:rFonts w:ascii="Arial" w:hAnsi="Arial" w:cs="Arial"/>
          </w:rPr>
          <w:t>https://</w:t>
        </w:r>
        <w:r w:rsidR="009D3055" w:rsidRPr="000B541E">
          <w:rPr>
            <w:rStyle w:val="Hyperlink"/>
            <w:rFonts w:ascii="Arial" w:hAnsi="Arial" w:cs="Arial"/>
          </w:rPr>
          <w:t>doi: 10.1016/j.jclepro</w:t>
        </w:r>
        <w:r w:rsidRPr="000B541E">
          <w:rPr>
            <w:rStyle w:val="Hyperlink"/>
            <w:rFonts w:ascii="Arial" w:hAnsi="Arial" w:cs="Arial"/>
          </w:rPr>
          <w:t>.2019.02.257 </w:t>
        </w:r>
      </w:hyperlink>
    </w:p>
    <w:p w14:paraId="530DF5AE" w14:textId="77777777" w:rsidR="000B541E" w:rsidRPr="000B541E" w:rsidRDefault="00346183" w:rsidP="00200FB5">
      <w:pPr>
        <w:pStyle w:val="ListParagraph"/>
        <w:numPr>
          <w:ilvl w:val="0"/>
          <w:numId w:val="4"/>
        </w:numPr>
        <w:jc w:val="both"/>
        <w:rPr>
          <w:rFonts w:ascii="Arial" w:hAnsi="Arial" w:cs="Arial"/>
        </w:rPr>
      </w:pPr>
      <w:r w:rsidRPr="00346183">
        <w:rPr>
          <w:rFonts w:ascii="Arial" w:hAnsi="Arial" w:cs="Arial"/>
        </w:rPr>
        <w:t xml:space="preserve">Ricci, M., St-Onge, C., Xiao, J., &amp; Young, M. (2018). Students as stakeholders in assessment: how students perceive the value of an assessment. Perspectives on Medical Education, 7(6), 352–361. </w:t>
      </w:r>
      <w:hyperlink r:id="rId61" w:history="1">
        <w:r w:rsidR="000B541E" w:rsidRPr="00F74887">
          <w:rPr>
            <w:rStyle w:val="Hyperlink"/>
            <w:rFonts w:ascii="Arial" w:hAnsi="Arial" w:cs="Arial"/>
          </w:rPr>
          <w:t>https://doi.org/10.1007/s40037-018-0480-3</w:t>
        </w:r>
      </w:hyperlink>
    </w:p>
    <w:p w14:paraId="1BBAA9E9" w14:textId="52E9C51A" w:rsidR="00D56D70" w:rsidRPr="000B541E" w:rsidRDefault="00346183" w:rsidP="00200FB5">
      <w:pPr>
        <w:pStyle w:val="ListParagraph"/>
        <w:numPr>
          <w:ilvl w:val="0"/>
          <w:numId w:val="4"/>
        </w:numPr>
        <w:jc w:val="both"/>
        <w:rPr>
          <w:rFonts w:ascii="Arial" w:hAnsi="Arial" w:cs="Arial"/>
        </w:rPr>
      </w:pPr>
      <w:r w:rsidRPr="000B541E">
        <w:rPr>
          <w:rFonts w:ascii="Arial" w:hAnsi="Arial" w:cs="Arial"/>
        </w:rPr>
        <w:t>Roberts, J., &amp; Simpson, K. (2016). </w:t>
      </w:r>
      <w:r w:rsidRPr="000B541E">
        <w:rPr>
          <w:rFonts w:ascii="Arial" w:hAnsi="Arial" w:cs="Arial"/>
          <w:i/>
          <w:iCs/>
        </w:rPr>
        <w:t>A review of research into stakeholder perspectives on inclusion of students with autism in mainstream schools. International Journal of Inclusive Education, 20(10), 1084–1096.</w:t>
      </w:r>
      <w:r w:rsidRPr="000B541E">
        <w:rPr>
          <w:rFonts w:ascii="Arial" w:hAnsi="Arial" w:cs="Arial"/>
        </w:rPr>
        <w:t> </w:t>
      </w:r>
      <w:hyperlink r:id="rId62" w:history="1">
        <w:r w:rsidR="000B541E" w:rsidRPr="000B541E">
          <w:rPr>
            <w:rStyle w:val="Hyperlink"/>
            <w:rFonts w:ascii="Arial" w:hAnsi="Arial" w:cs="Arial"/>
          </w:rPr>
          <w:t>https://</w:t>
        </w:r>
        <w:r w:rsidRPr="000B541E">
          <w:rPr>
            <w:rStyle w:val="Hyperlink"/>
            <w:rFonts w:ascii="Arial" w:hAnsi="Arial" w:cs="Arial"/>
          </w:rPr>
          <w:t>doi:10.1080/13603116.2016.1145267 </w:t>
        </w:r>
        <w:bookmarkStart w:id="35" w:name="_Hlk187695706"/>
      </w:hyperlink>
    </w:p>
    <w:p w14:paraId="51CFEC82" w14:textId="17552F38" w:rsidR="00346183" w:rsidRPr="00D56D70" w:rsidRDefault="00346183" w:rsidP="00200FB5">
      <w:pPr>
        <w:pStyle w:val="ListParagraph"/>
        <w:numPr>
          <w:ilvl w:val="0"/>
          <w:numId w:val="4"/>
        </w:numPr>
        <w:jc w:val="both"/>
        <w:rPr>
          <w:rFonts w:ascii="Arial" w:hAnsi="Arial" w:cs="Arial"/>
        </w:rPr>
      </w:pPr>
      <w:r w:rsidRPr="00D56D70">
        <w:rPr>
          <w:rFonts w:ascii="Arial" w:hAnsi="Arial" w:cs="Arial"/>
        </w:rPr>
        <w:lastRenderedPageBreak/>
        <w:t>Rogers</w:t>
      </w:r>
      <w:bookmarkEnd w:id="35"/>
      <w:r w:rsidRPr="00D56D70">
        <w:rPr>
          <w:rFonts w:ascii="Arial" w:hAnsi="Arial" w:cs="Arial"/>
        </w:rPr>
        <w:t xml:space="preserve">, G. D., Thistlethwaite, J. E., Anderson, E. S., </w:t>
      </w:r>
      <w:proofErr w:type="spellStart"/>
      <w:r w:rsidRPr="00D56D70">
        <w:rPr>
          <w:rFonts w:ascii="Arial" w:hAnsi="Arial" w:cs="Arial"/>
        </w:rPr>
        <w:t>Abrandt</w:t>
      </w:r>
      <w:proofErr w:type="spellEnd"/>
      <w:r w:rsidRPr="00D56D70">
        <w:rPr>
          <w:rFonts w:ascii="Arial" w:hAnsi="Arial" w:cs="Arial"/>
        </w:rPr>
        <w:t xml:space="preserve"> Dahlgren, M., </w:t>
      </w:r>
      <w:proofErr w:type="spellStart"/>
      <w:r w:rsidRPr="00D56D70">
        <w:rPr>
          <w:rFonts w:ascii="Arial" w:hAnsi="Arial" w:cs="Arial"/>
        </w:rPr>
        <w:t>Grymonpre</w:t>
      </w:r>
      <w:proofErr w:type="spellEnd"/>
      <w:r w:rsidRPr="00D56D70">
        <w:rPr>
          <w:rFonts w:ascii="Arial" w:hAnsi="Arial" w:cs="Arial"/>
        </w:rPr>
        <w:t>, R. E., Moran, M., &amp; Samarasekera, D. D. (2016). </w:t>
      </w:r>
      <w:r w:rsidRPr="00D56D70">
        <w:rPr>
          <w:rFonts w:ascii="Arial" w:hAnsi="Arial" w:cs="Arial"/>
          <w:i/>
          <w:iCs/>
        </w:rPr>
        <w:t>International consensus statement on the assessment of interprofessional learning outcomes. Medical Teacher, 39(4), 347–359.</w:t>
      </w:r>
      <w:r w:rsidRPr="00D56D70">
        <w:rPr>
          <w:rFonts w:ascii="Arial" w:hAnsi="Arial" w:cs="Arial"/>
        </w:rPr>
        <w:t> </w:t>
      </w:r>
      <w:hyperlink r:id="rId63" w:history="1">
        <w:r w:rsidR="000B541E" w:rsidRPr="000B541E">
          <w:rPr>
            <w:rStyle w:val="Hyperlink"/>
            <w:rFonts w:ascii="Arial" w:hAnsi="Arial" w:cs="Arial"/>
          </w:rPr>
          <w:t>https://</w:t>
        </w:r>
        <w:r w:rsidRPr="000B541E">
          <w:rPr>
            <w:rStyle w:val="Hyperlink"/>
            <w:rFonts w:ascii="Arial" w:hAnsi="Arial" w:cs="Arial"/>
          </w:rPr>
          <w:t>doi:10.1080/0142159x.2017.1270441 </w:t>
        </w:r>
      </w:hyperlink>
    </w:p>
    <w:p w14:paraId="30B117F6" w14:textId="69E8883F" w:rsidR="00346183" w:rsidRPr="00346183" w:rsidRDefault="00346183" w:rsidP="00200FB5">
      <w:pPr>
        <w:pStyle w:val="ListParagraph"/>
        <w:numPr>
          <w:ilvl w:val="0"/>
          <w:numId w:val="4"/>
        </w:numPr>
        <w:jc w:val="both"/>
        <w:rPr>
          <w:rFonts w:ascii="Arial" w:hAnsi="Arial" w:cs="Arial"/>
        </w:rPr>
      </w:pPr>
      <w:bookmarkStart w:id="36" w:name="_Hlk187730890"/>
      <w:proofErr w:type="spellStart"/>
      <w:r w:rsidRPr="00346183">
        <w:rPr>
          <w:rFonts w:ascii="Arial" w:hAnsi="Arial" w:cs="Arial"/>
        </w:rPr>
        <w:t>Salvioni</w:t>
      </w:r>
      <w:proofErr w:type="spellEnd"/>
      <w:r w:rsidRPr="00346183">
        <w:rPr>
          <w:rFonts w:ascii="Arial" w:hAnsi="Arial" w:cs="Arial"/>
        </w:rPr>
        <w:t>,</w:t>
      </w:r>
      <w:bookmarkEnd w:id="36"/>
      <w:r w:rsidRPr="00346183">
        <w:rPr>
          <w:rFonts w:ascii="Arial" w:hAnsi="Arial" w:cs="Arial"/>
        </w:rPr>
        <w:t xml:space="preserve"> D. M., Franzoni, S., &amp; Cassano, R. (2017). </w:t>
      </w:r>
      <w:r w:rsidRPr="00346183">
        <w:rPr>
          <w:rFonts w:ascii="Arial" w:hAnsi="Arial" w:cs="Arial"/>
          <w:i/>
          <w:iCs/>
        </w:rPr>
        <w:t>Sustainability in the Higher Education System: An Opportunity to Improve Quality and Image. Sustainability, 9(6), 914.</w:t>
      </w:r>
      <w:r w:rsidRPr="00346183">
        <w:rPr>
          <w:rFonts w:ascii="Arial" w:hAnsi="Arial" w:cs="Arial"/>
        </w:rPr>
        <w:t> </w:t>
      </w:r>
      <w:hyperlink r:id="rId64" w:history="1">
        <w:r w:rsidR="000B541E" w:rsidRPr="000B541E">
          <w:rPr>
            <w:rStyle w:val="Hyperlink"/>
            <w:rFonts w:ascii="Arial" w:hAnsi="Arial" w:cs="Arial"/>
          </w:rPr>
          <w:t>https://</w:t>
        </w:r>
        <w:r w:rsidRPr="000B541E">
          <w:rPr>
            <w:rStyle w:val="Hyperlink"/>
            <w:rFonts w:ascii="Arial" w:hAnsi="Arial" w:cs="Arial"/>
          </w:rPr>
          <w:t>doi:10.3390/su9060914 </w:t>
        </w:r>
      </w:hyperlink>
    </w:p>
    <w:p w14:paraId="14F0FEF4" w14:textId="7600931A" w:rsidR="00346183" w:rsidRPr="00346183" w:rsidRDefault="00346183" w:rsidP="00200FB5">
      <w:pPr>
        <w:pStyle w:val="ListParagraph"/>
        <w:numPr>
          <w:ilvl w:val="0"/>
          <w:numId w:val="4"/>
        </w:numPr>
        <w:jc w:val="both"/>
        <w:rPr>
          <w:rFonts w:ascii="Arial" w:hAnsi="Arial" w:cs="Arial"/>
        </w:rPr>
      </w:pPr>
      <w:proofErr w:type="spellStart"/>
      <w:r w:rsidRPr="00346183">
        <w:rPr>
          <w:rFonts w:ascii="Arial" w:hAnsi="Arial" w:cs="Arial"/>
        </w:rPr>
        <w:t>Scandelius</w:t>
      </w:r>
      <w:proofErr w:type="spellEnd"/>
      <w:r w:rsidRPr="00346183">
        <w:rPr>
          <w:rFonts w:ascii="Arial" w:hAnsi="Arial" w:cs="Arial"/>
        </w:rPr>
        <w:t>, C., &amp; Cohen, G. (2016). </w:t>
      </w:r>
      <w:r w:rsidRPr="00346183">
        <w:rPr>
          <w:rFonts w:ascii="Arial" w:hAnsi="Arial" w:cs="Arial"/>
          <w:i/>
          <w:iCs/>
        </w:rPr>
        <w:t>Achieving collaboration with diverse stakeholders—The role of strategic ambiguity in CSR communication. Journal of Business Research, 69(9), 3487–3499.</w:t>
      </w:r>
      <w:r w:rsidRPr="00346183">
        <w:rPr>
          <w:rFonts w:ascii="Arial" w:hAnsi="Arial" w:cs="Arial"/>
        </w:rPr>
        <w:t> </w:t>
      </w:r>
      <w:hyperlink r:id="rId65" w:history="1">
        <w:r w:rsidR="000B541E" w:rsidRPr="000B541E">
          <w:rPr>
            <w:rStyle w:val="Hyperlink"/>
            <w:rFonts w:ascii="Arial" w:hAnsi="Arial" w:cs="Arial"/>
          </w:rPr>
          <w:t>https://</w:t>
        </w:r>
        <w:r w:rsidR="009D3055" w:rsidRPr="000B541E">
          <w:rPr>
            <w:rStyle w:val="Hyperlink"/>
            <w:rFonts w:ascii="Arial" w:hAnsi="Arial" w:cs="Arial"/>
          </w:rPr>
          <w:t>doi: 10.1016/j.jbusres</w:t>
        </w:r>
        <w:r w:rsidRPr="000B541E">
          <w:rPr>
            <w:rStyle w:val="Hyperlink"/>
            <w:rFonts w:ascii="Arial" w:hAnsi="Arial" w:cs="Arial"/>
          </w:rPr>
          <w:t>.2016.01.037 </w:t>
        </w:r>
      </w:hyperlink>
    </w:p>
    <w:p w14:paraId="7C718E29" w14:textId="667BA1E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Seeber, M., Barberio, V., Huisman, J., &amp; </w:t>
      </w:r>
      <w:proofErr w:type="spellStart"/>
      <w:r w:rsidRPr="00346183">
        <w:rPr>
          <w:rFonts w:ascii="Arial" w:hAnsi="Arial" w:cs="Arial"/>
        </w:rPr>
        <w:t>Mampaey</w:t>
      </w:r>
      <w:proofErr w:type="spellEnd"/>
      <w:r w:rsidRPr="00346183">
        <w:rPr>
          <w:rFonts w:ascii="Arial" w:hAnsi="Arial" w:cs="Arial"/>
        </w:rPr>
        <w:t>, J. (2017). </w:t>
      </w:r>
      <w:r w:rsidRPr="00346183">
        <w:rPr>
          <w:rFonts w:ascii="Arial" w:hAnsi="Arial" w:cs="Arial"/>
          <w:i/>
          <w:iCs/>
        </w:rPr>
        <w:t>Factors affecting the content of universities’ mission statements: an analysis of the United Kingdom higher education system. Studies in Higher Education, 1–15.</w:t>
      </w:r>
      <w:r w:rsidRPr="00346183">
        <w:rPr>
          <w:rFonts w:ascii="Arial" w:hAnsi="Arial" w:cs="Arial"/>
        </w:rPr>
        <w:t> </w:t>
      </w:r>
      <w:hyperlink r:id="rId66" w:history="1">
        <w:r w:rsidR="000B541E" w:rsidRPr="000B541E">
          <w:rPr>
            <w:rStyle w:val="Hyperlink"/>
            <w:rFonts w:ascii="Arial" w:hAnsi="Arial" w:cs="Arial"/>
          </w:rPr>
          <w:t>https://</w:t>
        </w:r>
        <w:r w:rsidRPr="000B541E">
          <w:rPr>
            <w:rStyle w:val="Hyperlink"/>
            <w:rFonts w:ascii="Arial" w:hAnsi="Arial" w:cs="Arial"/>
          </w:rPr>
          <w:t>doi:10.1080/03075079.2017.1349743 </w:t>
        </w:r>
      </w:hyperlink>
    </w:p>
    <w:p w14:paraId="2B67AB97" w14:textId="1EA3E6E8" w:rsidR="00346183" w:rsidRPr="00346183" w:rsidRDefault="00346183" w:rsidP="00200FB5">
      <w:pPr>
        <w:pStyle w:val="ListParagraph"/>
        <w:numPr>
          <w:ilvl w:val="0"/>
          <w:numId w:val="4"/>
        </w:numPr>
        <w:jc w:val="both"/>
        <w:rPr>
          <w:rFonts w:ascii="Arial" w:hAnsi="Arial" w:cs="Arial"/>
        </w:rPr>
      </w:pPr>
      <w:bookmarkStart w:id="37" w:name="_Hlk187730988"/>
      <w:r w:rsidRPr="00346183">
        <w:rPr>
          <w:rFonts w:ascii="Arial" w:hAnsi="Arial" w:cs="Arial"/>
        </w:rPr>
        <w:t>Shapiro</w:t>
      </w:r>
      <w:bookmarkEnd w:id="37"/>
      <w:r w:rsidRPr="00346183">
        <w:rPr>
          <w:rFonts w:ascii="Arial" w:hAnsi="Arial" w:cs="Arial"/>
        </w:rPr>
        <w:t>, H. B., Lee, C. H., Wyman Roth, N. E., Li, K., Çetinkaya-Rundel, M., &amp; Canelas, D. A. (2017). </w:t>
      </w:r>
      <w:r w:rsidRPr="00346183">
        <w:rPr>
          <w:rFonts w:ascii="Arial" w:hAnsi="Arial" w:cs="Arial"/>
          <w:i/>
          <w:iCs/>
        </w:rPr>
        <w:t>Understanding the massive open online course (MOOC) student experience: An examination of attitudes, motivations, and barriers. Computers &amp; Education, 110, 35–50.</w:t>
      </w:r>
      <w:r w:rsidRPr="00346183">
        <w:rPr>
          <w:rFonts w:ascii="Arial" w:hAnsi="Arial" w:cs="Arial"/>
        </w:rPr>
        <w:t> </w:t>
      </w:r>
      <w:hyperlink r:id="rId67" w:history="1">
        <w:r w:rsidR="000B541E" w:rsidRPr="000B541E">
          <w:rPr>
            <w:rStyle w:val="Hyperlink"/>
            <w:rFonts w:ascii="Arial" w:hAnsi="Arial" w:cs="Arial"/>
          </w:rPr>
          <w:t>https://</w:t>
        </w:r>
        <w:r w:rsidR="009D3055" w:rsidRPr="000B541E">
          <w:rPr>
            <w:rStyle w:val="Hyperlink"/>
            <w:rFonts w:ascii="Arial" w:hAnsi="Arial" w:cs="Arial"/>
          </w:rPr>
          <w:t>doi: 10.1016/j.compedu</w:t>
        </w:r>
        <w:r w:rsidRPr="000B541E">
          <w:rPr>
            <w:rStyle w:val="Hyperlink"/>
            <w:rFonts w:ascii="Arial" w:hAnsi="Arial" w:cs="Arial"/>
          </w:rPr>
          <w:t>.2017.03.003 </w:t>
        </w:r>
      </w:hyperlink>
    </w:p>
    <w:p w14:paraId="432E7A86" w14:textId="7777777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Smith, L., Garcia, R., &amp; Roberts, D. (2020). Exploring the link between stakeholder alignment and institutional success in higher education. Higher Education Quarterly, 74(1), 3-20.</w:t>
      </w:r>
    </w:p>
    <w:p w14:paraId="0FDA16C0" w14:textId="36B6E4B9" w:rsidR="00D56D70" w:rsidRPr="00D56D70" w:rsidRDefault="00346183" w:rsidP="00200FB5">
      <w:pPr>
        <w:pStyle w:val="ListParagraph"/>
        <w:numPr>
          <w:ilvl w:val="0"/>
          <w:numId w:val="4"/>
        </w:numPr>
        <w:jc w:val="both"/>
        <w:rPr>
          <w:rFonts w:ascii="Arial" w:hAnsi="Arial" w:cs="Arial"/>
        </w:rPr>
      </w:pPr>
      <w:bookmarkStart w:id="38" w:name="_Hlk187695926"/>
      <w:r w:rsidRPr="00D56D70">
        <w:rPr>
          <w:rFonts w:ascii="Arial" w:hAnsi="Arial" w:cs="Arial"/>
        </w:rPr>
        <w:t xml:space="preserve">Torres, R. T., &amp; </w:t>
      </w:r>
      <w:proofErr w:type="spellStart"/>
      <w:r w:rsidRPr="00D56D70">
        <w:rPr>
          <w:rFonts w:ascii="Arial" w:hAnsi="Arial" w:cs="Arial"/>
        </w:rPr>
        <w:t>Preskill</w:t>
      </w:r>
      <w:proofErr w:type="spellEnd"/>
      <w:r w:rsidRPr="00D56D70">
        <w:rPr>
          <w:rFonts w:ascii="Arial" w:hAnsi="Arial" w:cs="Arial"/>
        </w:rPr>
        <w:t>, H. (2001). </w:t>
      </w:r>
      <w:bookmarkEnd w:id="38"/>
      <w:r w:rsidRPr="00D56D70">
        <w:rPr>
          <w:rFonts w:ascii="Arial" w:hAnsi="Arial" w:cs="Arial"/>
          <w:i/>
          <w:iCs/>
        </w:rPr>
        <w:t>Evaluation and Organizational Learning: Past, Present, and Future. American Journal of Evaluation, 22(3), 387–395.</w:t>
      </w:r>
      <w:r w:rsidRPr="00D56D70">
        <w:rPr>
          <w:rFonts w:ascii="Arial" w:hAnsi="Arial" w:cs="Arial"/>
        </w:rPr>
        <w:t> </w:t>
      </w:r>
      <w:hyperlink r:id="rId68" w:history="1">
        <w:r w:rsidR="000B541E" w:rsidRPr="000B541E">
          <w:rPr>
            <w:rStyle w:val="Hyperlink"/>
            <w:rFonts w:ascii="Arial" w:hAnsi="Arial" w:cs="Arial"/>
          </w:rPr>
          <w:t>https://</w:t>
        </w:r>
        <w:r w:rsidRPr="000B541E">
          <w:rPr>
            <w:rStyle w:val="Hyperlink"/>
            <w:rFonts w:ascii="Arial" w:hAnsi="Arial" w:cs="Arial"/>
          </w:rPr>
          <w:t>doi:10.1177/109821400102200316 </w:t>
        </w:r>
      </w:hyperlink>
    </w:p>
    <w:p w14:paraId="4B328984" w14:textId="77777777" w:rsidR="000B541E" w:rsidRPr="000B541E" w:rsidRDefault="00346183" w:rsidP="00200FB5">
      <w:pPr>
        <w:pStyle w:val="ListParagraph"/>
        <w:numPr>
          <w:ilvl w:val="0"/>
          <w:numId w:val="4"/>
        </w:numPr>
        <w:jc w:val="both"/>
        <w:rPr>
          <w:rFonts w:ascii="Arial" w:hAnsi="Arial" w:cs="Arial"/>
        </w:rPr>
      </w:pPr>
      <w:r w:rsidRPr="00D56D70">
        <w:rPr>
          <w:rFonts w:ascii="Arial" w:hAnsi="Arial" w:cs="Arial"/>
        </w:rPr>
        <w:t xml:space="preserve">Tran, L. T., Nguyen, N. T., &amp; Ho, L. H. (2020). Engaging alumni in university development: A study of Vietnamese higher education. Asia Pacific Education Review, 21(3), 441–453. </w:t>
      </w:r>
      <w:hyperlink r:id="rId69" w:history="1">
        <w:r w:rsidR="000B541E" w:rsidRPr="00F74887">
          <w:rPr>
            <w:rStyle w:val="Hyperlink"/>
            <w:rFonts w:ascii="Arial" w:hAnsi="Arial" w:cs="Arial"/>
          </w:rPr>
          <w:t>https://doi.org/10.1007/s12564-020-09638-z</w:t>
        </w:r>
      </w:hyperlink>
      <w:bookmarkStart w:id="39" w:name="_Hlk187692992"/>
    </w:p>
    <w:p w14:paraId="33186D84" w14:textId="554C59A6" w:rsidR="00346183" w:rsidRPr="000B541E" w:rsidRDefault="00346183" w:rsidP="00200FB5">
      <w:pPr>
        <w:pStyle w:val="ListParagraph"/>
        <w:numPr>
          <w:ilvl w:val="0"/>
          <w:numId w:val="4"/>
        </w:numPr>
        <w:jc w:val="both"/>
        <w:rPr>
          <w:rFonts w:ascii="Arial" w:hAnsi="Arial" w:cs="Arial"/>
        </w:rPr>
      </w:pPr>
      <w:r w:rsidRPr="000B541E">
        <w:rPr>
          <w:rFonts w:ascii="Arial" w:hAnsi="Arial" w:cs="Arial"/>
        </w:rPr>
        <w:t xml:space="preserve">Van Zanten, J. A., &amp; Van </w:t>
      </w:r>
      <w:proofErr w:type="spellStart"/>
      <w:r w:rsidRPr="000B541E">
        <w:rPr>
          <w:rFonts w:ascii="Arial" w:hAnsi="Arial" w:cs="Arial"/>
        </w:rPr>
        <w:t>Tulder</w:t>
      </w:r>
      <w:proofErr w:type="spellEnd"/>
      <w:r w:rsidRPr="000B541E">
        <w:rPr>
          <w:rFonts w:ascii="Arial" w:hAnsi="Arial" w:cs="Arial"/>
        </w:rPr>
        <w:t>, R. (2018). </w:t>
      </w:r>
      <w:bookmarkEnd w:id="39"/>
      <w:r w:rsidRPr="000B541E">
        <w:rPr>
          <w:rFonts w:ascii="Arial" w:hAnsi="Arial" w:cs="Arial"/>
          <w:i/>
          <w:iCs/>
        </w:rPr>
        <w:t>Multinational enterprises and the Sustainable Development Goals: An institutional approach to corporate engagement. Journal of International Business Policy.</w:t>
      </w:r>
      <w:r w:rsidRPr="000B541E">
        <w:rPr>
          <w:rFonts w:ascii="Arial" w:hAnsi="Arial" w:cs="Arial"/>
        </w:rPr>
        <w:t> </w:t>
      </w:r>
      <w:hyperlink r:id="rId70" w:history="1">
        <w:r w:rsidR="000B541E" w:rsidRPr="000B541E">
          <w:rPr>
            <w:rStyle w:val="Hyperlink"/>
            <w:rFonts w:ascii="Arial" w:hAnsi="Arial" w:cs="Arial"/>
          </w:rPr>
          <w:t>https://</w:t>
        </w:r>
        <w:r w:rsidRPr="000B541E">
          <w:rPr>
            <w:rStyle w:val="Hyperlink"/>
            <w:rFonts w:ascii="Arial" w:hAnsi="Arial" w:cs="Arial"/>
          </w:rPr>
          <w:t>doi:10.1057/s42214-018-0008-x </w:t>
        </w:r>
      </w:hyperlink>
    </w:p>
    <w:p w14:paraId="4B2E3DB7" w14:textId="552AF514" w:rsidR="00346183" w:rsidRPr="00346183" w:rsidRDefault="00346183" w:rsidP="00200FB5">
      <w:pPr>
        <w:pStyle w:val="ListParagraph"/>
        <w:numPr>
          <w:ilvl w:val="0"/>
          <w:numId w:val="4"/>
        </w:numPr>
        <w:jc w:val="both"/>
        <w:rPr>
          <w:rFonts w:ascii="Arial" w:hAnsi="Arial" w:cs="Arial"/>
        </w:rPr>
      </w:pPr>
      <w:bookmarkStart w:id="40" w:name="_Hlk187694714"/>
      <w:r w:rsidRPr="00346183">
        <w:rPr>
          <w:rFonts w:ascii="Arial" w:hAnsi="Arial" w:cs="Arial"/>
        </w:rPr>
        <w:t>Vargas</w:t>
      </w:r>
      <w:bookmarkEnd w:id="40"/>
      <w:r w:rsidRPr="00346183">
        <w:rPr>
          <w:rFonts w:ascii="Arial" w:hAnsi="Arial" w:cs="Arial"/>
        </w:rPr>
        <w:t xml:space="preserve">, V. R., </w:t>
      </w:r>
      <w:proofErr w:type="spellStart"/>
      <w:r w:rsidRPr="00346183">
        <w:rPr>
          <w:rFonts w:ascii="Arial" w:hAnsi="Arial" w:cs="Arial"/>
        </w:rPr>
        <w:t>Lawthom</w:t>
      </w:r>
      <w:proofErr w:type="spellEnd"/>
      <w:r w:rsidRPr="00346183">
        <w:rPr>
          <w:rFonts w:ascii="Arial" w:hAnsi="Arial" w:cs="Arial"/>
        </w:rPr>
        <w:t xml:space="preserve">, R., Prowse, A., Randles, S., &amp; </w:t>
      </w:r>
      <w:proofErr w:type="spellStart"/>
      <w:r w:rsidRPr="00346183">
        <w:rPr>
          <w:rFonts w:ascii="Arial" w:hAnsi="Arial" w:cs="Arial"/>
        </w:rPr>
        <w:t>Tzoulas</w:t>
      </w:r>
      <w:proofErr w:type="spellEnd"/>
      <w:r w:rsidRPr="00346183">
        <w:rPr>
          <w:rFonts w:ascii="Arial" w:hAnsi="Arial" w:cs="Arial"/>
        </w:rPr>
        <w:t xml:space="preserve">, K. (2018). </w:t>
      </w:r>
      <w:r w:rsidRPr="00346183">
        <w:rPr>
          <w:rFonts w:ascii="Arial" w:hAnsi="Arial" w:cs="Arial"/>
          <w:i/>
          <w:iCs/>
        </w:rPr>
        <w:t xml:space="preserve">Sustainable development stakeholder networks for </w:t>
      </w:r>
      <w:proofErr w:type="spellStart"/>
      <w:r w:rsidRPr="00346183">
        <w:rPr>
          <w:rFonts w:ascii="Arial" w:hAnsi="Arial" w:cs="Arial"/>
          <w:i/>
          <w:iCs/>
        </w:rPr>
        <w:t>organisational</w:t>
      </w:r>
      <w:proofErr w:type="spellEnd"/>
      <w:r w:rsidRPr="00346183">
        <w:rPr>
          <w:rFonts w:ascii="Arial" w:hAnsi="Arial" w:cs="Arial"/>
          <w:i/>
          <w:iCs/>
        </w:rPr>
        <w:t xml:space="preserve"> change in higher education institutions: a case study from the UK. Journal of Cleaner Production.</w:t>
      </w:r>
      <w:r w:rsidRPr="00346183">
        <w:rPr>
          <w:rFonts w:ascii="Arial" w:hAnsi="Arial" w:cs="Arial"/>
        </w:rPr>
        <w:t xml:space="preserve"> </w:t>
      </w:r>
      <w:hyperlink r:id="rId71" w:history="1">
        <w:r w:rsidR="00C75C1E" w:rsidRPr="00C75C1E">
          <w:rPr>
            <w:rStyle w:val="Hyperlink"/>
            <w:rFonts w:ascii="Arial" w:hAnsi="Arial" w:cs="Arial"/>
          </w:rPr>
          <w:t>https://</w:t>
        </w:r>
        <w:r w:rsidR="0074196F" w:rsidRPr="00C75C1E">
          <w:rPr>
            <w:rStyle w:val="Hyperlink"/>
            <w:rFonts w:ascii="Arial" w:hAnsi="Arial" w:cs="Arial"/>
          </w:rPr>
          <w:t>doi: 10.1016/j.jclepro</w:t>
        </w:r>
        <w:r w:rsidRPr="00C75C1E">
          <w:rPr>
            <w:rStyle w:val="Hyperlink"/>
            <w:rFonts w:ascii="Arial" w:hAnsi="Arial" w:cs="Arial"/>
          </w:rPr>
          <w:t>.2018.10.078 </w:t>
        </w:r>
      </w:hyperlink>
    </w:p>
    <w:p w14:paraId="254AB282" w14:textId="75BE073A" w:rsidR="009D6152" w:rsidRPr="009D6152" w:rsidRDefault="00346183" w:rsidP="00200FB5">
      <w:pPr>
        <w:pStyle w:val="ListParagraph"/>
        <w:numPr>
          <w:ilvl w:val="0"/>
          <w:numId w:val="4"/>
        </w:numPr>
        <w:jc w:val="both"/>
        <w:rPr>
          <w:rFonts w:ascii="Arial" w:hAnsi="Arial" w:cs="Arial"/>
        </w:rPr>
      </w:pPr>
      <w:r w:rsidRPr="00346183">
        <w:rPr>
          <w:rFonts w:ascii="Arial" w:hAnsi="Arial" w:cs="Arial"/>
        </w:rPr>
        <w:t>Verhulst, E., &amp; Lambrechts, W. (2015). </w:t>
      </w:r>
      <w:r w:rsidRPr="00346183">
        <w:rPr>
          <w:rFonts w:ascii="Arial" w:hAnsi="Arial" w:cs="Arial"/>
          <w:i/>
          <w:iCs/>
        </w:rPr>
        <w:t>Fostering the incorporation of sustainable development in higher education. Lessons learned from a change management perspective. Journal of Cleaner Production, 106, 189–204.</w:t>
      </w:r>
      <w:r w:rsidRPr="00346183">
        <w:rPr>
          <w:rFonts w:ascii="Arial" w:hAnsi="Arial" w:cs="Arial"/>
        </w:rPr>
        <w:t> </w:t>
      </w:r>
      <w:hyperlink r:id="rId72" w:history="1">
        <w:r w:rsidR="000B541E" w:rsidRPr="000B541E">
          <w:rPr>
            <w:rStyle w:val="Hyperlink"/>
            <w:rFonts w:ascii="Arial" w:hAnsi="Arial" w:cs="Arial"/>
          </w:rPr>
          <w:t>https://</w:t>
        </w:r>
        <w:r w:rsidR="009D6152" w:rsidRPr="000B541E">
          <w:rPr>
            <w:rStyle w:val="Hyperlink"/>
            <w:rFonts w:ascii="Arial" w:hAnsi="Arial" w:cs="Arial"/>
          </w:rPr>
          <w:t>doi: 10.1016/j.jclepro</w:t>
        </w:r>
        <w:r w:rsidRPr="000B541E">
          <w:rPr>
            <w:rStyle w:val="Hyperlink"/>
            <w:rFonts w:ascii="Arial" w:hAnsi="Arial" w:cs="Arial"/>
          </w:rPr>
          <w:t>.2014.09.049</w:t>
        </w:r>
      </w:hyperlink>
    </w:p>
    <w:p w14:paraId="1FB7B700" w14:textId="3D99DDC3" w:rsidR="00346183" w:rsidRPr="009D6152" w:rsidRDefault="00346183" w:rsidP="00200FB5">
      <w:pPr>
        <w:pStyle w:val="ListParagraph"/>
        <w:numPr>
          <w:ilvl w:val="0"/>
          <w:numId w:val="4"/>
        </w:numPr>
        <w:jc w:val="both"/>
        <w:rPr>
          <w:rFonts w:ascii="Arial" w:hAnsi="Arial" w:cs="Arial"/>
        </w:rPr>
      </w:pPr>
      <w:r w:rsidRPr="009D6152">
        <w:rPr>
          <w:rFonts w:ascii="Arial" w:hAnsi="Arial" w:cs="Arial"/>
        </w:rPr>
        <w:t>Watson, R., Wilson, H. N., Smart, P., &amp; Macdonald, E. K. (2017). </w:t>
      </w:r>
      <w:r w:rsidRPr="009D6152">
        <w:rPr>
          <w:rFonts w:ascii="Arial" w:hAnsi="Arial" w:cs="Arial"/>
          <w:i/>
          <w:iCs/>
        </w:rPr>
        <w:t>Harnessing Difference: A Capability-Based Framework for Stakeholder Engagement in Environmental Innovation. Journal of Product Innovation Management, 35(2), 254–279.</w:t>
      </w:r>
      <w:r w:rsidRPr="009D6152">
        <w:rPr>
          <w:rFonts w:ascii="Arial" w:hAnsi="Arial" w:cs="Arial"/>
        </w:rPr>
        <w:t> </w:t>
      </w:r>
      <w:hyperlink r:id="rId73" w:history="1">
        <w:r w:rsidR="000B541E" w:rsidRPr="000B541E">
          <w:rPr>
            <w:rStyle w:val="Hyperlink"/>
            <w:rFonts w:ascii="Arial" w:hAnsi="Arial" w:cs="Arial"/>
          </w:rPr>
          <w:t>https://</w:t>
        </w:r>
        <w:r w:rsidRPr="000B541E">
          <w:rPr>
            <w:rStyle w:val="Hyperlink"/>
            <w:rFonts w:ascii="Arial" w:hAnsi="Arial" w:cs="Arial"/>
          </w:rPr>
          <w:t>doi:10.1111/jpim.12394</w:t>
        </w:r>
      </w:hyperlink>
    </w:p>
    <w:p w14:paraId="65F43179" w14:textId="77777777"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 xml:space="preserve">Wiggins, G., &amp; McTighe, J. (2018). </w:t>
      </w:r>
      <w:r w:rsidRPr="00346183">
        <w:rPr>
          <w:rFonts w:ascii="Arial" w:hAnsi="Arial" w:cs="Arial"/>
          <w:i/>
          <w:iCs/>
        </w:rPr>
        <w:t>Understanding by design: Aligning educational objectives with assessment.</w:t>
      </w:r>
      <w:r w:rsidRPr="00346183">
        <w:rPr>
          <w:rFonts w:ascii="Arial" w:hAnsi="Arial" w:cs="Arial"/>
        </w:rPr>
        <w:t xml:space="preserve"> Educational Leadership, 76(1), 27–34.</w:t>
      </w:r>
    </w:p>
    <w:p w14:paraId="641ACAD1" w14:textId="0DB9F8E5" w:rsidR="00346183" w:rsidRPr="00346183" w:rsidRDefault="00346183" w:rsidP="00200FB5">
      <w:pPr>
        <w:pStyle w:val="ListParagraph"/>
        <w:numPr>
          <w:ilvl w:val="0"/>
          <w:numId w:val="4"/>
        </w:numPr>
        <w:jc w:val="both"/>
        <w:rPr>
          <w:rFonts w:ascii="Arial" w:hAnsi="Arial" w:cs="Arial"/>
        </w:rPr>
      </w:pPr>
      <w:r w:rsidRPr="00346183">
        <w:rPr>
          <w:rFonts w:ascii="Arial" w:hAnsi="Arial" w:cs="Arial"/>
        </w:rPr>
        <w:t>Wolff, L.-A., Sjöblom, P., Hofman-Bergholm, M., &amp; Palmberg, I. (2017). </w:t>
      </w:r>
      <w:r w:rsidRPr="00346183">
        <w:rPr>
          <w:rFonts w:ascii="Arial" w:hAnsi="Arial" w:cs="Arial"/>
          <w:i/>
          <w:iCs/>
        </w:rPr>
        <w:t>High Performance Education Fails in Sustainability? —A Reflection on Finnish Primary Teacher Education. Education Sciences, 7(1), 32.</w:t>
      </w:r>
      <w:r w:rsidRPr="00346183">
        <w:rPr>
          <w:rFonts w:ascii="Arial" w:hAnsi="Arial" w:cs="Arial"/>
        </w:rPr>
        <w:t> </w:t>
      </w:r>
      <w:hyperlink r:id="rId74" w:history="1">
        <w:r w:rsidR="000B541E" w:rsidRPr="000B541E">
          <w:rPr>
            <w:rStyle w:val="Hyperlink"/>
            <w:rFonts w:ascii="Arial" w:hAnsi="Arial" w:cs="Arial"/>
          </w:rPr>
          <w:t>https://</w:t>
        </w:r>
        <w:r w:rsidRPr="000B541E">
          <w:rPr>
            <w:rStyle w:val="Hyperlink"/>
            <w:rFonts w:ascii="Arial" w:hAnsi="Arial" w:cs="Arial"/>
          </w:rPr>
          <w:t>doi:10.3390/educsci7010032 </w:t>
        </w:r>
      </w:hyperlink>
    </w:p>
    <w:p w14:paraId="2410044D" w14:textId="78AC003B" w:rsidR="00026464" w:rsidRPr="00A11CE9" w:rsidRDefault="00346183" w:rsidP="00200FB5">
      <w:pPr>
        <w:pStyle w:val="ListParagraph"/>
        <w:numPr>
          <w:ilvl w:val="0"/>
          <w:numId w:val="4"/>
        </w:numPr>
        <w:jc w:val="both"/>
        <w:rPr>
          <w:rFonts w:ascii="Arial" w:hAnsi="Arial" w:cs="Arial"/>
        </w:rPr>
      </w:pPr>
      <w:r w:rsidRPr="00346183">
        <w:rPr>
          <w:rFonts w:ascii="Arial" w:hAnsi="Arial" w:cs="Arial"/>
        </w:rPr>
        <w:t xml:space="preserve">Yáñez, S., </w:t>
      </w:r>
      <w:proofErr w:type="spellStart"/>
      <w:r w:rsidRPr="00346183">
        <w:rPr>
          <w:rFonts w:ascii="Arial" w:hAnsi="Arial" w:cs="Arial"/>
        </w:rPr>
        <w:t>Uruburu</w:t>
      </w:r>
      <w:proofErr w:type="spellEnd"/>
      <w:r w:rsidRPr="00346183">
        <w:rPr>
          <w:rFonts w:ascii="Arial" w:hAnsi="Arial" w:cs="Arial"/>
        </w:rPr>
        <w:t xml:space="preserve">, Á., Moreno, A., &amp; Lumbreras, J. (2018). </w:t>
      </w:r>
      <w:r w:rsidRPr="00346183">
        <w:rPr>
          <w:rFonts w:ascii="Arial" w:hAnsi="Arial" w:cs="Arial"/>
          <w:i/>
          <w:iCs/>
        </w:rPr>
        <w:t>The Sustainability Report as an essential tool for the holistic and strategic vision of Higher Education Institutions. Journal of Cleaner Production.</w:t>
      </w:r>
      <w:r w:rsidRPr="00346183">
        <w:rPr>
          <w:rFonts w:ascii="Arial" w:hAnsi="Arial" w:cs="Arial"/>
        </w:rPr>
        <w:t xml:space="preserve"> </w:t>
      </w:r>
      <w:hyperlink r:id="rId75" w:history="1">
        <w:r w:rsidR="000B541E" w:rsidRPr="000B541E">
          <w:rPr>
            <w:rStyle w:val="Hyperlink"/>
            <w:rFonts w:ascii="Arial" w:hAnsi="Arial" w:cs="Arial"/>
          </w:rPr>
          <w:t>https://</w:t>
        </w:r>
        <w:r w:rsidR="009D6152" w:rsidRPr="000B541E">
          <w:rPr>
            <w:rStyle w:val="Hyperlink"/>
            <w:rFonts w:ascii="Arial" w:hAnsi="Arial" w:cs="Arial"/>
          </w:rPr>
          <w:t>doi: 10.1016/j.jclepro</w:t>
        </w:r>
        <w:r w:rsidRPr="000B541E">
          <w:rPr>
            <w:rStyle w:val="Hyperlink"/>
            <w:rFonts w:ascii="Arial" w:hAnsi="Arial" w:cs="Arial"/>
          </w:rPr>
          <w:t>.2018.09.171 </w:t>
        </w:r>
      </w:hyperlink>
    </w:p>
    <w:sectPr w:rsidR="00026464" w:rsidRPr="00A11CE9">
      <w:footerReference w:type="default" r:id="rId76"/>
      <w:type w:val="continuous"/>
      <w:pgSz w:w="12240" w:h="15840"/>
      <w:pgMar w:top="1440" w:right="2016" w:bottom="2016" w:left="2016" w:header="720" w:footer="72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F3D74" w14:textId="77777777" w:rsidR="00200FB5" w:rsidRDefault="00200FB5">
      <w:r>
        <w:separator/>
      </w:r>
    </w:p>
  </w:endnote>
  <w:endnote w:type="continuationSeparator" w:id="0">
    <w:p w14:paraId="1A107759" w14:textId="77777777" w:rsidR="00200FB5" w:rsidRDefault="00200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embedRegular r:id="rId1" w:fontKey="{B580F982-EAE7-4120-8297-69BEA02D1E6A}"/>
    <w:embedBold r:id="rId2" w:fontKey="{1C62C4F3-217D-4A8C-B565-483BCFF8EA3B}"/>
    <w:embedItalic r:id="rId3" w:fontKey="{9CFC984B-33E9-45C8-8B1F-BCC54B2712D0}"/>
  </w:font>
  <w:font w:name="Aptos">
    <w:charset w:val="00"/>
    <w:family w:val="swiss"/>
    <w:pitch w:val="variable"/>
    <w:sig w:usb0="20000287" w:usb1="00000003" w:usb2="00000000" w:usb3="00000000" w:csb0="0000019F" w:csb1="00000000"/>
    <w:embedRegular r:id="rId4" w:fontKey="{3D98D320-0FE5-441D-9346-D2AFD38D2514}"/>
    <w:embedItalic r:id="rId5" w:fontKey="{0AC06E1E-6D25-4785-A8F4-46490BEF0265}"/>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3226E54A-4A28-4961-80C0-7701D7EFA260}"/>
    <w:embedItalic r:id="rId7" w:fontKey="{60AB02CB-2585-439E-AED1-3B3A7296CC25}"/>
  </w:font>
  <w:font w:name="Calibri">
    <w:panose1 w:val="020F0502020204030204"/>
    <w:charset w:val="00"/>
    <w:family w:val="swiss"/>
    <w:pitch w:val="variable"/>
    <w:sig w:usb0="E4002EFF" w:usb1="C000247B" w:usb2="00000009" w:usb3="00000000" w:csb0="000001FF" w:csb1="00000000"/>
    <w:embedRegular r:id="rId8" w:fontKey="{DE28A9F6-45FB-47F3-8532-A99C58ED7105}"/>
  </w:font>
  <w:font w:name="Cambria">
    <w:panose1 w:val="02040503050406030204"/>
    <w:charset w:val="00"/>
    <w:family w:val="roman"/>
    <w:pitch w:val="variable"/>
    <w:sig w:usb0="E00006FF" w:usb1="420024FF" w:usb2="02000000" w:usb3="00000000" w:csb0="0000019F" w:csb1="00000000"/>
    <w:embedRegular r:id="rId9" w:fontKey="{029ED375-392F-4AA9-810D-FFA835A4831C}"/>
  </w:font>
  <w:font w:name="Helvetica">
    <w:panose1 w:val="020B0604020202020204"/>
    <w:charset w:val="00"/>
    <w:family w:val="swiss"/>
    <w:pitch w:val="variable"/>
    <w:sig w:usb0="E0002EFF" w:usb1="C000785B" w:usb2="00000009" w:usb3="00000000" w:csb0="000001FF" w:csb1="00000000"/>
    <w:embedBold r:id="rId10" w:fontKey="{C68CB846-99AA-4426-9820-A33BDCFFF2A9}"/>
  </w:font>
  <w:font w:name="Segoe UI">
    <w:panose1 w:val="020B0502040204020203"/>
    <w:charset w:val="00"/>
    <w:family w:val="swiss"/>
    <w:pitch w:val="variable"/>
    <w:sig w:usb0="E4002EFF" w:usb1="C000E47F" w:usb2="00000009" w:usb3="00000000" w:csb0="000001FF" w:csb1="00000000"/>
    <w:embedRegular r:id="rId11" w:fontKey="{A9B0B8C2-AE2A-4E3F-AB9E-7DE7EEA5639E}"/>
  </w:font>
  <w:font w:name="Aptos Display">
    <w:charset w:val="00"/>
    <w:family w:val="swiss"/>
    <w:pitch w:val="variable"/>
    <w:sig w:usb0="20000287" w:usb1="00000003" w:usb2="00000000" w:usb3="00000000" w:csb0="0000019F" w:csb1="00000000"/>
    <w:embedRegular r:id="rId12" w:fontKey="{74FA10D3-3A11-4A6E-B07D-E17904584A5C}"/>
  </w:font>
  <w:font w:name="Tahoma">
    <w:panose1 w:val="020B0604030504040204"/>
    <w:charset w:val="00"/>
    <w:family w:val="swiss"/>
    <w:pitch w:val="variable"/>
    <w:sig w:usb0="E1002EFF" w:usb1="C000605B" w:usb2="00000029" w:usb3="00000000" w:csb0="000101FF" w:csb1="00000000"/>
    <w:embedRegular r:id="rId13" w:fontKey="{6567CFA9-F0A0-4F0A-866E-15190020A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D3B86" w14:textId="77777777" w:rsidR="00D402D2" w:rsidRDefault="00D402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12E1702E" w14:textId="77777777" w:rsidR="00D402D2" w:rsidRDefault="00D402D2">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6D9948C9" w14:textId="77777777" w:rsidR="00D402D2" w:rsidRDefault="00D402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2C8A2A14" w14:textId="77777777" w:rsidR="00D402D2" w:rsidRDefault="00D402D2">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D402D2" w:rsidRDefault="00D402D2">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FFC9F" w14:textId="77777777" w:rsidR="00200FB5" w:rsidRDefault="00200FB5">
      <w:r>
        <w:separator/>
      </w:r>
    </w:p>
  </w:footnote>
  <w:footnote w:type="continuationSeparator" w:id="0">
    <w:p w14:paraId="53DA8F3C" w14:textId="77777777" w:rsidR="00200FB5" w:rsidRDefault="00200F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77777777" w:rsidR="00D402D2" w:rsidRDefault="00D402D2">
    <w:pPr>
      <w:ind w:left="2160"/>
      <w:jc w:val="center"/>
      <w:rPr>
        <w:rFonts w:ascii="Times New Roman" w:eastAsia="Times New Roman" w:hAnsi="Times New Roman" w:cs="Times New Roman"/>
        <w:i/>
        <w:sz w:val="18"/>
        <w:szCs w:val="18"/>
      </w:rPr>
    </w:pPr>
  </w:p>
  <w:p w14:paraId="1E516F4F" w14:textId="77777777" w:rsidR="00D402D2" w:rsidRDefault="00D402D2">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D402D2" w:rsidRDefault="00D402D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D402D2" w:rsidRDefault="00D402D2">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D402D2" w:rsidRDefault="00D402D2">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D402D2" w:rsidRDefault="00D402D2">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D402D2" w:rsidRDefault="00D402D2">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668A6"/>
    <w:multiLevelType w:val="hybridMultilevel"/>
    <w:tmpl w:val="7FE0483A"/>
    <w:lvl w:ilvl="0" w:tplc="2B5CE45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B82B76"/>
    <w:multiLevelType w:val="multilevel"/>
    <w:tmpl w:val="B896FB36"/>
    <w:styleLink w:val="CurrentList1"/>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D44"/>
    <w:rsid w:val="00001361"/>
    <w:rsid w:val="00003BF5"/>
    <w:rsid w:val="00026464"/>
    <w:rsid w:val="00060459"/>
    <w:rsid w:val="0007019A"/>
    <w:rsid w:val="000964BF"/>
    <w:rsid w:val="000B1D44"/>
    <w:rsid w:val="000B541E"/>
    <w:rsid w:val="000D3E39"/>
    <w:rsid w:val="00113E52"/>
    <w:rsid w:val="00151009"/>
    <w:rsid w:val="001856BB"/>
    <w:rsid w:val="001C19D9"/>
    <w:rsid w:val="001E1277"/>
    <w:rsid w:val="001E1C1A"/>
    <w:rsid w:val="001F4B0D"/>
    <w:rsid w:val="00200FB5"/>
    <w:rsid w:val="002164B2"/>
    <w:rsid w:val="00216C76"/>
    <w:rsid w:val="00261FC2"/>
    <w:rsid w:val="00267778"/>
    <w:rsid w:val="002A316C"/>
    <w:rsid w:val="002A6084"/>
    <w:rsid w:val="002B5D3D"/>
    <w:rsid w:val="002C3BA7"/>
    <w:rsid w:val="002F03EE"/>
    <w:rsid w:val="00314A76"/>
    <w:rsid w:val="00346183"/>
    <w:rsid w:val="0035219A"/>
    <w:rsid w:val="00353753"/>
    <w:rsid w:val="00363ADB"/>
    <w:rsid w:val="00372A1B"/>
    <w:rsid w:val="00372B97"/>
    <w:rsid w:val="003741B3"/>
    <w:rsid w:val="003770EC"/>
    <w:rsid w:val="00380BA7"/>
    <w:rsid w:val="00397B95"/>
    <w:rsid w:val="003A2138"/>
    <w:rsid w:val="003B0CD9"/>
    <w:rsid w:val="003C563F"/>
    <w:rsid w:val="003C7520"/>
    <w:rsid w:val="003D708C"/>
    <w:rsid w:val="003E3168"/>
    <w:rsid w:val="003F28E8"/>
    <w:rsid w:val="003F2A8E"/>
    <w:rsid w:val="004048A2"/>
    <w:rsid w:val="00412126"/>
    <w:rsid w:val="00435B64"/>
    <w:rsid w:val="0043727E"/>
    <w:rsid w:val="004458C6"/>
    <w:rsid w:val="00460105"/>
    <w:rsid w:val="004775B6"/>
    <w:rsid w:val="004827CE"/>
    <w:rsid w:val="004C24DF"/>
    <w:rsid w:val="004D5915"/>
    <w:rsid w:val="004D6084"/>
    <w:rsid w:val="0051046C"/>
    <w:rsid w:val="00515145"/>
    <w:rsid w:val="00541F0F"/>
    <w:rsid w:val="005423FC"/>
    <w:rsid w:val="0054506C"/>
    <w:rsid w:val="00552E1E"/>
    <w:rsid w:val="005653C8"/>
    <w:rsid w:val="00577306"/>
    <w:rsid w:val="005820CC"/>
    <w:rsid w:val="005A00BB"/>
    <w:rsid w:val="005A79C1"/>
    <w:rsid w:val="005A7F76"/>
    <w:rsid w:val="005B110B"/>
    <w:rsid w:val="005B7A59"/>
    <w:rsid w:val="005D5454"/>
    <w:rsid w:val="005E601C"/>
    <w:rsid w:val="00620FD3"/>
    <w:rsid w:val="00645ED8"/>
    <w:rsid w:val="006565EC"/>
    <w:rsid w:val="00656CAC"/>
    <w:rsid w:val="0066505B"/>
    <w:rsid w:val="00665DC6"/>
    <w:rsid w:val="00666959"/>
    <w:rsid w:val="006702B8"/>
    <w:rsid w:val="00676701"/>
    <w:rsid w:val="00680E6A"/>
    <w:rsid w:val="0068434F"/>
    <w:rsid w:val="006B0F28"/>
    <w:rsid w:val="006C2388"/>
    <w:rsid w:val="006C7BD7"/>
    <w:rsid w:val="006E2E54"/>
    <w:rsid w:val="007049BF"/>
    <w:rsid w:val="0071235B"/>
    <w:rsid w:val="007153F4"/>
    <w:rsid w:val="007175FF"/>
    <w:rsid w:val="00731C5D"/>
    <w:rsid w:val="00735E28"/>
    <w:rsid w:val="00737EAD"/>
    <w:rsid w:val="0074196F"/>
    <w:rsid w:val="0075084A"/>
    <w:rsid w:val="00761845"/>
    <w:rsid w:val="007768A3"/>
    <w:rsid w:val="00781DB3"/>
    <w:rsid w:val="00783B33"/>
    <w:rsid w:val="00785339"/>
    <w:rsid w:val="007A7B5F"/>
    <w:rsid w:val="007B5652"/>
    <w:rsid w:val="007B7517"/>
    <w:rsid w:val="007C4262"/>
    <w:rsid w:val="00802D8C"/>
    <w:rsid w:val="008174FA"/>
    <w:rsid w:val="00831525"/>
    <w:rsid w:val="00831A33"/>
    <w:rsid w:val="0084011E"/>
    <w:rsid w:val="0085238A"/>
    <w:rsid w:val="00882BF9"/>
    <w:rsid w:val="00890734"/>
    <w:rsid w:val="008B1BC3"/>
    <w:rsid w:val="008B5EF1"/>
    <w:rsid w:val="008D39BB"/>
    <w:rsid w:val="008E19B7"/>
    <w:rsid w:val="008E7EB6"/>
    <w:rsid w:val="008F329B"/>
    <w:rsid w:val="009038A9"/>
    <w:rsid w:val="00931F8C"/>
    <w:rsid w:val="00977B37"/>
    <w:rsid w:val="00983958"/>
    <w:rsid w:val="009A1590"/>
    <w:rsid w:val="009A4D01"/>
    <w:rsid w:val="009B2A20"/>
    <w:rsid w:val="009D3055"/>
    <w:rsid w:val="009D6152"/>
    <w:rsid w:val="009E21A1"/>
    <w:rsid w:val="009E270C"/>
    <w:rsid w:val="009E31D0"/>
    <w:rsid w:val="009F019F"/>
    <w:rsid w:val="00A11CE9"/>
    <w:rsid w:val="00A13442"/>
    <w:rsid w:val="00A40F23"/>
    <w:rsid w:val="00A568EB"/>
    <w:rsid w:val="00A57E4C"/>
    <w:rsid w:val="00A70F11"/>
    <w:rsid w:val="00A774F9"/>
    <w:rsid w:val="00A949EB"/>
    <w:rsid w:val="00AA16CD"/>
    <w:rsid w:val="00AA79C0"/>
    <w:rsid w:val="00AC1665"/>
    <w:rsid w:val="00AD43E9"/>
    <w:rsid w:val="00AE2101"/>
    <w:rsid w:val="00AF3C8B"/>
    <w:rsid w:val="00AF710A"/>
    <w:rsid w:val="00B34EDB"/>
    <w:rsid w:val="00B360A1"/>
    <w:rsid w:val="00B40869"/>
    <w:rsid w:val="00B56151"/>
    <w:rsid w:val="00B612C5"/>
    <w:rsid w:val="00B7102D"/>
    <w:rsid w:val="00B76074"/>
    <w:rsid w:val="00B80854"/>
    <w:rsid w:val="00BB47CB"/>
    <w:rsid w:val="00BD0C1D"/>
    <w:rsid w:val="00BD48A9"/>
    <w:rsid w:val="00BD61F6"/>
    <w:rsid w:val="00BE3714"/>
    <w:rsid w:val="00BF4349"/>
    <w:rsid w:val="00C05616"/>
    <w:rsid w:val="00C16C0C"/>
    <w:rsid w:val="00C315A2"/>
    <w:rsid w:val="00C545AA"/>
    <w:rsid w:val="00C64295"/>
    <w:rsid w:val="00C708E6"/>
    <w:rsid w:val="00C7142C"/>
    <w:rsid w:val="00C75C1E"/>
    <w:rsid w:val="00C81E2A"/>
    <w:rsid w:val="00C96C42"/>
    <w:rsid w:val="00CB29D1"/>
    <w:rsid w:val="00CD11DA"/>
    <w:rsid w:val="00D33084"/>
    <w:rsid w:val="00D402D2"/>
    <w:rsid w:val="00D56D70"/>
    <w:rsid w:val="00D64D9C"/>
    <w:rsid w:val="00D745A9"/>
    <w:rsid w:val="00DA0338"/>
    <w:rsid w:val="00DA1C23"/>
    <w:rsid w:val="00DF4F6E"/>
    <w:rsid w:val="00E14DE9"/>
    <w:rsid w:val="00E26B62"/>
    <w:rsid w:val="00E42E3E"/>
    <w:rsid w:val="00E55FC4"/>
    <w:rsid w:val="00E65376"/>
    <w:rsid w:val="00E8647B"/>
    <w:rsid w:val="00E941CB"/>
    <w:rsid w:val="00EA5171"/>
    <w:rsid w:val="00EC0D89"/>
    <w:rsid w:val="00EE2AE9"/>
    <w:rsid w:val="00EF3867"/>
    <w:rsid w:val="00F00A67"/>
    <w:rsid w:val="00F010F8"/>
    <w:rsid w:val="00F13E1D"/>
    <w:rsid w:val="00F214B1"/>
    <w:rsid w:val="00F3494B"/>
    <w:rsid w:val="00F77AC8"/>
    <w:rsid w:val="00F87EEE"/>
    <w:rsid w:val="00F92D59"/>
    <w:rsid w:val="00FA1462"/>
    <w:rsid w:val="00FA1F49"/>
    <w:rsid w:val="00FA38A7"/>
    <w:rsid w:val="00FD0959"/>
    <w:rsid w:val="00FD33E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13D69D"/>
  <w15:docId w15:val="{CE6FDD50-B0A5-42A3-A04E-7AB955E9C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rPr>
  </w:style>
  <w:style w:type="paragraph" w:styleId="Heading7">
    <w:name w:val="heading 7"/>
    <w:basedOn w:val="Normal"/>
    <w:next w:val="Normal"/>
    <w:link w:val="Heading7Char"/>
    <w:uiPriority w:val="9"/>
    <w:qFormat/>
    <w:rsid w:val="00372A1B"/>
    <w:pPr>
      <w:keepNext/>
      <w:keepLines/>
      <w:spacing w:before="40" w:line="259" w:lineRule="auto"/>
      <w:outlineLvl w:val="6"/>
    </w:pPr>
    <w:rPr>
      <w:rFonts w:ascii="Aptos" w:eastAsia="DengXian Light" w:hAnsi="Aptos" w:cs="SimSun"/>
      <w:color w:val="595959"/>
      <w:kern w:val="2"/>
      <w:sz w:val="22"/>
      <w:szCs w:val="22"/>
      <w:lang w:eastAsia="en-US"/>
    </w:rPr>
  </w:style>
  <w:style w:type="paragraph" w:styleId="Heading8">
    <w:name w:val="heading 8"/>
    <w:basedOn w:val="Normal"/>
    <w:next w:val="Normal"/>
    <w:link w:val="Heading8Char"/>
    <w:uiPriority w:val="9"/>
    <w:qFormat/>
    <w:rsid w:val="00372A1B"/>
    <w:pPr>
      <w:keepNext/>
      <w:keepLines/>
      <w:spacing w:line="259" w:lineRule="auto"/>
      <w:outlineLvl w:val="7"/>
    </w:pPr>
    <w:rPr>
      <w:rFonts w:ascii="Aptos" w:eastAsia="DengXian Light" w:hAnsi="Aptos" w:cs="SimSun"/>
      <w:i/>
      <w:iCs/>
      <w:color w:val="262626"/>
      <w:kern w:val="2"/>
      <w:sz w:val="22"/>
      <w:szCs w:val="22"/>
      <w:lang w:eastAsia="en-US"/>
    </w:rPr>
  </w:style>
  <w:style w:type="paragraph" w:styleId="Heading9">
    <w:name w:val="heading 9"/>
    <w:basedOn w:val="Normal"/>
    <w:next w:val="Normal"/>
    <w:link w:val="Heading9Char"/>
    <w:uiPriority w:val="9"/>
    <w:qFormat/>
    <w:rsid w:val="00372A1B"/>
    <w:pPr>
      <w:keepNext/>
      <w:keepLines/>
      <w:spacing w:line="259" w:lineRule="auto"/>
      <w:outlineLvl w:val="8"/>
    </w:pPr>
    <w:rPr>
      <w:rFonts w:ascii="Aptos" w:eastAsia="DengXian Light" w:hAnsi="Aptos" w:cs="SimSun"/>
      <w:color w:val="262626"/>
      <w:kern w:val="2"/>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360"/>
      <w:jc w:val="right"/>
    </w:pPr>
    <w:rPr>
      <w:b/>
      <w:sz w:val="36"/>
      <w:szCs w:val="36"/>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2">
    <w:name w:val="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1">
    <w:name w:val="1"/>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qFormat/>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qFormat/>
    <w:rsid w:val="00AE2101"/>
  </w:style>
  <w:style w:type="paragraph" w:styleId="Footer">
    <w:name w:val="footer"/>
    <w:basedOn w:val="Normal"/>
    <w:link w:val="FooterChar"/>
    <w:uiPriority w:val="99"/>
    <w:unhideWhenUsed/>
    <w:qFormat/>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character" w:styleId="PlaceholderText">
    <w:name w:val="Placeholder Text"/>
    <w:basedOn w:val="DefaultParagraphFont"/>
    <w:uiPriority w:val="99"/>
    <w:semiHidden/>
    <w:rsid w:val="00A57E4C"/>
    <w:rPr>
      <w:color w:val="666666"/>
    </w:rPr>
  </w:style>
  <w:style w:type="paragraph" w:styleId="NormalWeb">
    <w:name w:val="Normal (Web)"/>
    <w:basedOn w:val="Normal"/>
    <w:uiPriority w:val="99"/>
    <w:unhideWhenUsed/>
    <w:rsid w:val="00E8647B"/>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ntroHead">
    <w:name w:val="Intro Head"/>
    <w:basedOn w:val="Normal"/>
    <w:rsid w:val="006B0F28"/>
    <w:pPr>
      <w:keepNext/>
      <w:spacing w:after="240"/>
    </w:pPr>
    <w:rPr>
      <w:rFonts w:ascii="Helvetica" w:eastAsia="Times New Roman" w:hAnsi="Helvetica" w:cs="Times New Roman"/>
      <w:b/>
      <w:caps/>
      <w:sz w:val="22"/>
      <w:lang w:eastAsia="en-US"/>
    </w:rPr>
  </w:style>
  <w:style w:type="table" w:styleId="TableGrid">
    <w:name w:val="Table Grid"/>
    <w:basedOn w:val="TableNormal"/>
    <w:qFormat/>
    <w:rsid w:val="00B612C5"/>
    <w:rPr>
      <w:rFonts w:ascii="Aptos" w:eastAsia="Aptos" w:hAnsi="Aptos" w:cs="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qFormat/>
    <w:rsid w:val="00372A1B"/>
    <w:rPr>
      <w:rFonts w:ascii="Aptos" w:eastAsia="DengXian Light" w:hAnsi="Aptos" w:cs="SimSun"/>
      <w:color w:val="595959"/>
      <w:kern w:val="2"/>
      <w:sz w:val="22"/>
      <w:szCs w:val="22"/>
      <w:lang w:eastAsia="en-US"/>
    </w:rPr>
  </w:style>
  <w:style w:type="character" w:customStyle="1" w:styleId="Heading8Char">
    <w:name w:val="Heading 8 Char"/>
    <w:basedOn w:val="DefaultParagraphFont"/>
    <w:link w:val="Heading8"/>
    <w:uiPriority w:val="9"/>
    <w:qFormat/>
    <w:rsid w:val="00372A1B"/>
    <w:rPr>
      <w:rFonts w:ascii="Aptos" w:eastAsia="DengXian Light" w:hAnsi="Aptos" w:cs="SimSun"/>
      <w:i/>
      <w:iCs/>
      <w:color w:val="262626"/>
      <w:kern w:val="2"/>
      <w:sz w:val="22"/>
      <w:szCs w:val="22"/>
      <w:lang w:eastAsia="en-US"/>
    </w:rPr>
  </w:style>
  <w:style w:type="character" w:customStyle="1" w:styleId="Heading9Char">
    <w:name w:val="Heading 9 Char"/>
    <w:basedOn w:val="DefaultParagraphFont"/>
    <w:link w:val="Heading9"/>
    <w:uiPriority w:val="9"/>
    <w:qFormat/>
    <w:rsid w:val="00372A1B"/>
    <w:rPr>
      <w:rFonts w:ascii="Aptos" w:eastAsia="DengXian Light" w:hAnsi="Aptos" w:cs="SimSun"/>
      <w:color w:val="262626"/>
      <w:kern w:val="2"/>
      <w:sz w:val="22"/>
      <w:szCs w:val="22"/>
      <w:lang w:eastAsia="en-US"/>
    </w:rPr>
  </w:style>
  <w:style w:type="paragraph" w:styleId="BalloonText">
    <w:name w:val="Balloon Text"/>
    <w:basedOn w:val="Normal"/>
    <w:link w:val="BalloonTextChar"/>
    <w:uiPriority w:val="99"/>
    <w:qFormat/>
    <w:rsid w:val="00372A1B"/>
    <w:rPr>
      <w:rFonts w:ascii="Segoe UI" w:eastAsia="Calibri" w:hAnsi="Segoe UI" w:cs="Segoe UI"/>
      <w:sz w:val="18"/>
      <w:szCs w:val="18"/>
      <w:lang w:val="en-PH" w:eastAsia="en-US"/>
    </w:rPr>
  </w:style>
  <w:style w:type="character" w:customStyle="1" w:styleId="BalloonTextChar">
    <w:name w:val="Balloon Text Char"/>
    <w:basedOn w:val="DefaultParagraphFont"/>
    <w:link w:val="BalloonText"/>
    <w:uiPriority w:val="99"/>
    <w:qFormat/>
    <w:rsid w:val="00372A1B"/>
    <w:rPr>
      <w:rFonts w:ascii="Segoe UI" w:eastAsia="Calibri" w:hAnsi="Segoe UI" w:cs="Segoe UI"/>
      <w:sz w:val="18"/>
      <w:szCs w:val="18"/>
      <w:lang w:val="en-PH" w:eastAsia="en-US"/>
    </w:rPr>
  </w:style>
  <w:style w:type="paragraph" w:styleId="BodyText">
    <w:name w:val="Body Text"/>
    <w:basedOn w:val="Normal"/>
    <w:link w:val="BodyTextChar1"/>
    <w:uiPriority w:val="99"/>
    <w:rsid w:val="00372A1B"/>
    <w:pPr>
      <w:spacing w:after="120" w:line="259" w:lineRule="auto"/>
    </w:pPr>
    <w:rPr>
      <w:rFonts w:ascii="Aptos" w:eastAsia="Aptos" w:hAnsi="Aptos" w:cs="SimSun"/>
      <w:kern w:val="2"/>
      <w:sz w:val="22"/>
      <w:szCs w:val="22"/>
      <w:lang w:eastAsia="en-US"/>
    </w:rPr>
  </w:style>
  <w:style w:type="character" w:customStyle="1" w:styleId="BodyTextChar">
    <w:name w:val="Body Text Char"/>
    <w:basedOn w:val="DefaultParagraphFont"/>
    <w:link w:val="BodyText1"/>
    <w:uiPriority w:val="99"/>
    <w:rsid w:val="00372A1B"/>
  </w:style>
  <w:style w:type="character" w:styleId="Emphasis">
    <w:name w:val="Emphasis"/>
    <w:basedOn w:val="DefaultParagraphFont"/>
    <w:uiPriority w:val="20"/>
    <w:qFormat/>
    <w:rsid w:val="00372A1B"/>
    <w:rPr>
      <w:i/>
      <w:iCs/>
    </w:rPr>
  </w:style>
  <w:style w:type="character" w:styleId="FollowedHyperlink">
    <w:name w:val="FollowedHyperlink"/>
    <w:basedOn w:val="DefaultParagraphFont"/>
    <w:uiPriority w:val="99"/>
    <w:qFormat/>
    <w:rsid w:val="00372A1B"/>
    <w:rPr>
      <w:color w:val="954F72"/>
      <w:u w:val="single"/>
    </w:rPr>
  </w:style>
  <w:style w:type="paragraph" w:styleId="TOC1">
    <w:name w:val="toc 1"/>
    <w:basedOn w:val="Normal"/>
    <w:next w:val="Normal"/>
    <w:uiPriority w:val="39"/>
    <w:rsid w:val="00372A1B"/>
    <w:pPr>
      <w:tabs>
        <w:tab w:val="right" w:pos="8630"/>
      </w:tabs>
      <w:spacing w:line="480" w:lineRule="auto"/>
      <w:ind w:left="1170" w:hanging="990"/>
      <w:outlineLvl w:val="0"/>
    </w:pPr>
    <w:rPr>
      <w:rFonts w:ascii="Arial" w:eastAsia="Aptos" w:hAnsi="Arial" w:cs="Arial"/>
      <w:color w:val="000000"/>
      <w:kern w:val="2"/>
      <w:sz w:val="24"/>
      <w:szCs w:val="24"/>
      <w:lang w:eastAsia="en-US"/>
    </w:rPr>
  </w:style>
  <w:style w:type="paragraph" w:styleId="TOC2">
    <w:name w:val="toc 2"/>
    <w:basedOn w:val="Normal"/>
    <w:next w:val="Normal"/>
    <w:uiPriority w:val="39"/>
    <w:rsid w:val="00372A1B"/>
    <w:pPr>
      <w:tabs>
        <w:tab w:val="right" w:pos="8630"/>
      </w:tabs>
      <w:spacing w:line="480" w:lineRule="auto"/>
      <w:ind w:left="990" w:hanging="360"/>
    </w:pPr>
    <w:rPr>
      <w:rFonts w:ascii="Arial" w:eastAsia="Aptos" w:hAnsi="Arial" w:cs="Arial"/>
      <w:color w:val="000000"/>
      <w:kern w:val="2"/>
      <w:sz w:val="24"/>
      <w:szCs w:val="24"/>
      <w:lang w:val="en-PH" w:eastAsia="en-US"/>
    </w:rPr>
  </w:style>
  <w:style w:type="character" w:customStyle="1" w:styleId="Heading1Char">
    <w:name w:val="Heading 1 Char"/>
    <w:basedOn w:val="DefaultParagraphFont"/>
    <w:link w:val="Heading1"/>
    <w:uiPriority w:val="9"/>
    <w:rsid w:val="00372A1B"/>
    <w:rPr>
      <w:rFonts w:ascii="Arial" w:eastAsia="Arial" w:hAnsi="Arial" w:cs="Arial"/>
      <w:b/>
      <w:sz w:val="28"/>
      <w:szCs w:val="28"/>
    </w:rPr>
  </w:style>
  <w:style w:type="character" w:customStyle="1" w:styleId="Heading2Char">
    <w:name w:val="Heading 2 Char"/>
    <w:basedOn w:val="DefaultParagraphFont"/>
    <w:link w:val="Heading2"/>
    <w:uiPriority w:val="9"/>
    <w:rsid w:val="00372A1B"/>
    <w:rPr>
      <w:b/>
      <w:sz w:val="36"/>
      <w:szCs w:val="36"/>
    </w:rPr>
  </w:style>
  <w:style w:type="character" w:customStyle="1" w:styleId="Heading3Char">
    <w:name w:val="Heading 3 Char"/>
    <w:basedOn w:val="DefaultParagraphFont"/>
    <w:link w:val="Heading3"/>
    <w:uiPriority w:val="9"/>
    <w:semiHidden/>
    <w:rsid w:val="00372A1B"/>
    <w:rPr>
      <w:b/>
      <w:sz w:val="28"/>
      <w:szCs w:val="28"/>
    </w:rPr>
  </w:style>
  <w:style w:type="character" w:customStyle="1" w:styleId="Heading4Char">
    <w:name w:val="Heading 4 Char"/>
    <w:basedOn w:val="DefaultParagraphFont"/>
    <w:link w:val="Heading4"/>
    <w:uiPriority w:val="9"/>
    <w:semiHidden/>
    <w:rsid w:val="00372A1B"/>
    <w:rPr>
      <w:b/>
      <w:sz w:val="24"/>
      <w:szCs w:val="24"/>
    </w:rPr>
  </w:style>
  <w:style w:type="character" w:customStyle="1" w:styleId="Heading5Char">
    <w:name w:val="Heading 5 Char"/>
    <w:basedOn w:val="DefaultParagraphFont"/>
    <w:link w:val="Heading5"/>
    <w:uiPriority w:val="9"/>
    <w:semiHidden/>
    <w:qFormat/>
    <w:rsid w:val="00372A1B"/>
    <w:rPr>
      <w:b/>
      <w:sz w:val="22"/>
      <w:szCs w:val="22"/>
    </w:rPr>
  </w:style>
  <w:style w:type="character" w:customStyle="1" w:styleId="Heading6Char">
    <w:name w:val="Heading 6 Char"/>
    <w:basedOn w:val="DefaultParagraphFont"/>
    <w:link w:val="Heading6"/>
    <w:uiPriority w:val="9"/>
    <w:semiHidden/>
    <w:qFormat/>
    <w:rsid w:val="00372A1B"/>
    <w:rPr>
      <w:b/>
    </w:rPr>
  </w:style>
  <w:style w:type="character" w:customStyle="1" w:styleId="TitleChar">
    <w:name w:val="Title Char"/>
    <w:basedOn w:val="DefaultParagraphFont"/>
    <w:link w:val="Title"/>
    <w:uiPriority w:val="10"/>
    <w:qFormat/>
    <w:rsid w:val="00372A1B"/>
    <w:rPr>
      <w:b/>
      <w:sz w:val="36"/>
      <w:szCs w:val="36"/>
    </w:rPr>
  </w:style>
  <w:style w:type="character" w:customStyle="1" w:styleId="SubtitleChar">
    <w:name w:val="Subtitle Char"/>
    <w:basedOn w:val="DefaultParagraphFont"/>
    <w:link w:val="Subtitle"/>
    <w:uiPriority w:val="11"/>
    <w:rsid w:val="00372A1B"/>
    <w:rPr>
      <w:rFonts w:ascii="Georgia" w:eastAsia="Georgia" w:hAnsi="Georgia" w:cs="Georgia"/>
      <w:i/>
      <w:color w:val="666666"/>
      <w:sz w:val="48"/>
      <w:szCs w:val="48"/>
    </w:rPr>
  </w:style>
  <w:style w:type="paragraph" w:styleId="Quote">
    <w:name w:val="Quote"/>
    <w:basedOn w:val="Normal"/>
    <w:next w:val="Normal"/>
    <w:link w:val="QuoteChar"/>
    <w:uiPriority w:val="29"/>
    <w:qFormat/>
    <w:rsid w:val="00372A1B"/>
    <w:pPr>
      <w:spacing w:before="160" w:after="160" w:line="259" w:lineRule="auto"/>
      <w:jc w:val="center"/>
    </w:pPr>
    <w:rPr>
      <w:rFonts w:ascii="Aptos" w:eastAsia="Aptos" w:hAnsi="Aptos" w:cs="SimSun"/>
      <w:i/>
      <w:iCs/>
      <w:color w:val="404040"/>
      <w:kern w:val="2"/>
      <w:sz w:val="22"/>
      <w:szCs w:val="22"/>
      <w:lang w:eastAsia="en-US"/>
    </w:rPr>
  </w:style>
  <w:style w:type="character" w:customStyle="1" w:styleId="QuoteChar">
    <w:name w:val="Quote Char"/>
    <w:basedOn w:val="DefaultParagraphFont"/>
    <w:link w:val="Quote"/>
    <w:uiPriority w:val="29"/>
    <w:rsid w:val="00372A1B"/>
    <w:rPr>
      <w:rFonts w:ascii="Aptos" w:eastAsia="Aptos" w:hAnsi="Aptos" w:cs="SimSun"/>
      <w:i/>
      <w:iCs/>
      <w:color w:val="404040"/>
      <w:kern w:val="2"/>
      <w:sz w:val="22"/>
      <w:szCs w:val="22"/>
      <w:lang w:eastAsia="en-US"/>
    </w:rPr>
  </w:style>
  <w:style w:type="character" w:customStyle="1" w:styleId="IntenseEmphasis1">
    <w:name w:val="Intense Emphasis1"/>
    <w:basedOn w:val="DefaultParagraphFont"/>
    <w:uiPriority w:val="21"/>
    <w:qFormat/>
    <w:rsid w:val="00372A1B"/>
    <w:rPr>
      <w:i/>
      <w:iCs/>
      <w:color w:val="2E74B5"/>
    </w:rPr>
  </w:style>
  <w:style w:type="paragraph" w:styleId="IntenseQuote">
    <w:name w:val="Intense Quote"/>
    <w:basedOn w:val="Normal"/>
    <w:next w:val="Normal"/>
    <w:link w:val="IntenseQuoteChar"/>
    <w:uiPriority w:val="30"/>
    <w:qFormat/>
    <w:rsid w:val="00372A1B"/>
    <w:pPr>
      <w:pBdr>
        <w:top w:val="single" w:sz="4" w:space="10" w:color="2E74B5"/>
        <w:bottom w:val="single" w:sz="4" w:space="10" w:color="2E74B5"/>
      </w:pBdr>
      <w:spacing w:before="360" w:after="360" w:line="259" w:lineRule="auto"/>
      <w:ind w:left="864" w:right="864"/>
      <w:jc w:val="center"/>
    </w:pPr>
    <w:rPr>
      <w:rFonts w:ascii="Aptos" w:eastAsia="Aptos" w:hAnsi="Aptos" w:cs="SimSun"/>
      <w:i/>
      <w:iCs/>
      <w:color w:val="2E74B5"/>
      <w:kern w:val="2"/>
      <w:sz w:val="22"/>
      <w:szCs w:val="22"/>
      <w:lang w:eastAsia="en-US"/>
    </w:rPr>
  </w:style>
  <w:style w:type="character" w:customStyle="1" w:styleId="IntenseQuoteChar">
    <w:name w:val="Intense Quote Char"/>
    <w:basedOn w:val="DefaultParagraphFont"/>
    <w:link w:val="IntenseQuote"/>
    <w:uiPriority w:val="30"/>
    <w:qFormat/>
    <w:rsid w:val="00372A1B"/>
    <w:rPr>
      <w:rFonts w:ascii="Aptos" w:eastAsia="Aptos" w:hAnsi="Aptos" w:cs="SimSun"/>
      <w:i/>
      <w:iCs/>
      <w:color w:val="2E74B5"/>
      <w:kern w:val="2"/>
      <w:sz w:val="22"/>
      <w:szCs w:val="22"/>
      <w:lang w:eastAsia="en-US"/>
    </w:rPr>
  </w:style>
  <w:style w:type="character" w:customStyle="1" w:styleId="IntenseReference1">
    <w:name w:val="Intense Reference1"/>
    <w:basedOn w:val="DefaultParagraphFont"/>
    <w:uiPriority w:val="32"/>
    <w:qFormat/>
    <w:rsid w:val="00372A1B"/>
    <w:rPr>
      <w:b/>
      <w:bCs/>
      <w:smallCaps/>
      <w:color w:val="2E74B5"/>
      <w:spacing w:val="5"/>
    </w:rPr>
  </w:style>
  <w:style w:type="paragraph" w:customStyle="1" w:styleId="TOCHeading1">
    <w:name w:val="TOC Heading1"/>
    <w:basedOn w:val="Heading1"/>
    <w:next w:val="Normal"/>
    <w:uiPriority w:val="39"/>
    <w:qFormat/>
    <w:rsid w:val="00372A1B"/>
    <w:pPr>
      <w:keepLines/>
      <w:spacing w:after="0" w:line="259" w:lineRule="auto"/>
      <w:outlineLvl w:val="9"/>
    </w:pPr>
    <w:rPr>
      <w:rFonts w:ascii="Aptos Display" w:eastAsia="DengXian Light" w:hAnsi="Aptos Display" w:cs="SimSun"/>
      <w:b w:val="0"/>
      <w:color w:val="2E74B5"/>
      <w:sz w:val="32"/>
      <w:szCs w:val="32"/>
      <w:lang w:eastAsia="en-US"/>
    </w:rPr>
  </w:style>
  <w:style w:type="character" w:customStyle="1" w:styleId="UnresolvedMention1">
    <w:name w:val="Unresolved Mention1"/>
    <w:basedOn w:val="DefaultParagraphFont"/>
    <w:uiPriority w:val="99"/>
    <w:rsid w:val="00372A1B"/>
    <w:rPr>
      <w:color w:val="605E5C"/>
      <w:shd w:val="clear" w:color="auto" w:fill="E1DFDD"/>
    </w:rPr>
  </w:style>
  <w:style w:type="table" w:customStyle="1" w:styleId="TableGrid1">
    <w:name w:val="Table Grid1"/>
    <w:basedOn w:val="TableNormal"/>
    <w:uiPriority w:val="39"/>
    <w:qFormat/>
    <w:rsid w:val="00372A1B"/>
    <w:rPr>
      <w:rFonts w:ascii="Calibri" w:eastAsia="Calibri" w:hAnsi="Calibri" w:cs="SimSun"/>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372A1B"/>
    <w:pPr>
      <w:autoSpaceDE w:val="0"/>
      <w:autoSpaceDN w:val="0"/>
      <w:adjustRightInd w:val="0"/>
    </w:pPr>
    <w:rPr>
      <w:rFonts w:ascii="Tahoma" w:eastAsia="Calibri" w:hAnsi="Tahoma" w:cs="Tahoma"/>
      <w:color w:val="000000"/>
      <w:sz w:val="24"/>
      <w:szCs w:val="24"/>
      <w:lang w:val="en-PH" w:eastAsia="en-US"/>
    </w:rPr>
  </w:style>
  <w:style w:type="table" w:customStyle="1" w:styleId="TableGrid0">
    <w:name w:val="TableGrid"/>
    <w:rsid w:val="00372A1B"/>
    <w:rPr>
      <w:rFonts w:ascii="Calibri" w:eastAsia="SimSun" w:hAnsi="Calibri" w:cs="SimSun"/>
      <w:lang w:val="en-PH"/>
    </w:rPr>
    <w:tblPr>
      <w:tblCellMar>
        <w:top w:w="0" w:type="dxa"/>
        <w:left w:w="0" w:type="dxa"/>
        <w:bottom w:w="0" w:type="dxa"/>
        <w:right w:w="0" w:type="dxa"/>
      </w:tblCellMar>
    </w:tblPr>
  </w:style>
  <w:style w:type="paragraph" w:customStyle="1" w:styleId="BodyText1">
    <w:name w:val="Body Text1"/>
    <w:basedOn w:val="Normal"/>
    <w:next w:val="BodyText"/>
    <w:link w:val="BodyTextChar"/>
    <w:uiPriority w:val="99"/>
    <w:qFormat/>
    <w:rsid w:val="00372A1B"/>
    <w:pPr>
      <w:spacing w:after="120" w:line="259" w:lineRule="auto"/>
    </w:pPr>
  </w:style>
  <w:style w:type="character" w:customStyle="1" w:styleId="BodyTextChar1">
    <w:name w:val="Body Text Char1"/>
    <w:basedOn w:val="DefaultParagraphFont"/>
    <w:link w:val="BodyText"/>
    <w:uiPriority w:val="99"/>
    <w:qFormat/>
    <w:rsid w:val="00372A1B"/>
    <w:rPr>
      <w:rFonts w:ascii="Aptos" w:eastAsia="Aptos" w:hAnsi="Aptos" w:cs="SimSun"/>
      <w:kern w:val="2"/>
      <w:sz w:val="22"/>
      <w:szCs w:val="22"/>
      <w:lang w:eastAsia="en-US"/>
    </w:rPr>
  </w:style>
  <w:style w:type="character" w:customStyle="1" w:styleId="UnresolvedMention2">
    <w:name w:val="Unresolved Mention2"/>
    <w:basedOn w:val="DefaultParagraphFont"/>
    <w:uiPriority w:val="99"/>
    <w:rsid w:val="00372A1B"/>
    <w:rPr>
      <w:color w:val="605E5C"/>
      <w:shd w:val="clear" w:color="auto" w:fill="E1DFDD"/>
    </w:rPr>
  </w:style>
  <w:style w:type="character" w:customStyle="1" w:styleId="UnresolvedMention3">
    <w:name w:val="Unresolved Mention3"/>
    <w:basedOn w:val="DefaultParagraphFont"/>
    <w:uiPriority w:val="99"/>
    <w:rsid w:val="00372A1B"/>
    <w:rPr>
      <w:color w:val="605E5C"/>
      <w:shd w:val="clear" w:color="auto" w:fill="E1DFDD"/>
    </w:rPr>
  </w:style>
  <w:style w:type="character" w:styleId="Strong">
    <w:name w:val="Strong"/>
    <w:basedOn w:val="DefaultParagraphFont"/>
    <w:uiPriority w:val="22"/>
    <w:qFormat/>
    <w:rsid w:val="00372A1B"/>
    <w:rPr>
      <w:b/>
      <w:bCs/>
    </w:rPr>
  </w:style>
  <w:style w:type="table" w:customStyle="1" w:styleId="TableGrid5">
    <w:name w:val="Table Grid5"/>
    <w:basedOn w:val="TableNormal"/>
    <w:next w:val="TableGrid"/>
    <w:uiPriority w:val="39"/>
    <w:rsid w:val="00372A1B"/>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72A1B"/>
    <w:pPr>
      <w:widowControl w:val="0"/>
      <w:autoSpaceDE w:val="0"/>
      <w:autoSpaceDN w:val="0"/>
    </w:pPr>
    <w:rPr>
      <w:rFonts w:ascii="Arial" w:eastAsia="Arial" w:hAnsi="Arial" w:cs="Arial"/>
      <w:sz w:val="22"/>
      <w:szCs w:val="22"/>
      <w:lang w:eastAsia="en-US"/>
    </w:rPr>
  </w:style>
  <w:style w:type="table" w:customStyle="1" w:styleId="TableGrid4">
    <w:name w:val="Table Grid4"/>
    <w:basedOn w:val="TableNormal"/>
    <w:next w:val="TableGrid"/>
    <w:uiPriority w:val="39"/>
    <w:rsid w:val="00372A1B"/>
    <w:rPr>
      <w:rFonts w:ascii="Aptos" w:eastAsia="Aptos" w:hAnsi="Aptos" w:cs="Times New Roman"/>
      <w:kern w:val="2"/>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72A1B"/>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703984">
      <w:bodyDiv w:val="1"/>
      <w:marLeft w:val="0"/>
      <w:marRight w:val="0"/>
      <w:marTop w:val="0"/>
      <w:marBottom w:val="0"/>
      <w:divBdr>
        <w:top w:val="none" w:sz="0" w:space="0" w:color="auto"/>
        <w:left w:val="none" w:sz="0" w:space="0" w:color="auto"/>
        <w:bottom w:val="none" w:sz="0" w:space="0" w:color="auto"/>
        <w:right w:val="none" w:sz="0" w:space="0" w:color="auto"/>
      </w:divBdr>
    </w:div>
    <w:div w:id="305356037">
      <w:bodyDiv w:val="1"/>
      <w:marLeft w:val="0"/>
      <w:marRight w:val="0"/>
      <w:marTop w:val="0"/>
      <w:marBottom w:val="0"/>
      <w:divBdr>
        <w:top w:val="none" w:sz="0" w:space="0" w:color="auto"/>
        <w:left w:val="none" w:sz="0" w:space="0" w:color="auto"/>
        <w:bottom w:val="none" w:sz="0" w:space="0" w:color="auto"/>
        <w:right w:val="none" w:sz="0" w:space="0" w:color="auto"/>
      </w:divBdr>
    </w:div>
    <w:div w:id="989750170">
      <w:bodyDiv w:val="1"/>
      <w:marLeft w:val="0"/>
      <w:marRight w:val="0"/>
      <w:marTop w:val="0"/>
      <w:marBottom w:val="0"/>
      <w:divBdr>
        <w:top w:val="none" w:sz="0" w:space="0" w:color="auto"/>
        <w:left w:val="none" w:sz="0" w:space="0" w:color="auto"/>
        <w:bottom w:val="none" w:sz="0" w:space="0" w:color="auto"/>
        <w:right w:val="none" w:sz="0" w:space="0" w:color="auto"/>
      </w:divBdr>
    </w:div>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365518158">
      <w:bodyDiv w:val="1"/>
      <w:marLeft w:val="0"/>
      <w:marRight w:val="0"/>
      <w:marTop w:val="0"/>
      <w:marBottom w:val="0"/>
      <w:divBdr>
        <w:top w:val="none" w:sz="0" w:space="0" w:color="auto"/>
        <w:left w:val="none" w:sz="0" w:space="0" w:color="auto"/>
        <w:bottom w:val="none" w:sz="0" w:space="0" w:color="auto"/>
        <w:right w:val="none" w:sz="0" w:space="0" w:color="auto"/>
      </w:divBdr>
    </w:div>
    <w:div w:id="1416781488">
      <w:bodyDiv w:val="1"/>
      <w:marLeft w:val="0"/>
      <w:marRight w:val="0"/>
      <w:marTop w:val="0"/>
      <w:marBottom w:val="0"/>
      <w:divBdr>
        <w:top w:val="none" w:sz="0" w:space="0" w:color="auto"/>
        <w:left w:val="none" w:sz="0" w:space="0" w:color="auto"/>
        <w:bottom w:val="none" w:sz="0" w:space="0" w:color="auto"/>
        <w:right w:val="none" w:sz="0" w:space="0" w:color="auto"/>
      </w:divBdr>
    </w:div>
    <w:div w:id="1795639578">
      <w:bodyDiv w:val="1"/>
      <w:marLeft w:val="0"/>
      <w:marRight w:val="0"/>
      <w:marTop w:val="0"/>
      <w:marBottom w:val="0"/>
      <w:divBdr>
        <w:top w:val="none" w:sz="0" w:space="0" w:color="auto"/>
        <w:left w:val="none" w:sz="0" w:space="0" w:color="auto"/>
        <w:bottom w:val="none" w:sz="0" w:space="0" w:color="auto"/>
        <w:right w:val="none" w:sz="0" w:space="0" w:color="auto"/>
      </w:divBdr>
    </w:div>
    <w:div w:id="1884095415">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591/ijere.v13i1.25395" TargetMode="External"/><Relationship Id="rId21" Type="http://schemas.openxmlformats.org/officeDocument/2006/relationships/hyperlink" Target="https://doi:10.1111/joms.12268&#160;" TargetMode="External"/><Relationship Id="rId42" Type="http://schemas.openxmlformats.org/officeDocument/2006/relationships/hyperlink" Target="https://doi:10.1017/cts.2018.323&#160;" TargetMode="External"/><Relationship Id="rId47" Type="http://schemas.openxmlformats.org/officeDocument/2006/relationships/hyperlink" Target="https://doi:10.1080/13504509.2018.1505674&#160;" TargetMode="External"/><Relationship Id="rId63" Type="http://schemas.openxmlformats.org/officeDocument/2006/relationships/hyperlink" Target="https://doi:10.1080/0142159x.2017.1270441&#160;" TargetMode="External"/><Relationship Id="rId68" Type="http://schemas.openxmlformats.org/officeDocument/2006/relationships/hyperlink" Target="https://doi:10.1177/109821400102200316&#160;" TargetMode="External"/><Relationship Id="rId16" Type="http://schemas.openxmlformats.org/officeDocument/2006/relationships/hyperlink" Target="https://doi:%2010.1371/journal.pone.0158753&#160;" TargetMode="External"/><Relationship Id="rId11" Type="http://schemas.openxmlformats.org/officeDocument/2006/relationships/hyperlink" Target="https://doi:10.1080/13562517.2017.1319808&#160;" TargetMode="External"/><Relationship Id="rId24" Type="http://schemas.openxmlformats.org/officeDocument/2006/relationships/hyperlink" Target="https://doi.org/10.37028/lingcure.v5nS2.1615" TargetMode="External"/><Relationship Id="rId32" Type="http://schemas.openxmlformats.org/officeDocument/2006/relationships/hyperlink" Target="https://doi:10.3390/su11195526&#160;" TargetMode="External"/><Relationship Id="rId37" Type="http://schemas.openxmlformats.org/officeDocument/2006/relationships/hyperlink" Target="https://doi:10.1002/smj.3204&#160;" TargetMode="External"/><Relationship Id="rId40" Type="http://schemas.openxmlformats.org/officeDocument/2006/relationships/hyperlink" Target="https://doi:10.3102/0034654315614911&#160;" TargetMode="External"/><Relationship Id="rId45" Type="http://schemas.openxmlformats.org/officeDocument/2006/relationships/hyperlink" Target="https://doi:10.1080/13504509.2018.1461707&#160;" TargetMode="External"/><Relationship Id="rId53" Type="http://schemas.openxmlformats.org/officeDocument/2006/relationships/hyperlink" Target="https://doi:%2010.1016/j.procs.2015.08.628&#160;" TargetMode="External"/><Relationship Id="rId58" Type="http://schemas.openxmlformats.org/officeDocument/2006/relationships/hyperlink" Target="https://doi.org/10.1080/08841241.2020.1712134" TargetMode="External"/><Relationship Id="rId66" Type="http://schemas.openxmlformats.org/officeDocument/2006/relationships/hyperlink" Target="https://doi:10.1080/03075079.2017.1349743&#160;" TargetMode="External"/><Relationship Id="rId74" Type="http://schemas.openxmlformats.org/officeDocument/2006/relationships/hyperlink" Target="https://doi:10.3390/educsci7010032&#160;" TargetMode="External"/><Relationship Id="rId5" Type="http://schemas.openxmlformats.org/officeDocument/2006/relationships/footnotes" Target="footnotes.xml"/><Relationship Id="rId61" Type="http://schemas.openxmlformats.org/officeDocument/2006/relationships/hyperlink" Target="https://doi.org/10.1007/s40037-018-0480-3" TargetMode="External"/><Relationship Id="rId19" Type="http://schemas.openxmlformats.org/officeDocument/2006/relationships/hyperlink" Target="https://doi:10.1002/smj.2736&#160;" TargetMode="External"/><Relationship Id="rId14" Type="http://schemas.openxmlformats.org/officeDocument/2006/relationships/hyperlink" Target="https://doi:10.5465/amj.2013.0227" TargetMode="External"/><Relationship Id="rId22" Type="http://schemas.openxmlformats.org/officeDocument/2006/relationships/hyperlink" Target="https://doi:10.1080/02602938.2015.1052775&#160;" TargetMode="External"/><Relationship Id="rId27" Type="http://schemas.openxmlformats.org/officeDocument/2006/relationships/hyperlink" Target="https://doi:10.1177/0013161x15616863" TargetMode="External"/><Relationship Id="rId30" Type="http://schemas.openxmlformats.org/officeDocument/2006/relationships/hyperlink" Target="https://doi:%2010.1016/j.jclepro.2015.08.077&#160;" TargetMode="External"/><Relationship Id="rId35" Type="http://schemas.openxmlformats.org/officeDocument/2006/relationships/hyperlink" Target="https://doi:10.3390/su10041032&#160;" TargetMode="External"/><Relationship Id="rId43" Type="http://schemas.openxmlformats.org/officeDocument/2006/relationships/hyperlink" Target="https://doi:10.1111/modl.12310&#160;" TargetMode="External"/><Relationship Id="rId48" Type="http://schemas.openxmlformats.org/officeDocument/2006/relationships/hyperlink" Target="https://doi:%2010.1016/j.jbusres.2019.10.020&#160;" TargetMode="External"/><Relationship Id="rId56" Type="http://schemas.openxmlformats.org/officeDocument/2006/relationships/hyperlink" Target="https://doi:10.1080/21568235.2015.1044552&#160;" TargetMode="External"/><Relationship Id="rId64" Type="http://schemas.openxmlformats.org/officeDocument/2006/relationships/hyperlink" Target="https://doi:10.3390/su9060914&#160;" TargetMode="External"/><Relationship Id="rId69" Type="http://schemas.openxmlformats.org/officeDocument/2006/relationships/hyperlink" Target="https://doi.org/10.1007/s12564-020-09638-z" TargetMode="Externa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doi:10.1111/1468-5973.12266" TargetMode="External"/><Relationship Id="rId72" Type="http://schemas.openxmlformats.org/officeDocument/2006/relationships/hyperlink" Target="https://doi:%2010.1016/j.jclepro.2014.09.049" TargetMode="External"/><Relationship Id="rId3" Type="http://schemas.openxmlformats.org/officeDocument/2006/relationships/settings" Target="settings.xml"/><Relationship Id="rId12" Type="http://schemas.openxmlformats.org/officeDocument/2006/relationships/hyperlink" Target="https://doi:10.1177/0091552115569847" TargetMode="External"/><Relationship Id="rId17" Type="http://schemas.openxmlformats.org/officeDocument/2006/relationships/hyperlink" Target="https://doi:10.1080/1360080x.2019.1646378&#160;" TargetMode="External"/><Relationship Id="rId25" Type="http://schemas.openxmlformats.org/officeDocument/2006/relationships/hyperlink" Target="https://doi.org/10.37028/lingcure.v5nS2.1615" TargetMode="External"/><Relationship Id="rId33" Type="http://schemas.openxmlformats.org/officeDocument/2006/relationships/hyperlink" Target="https://doi:%2010.1016/j.ijme.2021.100494" TargetMode="External"/><Relationship Id="rId38" Type="http://schemas.openxmlformats.org/officeDocument/2006/relationships/hyperlink" Target="https://doi:10.1177/1476127016680564" TargetMode="External"/><Relationship Id="rId46" Type="http://schemas.openxmlformats.org/officeDocument/2006/relationships/hyperlink" Target="https://doi:%2010.1016/j.jclepro.2016.05.079&#160;" TargetMode="External"/><Relationship Id="rId59" Type="http://schemas.openxmlformats.org/officeDocument/2006/relationships/hyperlink" Target="https://doi.org/10.1353/csd.2019.0063" TargetMode="External"/><Relationship Id="rId67" Type="http://schemas.openxmlformats.org/officeDocument/2006/relationships/hyperlink" Target="https://doi:%2010.1016/j.compedu.2017.03.003&#160;" TargetMode="External"/><Relationship Id="rId20" Type="http://schemas.openxmlformats.org/officeDocument/2006/relationships/hyperlink" Target="https://doi:%2010.1016/j.ijproman.2016.08.010&#160;" TargetMode="External"/><Relationship Id="rId41" Type="http://schemas.openxmlformats.org/officeDocument/2006/relationships/hyperlink" Target="https://doi:10.5897/ajpp2015.4407&#160;" TargetMode="External"/><Relationship Id="rId54" Type="http://schemas.openxmlformats.org/officeDocument/2006/relationships/hyperlink" Target="https://doi:10.1177/1350507620978860" TargetMode="External"/><Relationship Id="rId62" Type="http://schemas.openxmlformats.org/officeDocument/2006/relationships/hyperlink" Target="https://doi:10.1080/13603116.2016.1145267&#160;" TargetMode="External"/><Relationship Id="rId70" Type="http://schemas.openxmlformats.org/officeDocument/2006/relationships/hyperlink" Target="https://doi:10.1057/s42214-018-0008-x&#160;" TargetMode="External"/><Relationship Id="rId75" Type="http://schemas.openxmlformats.org/officeDocument/2006/relationships/hyperlink" Target="https://doi:%2010.1016/j.jclepro.2018.09.171&#16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10.1080/02615479.2017.1298741&#160;" TargetMode="External"/><Relationship Id="rId23" Type="http://schemas.openxmlformats.org/officeDocument/2006/relationships/hyperlink" Target="https://doi:%2010.1016/j.ijedudev.2017" TargetMode="External"/><Relationship Id="rId28" Type="http://schemas.openxmlformats.org/officeDocument/2006/relationships/hyperlink" Target="https://doi:%2010.1016/j.ijproman.2017.11.003&#160;" TargetMode="External"/><Relationship Id="rId36" Type="http://schemas.openxmlformats.org/officeDocument/2006/relationships/hyperlink" Target="https://doi.org/10.11594/ijmaber.02.01.03BAMR%20Journal+2BAMR%20Journal+2Ejournal%20UPI+2" TargetMode="External"/><Relationship Id="rId49" Type="http://schemas.openxmlformats.org/officeDocument/2006/relationships/hyperlink" Target="https://doi:10.1080/13562517.2015.1122585&#160;" TargetMode="External"/><Relationship Id="rId57" Type="http://schemas.openxmlformats.org/officeDocument/2006/relationships/hyperlink" Target="https://doi:%2010.1016/j.ijme.2021.100515&#160;" TargetMode="External"/><Relationship Id="rId10" Type="http://schemas.openxmlformats.org/officeDocument/2006/relationships/hyperlink" Target="https://doi:10.1002/hrdq.21221&#160;" TargetMode="External"/><Relationship Id="rId31" Type="http://schemas.openxmlformats.org/officeDocument/2006/relationships/hyperlink" Target="https://doi:10.3390/su10082599&#160;" TargetMode="External"/><Relationship Id="rId44" Type="http://schemas.openxmlformats.org/officeDocument/2006/relationships/hyperlink" Target="https://doi.org/10.31686/ijier.vol7.iss4" TargetMode="External"/><Relationship Id="rId52" Type="http://schemas.openxmlformats.org/officeDocument/2006/relationships/hyperlink" Target="https://doi:10.3390/educsci11020045&#160;" TargetMode="External"/><Relationship Id="rId60" Type="http://schemas.openxmlformats.org/officeDocument/2006/relationships/hyperlink" Target="https://doi:%2010.1016/j.jclepro.2019.02.257&#160;" TargetMode="External"/><Relationship Id="rId65" Type="http://schemas.openxmlformats.org/officeDocument/2006/relationships/hyperlink" Target="https://doi:%2010.1016/j.jbusres.2016.01.037&#160;" TargetMode="External"/><Relationship Id="rId73" Type="http://schemas.openxmlformats.org/officeDocument/2006/relationships/hyperlink" Target="https://doi:10.1111/jpim.12394"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2010.1016/j.tele.2019.01.007" TargetMode="External"/><Relationship Id="rId13" Type="http://schemas.openxmlformats.org/officeDocument/2006/relationships/hyperlink" Target="https://doi:10.1177/0170840615599334&#160;" TargetMode="External"/><Relationship Id="rId18" Type="http://schemas.openxmlformats.org/officeDocument/2006/relationships/hyperlink" Target="https://doi:10.1177/1365480220958797&#160;" TargetMode="External"/><Relationship Id="rId39" Type="http://schemas.openxmlformats.org/officeDocument/2006/relationships/hyperlink" Target="https://doi:%2010.1016/j.childyouth.2018.06.008&#160;" TargetMode="External"/><Relationship Id="rId34" Type="http://schemas.openxmlformats.org/officeDocument/2006/relationships/hyperlink" Target="https://doi:10.3390/su11010059&#160;" TargetMode="External"/><Relationship Id="rId50" Type="http://schemas.openxmlformats.org/officeDocument/2006/relationships/hyperlink" Target="https://doi:%2010.1016/j.scitotenv.2017.120" TargetMode="External"/><Relationship Id="rId55" Type="http://schemas.openxmlformats.org/officeDocument/2006/relationships/hyperlink" Target="https://doi:10.3102/0034654320938126" TargetMode="External"/><Relationship Id="rId76" Type="http://schemas.openxmlformats.org/officeDocument/2006/relationships/footer" Target="footer2.xml"/><Relationship Id="rId7" Type="http://schemas.openxmlformats.org/officeDocument/2006/relationships/header" Target="header1.xml"/><Relationship Id="rId71" Type="http://schemas.openxmlformats.org/officeDocument/2006/relationships/hyperlink" Target="https://doi:%2010.1016/j.jclepro.2018.10.078&#160;" TargetMode="External"/><Relationship Id="rId2" Type="http://schemas.openxmlformats.org/officeDocument/2006/relationships/styles" Target="styles.xml"/><Relationship Id="rId29" Type="http://schemas.openxmlformats.org/officeDocument/2006/relationships/hyperlink" Target="https://doi:10.1111/joms.12684&#1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23</Pages>
  <Words>11742</Words>
  <Characters>66933</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Rannie Bartolome</dc:creator>
  <cp:keywords/>
  <dc:description/>
  <cp:lastModifiedBy>SDI 1186</cp:lastModifiedBy>
  <cp:revision>5</cp:revision>
  <cp:lastPrinted>2025-04-08T00:39:00Z</cp:lastPrinted>
  <dcterms:created xsi:type="dcterms:W3CDTF">2025-07-28T06:35:00Z</dcterms:created>
  <dcterms:modified xsi:type="dcterms:W3CDTF">2025-07-29T10:39:00Z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4884bf86-0133-42c1-9676-c31738d18ef0</vt:lpwstr>
  </property>
</Properties>
</file>