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731" w:rsidRDefault="008B07EA">
      <w:pPr>
        <w:rPr>
          <w:rFonts w:ascii="Arial" w:hAnsi="Arial"/>
          <w:color w:val="000000"/>
          <w:sz w:val="36"/>
          <w:szCs w:val="36"/>
        </w:rPr>
      </w:pPr>
      <w:r>
        <w:rPr>
          <w:rFonts w:ascii="Arial" w:hAnsi="Arial"/>
          <w:color w:val="000000"/>
          <w:sz w:val="36"/>
          <w:szCs w:val="36"/>
          <w:highlight w:val="yellow"/>
        </w:rPr>
        <w:t xml:space="preserve">Correlation Analysis of Game Engagement and Perceived Experience Among Call of Duty Players in </w:t>
      </w:r>
      <w:proofErr w:type="spellStart"/>
      <w:r>
        <w:rPr>
          <w:rFonts w:ascii="Arial" w:hAnsi="Arial"/>
          <w:color w:val="000000"/>
          <w:sz w:val="36"/>
          <w:szCs w:val="36"/>
          <w:highlight w:val="yellow"/>
        </w:rPr>
        <w:t>Bansalan</w:t>
      </w:r>
      <w:proofErr w:type="spellEnd"/>
      <w:r>
        <w:rPr>
          <w:rFonts w:ascii="Arial" w:hAnsi="Arial"/>
          <w:color w:val="000000"/>
          <w:sz w:val="36"/>
          <w:szCs w:val="36"/>
          <w:highlight w:val="yellow"/>
        </w:rPr>
        <w:t>, Davao del Sur</w:t>
      </w:r>
    </w:p>
    <w:p w:rsidR="00A30731" w:rsidRDefault="00A30731">
      <w:pPr>
        <w:rPr>
          <w:rFonts w:ascii="Arial" w:hAnsi="Arial"/>
          <w:b/>
          <w:color w:val="000000"/>
          <w:sz w:val="16"/>
          <w:szCs w:val="16"/>
        </w:rPr>
      </w:pPr>
    </w:p>
    <w:p w:rsidR="00A30731" w:rsidRDefault="00A30731">
      <w:pPr>
        <w:rPr>
          <w:rFonts w:ascii="Arial" w:hAnsi="Arial"/>
          <w:b/>
          <w:color w:val="000000"/>
          <w:sz w:val="16"/>
          <w:szCs w:val="16"/>
        </w:rPr>
        <w:sectPr w:rsidR="00A3073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326"/>
        </w:sectPr>
      </w:pPr>
    </w:p>
    <w:p w:rsidR="00A30731" w:rsidRDefault="00A30731">
      <w:pPr>
        <w:keepNext/>
        <w:rPr>
          <w:rFonts w:ascii="Arial" w:hAnsi="Arial"/>
          <w:smallCaps/>
          <w:color w:val="000000"/>
          <w:sz w:val="22"/>
          <w:szCs w:val="22"/>
        </w:rPr>
      </w:pPr>
    </w:p>
    <w:p w:rsidR="00A30731" w:rsidRDefault="008B07EA">
      <w:pPr>
        <w:keepNext/>
        <w:rPr>
          <w:rFonts w:ascii="Arial" w:hAnsi="Arial"/>
          <w:smallCaps/>
          <w:color w:val="000000"/>
          <w:sz w:val="22"/>
          <w:szCs w:val="22"/>
        </w:rPr>
      </w:pPr>
      <w:r>
        <w:rPr>
          <w:rFonts w:ascii="Arial" w:hAnsi="Arial"/>
          <w:smallCaps/>
          <w:color w:val="000000"/>
          <w:sz w:val="22"/>
          <w:szCs w:val="22"/>
        </w:rPr>
        <w:t>ABSTRACT</w:t>
      </w:r>
    </w:p>
    <w:p w:rsidR="00A30731" w:rsidRDefault="00A30731">
      <w:pPr>
        <w:keepNext/>
        <w:rPr>
          <w:rFonts w:ascii="Arial" w:hAnsi="Arial"/>
          <w:smallCaps/>
          <w:color w:val="000000"/>
          <w:sz w:val="22"/>
          <w:szCs w:val="22"/>
        </w:rPr>
      </w:pPr>
    </w:p>
    <w:tbl>
      <w:tblPr>
        <w:tblStyle w:val="Style71"/>
        <w:tblW w:w="8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6"/>
      </w:tblGrid>
      <w:tr w:rsidR="00A30731" w:rsidTr="005B1B64">
        <w:trPr>
          <w:trHeight w:val="2283"/>
        </w:trPr>
        <w:tc>
          <w:tcPr>
            <w:tcW w:w="8496" w:type="dxa"/>
            <w:shd w:val="clear" w:color="auto" w:fill="F2F2F2"/>
          </w:tcPr>
          <w:p w:rsidR="00A30731" w:rsidRDefault="008B07EA">
            <w:pPr>
              <w:rPr>
                <w:rFonts w:ascii="Arial" w:hAnsi="Arial"/>
                <w:color w:val="000000"/>
                <w:sz w:val="20"/>
                <w:szCs w:val="20"/>
              </w:rPr>
            </w:pPr>
            <w:r>
              <w:rPr>
                <w:rFonts w:ascii="Arial" w:hAnsi="Arial"/>
                <w:color w:val="000000"/>
                <w:sz w:val="20"/>
                <w:szCs w:val="20"/>
              </w:rPr>
              <w:t xml:space="preserve"> Call of Duty is one of the most popular video games worldwide, with a large player base. This study explores the relationship between game engagement and perceived experience among young players aged 15 to 30 in </w:t>
            </w:r>
            <w:proofErr w:type="spellStart"/>
            <w:r>
              <w:rPr>
                <w:rFonts w:ascii="Arial" w:hAnsi="Arial"/>
                <w:color w:val="000000"/>
                <w:sz w:val="20"/>
                <w:szCs w:val="20"/>
              </w:rPr>
              <w:t>Bansalan</w:t>
            </w:r>
            <w:proofErr w:type="spellEnd"/>
            <w:r>
              <w:rPr>
                <w:rFonts w:ascii="Arial" w:hAnsi="Arial"/>
                <w:color w:val="000000"/>
                <w:sz w:val="20"/>
                <w:szCs w:val="20"/>
              </w:rPr>
              <w:t>, Davao del Sur. Engagement factors such as emotional involvement, focus, and competence were examined, while perceived experience was assessed based on autonomy, competence, and relatedness. A survey was conducted to measure players' enjoyment, engagement, and gaming experience using a correlational research design. The findings suggest a strong positive relationship between game engagement and perceived experience (r = 0.724, p &lt; 0.001), with higher engagement leading to greater enjoyment. Emotional engagement, concentration, and competence were identified as key factors influencing player satisfaction and retention. These results offer insights into how game developers can improve game features to enhance player experience.</w:t>
            </w:r>
          </w:p>
          <w:p w:rsidR="005B1B64" w:rsidRDefault="005B1B64">
            <w:pPr>
              <w:rPr>
                <w:rFonts w:ascii="Arial" w:hAnsi="Arial"/>
                <w:b/>
                <w:color w:val="000000"/>
                <w:sz w:val="20"/>
                <w:szCs w:val="20"/>
              </w:rPr>
            </w:pPr>
          </w:p>
          <w:p w:rsidR="005B1B64" w:rsidRDefault="005B1B64">
            <w:pPr>
              <w:rPr>
                <w:rFonts w:ascii="Arial" w:hAnsi="Arial"/>
                <w:b/>
                <w:color w:val="000000"/>
                <w:sz w:val="20"/>
                <w:szCs w:val="20"/>
              </w:rPr>
            </w:pPr>
          </w:p>
          <w:p w:rsidR="005B1B64" w:rsidRPr="005B1B64" w:rsidRDefault="005B1B64">
            <w:pPr>
              <w:rPr>
                <w:rFonts w:ascii="Arial" w:hAnsi="Arial"/>
                <w:color w:val="000000"/>
                <w:sz w:val="20"/>
                <w:szCs w:val="20"/>
              </w:rPr>
            </w:pPr>
            <w:r w:rsidRPr="005B1B64">
              <w:rPr>
                <w:rFonts w:ascii="Arial" w:hAnsi="Arial"/>
                <w:color w:val="000000"/>
                <w:sz w:val="20"/>
                <w:szCs w:val="20"/>
              </w:rPr>
              <w:t xml:space="preserve">Keywords: Game engagement, gaming experience, emotional involvement, focus, concentration </w:t>
            </w:r>
          </w:p>
        </w:tc>
      </w:tr>
    </w:tbl>
    <w:p w:rsidR="00A30731" w:rsidRDefault="00A30731">
      <w:pPr>
        <w:rPr>
          <w:rFonts w:ascii="Arial" w:hAnsi="Arial"/>
          <w:b/>
          <w:i/>
          <w:color w:val="000000"/>
          <w:sz w:val="20"/>
          <w:szCs w:val="20"/>
        </w:rPr>
      </w:pPr>
    </w:p>
    <w:p w:rsidR="00A30731" w:rsidRDefault="00A30731">
      <w:pPr>
        <w:rPr>
          <w:rFonts w:ascii="Arial" w:hAnsi="Arial"/>
          <w:b/>
          <w:i/>
          <w:color w:val="000000"/>
          <w:sz w:val="18"/>
          <w:szCs w:val="18"/>
        </w:rPr>
      </w:pPr>
    </w:p>
    <w:p w:rsidR="00A30731" w:rsidRDefault="00A30731">
      <w:pPr>
        <w:rPr>
          <w:rFonts w:ascii="Arial" w:hAnsi="Arial"/>
          <w:b/>
          <w:i/>
          <w:color w:val="000000"/>
          <w:sz w:val="20"/>
          <w:szCs w:val="20"/>
        </w:rPr>
      </w:pPr>
    </w:p>
    <w:p w:rsidR="00A30731" w:rsidRDefault="008B07EA">
      <w:pPr>
        <w:keepNext/>
        <w:spacing w:after="240"/>
        <w:rPr>
          <w:rFonts w:ascii="Arial" w:hAnsi="Arial"/>
          <w:smallCaps/>
          <w:color w:val="000000"/>
          <w:sz w:val="22"/>
          <w:szCs w:val="22"/>
        </w:rPr>
      </w:pPr>
      <w:r>
        <w:rPr>
          <w:rFonts w:ascii="Arial" w:hAnsi="Arial"/>
          <w:smallCaps/>
          <w:color w:val="000000"/>
          <w:sz w:val="22"/>
          <w:szCs w:val="22"/>
        </w:rPr>
        <w:t>1. INTRODUCTION</w:t>
      </w:r>
    </w:p>
    <w:p w:rsidR="00A30731" w:rsidRDefault="008B07EA">
      <w:pPr>
        <w:keepNext/>
        <w:numPr>
          <w:ilvl w:val="1"/>
          <w:numId w:val="2"/>
        </w:numPr>
        <w:rPr>
          <w:rFonts w:ascii="Arial" w:hAnsi="Arial"/>
          <w:smallCaps/>
          <w:color w:val="000000"/>
          <w:sz w:val="20"/>
          <w:szCs w:val="20"/>
        </w:rPr>
      </w:pPr>
      <w:r>
        <w:rPr>
          <w:rFonts w:ascii="Arial" w:hAnsi="Arial"/>
          <w:smallCaps/>
          <w:color w:val="000000"/>
          <w:sz w:val="20"/>
          <w:szCs w:val="20"/>
        </w:rPr>
        <w:t>Background of the Study</w:t>
      </w:r>
    </w:p>
    <w:p w:rsidR="00A30731" w:rsidRDefault="008B07EA">
      <w:pPr>
        <w:keepNext/>
        <w:rPr>
          <w:rFonts w:ascii="Arial" w:hAnsi="Arial"/>
          <w:smallCaps/>
          <w:color w:val="000000"/>
          <w:sz w:val="22"/>
          <w:szCs w:val="22"/>
        </w:rPr>
      </w:pPr>
      <w:r>
        <w:rPr>
          <w:rFonts w:ascii="Arial" w:hAnsi="Arial"/>
          <w:smallCaps/>
          <w:color w:val="000000"/>
          <w:sz w:val="22"/>
          <w:szCs w:val="22"/>
        </w:rPr>
        <w:t xml:space="preserve"> </w:t>
      </w:r>
    </w:p>
    <w:p w:rsidR="00A30731" w:rsidRDefault="008B07EA">
      <w:pPr>
        <w:spacing w:after="240"/>
        <w:ind w:left="360"/>
        <w:rPr>
          <w:rFonts w:ascii="Arial" w:hAnsi="Arial"/>
          <w:color w:val="000000"/>
          <w:sz w:val="20"/>
          <w:szCs w:val="20"/>
        </w:rPr>
      </w:pPr>
      <w:r>
        <w:rPr>
          <w:rFonts w:ascii="Arial" w:hAnsi="Arial"/>
          <w:color w:val="000000"/>
          <w:sz w:val="20"/>
          <w:szCs w:val="20"/>
        </w:rPr>
        <w:tab/>
      </w:r>
      <w:r>
        <w:rPr>
          <w:rFonts w:ascii="Arial" w:hAnsi="Arial"/>
          <w:color w:val="000000"/>
          <w:sz w:val="20"/>
          <w:szCs w:val="20"/>
          <w:highlight w:val="yellow"/>
        </w:rPr>
        <w:t xml:space="preserve">The video game industry has seen remarkable growth in recent years, becoming one of the most dynamic sectors of the entertainment economy. Among its many genres, first-person shooter (FPS) games—particularly Call of Duty—have consistently attracted a large global player base due to their immersive graphics, fast-paced gameplay, and competitive multiplayer features. Since its launch in 2003, Call of Duty has become a cultural phenomenon, making it a relevant subject for studying how players engage with digital games and how they interpret their gaming experiences. This study focuses on two key constructs: player engagement and perceived gaming experience. Engagement is commonly viewed as a multidimensional construct involving cognitive (mental effort and concentration), emotional (affective response and enjoyment), and behavioral (frequency and duration of play) dimensions. These elements influence how invested players feel while gaming and how motivated they are to continue playing (Video Game Engagement Study, 2023). On the other hand, perceived experience reflects how players assess their overall interaction with the game, including feelings of immersion, competence, and enjoyment. Research suggests that game design elements that promote “flow” and emotional connection enhance the quality of the gaming experience (Huang, 2023; Malaspina et al., 2023). Although extensive research exists on game engagement and experience in Western and urban populations, little is known about how young adults in rural areas, such as </w:t>
      </w:r>
      <w:proofErr w:type="spellStart"/>
      <w:r>
        <w:rPr>
          <w:rFonts w:ascii="Arial" w:hAnsi="Arial"/>
          <w:color w:val="000000"/>
          <w:sz w:val="20"/>
          <w:szCs w:val="20"/>
          <w:highlight w:val="yellow"/>
        </w:rPr>
        <w:t>Bansalan</w:t>
      </w:r>
      <w:proofErr w:type="spellEnd"/>
      <w:r>
        <w:rPr>
          <w:rFonts w:ascii="Arial" w:hAnsi="Arial"/>
          <w:color w:val="000000"/>
          <w:sz w:val="20"/>
          <w:szCs w:val="20"/>
          <w:highlight w:val="yellow"/>
        </w:rPr>
        <w:t xml:space="preserve">, Davao del Sur, engage with popular digital games. </w:t>
      </w:r>
      <w:proofErr w:type="spellStart"/>
      <w:r>
        <w:rPr>
          <w:rFonts w:ascii="Arial" w:hAnsi="Arial"/>
          <w:color w:val="000000"/>
          <w:sz w:val="20"/>
          <w:szCs w:val="20"/>
          <w:highlight w:val="yellow"/>
        </w:rPr>
        <w:t>Bansalan</w:t>
      </w:r>
      <w:proofErr w:type="spellEnd"/>
      <w:r>
        <w:rPr>
          <w:rFonts w:ascii="Arial" w:hAnsi="Arial"/>
          <w:color w:val="000000"/>
          <w:sz w:val="20"/>
          <w:szCs w:val="20"/>
          <w:highlight w:val="yellow"/>
        </w:rPr>
        <w:t xml:space="preserve"> is a rural municipality in Southern Mindanao where online gaming has become increasingly common among college students, often serving as a platform for both entertainment and social interaction. This study addresses that gap by exploring the </w:t>
      </w:r>
      <w:r>
        <w:rPr>
          <w:rFonts w:ascii="Arial" w:hAnsi="Arial"/>
          <w:color w:val="000000"/>
          <w:sz w:val="20"/>
          <w:szCs w:val="20"/>
          <w:highlight w:val="yellow"/>
        </w:rPr>
        <w:lastRenderedPageBreak/>
        <w:t>engagement levels and perceived experiences of Call of Duty players among college students in this locality. By doing so, the research hopes to shed light on the psychological factors that contribute to game satisfaction and continued play in a developing, rural setting. The findings from this study may be valuable to game developers, UX designers, and behavioral researchers seeking to understand how user engagement varies across contexts. Specifically, the study may help identify which elements of gameplay contribute most strongly to players’ satisfaction, emotional investment, and long-term interest in a game.</w:t>
      </w:r>
    </w:p>
    <w:p w:rsidR="00A30731" w:rsidRDefault="008B07EA">
      <w:pPr>
        <w:spacing w:after="240"/>
        <w:rPr>
          <w:rFonts w:ascii="Arial" w:hAnsi="Arial"/>
          <w:color w:val="000000"/>
          <w:sz w:val="20"/>
          <w:szCs w:val="20"/>
        </w:rPr>
      </w:pPr>
      <w:r>
        <w:rPr>
          <w:rFonts w:ascii="Arial" w:hAnsi="Arial"/>
          <w:color w:val="000000"/>
          <w:sz w:val="20"/>
          <w:szCs w:val="20"/>
        </w:rPr>
        <w:t>1.2 Theoretical framework</w:t>
      </w:r>
    </w:p>
    <w:p w:rsidR="00A30731" w:rsidRDefault="008B07EA">
      <w:pPr>
        <w:spacing w:after="240"/>
        <w:rPr>
          <w:rFonts w:ascii="Arial" w:hAnsi="Arial"/>
          <w:color w:val="000000"/>
          <w:sz w:val="20"/>
          <w:szCs w:val="20"/>
        </w:rPr>
      </w:pPr>
      <w:r>
        <w:rPr>
          <w:rFonts w:ascii="Arial" w:hAnsi="Arial"/>
          <w:color w:val="000000"/>
          <w:sz w:val="20"/>
          <w:szCs w:val="20"/>
        </w:rPr>
        <w:t xml:space="preserve">      This theoretical framework explores the relationship between </w:t>
      </w:r>
      <w:r>
        <w:rPr>
          <w:rFonts w:ascii="Arial" w:hAnsi="Arial"/>
          <w:color w:val="000000"/>
          <w:sz w:val="20"/>
          <w:szCs w:val="20"/>
          <w:highlight w:val="yellow"/>
        </w:rPr>
        <w:t>Self-Determination Theory (SDT) and Flow Theory in understanding game engagement. SDT explains that players engage more when they have control over their actions, when they achieve goals, and when they interact with others.</w:t>
      </w:r>
      <w:r>
        <w:rPr>
          <w:rFonts w:ascii="Arial" w:hAnsi="Arial"/>
          <w:color w:val="000000"/>
          <w:sz w:val="20"/>
          <w:szCs w:val="20"/>
        </w:rPr>
        <w:t xml:space="preserve"> These factors—autonomy, competence, and relatedness—motivate players and increase their involvement (Ryan &amp; Deci, 2000). Flow Theory, proposed by Csikszentmihalyi (1990), states that players experience deep concentration and enjoyment when the game challenges their skills appropriately. This balance leads to a state of total immersion, enhancing emotional and cognitive engagement. Together, SDT and Flow Theory explain how fulfilling players' needs for autonomy, competence, and relatedness, along with providing the right level of challenge, can improve their overall gaming experience, especially in games like Call of Duty: Warzone (</w:t>
      </w:r>
      <w:proofErr w:type="spellStart"/>
      <w:r>
        <w:rPr>
          <w:rFonts w:ascii="Arial" w:hAnsi="Arial"/>
          <w:color w:val="000000"/>
          <w:sz w:val="20"/>
          <w:szCs w:val="20"/>
        </w:rPr>
        <w:t>Vasalou</w:t>
      </w:r>
      <w:proofErr w:type="spellEnd"/>
      <w:r>
        <w:rPr>
          <w:rFonts w:ascii="Arial" w:hAnsi="Arial"/>
          <w:color w:val="000000"/>
          <w:sz w:val="20"/>
          <w:szCs w:val="20"/>
        </w:rPr>
        <w:t xml:space="preserve"> et al., 2020). This framework helps us understand the factors that drive player satisfaction and retention.</w:t>
      </w:r>
    </w:p>
    <w:p w:rsidR="00A30731" w:rsidRDefault="008B07EA">
      <w:pPr>
        <w:spacing w:after="240"/>
        <w:ind w:left="360"/>
        <w:rPr>
          <w:rFonts w:ascii="Arial" w:hAnsi="Arial"/>
          <w:color w:val="000000"/>
          <w:sz w:val="20"/>
          <w:szCs w:val="20"/>
        </w:rPr>
      </w:pPr>
      <w:r>
        <w:rPr>
          <w:rFonts w:ascii="Arial" w:hAnsi="Arial"/>
          <w:color w:val="000000"/>
          <w:sz w:val="20"/>
          <w:szCs w:val="20"/>
        </w:rPr>
        <w:t>1.3 Conceptual Framework</w:t>
      </w:r>
      <w:r>
        <w:rPr>
          <w:noProof/>
          <w:lang w:val="en-US" w:eastAsia="en-US"/>
        </w:rPr>
        <mc:AlternateContent>
          <mc:Choice Requires="wps">
            <w:drawing>
              <wp:anchor distT="45720" distB="45720" distL="114300" distR="114300" simplePos="0" relativeHeight="251659264" behindDoc="0" locked="0" layoutInCell="1" allowOverlap="1">
                <wp:simplePos x="0" y="0"/>
                <wp:positionH relativeFrom="column">
                  <wp:posOffset>1193800</wp:posOffset>
                </wp:positionH>
                <wp:positionV relativeFrom="paragraph">
                  <wp:posOffset>287020</wp:posOffset>
                </wp:positionV>
                <wp:extent cx="1574165" cy="1057910"/>
                <wp:effectExtent l="0" t="0" r="0" b="0"/>
                <wp:wrapTopAndBottom/>
                <wp:docPr id="2060358572" name="Rectangle 2060358572"/>
                <wp:cNvGraphicFramePr/>
                <a:graphic xmlns:a="http://schemas.openxmlformats.org/drawingml/2006/main">
                  <a:graphicData uri="http://schemas.microsoft.com/office/word/2010/wordprocessingShape">
                    <wps:wsp>
                      <wps:cNvSpPr/>
                      <wps:spPr>
                        <a:xfrm>
                          <a:off x="4571618" y="3263745"/>
                          <a:ext cx="1548765" cy="1032510"/>
                        </a:xfrm>
                        <a:prstGeom prst="rect">
                          <a:avLst/>
                        </a:prstGeom>
                        <a:solidFill>
                          <a:schemeClr val="lt1"/>
                        </a:solidFill>
                        <a:ln w="25400" cap="flat" cmpd="sng">
                          <a:solidFill>
                            <a:schemeClr val="dk1"/>
                          </a:solidFill>
                          <a:prstDash val="solid"/>
                          <a:round/>
                          <a:headEnd type="none" w="sm" len="sm"/>
                          <a:tailEnd type="none" w="sm" len="sm"/>
                        </a:ln>
                      </wps:spPr>
                      <wps:txbx>
                        <w:txbxContent>
                          <w:p w:rsidR="00A30731" w:rsidRDefault="008B07EA">
                            <w:pPr>
                              <w:jc w:val="left"/>
                            </w:pPr>
                            <w:r>
                              <w:rPr>
                                <w:rFonts w:ascii="Helvetica Neue" w:eastAsia="Helvetica Neue" w:hAnsi="Helvetica Neue" w:cs="Helvetica Neue"/>
                                <w:color w:val="000000"/>
                                <w:sz w:val="20"/>
                              </w:rPr>
                              <w:t>Game Engagement</w:t>
                            </w:r>
                          </w:p>
                          <w:p w:rsidR="00A30731" w:rsidRDefault="008B07EA">
                            <w:pPr>
                              <w:jc w:val="center"/>
                            </w:pPr>
                            <w:r>
                              <w:rPr>
                                <w:rFonts w:ascii="Helvetica Neue" w:eastAsia="Helvetica Neue" w:hAnsi="Helvetica Neue" w:cs="Helvetica Neue"/>
                                <w:color w:val="000000"/>
                                <w:sz w:val="20"/>
                              </w:rPr>
                              <w:t>Emotional Involvement</w:t>
                            </w:r>
                          </w:p>
                          <w:p w:rsidR="00A30731" w:rsidRDefault="008B07EA">
                            <w:pPr>
                              <w:jc w:val="center"/>
                            </w:pPr>
                            <w:r>
                              <w:rPr>
                                <w:rFonts w:ascii="Helvetica Neue" w:eastAsia="Helvetica Neue" w:hAnsi="Helvetica Neue" w:cs="Helvetica Neue"/>
                                <w:color w:val="000000"/>
                                <w:sz w:val="20"/>
                              </w:rPr>
                              <w:t>Concentration</w:t>
                            </w:r>
                          </w:p>
                          <w:p w:rsidR="00A30731" w:rsidRDefault="008B07EA">
                            <w:pPr>
                              <w:jc w:val="center"/>
                            </w:pPr>
                            <w:r>
                              <w:rPr>
                                <w:rFonts w:ascii="Helvetica Neue" w:eastAsia="Helvetica Neue" w:hAnsi="Helvetica Neue" w:cs="Helvetica Neue"/>
                                <w:color w:val="000000"/>
                                <w:sz w:val="20"/>
                              </w:rPr>
                              <w:t>Competence</w:t>
                            </w:r>
                          </w:p>
                          <w:p w:rsidR="00A30731" w:rsidRDefault="008B07EA">
                            <w:pPr>
                              <w:jc w:val="center"/>
                            </w:pPr>
                            <w:r>
                              <w:rPr>
                                <w:rFonts w:ascii="Helvetica Neue" w:eastAsia="Helvetica Neue" w:hAnsi="Helvetica Neue" w:cs="Helvetica Neue"/>
                                <w:color w:val="000000"/>
                                <w:sz w:val="20"/>
                              </w:rPr>
                              <w:t>Involvement</w:t>
                            </w:r>
                          </w:p>
                        </w:txbxContent>
                      </wps:txbx>
                      <wps:bodyPr spcFirstLastPara="1" wrap="square" lIns="91425" tIns="45700" rIns="91425" bIns="45700" anchor="ctr" anchorCtr="0">
                        <a:noAutofit/>
                      </wps:bodyPr>
                    </wps:wsp>
                  </a:graphicData>
                </a:graphic>
              </wp:anchor>
            </w:drawing>
          </mc:Choice>
          <mc:Fallback>
            <w:pict>
              <v:rect id="Rectangle 2060358572" o:spid="_x0000_s1026" style="position:absolute;left:0;text-align:left;margin-left:94pt;margin-top:22.6pt;width:123.95pt;height:83.3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bVPgIAAHgEAAAOAAAAZHJzL2Uyb0RvYy54bWysVNuO0zAQfUfiHyy/01zatCVqukJbipBW&#10;bMXCB0wdp7FwbGO7Tfr3jJ2y7QISEuLFnanHZ86ZS1Z3QyfJiVsntKpoNkkp4YrpWqhDRb9+2b5Z&#10;UuI8qBqkVryiZ+7o3fr1q1VvSp7rVsuaW4IgypW9qWjrvSmTxLGWd+Am2nCFl422HXh07SGpLfSI&#10;3skkT9N50mtbG6sZdw7/3YyXdB3xm4Yz/9g0jnsiK4rcfDxtPPfhTNYrKA8WTCvYhQb8A4sOhMKk&#10;z1Ab8ECOVvwG1QlmtdONnzDdJbppBONRA6rJ0l/UPLVgeNSCxXHmuUzu/8GyT6edJaKuaJ7O02mx&#10;LBY5JQo67NVnrB6og+Tk5g4L1htX4rsns7MXz6EZ1A+N7cIv6iJDRWfFIptnOAHnik7z+XQxK8aC&#10;88EThgFZMVsu5gUlDCOydJoXWWxJcoUy1vkPXHckGBW1yCkWGk4PzmN6DP0ZEjI7LUW9FVJGJ0wR&#10;v5eWnAD7L30W0uOLF1FSkR7lF7MUB4QBDmEjwaPZGSyLU4eY78WTOJ5X4PrbH4EDrw24dsweAUb5&#10;Vh9VjUygbDnU71VN/NlgwRWuCA1kXEeJ5LhQaMQ4D0L+PQ6VSYUCQ4PGlgTLD/sBQYK51/UZ2+0M&#10;2wok9wDO78DiwGeYFpcAE34/gkUS8qPCKXubzXLsjo8OdjNUyN7e7G9vQLFW424xbykZnXsfdy1I&#10;Vfrd0etGxKZdyVzo4njHzlxWMezPrR+jrh+M9Q8AAAD//wMAUEsDBBQABgAIAAAAIQDle3pe4AAA&#10;AAoBAAAPAAAAZHJzL2Rvd25yZXYueG1sTI/BTsMwEETvSPyDtUhcEHUSGhpCnAohuHCCFlXl5sZL&#10;EhGvI9tNw9+znOA4mtHMm2o920FM6EPvSEG6SEAgNc701Cp43z5fFyBC1GT04AgVfGOAdX1+VunS&#10;uBO94bSJreASCqVW0MU4llKGpkOrw8KNSOx9Om91ZOlbabw+cbkdZJYkt9Lqnnih0yM+dth8bY5W&#10;wSqfr162T5j5+WM1vu5SP+2dV+ryYn64BxFxjn9h+MVndKiZ6eCOZIIYWBcFf4kKlnkGggPLm/wO&#10;xEFBlqYFyLqS/y/UPwAAAP//AwBQSwECLQAUAAYACAAAACEAtoM4kv4AAADhAQAAEwAAAAAAAAAA&#10;AAAAAAAAAAAAW0NvbnRlbnRfVHlwZXNdLnhtbFBLAQItABQABgAIAAAAIQA4/SH/1gAAAJQBAAAL&#10;AAAAAAAAAAAAAAAAAC8BAABfcmVscy8ucmVsc1BLAQItABQABgAIAAAAIQD3t6bVPgIAAHgEAAAO&#10;AAAAAAAAAAAAAAAAAC4CAABkcnMvZTJvRG9jLnhtbFBLAQItABQABgAIAAAAIQDle3pe4AAAAAoB&#10;AAAPAAAAAAAAAAAAAAAAAJgEAABkcnMvZG93bnJldi54bWxQSwUGAAAAAAQABADzAAAApQUAAAAA&#10;" fillcolor="white [3201]" strokecolor="black [3200]" strokeweight="2pt">
                <v:stroke startarrowwidth="narrow" startarrowlength="short" endarrowwidth="narrow" endarrowlength="short" joinstyle="round"/>
                <v:textbox inset="2.53958mm,1.2694mm,2.53958mm,1.2694mm">
                  <w:txbxContent>
                    <w:p w:rsidR="00A30731" w:rsidRDefault="008B07EA">
                      <w:pPr>
                        <w:jc w:val="left"/>
                      </w:pPr>
                      <w:r>
                        <w:rPr>
                          <w:rFonts w:ascii="Helvetica Neue" w:eastAsia="Helvetica Neue" w:hAnsi="Helvetica Neue" w:cs="Helvetica Neue"/>
                          <w:color w:val="000000"/>
                          <w:sz w:val="20"/>
                        </w:rPr>
                        <w:t>Game Engagement</w:t>
                      </w:r>
                    </w:p>
                    <w:p w:rsidR="00A30731" w:rsidRDefault="008B07EA">
                      <w:pPr>
                        <w:jc w:val="center"/>
                      </w:pPr>
                      <w:r>
                        <w:rPr>
                          <w:rFonts w:ascii="Helvetica Neue" w:eastAsia="Helvetica Neue" w:hAnsi="Helvetica Neue" w:cs="Helvetica Neue"/>
                          <w:color w:val="000000"/>
                          <w:sz w:val="20"/>
                        </w:rPr>
                        <w:t>Emotional Involvement</w:t>
                      </w:r>
                    </w:p>
                    <w:p w:rsidR="00A30731" w:rsidRDefault="008B07EA">
                      <w:pPr>
                        <w:jc w:val="center"/>
                      </w:pPr>
                      <w:r>
                        <w:rPr>
                          <w:rFonts w:ascii="Helvetica Neue" w:eastAsia="Helvetica Neue" w:hAnsi="Helvetica Neue" w:cs="Helvetica Neue"/>
                          <w:color w:val="000000"/>
                          <w:sz w:val="20"/>
                        </w:rPr>
                        <w:t>Concentration</w:t>
                      </w:r>
                    </w:p>
                    <w:p w:rsidR="00A30731" w:rsidRDefault="008B07EA">
                      <w:pPr>
                        <w:jc w:val="center"/>
                      </w:pPr>
                      <w:r>
                        <w:rPr>
                          <w:rFonts w:ascii="Helvetica Neue" w:eastAsia="Helvetica Neue" w:hAnsi="Helvetica Neue" w:cs="Helvetica Neue"/>
                          <w:color w:val="000000"/>
                          <w:sz w:val="20"/>
                        </w:rPr>
                        <w:t>Competence</w:t>
                      </w:r>
                    </w:p>
                    <w:p w:rsidR="00A30731" w:rsidRDefault="008B07EA">
                      <w:pPr>
                        <w:jc w:val="center"/>
                      </w:pPr>
                      <w:r>
                        <w:rPr>
                          <w:rFonts w:ascii="Helvetica Neue" w:eastAsia="Helvetica Neue" w:hAnsi="Helvetica Neue" w:cs="Helvetica Neue"/>
                          <w:color w:val="000000"/>
                          <w:sz w:val="20"/>
                        </w:rPr>
                        <w:t>Involvement</w:t>
                      </w:r>
                    </w:p>
                  </w:txbxContent>
                </v:textbox>
                <w10:wrap type="topAndBottom"/>
              </v:rect>
            </w:pict>
          </mc:Fallback>
        </mc:AlternateContent>
      </w:r>
      <w:r>
        <w:rPr>
          <w:noProof/>
          <w:lang w:val="en-US" w:eastAsia="en-US"/>
        </w:rPr>
        <mc:AlternateContent>
          <mc:Choice Requires="wps">
            <w:drawing>
              <wp:anchor distT="45720" distB="45720" distL="114300" distR="114300" simplePos="0" relativeHeight="251660288" behindDoc="0" locked="0" layoutInCell="1" allowOverlap="1">
                <wp:simplePos x="0" y="0"/>
                <wp:positionH relativeFrom="column">
                  <wp:posOffset>2870200</wp:posOffset>
                </wp:positionH>
                <wp:positionV relativeFrom="paragraph">
                  <wp:posOffset>287020</wp:posOffset>
                </wp:positionV>
                <wp:extent cx="1574165" cy="1057910"/>
                <wp:effectExtent l="0" t="0" r="0" b="0"/>
                <wp:wrapTopAndBottom/>
                <wp:docPr id="2060358571" name="Rectangle 2060358571"/>
                <wp:cNvGraphicFramePr/>
                <a:graphic xmlns:a="http://schemas.openxmlformats.org/drawingml/2006/main">
                  <a:graphicData uri="http://schemas.microsoft.com/office/word/2010/wordprocessingShape">
                    <wps:wsp>
                      <wps:cNvSpPr/>
                      <wps:spPr>
                        <a:xfrm>
                          <a:off x="4571618" y="3263745"/>
                          <a:ext cx="1548765" cy="1032510"/>
                        </a:xfrm>
                        <a:prstGeom prst="rect">
                          <a:avLst/>
                        </a:prstGeom>
                        <a:solidFill>
                          <a:schemeClr val="lt1"/>
                        </a:solidFill>
                        <a:ln w="25400" cap="flat" cmpd="sng">
                          <a:solidFill>
                            <a:schemeClr val="dk1"/>
                          </a:solidFill>
                          <a:prstDash val="solid"/>
                          <a:round/>
                          <a:headEnd type="none" w="sm" len="sm"/>
                          <a:tailEnd type="none" w="sm" len="sm"/>
                        </a:ln>
                      </wps:spPr>
                      <wps:txbx>
                        <w:txbxContent>
                          <w:p w:rsidR="00A30731" w:rsidRDefault="008B07EA">
                            <w:pPr>
                              <w:jc w:val="center"/>
                            </w:pPr>
                            <w:r>
                              <w:rPr>
                                <w:rFonts w:ascii="Helvetica Neue" w:eastAsia="Helvetica Neue" w:hAnsi="Helvetica Neue" w:cs="Helvetica Neue"/>
                                <w:color w:val="000000"/>
                                <w:sz w:val="20"/>
                              </w:rPr>
                              <w:t>Perceived Experience</w:t>
                            </w:r>
                          </w:p>
                          <w:p w:rsidR="00A30731" w:rsidRDefault="008B07EA">
                            <w:pPr>
                              <w:jc w:val="center"/>
                            </w:pPr>
                            <w:r>
                              <w:rPr>
                                <w:rFonts w:ascii="Helvetica Neue" w:eastAsia="Helvetica Neue" w:hAnsi="Helvetica Neue" w:cs="Helvetica Neue"/>
                                <w:color w:val="000000"/>
                                <w:sz w:val="20"/>
                              </w:rPr>
                              <w:t>Autonomy</w:t>
                            </w:r>
                          </w:p>
                          <w:p w:rsidR="00A30731" w:rsidRDefault="008B07EA">
                            <w:pPr>
                              <w:jc w:val="center"/>
                            </w:pPr>
                            <w:r>
                              <w:rPr>
                                <w:rFonts w:ascii="Helvetica Neue" w:eastAsia="Helvetica Neue" w:hAnsi="Helvetica Neue" w:cs="Helvetica Neue"/>
                                <w:color w:val="000000"/>
                                <w:sz w:val="20"/>
                              </w:rPr>
                              <w:t>Competence</w:t>
                            </w:r>
                          </w:p>
                          <w:p w:rsidR="00A30731" w:rsidRDefault="008B07EA">
                            <w:pPr>
                              <w:jc w:val="center"/>
                            </w:pPr>
                            <w:r>
                              <w:rPr>
                                <w:rFonts w:ascii="Helvetica Neue" w:eastAsia="Helvetica Neue" w:hAnsi="Helvetica Neue" w:cs="Helvetica Neue"/>
                                <w:color w:val="000000"/>
                                <w:sz w:val="20"/>
                              </w:rPr>
                              <w:t>Relatedness</w:t>
                            </w:r>
                          </w:p>
                        </w:txbxContent>
                      </wps:txbx>
                      <wps:bodyPr spcFirstLastPara="1" wrap="square" lIns="91425" tIns="45700" rIns="91425" bIns="45700" anchor="ctr" anchorCtr="0">
                        <a:noAutofit/>
                      </wps:bodyPr>
                    </wps:wsp>
                  </a:graphicData>
                </a:graphic>
              </wp:anchor>
            </w:drawing>
          </mc:Choice>
          <mc:Fallback>
            <w:pict>
              <v:rect id="Rectangle 2060358571" o:spid="_x0000_s1027" style="position:absolute;left:0;text-align:left;margin-left:226pt;margin-top:22.6pt;width:123.95pt;height:83.3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DeQAIAAH8EAAAOAAAAZHJzL2Uyb0RvYy54bWysVNuO0zAQfUfiHyy/01zatCVqukJbipBW&#10;bMXCB0wdp7FwbGO7Tfr3jJ2y7QISEuLF9WTGM+fMmenqbugkOXHrhFYVzSYpJVwxXQt1qOjXL9s3&#10;S0qcB1WD1IpX9MwdvVu/frXqTclz3WpZc0swiXJlbyraem/KJHGs5R24iTZcobPRtgOPpj0ktYUe&#10;s3cyydN0nvTa1sZqxp3Dr5vRSdcxf9Nw5h+bxnFPZEURm4+njec+nMl6BeXBgmkFu8CAf0DRgVBY&#10;9DnVBjyQoxW/peoEs9rpxk+Y7hLdNILxyAHZZOkvbJ5aMDxyweY489wm9//Ssk+nnSWirmieztNp&#10;sSwWGSUKOtTqM3YP1EFycuPDhvXGlfjuyezsxXJ4DeyHxnbhF3mRoaIzTDbPcALOFZ3m8+liVowN&#10;54MnDAOyYrZczAtKGEZk6TQvsihJck1lrPMfuO5IuFTUIqbYaDg9OI/lMfRnSKjstBT1VkgZjTBF&#10;/F5acgLUX/oslMcXL6KkIj3SL2YpDggDHMJGgsdrZ7AtTh1ivRdP4nheE9ff/pg44NqAa8fqMcFI&#10;3+qjqhEJlC2H+r2qiT8bbLjCFaEBjOsokRwXCi8xzoOQf49DZlIhwSDQKEm4+WE/RIUjyPBlr+sz&#10;qu4M2wrE+ADO78Di3KP0Pe4C1v1+BItY5EeFw/Y2m+Uoko8GihoaZW89+1sPKNZqXDHmLSWjce/j&#10;ygXGSr87et2IqN0VzAU1TnkU6LKRYY1u7Rh1/d9Y/wAAAP//AwBQSwMEFAAGAAgAAAAhAK8aPWzg&#10;AAAACgEAAA8AAABkcnMvZG93bnJldi54bWxMj0tPwzAQhO9I/Q/WInFB1ElEHwlxKoTgwqkPVJWb&#10;Gy9J1Hgd2W5q/n0NF7jNakaz35SroHs2onWdIQHpNAGGVBvVUSPgY/f2sATmvCQle0Mo4BsdrKrJ&#10;TSkLZS60wXHrGxZLyBVSQOv9UHDu6ha1dFMzIEXvy1gtfTxtw5WVl1iue54lyZxr2VH80MoBX1qs&#10;T9uzFrCYhfv33StmNnwuhvU+tePBWCHubsPzEzCPwf+F4Qc/okMVmY7mTMqxXsDjLItb/K8AFgPz&#10;PM+BHQVkaboEXpX8/4TqCgAA//8DAFBLAQItABQABgAIAAAAIQC2gziS/gAAAOEBAAATAAAAAAAA&#10;AAAAAAAAAAAAAABbQ29udGVudF9UeXBlc10ueG1sUEsBAi0AFAAGAAgAAAAhADj9If/WAAAAlAEA&#10;AAsAAAAAAAAAAAAAAAAALwEAAF9yZWxzLy5yZWxzUEsBAi0AFAAGAAgAAAAhANOYMN5AAgAAfwQA&#10;AA4AAAAAAAAAAAAAAAAALgIAAGRycy9lMm9Eb2MueG1sUEsBAi0AFAAGAAgAAAAhAK8aPWzgAAAA&#10;CgEAAA8AAAAAAAAAAAAAAAAAmgQAAGRycy9kb3ducmV2LnhtbFBLBQYAAAAABAAEAPMAAACnBQAA&#10;AAA=&#10;" fillcolor="white [3201]" strokecolor="black [3200]" strokeweight="2pt">
                <v:stroke startarrowwidth="narrow" startarrowlength="short" endarrowwidth="narrow" endarrowlength="short" joinstyle="round"/>
                <v:textbox inset="2.53958mm,1.2694mm,2.53958mm,1.2694mm">
                  <w:txbxContent>
                    <w:p w:rsidR="00A30731" w:rsidRDefault="008B07EA">
                      <w:pPr>
                        <w:jc w:val="center"/>
                      </w:pPr>
                      <w:r>
                        <w:rPr>
                          <w:rFonts w:ascii="Helvetica Neue" w:eastAsia="Helvetica Neue" w:hAnsi="Helvetica Neue" w:cs="Helvetica Neue"/>
                          <w:color w:val="000000"/>
                          <w:sz w:val="20"/>
                        </w:rPr>
                        <w:t>Perceived Experience</w:t>
                      </w:r>
                    </w:p>
                    <w:p w:rsidR="00A30731" w:rsidRDefault="008B07EA">
                      <w:pPr>
                        <w:jc w:val="center"/>
                      </w:pPr>
                      <w:r>
                        <w:rPr>
                          <w:rFonts w:ascii="Helvetica Neue" w:eastAsia="Helvetica Neue" w:hAnsi="Helvetica Neue" w:cs="Helvetica Neue"/>
                          <w:color w:val="000000"/>
                          <w:sz w:val="20"/>
                        </w:rPr>
                        <w:t>Autonomy</w:t>
                      </w:r>
                    </w:p>
                    <w:p w:rsidR="00A30731" w:rsidRDefault="008B07EA">
                      <w:pPr>
                        <w:jc w:val="center"/>
                      </w:pPr>
                      <w:r>
                        <w:rPr>
                          <w:rFonts w:ascii="Helvetica Neue" w:eastAsia="Helvetica Neue" w:hAnsi="Helvetica Neue" w:cs="Helvetica Neue"/>
                          <w:color w:val="000000"/>
                          <w:sz w:val="20"/>
                        </w:rPr>
                        <w:t>Compe</w:t>
                      </w:r>
                      <w:r>
                        <w:rPr>
                          <w:rFonts w:ascii="Helvetica Neue" w:eastAsia="Helvetica Neue" w:hAnsi="Helvetica Neue" w:cs="Helvetica Neue"/>
                          <w:color w:val="000000"/>
                          <w:sz w:val="20"/>
                        </w:rPr>
                        <w:t>tence</w:t>
                      </w:r>
                    </w:p>
                    <w:p w:rsidR="00A30731" w:rsidRDefault="008B07EA">
                      <w:pPr>
                        <w:jc w:val="center"/>
                      </w:pPr>
                      <w:r>
                        <w:rPr>
                          <w:rFonts w:ascii="Helvetica Neue" w:eastAsia="Helvetica Neue" w:hAnsi="Helvetica Neue" w:cs="Helvetica Neue"/>
                          <w:color w:val="000000"/>
                          <w:sz w:val="20"/>
                        </w:rPr>
                        <w:t>Relatedness</w:t>
                      </w:r>
                    </w:p>
                  </w:txbxContent>
                </v:textbox>
                <w10:wrap type="topAndBottom"/>
              </v:rect>
            </w:pict>
          </mc:Fallback>
        </mc:AlternateContent>
      </w:r>
    </w:p>
    <w:p w:rsidR="00A30731" w:rsidRDefault="008B07EA">
      <w:pPr>
        <w:spacing w:after="240"/>
        <w:ind w:left="360"/>
        <w:jc w:val="center"/>
        <w:rPr>
          <w:rFonts w:ascii="Helvetica Neue" w:eastAsia="Helvetica Neue" w:hAnsi="Helvetica Neue" w:cs="Helvetica Neue"/>
          <w:b/>
          <w:color w:val="000000"/>
          <w:sz w:val="20"/>
          <w:szCs w:val="20"/>
        </w:rPr>
      </w:pPr>
      <w:r>
        <w:rPr>
          <w:rFonts w:ascii="Helvetica Neue" w:eastAsia="Helvetica Neue" w:hAnsi="Helvetica Neue" w:cs="Helvetica Neue"/>
          <w:color w:val="000000"/>
          <w:sz w:val="20"/>
          <w:szCs w:val="20"/>
        </w:rPr>
        <w:t>Figure 1. Conceptual Framework of the Study</w:t>
      </w:r>
    </w:p>
    <w:p w:rsidR="00A30731" w:rsidRDefault="008B07EA">
      <w:pPr>
        <w:keepNext/>
        <w:spacing w:after="240"/>
        <w:rPr>
          <w:rFonts w:ascii="Arial" w:hAnsi="Arial"/>
          <w:b/>
          <w:color w:val="000000"/>
          <w:sz w:val="20"/>
          <w:szCs w:val="20"/>
        </w:rPr>
      </w:pPr>
      <w:r>
        <w:rPr>
          <w:rFonts w:ascii="Arial" w:hAnsi="Arial"/>
          <w:color w:val="000000"/>
          <w:sz w:val="22"/>
          <w:szCs w:val="22"/>
        </w:rPr>
        <w:t xml:space="preserve">      </w:t>
      </w:r>
      <w:r>
        <w:rPr>
          <w:rFonts w:ascii="Arial" w:hAnsi="Arial"/>
          <w:color w:val="000000"/>
          <w:sz w:val="20"/>
          <w:szCs w:val="20"/>
        </w:rPr>
        <w:t>This framework analyzes the community's perception of engagement and experience among Call of Duty players. The engagement within the video game includes emotional involvement (excitement, anger, or satisfaction), concentration (the level of focus and depth in the game), and competence (the ability to achieve set goals).</w:t>
      </w:r>
    </w:p>
    <w:p w:rsidR="00A30731" w:rsidRDefault="008B07EA">
      <w:pPr>
        <w:keepNext/>
        <w:rPr>
          <w:rFonts w:ascii="Arial" w:hAnsi="Arial"/>
          <w:b/>
          <w:color w:val="000000"/>
          <w:sz w:val="20"/>
          <w:szCs w:val="20"/>
        </w:rPr>
      </w:pPr>
      <w:r>
        <w:rPr>
          <w:rFonts w:ascii="Arial" w:hAnsi="Arial"/>
          <w:color w:val="000000"/>
          <w:sz w:val="20"/>
          <w:szCs w:val="20"/>
        </w:rPr>
        <w:t xml:space="preserve">      On the other hand, the experience includes autonomy (the ability to choose), competence (the ability to achieve goals), and interpersonal relationships (other gamers). The axes are also integrated in such a way that emotional involvement enhances motivation, concentration shifts focus to autonomy, and competence gives room for social relations, thereby elevating </w:t>
      </w:r>
      <w:r>
        <w:rPr>
          <w:rFonts w:ascii="Arial" w:hAnsi="Arial"/>
          <w:color w:val="000000"/>
          <w:sz w:val="20"/>
          <w:szCs w:val="20"/>
        </w:rPr>
        <w:lastRenderedPageBreak/>
        <w:t>the guarantee of satisfaction of the players. This framework has potential benefits in terms of the contribution to scientific inquiry and the design of the games.</w:t>
      </w:r>
    </w:p>
    <w:p w:rsidR="00A30731" w:rsidRDefault="00A30731">
      <w:pPr>
        <w:keepNext/>
        <w:rPr>
          <w:rFonts w:ascii="Arial" w:hAnsi="Arial"/>
          <w:b/>
          <w:color w:val="000000"/>
          <w:sz w:val="22"/>
          <w:szCs w:val="22"/>
        </w:rPr>
      </w:pPr>
    </w:p>
    <w:p w:rsidR="00A30731" w:rsidRDefault="008B07EA">
      <w:pPr>
        <w:keepNext/>
        <w:rPr>
          <w:rFonts w:ascii="Arial" w:hAnsi="Arial"/>
          <w:color w:val="000000"/>
          <w:sz w:val="22"/>
          <w:szCs w:val="22"/>
        </w:rPr>
      </w:pPr>
      <w:r>
        <w:rPr>
          <w:rFonts w:ascii="Arial" w:hAnsi="Arial"/>
          <w:color w:val="000000"/>
          <w:sz w:val="22"/>
          <w:szCs w:val="22"/>
        </w:rPr>
        <w:t>1.4 Research Question</w:t>
      </w:r>
    </w:p>
    <w:p w:rsidR="00A30731" w:rsidRDefault="00A30731">
      <w:pPr>
        <w:keepNext/>
        <w:ind w:left="360"/>
        <w:rPr>
          <w:rFonts w:ascii="Arial" w:hAnsi="Arial"/>
          <w:color w:val="000000"/>
          <w:sz w:val="22"/>
          <w:szCs w:val="22"/>
        </w:rPr>
      </w:pPr>
    </w:p>
    <w:p w:rsidR="00A30731" w:rsidRDefault="008B07EA">
      <w:pPr>
        <w:keepNext/>
        <w:spacing w:after="240"/>
        <w:rPr>
          <w:rFonts w:ascii="Arial" w:hAnsi="Arial"/>
          <w:b/>
          <w:color w:val="000000"/>
          <w:sz w:val="20"/>
          <w:szCs w:val="20"/>
        </w:rPr>
      </w:pPr>
      <w:r>
        <w:rPr>
          <w:rFonts w:ascii="Arial" w:hAnsi="Arial"/>
          <w:color w:val="000000"/>
          <w:sz w:val="20"/>
          <w:szCs w:val="20"/>
        </w:rPr>
        <w:t xml:space="preserve">   This study aims to ascertain the degree of the relationship between perceived experience and game engagement among Call of Duty players in </w:t>
      </w:r>
      <w:proofErr w:type="spellStart"/>
      <w:r>
        <w:rPr>
          <w:rFonts w:ascii="Arial" w:hAnsi="Arial"/>
          <w:color w:val="000000"/>
          <w:sz w:val="20"/>
          <w:szCs w:val="20"/>
        </w:rPr>
        <w:t>Bansalan</w:t>
      </w:r>
      <w:proofErr w:type="spellEnd"/>
      <w:r>
        <w:rPr>
          <w:rFonts w:ascii="Arial" w:hAnsi="Arial"/>
          <w:color w:val="000000"/>
          <w:sz w:val="20"/>
          <w:szCs w:val="20"/>
        </w:rPr>
        <w:t>, Davao del Sur. More specifically, this study aims to respond to the following questions:</w:t>
      </w:r>
    </w:p>
    <w:p w:rsidR="00A30731" w:rsidRDefault="008B07EA">
      <w:pPr>
        <w:keepNext/>
        <w:numPr>
          <w:ilvl w:val="0"/>
          <w:numId w:val="3"/>
        </w:numPr>
        <w:rPr>
          <w:rFonts w:ascii="Arial" w:hAnsi="Arial"/>
          <w:b/>
          <w:color w:val="000000"/>
          <w:sz w:val="20"/>
          <w:szCs w:val="20"/>
        </w:rPr>
      </w:pPr>
      <w:r>
        <w:rPr>
          <w:rFonts w:ascii="Arial" w:hAnsi="Arial"/>
          <w:color w:val="000000"/>
          <w:sz w:val="20"/>
          <w:szCs w:val="20"/>
        </w:rPr>
        <w:t xml:space="preserve">What is the level of Game Engagement among young people in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in terms of:</w:t>
      </w:r>
    </w:p>
    <w:p w:rsidR="00A30731" w:rsidRDefault="008B07EA">
      <w:pPr>
        <w:keepNext/>
        <w:numPr>
          <w:ilvl w:val="1"/>
          <w:numId w:val="3"/>
        </w:numPr>
        <w:rPr>
          <w:rFonts w:ascii="Arial" w:hAnsi="Arial"/>
          <w:b/>
          <w:color w:val="000000"/>
          <w:sz w:val="20"/>
          <w:szCs w:val="20"/>
        </w:rPr>
      </w:pPr>
      <w:r>
        <w:rPr>
          <w:rFonts w:ascii="Arial" w:hAnsi="Arial"/>
          <w:color w:val="000000"/>
          <w:sz w:val="20"/>
          <w:szCs w:val="20"/>
        </w:rPr>
        <w:t>Emotional Involvement</w:t>
      </w:r>
    </w:p>
    <w:p w:rsidR="00A30731" w:rsidRDefault="008B07EA">
      <w:pPr>
        <w:keepNext/>
        <w:numPr>
          <w:ilvl w:val="1"/>
          <w:numId w:val="3"/>
        </w:numPr>
        <w:rPr>
          <w:rFonts w:ascii="Arial" w:hAnsi="Arial"/>
          <w:b/>
          <w:color w:val="000000"/>
          <w:sz w:val="20"/>
          <w:szCs w:val="20"/>
        </w:rPr>
      </w:pPr>
      <w:r>
        <w:rPr>
          <w:rFonts w:ascii="Arial" w:hAnsi="Arial"/>
          <w:color w:val="000000"/>
          <w:sz w:val="20"/>
          <w:szCs w:val="20"/>
        </w:rPr>
        <w:t>Concentration</w:t>
      </w:r>
    </w:p>
    <w:p w:rsidR="00A30731" w:rsidRDefault="008B07EA">
      <w:pPr>
        <w:keepNext/>
        <w:numPr>
          <w:ilvl w:val="1"/>
          <w:numId w:val="3"/>
        </w:numPr>
        <w:rPr>
          <w:rFonts w:ascii="Arial" w:hAnsi="Arial"/>
          <w:b/>
          <w:color w:val="000000"/>
          <w:sz w:val="20"/>
          <w:szCs w:val="20"/>
        </w:rPr>
      </w:pPr>
      <w:r>
        <w:rPr>
          <w:rFonts w:ascii="Arial" w:hAnsi="Arial"/>
          <w:color w:val="000000"/>
          <w:sz w:val="20"/>
          <w:szCs w:val="20"/>
        </w:rPr>
        <w:t>Competence</w:t>
      </w:r>
    </w:p>
    <w:p w:rsidR="00A30731" w:rsidRDefault="008B07EA">
      <w:pPr>
        <w:keepNext/>
        <w:numPr>
          <w:ilvl w:val="0"/>
          <w:numId w:val="3"/>
        </w:numPr>
        <w:rPr>
          <w:rFonts w:ascii="Arial" w:hAnsi="Arial"/>
          <w:b/>
          <w:color w:val="000000"/>
          <w:sz w:val="20"/>
          <w:szCs w:val="20"/>
        </w:rPr>
      </w:pPr>
      <w:r>
        <w:rPr>
          <w:rFonts w:ascii="Arial" w:hAnsi="Arial"/>
          <w:color w:val="000000"/>
          <w:sz w:val="20"/>
          <w:szCs w:val="20"/>
        </w:rPr>
        <w:t xml:space="preserve">What is the level of Perceived Experience among young people in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in terms of:</w:t>
      </w:r>
    </w:p>
    <w:p w:rsidR="00A30731" w:rsidRDefault="008B07EA">
      <w:pPr>
        <w:keepNext/>
        <w:numPr>
          <w:ilvl w:val="1"/>
          <w:numId w:val="3"/>
        </w:numPr>
        <w:rPr>
          <w:rFonts w:ascii="Arial" w:hAnsi="Arial"/>
          <w:b/>
          <w:color w:val="000000"/>
          <w:sz w:val="20"/>
          <w:szCs w:val="20"/>
        </w:rPr>
      </w:pPr>
      <w:r>
        <w:rPr>
          <w:rFonts w:ascii="Arial" w:hAnsi="Arial"/>
          <w:color w:val="000000"/>
          <w:sz w:val="20"/>
          <w:szCs w:val="20"/>
        </w:rPr>
        <w:t>Autonomy</w:t>
      </w:r>
    </w:p>
    <w:p w:rsidR="00A30731" w:rsidRDefault="008B07EA">
      <w:pPr>
        <w:keepNext/>
        <w:numPr>
          <w:ilvl w:val="1"/>
          <w:numId w:val="3"/>
        </w:numPr>
        <w:rPr>
          <w:rFonts w:ascii="Arial" w:hAnsi="Arial"/>
          <w:b/>
          <w:color w:val="000000"/>
          <w:sz w:val="20"/>
          <w:szCs w:val="20"/>
        </w:rPr>
      </w:pPr>
      <w:r>
        <w:rPr>
          <w:rFonts w:ascii="Arial" w:hAnsi="Arial"/>
          <w:color w:val="000000"/>
          <w:sz w:val="20"/>
          <w:szCs w:val="20"/>
        </w:rPr>
        <w:t>Competence</w:t>
      </w:r>
    </w:p>
    <w:p w:rsidR="00A30731" w:rsidRDefault="008B07EA">
      <w:pPr>
        <w:keepNext/>
        <w:numPr>
          <w:ilvl w:val="1"/>
          <w:numId w:val="3"/>
        </w:numPr>
        <w:rPr>
          <w:rFonts w:ascii="Arial" w:hAnsi="Arial"/>
          <w:b/>
          <w:color w:val="000000"/>
          <w:sz w:val="20"/>
          <w:szCs w:val="20"/>
        </w:rPr>
      </w:pPr>
      <w:r>
        <w:rPr>
          <w:rFonts w:ascii="Arial" w:hAnsi="Arial"/>
          <w:color w:val="000000"/>
          <w:sz w:val="20"/>
          <w:szCs w:val="20"/>
        </w:rPr>
        <w:t>Relatedness</w:t>
      </w:r>
    </w:p>
    <w:p w:rsidR="00A30731" w:rsidRDefault="00A30731">
      <w:pPr>
        <w:keepNext/>
        <w:ind w:left="360"/>
        <w:rPr>
          <w:rFonts w:ascii="Arial" w:hAnsi="Arial"/>
          <w:color w:val="000000"/>
          <w:sz w:val="22"/>
          <w:szCs w:val="22"/>
        </w:rPr>
      </w:pPr>
    </w:p>
    <w:p w:rsidR="00A30731" w:rsidRDefault="008B07EA">
      <w:pPr>
        <w:keepNext/>
        <w:ind w:left="360"/>
        <w:rPr>
          <w:rFonts w:ascii="Arial" w:hAnsi="Arial"/>
          <w:color w:val="000000"/>
          <w:sz w:val="22"/>
          <w:szCs w:val="22"/>
        </w:rPr>
      </w:pPr>
      <w:r>
        <w:rPr>
          <w:rFonts w:ascii="Arial" w:hAnsi="Arial"/>
          <w:color w:val="000000"/>
          <w:sz w:val="22"/>
          <w:szCs w:val="22"/>
        </w:rPr>
        <w:t>1.5 Null Hypothesis</w:t>
      </w:r>
    </w:p>
    <w:p w:rsidR="00A30731" w:rsidRDefault="00A30731">
      <w:pPr>
        <w:rPr>
          <w:rFonts w:ascii="Times New Roman" w:eastAsia="Times New Roman" w:hAnsi="Times New Roman" w:cs="Times New Roman"/>
          <w:color w:val="000000"/>
          <w:sz w:val="22"/>
          <w:szCs w:val="22"/>
        </w:rPr>
      </w:pPr>
    </w:p>
    <w:p w:rsidR="00A30731" w:rsidRDefault="008B07EA">
      <w:pPr>
        <w:spacing w:line="276" w:lineRule="auto"/>
        <w:rPr>
          <w:rFonts w:ascii="Arial" w:hAnsi="Arial"/>
          <w:sz w:val="22"/>
          <w:szCs w:val="22"/>
        </w:rPr>
      </w:pPr>
      <w:r>
        <w:rPr>
          <w:rFonts w:ascii="Arial" w:hAnsi="Arial"/>
          <w:color w:val="000000"/>
        </w:rPr>
        <w:t xml:space="preserve">Ho1: Is there a significant relationship between Game Engagement and Perceived Experience among players of Call of Duty in the Municipality of </w:t>
      </w:r>
      <w:proofErr w:type="spellStart"/>
      <w:r>
        <w:rPr>
          <w:rFonts w:ascii="Arial" w:hAnsi="Arial"/>
          <w:color w:val="000000"/>
        </w:rPr>
        <w:t>Bansalan</w:t>
      </w:r>
      <w:proofErr w:type="spellEnd"/>
      <w:r>
        <w:rPr>
          <w:rFonts w:ascii="Arial" w:hAnsi="Arial"/>
          <w:color w:val="000000"/>
        </w:rPr>
        <w:t>? </w:t>
      </w:r>
    </w:p>
    <w:p w:rsidR="00A30731" w:rsidRDefault="00A30731">
      <w:pPr>
        <w:keepNext/>
        <w:spacing w:line="276" w:lineRule="auto"/>
        <w:rPr>
          <w:rFonts w:ascii="Times New Roman" w:eastAsia="Times New Roman" w:hAnsi="Times New Roman" w:cs="Times New Roman"/>
          <w:b/>
          <w:color w:val="000000"/>
          <w:sz w:val="20"/>
          <w:szCs w:val="20"/>
        </w:rPr>
      </w:pPr>
    </w:p>
    <w:p w:rsidR="00A30731" w:rsidRDefault="00A30731">
      <w:pPr>
        <w:keepNext/>
        <w:rPr>
          <w:rFonts w:ascii="Times New Roman" w:eastAsia="Times New Roman" w:hAnsi="Times New Roman" w:cs="Times New Roman"/>
          <w:b/>
          <w:color w:val="000000"/>
          <w:sz w:val="20"/>
          <w:szCs w:val="20"/>
        </w:rPr>
      </w:pPr>
    </w:p>
    <w:p w:rsidR="00A30731" w:rsidRDefault="008B07EA">
      <w:pPr>
        <w:keepNext/>
        <w:rPr>
          <w:rFonts w:ascii="Arial" w:hAnsi="Arial"/>
          <w:smallCaps/>
          <w:color w:val="000000"/>
          <w:sz w:val="22"/>
          <w:szCs w:val="22"/>
        </w:rPr>
      </w:pPr>
      <w:r>
        <w:rPr>
          <w:rFonts w:ascii="Arial" w:hAnsi="Arial"/>
          <w:color w:val="000000"/>
          <w:sz w:val="22"/>
          <w:szCs w:val="22"/>
        </w:rPr>
        <w:t>2.</w:t>
      </w:r>
      <w:r>
        <w:rPr>
          <w:rFonts w:ascii="Arial" w:hAnsi="Arial"/>
          <w:smallCaps/>
          <w:color w:val="000000"/>
          <w:sz w:val="22"/>
          <w:szCs w:val="22"/>
        </w:rPr>
        <w:t xml:space="preserve"> methodology </w:t>
      </w:r>
    </w:p>
    <w:p w:rsidR="00A30731" w:rsidRDefault="00A30731">
      <w:pPr>
        <w:keepNext/>
        <w:rPr>
          <w:rFonts w:ascii="Arial" w:hAnsi="Arial"/>
          <w:smallCaps/>
          <w:color w:val="000000"/>
          <w:sz w:val="22"/>
          <w:szCs w:val="22"/>
        </w:rPr>
      </w:pPr>
    </w:p>
    <w:p w:rsidR="00A30731" w:rsidRDefault="008B07EA">
      <w:pPr>
        <w:spacing w:after="240"/>
        <w:rPr>
          <w:rFonts w:ascii="Arial" w:hAnsi="Arial"/>
          <w:color w:val="000000"/>
          <w:sz w:val="20"/>
          <w:szCs w:val="20"/>
        </w:rPr>
      </w:pPr>
      <w:r>
        <w:rPr>
          <w:rFonts w:ascii="Arial" w:hAnsi="Arial"/>
          <w:color w:val="000000"/>
          <w:sz w:val="20"/>
          <w:szCs w:val="20"/>
        </w:rPr>
        <w:t>2.1 Research Design</w:t>
      </w:r>
    </w:p>
    <w:p w:rsidR="00A30731" w:rsidRDefault="008B07EA">
      <w:pPr>
        <w:spacing w:after="240"/>
        <w:rPr>
          <w:rFonts w:ascii="Arial" w:hAnsi="Arial"/>
          <w:color w:val="000000"/>
          <w:sz w:val="20"/>
          <w:szCs w:val="20"/>
        </w:rPr>
      </w:pPr>
      <w:bookmarkStart w:id="0" w:name="_heading=h.i4dyl5gwtog" w:colFirst="0" w:colLast="0"/>
      <w:bookmarkEnd w:id="0"/>
      <w:r>
        <w:rPr>
          <w:rFonts w:ascii="Arial" w:hAnsi="Arial"/>
          <w:color w:val="000000"/>
          <w:sz w:val="20"/>
          <w:szCs w:val="20"/>
        </w:rPr>
        <w:t xml:space="preserve"> This study employed a correlational research design to examine the relationship between Call of Duty players’ level of game engagement and their perceived experience. This design was selected because it allows researchers to determine the direction and strength of relationships between two or more variables without manipulation. It was particularly suitable for assessing how elements such as emotional involvement, focus, and perceived competence relate to players’ self-reported experience during gameplay.     </w:t>
      </w:r>
    </w:p>
    <w:p w:rsidR="00A30731" w:rsidRDefault="008B07EA">
      <w:pPr>
        <w:spacing w:after="240"/>
        <w:rPr>
          <w:rFonts w:ascii="Arial" w:hAnsi="Arial"/>
          <w:color w:val="000000"/>
          <w:sz w:val="20"/>
          <w:szCs w:val="20"/>
        </w:rPr>
      </w:pPr>
      <w:r>
        <w:rPr>
          <w:rFonts w:ascii="Arial" w:hAnsi="Arial"/>
          <w:color w:val="000000"/>
          <w:sz w:val="20"/>
          <w:szCs w:val="20"/>
        </w:rPr>
        <w:t>2.2 Research Locale</w:t>
      </w:r>
      <w:r>
        <w:rPr>
          <w:noProof/>
          <w:lang w:val="en-US" w:eastAsia="en-US"/>
        </w:rPr>
        <w:drawing>
          <wp:anchor distT="0" distB="0" distL="114300" distR="114300" simplePos="0" relativeHeight="251661312" behindDoc="0" locked="0" layoutInCell="1" allowOverlap="1">
            <wp:simplePos x="0" y="0"/>
            <wp:positionH relativeFrom="column">
              <wp:posOffset>1247775</wp:posOffset>
            </wp:positionH>
            <wp:positionV relativeFrom="paragraph">
              <wp:posOffset>313055</wp:posOffset>
            </wp:positionV>
            <wp:extent cx="2978785" cy="1645920"/>
            <wp:effectExtent l="0" t="0" r="0" b="0"/>
            <wp:wrapTopAndBottom/>
            <wp:docPr id="2060358574" name="image1.png"/>
            <wp:cNvGraphicFramePr/>
            <a:graphic xmlns:a="http://schemas.openxmlformats.org/drawingml/2006/main">
              <a:graphicData uri="http://schemas.openxmlformats.org/drawingml/2006/picture">
                <pic:pic xmlns:pic="http://schemas.openxmlformats.org/drawingml/2006/picture">
                  <pic:nvPicPr>
                    <pic:cNvPr id="2060358574" name="image1.png"/>
                    <pic:cNvPicPr preferRelativeResize="0"/>
                  </pic:nvPicPr>
                  <pic:blipFill>
                    <a:blip r:embed="rId15"/>
                    <a:srcRect/>
                    <a:stretch>
                      <a:fillRect/>
                    </a:stretch>
                  </pic:blipFill>
                  <pic:spPr>
                    <a:xfrm>
                      <a:off x="0" y="0"/>
                      <a:ext cx="2978785" cy="1645920"/>
                    </a:xfrm>
                    <a:prstGeom prst="rect">
                      <a:avLst/>
                    </a:prstGeom>
                  </pic:spPr>
                </pic:pic>
              </a:graphicData>
            </a:graphic>
          </wp:anchor>
        </w:drawing>
      </w:r>
    </w:p>
    <w:p w:rsidR="00A30731" w:rsidRDefault="008B07EA">
      <w:pPr>
        <w:spacing w:after="240"/>
        <w:jc w:val="center"/>
        <w:rPr>
          <w:rFonts w:ascii="Arial" w:hAnsi="Arial"/>
          <w:color w:val="000000"/>
          <w:sz w:val="20"/>
          <w:szCs w:val="20"/>
        </w:rPr>
      </w:pPr>
      <w:r>
        <w:rPr>
          <w:rFonts w:ascii="Arial" w:hAnsi="Arial"/>
          <w:color w:val="000000"/>
          <w:sz w:val="20"/>
          <w:szCs w:val="20"/>
        </w:rPr>
        <w:lastRenderedPageBreak/>
        <w:t>Figure 2. Research Locale</w:t>
      </w:r>
    </w:p>
    <w:p w:rsidR="00A30731" w:rsidRDefault="008B07EA">
      <w:pPr>
        <w:spacing w:after="240"/>
        <w:rPr>
          <w:rFonts w:ascii="Arial" w:hAnsi="Arial"/>
          <w:color w:val="000000"/>
          <w:sz w:val="20"/>
          <w:szCs w:val="20"/>
        </w:rPr>
      </w:pPr>
      <w:r>
        <w:rPr>
          <w:rFonts w:ascii="Arial" w:hAnsi="Arial"/>
          <w:color w:val="000000"/>
          <w:sz w:val="20"/>
          <w:szCs w:val="20"/>
        </w:rPr>
        <w:tab/>
      </w:r>
      <w:r>
        <w:rPr>
          <w:rFonts w:ascii="Arial" w:hAnsi="Arial"/>
          <w:color w:val="000000"/>
          <w:sz w:val="20"/>
          <w:szCs w:val="20"/>
          <w:highlight w:val="yellow"/>
        </w:rPr>
        <w:t xml:space="preserve">The research was conducted in </w:t>
      </w:r>
      <w:proofErr w:type="spellStart"/>
      <w:r>
        <w:rPr>
          <w:rFonts w:ascii="Arial" w:hAnsi="Arial"/>
          <w:color w:val="000000"/>
          <w:sz w:val="20"/>
          <w:szCs w:val="20"/>
          <w:highlight w:val="yellow"/>
        </w:rPr>
        <w:t>Bansalan</w:t>
      </w:r>
      <w:proofErr w:type="spellEnd"/>
      <w:r>
        <w:rPr>
          <w:rFonts w:ascii="Arial" w:hAnsi="Arial"/>
          <w:color w:val="000000"/>
          <w:sz w:val="20"/>
          <w:szCs w:val="20"/>
          <w:highlight w:val="yellow"/>
        </w:rPr>
        <w:t>, Davao del Sur, a municipality in the southern part of the Philippines where online gaming, particularly multiplayer titles like Call of Duty, has become a common avenue for entertainment and social interaction among youth.</w:t>
      </w:r>
      <w:r>
        <w:rPr>
          <w:rFonts w:ascii="Arial" w:hAnsi="Arial"/>
          <w:color w:val="000000"/>
          <w:sz w:val="20"/>
          <w:szCs w:val="20"/>
        </w:rPr>
        <w:t xml:space="preserve"> Online multiplayer games like Call of Duty have become popular among youths in this part of the region due to their competitiveness, engaging gameplay, and ability to create friendships. </w:t>
      </w:r>
      <w:proofErr w:type="spellStart"/>
      <w:r>
        <w:rPr>
          <w:rFonts w:ascii="Arial" w:hAnsi="Arial"/>
          <w:color w:val="000000"/>
          <w:sz w:val="20"/>
          <w:szCs w:val="20"/>
        </w:rPr>
        <w:t>Bansalan</w:t>
      </w:r>
      <w:proofErr w:type="spellEnd"/>
      <w:r>
        <w:rPr>
          <w:rFonts w:ascii="Arial" w:hAnsi="Arial"/>
          <w:color w:val="000000"/>
          <w:sz w:val="20"/>
          <w:szCs w:val="20"/>
        </w:rPr>
        <w:t xml:space="preserve"> is a good place to study relationships between game involvement and what local players understand as gaming experience because the local gaming customs give a sufficient and typical sample of the gaming players in such a context.</w:t>
      </w:r>
    </w:p>
    <w:p w:rsidR="00A30731" w:rsidRDefault="008B07EA">
      <w:pPr>
        <w:spacing w:after="240"/>
        <w:rPr>
          <w:rFonts w:ascii="Arial" w:hAnsi="Arial"/>
          <w:color w:val="000000"/>
          <w:sz w:val="20"/>
          <w:szCs w:val="20"/>
        </w:rPr>
      </w:pPr>
      <w:r>
        <w:rPr>
          <w:rFonts w:ascii="Arial" w:hAnsi="Arial"/>
          <w:color w:val="000000"/>
          <w:sz w:val="20"/>
          <w:szCs w:val="20"/>
        </w:rPr>
        <w:t>2.3 Participants of the Study</w:t>
      </w:r>
    </w:p>
    <w:p w:rsidR="00A30731" w:rsidRDefault="008B07EA">
      <w:pPr>
        <w:spacing w:after="240"/>
        <w:rPr>
          <w:rFonts w:ascii="Arial" w:hAnsi="Arial"/>
          <w:b/>
          <w:color w:val="000000"/>
          <w:sz w:val="20"/>
          <w:szCs w:val="20"/>
        </w:rPr>
      </w:pPr>
      <w:r>
        <w:rPr>
          <w:rFonts w:ascii="Arial" w:hAnsi="Arial"/>
          <w:color w:val="000000"/>
          <w:sz w:val="20"/>
          <w:szCs w:val="20"/>
        </w:rPr>
        <w:t xml:space="preserve">     The focus group in this research study includes young Call of Duty players from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aged 15 to 30 years old. </w:t>
      </w:r>
      <w:r>
        <w:rPr>
          <w:rFonts w:ascii="Arial" w:hAnsi="Arial"/>
          <w:color w:val="000000"/>
          <w:sz w:val="20"/>
          <w:szCs w:val="20"/>
          <w:highlight w:val="yellow"/>
        </w:rPr>
        <w:t>This age group was chosen because it represents the most active segment of online gamers in rural areas, making them highly relevant for examining game engagement and perceived experience.</w:t>
      </w:r>
      <w:r>
        <w:rPr>
          <w:rFonts w:ascii="Arial" w:hAnsi="Arial"/>
          <w:color w:val="000000"/>
          <w:sz w:val="20"/>
          <w:szCs w:val="20"/>
        </w:rPr>
        <w:t xml:space="preserve"> To ensure the integrity and relevance of the data, participants were selected based on specific criteria, including their willingness to participate voluntarily and their frequency of gameplay, as regular engagement with the game was necessary to meaningfully assess their experience.</w:t>
      </w:r>
    </w:p>
    <w:p w:rsidR="00A30731" w:rsidRDefault="008B07EA">
      <w:pPr>
        <w:spacing w:after="240"/>
        <w:rPr>
          <w:rFonts w:ascii="Arial" w:hAnsi="Arial"/>
          <w:color w:val="000000"/>
          <w:sz w:val="20"/>
          <w:szCs w:val="20"/>
        </w:rPr>
      </w:pPr>
      <w:r>
        <w:rPr>
          <w:rFonts w:ascii="Arial" w:hAnsi="Arial"/>
          <w:color w:val="000000"/>
          <w:sz w:val="20"/>
          <w:szCs w:val="20"/>
        </w:rPr>
        <w:t>2.4 Sampling Techniques</w:t>
      </w:r>
    </w:p>
    <w:p w:rsidR="00A30731" w:rsidRDefault="008B07EA">
      <w:pPr>
        <w:spacing w:after="240"/>
        <w:rPr>
          <w:rFonts w:ascii="Arial" w:hAnsi="Arial"/>
          <w:b/>
          <w:color w:val="000000"/>
          <w:sz w:val="20"/>
          <w:szCs w:val="20"/>
        </w:rPr>
      </w:pPr>
      <w:r>
        <w:rPr>
          <w:rFonts w:ascii="Arial" w:hAnsi="Arial"/>
          <w:color w:val="000000"/>
          <w:sz w:val="20"/>
          <w:szCs w:val="20"/>
        </w:rPr>
        <w:t xml:space="preserve">     A purposive sampling technique was adopted in this study to ensure that the sample would be representative of the target population by solely including respondents who met specific predetermined criteria. </w:t>
      </w:r>
      <w:r>
        <w:rPr>
          <w:rFonts w:ascii="Arial" w:hAnsi="Arial"/>
          <w:color w:val="000000"/>
          <w:sz w:val="20"/>
          <w:szCs w:val="20"/>
          <w:highlight w:val="yellow"/>
        </w:rPr>
        <w:t xml:space="preserve">A total of 203 participants, aged 15 to 30 years old, were selected. The first requirement was that the respondent should be a resident of </w:t>
      </w:r>
      <w:proofErr w:type="spellStart"/>
      <w:r>
        <w:rPr>
          <w:rFonts w:ascii="Arial" w:hAnsi="Arial"/>
          <w:color w:val="000000"/>
          <w:sz w:val="20"/>
          <w:szCs w:val="20"/>
          <w:highlight w:val="yellow"/>
        </w:rPr>
        <w:t>Bansalan</w:t>
      </w:r>
      <w:proofErr w:type="spellEnd"/>
      <w:r>
        <w:rPr>
          <w:rFonts w:ascii="Arial" w:hAnsi="Arial"/>
          <w:color w:val="000000"/>
          <w:sz w:val="20"/>
          <w:szCs w:val="20"/>
          <w:highlight w:val="yellow"/>
        </w:rPr>
        <w:t>, Davao del Sur and an active player of Call of Duty.</w:t>
      </w:r>
      <w:r>
        <w:rPr>
          <w:rFonts w:ascii="Arial" w:hAnsi="Arial"/>
          <w:color w:val="000000"/>
          <w:sz w:val="20"/>
          <w:szCs w:val="20"/>
        </w:rPr>
        <w:t xml:space="preserve"> This is important because engagement and perceived experience can only be meaningfully assessed through regular and consistent gameplay. This method of sampling was employed to improve the validity and reliability of the findings by enabling the researchers to select individuals whose characteristics and gaming background aligned closely with the study’s objectives.</w:t>
      </w:r>
    </w:p>
    <w:p w:rsidR="00A30731" w:rsidRDefault="008B07EA">
      <w:pPr>
        <w:spacing w:after="240"/>
        <w:rPr>
          <w:rFonts w:ascii="Arial" w:hAnsi="Arial"/>
          <w:color w:val="000000"/>
          <w:sz w:val="20"/>
          <w:szCs w:val="20"/>
        </w:rPr>
      </w:pPr>
      <w:r>
        <w:rPr>
          <w:rFonts w:ascii="Arial" w:hAnsi="Arial"/>
          <w:color w:val="000000"/>
          <w:sz w:val="20"/>
          <w:szCs w:val="20"/>
        </w:rPr>
        <w:t>2.5 Data Collection Procedure</w:t>
      </w:r>
    </w:p>
    <w:p w:rsidR="00A30731" w:rsidRDefault="008B07EA">
      <w:pPr>
        <w:spacing w:after="240"/>
        <w:rPr>
          <w:rFonts w:ascii="Arial" w:hAnsi="Arial"/>
          <w:b/>
          <w:color w:val="000000"/>
          <w:sz w:val="20"/>
          <w:szCs w:val="20"/>
        </w:rPr>
      </w:pPr>
      <w:r>
        <w:rPr>
          <w:rFonts w:ascii="Arial" w:hAnsi="Arial"/>
          <w:color w:val="000000"/>
          <w:sz w:val="20"/>
          <w:szCs w:val="20"/>
        </w:rPr>
        <w:t xml:space="preserve">     An online survey technique was employed to collect data. The survey had questions aimed at probing students' ICT skills, reasons for using AI, and perceptions of AI in educational processes. The questionnaire used included questions on ICT skills, AI use patterns, and the implications of AI for education and careers. Data collected were kept confidential and stored safely, and data collected were used only for educational research purposes.</w:t>
      </w:r>
    </w:p>
    <w:p w:rsidR="00A30731" w:rsidRDefault="008B07EA">
      <w:pPr>
        <w:rPr>
          <w:rFonts w:ascii="Arial" w:hAnsi="Arial"/>
          <w:sz w:val="22"/>
          <w:szCs w:val="22"/>
        </w:rPr>
      </w:pPr>
      <w:r>
        <w:rPr>
          <w:rFonts w:ascii="Arial" w:hAnsi="Arial"/>
          <w:color w:val="000000"/>
        </w:rPr>
        <w:t>Research Question 1: </w:t>
      </w:r>
    </w:p>
    <w:p w:rsidR="00A30731" w:rsidRDefault="008B07EA">
      <w:pPr>
        <w:rPr>
          <w:rFonts w:ascii="Arial" w:hAnsi="Arial"/>
          <w:sz w:val="22"/>
          <w:szCs w:val="22"/>
        </w:rPr>
      </w:pPr>
      <w:r>
        <w:rPr>
          <w:rFonts w:ascii="Arial" w:hAnsi="Arial"/>
          <w:color w:val="000000"/>
          <w:sz w:val="22"/>
          <w:szCs w:val="22"/>
        </w:rPr>
        <w:br/>
        <w:t xml:space="preserve">     </w:t>
      </w:r>
      <w:r>
        <w:rPr>
          <w:rFonts w:ascii="Arial" w:hAnsi="Arial"/>
          <w:color w:val="000000"/>
        </w:rPr>
        <w:t xml:space="preserve">To ascertain the relationship between game engagement and perceived experience among Call of Duty players in </w:t>
      </w:r>
      <w:proofErr w:type="spellStart"/>
      <w:r>
        <w:rPr>
          <w:rFonts w:ascii="Arial" w:hAnsi="Arial"/>
          <w:color w:val="000000"/>
        </w:rPr>
        <w:t>Bansalan</w:t>
      </w:r>
      <w:proofErr w:type="spellEnd"/>
      <w:r>
        <w:rPr>
          <w:rFonts w:ascii="Arial" w:hAnsi="Arial"/>
          <w:color w:val="000000"/>
        </w:rPr>
        <w:t>, Davao del Sur, the researchers will employ descriptive statistics, specifically frequency, percentage, and mean. </w:t>
      </w:r>
    </w:p>
    <w:p w:rsidR="00A30731" w:rsidRDefault="008B07EA">
      <w:pPr>
        <w:ind w:firstLine="360"/>
        <w:rPr>
          <w:rFonts w:ascii="Arial" w:hAnsi="Arial"/>
          <w:sz w:val="22"/>
          <w:szCs w:val="22"/>
        </w:rPr>
      </w:pPr>
      <w:r>
        <w:rPr>
          <w:rFonts w:ascii="Arial" w:hAnsi="Arial"/>
          <w:color w:val="000000"/>
        </w:rPr>
        <w:t>-Emotional Involvement</w:t>
      </w:r>
    </w:p>
    <w:p w:rsidR="00A30731" w:rsidRDefault="008B07EA">
      <w:pPr>
        <w:ind w:firstLine="360"/>
        <w:rPr>
          <w:rFonts w:ascii="Arial" w:hAnsi="Arial"/>
          <w:sz w:val="22"/>
          <w:szCs w:val="22"/>
        </w:rPr>
      </w:pPr>
      <w:r>
        <w:rPr>
          <w:rFonts w:ascii="Arial" w:hAnsi="Arial"/>
          <w:color w:val="000000"/>
        </w:rPr>
        <w:t>-Concentration</w:t>
      </w:r>
    </w:p>
    <w:p w:rsidR="00A30731" w:rsidRDefault="008B07EA">
      <w:pPr>
        <w:ind w:firstLine="360"/>
        <w:rPr>
          <w:rFonts w:ascii="Arial" w:hAnsi="Arial"/>
          <w:sz w:val="22"/>
          <w:szCs w:val="22"/>
        </w:rPr>
      </w:pPr>
      <w:r>
        <w:rPr>
          <w:rFonts w:ascii="Arial" w:hAnsi="Arial"/>
          <w:color w:val="000000"/>
        </w:rPr>
        <w:t>-Competence</w:t>
      </w:r>
    </w:p>
    <w:p w:rsidR="00A30731" w:rsidRDefault="00A30731">
      <w:pPr>
        <w:rPr>
          <w:rFonts w:ascii="Arial" w:hAnsi="Arial"/>
        </w:rPr>
      </w:pPr>
    </w:p>
    <w:p w:rsidR="00A30731" w:rsidRDefault="008B07EA">
      <w:pPr>
        <w:rPr>
          <w:rFonts w:ascii="Arial" w:hAnsi="Arial"/>
          <w:sz w:val="22"/>
          <w:szCs w:val="22"/>
        </w:rPr>
      </w:pPr>
      <w:r>
        <w:rPr>
          <w:rFonts w:ascii="Arial" w:hAnsi="Arial"/>
          <w:color w:val="000000"/>
        </w:rPr>
        <w:lastRenderedPageBreak/>
        <w:t>Research Question 2: </w:t>
      </w:r>
    </w:p>
    <w:p w:rsidR="00A30731" w:rsidRDefault="00A30731">
      <w:pPr>
        <w:rPr>
          <w:rFonts w:ascii="Arial" w:hAnsi="Arial"/>
        </w:rPr>
      </w:pPr>
    </w:p>
    <w:p w:rsidR="00A30731" w:rsidRDefault="008B07EA">
      <w:pPr>
        <w:rPr>
          <w:rFonts w:ascii="Arial" w:hAnsi="Arial"/>
          <w:sz w:val="22"/>
          <w:szCs w:val="22"/>
        </w:rPr>
      </w:pPr>
      <w:r>
        <w:rPr>
          <w:rFonts w:ascii="Arial" w:hAnsi="Arial"/>
          <w:color w:val="000000"/>
          <w:sz w:val="22"/>
          <w:szCs w:val="22"/>
        </w:rPr>
        <w:t>     </w:t>
      </w:r>
      <w:r>
        <w:rPr>
          <w:rFonts w:ascii="Arial" w:hAnsi="Arial"/>
          <w:color w:val="000000"/>
        </w:rPr>
        <w:t xml:space="preserve">To ascertain the relationship between game engagement and perceived experience among Call of Duty players in </w:t>
      </w:r>
      <w:proofErr w:type="spellStart"/>
      <w:r>
        <w:rPr>
          <w:rFonts w:ascii="Arial" w:hAnsi="Arial"/>
          <w:color w:val="000000"/>
        </w:rPr>
        <w:t>Bansalan</w:t>
      </w:r>
      <w:proofErr w:type="spellEnd"/>
      <w:r>
        <w:rPr>
          <w:rFonts w:ascii="Arial" w:hAnsi="Arial"/>
          <w:color w:val="000000"/>
        </w:rPr>
        <w:t>, Davao del Sur, the researchers will employ descriptive statistics, specifically mean and standard deviation. </w:t>
      </w:r>
    </w:p>
    <w:p w:rsidR="00A30731" w:rsidRDefault="008B07EA">
      <w:pPr>
        <w:rPr>
          <w:rFonts w:ascii="Arial" w:hAnsi="Arial"/>
          <w:sz w:val="22"/>
          <w:szCs w:val="22"/>
        </w:rPr>
      </w:pPr>
      <w:r>
        <w:rPr>
          <w:rFonts w:ascii="Arial" w:hAnsi="Arial"/>
          <w:color w:val="000000"/>
        </w:rPr>
        <w:t>     -Autonomy</w:t>
      </w:r>
    </w:p>
    <w:p w:rsidR="00A30731" w:rsidRDefault="008B07EA">
      <w:pPr>
        <w:rPr>
          <w:rFonts w:ascii="Arial" w:hAnsi="Arial"/>
          <w:sz w:val="22"/>
          <w:szCs w:val="22"/>
        </w:rPr>
      </w:pPr>
      <w:r>
        <w:rPr>
          <w:rFonts w:ascii="Arial" w:hAnsi="Arial"/>
          <w:color w:val="000000"/>
        </w:rPr>
        <w:t>     -Competence</w:t>
      </w:r>
    </w:p>
    <w:p w:rsidR="00A30731" w:rsidRDefault="008B07EA">
      <w:pPr>
        <w:rPr>
          <w:rFonts w:ascii="Arial" w:hAnsi="Arial"/>
          <w:sz w:val="22"/>
          <w:szCs w:val="22"/>
        </w:rPr>
      </w:pPr>
      <w:r>
        <w:rPr>
          <w:rFonts w:ascii="Arial" w:hAnsi="Arial"/>
          <w:color w:val="000000"/>
        </w:rPr>
        <w:t>     -Relatedness</w:t>
      </w:r>
    </w:p>
    <w:p w:rsidR="00A30731" w:rsidRDefault="00A30731">
      <w:pPr>
        <w:rPr>
          <w:rFonts w:ascii="Arial" w:hAnsi="Arial"/>
        </w:rPr>
      </w:pPr>
    </w:p>
    <w:p w:rsidR="00A30731" w:rsidRDefault="008B07EA">
      <w:pPr>
        <w:rPr>
          <w:rFonts w:ascii="Arial" w:hAnsi="Arial"/>
        </w:rPr>
      </w:pPr>
      <w:r>
        <w:rPr>
          <w:rFonts w:ascii="Arial" w:hAnsi="Arial"/>
          <w:color w:val="000000"/>
        </w:rPr>
        <w:t>Research Question 3:</w:t>
      </w:r>
    </w:p>
    <w:p w:rsidR="00A30731" w:rsidRDefault="00A30731">
      <w:pPr>
        <w:rPr>
          <w:rFonts w:ascii="Arial" w:hAnsi="Arial"/>
          <w:sz w:val="22"/>
          <w:szCs w:val="22"/>
        </w:rPr>
      </w:pPr>
    </w:p>
    <w:p w:rsidR="00A30731" w:rsidRDefault="008B07EA">
      <w:pPr>
        <w:rPr>
          <w:rFonts w:ascii="Arial" w:hAnsi="Arial"/>
        </w:rPr>
      </w:pPr>
      <w:r>
        <w:rPr>
          <w:rFonts w:ascii="Arial" w:hAnsi="Arial"/>
          <w:color w:val="000000"/>
        </w:rPr>
        <w:t xml:space="preserve">     Does the perceived experience of Call of Duty players significantly correlate with their level of game engagement? </w:t>
      </w:r>
      <w:r>
        <w:rPr>
          <w:rFonts w:ascii="Arial" w:hAnsi="Arial"/>
          <w:color w:val="000000"/>
          <w:sz w:val="22"/>
          <w:szCs w:val="22"/>
        </w:rPr>
        <w:br/>
      </w:r>
    </w:p>
    <w:p w:rsidR="00A30731" w:rsidRDefault="008B07EA">
      <w:pPr>
        <w:rPr>
          <w:rFonts w:ascii="Arial" w:hAnsi="Arial"/>
          <w:sz w:val="22"/>
          <w:szCs w:val="22"/>
        </w:rPr>
      </w:pPr>
      <w:r>
        <w:rPr>
          <w:rFonts w:ascii="Arial" w:hAnsi="Arial"/>
          <w:color w:val="000000"/>
        </w:rPr>
        <w:t>Research Question 4:</w:t>
      </w:r>
    </w:p>
    <w:p w:rsidR="00A30731" w:rsidRDefault="00A30731">
      <w:pPr>
        <w:rPr>
          <w:rFonts w:ascii="Arial" w:hAnsi="Arial"/>
        </w:rPr>
      </w:pPr>
    </w:p>
    <w:p w:rsidR="00A30731" w:rsidRDefault="008B07EA">
      <w:pPr>
        <w:rPr>
          <w:rFonts w:ascii="Arial" w:hAnsi="Arial"/>
          <w:color w:val="000000"/>
        </w:rPr>
      </w:pPr>
      <w:r>
        <w:rPr>
          <w:rFonts w:ascii="Arial" w:hAnsi="Arial"/>
          <w:color w:val="000000"/>
          <w:sz w:val="22"/>
          <w:szCs w:val="22"/>
        </w:rPr>
        <w:t>      </w:t>
      </w:r>
      <w:r>
        <w:rPr>
          <w:rFonts w:ascii="Arial" w:hAnsi="Arial"/>
          <w:color w:val="000000"/>
        </w:rPr>
        <w:t>Does playing a game have a big impact on how people feel about it?</w:t>
      </w:r>
      <w:r>
        <w:rPr>
          <w:rFonts w:ascii="Arial" w:hAnsi="Arial"/>
          <w:color w:val="000000"/>
        </w:rPr>
        <w:br/>
        <w:t>Call of Duty players? </w:t>
      </w:r>
    </w:p>
    <w:p w:rsidR="00A30731" w:rsidRDefault="00A30731">
      <w:pPr>
        <w:rPr>
          <w:rFonts w:ascii="Arial" w:hAnsi="Arial"/>
          <w:sz w:val="22"/>
          <w:szCs w:val="22"/>
        </w:rPr>
      </w:pPr>
    </w:p>
    <w:p w:rsidR="00A30731" w:rsidRDefault="008B07EA">
      <w:pPr>
        <w:spacing w:after="240"/>
        <w:rPr>
          <w:rFonts w:ascii="Arial" w:hAnsi="Arial"/>
          <w:color w:val="000000"/>
          <w:sz w:val="20"/>
          <w:szCs w:val="20"/>
        </w:rPr>
      </w:pPr>
      <w:proofErr w:type="gramStart"/>
      <w:r>
        <w:rPr>
          <w:rFonts w:ascii="Arial" w:hAnsi="Arial"/>
          <w:color w:val="000000"/>
          <w:sz w:val="20"/>
          <w:szCs w:val="20"/>
        </w:rPr>
        <w:t>2.6  Data</w:t>
      </w:r>
      <w:proofErr w:type="gramEnd"/>
      <w:r>
        <w:rPr>
          <w:rFonts w:ascii="Arial" w:hAnsi="Arial"/>
          <w:color w:val="000000"/>
          <w:sz w:val="20"/>
          <w:szCs w:val="20"/>
        </w:rPr>
        <w:t xml:space="preserve"> Collection Procedure</w:t>
      </w:r>
    </w:p>
    <w:p w:rsidR="00A30731" w:rsidRDefault="008B07EA">
      <w:pPr>
        <w:spacing w:after="240"/>
        <w:rPr>
          <w:rFonts w:ascii="Arial" w:hAnsi="Arial"/>
          <w:b/>
          <w:color w:val="000000"/>
          <w:sz w:val="20"/>
          <w:szCs w:val="20"/>
        </w:rPr>
      </w:pPr>
      <w:r>
        <w:rPr>
          <w:rFonts w:ascii="Arial" w:hAnsi="Arial"/>
          <w:color w:val="000000"/>
          <w:sz w:val="22"/>
          <w:szCs w:val="22"/>
        </w:rPr>
        <w:t>      </w:t>
      </w:r>
      <w:r>
        <w:rPr>
          <w:rFonts w:ascii="Arial" w:hAnsi="Arial"/>
          <w:color w:val="000000"/>
          <w:sz w:val="20"/>
          <w:szCs w:val="20"/>
        </w:rPr>
        <w:t xml:space="preserve">The study on the "Relationship between Game-engagement Levels and Level of Experience perceived by players of Call of Duty" will draw data from players recruited from online gaming sites and forums using convenience sampling. A questionnaire survey containing demographic questions and questions relating to gaming involvement and gaming perception will be conducted. The survey will make use of a </w:t>
      </w:r>
      <w:proofErr w:type="gramStart"/>
      <w:r>
        <w:rPr>
          <w:rFonts w:ascii="Arial" w:hAnsi="Arial"/>
          <w:color w:val="000000"/>
          <w:sz w:val="20"/>
          <w:szCs w:val="20"/>
        </w:rPr>
        <w:t>5 points Likert</w:t>
      </w:r>
      <w:proofErr w:type="gramEnd"/>
      <w:r>
        <w:rPr>
          <w:rFonts w:ascii="Arial" w:hAnsi="Arial"/>
          <w:color w:val="000000"/>
          <w:sz w:val="20"/>
          <w:szCs w:val="20"/>
        </w:rPr>
        <w:t xml:space="preserve"> scale, this has been suggested to measure events such as how much Call of Duty is played, how often it is played and how participants emotionally, enjoyably and satisfactorily feel about the game(s) They play. The collected data will be de-identified and analyzed using descriptive statistics and correlation analysis with the aim of examining the relationship between game engagement and perceived experience. The principles of ethics (informed consent, confidentiality of information and voluntary participation) will be upheld during the data collection phase. The objective of the investigation is to examine the characteristics of players' overall experience and satisfaction, specifically in relation to the different levels of engagement in the game Call of Duty.</w:t>
      </w:r>
    </w:p>
    <w:p w:rsidR="00A30731" w:rsidRDefault="008B07EA">
      <w:pPr>
        <w:spacing w:after="240"/>
        <w:rPr>
          <w:rFonts w:ascii="Arial" w:hAnsi="Arial"/>
          <w:color w:val="000000"/>
          <w:sz w:val="20"/>
          <w:szCs w:val="20"/>
        </w:rPr>
      </w:pPr>
      <w:bookmarkStart w:id="1" w:name="_heading=h.6ovgnw7yetx8" w:colFirst="0" w:colLast="0"/>
      <w:bookmarkEnd w:id="1"/>
      <w:r>
        <w:rPr>
          <w:rFonts w:ascii="Arial" w:hAnsi="Arial"/>
          <w:color w:val="000000"/>
          <w:sz w:val="20"/>
          <w:szCs w:val="20"/>
        </w:rPr>
        <w:t>.2.7 Ethical Considerations</w:t>
      </w:r>
    </w:p>
    <w:p w:rsidR="00A30731" w:rsidRDefault="008B07EA">
      <w:pPr>
        <w:rPr>
          <w:rFonts w:ascii="Arial" w:hAnsi="Arial"/>
          <w:b/>
          <w:color w:val="000000"/>
          <w:sz w:val="20"/>
          <w:szCs w:val="20"/>
        </w:rPr>
      </w:pPr>
      <w:r>
        <w:rPr>
          <w:rFonts w:ascii="Arial" w:hAnsi="Arial"/>
          <w:color w:val="000000"/>
          <w:sz w:val="20"/>
          <w:szCs w:val="20"/>
        </w:rPr>
        <w:t xml:space="preserve">     A structured questionnaire with four parts was developed as the research instrument for this study, which seeks to explore comprehensively the relationship between the perceived experience of Call of Duty players and their game engagement. Demographic information gathered in the first section includes: age, gender, number of sessions played, duration of the sessions, and game mode played. By means of statements that are aimed to depict players’ engagement with the game, the second section measures game engagement along the following three dimensions: emotional engagement, intensity of focus and the engagement of skills. The third section rather evaluates perceived experience in this case in terms of autonomy, competence, and relatedness using statements that express feelings of independence, accomplishment and connection that players have while playing. The final </w:t>
      </w:r>
      <w:r>
        <w:rPr>
          <w:rFonts w:ascii="Arial" w:hAnsi="Arial"/>
          <w:color w:val="000000"/>
          <w:sz w:val="20"/>
          <w:szCs w:val="20"/>
        </w:rPr>
        <w:lastRenderedPageBreak/>
        <w:t>section contains open-ended questions where the respondents can mention what they think are the most interesting aspects of the game and gaming as a whole which is beneficial in providing more detailed information. This tool guarantees a combination of qualitative and quantitative data allowing a deeper understanding of the explaining variables.</w:t>
      </w:r>
    </w:p>
    <w:p w:rsidR="00A30731" w:rsidRDefault="00A30731">
      <w:pPr>
        <w:rPr>
          <w:rFonts w:ascii="Arial" w:hAnsi="Arial"/>
          <w:b/>
          <w:color w:val="000000"/>
          <w:sz w:val="20"/>
          <w:szCs w:val="20"/>
        </w:rPr>
      </w:pPr>
    </w:p>
    <w:p w:rsidR="00A30731" w:rsidRDefault="00A30731">
      <w:pPr>
        <w:rPr>
          <w:rFonts w:ascii="Arial" w:hAnsi="Arial"/>
          <w:color w:val="000000"/>
          <w:sz w:val="20"/>
          <w:szCs w:val="20"/>
        </w:rPr>
      </w:pPr>
    </w:p>
    <w:p w:rsidR="00A30731" w:rsidRDefault="008B07EA">
      <w:pPr>
        <w:rPr>
          <w:rFonts w:ascii="Arial" w:hAnsi="Arial"/>
          <w:b/>
          <w:color w:val="000000"/>
          <w:sz w:val="20"/>
          <w:szCs w:val="20"/>
        </w:rPr>
      </w:pPr>
      <w:r>
        <w:rPr>
          <w:rFonts w:ascii="Arial" w:hAnsi="Arial"/>
          <w:color w:val="000000"/>
          <w:sz w:val="20"/>
          <w:szCs w:val="20"/>
        </w:rPr>
        <w:t xml:space="preserve">      At first, it can be considered an ethical issue to </w:t>
      </w:r>
      <w:proofErr w:type="gramStart"/>
      <w:r>
        <w:rPr>
          <w:rFonts w:ascii="Arial" w:hAnsi="Arial"/>
          <w:color w:val="000000"/>
          <w:sz w:val="20"/>
          <w:szCs w:val="20"/>
        </w:rPr>
        <w:t>take into account</w:t>
      </w:r>
      <w:proofErr w:type="gramEnd"/>
      <w:r>
        <w:rPr>
          <w:rFonts w:ascii="Arial" w:hAnsi="Arial"/>
          <w:color w:val="000000"/>
          <w:sz w:val="20"/>
          <w:szCs w:val="20"/>
        </w:rPr>
        <w:t xml:space="preserve"> the parameters of engagement that are subjectively perceived by players of Call of Duty, and that relate to the experience of the game. For example, subjects are informed about the details of the work and their right to withdraw at any point before the study, and only after that provide their consent. All gaming and personal information must be anonymized in order to achieve the expected level of privacy. But the harm such psychologists can do is limited; the researchers would make attempts to circumscribe risks such as stress and overeating and encourage healthy gaming practices.</w:t>
      </w:r>
    </w:p>
    <w:p w:rsidR="00A30731" w:rsidRDefault="00A30731">
      <w:pPr>
        <w:rPr>
          <w:rFonts w:ascii="Arial" w:hAnsi="Arial"/>
          <w:color w:val="000000"/>
          <w:sz w:val="20"/>
          <w:szCs w:val="20"/>
        </w:rPr>
      </w:pPr>
    </w:p>
    <w:p w:rsidR="00A30731" w:rsidRDefault="00A30731">
      <w:pPr>
        <w:rPr>
          <w:rFonts w:ascii="Arial" w:hAnsi="Arial"/>
          <w:color w:val="000000"/>
          <w:sz w:val="20"/>
          <w:szCs w:val="20"/>
        </w:rPr>
      </w:pPr>
    </w:p>
    <w:p w:rsidR="00A30731" w:rsidRDefault="008B07EA">
      <w:pPr>
        <w:rPr>
          <w:rFonts w:ascii="Arial" w:hAnsi="Arial"/>
          <w:smallCaps/>
          <w:color w:val="000000"/>
          <w:sz w:val="22"/>
          <w:szCs w:val="22"/>
        </w:rPr>
      </w:pPr>
      <w:r>
        <w:rPr>
          <w:rFonts w:ascii="Arial" w:hAnsi="Arial"/>
          <w:smallCaps/>
          <w:color w:val="000000"/>
          <w:sz w:val="22"/>
          <w:szCs w:val="22"/>
        </w:rPr>
        <w:t>3. RESULTS AND DISCUSSIONS</w:t>
      </w:r>
    </w:p>
    <w:p w:rsidR="00A30731" w:rsidRDefault="00A30731">
      <w:pPr>
        <w:rPr>
          <w:rFonts w:ascii="Arial" w:hAnsi="Arial"/>
          <w:color w:val="000000"/>
          <w:sz w:val="20"/>
          <w:szCs w:val="20"/>
        </w:rPr>
      </w:pPr>
    </w:p>
    <w:p w:rsidR="00A30731" w:rsidRDefault="008B07EA">
      <w:pPr>
        <w:rPr>
          <w:rFonts w:ascii="Arial" w:hAnsi="Arial"/>
          <w:sz w:val="22"/>
          <w:szCs w:val="22"/>
        </w:rPr>
      </w:pPr>
      <w:r>
        <w:rPr>
          <w:rFonts w:ascii="Arial" w:hAnsi="Arial"/>
          <w:color w:val="000000"/>
        </w:rPr>
        <w:t>Table 1. Results</w:t>
      </w:r>
      <w:r w:rsidR="005B1B64">
        <w:rPr>
          <w:rFonts w:ascii="Arial" w:hAnsi="Arial"/>
          <w:color w:val="000000"/>
        </w:rPr>
        <w:t xml:space="preserve"> of </w:t>
      </w:r>
      <w:r w:rsidR="005B1B64" w:rsidRPr="005B1B64">
        <w:rPr>
          <w:rFonts w:ascii="Arial" w:hAnsi="Arial"/>
          <w:color w:val="000000"/>
        </w:rPr>
        <w:t>the participants’ engagement with the game</w:t>
      </w:r>
    </w:p>
    <w:p w:rsidR="00A30731" w:rsidRDefault="00A30731">
      <w:pPr>
        <w:rPr>
          <w:rFonts w:ascii="Arial" w:hAnsi="Arial"/>
          <w:sz w:val="22"/>
          <w:szCs w:val="22"/>
        </w:rPr>
      </w:pPr>
    </w:p>
    <w:tbl>
      <w:tblPr>
        <w:tblStyle w:val="Style72"/>
        <w:tblW w:w="6357" w:type="dxa"/>
        <w:tblLayout w:type="fixed"/>
        <w:tblLook w:val="04A0" w:firstRow="1" w:lastRow="0" w:firstColumn="1" w:lastColumn="0" w:noHBand="0" w:noVBand="1"/>
      </w:tblPr>
      <w:tblGrid>
        <w:gridCol w:w="2348"/>
        <w:gridCol w:w="714"/>
        <w:gridCol w:w="825"/>
        <w:gridCol w:w="2470"/>
      </w:tblGrid>
      <w:tr w:rsidR="00A30731">
        <w:tc>
          <w:tcPr>
            <w:tcW w:w="2348"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Game Engagement</w:t>
            </w:r>
          </w:p>
        </w:tc>
        <w:tc>
          <w:tcPr>
            <w:tcW w:w="714"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  n</w:t>
            </w:r>
          </w:p>
        </w:tc>
        <w:tc>
          <w:tcPr>
            <w:tcW w:w="825"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  SD</w:t>
            </w:r>
          </w:p>
        </w:tc>
        <w:tc>
          <w:tcPr>
            <w:tcW w:w="2470"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Descriptive Equivalent</w:t>
            </w:r>
          </w:p>
        </w:tc>
      </w:tr>
      <w:tr w:rsidR="00A30731">
        <w:tc>
          <w:tcPr>
            <w:tcW w:w="2348" w:type="dxa"/>
            <w:tcBorders>
              <w:top w:val="single" w:sz="4" w:space="0" w:color="000000"/>
            </w:tcBorders>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Emotional Involvement</w:t>
            </w:r>
          </w:p>
        </w:tc>
        <w:tc>
          <w:tcPr>
            <w:tcW w:w="714" w:type="dxa"/>
            <w:tcBorders>
              <w:top w:val="single" w:sz="4" w:space="0" w:color="000000"/>
            </w:tcBorders>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3.23</w:t>
            </w:r>
          </w:p>
        </w:tc>
        <w:tc>
          <w:tcPr>
            <w:tcW w:w="825" w:type="dxa"/>
            <w:tcBorders>
              <w:top w:val="single" w:sz="4" w:space="0" w:color="000000"/>
            </w:tcBorders>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0.578</w:t>
            </w:r>
          </w:p>
        </w:tc>
        <w:tc>
          <w:tcPr>
            <w:tcW w:w="2470" w:type="dxa"/>
            <w:tcBorders>
              <w:top w:val="single" w:sz="4" w:space="0" w:color="000000"/>
            </w:tcBorders>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r w:rsidR="00A30731">
        <w:tc>
          <w:tcPr>
            <w:tcW w:w="2348"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Concentration</w:t>
            </w:r>
          </w:p>
        </w:tc>
        <w:tc>
          <w:tcPr>
            <w:tcW w:w="714"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3.28</w:t>
            </w:r>
          </w:p>
        </w:tc>
        <w:tc>
          <w:tcPr>
            <w:tcW w:w="825"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0.518</w:t>
            </w:r>
          </w:p>
        </w:tc>
        <w:tc>
          <w:tcPr>
            <w:tcW w:w="2470" w:type="dxa"/>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r w:rsidR="00A30731">
        <w:tc>
          <w:tcPr>
            <w:tcW w:w="2348"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Competence</w:t>
            </w:r>
          </w:p>
        </w:tc>
        <w:tc>
          <w:tcPr>
            <w:tcW w:w="714"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3.32</w:t>
            </w:r>
          </w:p>
        </w:tc>
        <w:tc>
          <w:tcPr>
            <w:tcW w:w="825"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0.491</w:t>
            </w:r>
          </w:p>
        </w:tc>
        <w:tc>
          <w:tcPr>
            <w:tcW w:w="2470" w:type="dxa"/>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r w:rsidR="00A30731">
        <w:tc>
          <w:tcPr>
            <w:tcW w:w="2348" w:type="dxa"/>
            <w:tcBorders>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Overall</w:t>
            </w:r>
          </w:p>
        </w:tc>
        <w:tc>
          <w:tcPr>
            <w:tcW w:w="714" w:type="dxa"/>
            <w:tcBorders>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3.28</w:t>
            </w:r>
          </w:p>
        </w:tc>
        <w:tc>
          <w:tcPr>
            <w:tcW w:w="825" w:type="dxa"/>
            <w:tcBorders>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0.450</w:t>
            </w:r>
          </w:p>
        </w:tc>
        <w:tc>
          <w:tcPr>
            <w:tcW w:w="2470" w:type="dxa"/>
            <w:tcBorders>
              <w:bottom w:val="single" w:sz="4" w:space="0" w:color="000000"/>
            </w:tcBorders>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bl>
    <w:p w:rsidR="00A30731" w:rsidRDefault="00A30731">
      <w:pPr>
        <w:rPr>
          <w:rFonts w:ascii="Arial" w:hAnsi="Arial"/>
          <w:color w:val="000000"/>
          <w:sz w:val="20"/>
          <w:szCs w:val="20"/>
        </w:rPr>
      </w:pPr>
    </w:p>
    <w:p w:rsidR="00A30731" w:rsidRDefault="008B07EA">
      <w:pPr>
        <w:spacing w:after="240"/>
        <w:rPr>
          <w:rFonts w:ascii="Arial" w:hAnsi="Arial"/>
          <w:b/>
          <w:color w:val="000000"/>
          <w:sz w:val="20"/>
          <w:szCs w:val="20"/>
        </w:rPr>
      </w:pPr>
      <w:r>
        <w:rPr>
          <w:rFonts w:ascii="Arial" w:hAnsi="Arial"/>
          <w:color w:val="000000"/>
          <w:sz w:val="20"/>
          <w:szCs w:val="20"/>
        </w:rPr>
        <w:t>     According to the results, it can be observed that the participants’ engagement with the game was at a neutral level as a majority of the responses (Emotional Involvement, Concentration, Competence and Overall Engagement) were rated on an average between 3.23 and 3.32 which can be classified as “Neutral” on the scale. The low standard deviations (0.450 to 0.578) encountered would also tend to imply that there was high uniformity in the responses, meaning that the players did not consider themselves to be highly engrossed or emotionally attached to the game. Overall, these findings suggest that the game fails to emotionally engage, concentrate or elevate the competence of the participant as one would have anticipated.</w:t>
      </w:r>
    </w:p>
    <w:p w:rsidR="00A30731" w:rsidRDefault="008B07EA">
      <w:pPr>
        <w:rPr>
          <w:rFonts w:ascii="Arial" w:hAnsi="Arial"/>
          <w:color w:val="000000"/>
          <w:sz w:val="20"/>
          <w:szCs w:val="20"/>
        </w:rPr>
      </w:pPr>
      <w:r>
        <w:rPr>
          <w:rFonts w:ascii="Arial" w:hAnsi="Arial"/>
          <w:color w:val="000000"/>
          <w:sz w:val="20"/>
          <w:szCs w:val="20"/>
        </w:rPr>
        <w:t>Table 2. Results</w:t>
      </w:r>
      <w:r w:rsidR="005B1B64">
        <w:rPr>
          <w:rFonts w:ascii="Arial" w:hAnsi="Arial"/>
          <w:color w:val="000000"/>
          <w:sz w:val="20"/>
          <w:szCs w:val="20"/>
        </w:rPr>
        <w:t xml:space="preserve"> of </w:t>
      </w:r>
      <w:r w:rsidR="005B1B64" w:rsidRPr="005B1B64">
        <w:rPr>
          <w:rFonts w:ascii="Arial" w:hAnsi="Arial"/>
          <w:color w:val="000000"/>
          <w:sz w:val="20"/>
          <w:szCs w:val="20"/>
        </w:rPr>
        <w:t xml:space="preserve">the </w:t>
      </w:r>
      <w:r w:rsidR="005B1B64">
        <w:rPr>
          <w:rFonts w:ascii="Arial" w:hAnsi="Arial"/>
          <w:color w:val="000000"/>
          <w:sz w:val="20"/>
          <w:szCs w:val="20"/>
        </w:rPr>
        <w:t xml:space="preserve">participant </w:t>
      </w:r>
      <w:r w:rsidR="005B1B64" w:rsidRPr="005B1B64">
        <w:rPr>
          <w:rFonts w:ascii="Arial" w:hAnsi="Arial"/>
          <w:color w:val="000000"/>
          <w:sz w:val="20"/>
          <w:szCs w:val="20"/>
        </w:rPr>
        <w:t xml:space="preserve">Perceived Experience </w:t>
      </w:r>
    </w:p>
    <w:p w:rsidR="00A30731" w:rsidRDefault="00A30731">
      <w:pPr>
        <w:rPr>
          <w:rFonts w:ascii="Arial" w:hAnsi="Arial"/>
          <w:color w:val="000000"/>
          <w:sz w:val="20"/>
          <w:szCs w:val="20"/>
        </w:rPr>
      </w:pPr>
    </w:p>
    <w:tbl>
      <w:tblPr>
        <w:tblStyle w:val="Style73"/>
        <w:tblW w:w="6512" w:type="dxa"/>
        <w:tblLayout w:type="fixed"/>
        <w:tblLook w:val="04A0" w:firstRow="1" w:lastRow="0" w:firstColumn="1" w:lastColumn="0" w:noHBand="0" w:noVBand="1"/>
      </w:tblPr>
      <w:tblGrid>
        <w:gridCol w:w="2392"/>
        <w:gridCol w:w="714"/>
        <w:gridCol w:w="825"/>
        <w:gridCol w:w="2581"/>
      </w:tblGrid>
      <w:tr w:rsidR="00A30731">
        <w:tc>
          <w:tcPr>
            <w:tcW w:w="2392"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Perceived Experience</w:t>
            </w:r>
          </w:p>
        </w:tc>
        <w:tc>
          <w:tcPr>
            <w:tcW w:w="714"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  n</w:t>
            </w:r>
          </w:p>
        </w:tc>
        <w:tc>
          <w:tcPr>
            <w:tcW w:w="825"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  SD</w:t>
            </w:r>
          </w:p>
        </w:tc>
        <w:tc>
          <w:tcPr>
            <w:tcW w:w="2581"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  Descriptive Equivalent</w:t>
            </w:r>
          </w:p>
        </w:tc>
      </w:tr>
      <w:tr w:rsidR="00A30731">
        <w:tc>
          <w:tcPr>
            <w:tcW w:w="2392" w:type="dxa"/>
            <w:tcBorders>
              <w:top w:val="single" w:sz="4" w:space="0" w:color="000000"/>
            </w:tcBorders>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Autonomy</w:t>
            </w:r>
          </w:p>
        </w:tc>
        <w:tc>
          <w:tcPr>
            <w:tcW w:w="714" w:type="dxa"/>
            <w:tcBorders>
              <w:top w:val="single" w:sz="4" w:space="0" w:color="000000"/>
            </w:tcBorders>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3.34</w:t>
            </w:r>
          </w:p>
        </w:tc>
        <w:tc>
          <w:tcPr>
            <w:tcW w:w="825" w:type="dxa"/>
            <w:tcBorders>
              <w:top w:val="single" w:sz="4" w:space="0" w:color="000000"/>
            </w:tcBorders>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0.579</w:t>
            </w:r>
          </w:p>
        </w:tc>
        <w:tc>
          <w:tcPr>
            <w:tcW w:w="2581" w:type="dxa"/>
            <w:tcBorders>
              <w:top w:val="single" w:sz="4" w:space="0" w:color="000000"/>
            </w:tcBorders>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r w:rsidR="00A30731">
        <w:tc>
          <w:tcPr>
            <w:tcW w:w="2392"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Competence</w:t>
            </w:r>
          </w:p>
        </w:tc>
        <w:tc>
          <w:tcPr>
            <w:tcW w:w="714"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3.33</w:t>
            </w:r>
          </w:p>
        </w:tc>
        <w:tc>
          <w:tcPr>
            <w:tcW w:w="825"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0.610</w:t>
            </w:r>
          </w:p>
        </w:tc>
        <w:tc>
          <w:tcPr>
            <w:tcW w:w="2581" w:type="dxa"/>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r w:rsidR="00A30731">
        <w:tc>
          <w:tcPr>
            <w:tcW w:w="2392"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lastRenderedPageBreak/>
              <w:t>Relatedness</w:t>
            </w:r>
          </w:p>
        </w:tc>
        <w:tc>
          <w:tcPr>
            <w:tcW w:w="714"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3.35</w:t>
            </w:r>
          </w:p>
        </w:tc>
        <w:tc>
          <w:tcPr>
            <w:tcW w:w="825" w:type="dxa"/>
            <w:tcMar>
              <w:top w:w="0" w:type="dxa"/>
              <w:left w:w="108" w:type="dxa"/>
              <w:bottom w:w="0" w:type="dxa"/>
              <w:right w:w="108" w:type="dxa"/>
            </w:tcMar>
            <w:vAlign w:val="center"/>
          </w:tcPr>
          <w:p w:rsidR="00A30731" w:rsidRDefault="008B07EA">
            <w:pPr>
              <w:ind w:left="108"/>
              <w:rPr>
                <w:rFonts w:ascii="Arial" w:hAnsi="Arial"/>
              </w:rPr>
            </w:pPr>
            <w:r>
              <w:rPr>
                <w:rFonts w:ascii="Arial" w:hAnsi="Arial"/>
                <w:color w:val="000000"/>
              </w:rPr>
              <w:t>0.604</w:t>
            </w:r>
          </w:p>
        </w:tc>
        <w:tc>
          <w:tcPr>
            <w:tcW w:w="2581" w:type="dxa"/>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r w:rsidR="00A30731">
        <w:trPr>
          <w:trHeight w:val="125"/>
        </w:trPr>
        <w:tc>
          <w:tcPr>
            <w:tcW w:w="2392" w:type="dxa"/>
            <w:tcBorders>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Overall</w:t>
            </w:r>
          </w:p>
        </w:tc>
        <w:tc>
          <w:tcPr>
            <w:tcW w:w="714" w:type="dxa"/>
            <w:tcBorders>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3.34</w:t>
            </w:r>
          </w:p>
        </w:tc>
        <w:tc>
          <w:tcPr>
            <w:tcW w:w="825" w:type="dxa"/>
            <w:tcBorders>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0.541</w:t>
            </w:r>
          </w:p>
        </w:tc>
        <w:tc>
          <w:tcPr>
            <w:tcW w:w="2581" w:type="dxa"/>
            <w:tcBorders>
              <w:bottom w:val="single" w:sz="4" w:space="0" w:color="000000"/>
            </w:tcBorders>
            <w:tcMar>
              <w:top w:w="0" w:type="dxa"/>
              <w:left w:w="108" w:type="dxa"/>
              <w:bottom w:w="0" w:type="dxa"/>
              <w:right w:w="108" w:type="dxa"/>
            </w:tcMar>
          </w:tcPr>
          <w:p w:rsidR="00A30731" w:rsidRDefault="008B07EA">
            <w:pPr>
              <w:ind w:left="108"/>
              <w:jc w:val="center"/>
              <w:rPr>
                <w:rFonts w:ascii="Arial" w:hAnsi="Arial"/>
              </w:rPr>
            </w:pPr>
            <w:r>
              <w:rPr>
                <w:rFonts w:ascii="Arial" w:hAnsi="Arial"/>
                <w:color w:val="000000"/>
              </w:rPr>
              <w:t>Neutral</w:t>
            </w:r>
          </w:p>
        </w:tc>
      </w:tr>
    </w:tbl>
    <w:p w:rsidR="00A30731" w:rsidRDefault="00A30731">
      <w:pPr>
        <w:spacing w:after="240"/>
        <w:rPr>
          <w:rFonts w:ascii="Arial" w:hAnsi="Arial"/>
          <w:b/>
          <w:color w:val="000000"/>
          <w:sz w:val="20"/>
          <w:szCs w:val="20"/>
        </w:rPr>
      </w:pPr>
    </w:p>
    <w:p w:rsidR="00A30731" w:rsidRDefault="008B07EA">
      <w:pPr>
        <w:spacing w:after="240"/>
        <w:rPr>
          <w:rFonts w:ascii="Arial" w:hAnsi="Arial"/>
          <w:b/>
          <w:color w:val="000000"/>
          <w:sz w:val="20"/>
          <w:szCs w:val="20"/>
        </w:rPr>
      </w:pPr>
      <w:r>
        <w:rPr>
          <w:rFonts w:ascii="Arial" w:hAnsi="Arial"/>
          <w:color w:val="000000"/>
          <w:sz w:val="20"/>
          <w:szCs w:val="20"/>
        </w:rPr>
        <w:t>     According to the findings, the participants’ experience pertaining to autonomy, competence, and relatedness has been rated quite average in all cases with a score of at least 3.33 to 3.35 with classification being “Neutral Alias.” The standard deviations of the mean responses (0.541 to 0.610) were relatively small. Furthermore, this means that the game did not seem to greatly satisfy the players’ desires for autonomy, competence, or relatedness. All in all, the game did not elicit a great amount of personal autonomy, strength, or interaction with others, which is substantiated by all neutral ratings obtained for all factors.</w:t>
      </w:r>
    </w:p>
    <w:p w:rsidR="00A30731" w:rsidRDefault="008B07EA">
      <w:pPr>
        <w:spacing w:after="240"/>
        <w:rPr>
          <w:rFonts w:ascii="Arial" w:hAnsi="Arial"/>
          <w:color w:val="000000"/>
          <w:sz w:val="20"/>
          <w:szCs w:val="20"/>
        </w:rPr>
      </w:pPr>
      <w:r>
        <w:rPr>
          <w:rFonts w:ascii="Arial" w:hAnsi="Arial"/>
          <w:color w:val="000000"/>
          <w:sz w:val="20"/>
          <w:szCs w:val="20"/>
        </w:rPr>
        <w:t>Table 3. Correlation between Game Engagement and Perceived Experience</w:t>
      </w:r>
    </w:p>
    <w:tbl>
      <w:tblPr>
        <w:tblStyle w:val="Style74"/>
        <w:tblW w:w="5615" w:type="dxa"/>
        <w:tblLayout w:type="fixed"/>
        <w:tblLook w:val="04A0" w:firstRow="1" w:lastRow="0" w:firstColumn="1" w:lastColumn="0" w:noHBand="0" w:noVBand="1"/>
      </w:tblPr>
      <w:tblGrid>
        <w:gridCol w:w="2059"/>
        <w:gridCol w:w="2392"/>
        <w:gridCol w:w="1164"/>
      </w:tblGrid>
      <w:tr w:rsidR="00A30731">
        <w:tc>
          <w:tcPr>
            <w:tcW w:w="2059" w:type="dxa"/>
            <w:tcBorders>
              <w:top w:val="single" w:sz="4" w:space="0" w:color="000000"/>
              <w:bottom w:val="single" w:sz="4" w:space="0" w:color="000000"/>
            </w:tcBorders>
            <w:tcMar>
              <w:top w:w="0" w:type="dxa"/>
              <w:left w:w="108" w:type="dxa"/>
              <w:bottom w:w="0" w:type="dxa"/>
              <w:right w:w="108" w:type="dxa"/>
            </w:tcMar>
          </w:tcPr>
          <w:p w:rsidR="00A30731" w:rsidRDefault="00A30731">
            <w:pPr>
              <w:rPr>
                <w:rFonts w:ascii="Arial" w:hAnsi="Arial"/>
              </w:rPr>
            </w:pPr>
          </w:p>
        </w:tc>
        <w:tc>
          <w:tcPr>
            <w:tcW w:w="2392"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Perceived Experience</w:t>
            </w:r>
          </w:p>
        </w:tc>
        <w:tc>
          <w:tcPr>
            <w:tcW w:w="1164"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Decision</w:t>
            </w:r>
          </w:p>
        </w:tc>
      </w:tr>
      <w:tr w:rsidR="00A30731">
        <w:tc>
          <w:tcPr>
            <w:tcW w:w="2059" w:type="dxa"/>
            <w:tcBorders>
              <w:top w:val="single" w:sz="4" w:space="0" w:color="000000"/>
              <w:bottom w:val="single" w:sz="4" w:space="0" w:color="000000"/>
            </w:tcBorders>
            <w:tcMar>
              <w:top w:w="0" w:type="dxa"/>
              <w:left w:w="108" w:type="dxa"/>
              <w:bottom w:w="0" w:type="dxa"/>
              <w:right w:w="108" w:type="dxa"/>
            </w:tcMar>
          </w:tcPr>
          <w:p w:rsidR="00A30731" w:rsidRDefault="008B07EA">
            <w:pPr>
              <w:ind w:left="108"/>
              <w:rPr>
                <w:rFonts w:ascii="Arial" w:hAnsi="Arial"/>
              </w:rPr>
            </w:pPr>
            <w:r>
              <w:rPr>
                <w:rFonts w:ascii="Arial" w:hAnsi="Arial"/>
                <w:color w:val="000000"/>
              </w:rPr>
              <w:t>Game Engagement</w:t>
            </w:r>
          </w:p>
        </w:tc>
        <w:tc>
          <w:tcPr>
            <w:tcW w:w="2392" w:type="dxa"/>
            <w:tcBorders>
              <w:top w:val="single" w:sz="4" w:space="0" w:color="000000"/>
              <w:bottom w:val="single" w:sz="4" w:space="0" w:color="000000"/>
            </w:tcBorders>
            <w:tcMar>
              <w:top w:w="0" w:type="dxa"/>
              <w:left w:w="108" w:type="dxa"/>
              <w:bottom w:w="0" w:type="dxa"/>
              <w:right w:w="108" w:type="dxa"/>
            </w:tcMar>
          </w:tcPr>
          <w:p w:rsidR="00A30731" w:rsidRDefault="00A30731">
            <w:pPr>
              <w:rPr>
                <w:rFonts w:ascii="Arial" w:hAnsi="Arial"/>
              </w:rPr>
            </w:pPr>
          </w:p>
          <w:p w:rsidR="00A30731" w:rsidRDefault="008B07EA">
            <w:pPr>
              <w:ind w:left="108"/>
              <w:rPr>
                <w:rFonts w:ascii="Arial" w:hAnsi="Arial"/>
              </w:rPr>
            </w:pPr>
            <w:r>
              <w:rPr>
                <w:rFonts w:ascii="Arial" w:hAnsi="Arial"/>
                <w:color w:val="000000"/>
              </w:rPr>
              <w:t>0.724</w:t>
            </w:r>
          </w:p>
          <w:p w:rsidR="00A30731" w:rsidRDefault="008B07EA">
            <w:pPr>
              <w:ind w:left="108"/>
              <w:rPr>
                <w:rFonts w:ascii="Arial" w:hAnsi="Arial"/>
              </w:rPr>
            </w:pPr>
            <w:r>
              <w:rPr>
                <w:rFonts w:ascii="Arial" w:hAnsi="Arial"/>
                <w:color w:val="000000"/>
              </w:rPr>
              <w:t>(&lt;0.001)</w:t>
            </w:r>
          </w:p>
        </w:tc>
        <w:tc>
          <w:tcPr>
            <w:tcW w:w="1164" w:type="dxa"/>
            <w:tcBorders>
              <w:top w:val="single" w:sz="4" w:space="0" w:color="000000"/>
              <w:bottom w:val="single" w:sz="4" w:space="0" w:color="000000"/>
            </w:tcBorders>
            <w:tcMar>
              <w:top w:w="0" w:type="dxa"/>
              <w:left w:w="108" w:type="dxa"/>
              <w:bottom w:w="0" w:type="dxa"/>
              <w:right w:w="108" w:type="dxa"/>
            </w:tcMar>
          </w:tcPr>
          <w:p w:rsidR="00A30731" w:rsidRDefault="00A30731">
            <w:pPr>
              <w:rPr>
                <w:rFonts w:ascii="Arial" w:hAnsi="Arial"/>
              </w:rPr>
            </w:pPr>
          </w:p>
          <w:p w:rsidR="00A30731" w:rsidRDefault="008B07EA">
            <w:pPr>
              <w:ind w:left="108"/>
              <w:rPr>
                <w:rFonts w:ascii="Arial" w:hAnsi="Arial"/>
              </w:rPr>
            </w:pPr>
            <w:r>
              <w:rPr>
                <w:rFonts w:ascii="Arial" w:hAnsi="Arial"/>
                <w:color w:val="000000"/>
              </w:rPr>
              <w:t>Reject H</w:t>
            </w:r>
            <w:r>
              <w:rPr>
                <w:rFonts w:ascii="Arial" w:hAnsi="Arial"/>
                <w:color w:val="000000"/>
                <w:vertAlign w:val="subscript"/>
              </w:rPr>
              <w:t>o</w:t>
            </w:r>
          </w:p>
        </w:tc>
      </w:tr>
    </w:tbl>
    <w:p w:rsidR="00A30731" w:rsidRDefault="008B07EA">
      <w:pPr>
        <w:spacing w:after="240"/>
        <w:rPr>
          <w:rFonts w:ascii="Arial" w:hAnsi="Arial"/>
          <w:b/>
          <w:color w:val="000000"/>
          <w:sz w:val="20"/>
          <w:szCs w:val="20"/>
        </w:rPr>
      </w:pPr>
      <w:r>
        <w:rPr>
          <w:rFonts w:ascii="Arial" w:hAnsi="Arial"/>
          <w:color w:val="000000"/>
          <w:sz w:val="20"/>
          <w:szCs w:val="20"/>
        </w:rPr>
        <w:br/>
        <w:t>    Table 3: Shows the correlation between Game Engagement and Perceived Experience. Pearson-r was utilized to investigate if game engagement significantly correlated with the perceived experience. Result reveals that there is a strong positive monotonic correlation between Game Engagement and Perceived Experience as perceived by the respondents (r=0.724, n=201, p=&lt; .001). Statistically, this implies that when the level of game engagement increases, the level of perceived experience of the students will not decrease but there is a possibility that it will increase. </w:t>
      </w:r>
    </w:p>
    <w:p w:rsidR="00A30731" w:rsidRDefault="008B07EA">
      <w:pPr>
        <w:spacing w:after="240"/>
        <w:rPr>
          <w:rFonts w:ascii="Arial" w:hAnsi="Arial"/>
          <w:b/>
          <w:color w:val="000000"/>
          <w:sz w:val="20"/>
          <w:szCs w:val="20"/>
        </w:rPr>
      </w:pPr>
      <w:r>
        <w:rPr>
          <w:rFonts w:ascii="Arial" w:hAnsi="Arial"/>
          <w:color w:val="000000"/>
          <w:sz w:val="20"/>
          <w:szCs w:val="20"/>
        </w:rPr>
        <w:t>Table 4. Significant Influence of Game Engagement to the Perceived Experiences</w:t>
      </w:r>
      <w:r>
        <w:rPr>
          <w:rFonts w:ascii="Arial" w:hAnsi="Arial"/>
          <w:color w:val="000000"/>
          <w:sz w:val="20"/>
          <w:szCs w:val="20"/>
        </w:rPr>
        <w:br/>
      </w:r>
    </w:p>
    <w:tbl>
      <w:tblPr>
        <w:tblStyle w:val="Style75"/>
        <w:tblW w:w="7160" w:type="dxa"/>
        <w:tblLayout w:type="fixed"/>
        <w:tblLook w:val="04A0" w:firstRow="1" w:lastRow="0" w:firstColumn="1" w:lastColumn="0" w:noHBand="0" w:noVBand="1"/>
      </w:tblPr>
      <w:tblGrid>
        <w:gridCol w:w="2230"/>
        <w:gridCol w:w="170"/>
        <w:gridCol w:w="877"/>
        <w:gridCol w:w="189"/>
        <w:gridCol w:w="833"/>
        <w:gridCol w:w="170"/>
        <w:gridCol w:w="613"/>
        <w:gridCol w:w="170"/>
        <w:gridCol w:w="769"/>
        <w:gridCol w:w="170"/>
        <w:gridCol w:w="969"/>
      </w:tblGrid>
      <w:tr w:rsidR="00A30731">
        <w:trPr>
          <w:tblHeader/>
        </w:trPr>
        <w:tc>
          <w:tcPr>
            <w:tcW w:w="2408"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Predictor</w:t>
            </w:r>
          </w:p>
        </w:tc>
        <w:tc>
          <w:tcPr>
            <w:tcW w:w="1074"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rPr>
                <w:rFonts w:ascii="Arial" w:hAnsi="Arial"/>
              </w:rPr>
            </w:pPr>
            <w:r>
              <w:rPr>
                <w:rFonts w:ascii="Arial" w:hAnsi="Arial"/>
                <w:color w:val="000000"/>
              </w:rPr>
              <w:t>Estimate</w:t>
            </w:r>
          </w:p>
        </w:tc>
        <w:tc>
          <w:tcPr>
            <w:tcW w:w="996"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 xml:space="preserve">   SE</w:t>
            </w:r>
          </w:p>
        </w:tc>
        <w:tc>
          <w:tcPr>
            <w:tcW w:w="774"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  t</w:t>
            </w:r>
          </w:p>
        </w:tc>
        <w:tc>
          <w:tcPr>
            <w:tcW w:w="931"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i/>
                <w:color w:val="000000"/>
              </w:rPr>
              <w:t xml:space="preserve">   P</w:t>
            </w:r>
          </w:p>
        </w:tc>
        <w:tc>
          <w:tcPr>
            <w:tcW w:w="978" w:type="dxa"/>
            <w:tcBorders>
              <w:top w:val="single" w:sz="6" w:space="0" w:color="333333"/>
              <w:bottom w:val="single" w:sz="6" w:space="0" w:color="333333"/>
            </w:tcBorders>
          </w:tcPr>
          <w:p w:rsidR="00A30731" w:rsidRDefault="008B07EA">
            <w:pPr>
              <w:ind w:left="108"/>
              <w:rPr>
                <w:rFonts w:ascii="Arial" w:hAnsi="Arial"/>
              </w:rPr>
            </w:pPr>
            <w:r>
              <w:rPr>
                <w:rFonts w:ascii="Arial" w:hAnsi="Arial"/>
                <w:color w:val="000000"/>
              </w:rPr>
              <w:t>Decision</w:t>
            </w:r>
          </w:p>
        </w:tc>
      </w:tr>
      <w:tr w:rsidR="00A30731">
        <w:tc>
          <w:tcPr>
            <w:tcW w:w="2252"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Intercept</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885"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0.425</w:t>
            </w:r>
          </w:p>
        </w:tc>
        <w:tc>
          <w:tcPr>
            <w:tcW w:w="189"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840"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0.1949</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618"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2.18</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775"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0.031</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978" w:type="dxa"/>
            <w:tcBorders>
              <w:top w:val="single" w:sz="6" w:space="0" w:color="333333"/>
            </w:tcBorders>
          </w:tcPr>
          <w:p w:rsidR="00A30731" w:rsidRDefault="00A30731">
            <w:pPr>
              <w:rPr>
                <w:rFonts w:ascii="Arial" w:hAnsi="Arial"/>
              </w:rPr>
            </w:pPr>
          </w:p>
        </w:tc>
      </w:tr>
      <w:tr w:rsidR="00A30731">
        <w:tc>
          <w:tcPr>
            <w:tcW w:w="225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Emotional Involvement</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885"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0.267</w:t>
            </w:r>
          </w:p>
        </w:tc>
        <w:tc>
          <w:tcPr>
            <w:tcW w:w="189" w:type="dxa"/>
            <w:tcMar>
              <w:top w:w="30" w:type="dxa"/>
              <w:left w:w="30" w:type="dxa"/>
              <w:bottom w:w="30" w:type="dxa"/>
              <w:right w:w="120" w:type="dxa"/>
            </w:tcMar>
            <w:vAlign w:val="center"/>
          </w:tcPr>
          <w:p w:rsidR="00A30731" w:rsidRDefault="00A30731">
            <w:pPr>
              <w:rPr>
                <w:rFonts w:ascii="Arial" w:hAnsi="Arial"/>
              </w:rPr>
            </w:pPr>
          </w:p>
        </w:tc>
        <w:tc>
          <w:tcPr>
            <w:tcW w:w="840"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0.0588</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18"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4.55</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775"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&lt; .001</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978" w:type="dxa"/>
          </w:tcPr>
          <w:p w:rsidR="00A30731" w:rsidRDefault="008B07EA">
            <w:pPr>
              <w:ind w:left="108"/>
              <w:rPr>
                <w:rFonts w:ascii="Arial" w:hAnsi="Arial"/>
              </w:rPr>
            </w:pPr>
            <w:r>
              <w:rPr>
                <w:rFonts w:ascii="Arial" w:hAnsi="Arial"/>
                <w:color w:val="000000"/>
              </w:rPr>
              <w:t>Reject H</w:t>
            </w:r>
            <w:r>
              <w:rPr>
                <w:rFonts w:ascii="Arial" w:hAnsi="Arial"/>
                <w:color w:val="000000"/>
                <w:vertAlign w:val="subscript"/>
              </w:rPr>
              <w:t>o</w:t>
            </w:r>
          </w:p>
        </w:tc>
      </w:tr>
      <w:tr w:rsidR="00A30731">
        <w:tc>
          <w:tcPr>
            <w:tcW w:w="225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Concentration</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885"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0.171</w:t>
            </w:r>
          </w:p>
        </w:tc>
        <w:tc>
          <w:tcPr>
            <w:tcW w:w="189" w:type="dxa"/>
            <w:tcMar>
              <w:top w:w="30" w:type="dxa"/>
              <w:left w:w="30" w:type="dxa"/>
              <w:bottom w:w="30" w:type="dxa"/>
              <w:right w:w="120" w:type="dxa"/>
            </w:tcMar>
            <w:vAlign w:val="center"/>
          </w:tcPr>
          <w:p w:rsidR="00A30731" w:rsidRDefault="00A30731">
            <w:pPr>
              <w:rPr>
                <w:rFonts w:ascii="Arial" w:hAnsi="Arial"/>
              </w:rPr>
            </w:pPr>
          </w:p>
        </w:tc>
        <w:tc>
          <w:tcPr>
            <w:tcW w:w="840"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0.0706</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18"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2.42</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775"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0.016</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978" w:type="dxa"/>
          </w:tcPr>
          <w:p w:rsidR="00A30731" w:rsidRDefault="008B07EA">
            <w:pPr>
              <w:ind w:left="108"/>
              <w:rPr>
                <w:rFonts w:ascii="Arial" w:hAnsi="Arial"/>
              </w:rPr>
            </w:pPr>
            <w:r>
              <w:rPr>
                <w:rFonts w:ascii="Arial" w:hAnsi="Arial"/>
                <w:color w:val="000000"/>
              </w:rPr>
              <w:t>Reject H</w:t>
            </w:r>
            <w:r>
              <w:rPr>
                <w:rFonts w:ascii="Arial" w:hAnsi="Arial"/>
                <w:color w:val="000000"/>
                <w:vertAlign w:val="subscript"/>
              </w:rPr>
              <w:t>o</w:t>
            </w:r>
          </w:p>
        </w:tc>
      </w:tr>
      <w:tr w:rsidR="00A30731">
        <w:tc>
          <w:tcPr>
            <w:tcW w:w="2252" w:type="dxa"/>
            <w:tcBorders>
              <w:bottom w:val="single" w:sz="12" w:space="0" w:color="333333"/>
            </w:tcBorders>
            <w:tcMar>
              <w:top w:w="30" w:type="dxa"/>
              <w:left w:w="120" w:type="dxa"/>
              <w:bottom w:w="120" w:type="dxa"/>
              <w:right w:w="0" w:type="dxa"/>
            </w:tcMar>
            <w:vAlign w:val="center"/>
          </w:tcPr>
          <w:p w:rsidR="00A30731" w:rsidRDefault="008B07EA">
            <w:pPr>
              <w:ind w:left="108"/>
              <w:rPr>
                <w:rFonts w:ascii="Arial" w:hAnsi="Arial"/>
              </w:rPr>
            </w:pPr>
            <w:r>
              <w:rPr>
                <w:rFonts w:ascii="Arial" w:hAnsi="Arial"/>
                <w:color w:val="000000"/>
              </w:rPr>
              <w:t>Competence</w:t>
            </w:r>
          </w:p>
        </w:tc>
        <w:tc>
          <w:tcPr>
            <w:tcW w:w="156" w:type="dxa"/>
            <w:tcBorders>
              <w:bottom w:val="single" w:sz="12" w:space="0" w:color="333333"/>
            </w:tcBorders>
            <w:tcMar>
              <w:top w:w="30" w:type="dxa"/>
              <w:left w:w="30" w:type="dxa"/>
              <w:bottom w:w="120" w:type="dxa"/>
              <w:right w:w="120" w:type="dxa"/>
            </w:tcMar>
            <w:vAlign w:val="center"/>
          </w:tcPr>
          <w:p w:rsidR="00A30731" w:rsidRDefault="00A30731">
            <w:pPr>
              <w:rPr>
                <w:rFonts w:ascii="Arial" w:hAnsi="Arial"/>
              </w:rPr>
            </w:pPr>
          </w:p>
        </w:tc>
        <w:tc>
          <w:tcPr>
            <w:tcW w:w="885" w:type="dxa"/>
            <w:tcBorders>
              <w:bottom w:val="single" w:sz="12" w:space="0" w:color="333333"/>
            </w:tcBorders>
            <w:tcMar>
              <w:top w:w="30" w:type="dxa"/>
              <w:left w:w="120" w:type="dxa"/>
              <w:bottom w:w="120" w:type="dxa"/>
              <w:right w:w="0" w:type="dxa"/>
            </w:tcMar>
            <w:vAlign w:val="center"/>
          </w:tcPr>
          <w:p w:rsidR="00A30731" w:rsidRDefault="008B07EA">
            <w:pPr>
              <w:ind w:left="108"/>
              <w:rPr>
                <w:rFonts w:ascii="Arial" w:hAnsi="Arial"/>
              </w:rPr>
            </w:pPr>
            <w:r>
              <w:rPr>
                <w:rFonts w:ascii="Arial" w:hAnsi="Arial"/>
                <w:color w:val="000000"/>
              </w:rPr>
              <w:t>0.449</w:t>
            </w:r>
          </w:p>
        </w:tc>
        <w:tc>
          <w:tcPr>
            <w:tcW w:w="189" w:type="dxa"/>
            <w:tcBorders>
              <w:bottom w:val="single" w:sz="12" w:space="0" w:color="333333"/>
            </w:tcBorders>
            <w:tcMar>
              <w:top w:w="30" w:type="dxa"/>
              <w:left w:w="30" w:type="dxa"/>
              <w:bottom w:w="120" w:type="dxa"/>
              <w:right w:w="120" w:type="dxa"/>
            </w:tcMar>
            <w:vAlign w:val="center"/>
          </w:tcPr>
          <w:p w:rsidR="00A30731" w:rsidRDefault="00A30731">
            <w:pPr>
              <w:rPr>
                <w:rFonts w:ascii="Arial" w:hAnsi="Arial"/>
              </w:rPr>
            </w:pPr>
          </w:p>
        </w:tc>
        <w:tc>
          <w:tcPr>
            <w:tcW w:w="840" w:type="dxa"/>
            <w:tcBorders>
              <w:bottom w:val="single" w:sz="12" w:space="0" w:color="333333"/>
            </w:tcBorders>
            <w:tcMar>
              <w:top w:w="30" w:type="dxa"/>
              <w:left w:w="120" w:type="dxa"/>
              <w:bottom w:w="120" w:type="dxa"/>
              <w:right w:w="0" w:type="dxa"/>
            </w:tcMar>
            <w:vAlign w:val="center"/>
          </w:tcPr>
          <w:p w:rsidR="00A30731" w:rsidRDefault="008B07EA">
            <w:pPr>
              <w:ind w:left="108"/>
              <w:rPr>
                <w:rFonts w:ascii="Arial" w:hAnsi="Arial"/>
              </w:rPr>
            </w:pPr>
            <w:r>
              <w:rPr>
                <w:rFonts w:ascii="Arial" w:hAnsi="Arial"/>
                <w:color w:val="000000"/>
              </w:rPr>
              <w:t>0.0697</w:t>
            </w:r>
          </w:p>
        </w:tc>
        <w:tc>
          <w:tcPr>
            <w:tcW w:w="156" w:type="dxa"/>
            <w:tcBorders>
              <w:bottom w:val="single" w:sz="12" w:space="0" w:color="333333"/>
            </w:tcBorders>
            <w:tcMar>
              <w:top w:w="30" w:type="dxa"/>
              <w:left w:w="30" w:type="dxa"/>
              <w:bottom w:w="120" w:type="dxa"/>
              <w:right w:w="120" w:type="dxa"/>
            </w:tcMar>
            <w:vAlign w:val="center"/>
          </w:tcPr>
          <w:p w:rsidR="00A30731" w:rsidRDefault="00A30731">
            <w:pPr>
              <w:rPr>
                <w:rFonts w:ascii="Arial" w:hAnsi="Arial"/>
              </w:rPr>
            </w:pPr>
          </w:p>
        </w:tc>
        <w:tc>
          <w:tcPr>
            <w:tcW w:w="618" w:type="dxa"/>
            <w:tcBorders>
              <w:bottom w:val="single" w:sz="12" w:space="0" w:color="333333"/>
            </w:tcBorders>
            <w:tcMar>
              <w:top w:w="30" w:type="dxa"/>
              <w:left w:w="120" w:type="dxa"/>
              <w:bottom w:w="120" w:type="dxa"/>
              <w:right w:w="0" w:type="dxa"/>
            </w:tcMar>
            <w:vAlign w:val="center"/>
          </w:tcPr>
          <w:p w:rsidR="00A30731" w:rsidRDefault="008B07EA">
            <w:pPr>
              <w:ind w:left="108"/>
              <w:rPr>
                <w:rFonts w:ascii="Arial" w:hAnsi="Arial"/>
              </w:rPr>
            </w:pPr>
            <w:r>
              <w:rPr>
                <w:rFonts w:ascii="Arial" w:hAnsi="Arial"/>
                <w:color w:val="000000"/>
              </w:rPr>
              <w:t>6.44</w:t>
            </w:r>
          </w:p>
        </w:tc>
        <w:tc>
          <w:tcPr>
            <w:tcW w:w="156" w:type="dxa"/>
            <w:tcBorders>
              <w:bottom w:val="single" w:sz="12" w:space="0" w:color="333333"/>
            </w:tcBorders>
            <w:tcMar>
              <w:top w:w="30" w:type="dxa"/>
              <w:left w:w="30" w:type="dxa"/>
              <w:bottom w:w="120" w:type="dxa"/>
              <w:right w:w="120" w:type="dxa"/>
            </w:tcMar>
            <w:vAlign w:val="center"/>
          </w:tcPr>
          <w:p w:rsidR="00A30731" w:rsidRDefault="00A30731">
            <w:pPr>
              <w:rPr>
                <w:rFonts w:ascii="Arial" w:hAnsi="Arial"/>
              </w:rPr>
            </w:pPr>
          </w:p>
        </w:tc>
        <w:tc>
          <w:tcPr>
            <w:tcW w:w="775" w:type="dxa"/>
            <w:tcBorders>
              <w:bottom w:val="single" w:sz="12" w:space="0" w:color="333333"/>
            </w:tcBorders>
            <w:tcMar>
              <w:top w:w="30" w:type="dxa"/>
              <w:left w:w="120" w:type="dxa"/>
              <w:bottom w:w="120" w:type="dxa"/>
              <w:right w:w="0" w:type="dxa"/>
            </w:tcMar>
            <w:vAlign w:val="center"/>
          </w:tcPr>
          <w:p w:rsidR="00A30731" w:rsidRDefault="008B07EA">
            <w:pPr>
              <w:ind w:left="108"/>
              <w:rPr>
                <w:rFonts w:ascii="Arial" w:hAnsi="Arial"/>
              </w:rPr>
            </w:pPr>
            <w:r>
              <w:rPr>
                <w:rFonts w:ascii="Arial" w:hAnsi="Arial"/>
                <w:color w:val="000000"/>
              </w:rPr>
              <w:t>&lt; .001</w:t>
            </w:r>
          </w:p>
        </w:tc>
        <w:tc>
          <w:tcPr>
            <w:tcW w:w="156" w:type="dxa"/>
            <w:tcBorders>
              <w:bottom w:val="single" w:sz="12" w:space="0" w:color="333333"/>
            </w:tcBorders>
            <w:tcMar>
              <w:top w:w="30" w:type="dxa"/>
              <w:left w:w="30" w:type="dxa"/>
              <w:bottom w:w="120" w:type="dxa"/>
              <w:right w:w="120" w:type="dxa"/>
            </w:tcMar>
            <w:vAlign w:val="center"/>
          </w:tcPr>
          <w:p w:rsidR="00A30731" w:rsidRDefault="00A30731">
            <w:pPr>
              <w:rPr>
                <w:rFonts w:ascii="Arial" w:hAnsi="Arial"/>
              </w:rPr>
            </w:pPr>
          </w:p>
        </w:tc>
        <w:tc>
          <w:tcPr>
            <w:tcW w:w="978" w:type="dxa"/>
            <w:tcBorders>
              <w:bottom w:val="single" w:sz="12" w:space="0" w:color="333333"/>
            </w:tcBorders>
          </w:tcPr>
          <w:p w:rsidR="00A30731" w:rsidRDefault="008B07EA">
            <w:pPr>
              <w:ind w:left="108"/>
              <w:rPr>
                <w:rFonts w:ascii="Arial" w:hAnsi="Arial"/>
              </w:rPr>
            </w:pPr>
            <w:r>
              <w:rPr>
                <w:rFonts w:ascii="Arial" w:hAnsi="Arial"/>
                <w:color w:val="000000"/>
              </w:rPr>
              <w:t>Reject H</w:t>
            </w:r>
            <w:r>
              <w:rPr>
                <w:rFonts w:ascii="Arial" w:hAnsi="Arial"/>
                <w:color w:val="000000"/>
                <w:vertAlign w:val="subscript"/>
              </w:rPr>
              <w:t>o</w:t>
            </w:r>
          </w:p>
        </w:tc>
      </w:tr>
      <w:tr w:rsidR="00A30731">
        <w:tc>
          <w:tcPr>
            <w:tcW w:w="6183" w:type="dxa"/>
            <w:gridSpan w:val="10"/>
            <w:tcBorders>
              <w:top w:val="single" w:sz="12" w:space="0" w:color="333333"/>
            </w:tcBorders>
            <w:tcMar>
              <w:top w:w="90" w:type="dxa"/>
              <w:left w:w="120" w:type="dxa"/>
              <w:bottom w:w="30" w:type="dxa"/>
              <w:right w:w="120" w:type="dxa"/>
            </w:tcMar>
            <w:vAlign w:val="center"/>
          </w:tcPr>
          <w:p w:rsidR="00A30731" w:rsidRDefault="008B07EA">
            <w:pPr>
              <w:spacing w:line="360" w:lineRule="auto"/>
              <w:ind w:left="108"/>
              <w:rPr>
                <w:rFonts w:ascii="Arial" w:hAnsi="Arial"/>
              </w:rPr>
            </w:pPr>
            <w:r>
              <w:rPr>
                <w:rFonts w:ascii="Arial" w:hAnsi="Arial"/>
                <w:color w:val="000000"/>
              </w:rPr>
              <w:t>R= 0.734, R</w:t>
            </w:r>
            <w:r>
              <w:rPr>
                <w:rFonts w:ascii="Arial" w:hAnsi="Arial"/>
                <w:color w:val="000000"/>
                <w:vertAlign w:val="superscript"/>
              </w:rPr>
              <w:t>2</w:t>
            </w:r>
            <w:r>
              <w:rPr>
                <w:rFonts w:ascii="Arial" w:hAnsi="Arial"/>
                <w:color w:val="000000"/>
              </w:rPr>
              <w:t xml:space="preserve">= 0.538, F= 77.40, </w:t>
            </w:r>
            <w:r>
              <w:rPr>
                <w:rFonts w:ascii="Arial" w:hAnsi="Arial"/>
                <w:i/>
                <w:color w:val="000000"/>
              </w:rPr>
              <w:t>P= &lt;.001</w:t>
            </w:r>
          </w:p>
        </w:tc>
        <w:tc>
          <w:tcPr>
            <w:tcW w:w="978" w:type="dxa"/>
            <w:tcBorders>
              <w:top w:val="single" w:sz="12" w:space="0" w:color="333333"/>
            </w:tcBorders>
          </w:tcPr>
          <w:p w:rsidR="00A30731" w:rsidRDefault="00A30731">
            <w:pPr>
              <w:spacing w:line="360" w:lineRule="auto"/>
              <w:rPr>
                <w:rFonts w:ascii="Arial" w:hAnsi="Arial"/>
              </w:rPr>
            </w:pPr>
          </w:p>
        </w:tc>
      </w:tr>
    </w:tbl>
    <w:p w:rsidR="00A30731" w:rsidRDefault="008B07EA">
      <w:pPr>
        <w:spacing w:after="240"/>
        <w:rPr>
          <w:rFonts w:ascii="Arial" w:hAnsi="Arial"/>
          <w:b/>
          <w:color w:val="000000"/>
          <w:sz w:val="20"/>
          <w:szCs w:val="20"/>
        </w:rPr>
      </w:pPr>
      <w:r>
        <w:rPr>
          <w:rFonts w:ascii="Arial" w:hAnsi="Arial"/>
          <w:color w:val="000000"/>
          <w:sz w:val="20"/>
          <w:szCs w:val="20"/>
        </w:rPr>
        <w:lastRenderedPageBreak/>
        <w:t>    Table 4: Show the significant influence of the game engagement to the perceived experience. To investigate the significant influence, the research utilized linear regression. As shown in the table, among the indicators of game engagement, all the indicators namely emotional involvement, concentration, competence made a unique significant contribution to the model and influence on the level of perceived experience of the respondents with a p value of &lt;.001, .016, and &lt;.001 respectively. It revealed further that 53.80% of the indicators of game engagement significantly influenced the perceived experience, which means that 46.20% is not part of the study under investigation.</w:t>
      </w:r>
    </w:p>
    <w:p w:rsidR="00A30731" w:rsidRDefault="008B07EA">
      <w:pPr>
        <w:spacing w:after="240"/>
        <w:rPr>
          <w:rFonts w:ascii="Arial" w:hAnsi="Arial"/>
          <w:b/>
          <w:color w:val="000000"/>
          <w:sz w:val="20"/>
          <w:szCs w:val="20"/>
        </w:rPr>
      </w:pPr>
      <w:r>
        <w:rPr>
          <w:rFonts w:ascii="Arial" w:hAnsi="Arial"/>
          <w:color w:val="000000"/>
          <w:sz w:val="20"/>
          <w:szCs w:val="20"/>
        </w:rPr>
        <w:t>Fig 3</w:t>
      </w:r>
      <w:r w:rsidR="005B1B64">
        <w:rPr>
          <w:rFonts w:ascii="Arial" w:hAnsi="Arial"/>
          <w:color w:val="000000"/>
          <w:sz w:val="20"/>
          <w:szCs w:val="20"/>
        </w:rPr>
        <w:t xml:space="preserve">. </w:t>
      </w:r>
      <w:r>
        <w:rPr>
          <w:rFonts w:ascii="Arial" w:hAnsi="Arial"/>
          <w:color w:val="000000"/>
          <w:sz w:val="20"/>
          <w:szCs w:val="20"/>
        </w:rPr>
        <w:t>Scatter Plot</w:t>
      </w:r>
      <w:r>
        <w:rPr>
          <w:noProof/>
          <w:lang w:val="en-US" w:eastAsia="en-US"/>
        </w:rPr>
        <w:drawing>
          <wp:anchor distT="0" distB="0" distL="114300" distR="114300" simplePos="0" relativeHeight="251662336" behindDoc="0" locked="0" layoutInCell="1" allowOverlap="1">
            <wp:simplePos x="0" y="0"/>
            <wp:positionH relativeFrom="column">
              <wp:posOffset>1086485</wp:posOffset>
            </wp:positionH>
            <wp:positionV relativeFrom="paragraph">
              <wp:posOffset>290195</wp:posOffset>
            </wp:positionV>
            <wp:extent cx="2590800" cy="2430780"/>
            <wp:effectExtent l="0" t="0" r="0" b="0"/>
            <wp:wrapTopAndBottom/>
            <wp:docPr id="2060358573" name="image2.png"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060358573" name="image2.png" descr="A screen shot of a graph&#10;&#10;Description automatically generated"/>
                    <pic:cNvPicPr preferRelativeResize="0"/>
                  </pic:nvPicPr>
                  <pic:blipFill>
                    <a:blip r:embed="rId16"/>
                    <a:srcRect/>
                    <a:stretch>
                      <a:fillRect/>
                    </a:stretch>
                  </pic:blipFill>
                  <pic:spPr>
                    <a:xfrm>
                      <a:off x="0" y="0"/>
                      <a:ext cx="2590800" cy="2430780"/>
                    </a:xfrm>
                    <a:prstGeom prst="rect">
                      <a:avLst/>
                    </a:prstGeom>
                  </pic:spPr>
                </pic:pic>
              </a:graphicData>
            </a:graphic>
          </wp:anchor>
        </w:drawing>
      </w:r>
      <w:r w:rsidR="005B1B64">
        <w:rPr>
          <w:rFonts w:ascii="Arial" w:hAnsi="Arial"/>
          <w:color w:val="000000"/>
          <w:sz w:val="20"/>
          <w:szCs w:val="20"/>
        </w:rPr>
        <w:t xml:space="preserve"> between Game engagement and perceived experience</w:t>
      </w:r>
    </w:p>
    <w:p w:rsidR="00A30731" w:rsidRDefault="00A30731">
      <w:pPr>
        <w:spacing w:after="240"/>
        <w:rPr>
          <w:rFonts w:ascii="Arial" w:hAnsi="Arial"/>
          <w:b/>
          <w:color w:val="000000"/>
          <w:sz w:val="20"/>
          <w:szCs w:val="20"/>
        </w:rPr>
      </w:pPr>
    </w:p>
    <w:tbl>
      <w:tblPr>
        <w:tblStyle w:val="Style76"/>
        <w:tblW w:w="3270" w:type="dxa"/>
        <w:tblLayout w:type="fixed"/>
        <w:tblLook w:val="04A0" w:firstRow="1" w:lastRow="0" w:firstColumn="1" w:lastColumn="0" w:noHBand="0" w:noVBand="1"/>
      </w:tblPr>
      <w:tblGrid>
        <w:gridCol w:w="641"/>
        <w:gridCol w:w="170"/>
        <w:gridCol w:w="553"/>
        <w:gridCol w:w="170"/>
        <w:gridCol w:w="676"/>
        <w:gridCol w:w="173"/>
        <w:gridCol w:w="717"/>
        <w:gridCol w:w="170"/>
      </w:tblGrid>
      <w:tr w:rsidR="00A30731">
        <w:trPr>
          <w:tblHeader/>
        </w:trPr>
        <w:tc>
          <w:tcPr>
            <w:tcW w:w="3270" w:type="dxa"/>
            <w:gridSpan w:val="8"/>
            <w:tcBorders>
              <w:bottom w:val="single" w:sz="6" w:space="0" w:color="333333"/>
            </w:tcBorders>
            <w:tcMar>
              <w:top w:w="60" w:type="dxa"/>
              <w:left w:w="0" w:type="dxa"/>
              <w:bottom w:w="60" w:type="dxa"/>
              <w:right w:w="120" w:type="dxa"/>
            </w:tcMar>
            <w:vAlign w:val="center"/>
          </w:tcPr>
          <w:p w:rsidR="00A30731" w:rsidRDefault="00D305B2">
            <w:pPr>
              <w:ind w:left="108"/>
              <w:rPr>
                <w:rFonts w:ascii="Arial" w:hAnsi="Arial"/>
              </w:rPr>
            </w:pPr>
            <w:r>
              <w:rPr>
                <w:rFonts w:ascii="Arial" w:hAnsi="Arial"/>
                <w:color w:val="000000"/>
              </w:rPr>
              <w:t xml:space="preserve"> Table 5. </w:t>
            </w:r>
            <w:r w:rsidR="008B07EA">
              <w:rPr>
                <w:rFonts w:ascii="Arial" w:hAnsi="Arial"/>
                <w:color w:val="000000"/>
              </w:rPr>
              <w:t>Descriptive</w:t>
            </w:r>
            <w:r w:rsidR="005B1B64">
              <w:rPr>
                <w:rFonts w:ascii="Arial" w:hAnsi="Arial"/>
                <w:color w:val="000000"/>
              </w:rPr>
              <w:t xml:space="preserve"> Table</w:t>
            </w:r>
            <w:r>
              <w:rPr>
                <w:rFonts w:ascii="Arial" w:hAnsi="Arial"/>
                <w:color w:val="000000"/>
              </w:rPr>
              <w:t xml:space="preserve"> 1</w:t>
            </w:r>
          </w:p>
        </w:tc>
      </w:tr>
      <w:tr w:rsidR="00A30731">
        <w:trPr>
          <w:tblHeader/>
        </w:trPr>
        <w:tc>
          <w:tcPr>
            <w:tcW w:w="807"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 </w:t>
            </w:r>
          </w:p>
        </w:tc>
        <w:tc>
          <w:tcPr>
            <w:tcW w:w="718"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N</w:t>
            </w:r>
          </w:p>
        </w:tc>
        <w:tc>
          <w:tcPr>
            <w:tcW w:w="860"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Mean</w:t>
            </w:r>
          </w:p>
        </w:tc>
        <w:tc>
          <w:tcPr>
            <w:tcW w:w="885" w:type="dxa"/>
            <w:gridSpan w:val="2"/>
            <w:tcBorders>
              <w:top w:val="single" w:sz="6" w:space="0" w:color="333333"/>
              <w:bottom w:val="single" w:sz="6" w:space="0" w:color="333333"/>
            </w:tcBorders>
            <w:tcMar>
              <w:top w:w="60" w:type="dxa"/>
              <w:left w:w="120" w:type="dxa"/>
              <w:bottom w:w="60" w:type="dxa"/>
              <w:right w:w="120" w:type="dxa"/>
            </w:tcMar>
            <w:vAlign w:val="center"/>
          </w:tcPr>
          <w:p w:rsidR="00A30731" w:rsidRDefault="008B07EA">
            <w:pPr>
              <w:ind w:left="108"/>
              <w:rPr>
                <w:rFonts w:ascii="Arial" w:hAnsi="Arial"/>
              </w:rPr>
            </w:pPr>
            <w:r>
              <w:rPr>
                <w:rFonts w:ascii="Arial" w:hAnsi="Arial"/>
                <w:color w:val="000000"/>
              </w:rPr>
              <w:t>SD</w:t>
            </w:r>
          </w:p>
        </w:tc>
      </w:tr>
      <w:tr w:rsidR="00A30731">
        <w:tc>
          <w:tcPr>
            <w:tcW w:w="651"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IV1</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562"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687"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3.27</w:t>
            </w:r>
          </w:p>
        </w:tc>
        <w:tc>
          <w:tcPr>
            <w:tcW w:w="173"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c>
          <w:tcPr>
            <w:tcW w:w="729" w:type="dxa"/>
            <w:tcBorders>
              <w:top w:val="single" w:sz="6" w:space="0" w:color="333333"/>
            </w:tcBorders>
            <w:tcMar>
              <w:top w:w="120" w:type="dxa"/>
              <w:left w:w="120" w:type="dxa"/>
              <w:bottom w:w="30" w:type="dxa"/>
              <w:right w:w="0" w:type="dxa"/>
            </w:tcMar>
            <w:vAlign w:val="center"/>
          </w:tcPr>
          <w:p w:rsidR="00A30731" w:rsidRDefault="008B07EA">
            <w:pPr>
              <w:ind w:left="108"/>
              <w:rPr>
                <w:rFonts w:ascii="Arial" w:hAnsi="Arial"/>
              </w:rPr>
            </w:pPr>
            <w:r>
              <w:rPr>
                <w:rFonts w:ascii="Arial" w:hAnsi="Arial"/>
                <w:color w:val="000000"/>
              </w:rPr>
              <w:t>0.866</w:t>
            </w:r>
          </w:p>
        </w:tc>
        <w:tc>
          <w:tcPr>
            <w:tcW w:w="156" w:type="dxa"/>
            <w:tcBorders>
              <w:top w:val="single" w:sz="6" w:space="0" w:color="333333"/>
            </w:tcBorders>
            <w:tcMar>
              <w:top w:w="12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IV2</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2.90</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1.034</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IV3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3.40</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0.908</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IV4</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3.19</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0.774</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IV5</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3.41</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0.847</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CN1</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3.33</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0.701</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CN2</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3.36</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0.824</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lastRenderedPageBreak/>
              <w:t>CN3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3.34</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0.808</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CN4</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3.02</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0.977</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CN5</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3.35</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0.827</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CM1</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3.07</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0.641</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CM2</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3.33</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0.859</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CM3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3.40</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0.760</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CM4</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3.42</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0.788</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CM5</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3.38</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0.751</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AT1</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3.35</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0.804</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AT2</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3.26</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0.830</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AT3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3.30</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0.739</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AT4</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3.40</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0.734</w:t>
            </w:r>
          </w:p>
        </w:tc>
        <w:tc>
          <w:tcPr>
            <w:tcW w:w="156" w:type="dxa"/>
            <w:tcMar>
              <w:top w:w="30" w:type="dxa"/>
              <w:left w:w="30" w:type="dxa"/>
              <w:bottom w:w="30" w:type="dxa"/>
              <w:right w:w="120" w:type="dxa"/>
            </w:tcMar>
            <w:vAlign w:val="center"/>
          </w:tcPr>
          <w:p w:rsidR="00A30731" w:rsidRDefault="00A30731">
            <w:pPr>
              <w:rPr>
                <w:rFonts w:ascii="Arial" w:hAnsi="Arial"/>
              </w:rPr>
            </w:pPr>
          </w:p>
        </w:tc>
      </w:tr>
      <w:tr w:rsidR="00A30731">
        <w:trPr>
          <w:trHeight w:val="253"/>
        </w:trPr>
        <w:tc>
          <w:tcPr>
            <w:tcW w:w="651"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AT5</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562"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rsidR="00A30731" w:rsidRDefault="00A30731">
            <w:pPr>
              <w:rPr>
                <w:rFonts w:ascii="Arial" w:hAnsi="Arial"/>
              </w:rPr>
            </w:pPr>
          </w:p>
        </w:tc>
        <w:tc>
          <w:tcPr>
            <w:tcW w:w="687"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3.38</w:t>
            </w:r>
          </w:p>
        </w:tc>
        <w:tc>
          <w:tcPr>
            <w:tcW w:w="173" w:type="dxa"/>
            <w:tcMar>
              <w:top w:w="30" w:type="dxa"/>
              <w:left w:w="30" w:type="dxa"/>
              <w:bottom w:w="30" w:type="dxa"/>
              <w:right w:w="120" w:type="dxa"/>
            </w:tcMar>
            <w:vAlign w:val="center"/>
          </w:tcPr>
          <w:p w:rsidR="00A30731" w:rsidRDefault="00A30731">
            <w:pPr>
              <w:rPr>
                <w:rFonts w:ascii="Arial" w:hAnsi="Arial"/>
              </w:rPr>
            </w:pPr>
          </w:p>
        </w:tc>
        <w:tc>
          <w:tcPr>
            <w:tcW w:w="729" w:type="dxa"/>
            <w:tcMar>
              <w:top w:w="30" w:type="dxa"/>
              <w:left w:w="120" w:type="dxa"/>
              <w:bottom w:w="30" w:type="dxa"/>
              <w:right w:w="0" w:type="dxa"/>
            </w:tcMar>
            <w:vAlign w:val="center"/>
          </w:tcPr>
          <w:p w:rsidR="00A30731" w:rsidRDefault="008B07EA">
            <w:pPr>
              <w:ind w:left="108"/>
              <w:rPr>
                <w:rFonts w:ascii="Arial" w:hAnsi="Arial"/>
              </w:rPr>
            </w:pPr>
            <w:r>
              <w:rPr>
                <w:rFonts w:ascii="Arial" w:hAnsi="Arial"/>
                <w:color w:val="000000"/>
              </w:rPr>
              <w:t>0.724</w:t>
            </w:r>
          </w:p>
        </w:tc>
        <w:tc>
          <w:tcPr>
            <w:tcW w:w="156" w:type="dxa"/>
            <w:tcMar>
              <w:top w:w="30" w:type="dxa"/>
              <w:left w:w="30" w:type="dxa"/>
              <w:bottom w:w="30" w:type="dxa"/>
              <w:right w:w="120" w:type="dxa"/>
            </w:tcMar>
            <w:vAlign w:val="center"/>
          </w:tcPr>
          <w:p w:rsidR="00A30731" w:rsidRDefault="00A30731">
            <w:pPr>
              <w:rPr>
                <w:rFonts w:ascii="Arial" w:hAnsi="Arial"/>
              </w:rPr>
            </w:pPr>
          </w:p>
        </w:tc>
      </w:tr>
    </w:tbl>
    <w:p w:rsidR="00A30731" w:rsidRDefault="00A30731">
      <w:pPr>
        <w:spacing w:after="240"/>
        <w:rPr>
          <w:rFonts w:ascii="Arial" w:hAnsi="Arial"/>
          <w:b/>
          <w:color w:val="000000"/>
          <w:sz w:val="20"/>
          <w:szCs w:val="20"/>
        </w:rPr>
      </w:pPr>
    </w:p>
    <w:p w:rsidR="00A30731" w:rsidRDefault="00A30731">
      <w:pPr>
        <w:rPr>
          <w:rFonts w:ascii="Arial" w:hAnsi="Arial"/>
          <w:b/>
          <w:color w:val="000000"/>
          <w:sz w:val="20"/>
          <w:szCs w:val="20"/>
        </w:rPr>
      </w:pPr>
    </w:p>
    <w:tbl>
      <w:tblPr>
        <w:tblStyle w:val="Style77"/>
        <w:tblW w:w="6234" w:type="dxa"/>
        <w:tblLayout w:type="fixed"/>
        <w:tblLook w:val="04A0" w:firstRow="1" w:lastRow="0" w:firstColumn="1" w:lastColumn="0" w:noHBand="0" w:noVBand="1"/>
      </w:tblPr>
      <w:tblGrid>
        <w:gridCol w:w="312"/>
        <w:gridCol w:w="91"/>
        <w:gridCol w:w="2637"/>
        <w:gridCol w:w="238"/>
        <w:gridCol w:w="24"/>
        <w:gridCol w:w="803"/>
        <w:gridCol w:w="170"/>
        <w:gridCol w:w="683"/>
        <w:gridCol w:w="170"/>
        <w:gridCol w:w="1106"/>
      </w:tblGrid>
      <w:tr w:rsidR="00A30731">
        <w:trPr>
          <w:trHeight w:val="224"/>
          <w:tblHeader/>
        </w:trPr>
        <w:tc>
          <w:tcPr>
            <w:tcW w:w="6234" w:type="dxa"/>
            <w:gridSpan w:val="10"/>
            <w:tcBorders>
              <w:bottom w:val="single" w:sz="4" w:space="0" w:color="000000"/>
            </w:tcBorders>
            <w:tcMar>
              <w:top w:w="60" w:type="dxa"/>
              <w:left w:w="0" w:type="dxa"/>
              <w:bottom w:w="60" w:type="dxa"/>
              <w:right w:w="120" w:type="dxa"/>
            </w:tcMar>
            <w:vAlign w:val="center"/>
          </w:tcPr>
          <w:p w:rsidR="00A30731" w:rsidRDefault="00D305B2">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Table 6. </w:t>
            </w:r>
            <w:r w:rsidR="008B07EA">
              <w:rPr>
                <w:rFonts w:ascii="Times New Roman" w:eastAsia="Times New Roman" w:hAnsi="Times New Roman" w:cs="Times New Roman"/>
                <w:color w:val="000000"/>
                <w:sz w:val="22"/>
                <w:szCs w:val="22"/>
              </w:rPr>
              <w:t>Descriptive</w:t>
            </w:r>
            <w:r w:rsidR="005B1B64">
              <w:rPr>
                <w:rFonts w:ascii="Times New Roman" w:eastAsia="Times New Roman" w:hAnsi="Times New Roman" w:cs="Times New Roman"/>
                <w:color w:val="000000"/>
                <w:sz w:val="22"/>
                <w:szCs w:val="22"/>
              </w:rPr>
              <w:t xml:space="preserve"> Table</w:t>
            </w:r>
            <w:r>
              <w:rPr>
                <w:rFonts w:ascii="Times New Roman" w:eastAsia="Times New Roman" w:hAnsi="Times New Roman" w:cs="Times New Roman"/>
                <w:color w:val="000000"/>
                <w:sz w:val="22"/>
                <w:szCs w:val="22"/>
              </w:rPr>
              <w:t xml:space="preserve"> 2</w:t>
            </w:r>
            <w:bookmarkStart w:id="2" w:name="_GoBack"/>
            <w:bookmarkEnd w:id="2"/>
          </w:p>
        </w:tc>
      </w:tr>
      <w:tr w:rsidR="00A30731">
        <w:trPr>
          <w:trHeight w:val="28"/>
          <w:tblHeader/>
        </w:trPr>
        <w:tc>
          <w:tcPr>
            <w:tcW w:w="403" w:type="dxa"/>
            <w:gridSpan w:val="2"/>
            <w:tcBorders>
              <w:top w:val="single" w:sz="4" w:space="0" w:color="000000"/>
              <w:bottom w:val="single" w:sz="4" w:space="0" w:color="000000"/>
            </w:tcBorders>
            <w:tcMar>
              <w:top w:w="60" w:type="dxa"/>
              <w:left w:w="120" w:type="dxa"/>
              <w:bottom w:w="60" w:type="dxa"/>
              <w:right w:w="120" w:type="dxa"/>
            </w:tcMar>
            <w:vAlign w:val="center"/>
          </w:tcPr>
          <w:p w:rsidR="00A30731" w:rsidRDefault="008B07EA">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w:t>
            </w:r>
          </w:p>
        </w:tc>
        <w:tc>
          <w:tcPr>
            <w:tcW w:w="2637" w:type="dxa"/>
            <w:tcBorders>
              <w:top w:val="single" w:sz="4" w:space="0" w:color="000000"/>
              <w:bottom w:val="single" w:sz="4" w:space="0" w:color="000000"/>
            </w:tcBorders>
            <w:tcMar>
              <w:top w:w="60" w:type="dxa"/>
              <w:left w:w="120" w:type="dxa"/>
              <w:bottom w:w="60" w:type="dxa"/>
              <w:right w:w="120" w:type="dxa"/>
            </w:tcMar>
            <w:vAlign w:val="center"/>
          </w:tcPr>
          <w:p w:rsidR="00A30731" w:rsidRDefault="008B07EA">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     </w:t>
            </w:r>
          </w:p>
        </w:tc>
        <w:tc>
          <w:tcPr>
            <w:tcW w:w="262" w:type="dxa"/>
            <w:gridSpan w:val="2"/>
            <w:tcBorders>
              <w:top w:val="single" w:sz="4" w:space="0" w:color="000000"/>
              <w:bottom w:val="single" w:sz="4" w:space="0" w:color="000000"/>
            </w:tcBorders>
            <w:tcMar>
              <w:top w:w="60" w:type="dxa"/>
              <w:left w:w="120" w:type="dxa"/>
              <w:bottom w:w="60" w:type="dxa"/>
              <w:right w:w="120" w:type="dxa"/>
            </w:tcMar>
            <w:vAlign w:val="center"/>
          </w:tcPr>
          <w:p w:rsidR="00A30731" w:rsidRDefault="00A30731">
            <w:pPr>
              <w:ind w:left="108"/>
              <w:rPr>
                <w:rFonts w:ascii="Times New Roman" w:eastAsia="Times New Roman" w:hAnsi="Times New Roman" w:cs="Times New Roman"/>
              </w:rPr>
            </w:pPr>
          </w:p>
        </w:tc>
        <w:tc>
          <w:tcPr>
            <w:tcW w:w="2932" w:type="dxa"/>
            <w:gridSpan w:val="5"/>
            <w:tcBorders>
              <w:top w:val="single" w:sz="4" w:space="0" w:color="000000"/>
              <w:bottom w:val="single" w:sz="4" w:space="0" w:color="000000"/>
            </w:tcBorders>
            <w:tcMar>
              <w:top w:w="60" w:type="dxa"/>
              <w:left w:w="120" w:type="dxa"/>
              <w:bottom w:w="60" w:type="dxa"/>
              <w:right w:w="120" w:type="dxa"/>
            </w:tcMar>
            <w:vAlign w:val="center"/>
          </w:tcPr>
          <w:p w:rsidR="00A30731" w:rsidRDefault="008B07EA">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  N           Mean          SD</w:t>
            </w:r>
          </w:p>
        </w:tc>
      </w:tr>
      <w:tr w:rsidR="00A30731">
        <w:tc>
          <w:tcPr>
            <w:tcW w:w="3040" w:type="dxa"/>
            <w:gridSpan w:val="3"/>
            <w:tcBorders>
              <w:top w:val="single" w:sz="4" w:space="0" w:color="000000"/>
            </w:tcBorders>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SP1</w:t>
            </w:r>
          </w:p>
        </w:tc>
        <w:tc>
          <w:tcPr>
            <w:tcW w:w="238" w:type="dxa"/>
            <w:tcBorders>
              <w:top w:val="single" w:sz="4" w:space="0" w:color="000000"/>
            </w:tcBorders>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Borders>
              <w:top w:val="single" w:sz="4" w:space="0" w:color="000000"/>
            </w:tcBorders>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Borders>
              <w:top w:val="single" w:sz="4" w:space="0" w:color="000000"/>
            </w:tcBorders>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Borders>
              <w:top w:val="single" w:sz="4" w:space="0" w:color="000000"/>
            </w:tcBorders>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170" w:type="dxa"/>
            <w:tcBorders>
              <w:top w:val="single" w:sz="4" w:space="0" w:color="000000"/>
            </w:tcBorders>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Borders>
              <w:top w:val="single" w:sz="4" w:space="0" w:color="000000"/>
            </w:tcBorders>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0.795</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SP2</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0.764</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SP3</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0.775</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SP4</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3.29</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0.838</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SP5</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3.24</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0.842</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RT1</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0.775</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RT2</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0.781</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RT3</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0.775</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RT4</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3.40</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0.767</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RT5</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3.37</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0.749</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Emotional Involvement</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0.578</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Concentration</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3.28</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0.518</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Competence</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3.32</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0.491</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Autonomy</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0.579</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Competence (2)</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0.610</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Relatedness</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3.35</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0.604</w:t>
            </w:r>
          </w:p>
        </w:tc>
      </w:tr>
      <w:tr w:rsidR="00A30731">
        <w:tc>
          <w:tcPr>
            <w:tcW w:w="3040" w:type="dxa"/>
            <w:gridSpan w:val="3"/>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Game Engagement</w:t>
            </w:r>
          </w:p>
        </w:tc>
        <w:tc>
          <w:tcPr>
            <w:tcW w:w="238"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3.28</w:t>
            </w:r>
          </w:p>
        </w:tc>
        <w:tc>
          <w:tcPr>
            <w:tcW w:w="170" w:type="dxa"/>
            <w:tcMar>
              <w:top w:w="30" w:type="dxa"/>
              <w:left w:w="30" w:type="dxa"/>
              <w:bottom w:w="3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0.450</w:t>
            </w:r>
          </w:p>
        </w:tc>
      </w:tr>
      <w:tr w:rsidR="00A30731">
        <w:tc>
          <w:tcPr>
            <w:tcW w:w="3040" w:type="dxa"/>
            <w:gridSpan w:val="3"/>
            <w:tcMar>
              <w:top w:w="30" w:type="dxa"/>
              <w:left w:w="120" w:type="dxa"/>
              <w:bottom w:w="12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Perceived Experience</w:t>
            </w:r>
          </w:p>
        </w:tc>
        <w:tc>
          <w:tcPr>
            <w:tcW w:w="238" w:type="dxa"/>
            <w:tcMar>
              <w:top w:w="30" w:type="dxa"/>
              <w:left w:w="30" w:type="dxa"/>
              <w:bottom w:w="12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12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12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683" w:type="dxa"/>
            <w:tcMar>
              <w:top w:w="30" w:type="dxa"/>
              <w:left w:w="120" w:type="dxa"/>
              <w:bottom w:w="12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170" w:type="dxa"/>
            <w:tcMar>
              <w:top w:w="30" w:type="dxa"/>
              <w:left w:w="30" w:type="dxa"/>
              <w:bottom w:w="120" w:type="dxa"/>
              <w:right w:w="120" w:type="dxa"/>
            </w:tcMar>
            <w:vAlign w:val="center"/>
          </w:tcPr>
          <w:p w:rsidR="00A30731" w:rsidRDefault="00A30731">
            <w:pPr>
              <w:ind w:left="108"/>
              <w:rPr>
                <w:rFonts w:ascii="Times New Roman" w:eastAsia="Times New Roman" w:hAnsi="Times New Roman" w:cs="Times New Roman"/>
                <w:color w:val="000000"/>
                <w:sz w:val="22"/>
                <w:szCs w:val="22"/>
              </w:rPr>
            </w:pPr>
          </w:p>
        </w:tc>
        <w:tc>
          <w:tcPr>
            <w:tcW w:w="1106" w:type="dxa"/>
            <w:tcMar>
              <w:top w:w="30" w:type="dxa"/>
              <w:left w:w="120" w:type="dxa"/>
              <w:bottom w:w="120" w:type="dxa"/>
              <w:right w:w="0" w:type="dxa"/>
            </w:tcMar>
            <w:vAlign w:val="center"/>
          </w:tcPr>
          <w:p w:rsidR="00A30731" w:rsidRDefault="008B07EA">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0.541</w:t>
            </w:r>
          </w:p>
        </w:tc>
      </w:tr>
      <w:tr w:rsidR="00A30731">
        <w:trPr>
          <w:gridAfter w:val="9"/>
          <w:wAfter w:w="5922" w:type="dxa"/>
        </w:trPr>
        <w:tc>
          <w:tcPr>
            <w:tcW w:w="312" w:type="dxa"/>
            <w:tcMar>
              <w:top w:w="30" w:type="dxa"/>
              <w:left w:w="30" w:type="dxa"/>
              <w:bottom w:w="30" w:type="dxa"/>
              <w:right w:w="120" w:type="dxa"/>
            </w:tcMar>
            <w:vAlign w:val="center"/>
          </w:tcPr>
          <w:p w:rsidR="00A30731" w:rsidRDefault="00A30731">
            <w:pPr>
              <w:rPr>
                <w:rFonts w:ascii="Times New Roman" w:eastAsia="Times New Roman" w:hAnsi="Times New Roman" w:cs="Times New Roman"/>
              </w:rPr>
            </w:pPr>
          </w:p>
        </w:tc>
      </w:tr>
      <w:tr w:rsidR="00A30731">
        <w:trPr>
          <w:gridAfter w:val="9"/>
          <w:wAfter w:w="5922" w:type="dxa"/>
          <w:trHeight w:val="407"/>
        </w:trPr>
        <w:tc>
          <w:tcPr>
            <w:tcW w:w="312" w:type="dxa"/>
            <w:tcMar>
              <w:top w:w="30" w:type="dxa"/>
              <w:left w:w="30" w:type="dxa"/>
              <w:bottom w:w="30" w:type="dxa"/>
              <w:right w:w="120" w:type="dxa"/>
            </w:tcMar>
            <w:vAlign w:val="center"/>
          </w:tcPr>
          <w:p w:rsidR="00A30731" w:rsidRDefault="00A30731">
            <w:pPr>
              <w:rPr>
                <w:rFonts w:ascii="Times New Roman" w:eastAsia="Times New Roman" w:hAnsi="Times New Roman" w:cs="Times New Roman"/>
              </w:rPr>
            </w:pPr>
          </w:p>
        </w:tc>
      </w:tr>
    </w:tbl>
    <w:p w:rsidR="00A30731" w:rsidRDefault="008B07EA">
      <w:pPr>
        <w:keepNext/>
        <w:spacing w:after="240"/>
        <w:rPr>
          <w:rFonts w:ascii="Arial" w:hAnsi="Arial"/>
          <w:smallCaps/>
          <w:color w:val="000000"/>
          <w:sz w:val="22"/>
          <w:szCs w:val="22"/>
        </w:rPr>
      </w:pPr>
      <w:r>
        <w:rPr>
          <w:rFonts w:ascii="Arial" w:hAnsi="Arial"/>
          <w:smallCaps/>
          <w:color w:val="000000"/>
          <w:sz w:val="22"/>
          <w:szCs w:val="22"/>
        </w:rPr>
        <w:t>4. CONCLUSIONS AND RECOMMENDATIONS</w:t>
      </w:r>
    </w:p>
    <w:p w:rsidR="00A30731" w:rsidRDefault="008B07EA">
      <w:pPr>
        <w:spacing w:after="240"/>
        <w:rPr>
          <w:rFonts w:ascii="Arial" w:hAnsi="Arial"/>
          <w:color w:val="000000"/>
          <w:sz w:val="20"/>
          <w:szCs w:val="20"/>
        </w:rPr>
      </w:pPr>
      <w:r>
        <w:rPr>
          <w:rFonts w:ascii="Arial" w:hAnsi="Arial"/>
          <w:color w:val="000000"/>
          <w:sz w:val="20"/>
          <w:szCs w:val="20"/>
        </w:rPr>
        <w:t>4.1 Conclusions</w:t>
      </w:r>
    </w:p>
    <w:p w:rsidR="00A30731" w:rsidRDefault="008B07EA">
      <w:pPr>
        <w:spacing w:after="240"/>
        <w:rPr>
          <w:rFonts w:ascii="Arial" w:hAnsi="Arial"/>
          <w:b/>
          <w:color w:val="000000"/>
          <w:sz w:val="20"/>
          <w:szCs w:val="20"/>
        </w:rPr>
      </w:pPr>
      <w:r>
        <w:rPr>
          <w:rFonts w:ascii="Arial" w:hAnsi="Arial"/>
          <w:color w:val="000000"/>
          <w:sz w:val="20"/>
          <w:szCs w:val="20"/>
        </w:rPr>
        <w:t xml:space="preserve">   The following conclusions regarding the relationship between perceived experience and game engagement among Call of Duty players in </w:t>
      </w:r>
      <w:proofErr w:type="spellStart"/>
      <w:r>
        <w:rPr>
          <w:rFonts w:ascii="Arial" w:hAnsi="Arial"/>
          <w:color w:val="000000"/>
          <w:sz w:val="20"/>
          <w:szCs w:val="20"/>
        </w:rPr>
        <w:t>Bansalan</w:t>
      </w:r>
      <w:proofErr w:type="spellEnd"/>
      <w:r>
        <w:rPr>
          <w:rFonts w:ascii="Arial" w:hAnsi="Arial"/>
          <w:color w:val="000000"/>
          <w:sz w:val="20"/>
          <w:szCs w:val="20"/>
        </w:rPr>
        <w:t>, Davao del Sur, may be drawn based on the results of the study: </w:t>
      </w:r>
    </w:p>
    <w:p w:rsidR="00A30731" w:rsidRDefault="008B07EA">
      <w:pPr>
        <w:spacing w:after="240"/>
        <w:rPr>
          <w:rFonts w:ascii="Arial" w:hAnsi="Arial"/>
          <w:b/>
          <w:color w:val="000000"/>
          <w:sz w:val="20"/>
          <w:szCs w:val="20"/>
        </w:rPr>
      </w:pPr>
      <w:r>
        <w:rPr>
          <w:rFonts w:ascii="Arial" w:hAnsi="Arial"/>
          <w:color w:val="000000"/>
          <w:sz w:val="20"/>
          <w:szCs w:val="20"/>
        </w:rPr>
        <w:t>     Levels of game engagement and perceived experience that were neutral or between being fully negative and positive: The findings indicate that the game engagement levels, as well as the experiences players perceived, were largely neutral highlighting that emotional involvement, concentration, or ability were not incorporated in active gaming focus. Similarly, they scored neutral on perceived autonomy and relatedness as well as mastery of Call of Duty. This could be interpreted to suggest that those were some of the areas that the game could have improved so as to better address the users’ cognitive and affective as well as ego and social aspects of the users. </w:t>
      </w:r>
    </w:p>
    <w:p w:rsidR="00A30731" w:rsidRDefault="008B07EA">
      <w:pPr>
        <w:spacing w:after="240"/>
        <w:rPr>
          <w:rFonts w:ascii="Arial" w:hAnsi="Arial"/>
          <w:b/>
          <w:color w:val="000000"/>
          <w:sz w:val="20"/>
          <w:szCs w:val="20"/>
        </w:rPr>
      </w:pPr>
      <w:r>
        <w:rPr>
          <w:rFonts w:ascii="Arial" w:hAnsi="Arial"/>
          <w:color w:val="000000"/>
          <w:sz w:val="20"/>
          <w:szCs w:val="20"/>
        </w:rPr>
        <w:t>1. Positive correlation of strong magnitude: On the other hand, game engagement was found out to have a statistically strong positive correlation (r = 0.724, p &lt; 0.001) with perceived experience. This means that the more they get engaged in the game whether on emotional, cognitive or even skill level, the perception of experience gets better. This situation is not new since the findings of previous studies indicates that the more engaged the players are, the more experiences are reported to be positive.</w:t>
      </w:r>
    </w:p>
    <w:p w:rsidR="00A30731" w:rsidRDefault="008B07EA">
      <w:pPr>
        <w:spacing w:after="240"/>
        <w:rPr>
          <w:rFonts w:ascii="Arial" w:hAnsi="Arial"/>
          <w:b/>
          <w:color w:val="000000"/>
          <w:sz w:val="20"/>
          <w:szCs w:val="20"/>
        </w:rPr>
      </w:pPr>
      <w:r>
        <w:rPr>
          <w:rFonts w:ascii="Arial" w:hAnsi="Arial"/>
          <w:color w:val="000000"/>
          <w:sz w:val="20"/>
          <w:szCs w:val="20"/>
        </w:rPr>
        <w:t>4.2 Recommendations</w:t>
      </w:r>
    </w:p>
    <w:p w:rsidR="00A30731" w:rsidRDefault="008B07EA">
      <w:pPr>
        <w:spacing w:after="240"/>
        <w:rPr>
          <w:rFonts w:ascii="Arial" w:hAnsi="Arial"/>
          <w:b/>
          <w:color w:val="000000"/>
          <w:sz w:val="20"/>
          <w:szCs w:val="20"/>
        </w:rPr>
      </w:pPr>
      <w:r>
        <w:rPr>
          <w:rFonts w:ascii="Arial" w:hAnsi="Arial"/>
          <w:color w:val="000000"/>
          <w:sz w:val="20"/>
          <w:szCs w:val="20"/>
        </w:rPr>
        <w:t>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based Call of Duty players showed clear reasons for engaging with the game in relation to their past experiences and from this study it can be concluded that </w:t>
      </w:r>
      <w:r>
        <w:rPr>
          <w:rFonts w:ascii="Arial" w:hAnsi="Arial"/>
          <w:color w:val="000000"/>
          <w:sz w:val="20"/>
          <w:szCs w:val="20"/>
        </w:rPr>
        <w:lastRenderedPageBreak/>
        <w:t>these players can be used for future development. There are a few recommendations that might be pertinent to expand player gaming dynamics and experiences based on former literature.</w:t>
      </w:r>
    </w:p>
    <w:p w:rsidR="00A30731" w:rsidRDefault="008B07EA">
      <w:pPr>
        <w:spacing w:after="240"/>
        <w:rPr>
          <w:rFonts w:ascii="Arial" w:hAnsi="Arial"/>
          <w:color w:val="000000"/>
          <w:sz w:val="20"/>
          <w:szCs w:val="20"/>
        </w:rPr>
      </w:pPr>
      <w:r>
        <w:rPr>
          <w:rFonts w:ascii="Arial" w:hAnsi="Arial"/>
          <w:color w:val="000000"/>
          <w:sz w:val="20"/>
          <w:szCs w:val="20"/>
        </w:rPr>
        <w:t>1. Expand Game Experience: Players reported that emotional involvement strongly influenced their perception of the gaming experience. To improve this, developers should focus on building more engaging plots, emotional storylines, and dynamic character development. By fostering emotional investment, players are more likely to form stronger connections with the game, enhancing both their experience and long-term engagement.</w:t>
      </w:r>
    </w:p>
    <w:p w:rsidR="00A30731" w:rsidRDefault="008B07EA">
      <w:pPr>
        <w:spacing w:after="240"/>
        <w:rPr>
          <w:rFonts w:ascii="Arial" w:hAnsi="Arial"/>
          <w:color w:val="000000"/>
          <w:sz w:val="20"/>
          <w:szCs w:val="20"/>
        </w:rPr>
      </w:pPr>
      <w:r>
        <w:rPr>
          <w:rFonts w:ascii="Arial" w:hAnsi="Arial"/>
          <w:color w:val="000000"/>
          <w:sz w:val="20"/>
          <w:szCs w:val="20"/>
        </w:rPr>
        <w:t>2. Enhance Mechanisms for Attention Control: Focus and concentration were found to be key factors in shaping players’ experiences. Developers should incorporate gameplay elements that challenge players’ attention, such as strategic and tactical tasks, puzzles, and complex missions. By setting clear yet challenging goals, players are more likely to feel a sense of accomplishment, which can boost their involvement and dedication to the game.</w:t>
      </w:r>
    </w:p>
    <w:p w:rsidR="00A30731" w:rsidRDefault="008B07EA">
      <w:pPr>
        <w:spacing w:after="240"/>
        <w:rPr>
          <w:rFonts w:ascii="Arial" w:hAnsi="Arial"/>
          <w:color w:val="000000"/>
          <w:sz w:val="20"/>
          <w:szCs w:val="20"/>
        </w:rPr>
      </w:pPr>
      <w:r>
        <w:rPr>
          <w:rFonts w:ascii="Arial" w:hAnsi="Arial"/>
          <w:color w:val="000000"/>
          <w:sz w:val="20"/>
          <w:szCs w:val="20"/>
        </w:rPr>
        <w:t>3. Enhance Competence Feedback: Perceived competence plays a significant role in shaping players’ experience. Developers should improve feedback mechanisms that highlight players’ achievements and skill progression. This can be achieved by implementing achievement systems, clearer progression pathways, and adaptable difficulty levels that reflect players’ growing competence. These improvements can make players feel more capable and invested in the game, boosting their satisfaction and engagement.</w:t>
      </w:r>
    </w:p>
    <w:p w:rsidR="00A30731" w:rsidRDefault="008B07EA">
      <w:pPr>
        <w:spacing w:after="240"/>
        <w:rPr>
          <w:rFonts w:ascii="Arial" w:hAnsi="Arial"/>
          <w:color w:val="000000"/>
          <w:sz w:val="20"/>
          <w:szCs w:val="20"/>
        </w:rPr>
      </w:pPr>
      <w:r>
        <w:rPr>
          <w:rFonts w:ascii="Arial" w:hAnsi="Arial"/>
          <w:color w:val="000000"/>
          <w:sz w:val="20"/>
          <w:szCs w:val="20"/>
        </w:rPr>
        <w:t>4. Strengthen Multiplayer Features and Relatedness: Relatedness—players' sense of connection to others—is a critical factor in the gaming experience. Developers should enhance multiplayer and social features by focusing on cooperative modes, team-based gameplay, and semi-personalized interactions such as voice chat, custom clans, and community events. These features would help foster social connections, increasing players' sense of involvement and attachment to the game.</w:t>
      </w:r>
    </w:p>
    <w:p w:rsidR="00A30731" w:rsidRDefault="008B07EA">
      <w:pPr>
        <w:spacing w:after="240"/>
        <w:rPr>
          <w:rFonts w:ascii="Arial" w:hAnsi="Arial"/>
          <w:color w:val="000000"/>
          <w:sz w:val="20"/>
          <w:szCs w:val="20"/>
        </w:rPr>
      </w:pPr>
      <w:r>
        <w:rPr>
          <w:rFonts w:ascii="Arial" w:hAnsi="Arial"/>
          <w:color w:val="000000"/>
          <w:sz w:val="20"/>
          <w:szCs w:val="20"/>
        </w:rPr>
        <w:t>5. Maintain Frequent Game Updates and New Content Releases: The study found that players’ overall engagement was somewhat neutral, indicating room for improvement. To sustain player interest and prevent fatigue, developers should introduce new features, seasonal events, and regular content updates. Consistent challenges and fresh content will help keep players engaged, ensuring the game remains exciting and prevents boredom.</w:t>
      </w:r>
    </w:p>
    <w:p w:rsidR="00A30731" w:rsidRDefault="00A30731">
      <w:pPr>
        <w:keepNext/>
        <w:rPr>
          <w:rFonts w:ascii="Arial" w:hAnsi="Arial"/>
          <w:smallCaps/>
          <w:color w:val="000000"/>
          <w:sz w:val="22"/>
          <w:szCs w:val="22"/>
        </w:rPr>
      </w:pPr>
    </w:p>
    <w:p w:rsidR="00A30731" w:rsidRPr="00D305B2" w:rsidRDefault="008B07EA">
      <w:pPr>
        <w:keepNext/>
        <w:rPr>
          <w:rFonts w:ascii="Arial" w:hAnsi="Arial"/>
          <w:b/>
          <w:smallCaps/>
          <w:color w:val="000000"/>
          <w:sz w:val="22"/>
          <w:szCs w:val="22"/>
        </w:rPr>
      </w:pPr>
      <w:r w:rsidRPr="00D305B2">
        <w:rPr>
          <w:rFonts w:ascii="Arial" w:hAnsi="Arial"/>
          <w:b/>
          <w:smallCaps/>
          <w:color w:val="000000"/>
          <w:sz w:val="22"/>
          <w:szCs w:val="22"/>
        </w:rPr>
        <w:t>CONSENT</w:t>
      </w:r>
    </w:p>
    <w:p w:rsidR="00A30731" w:rsidRDefault="00A30731">
      <w:pPr>
        <w:keepNext/>
        <w:rPr>
          <w:rFonts w:ascii="Arial" w:hAnsi="Arial"/>
          <w:smallCaps/>
          <w:color w:val="000000"/>
          <w:sz w:val="22"/>
          <w:szCs w:val="22"/>
        </w:rPr>
      </w:pPr>
    </w:p>
    <w:p w:rsidR="00A30731" w:rsidRDefault="008B07EA">
      <w:pPr>
        <w:rPr>
          <w:rFonts w:ascii="Arial" w:hAnsi="Arial"/>
        </w:rPr>
      </w:pPr>
      <w:r>
        <w:rPr>
          <w:rFonts w:ascii="Arial" w:hAnsi="Arial"/>
          <w:color w:val="000000"/>
        </w:rPr>
        <w:t xml:space="preserve">       The research titled “Relationship Between Game Engagement and Perceived Experience Among Players of Call of Duty” has been carried out by the Third Year Bachelor students of Information Technology Program from Saint Mary’s College </w:t>
      </w:r>
      <w:proofErr w:type="spellStart"/>
      <w:r>
        <w:rPr>
          <w:rFonts w:ascii="Arial" w:hAnsi="Arial"/>
          <w:color w:val="000000"/>
        </w:rPr>
        <w:t>Bansalan</w:t>
      </w:r>
      <w:proofErr w:type="spellEnd"/>
      <w:r>
        <w:rPr>
          <w:rFonts w:ascii="Arial" w:hAnsi="Arial"/>
          <w:color w:val="000000"/>
        </w:rPr>
        <w:t>. This study attempts to relate gamers’ engagement in a game to the gamers’ experience of the game as a way of contributing to the understanding of gaming impacts with regard to engagement and experience as concepts.</w:t>
      </w:r>
    </w:p>
    <w:p w:rsidR="00A30731" w:rsidRDefault="00A30731">
      <w:pPr>
        <w:rPr>
          <w:rFonts w:ascii="Arial" w:hAnsi="Arial"/>
        </w:rPr>
      </w:pPr>
    </w:p>
    <w:p w:rsidR="00A30731" w:rsidRDefault="008B07EA">
      <w:pPr>
        <w:rPr>
          <w:rFonts w:ascii="Arial" w:hAnsi="Arial"/>
        </w:rPr>
      </w:pPr>
      <w:r>
        <w:rPr>
          <w:rFonts w:ascii="Arial" w:hAnsi="Arial"/>
          <w:color w:val="000000"/>
        </w:rPr>
        <w:t xml:space="preserve">I. I understand that my responses to the Research Survey questionnaire mean that I willingly give my consent to participate in the research. The research was endorsed by the school management and a PhD holder as a research </w:t>
      </w:r>
      <w:r>
        <w:rPr>
          <w:rFonts w:ascii="Arial" w:hAnsi="Arial"/>
          <w:color w:val="000000"/>
        </w:rPr>
        <w:lastRenderedPageBreak/>
        <w:t xml:space="preserve">supervisor Dr. Mark </w:t>
      </w:r>
      <w:proofErr w:type="spellStart"/>
      <w:r>
        <w:rPr>
          <w:rFonts w:ascii="Arial" w:hAnsi="Arial"/>
          <w:color w:val="000000"/>
        </w:rPr>
        <w:t>Buladaco</w:t>
      </w:r>
      <w:proofErr w:type="spellEnd"/>
      <w:r>
        <w:rPr>
          <w:rFonts w:ascii="Arial" w:hAnsi="Arial"/>
          <w:color w:val="000000"/>
        </w:rPr>
        <w:t>. Any information you give will only be used for study purposes and will be highly guarded.</w:t>
      </w:r>
    </w:p>
    <w:p w:rsidR="00A30731" w:rsidRDefault="00A30731">
      <w:pPr>
        <w:rPr>
          <w:rFonts w:ascii="Arial" w:hAnsi="Arial"/>
        </w:rPr>
      </w:pPr>
    </w:p>
    <w:p w:rsidR="00A30731" w:rsidRDefault="008B07EA">
      <w:pPr>
        <w:rPr>
          <w:rFonts w:ascii="Arial" w:hAnsi="Arial"/>
        </w:rPr>
      </w:pPr>
      <w:r>
        <w:rPr>
          <w:rFonts w:ascii="Arial" w:hAnsi="Arial"/>
          <w:color w:val="000000"/>
        </w:rPr>
        <w:t>II. As far as research ethical issues are concerned, all answers given by research participants will be confidential, and all data collected will not contain any links to the participants. And results will be presented in aggregated form, such that there is no harm to befall on anyone. </w:t>
      </w:r>
    </w:p>
    <w:p w:rsidR="00A30731" w:rsidRDefault="00A30731">
      <w:pPr>
        <w:rPr>
          <w:rFonts w:ascii="Arial" w:hAnsi="Arial"/>
        </w:rPr>
      </w:pPr>
    </w:p>
    <w:p w:rsidR="00A30731" w:rsidRDefault="008B07EA">
      <w:pPr>
        <w:rPr>
          <w:rFonts w:ascii="Arial" w:hAnsi="Arial"/>
        </w:rPr>
      </w:pPr>
      <w:r>
        <w:rPr>
          <w:rFonts w:ascii="Arial" w:hAnsi="Arial"/>
          <w:color w:val="000000"/>
        </w:rPr>
        <w:t>III. The research is guided by the history and the vision of the school which revolves around Faith, Excellence and service. If you would like to raise your concerns or any questions regarding your participation in this study, please reach out to the researchers.</w:t>
      </w:r>
    </w:p>
    <w:p w:rsidR="00A30731" w:rsidRDefault="00A30731">
      <w:pPr>
        <w:rPr>
          <w:rFonts w:ascii="Arial" w:hAnsi="Arial"/>
        </w:rPr>
      </w:pPr>
    </w:p>
    <w:p w:rsidR="00A30731" w:rsidRDefault="008B07EA">
      <w:pPr>
        <w:rPr>
          <w:rFonts w:ascii="Arial" w:hAnsi="Arial"/>
        </w:rPr>
      </w:pPr>
      <w:r>
        <w:rPr>
          <w:rFonts w:ascii="Arial" w:hAnsi="Arial"/>
          <w:color w:val="000000"/>
        </w:rPr>
        <w:t>IV. All authors declare that they obtained the verbal or written consent from eligible participants or appropriate individuals regarding their participation in the study. The signed informed consent is on record for access to the Bachelor of Science in Information Technology school administration and department heads. </w:t>
      </w:r>
    </w:p>
    <w:p w:rsidR="00A30731" w:rsidRDefault="00A30731">
      <w:pPr>
        <w:rPr>
          <w:rFonts w:ascii="Arial" w:hAnsi="Arial"/>
        </w:rPr>
      </w:pPr>
    </w:p>
    <w:p w:rsidR="00A30731" w:rsidRDefault="008B07EA">
      <w:pPr>
        <w:rPr>
          <w:rFonts w:ascii="Arial" w:hAnsi="Arial"/>
          <w:color w:val="000000"/>
        </w:rPr>
      </w:pPr>
      <w:r>
        <w:rPr>
          <w:rFonts w:ascii="Arial" w:hAnsi="Arial"/>
          <w:color w:val="000000"/>
        </w:rPr>
        <w:t>With the participation in this investigation, it is understood that the subjects have been briefed on the rationale of the project, their role in it as a subject, and details concerning their confidentiality.</w:t>
      </w:r>
    </w:p>
    <w:p w:rsidR="00A30731" w:rsidRDefault="00A30731">
      <w:pPr>
        <w:rPr>
          <w:rFonts w:ascii="Arial" w:hAnsi="Arial"/>
          <w:b/>
          <w:bCs/>
        </w:rPr>
      </w:pPr>
    </w:p>
    <w:p w:rsidR="00A30731" w:rsidRDefault="00A30731">
      <w:pPr>
        <w:rPr>
          <w:rFonts w:ascii="Arial" w:hAnsi="Arial"/>
          <w:b/>
          <w:bCs/>
        </w:rPr>
      </w:pPr>
    </w:p>
    <w:p w:rsidR="00A30731" w:rsidRDefault="00A30731">
      <w:pPr>
        <w:keepNext/>
        <w:rPr>
          <w:rFonts w:ascii="Arial" w:hAnsi="Arial"/>
          <w:smallCaps/>
          <w:color w:val="000000"/>
          <w:sz w:val="22"/>
          <w:szCs w:val="22"/>
        </w:rPr>
      </w:pPr>
    </w:p>
    <w:p w:rsidR="00A30731" w:rsidRDefault="00A30731">
      <w:pPr>
        <w:widowControl w:val="0"/>
        <w:tabs>
          <w:tab w:val="left" w:pos="2015"/>
        </w:tabs>
        <w:rPr>
          <w:rFonts w:ascii="Times New Roman" w:eastAsia="Times New Roman" w:hAnsi="Times New Roman" w:cs="Times New Roman"/>
        </w:rPr>
      </w:pPr>
    </w:p>
    <w:p w:rsidR="00A30731" w:rsidRPr="005B1B64" w:rsidRDefault="008B07EA">
      <w:pPr>
        <w:widowControl w:val="0"/>
        <w:tabs>
          <w:tab w:val="left" w:pos="2015"/>
        </w:tabs>
        <w:rPr>
          <w:rFonts w:ascii="Arial" w:hAnsi="Arial"/>
          <w:b/>
        </w:rPr>
      </w:pPr>
      <w:r w:rsidRPr="005B1B64">
        <w:rPr>
          <w:rFonts w:ascii="Arial" w:hAnsi="Arial"/>
          <w:b/>
        </w:rPr>
        <w:t>DEFINITIONS, ACRONYMS, ABBREVIATIONS</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Game Engagement: The extent to which players of multiplayer, online video games, especially Call of Duty, get invested, engrossed, and take part in the process. Perceived Experience: The understanding of the player as to the level of enjoyment, satisfaction, and interaction experienced within the scope of the gaming world. Call of Duty (</w:t>
      </w:r>
      <w:proofErr w:type="spellStart"/>
      <w:r>
        <w:rPr>
          <w:rFonts w:ascii="Arial" w:hAnsi="Arial"/>
        </w:rPr>
        <w:t>CoD</w:t>
      </w:r>
      <w:proofErr w:type="spellEnd"/>
      <w:r>
        <w:rPr>
          <w:rFonts w:ascii="Arial" w:hAnsi="Arial"/>
        </w:rPr>
        <w:t>): A series of video games played in first person perspective which includes shooting games aimed for entertainment, competition, or social activities. Players: Individuals who use the video game, Call of Duty, for leisure time, competitive facets, or both.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Engagement: The extent to which emotions and thoughts interplay with the players’ actions during the process of the game. Experience: The entire sequence of events with sights and sensations caused by ‘working’ with a given virtual world’s representation.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 xml:space="preserve">Correlation: A statistical term that is utilized for telling us the extent of strength and the nature of direction in which two or more variables are said to relate, </w:t>
      </w:r>
      <w:r>
        <w:rPr>
          <w:rFonts w:ascii="Arial" w:hAnsi="Arial"/>
        </w:rPr>
        <w:lastRenderedPageBreak/>
        <w:t>for example game engagement and perceived experience.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Self-Efficacy: The confidence of the players so as to be able to perform properly within the game they are taking part with.</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Frustration: A psychological feeling experienced by players during the game when there are obstacles or during the game when the response does not meet expectations.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Challenges: These are the games’ factors or hindrances in improving or satisfying the gaming experience of its players.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Monotonic: Refers to the situation when two variables have some sort of relationship and one of these variables' trend is always increasing or always decreasing, although not in a straight line.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Variance: It is the extent to which the average of any game’s engagement or level of experience deviates from one player to another.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Motivation: One or a combination of internal/external factors including competition, achievement or socializing that makes players want to play the game.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Interaction: This term explains how the players play with other players or the objectives and the environment of Call of Duty.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Satisfaction: This is the extent at which the players feel happy or pleased with their experience of playing the game in relation to the elements and interface of the game.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Flow: Is a point in the game where it is fun. This involves gameplay which is moderately difficult and moderately easy. Because it is still achievable, the players become thrilled by it.</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Locale: In this case it refers to the players or the players of Call of Duty, referring to its location or proper demographic area of the study. </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Significance: It is the telltale question as to how important this relationship mentioned in the engagement and the experience as per the results from this study.</w:t>
      </w:r>
    </w:p>
    <w:p w:rsidR="00A30731" w:rsidRDefault="00A30731">
      <w:pPr>
        <w:widowControl w:val="0"/>
        <w:tabs>
          <w:tab w:val="left" w:pos="2015"/>
        </w:tabs>
        <w:rPr>
          <w:rFonts w:ascii="Arial" w:hAnsi="Arial"/>
        </w:rPr>
      </w:pPr>
    </w:p>
    <w:p w:rsidR="00A30731" w:rsidRDefault="008B07EA">
      <w:pPr>
        <w:widowControl w:val="0"/>
        <w:tabs>
          <w:tab w:val="left" w:pos="2015"/>
        </w:tabs>
        <w:rPr>
          <w:rFonts w:ascii="Arial" w:hAnsi="Arial"/>
        </w:rPr>
      </w:pPr>
      <w:r>
        <w:rPr>
          <w:rFonts w:ascii="Arial" w:hAnsi="Arial"/>
        </w:rPr>
        <w:t xml:space="preserve">Cognitive Engagement: The amount of mental energy and focus that players put into planning or moving through the Game’s difficulties. Affective Engagement: Involves players’ emotions during gameplay, such as stress, </w:t>
      </w:r>
      <w:r>
        <w:rPr>
          <w:rFonts w:ascii="Arial" w:hAnsi="Arial"/>
        </w:rPr>
        <w:lastRenderedPageBreak/>
        <w:t>excitement or enjoyment.</w:t>
      </w:r>
    </w:p>
    <w:p w:rsidR="00A30731" w:rsidRDefault="00A30731">
      <w:pPr>
        <w:widowControl w:val="0"/>
        <w:tabs>
          <w:tab w:val="left" w:pos="2015"/>
        </w:tabs>
        <w:rPr>
          <w:rFonts w:ascii="Arial" w:hAnsi="Arial"/>
        </w:rPr>
      </w:pPr>
    </w:p>
    <w:p w:rsidR="00A30731" w:rsidRDefault="00A30731">
      <w:pPr>
        <w:widowControl w:val="0"/>
        <w:tabs>
          <w:tab w:val="left" w:pos="2015"/>
        </w:tabs>
        <w:rPr>
          <w:rFonts w:ascii="Arial" w:hAnsi="Arial"/>
        </w:rPr>
      </w:pPr>
    </w:p>
    <w:p w:rsidR="00A30731" w:rsidRDefault="00A30731">
      <w:pPr>
        <w:widowControl w:val="0"/>
        <w:tabs>
          <w:tab w:val="left" w:pos="2015"/>
        </w:tabs>
        <w:rPr>
          <w:rFonts w:ascii="Arial" w:hAnsi="Arial"/>
        </w:rPr>
      </w:pPr>
    </w:p>
    <w:p w:rsidR="00A30731" w:rsidRDefault="00A30731">
      <w:pPr>
        <w:widowControl w:val="0"/>
        <w:tabs>
          <w:tab w:val="left" w:pos="2015"/>
        </w:tabs>
        <w:rPr>
          <w:rFonts w:ascii="Arial" w:hAnsi="Arial"/>
        </w:rPr>
      </w:pPr>
    </w:p>
    <w:p w:rsidR="00A30731" w:rsidRDefault="00A30731">
      <w:pPr>
        <w:widowControl w:val="0"/>
        <w:tabs>
          <w:tab w:val="left" w:pos="2015"/>
        </w:tabs>
        <w:rPr>
          <w:rFonts w:ascii="Arial" w:hAnsi="Arial"/>
        </w:rPr>
      </w:pPr>
    </w:p>
    <w:p w:rsidR="00A30731" w:rsidRDefault="00A30731">
      <w:pPr>
        <w:widowControl w:val="0"/>
        <w:tabs>
          <w:tab w:val="left" w:pos="2015"/>
        </w:tabs>
        <w:rPr>
          <w:rFonts w:ascii="Arial" w:hAnsi="Arial"/>
        </w:rPr>
      </w:pPr>
    </w:p>
    <w:p w:rsidR="00A30731" w:rsidRDefault="00A30731">
      <w:pPr>
        <w:widowControl w:val="0"/>
        <w:tabs>
          <w:tab w:val="left" w:pos="2015"/>
        </w:tabs>
        <w:rPr>
          <w:rFonts w:ascii="Arial" w:hAnsi="Arial"/>
        </w:rPr>
      </w:pPr>
    </w:p>
    <w:p w:rsidR="00A30731" w:rsidRPr="005B1B64" w:rsidRDefault="008B07EA">
      <w:pPr>
        <w:spacing w:after="200" w:line="276" w:lineRule="auto"/>
        <w:jc w:val="left"/>
        <w:rPr>
          <w:rFonts w:ascii="Calibri" w:eastAsia="Calibri" w:hAnsi="Calibri" w:cs="Times New Roman"/>
          <w:b/>
          <w:kern w:val="2"/>
          <w:lang w:val="en-US" w:eastAsia="en-US"/>
        </w:rPr>
      </w:pPr>
      <w:bookmarkStart w:id="3" w:name="_Hlk183680988"/>
      <w:bookmarkStart w:id="4" w:name="_Hlk180402183"/>
      <w:r w:rsidRPr="005B1B64">
        <w:rPr>
          <w:rFonts w:ascii="Calibri" w:eastAsia="Calibri" w:hAnsi="Calibri" w:cs="Times New Roman"/>
          <w:b/>
          <w:kern w:val="2"/>
          <w:lang w:val="en-US" w:eastAsia="en-US"/>
        </w:rPr>
        <w:t>Disclaimer (Artificial intelligence)</w:t>
      </w:r>
    </w:p>
    <w:p w:rsidR="00A30731" w:rsidRDefault="008B07EA">
      <w:pPr>
        <w:pStyle w:val="NormalWeb"/>
        <w:spacing w:line="18" w:lineRule="atLeast"/>
        <w:rPr>
          <w:rFonts w:ascii="sans-serif" w:eastAsia="sans-serif" w:hAnsi="sans-serif" w:cs="sans-serif"/>
          <w:color w:val="000000"/>
        </w:rPr>
      </w:pPr>
      <w:r>
        <w:rPr>
          <w:rFonts w:ascii="Arial" w:eastAsia="sans-serif" w:hAnsi="Arial"/>
          <w:color w:val="000000"/>
        </w:rPr>
        <w:t>Author(s) hereby declare that generative AI technologies, such as Large Language Models, etc. have been used during the writing or editing of manuscripts.</w:t>
      </w:r>
      <w:r>
        <w:rPr>
          <w:rFonts w:ascii="sans-serif" w:eastAsia="sans-serif" w:hAnsi="sans-serif" w:cs="sans-serif"/>
          <w:color w:val="000000"/>
        </w:rPr>
        <w:t> </w:t>
      </w:r>
    </w:p>
    <w:p w:rsidR="00A30731" w:rsidRDefault="008B07EA">
      <w:pPr>
        <w:pStyle w:val="NormalWeb"/>
        <w:spacing w:line="18" w:lineRule="atLeast"/>
        <w:rPr>
          <w:rFonts w:ascii="Arial" w:hAnsi="Arial"/>
          <w:sz w:val="22"/>
          <w:szCs w:val="22"/>
        </w:rPr>
      </w:pPr>
      <w:r>
        <w:rPr>
          <w:rFonts w:ascii="Arial" w:eastAsia="sans-serif" w:hAnsi="Arial"/>
          <w:color w:val="000000"/>
          <w:sz w:val="22"/>
          <w:szCs w:val="22"/>
        </w:rPr>
        <w:t>Details of the AI usage are given in the table below:</w:t>
      </w:r>
    </w:p>
    <w:p w:rsidR="00A30731" w:rsidRDefault="00A30731">
      <w:pPr>
        <w:pStyle w:val="NormalWeb"/>
        <w:spacing w:line="18" w:lineRule="atLeast"/>
        <w:rPr>
          <w:rFonts w:ascii="sans-serif" w:eastAsia="sans-serif" w:hAnsi="sans-serif" w:cs="sans-serif"/>
          <w:color w:val="00000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978"/>
        <w:gridCol w:w="1041"/>
        <w:gridCol w:w="1414"/>
        <w:gridCol w:w="3755"/>
      </w:tblGrid>
      <w:tr w:rsidR="00A3073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8B07EA">
            <w:pPr>
              <w:pStyle w:val="NormalWeb"/>
              <w:spacing w:line="18" w:lineRule="atLeast"/>
              <w:jc w:val="center"/>
              <w:rPr>
                <w:rFonts w:ascii="Arial" w:hAnsi="Arial"/>
              </w:rPr>
            </w:pPr>
            <w:r>
              <w:rPr>
                <w:rFonts w:ascii="Arial" w:eastAsia="sans-serif" w:hAnsi="Arial"/>
                <w:b/>
                <w:bCs/>
                <w:color w:val="000000"/>
                <w:sz w:val="20"/>
                <w:szCs w:val="20"/>
              </w:rPr>
              <w:t>Generative AI Technologies</w:t>
            </w:r>
          </w:p>
          <w:p w:rsidR="00A30731" w:rsidRDefault="008B07EA">
            <w:pPr>
              <w:pStyle w:val="NormalWeb"/>
              <w:spacing w:line="18" w:lineRule="atLeast"/>
              <w:jc w:val="center"/>
              <w:rPr>
                <w:rFonts w:ascii="Arial" w:hAnsi="Arial"/>
              </w:rPr>
            </w:pPr>
            <w:r>
              <w:rPr>
                <w:rFonts w:ascii="Arial" w:eastAsia="sans-serif" w:hAnsi="Arial"/>
                <w:b/>
                <w:bCs/>
                <w:color w:val="000000"/>
                <w:sz w:val="20"/>
                <w:szCs w:val="20"/>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8B07EA">
            <w:pPr>
              <w:pStyle w:val="NormalWeb"/>
              <w:spacing w:line="18" w:lineRule="atLeast"/>
              <w:jc w:val="center"/>
              <w:rPr>
                <w:rFonts w:ascii="Arial" w:hAnsi="Arial"/>
              </w:rPr>
            </w:pPr>
            <w:r>
              <w:rPr>
                <w:rFonts w:ascii="Arial" w:eastAsia="sans-serif" w:hAnsi="Arial"/>
                <w:b/>
                <w:bCs/>
                <w:color w:val="000000"/>
                <w:sz w:val="20"/>
                <w:szCs w:val="20"/>
              </w:rPr>
              <w:t>Version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8B07EA">
            <w:pPr>
              <w:pStyle w:val="NormalWeb"/>
              <w:spacing w:line="18" w:lineRule="atLeast"/>
              <w:jc w:val="center"/>
              <w:rPr>
                <w:rFonts w:ascii="Arial" w:hAnsi="Arial"/>
              </w:rPr>
            </w:pPr>
            <w:r>
              <w:rPr>
                <w:rFonts w:ascii="Arial" w:eastAsia="sans-serif" w:hAnsi="Arial"/>
                <w:b/>
                <w:bCs/>
                <w:color w:val="000000"/>
                <w:sz w:val="20"/>
                <w:szCs w:val="20"/>
              </w:rPr>
              <w:t>Model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8B07EA">
            <w:pPr>
              <w:pStyle w:val="NormalWeb"/>
              <w:spacing w:line="18" w:lineRule="atLeast"/>
              <w:jc w:val="center"/>
              <w:rPr>
                <w:rFonts w:ascii="Arial" w:hAnsi="Arial"/>
              </w:rPr>
            </w:pPr>
            <w:r>
              <w:rPr>
                <w:rFonts w:ascii="Arial" w:eastAsia="sans-serif" w:hAnsi="Arial"/>
                <w:b/>
                <w:bCs/>
                <w:color w:val="000000"/>
                <w:sz w:val="20"/>
                <w:szCs w:val="20"/>
              </w:rPr>
              <w:t>Source and Prompts</w:t>
            </w:r>
          </w:p>
        </w:tc>
      </w:tr>
      <w:tr w:rsidR="00A3073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A30731">
            <w:pPr>
              <w:jc w:val="left"/>
              <w:textAlignment w:val="center"/>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A30731">
            <w:pPr>
              <w:jc w:val="left"/>
              <w:textAlignment w:val="center"/>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A30731">
            <w:pPr>
              <w:jc w:val="left"/>
              <w:textAlignment w:val="center"/>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30731" w:rsidRDefault="00A30731">
            <w:pPr>
              <w:jc w:val="left"/>
              <w:textAlignment w:val="center"/>
              <w:rPr>
                <w:rFonts w:ascii="Arial" w:hAnsi="Arial"/>
              </w:rPr>
            </w:pPr>
          </w:p>
        </w:tc>
      </w:tr>
      <w:tr w:rsidR="00A3073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A30731">
            <w:pPr>
              <w:numPr>
                <w:ilvl w:val="0"/>
                <w:numId w:val="4"/>
              </w:numPr>
              <w:spacing w:beforeAutospacing="1" w:afterAutospacing="1"/>
              <w:ind w:left="1440"/>
              <w:textAlignment w:val="baseline"/>
              <w:rPr>
                <w:rFonts w:ascii="Arial" w:eastAsia="sans-serif" w:hAnsi="Arial"/>
                <w:color w:val="000000"/>
                <w:sz w:val="20"/>
                <w:szCs w:val="20"/>
              </w:rPr>
            </w:pPr>
          </w:p>
          <w:p w:rsidR="00A30731" w:rsidRDefault="008B07EA">
            <w:pPr>
              <w:pStyle w:val="NormalWeb"/>
              <w:spacing w:line="18" w:lineRule="atLeast"/>
              <w:ind w:left="720"/>
              <w:rPr>
                <w:rFonts w:ascii="Arial" w:hAnsi="Arial"/>
                <w:lang w:val="en-US"/>
              </w:rPr>
            </w:pPr>
            <w:proofErr w:type="spellStart"/>
            <w:r>
              <w:rPr>
                <w:rFonts w:ascii="Arial" w:hAnsi="Arial"/>
                <w:lang w:val="en-US"/>
              </w:rPr>
              <w:t>Chatgpt</w:t>
            </w:r>
            <w:proofErr w:type="spellEnd"/>
          </w:p>
          <w:p w:rsidR="00A30731" w:rsidRDefault="00A30731">
            <w:pPr>
              <w:spacing w:beforeAutospacing="1" w:afterAutospacing="1"/>
              <w:ind w:left="1080"/>
              <w:textAlignment w:val="baseline"/>
              <w:rPr>
                <w:rFonts w:ascii="Arial" w:eastAsia="sans-serif" w:hAnsi="Arial"/>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proofErr w:type="spellStart"/>
            <w:r>
              <w:rPr>
                <w:rFonts w:ascii="Arial" w:hAnsi="Arial"/>
                <w:lang w:val="en-US"/>
              </w:rPr>
              <w:t>Chatgpt</w:t>
            </w:r>
            <w:proofErr w:type="spellEnd"/>
          </w:p>
          <w:p w:rsidR="00A30731" w:rsidRDefault="008B07EA">
            <w:pPr>
              <w:pStyle w:val="NormalWeb"/>
              <w:spacing w:line="18" w:lineRule="atLeast"/>
              <w:rPr>
                <w:rFonts w:ascii="Arial" w:hAnsi="Arial"/>
                <w:lang w:val="en-US"/>
              </w:rPr>
            </w:pPr>
            <w:r>
              <w:rPr>
                <w:rFonts w:ascii="Arial" w:hAnsi="Arial"/>
                <w:lang w:val="en-US"/>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r>
              <w:rPr>
                <w:rFonts w:ascii="Arial" w:hAnsi="Arial"/>
                <w:lang w:val="en-US"/>
              </w:rPr>
              <w:t>Large</w:t>
            </w:r>
          </w:p>
          <w:p w:rsidR="00A30731" w:rsidRDefault="008B07EA">
            <w:pPr>
              <w:pStyle w:val="NormalWeb"/>
              <w:spacing w:line="18" w:lineRule="atLeast"/>
              <w:rPr>
                <w:rFonts w:ascii="Arial" w:hAnsi="Arial"/>
                <w:lang w:val="en-US"/>
              </w:rPr>
            </w:pPr>
            <w:r>
              <w:rPr>
                <w:rFonts w:ascii="Arial" w:hAnsi="Arial"/>
                <w:lang w:val="en-US"/>
              </w:rPr>
              <w:t>Language Model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jc w:val="left"/>
              <w:textAlignment w:val="top"/>
              <w:rPr>
                <w:rFonts w:ascii="Arial" w:hAnsi="Arial"/>
                <w:lang w:val="en-US"/>
              </w:rPr>
            </w:pPr>
            <w:r>
              <w:rPr>
                <w:rFonts w:ascii="Arial" w:hAnsi="Arial"/>
                <w:lang w:val="en-US"/>
              </w:rPr>
              <w:t>How to fix the grammar provide step by step</w:t>
            </w:r>
          </w:p>
        </w:tc>
      </w:tr>
      <w:tr w:rsidR="00A3073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spacing w:beforeAutospacing="1" w:afterAutospacing="1"/>
              <w:ind w:left="1080"/>
              <w:textAlignment w:val="baseline"/>
              <w:rPr>
                <w:rFonts w:ascii="Arial" w:eastAsia="sans-serif" w:hAnsi="Arial"/>
                <w:color w:val="000000"/>
                <w:sz w:val="20"/>
                <w:szCs w:val="20"/>
                <w:lang w:val="en-US"/>
              </w:rPr>
            </w:pPr>
            <w:r>
              <w:rPr>
                <w:rFonts w:ascii="Arial" w:eastAsia="sans-serif" w:hAnsi="Arial"/>
                <w:color w:val="000000"/>
                <w:sz w:val="20"/>
                <w:szCs w:val="20"/>
                <w:lang w:val="en-US"/>
              </w:rPr>
              <w:t>2.</w:t>
            </w:r>
          </w:p>
          <w:p w:rsidR="00A30731" w:rsidRDefault="008B07EA">
            <w:pPr>
              <w:pStyle w:val="NormalWeb"/>
              <w:spacing w:line="18" w:lineRule="atLeast"/>
              <w:ind w:left="720"/>
              <w:rPr>
                <w:rFonts w:ascii="Arial" w:hAnsi="Arial"/>
                <w:lang w:val="en-US"/>
              </w:rPr>
            </w:pPr>
            <w:proofErr w:type="spellStart"/>
            <w:r>
              <w:rPr>
                <w:rFonts w:ascii="Arial" w:hAnsi="Arial"/>
                <w:lang w:val="en-US"/>
              </w:rPr>
              <w:t>Chatgpt</w:t>
            </w:r>
            <w:proofErr w:type="spellEnd"/>
          </w:p>
          <w:p w:rsidR="00A30731" w:rsidRDefault="00A30731">
            <w:pPr>
              <w:spacing w:beforeAutospacing="1" w:afterAutospacing="1"/>
              <w:ind w:left="1080"/>
              <w:textAlignment w:val="baseline"/>
              <w:rPr>
                <w:rFonts w:ascii="Arial" w:eastAsia="sans-serif" w:hAnsi="Arial"/>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proofErr w:type="spellStart"/>
            <w:r>
              <w:rPr>
                <w:rFonts w:ascii="Arial" w:hAnsi="Arial"/>
                <w:lang w:val="en-US"/>
              </w:rPr>
              <w:t>Chatgpt</w:t>
            </w:r>
            <w:proofErr w:type="spellEnd"/>
          </w:p>
          <w:p w:rsidR="00A30731" w:rsidRDefault="008B07EA">
            <w:pPr>
              <w:pStyle w:val="NormalWeb"/>
              <w:spacing w:line="18" w:lineRule="atLeast"/>
              <w:rPr>
                <w:rFonts w:ascii="Arial" w:hAnsi="Arial"/>
                <w:lang w:val="en-US"/>
              </w:rPr>
            </w:pPr>
            <w:r>
              <w:rPr>
                <w:rFonts w:ascii="Arial" w:hAnsi="Arial"/>
                <w:lang w:val="en-US"/>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r>
              <w:rPr>
                <w:rFonts w:ascii="Arial" w:hAnsi="Arial"/>
                <w:lang w:val="en-US"/>
              </w:rPr>
              <w:t>Large</w:t>
            </w:r>
          </w:p>
          <w:p w:rsidR="00A30731" w:rsidRDefault="008B07EA">
            <w:pPr>
              <w:pStyle w:val="NormalWeb"/>
              <w:spacing w:line="18" w:lineRule="atLeast"/>
              <w:rPr>
                <w:rFonts w:ascii="Arial" w:hAnsi="Arial"/>
                <w:lang w:val="en-US"/>
              </w:rPr>
            </w:pPr>
            <w:r>
              <w:rPr>
                <w:rFonts w:ascii="Arial" w:hAnsi="Arial"/>
                <w:lang w:val="en-US"/>
              </w:rPr>
              <w:t>Language</w:t>
            </w:r>
          </w:p>
          <w:p w:rsidR="00A30731" w:rsidRDefault="008B07EA">
            <w:pPr>
              <w:pStyle w:val="NormalWeb"/>
              <w:spacing w:line="18" w:lineRule="atLeast"/>
              <w:rPr>
                <w:rFonts w:ascii="Arial" w:hAnsi="Arial"/>
                <w:lang w:val="en-US"/>
              </w:rPr>
            </w:pPr>
            <w:r>
              <w:rPr>
                <w:rFonts w:ascii="Arial" w:hAnsi="Arial"/>
                <w:lang w:val="en-US"/>
              </w:rPr>
              <w:t>Model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r>
              <w:rPr>
                <w:rFonts w:ascii="Arial" w:hAnsi="Arial"/>
                <w:lang w:val="en-US"/>
              </w:rPr>
              <w:t>How to breakdown all the key point and make it clear and straightforward manner and provide step by step</w:t>
            </w:r>
          </w:p>
        </w:tc>
      </w:tr>
      <w:tr w:rsidR="00A30731">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spacing w:beforeAutospacing="1" w:afterAutospacing="1"/>
              <w:ind w:left="1080"/>
              <w:textAlignment w:val="baseline"/>
              <w:rPr>
                <w:rFonts w:ascii="Arial" w:eastAsia="sans-serif" w:hAnsi="Arial"/>
                <w:color w:val="000000"/>
                <w:sz w:val="20"/>
                <w:szCs w:val="20"/>
                <w:lang w:val="en-US"/>
              </w:rPr>
            </w:pPr>
            <w:r>
              <w:rPr>
                <w:rFonts w:ascii="Arial" w:eastAsia="sans-serif" w:hAnsi="Arial"/>
                <w:color w:val="000000"/>
                <w:sz w:val="20"/>
                <w:szCs w:val="20"/>
                <w:lang w:val="en-US"/>
              </w:rPr>
              <w:t>2.</w:t>
            </w:r>
          </w:p>
          <w:p w:rsidR="00A30731" w:rsidRDefault="008B07EA">
            <w:pPr>
              <w:pStyle w:val="NormalWeb"/>
              <w:spacing w:line="18" w:lineRule="atLeast"/>
              <w:ind w:left="720"/>
              <w:rPr>
                <w:rFonts w:ascii="Arial" w:hAnsi="Arial"/>
                <w:lang w:val="en-US"/>
              </w:rPr>
            </w:pPr>
            <w:proofErr w:type="spellStart"/>
            <w:r>
              <w:rPr>
                <w:rFonts w:ascii="Arial" w:hAnsi="Arial"/>
                <w:lang w:val="en-US"/>
              </w:rPr>
              <w:t>Chatgpt</w:t>
            </w:r>
            <w:proofErr w:type="spellEnd"/>
          </w:p>
          <w:p w:rsidR="00A30731" w:rsidRDefault="00A30731">
            <w:pPr>
              <w:spacing w:beforeAutospacing="1" w:afterAutospacing="1"/>
              <w:ind w:left="1080"/>
              <w:textAlignment w:val="baseline"/>
              <w:rPr>
                <w:rFonts w:ascii="Arial" w:eastAsia="sans-serif" w:hAnsi="Arial"/>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proofErr w:type="spellStart"/>
            <w:r>
              <w:rPr>
                <w:rFonts w:ascii="Arial" w:hAnsi="Arial"/>
                <w:lang w:val="en-US"/>
              </w:rPr>
              <w:t>Chatgpt</w:t>
            </w:r>
            <w:proofErr w:type="spellEnd"/>
          </w:p>
          <w:p w:rsidR="00A30731" w:rsidRDefault="008B07EA">
            <w:pPr>
              <w:pStyle w:val="NormalWeb"/>
              <w:spacing w:line="18" w:lineRule="atLeast"/>
              <w:rPr>
                <w:rFonts w:ascii="Arial" w:hAnsi="Arial"/>
                <w:lang w:val="en-US"/>
              </w:rPr>
            </w:pPr>
            <w:r>
              <w:rPr>
                <w:rFonts w:ascii="Arial" w:hAnsi="Arial"/>
                <w:lang w:val="en-US"/>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r>
              <w:rPr>
                <w:rFonts w:ascii="Arial" w:hAnsi="Arial"/>
                <w:lang w:val="en-US"/>
              </w:rPr>
              <w:t>Large</w:t>
            </w:r>
          </w:p>
          <w:p w:rsidR="00A30731" w:rsidRDefault="008B07EA">
            <w:pPr>
              <w:pStyle w:val="NormalWeb"/>
              <w:spacing w:line="18" w:lineRule="atLeast"/>
              <w:rPr>
                <w:rFonts w:ascii="Arial" w:hAnsi="Arial"/>
                <w:lang w:val="en-US"/>
              </w:rPr>
            </w:pPr>
            <w:r>
              <w:rPr>
                <w:rFonts w:ascii="Arial" w:hAnsi="Arial"/>
                <w:lang w:val="en-US"/>
              </w:rPr>
              <w:t>Language</w:t>
            </w:r>
          </w:p>
          <w:p w:rsidR="00A30731" w:rsidRDefault="008B07EA">
            <w:pPr>
              <w:pStyle w:val="NormalWeb"/>
              <w:spacing w:line="18" w:lineRule="atLeast"/>
              <w:rPr>
                <w:rFonts w:ascii="Arial" w:hAnsi="Arial"/>
                <w:lang w:val="en-US"/>
              </w:rPr>
            </w:pPr>
            <w:r>
              <w:rPr>
                <w:rFonts w:ascii="Arial" w:hAnsi="Arial"/>
                <w:lang w:val="en-US"/>
              </w:rPr>
              <w:t>Model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30731" w:rsidRDefault="008B07EA">
            <w:pPr>
              <w:pStyle w:val="NormalWeb"/>
              <w:spacing w:line="18" w:lineRule="atLeast"/>
              <w:rPr>
                <w:rFonts w:ascii="Arial" w:hAnsi="Arial"/>
                <w:lang w:val="en-US"/>
              </w:rPr>
            </w:pPr>
            <w:r>
              <w:rPr>
                <w:rFonts w:ascii="Arial" w:hAnsi="Arial"/>
                <w:lang w:val="en-US"/>
              </w:rPr>
              <w:t>How to organize the research question provide example</w:t>
            </w:r>
          </w:p>
        </w:tc>
      </w:tr>
    </w:tbl>
    <w:p w:rsidR="00A30731" w:rsidRDefault="00A30731">
      <w:pPr>
        <w:pStyle w:val="NormalWeb"/>
        <w:spacing w:line="18" w:lineRule="atLeast"/>
        <w:rPr>
          <w:rFonts w:ascii="sans-serif" w:eastAsia="sans-serif" w:hAnsi="sans-serif" w:cs="sans-serif"/>
          <w:color w:val="000000"/>
          <w:sz w:val="20"/>
          <w:szCs w:val="20"/>
        </w:rPr>
      </w:pPr>
    </w:p>
    <w:p w:rsidR="00A30731" w:rsidRDefault="00A30731">
      <w:pPr>
        <w:spacing w:after="200" w:line="276" w:lineRule="auto"/>
        <w:jc w:val="left"/>
        <w:rPr>
          <w:rFonts w:ascii="Calibri" w:eastAsia="Calibri" w:hAnsi="Calibri" w:cs="Times New Roman"/>
          <w:kern w:val="2"/>
          <w:sz w:val="22"/>
          <w:szCs w:val="22"/>
          <w:lang w:val="en-US" w:eastAsia="en-US"/>
        </w:rPr>
      </w:pPr>
    </w:p>
    <w:bookmarkEnd w:id="3"/>
    <w:bookmarkEnd w:id="4"/>
    <w:p w:rsidR="00A30731" w:rsidRPr="005B1B64" w:rsidRDefault="008B07EA">
      <w:pPr>
        <w:widowControl w:val="0"/>
        <w:tabs>
          <w:tab w:val="left" w:pos="2015"/>
        </w:tabs>
        <w:rPr>
          <w:rFonts w:ascii="Arial" w:hAnsi="Arial"/>
          <w:b/>
        </w:rPr>
      </w:pPr>
      <w:r w:rsidRPr="005B1B64">
        <w:rPr>
          <w:rFonts w:ascii="Arial" w:hAnsi="Arial"/>
          <w:b/>
        </w:rPr>
        <w:t>REFERENCES</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Csikszentmihalyi, M. (1990). Flow: The psychology of optimal experience. Harper &amp; Row.</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Duncombe, J. U. (1959). Infrared navigation - Part I: An assessment of feasibility. IEEE Transactions on Electron Devices, 11, 34-39. https://doi.org/10.1109/TED.1959.243932</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Klaus, B., &amp; Horn, P. (1986). Robot vision. MIT Press.</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Ryan, E. L., &amp; Deci, R. M. (2000). Self-determination theory and the facilitation of intrinsic motivation, social development, and well-being. American Psychologist, 55(1), 68-78. https://doi.org/10.1037/0003-066X.55.1.68</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Teng, C. E., &amp; Chang, C. (2020). Exploring the relationship between player engagement and enjoyment in first-person shooter games. Entertainment Computing, 34, 1-12. https://doi.org/10.1016/j.entcom.2020.100377</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proofErr w:type="spellStart"/>
      <w:r>
        <w:rPr>
          <w:rFonts w:ascii="Arial" w:hAnsi="Arial"/>
        </w:rPr>
        <w:t>Vasalou</w:t>
      </w:r>
      <w:proofErr w:type="spellEnd"/>
      <w:r>
        <w:rPr>
          <w:rFonts w:ascii="Arial" w:hAnsi="Arial"/>
        </w:rPr>
        <w:t xml:space="preserve">, A., </w:t>
      </w:r>
      <w:proofErr w:type="spellStart"/>
      <w:r>
        <w:rPr>
          <w:rFonts w:ascii="Arial" w:hAnsi="Arial"/>
        </w:rPr>
        <w:t>Joinson</w:t>
      </w:r>
      <w:proofErr w:type="spellEnd"/>
      <w:r>
        <w:rPr>
          <w:rFonts w:ascii="Arial" w:hAnsi="Arial"/>
        </w:rPr>
        <w:t xml:space="preserve">, A. N., </w:t>
      </w:r>
      <w:proofErr w:type="spellStart"/>
      <w:r>
        <w:rPr>
          <w:rFonts w:ascii="Arial" w:hAnsi="Arial"/>
        </w:rPr>
        <w:t>Bänziger</w:t>
      </w:r>
      <w:proofErr w:type="spellEnd"/>
      <w:r>
        <w:rPr>
          <w:rFonts w:ascii="Arial" w:hAnsi="Arial"/>
        </w:rPr>
        <w:t xml:space="preserve">, T., &amp; </w:t>
      </w:r>
      <w:proofErr w:type="spellStart"/>
      <w:r>
        <w:rPr>
          <w:rFonts w:ascii="Arial" w:hAnsi="Arial"/>
        </w:rPr>
        <w:t>Krumhuber</w:t>
      </w:r>
      <w:proofErr w:type="spellEnd"/>
      <w:r>
        <w:rPr>
          <w:rFonts w:ascii="Arial" w:hAnsi="Arial"/>
        </w:rPr>
        <w:t>, E. G. (2020). Investigating player engagement in multiplayer games: The role of motivation and emotional involvement. International Journal of Human-Computer Interaction, 36(10), 899-915. https://doi.org/10.1080/10447318.2020.1770765</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proofErr w:type="spellStart"/>
      <w:r>
        <w:rPr>
          <w:rFonts w:ascii="Arial" w:hAnsi="Arial"/>
        </w:rPr>
        <w:t>Hamari</w:t>
      </w:r>
      <w:proofErr w:type="spellEnd"/>
      <w:r>
        <w:rPr>
          <w:rFonts w:ascii="Arial" w:hAnsi="Arial"/>
        </w:rPr>
        <w:t xml:space="preserve">, J., </w:t>
      </w:r>
      <w:proofErr w:type="spellStart"/>
      <w:r>
        <w:rPr>
          <w:rFonts w:ascii="Arial" w:hAnsi="Arial"/>
        </w:rPr>
        <w:t>Koivisto</w:t>
      </w:r>
      <w:proofErr w:type="spellEnd"/>
      <w:r>
        <w:rPr>
          <w:rFonts w:ascii="Arial" w:hAnsi="Arial"/>
        </w:rPr>
        <w:t xml:space="preserve">, J., &amp; </w:t>
      </w:r>
      <w:proofErr w:type="spellStart"/>
      <w:r>
        <w:rPr>
          <w:rFonts w:ascii="Arial" w:hAnsi="Arial"/>
        </w:rPr>
        <w:t>Sarsa</w:t>
      </w:r>
      <w:proofErr w:type="spellEnd"/>
      <w:r>
        <w:rPr>
          <w:rFonts w:ascii="Arial" w:hAnsi="Arial"/>
        </w:rPr>
        <w:t>, H. (2021). Does gamification work? A literature review of empirical studies on gamification. Computers in Human Behavior, 31(3), 137-148. https://doi.org/10.1016/j.chb.2020.07.022</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Harris, S., Hardy, S., &amp; Hoare, J. (2021). The influence of emotional engagement and flow on player satisfaction and retention in multiplayer online games. Entertainment Computing, 37, 100375. https://doi.org/10.1016/j.entcom.2021.100375</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Goh, E., Al-</w:t>
      </w:r>
      <w:proofErr w:type="spellStart"/>
      <w:r>
        <w:rPr>
          <w:rFonts w:ascii="Arial" w:hAnsi="Arial"/>
        </w:rPr>
        <w:t>Tabbaa</w:t>
      </w:r>
      <w:proofErr w:type="spellEnd"/>
      <w:r>
        <w:rPr>
          <w:rFonts w:ascii="Arial" w:hAnsi="Arial"/>
        </w:rPr>
        <w:t>, O., &amp; Khan, Z. (2023). Unravelling the complexity of the video game industry: An integrative framework and future research directions. Telematics and Informatics Reports, 12, 100100. https://doi.org/10.1016/j.tele.2022.100100</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proofErr w:type="spellStart"/>
      <w:r>
        <w:rPr>
          <w:rFonts w:ascii="Arial" w:hAnsi="Arial"/>
        </w:rPr>
        <w:t>Cerezo</w:t>
      </w:r>
      <w:proofErr w:type="spellEnd"/>
      <w:r>
        <w:rPr>
          <w:rFonts w:ascii="Arial" w:hAnsi="Arial"/>
        </w:rPr>
        <w:t xml:space="preserve">-Pizarro, M., </w:t>
      </w:r>
      <w:proofErr w:type="spellStart"/>
      <w:r>
        <w:rPr>
          <w:rFonts w:ascii="Arial" w:hAnsi="Arial"/>
        </w:rPr>
        <w:t>Revuelta</w:t>
      </w:r>
      <w:proofErr w:type="spellEnd"/>
      <w:r>
        <w:rPr>
          <w:rFonts w:ascii="Arial" w:hAnsi="Arial"/>
        </w:rPr>
        <w:t>-Domínguez, F. I., Guerra-</w:t>
      </w:r>
      <w:proofErr w:type="spellStart"/>
      <w:r>
        <w:rPr>
          <w:rFonts w:ascii="Arial" w:hAnsi="Arial"/>
        </w:rPr>
        <w:t>Antequera</w:t>
      </w:r>
      <w:proofErr w:type="spellEnd"/>
      <w:r>
        <w:rPr>
          <w:rFonts w:ascii="Arial" w:hAnsi="Arial"/>
        </w:rPr>
        <w:t>, J., &amp; Melo-Sánchez, J. (2023). The cultural impact of video games: A systematic review of the literature. Education Sciences, 13(11), 1116. https://doi.org/10.3390/educsci13111116</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 xml:space="preserve">Chang, J., &amp; Lee, D. (2022). Changes in user experience and satisfaction as media technology evolves: The reciprocal relationship between video </w:t>
      </w:r>
      <w:r>
        <w:rPr>
          <w:rFonts w:ascii="Arial" w:hAnsi="Arial"/>
        </w:rPr>
        <w:lastRenderedPageBreak/>
        <w:t>games and video game-related media. Technological Forecasting and Social Change, 174, 121219. https://doi.org/10.1016/j.techfore.2022.121219</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proofErr w:type="spellStart"/>
      <w:r>
        <w:rPr>
          <w:rFonts w:ascii="Arial" w:hAnsi="Arial"/>
        </w:rPr>
        <w:t>Handrich</w:t>
      </w:r>
      <w:proofErr w:type="spellEnd"/>
      <w:r>
        <w:rPr>
          <w:rFonts w:ascii="Arial" w:hAnsi="Arial"/>
        </w:rPr>
        <w:t>, F., Heidenreich, S., &amp; Kraemer, T. (2022). Innovate or game over? Examining effects of product innovativeness on video game success. Electronic Markets, 32(2), 987-1002. https://doi.org/10.1007/s12525-022-00449-3</w:t>
      </w:r>
    </w:p>
    <w:p w:rsidR="00A30731" w:rsidRDefault="00A30731">
      <w:pPr>
        <w:widowControl w:val="0"/>
        <w:tabs>
          <w:tab w:val="left" w:pos="720"/>
        </w:tabs>
        <w:ind w:left="720" w:hanging="666"/>
        <w:rPr>
          <w:rFonts w:ascii="Arial" w:hAnsi="Arial"/>
        </w:rPr>
      </w:pPr>
    </w:p>
    <w:p w:rsidR="00A30731" w:rsidRDefault="008B07EA">
      <w:pPr>
        <w:widowControl w:val="0"/>
        <w:tabs>
          <w:tab w:val="left" w:pos="720"/>
        </w:tabs>
        <w:ind w:left="720" w:hanging="666"/>
        <w:rPr>
          <w:rFonts w:ascii="Arial" w:hAnsi="Arial"/>
        </w:rPr>
      </w:pPr>
      <w:r>
        <w:rPr>
          <w:rFonts w:ascii="Arial" w:hAnsi="Arial"/>
        </w:rPr>
        <w:t>Zhang, X., Song, M., Yang, D., &amp; Ren, G. (2024). Decoding flow experience with physiological metrics in digital games. In Y. Wang, R. Wang, &amp; D. Wang (Eds.), Advances in Human Factors and Ergonomics 2024 (pp. 83–97). Springer. https://doi.org/10.1007/978-981-97-3626-3_7</w:t>
      </w:r>
    </w:p>
    <w:sectPr w:rsidR="00A30731">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2F3" w:rsidRDefault="002F32F3">
      <w:r>
        <w:separator/>
      </w:r>
    </w:p>
  </w:endnote>
  <w:endnote w:type="continuationSeparator" w:id="0">
    <w:p w:rsidR="002F32F3" w:rsidRDefault="002F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1" w:fontKey="{8BDAD854-BFBA-4CC1-9F2F-667F4BA170D5}"/>
  </w:font>
  <w:font w:name="Cambria">
    <w:panose1 w:val="02040503050406030204"/>
    <w:charset w:val="00"/>
    <w:family w:val="roman"/>
    <w:pitch w:val="variable"/>
    <w:sig w:usb0="E00006FF" w:usb1="420024FF" w:usb2="02000000" w:usb3="00000000" w:csb0="0000019F" w:csb1="00000000"/>
    <w:embedRegular r:id="rId2" w:fontKey="{F74DDE76-DAF8-4098-8BF5-EAD3FE29C32D}"/>
  </w:font>
  <w:font w:name="Tahoma">
    <w:panose1 w:val="020B0604030504040204"/>
    <w:charset w:val="00"/>
    <w:family w:val="swiss"/>
    <w:pitch w:val="variable"/>
    <w:sig w:usb0="E1002EFF" w:usb1="C000605B" w:usb2="00000029" w:usb3="00000000" w:csb0="000101FF" w:csb1="00000000"/>
    <w:embedRegular r:id="rId3" w:fontKey="{C58731C7-1B11-47C7-B48C-BCA22876C8CE}"/>
  </w:font>
  <w:font w:name="Georgia">
    <w:panose1 w:val="02040502050405020303"/>
    <w:charset w:val="00"/>
    <w:family w:val="roman"/>
    <w:pitch w:val="variable"/>
    <w:sig w:usb0="00000287" w:usb1="00000000" w:usb2="00000000" w:usb3="00000000" w:csb0="0000009F" w:csb1="00000000"/>
    <w:embedRegular r:id="rId4" w:fontKey="{EBF33039-1ACC-4CB4-996A-EDFB2E08EB6F}"/>
    <w:embedItalic r:id="rId5" w:fontKey="{D76CB755-3905-47E4-A5D2-6E89E6AE3882}"/>
  </w:font>
  <w:font w:name="Calibri">
    <w:panose1 w:val="020F0502020204030204"/>
    <w:charset w:val="00"/>
    <w:family w:val="swiss"/>
    <w:pitch w:val="variable"/>
    <w:sig w:usb0="E4002EFF" w:usb1="C200247B" w:usb2="00000009" w:usb3="00000000" w:csb0="000001FF" w:csb1="00000000"/>
    <w:embedRegular r:id="rId6" w:fontKey="{17F26DF7-4354-42D5-8471-E0E12E2819D0}"/>
    <w:embedBold r:id="rId7" w:fontKey="{152379FA-128E-4E3C-93DE-78FF799200EC}"/>
  </w:font>
  <w:font w:name="Symbol">
    <w:panose1 w:val="05050102010706020507"/>
    <w:charset w:val="02"/>
    <w:family w:val="roman"/>
    <w:pitch w:val="variable"/>
    <w:sig w:usb0="00000000" w:usb1="10000000" w:usb2="00000000" w:usb3="00000000" w:csb0="80000000" w:csb1="00000000"/>
  </w:font>
  <w:font w:name="Helvetica Neue">
    <w:altName w:val="SimSun"/>
    <w:charset w:val="00"/>
    <w:family w:val="auto"/>
    <w:pitch w:val="default"/>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A30731">
    <w:pPr>
      <w:tabs>
        <w:tab w:val="center" w:pos="4320"/>
        <w:tab w:val="right" w:pos="8640"/>
      </w:tabs>
      <w:jc w:val="left"/>
      <w:rPr>
        <w:rFonts w:ascii="Helvetica Neue" w:eastAsia="Helvetica Neue" w:hAnsi="Helvetica Neue" w:cs="Helvetica Neue"/>
        <w:b/>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A30731">
    <w:pPr>
      <w:tabs>
        <w:tab w:val="center" w:pos="4320"/>
        <w:tab w:val="right" w:pos="8640"/>
      </w:tabs>
      <w:jc w:val="left"/>
      <w:rPr>
        <w:rFonts w:ascii="Helvetica Neue" w:eastAsia="Helvetica Neue" w:hAnsi="Helvetica Neue" w:cs="Helvetica Neue"/>
        <w:b/>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A30731">
    <w:pPr>
      <w:tabs>
        <w:tab w:val="center" w:pos="4320"/>
        <w:tab w:val="right" w:pos="8640"/>
      </w:tabs>
      <w:jc w:val="left"/>
      <w:rPr>
        <w:rFonts w:ascii="Arial" w:hAnsi="Arial"/>
        <w:b/>
        <w:color w:val="000000"/>
        <w:sz w:val="16"/>
        <w:szCs w:val="16"/>
      </w:rPr>
    </w:pPr>
  </w:p>
  <w:p w:rsidR="00A30731" w:rsidRDefault="008B07EA">
    <w:pPr>
      <w:tabs>
        <w:tab w:val="center" w:pos="4320"/>
        <w:tab w:val="right" w:pos="8640"/>
      </w:tabs>
      <w:jc w:val="center"/>
      <w:rPr>
        <w:rFonts w:ascii="Arial" w:hAnsi="Arial"/>
        <w:b/>
        <w:color w:val="000000"/>
        <w:sz w:val="16"/>
        <w:szCs w:val="16"/>
      </w:rPr>
    </w:pPr>
    <w:r>
      <w:rPr>
        <w:rFonts w:ascii="Arial" w:hAnsi="Arial"/>
        <w:color w:val="000000"/>
        <w:sz w:val="16"/>
        <w:szCs w:val="16"/>
      </w:rPr>
      <w:t>____________________________________________________________________________________________</w:t>
    </w:r>
  </w:p>
  <w:p w:rsidR="00A30731" w:rsidRDefault="00A30731">
    <w:pPr>
      <w:tabs>
        <w:tab w:val="center" w:pos="4320"/>
        <w:tab w:val="right" w:pos="8640"/>
      </w:tabs>
      <w:jc w:val="left"/>
      <w:rPr>
        <w:rFonts w:ascii="Arial" w:hAnsi="Arial"/>
        <w:b/>
        <w:color w:val="000000"/>
        <w:sz w:val="16"/>
        <w:szCs w:val="16"/>
      </w:rPr>
    </w:pPr>
  </w:p>
  <w:p w:rsidR="00A30731" w:rsidRDefault="008B07EA">
    <w:pPr>
      <w:tabs>
        <w:tab w:val="center" w:pos="4320"/>
        <w:tab w:val="right" w:pos="8640"/>
      </w:tabs>
      <w:jc w:val="left"/>
      <w:rPr>
        <w:rFonts w:ascii="Arial" w:hAnsi="Arial"/>
        <w:b/>
        <w:i/>
        <w:color w:val="000000"/>
        <w:sz w:val="16"/>
        <w:szCs w:val="16"/>
      </w:rPr>
    </w:pPr>
    <w:r>
      <w:rPr>
        <w:rFonts w:ascii="Arial" w:hAnsi="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A30731">
    <w:pPr>
      <w:tabs>
        <w:tab w:val="center" w:pos="4320"/>
        <w:tab w:val="right" w:pos="8640"/>
      </w:tabs>
      <w:jc w:val="left"/>
      <w:rPr>
        <w:rFonts w:ascii="Helvetica Neue" w:eastAsia="Helvetica Neue" w:hAnsi="Helvetica Neue" w:cs="Helvetica Neue"/>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2F3" w:rsidRDefault="002F32F3">
      <w:r>
        <w:separator/>
      </w:r>
    </w:p>
  </w:footnote>
  <w:footnote w:type="continuationSeparator" w:id="0">
    <w:p w:rsidR="002F32F3" w:rsidRDefault="002F3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2F32F3">
    <w:pPr>
      <w:tabs>
        <w:tab w:val="center" w:pos="4320"/>
        <w:tab w:val="right" w:pos="8640"/>
      </w:tabs>
      <w:jc w:val="left"/>
      <w:rPr>
        <w:rFonts w:ascii="Helvetica Neue" w:eastAsia="Helvetica Neue" w:hAnsi="Helvetica Neue" w:cs="Helvetica Neue"/>
        <w:b/>
        <w:color w:val="000000"/>
        <w:sz w:val="20"/>
        <w:szCs w:val="20"/>
      </w:rPr>
    </w:pPr>
    <w:r>
      <w:pict w14:anchorId="25D59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69" o:spid="_x0000_s2050"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2F32F3">
    <w:pPr>
      <w:tabs>
        <w:tab w:val="center" w:pos="4320"/>
        <w:tab w:val="right" w:pos="8640"/>
      </w:tabs>
      <w:jc w:val="left"/>
      <w:rPr>
        <w:rFonts w:ascii="Helvetica Neue" w:eastAsia="Helvetica Neue" w:hAnsi="Helvetica Neue" w:cs="Helvetica Neue"/>
        <w:b/>
        <w:color w:val="000000"/>
        <w:sz w:val="20"/>
        <w:szCs w:val="20"/>
      </w:rPr>
    </w:pPr>
    <w:r>
      <w:pict w14:anchorId="4057C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0" o:spid="_x0000_s2051"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2F32F3">
    <w:pPr>
      <w:ind w:left="2160"/>
      <w:jc w:val="center"/>
      <w:rPr>
        <w:rFonts w:ascii="Times New Roman" w:eastAsia="Times New Roman" w:hAnsi="Times New Roman" w:cs="Times New Roman"/>
        <w:i/>
        <w:sz w:val="18"/>
        <w:szCs w:val="18"/>
      </w:rPr>
    </w:pPr>
    <w:r>
      <w:pict w14:anchorId="255BE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68"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A30731" w:rsidRDefault="008B07E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A30731" w:rsidRDefault="008B07E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A30731" w:rsidRDefault="008B07EA">
    <w:pPr>
      <w:spacing w:after="200"/>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              . </w:t>
    </w:r>
  </w:p>
  <w:p w:rsidR="00A30731" w:rsidRDefault="008B07E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A30731" w:rsidRDefault="008B07E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A30731" w:rsidRDefault="008B07EA">
    <w:pPr>
      <w:tabs>
        <w:tab w:val="center" w:pos="4320"/>
        <w:tab w:val="right" w:pos="8640"/>
      </w:tabs>
      <w:jc w:val="left"/>
      <w:rPr>
        <w:rFonts w:ascii="Helvetica Neue" w:eastAsia="Helvetica Neue" w:hAnsi="Helvetica Neue" w:cs="Helvetica Neue"/>
        <w:b/>
        <w:color w:val="000000"/>
        <w:sz w:val="20"/>
        <w:szCs w:val="20"/>
      </w:rPr>
    </w:pPr>
    <w:r>
      <w:rPr>
        <w:rFonts w:ascii="Helvetica Neue" w:eastAsia="Helvetica Neue" w:hAnsi="Helvetica Neue" w:cs="Helvetica Neue"/>
        <w:color w:val="000000"/>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2F32F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2" o:spid="_x0000_s2053" type="#_x0000_t136" style="position:absolute;left:0;text-align:left;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2F32F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3" o:spid="_x0000_s2054" type="#_x0000_t136" style="position:absolute;left:0;text-align:left;margin-left:0;margin-top:0;width:520.65pt;height:57.85pt;rotation:315;z-index:-25165004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31" w:rsidRDefault="002F32F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1" o:spid="_x0000_s2052" type="#_x0000_t136" style="position:absolute;left:0;text-align:left;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90977"/>
    <w:multiLevelType w:val="multilevel"/>
    <w:tmpl w:val="12690977"/>
    <w:lvl w:ilvl="0">
      <w:start w:val="1"/>
      <w:numFmt w:val="decimal"/>
      <w:pStyle w:val="Reference"/>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37A0FCFE"/>
    <w:multiLevelType w:val="multilevel"/>
    <w:tmpl w:val="37A0FCF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49D06FF7"/>
    <w:multiLevelType w:val="multilevel"/>
    <w:tmpl w:val="49D06FF7"/>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5404D33"/>
    <w:multiLevelType w:val="multilevel"/>
    <w:tmpl w:val="55404D33"/>
    <w:lvl w:ilvl="0">
      <w:start w:val="1"/>
      <w:numFmt w:val="decimal"/>
      <w:lvlText w:val="%1."/>
      <w:lvlJc w:val="left"/>
      <w:pPr>
        <w:ind w:left="1080" w:hanging="360"/>
      </w:pPr>
    </w:lvl>
    <w:lvl w:ilvl="1">
      <w:start w:val="1"/>
      <w:numFmt w:val="bullet"/>
      <w:lvlText w:val="-"/>
      <w:lvlJc w:val="left"/>
      <w:pPr>
        <w:ind w:left="1800" w:hanging="360"/>
      </w:pPr>
      <w:rPr>
        <w:rFonts w:ascii="Arial" w:eastAsia="Arial"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tTC2NDcxsjA3MzJQ0lEKTi0uzszPAykwrAUA7sVNiCwAAAA="/>
  </w:docVars>
  <w:rsids>
    <w:rsidRoot w:val="00AD739C"/>
    <w:rsid w:val="0002521F"/>
    <w:rsid w:val="00184461"/>
    <w:rsid w:val="00193CDB"/>
    <w:rsid w:val="00194977"/>
    <w:rsid w:val="00227466"/>
    <w:rsid w:val="00253EC3"/>
    <w:rsid w:val="002F2687"/>
    <w:rsid w:val="002F32F3"/>
    <w:rsid w:val="002F5F2B"/>
    <w:rsid w:val="003019F6"/>
    <w:rsid w:val="003111E0"/>
    <w:rsid w:val="003410AE"/>
    <w:rsid w:val="003A5531"/>
    <w:rsid w:val="003E2CDB"/>
    <w:rsid w:val="0046009B"/>
    <w:rsid w:val="004804D4"/>
    <w:rsid w:val="0048168E"/>
    <w:rsid w:val="004B1FD1"/>
    <w:rsid w:val="004D7F25"/>
    <w:rsid w:val="00564734"/>
    <w:rsid w:val="005A59D3"/>
    <w:rsid w:val="005B1B64"/>
    <w:rsid w:val="005B70D3"/>
    <w:rsid w:val="005C577C"/>
    <w:rsid w:val="00645395"/>
    <w:rsid w:val="006A5A18"/>
    <w:rsid w:val="006F597B"/>
    <w:rsid w:val="007870FC"/>
    <w:rsid w:val="007A5C32"/>
    <w:rsid w:val="007C56A5"/>
    <w:rsid w:val="007E52D7"/>
    <w:rsid w:val="0087358D"/>
    <w:rsid w:val="008B07EA"/>
    <w:rsid w:val="008F05F9"/>
    <w:rsid w:val="00935689"/>
    <w:rsid w:val="00975EFF"/>
    <w:rsid w:val="00A30731"/>
    <w:rsid w:val="00A57E61"/>
    <w:rsid w:val="00AC1583"/>
    <w:rsid w:val="00AD739C"/>
    <w:rsid w:val="00BA0A17"/>
    <w:rsid w:val="00CA6294"/>
    <w:rsid w:val="00D305B2"/>
    <w:rsid w:val="00D73FB8"/>
    <w:rsid w:val="00DC0E31"/>
    <w:rsid w:val="00E22BC5"/>
    <w:rsid w:val="00E26450"/>
    <w:rsid w:val="00E86DA7"/>
    <w:rsid w:val="00EA0356"/>
    <w:rsid w:val="00ED6661"/>
    <w:rsid w:val="00FA2C40"/>
    <w:rsid w:val="00FE0F23"/>
    <w:rsid w:val="432F209D"/>
    <w:rsid w:val="44B86F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4E76C3E"/>
  <w15:docId w15:val="{29969EA6-9FAA-49A0-B5A1-C21FAC4D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Helvetica" w:eastAsia="Arial" w:hAnsi="Helvetica" w:cs="Arial"/>
      <w:sz w:val="24"/>
      <w:szCs w:val="24"/>
      <w:lang w:val="en-PH" w:eastAsia="en-GB"/>
    </w:rPr>
  </w:style>
  <w:style w:type="paragraph" w:styleId="Heading1">
    <w:name w:val="heading 1"/>
    <w:basedOn w:val="Normal"/>
    <w:next w:val="Normal"/>
    <w:uiPriority w:val="9"/>
    <w:qFormat/>
    <w:pPr>
      <w:keepNext/>
      <w:spacing w:before="240" w:after="60"/>
      <w:outlineLvl w:val="0"/>
    </w:pPr>
    <w:rPr>
      <w:rFonts w:ascii="Arial" w:hAnsi="Arial"/>
      <w:kern w:val="28"/>
      <w:sz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semiHidden/>
    <w:unhideWhenUsed/>
    <w:qFormat/>
    <w:rPr>
      <w:rFonts w:ascii="Times New Roman" w:hAnsi="Times New Roman"/>
    </w:rPr>
  </w:style>
  <w:style w:type="paragraph" w:styleId="Signature">
    <w:name w:val="Signature"/>
    <w:basedOn w:val="Normal"/>
    <w:qFormat/>
    <w:pPr>
      <w:ind w:left="43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uiPriority w:val="10"/>
    <w:qFormat/>
    <w:pPr>
      <w:spacing w:after="360"/>
      <w:jc w:val="right"/>
    </w:pPr>
    <w:rPr>
      <w:kern w:val="28"/>
      <w:sz w:val="36"/>
    </w:rPr>
  </w:style>
  <w:style w:type="paragraph" w:customStyle="1" w:styleId="Author">
    <w:name w:val="Author"/>
    <w:basedOn w:val="Normal"/>
    <w:qFormat/>
    <w:pPr>
      <w:spacing w:line="280" w:lineRule="exact"/>
      <w:jc w:val="right"/>
    </w:p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style>
  <w:style w:type="paragraph" w:customStyle="1" w:styleId="Definition">
    <w:name w:val="Definition"/>
    <w:basedOn w:val="Body"/>
    <w:qFormat/>
  </w:style>
  <w:style w:type="character" w:customStyle="1" w:styleId="Bold">
    <w:name w:val="Bold"/>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style>
  <w:style w:type="character" w:customStyle="1" w:styleId="BoldItal">
    <w:name w:val="BoldItal"/>
    <w:basedOn w:val="DefaultParagraphFont"/>
    <w:qFormat/>
    <w:rPr>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semiHidden/>
    <w:qFormat/>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table" w:customStyle="1" w:styleId="Style71">
    <w:name w:val="_Style 71"/>
    <w:basedOn w:val="TableNormal"/>
    <w:qFormat/>
    <w:tblPr>
      <w:tblCellMar>
        <w:left w:w="115" w:type="dxa"/>
        <w:right w:w="115" w:type="dxa"/>
      </w:tblCellMar>
    </w:tblPr>
  </w:style>
  <w:style w:type="table" w:customStyle="1" w:styleId="Style72">
    <w:name w:val="_Style 72"/>
    <w:basedOn w:val="TableNormal"/>
    <w:qFormat/>
    <w:tblPr>
      <w:tblCellMar>
        <w:top w:w="15" w:type="dxa"/>
        <w:left w:w="15" w:type="dxa"/>
        <w:bottom w:w="15" w:type="dxa"/>
        <w:right w:w="15" w:type="dxa"/>
      </w:tblCellMar>
    </w:tblPr>
  </w:style>
  <w:style w:type="table" w:customStyle="1" w:styleId="Style73">
    <w:name w:val="_Style 73"/>
    <w:basedOn w:val="TableNormal"/>
    <w:qFormat/>
    <w:tblPr>
      <w:tblCellMar>
        <w:top w:w="15" w:type="dxa"/>
        <w:left w:w="15" w:type="dxa"/>
        <w:bottom w:w="15" w:type="dxa"/>
        <w:right w:w="15" w:type="dxa"/>
      </w:tblCellMar>
    </w:tblPr>
  </w:style>
  <w:style w:type="table" w:customStyle="1" w:styleId="Style74">
    <w:name w:val="_Style 74"/>
    <w:basedOn w:val="TableNormal"/>
    <w:qFormat/>
    <w:tblPr>
      <w:tblCellMar>
        <w:top w:w="15" w:type="dxa"/>
        <w:left w:w="15" w:type="dxa"/>
        <w:bottom w:w="15" w:type="dxa"/>
        <w:right w:w="15" w:type="dxa"/>
      </w:tblCellMar>
    </w:tblPr>
  </w:style>
  <w:style w:type="table" w:customStyle="1" w:styleId="Style75">
    <w:name w:val="_Style 75"/>
    <w:basedOn w:val="TableNormal"/>
    <w:qFormat/>
    <w:tblPr>
      <w:tblCellMar>
        <w:top w:w="15" w:type="dxa"/>
        <w:left w:w="15" w:type="dxa"/>
        <w:bottom w:w="15" w:type="dxa"/>
        <w:right w:w="15" w:type="dxa"/>
      </w:tblCellMar>
    </w:tblPr>
  </w:style>
  <w:style w:type="table" w:customStyle="1" w:styleId="Style76">
    <w:name w:val="_Style 76"/>
    <w:basedOn w:val="TableNormal"/>
    <w:qFormat/>
    <w:tblPr>
      <w:tblCellMar>
        <w:top w:w="15" w:type="dxa"/>
        <w:left w:w="15" w:type="dxa"/>
        <w:bottom w:w="15" w:type="dxa"/>
        <w:right w:w="15" w:type="dxa"/>
      </w:tblCellMar>
    </w:tblPr>
  </w:style>
  <w:style w:type="table" w:customStyle="1" w:styleId="Style77">
    <w:name w:val="_Style 77"/>
    <w:basedOn w:val="TableNormal"/>
    <w:qFormat/>
    <w:tblPr>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x8aG0MAjRnG0TEg2YuLz2VDfAA==">CgMxLjAyDWguaTRkeWw1Z3d0b2cyDmguNm92Z253N3lldHg4OAByITFON2FuM1Y0aVM5RlNCZU91dFM5U3pLRGo3RzNvX3lQdg==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4633</Words>
  <Characters>26411</Characters>
  <Application>Microsoft Office Word</Application>
  <DocSecurity>0</DocSecurity>
  <Lines>220</Lines>
  <Paragraphs>61</Paragraphs>
  <ScaleCrop>false</ScaleCrop>
  <Company/>
  <LinksUpToDate>false</LinksUpToDate>
  <CharactersWithSpaces>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29</cp:revision>
  <dcterms:created xsi:type="dcterms:W3CDTF">2025-03-27T01:13:00Z</dcterms:created>
  <dcterms:modified xsi:type="dcterms:W3CDTF">2025-08-18T06:59:00Z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38c81709-0acc-4600-9df8-c657e4d1d652</vt:lpwstr>
  </property>
  <property fmtid="{D5CDD505-2E9C-101B-9397-08002B2CF9AE}" pid="3" name="KSOProductBuildVer">
    <vt:lpwstr>1033-12.2.0.21179</vt:lpwstr>
  </property>
  <property fmtid="{D5CDD505-2E9C-101B-9397-08002B2CF9AE}" pid="4" name="ICV">
    <vt:lpwstr>0D0A63963AD34443BE62683895BBE5DE_12</vt:lpwstr>
  </property>
</Properties>
</file>