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2AB5" w14:textId="4CF3AD73" w:rsidR="005362EB" w:rsidRDefault="00602EA4" w:rsidP="005726D4">
      <w:pPr>
        <w:spacing w:line="276" w:lineRule="auto"/>
        <w:jc w:val="center"/>
        <w:rPr>
          <w:rFonts w:ascii="Times New Roman" w:hAnsi="Times New Roman" w:cs="Times New Roman"/>
          <w:b/>
          <w:bCs/>
          <w:sz w:val="24"/>
          <w:szCs w:val="24"/>
        </w:rPr>
      </w:pPr>
      <w:r w:rsidRPr="00E043EA">
        <w:rPr>
          <w:rFonts w:ascii="Times New Roman" w:hAnsi="Times New Roman" w:cs="Times New Roman"/>
          <w:b/>
          <w:bCs/>
          <w:sz w:val="24"/>
          <w:szCs w:val="24"/>
        </w:rPr>
        <w:t>De-</w:t>
      </w:r>
      <w:proofErr w:type="spellStart"/>
      <w:r w:rsidRPr="00E043EA">
        <w:rPr>
          <w:rFonts w:ascii="Times New Roman" w:hAnsi="Times New Roman" w:cs="Times New Roman"/>
          <w:b/>
          <w:bCs/>
          <w:sz w:val="24"/>
          <w:szCs w:val="24"/>
        </w:rPr>
        <w:t>Dollarisation</w:t>
      </w:r>
      <w:proofErr w:type="spellEnd"/>
      <w:r w:rsidRPr="00E043EA">
        <w:rPr>
          <w:rFonts w:ascii="Times New Roman" w:hAnsi="Times New Roman" w:cs="Times New Roman"/>
          <w:b/>
          <w:bCs/>
          <w:sz w:val="24"/>
          <w:szCs w:val="24"/>
        </w:rPr>
        <w:t xml:space="preserve"> From A Historical Perspective: Brics Plans, Tariff Threats</w:t>
      </w:r>
      <w:r w:rsidR="00891AE2">
        <w:rPr>
          <w:rFonts w:ascii="Times New Roman" w:hAnsi="Times New Roman" w:cs="Times New Roman"/>
          <w:b/>
          <w:bCs/>
          <w:sz w:val="24"/>
          <w:szCs w:val="24"/>
        </w:rPr>
        <w:t xml:space="preserve"> </w:t>
      </w:r>
      <w:bookmarkStart w:id="0" w:name="_GoBack"/>
      <w:bookmarkEnd w:id="0"/>
      <w:r w:rsidR="00363272" w:rsidRPr="00E043EA">
        <w:rPr>
          <w:rFonts w:ascii="Times New Roman" w:hAnsi="Times New Roman" w:cs="Times New Roman"/>
          <w:b/>
          <w:bCs/>
          <w:sz w:val="24"/>
          <w:szCs w:val="24"/>
        </w:rPr>
        <w:t>and</w:t>
      </w:r>
      <w:r w:rsidRPr="00E043EA">
        <w:rPr>
          <w:rFonts w:ascii="Times New Roman" w:hAnsi="Times New Roman" w:cs="Times New Roman"/>
          <w:b/>
          <w:bCs/>
          <w:sz w:val="24"/>
          <w:szCs w:val="24"/>
        </w:rPr>
        <w:t xml:space="preserve"> New Currency Multipolarity</w:t>
      </w:r>
    </w:p>
    <w:p w14:paraId="7AFB421A" w14:textId="77777777" w:rsidR="008250D6" w:rsidRPr="00E043EA" w:rsidRDefault="008250D6" w:rsidP="005726D4">
      <w:pPr>
        <w:spacing w:line="276" w:lineRule="auto"/>
        <w:jc w:val="center"/>
        <w:rPr>
          <w:rFonts w:ascii="Times New Roman" w:hAnsi="Times New Roman" w:cs="Times New Roman"/>
          <w:b/>
          <w:bCs/>
          <w:sz w:val="24"/>
          <w:szCs w:val="24"/>
        </w:rPr>
      </w:pPr>
    </w:p>
    <w:p w14:paraId="2A28F779" w14:textId="0A0C2498" w:rsidR="005362EB" w:rsidRPr="00E043EA" w:rsidRDefault="005362EB" w:rsidP="008E3029">
      <w:pPr>
        <w:jc w:val="center"/>
        <w:rPr>
          <w:rFonts w:ascii="Times New Roman" w:hAnsi="Times New Roman" w:cs="Times New Roman"/>
          <w:b/>
          <w:bCs/>
          <w:sz w:val="24"/>
          <w:szCs w:val="24"/>
        </w:rPr>
      </w:pPr>
      <w:r w:rsidRPr="00E043EA">
        <w:rPr>
          <w:rFonts w:ascii="Times New Roman" w:hAnsi="Times New Roman" w:cs="Times New Roman"/>
          <w:b/>
          <w:bCs/>
          <w:sz w:val="24"/>
          <w:szCs w:val="24"/>
        </w:rPr>
        <w:t>ABSTRACT</w:t>
      </w:r>
    </w:p>
    <w:p w14:paraId="79D65616" w14:textId="2F3A2C12" w:rsidR="005362EB" w:rsidRPr="00E043EA" w:rsidRDefault="005362EB" w:rsidP="008E3029">
      <w:pPr>
        <w:jc w:val="both"/>
        <w:rPr>
          <w:rFonts w:ascii="Times New Roman" w:hAnsi="Times New Roman" w:cs="Times New Roman"/>
          <w:sz w:val="24"/>
          <w:szCs w:val="24"/>
        </w:rPr>
      </w:pPr>
      <w:r w:rsidRPr="00E043EA">
        <w:rPr>
          <w:rFonts w:ascii="Times New Roman" w:hAnsi="Times New Roman" w:cs="Times New Roman"/>
          <w:sz w:val="24"/>
          <w:szCs w:val="24"/>
        </w:rPr>
        <w:t>This article analyses the BRICS-sponsored de-dollarisation campaign as a cautious, historically informed reaction to both long-run structural developments in the international monetary system and recent geopolitical tensions, specifically U.S. tariff hikes and financial sanctions.</w:t>
      </w:r>
      <w:r w:rsidR="00F04049" w:rsidRPr="00E043EA">
        <w:rPr>
          <w:rFonts w:ascii="Times New Roman" w:hAnsi="Times New Roman" w:cs="Times New Roman"/>
          <w:sz w:val="24"/>
          <w:szCs w:val="24"/>
        </w:rPr>
        <w:t xml:space="preserve"> </w:t>
      </w:r>
      <w:r w:rsidR="002646D0" w:rsidRPr="00E043EA">
        <w:rPr>
          <w:rFonts w:ascii="Times New Roman" w:hAnsi="Times New Roman" w:cs="Times New Roman"/>
          <w:sz w:val="24"/>
          <w:szCs w:val="24"/>
        </w:rPr>
        <w:t>On earlier precedents in history, i.e., the demise of the British pound sterling after World War II and that of the Bretton Woods system, the argument puts de-dollarisation in its proper place as not an exception but a natural phenomenon in the history of money (</w:t>
      </w:r>
      <w:proofErr w:type="spellStart"/>
      <w:r w:rsidR="002646D0" w:rsidRPr="00E043EA">
        <w:rPr>
          <w:rFonts w:ascii="Times New Roman" w:hAnsi="Times New Roman" w:cs="Times New Roman"/>
          <w:sz w:val="24"/>
          <w:szCs w:val="24"/>
        </w:rPr>
        <w:t>Eichengreen</w:t>
      </w:r>
      <w:proofErr w:type="spellEnd"/>
      <w:r w:rsidR="002646D0" w:rsidRPr="00E043EA">
        <w:rPr>
          <w:rFonts w:ascii="Times New Roman" w:hAnsi="Times New Roman" w:cs="Times New Roman"/>
          <w:sz w:val="24"/>
          <w:szCs w:val="24"/>
        </w:rPr>
        <w:t>, 2011). Empirical findings based on data from the International Monetary Fund</w:t>
      </w:r>
      <w:r w:rsidR="00DB1CC0" w:rsidRPr="00E043EA">
        <w:rPr>
          <w:rFonts w:ascii="Times New Roman" w:hAnsi="Times New Roman" w:cs="Times New Roman"/>
          <w:sz w:val="24"/>
          <w:szCs w:val="24"/>
        </w:rPr>
        <w:t>’</w:t>
      </w:r>
      <w:r w:rsidR="002646D0" w:rsidRPr="00E043EA">
        <w:rPr>
          <w:rFonts w:ascii="Times New Roman" w:hAnsi="Times New Roman" w:cs="Times New Roman"/>
          <w:sz w:val="24"/>
          <w:szCs w:val="24"/>
        </w:rPr>
        <w:t>s Currency Composition of Official Foreign Exchange Reserves (COFER) indicate a consistent downward trend in the proportion of the U.S. dollar from more than 70% during the late 1990s to less than 60% in recent years with step-wise improvement for emerging-market currencies like Chinese renminbi. Bank for International Settlements and Society for Worldwide Interbank Financial Telecommunication data illustrating greater cross-border settlement through BRICS currencies, especially RMB-denominated trade corridors facilitated by institutional innovations like China</w:t>
      </w:r>
      <w:r w:rsidR="00DB1CC0" w:rsidRPr="00E043EA">
        <w:rPr>
          <w:rFonts w:ascii="Times New Roman" w:hAnsi="Times New Roman" w:cs="Times New Roman"/>
          <w:sz w:val="24"/>
          <w:szCs w:val="24"/>
        </w:rPr>
        <w:t>’</w:t>
      </w:r>
      <w:r w:rsidR="002646D0" w:rsidRPr="00E043EA">
        <w:rPr>
          <w:rFonts w:ascii="Times New Roman" w:hAnsi="Times New Roman" w:cs="Times New Roman"/>
          <w:sz w:val="24"/>
          <w:szCs w:val="24"/>
        </w:rPr>
        <w:t>s Cross-Border Interbank Payment System and the BRICS Contingent Reserve Arrangement.</w:t>
      </w:r>
      <w:r w:rsidR="00F04049" w:rsidRPr="00E043EA">
        <w:rPr>
          <w:rFonts w:ascii="Times New Roman" w:hAnsi="Times New Roman" w:cs="Times New Roman"/>
          <w:sz w:val="24"/>
          <w:szCs w:val="24"/>
        </w:rPr>
        <w:t xml:space="preserve"> </w:t>
      </w:r>
      <w:r w:rsidRPr="00E043EA">
        <w:rPr>
          <w:rFonts w:ascii="Times New Roman" w:hAnsi="Times New Roman" w:cs="Times New Roman"/>
          <w:sz w:val="24"/>
          <w:szCs w:val="24"/>
        </w:rPr>
        <w:t>Central bank bilateral swap arrangements further facilitate local-currency liquidity, lowering dependence on dollar-clearing arrangements. While tariffs and sanctions deepen the political and strategic incentive to diversify away from the dollar, the analysis concludes that de-dollarisation only endures on the basis of deepening alternative currency markets, improving liquidity, and establishing credible, interoperable payment infrastructures. The spillovers of this transition involve diminished exposure to U.S. monetary policy spillovers, amplified monetary independence for BRICS members, and a gradual evolution toward a more multipolar currency system.</w:t>
      </w:r>
      <w:r w:rsidR="00E230CB" w:rsidRPr="00E043EA">
        <w:rPr>
          <w:rFonts w:ascii="Times New Roman" w:hAnsi="Times New Roman" w:cs="Times New Roman"/>
          <w:sz w:val="24"/>
          <w:szCs w:val="24"/>
        </w:rPr>
        <w:t xml:space="preserve"> But with deep-seated network effects and dollar liquidity advantages in mind, the conversion will be likely to be partial, one-way, and place-based in the short term.</w:t>
      </w:r>
    </w:p>
    <w:p w14:paraId="0B99D5AC" w14:textId="6EC3A3E5" w:rsidR="00F04049" w:rsidRDefault="00F04049" w:rsidP="008E3029">
      <w:pPr>
        <w:jc w:val="both"/>
        <w:rPr>
          <w:rFonts w:ascii="Times New Roman" w:hAnsi="Times New Roman" w:cs="Times New Roman"/>
          <w:b/>
          <w:bCs/>
          <w:i/>
          <w:iCs/>
          <w:sz w:val="24"/>
          <w:szCs w:val="24"/>
        </w:rPr>
      </w:pPr>
      <w:r w:rsidRPr="00E043EA">
        <w:rPr>
          <w:rFonts w:ascii="Times New Roman" w:hAnsi="Times New Roman" w:cs="Times New Roman"/>
          <w:b/>
          <w:bCs/>
          <w:i/>
          <w:iCs/>
          <w:sz w:val="24"/>
          <w:szCs w:val="24"/>
        </w:rPr>
        <w:t>Keywords: De</w:t>
      </w:r>
      <w:r w:rsidR="00DB1CC0" w:rsidRPr="00E043EA">
        <w:rPr>
          <w:rFonts w:ascii="Times New Roman" w:hAnsi="Times New Roman" w:cs="Times New Roman"/>
          <w:b/>
          <w:bCs/>
          <w:i/>
          <w:iCs/>
          <w:sz w:val="24"/>
          <w:szCs w:val="24"/>
        </w:rPr>
        <w:t>-</w:t>
      </w:r>
      <w:r w:rsidRPr="00E043EA">
        <w:rPr>
          <w:rFonts w:ascii="Times New Roman" w:hAnsi="Times New Roman" w:cs="Times New Roman"/>
          <w:b/>
          <w:bCs/>
          <w:i/>
          <w:iCs/>
          <w:sz w:val="24"/>
          <w:szCs w:val="24"/>
        </w:rPr>
        <w:t xml:space="preserve">Dollarisation, BRICS, </w:t>
      </w:r>
      <w:r w:rsidR="00DB1CC0" w:rsidRPr="00E043EA">
        <w:rPr>
          <w:rFonts w:ascii="Times New Roman" w:hAnsi="Times New Roman" w:cs="Times New Roman"/>
          <w:b/>
          <w:bCs/>
          <w:i/>
          <w:iCs/>
          <w:sz w:val="24"/>
          <w:szCs w:val="24"/>
        </w:rPr>
        <w:t>T</w:t>
      </w:r>
      <w:r w:rsidRPr="00E043EA">
        <w:rPr>
          <w:rFonts w:ascii="Times New Roman" w:hAnsi="Times New Roman" w:cs="Times New Roman"/>
          <w:b/>
          <w:bCs/>
          <w:i/>
          <w:iCs/>
          <w:sz w:val="24"/>
          <w:szCs w:val="24"/>
        </w:rPr>
        <w:t xml:space="preserve">ariffs, </w:t>
      </w:r>
      <w:r w:rsidR="00DB1CC0" w:rsidRPr="00E043EA">
        <w:rPr>
          <w:rFonts w:ascii="Times New Roman" w:hAnsi="Times New Roman" w:cs="Times New Roman"/>
          <w:b/>
          <w:bCs/>
          <w:i/>
          <w:iCs/>
          <w:sz w:val="24"/>
          <w:szCs w:val="24"/>
        </w:rPr>
        <w:t>Cross-Border Payments, Central Bank Swap Arrangements</w:t>
      </w:r>
      <w:r w:rsidR="00776B37" w:rsidRPr="00E043EA">
        <w:rPr>
          <w:rFonts w:ascii="Times New Roman" w:hAnsi="Times New Roman" w:cs="Times New Roman"/>
          <w:b/>
          <w:bCs/>
          <w:i/>
          <w:iCs/>
          <w:sz w:val="24"/>
          <w:szCs w:val="24"/>
        </w:rPr>
        <w:t xml:space="preserve">, SWIFT, Portfolio Choice Theory. </w:t>
      </w:r>
    </w:p>
    <w:p w14:paraId="2847C4BD" w14:textId="4B667E16" w:rsidR="00576E6A" w:rsidRPr="00E043EA" w:rsidRDefault="00576E6A" w:rsidP="00576E6A">
      <w:pPr>
        <w:pStyle w:val="NoSpacing"/>
      </w:pPr>
      <w:r>
        <w:tab/>
      </w:r>
    </w:p>
    <w:p w14:paraId="77B9A3CE" w14:textId="77777777" w:rsidR="002646D0" w:rsidRPr="00E043EA" w:rsidRDefault="002646D0" w:rsidP="008E3029">
      <w:pPr>
        <w:jc w:val="both"/>
        <w:rPr>
          <w:rFonts w:ascii="Times New Roman" w:hAnsi="Times New Roman" w:cs="Times New Roman"/>
          <w:b/>
          <w:bCs/>
          <w:i/>
          <w:iCs/>
          <w:sz w:val="24"/>
          <w:szCs w:val="24"/>
        </w:rPr>
      </w:pPr>
    </w:p>
    <w:p w14:paraId="716FC58D" w14:textId="2021CF27" w:rsidR="002646D0" w:rsidRPr="00E043EA" w:rsidRDefault="00F04049" w:rsidP="00F04049">
      <w:pPr>
        <w:jc w:val="center"/>
        <w:rPr>
          <w:rFonts w:ascii="Times New Roman" w:hAnsi="Times New Roman" w:cs="Times New Roman"/>
          <w:b/>
          <w:bCs/>
          <w:sz w:val="24"/>
          <w:szCs w:val="24"/>
        </w:rPr>
      </w:pPr>
      <w:r w:rsidRPr="00E043EA">
        <w:rPr>
          <w:rFonts w:ascii="Times New Roman" w:hAnsi="Times New Roman" w:cs="Times New Roman"/>
          <w:b/>
          <w:bCs/>
          <w:sz w:val="24"/>
          <w:szCs w:val="24"/>
        </w:rPr>
        <w:t>I. INTRODUCTION</w:t>
      </w:r>
    </w:p>
    <w:p w14:paraId="1DBB0713" w14:textId="4FB25C0F" w:rsidR="002646D0"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U.S. tariffs imposed recently have contributed to speeding up the process of de-dollarisation by BRICS nations, but are not the only cause. There is evidence from global macroeconomic and firm-level research that tariffs and the perceived increase in geopolitical risk they imply change price incentives as well as institutional behaviours around the use of currency, particularly invoicing trade, central-bank liquidity arrangements, reserve composition, and payment infrastructure.</w:t>
      </w:r>
      <w:r w:rsidR="00F04049" w:rsidRPr="00E043EA">
        <w:rPr>
          <w:rFonts w:ascii="Times New Roman" w:hAnsi="Times New Roman" w:cs="Times New Roman"/>
          <w:sz w:val="24"/>
          <w:szCs w:val="24"/>
        </w:rPr>
        <w:t xml:space="preserve"> </w:t>
      </w:r>
      <w:r w:rsidR="002646D0" w:rsidRPr="00E043EA">
        <w:rPr>
          <w:rFonts w:ascii="Times New Roman" w:hAnsi="Times New Roman" w:cs="Times New Roman"/>
          <w:sz w:val="24"/>
          <w:szCs w:val="24"/>
        </w:rPr>
        <w:t>First, from the firm-level and invoicing-currency perspective, the DCP suggests that the U.S. dollar remains prevalent even in trade where neither party is American, owing to network externalities, input invoicing, and deep hedging markets (Gopinath, 2015; Gopinath &amp; Stein, 20</w:t>
      </w:r>
      <w:r w:rsidR="006B56D3" w:rsidRPr="00E043EA">
        <w:rPr>
          <w:rFonts w:ascii="Times New Roman" w:hAnsi="Times New Roman" w:cs="Times New Roman"/>
          <w:sz w:val="24"/>
          <w:szCs w:val="24"/>
        </w:rPr>
        <w:t>21</w:t>
      </w:r>
      <w:r w:rsidR="002646D0" w:rsidRPr="00E043EA">
        <w:rPr>
          <w:rFonts w:ascii="Times New Roman" w:hAnsi="Times New Roman" w:cs="Times New Roman"/>
          <w:sz w:val="24"/>
          <w:szCs w:val="24"/>
        </w:rPr>
        <w:t xml:space="preserve">). The currency in which the </w:t>
      </w:r>
      <w:r w:rsidR="00F04049" w:rsidRPr="00E043EA">
        <w:rPr>
          <w:rFonts w:ascii="Times New Roman" w:hAnsi="Times New Roman" w:cs="Times New Roman"/>
          <w:sz w:val="24"/>
          <w:szCs w:val="24"/>
        </w:rPr>
        <w:t>firm</w:t>
      </w:r>
      <w:r w:rsidR="00DB1CC0" w:rsidRPr="00E043EA">
        <w:rPr>
          <w:rFonts w:ascii="Times New Roman" w:hAnsi="Times New Roman" w:cs="Times New Roman"/>
          <w:sz w:val="24"/>
          <w:szCs w:val="24"/>
        </w:rPr>
        <w:t>’</w:t>
      </w:r>
      <w:r w:rsidR="00F04049" w:rsidRPr="00E043EA">
        <w:rPr>
          <w:rFonts w:ascii="Times New Roman" w:hAnsi="Times New Roman" w:cs="Times New Roman"/>
          <w:sz w:val="24"/>
          <w:szCs w:val="24"/>
        </w:rPr>
        <w:t>s</w:t>
      </w:r>
      <w:r w:rsidR="002646D0" w:rsidRPr="00E043EA">
        <w:rPr>
          <w:rFonts w:ascii="Times New Roman" w:hAnsi="Times New Roman" w:cs="Times New Roman"/>
          <w:sz w:val="24"/>
          <w:szCs w:val="24"/>
        </w:rPr>
        <w:t xml:space="preserve"> invoice has strategic and persistent choices: Larger, import-intensive firms are more likely to invoice in the dollar, even in non-</w:t>
      </w:r>
      <w:r w:rsidR="002646D0" w:rsidRPr="00E043EA">
        <w:rPr>
          <w:rFonts w:ascii="Times New Roman" w:hAnsi="Times New Roman" w:cs="Times New Roman"/>
          <w:sz w:val="24"/>
          <w:szCs w:val="24"/>
        </w:rPr>
        <w:lastRenderedPageBreak/>
        <w:t>U.S. trade, by hedging convenience and reduced transactions costs (Amiti et al., 2022).</w:t>
      </w:r>
      <w:r w:rsidR="00C210BC" w:rsidRPr="00E043EA">
        <w:rPr>
          <w:rFonts w:ascii="Times New Roman" w:hAnsi="Times New Roman" w:cs="Times New Roman"/>
          <w:sz w:val="24"/>
          <w:szCs w:val="24"/>
        </w:rPr>
        <w:t xml:space="preserve"> Previous U.S. tariff policies have stimulated additional de-dollarisation by BRICS countries, yet they alone are not the reason. Global macroeconomic and firm-level data show that tariffs and the perception of geopolitical risk increase they create alter price incentives and institutional </w:t>
      </w:r>
      <w:r w:rsidR="00F04049" w:rsidRPr="00E043EA">
        <w:rPr>
          <w:rFonts w:ascii="Times New Roman" w:hAnsi="Times New Roman" w:cs="Times New Roman"/>
          <w:sz w:val="24"/>
          <w:szCs w:val="24"/>
        </w:rPr>
        <w:t>behaviour</w:t>
      </w:r>
      <w:r w:rsidR="00C210BC" w:rsidRPr="00E043EA">
        <w:rPr>
          <w:rFonts w:ascii="Times New Roman" w:hAnsi="Times New Roman" w:cs="Times New Roman"/>
          <w:sz w:val="24"/>
          <w:szCs w:val="24"/>
        </w:rPr>
        <w:t xml:space="preserve"> around currency use, especially in invoicing trade, central-bank liquidity provision, reserve holdings, and payments infrastructure.</w:t>
      </w:r>
    </w:p>
    <w:p w14:paraId="0B95D55A" w14:textId="6813721F" w:rsidR="00C210BC" w:rsidRPr="00E043EA" w:rsidRDefault="002646D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These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stickiness</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and network-effect dynamics mean that moving away from the dollar needs long-run incentives and infrastructure (Amiti et al., 2022; Gopinath &amp; Stein, 20</w:t>
      </w:r>
      <w:r w:rsidR="006B56D3" w:rsidRPr="00E043EA">
        <w:rPr>
          <w:rFonts w:ascii="Times New Roman" w:hAnsi="Times New Roman" w:cs="Times New Roman"/>
          <w:sz w:val="24"/>
          <w:szCs w:val="24"/>
        </w:rPr>
        <w:t>21</w:t>
      </w:r>
      <w:r w:rsidRPr="00E043EA">
        <w:rPr>
          <w:rFonts w:ascii="Times New Roman" w:hAnsi="Times New Roman" w:cs="Times New Roman"/>
          <w:sz w:val="24"/>
          <w:szCs w:val="24"/>
        </w:rPr>
        <w:t>). Second, tariff policies (e.g., the U.S. tariffs applied in 2018–19) are exogenous shocks that can significantly affect exchange-rate expectations and thus have an impact on invoicing incentives. Jeanne and Son (2020) time the adjustment of tariff announcements on exchange-rate responses and establish that U.S. tariffs played a large part in both the appreciation of the U.S. dollar and the depreciation of Chinese renminbi over that period. These changes alter relative price signals and can marginally boost the attractiveness of local-currency invoicing (Jeanne &amp; Son, 2020).</w:t>
      </w:r>
      <w:r w:rsidR="00C210BC" w:rsidRPr="00E043EA">
        <w:rPr>
          <w:rFonts w:ascii="Times New Roman" w:hAnsi="Times New Roman" w:cs="Times New Roman"/>
          <w:sz w:val="24"/>
          <w:szCs w:val="24"/>
        </w:rPr>
        <w:t xml:space="preserve"> </w:t>
      </w:r>
      <w:r w:rsidR="00F04049" w:rsidRPr="00E043EA">
        <w:rPr>
          <w:rFonts w:ascii="Times New Roman" w:hAnsi="Times New Roman" w:cs="Times New Roman"/>
          <w:sz w:val="24"/>
          <w:szCs w:val="24"/>
        </w:rPr>
        <w:t xml:space="preserve"> </w:t>
      </w:r>
      <w:r w:rsidR="00C210BC" w:rsidRPr="00E043EA">
        <w:rPr>
          <w:rFonts w:ascii="Times New Roman" w:hAnsi="Times New Roman" w:cs="Times New Roman"/>
          <w:sz w:val="24"/>
          <w:szCs w:val="24"/>
        </w:rPr>
        <w:t>Third, tariffs raise counterparty risk in particular, the risk that dollar flows will be cut or frozen and therefore expand demand for liquidity insurance in other currencies. BRICS countries have responded by increasing central-bank swap lines (e.g., China-Russia, Brazil-India arrangements) and backing the Cross-Border Interbank Payment System (CIPS) to expand settlement channels beyond the dollar (</w:t>
      </w:r>
      <w:proofErr w:type="spellStart"/>
      <w:r w:rsidR="00C210BC" w:rsidRPr="00E043EA">
        <w:rPr>
          <w:rFonts w:ascii="Times New Roman" w:hAnsi="Times New Roman" w:cs="Times New Roman"/>
          <w:sz w:val="24"/>
          <w:szCs w:val="24"/>
        </w:rPr>
        <w:t>Eichengreen</w:t>
      </w:r>
      <w:proofErr w:type="spellEnd"/>
      <w:r w:rsidR="00C210BC" w:rsidRPr="00E043EA">
        <w:rPr>
          <w:rFonts w:ascii="Times New Roman" w:hAnsi="Times New Roman" w:cs="Times New Roman"/>
          <w:sz w:val="24"/>
          <w:szCs w:val="24"/>
        </w:rPr>
        <w:t xml:space="preserve">, </w:t>
      </w:r>
      <w:proofErr w:type="spellStart"/>
      <w:r w:rsidR="00C210BC" w:rsidRPr="00E043EA">
        <w:rPr>
          <w:rFonts w:ascii="Times New Roman" w:hAnsi="Times New Roman" w:cs="Times New Roman"/>
          <w:sz w:val="24"/>
          <w:szCs w:val="24"/>
        </w:rPr>
        <w:t>Mehl</w:t>
      </w:r>
      <w:proofErr w:type="spellEnd"/>
      <w:r w:rsidR="00606E99" w:rsidRPr="00E043EA">
        <w:rPr>
          <w:rFonts w:ascii="Times New Roman" w:hAnsi="Times New Roman" w:cs="Times New Roman"/>
          <w:sz w:val="24"/>
          <w:szCs w:val="24"/>
        </w:rPr>
        <w:t xml:space="preserve"> &amp; </w:t>
      </w:r>
      <w:proofErr w:type="spellStart"/>
      <w:r w:rsidR="00606E99" w:rsidRPr="00E043EA">
        <w:rPr>
          <w:rFonts w:ascii="Times New Roman" w:hAnsi="Times New Roman" w:cs="Times New Roman"/>
          <w:sz w:val="24"/>
          <w:szCs w:val="24"/>
        </w:rPr>
        <w:t>Chitu</w:t>
      </w:r>
      <w:proofErr w:type="spellEnd"/>
      <w:r w:rsidR="00606E99" w:rsidRPr="00E043EA">
        <w:rPr>
          <w:rFonts w:ascii="Times New Roman" w:hAnsi="Times New Roman" w:cs="Times New Roman"/>
          <w:sz w:val="24"/>
          <w:szCs w:val="24"/>
        </w:rPr>
        <w:t xml:space="preserve">, </w:t>
      </w:r>
      <w:r w:rsidR="00C210BC" w:rsidRPr="00E043EA">
        <w:rPr>
          <w:rFonts w:ascii="Times New Roman" w:hAnsi="Times New Roman" w:cs="Times New Roman"/>
          <w:sz w:val="24"/>
          <w:szCs w:val="24"/>
        </w:rPr>
        <w:t>201</w:t>
      </w:r>
      <w:r w:rsidR="00606E99" w:rsidRPr="00E043EA">
        <w:rPr>
          <w:rFonts w:ascii="Times New Roman" w:hAnsi="Times New Roman" w:cs="Times New Roman"/>
          <w:sz w:val="24"/>
          <w:szCs w:val="24"/>
        </w:rPr>
        <w:t>8</w:t>
      </w:r>
      <w:r w:rsidR="00C210BC" w:rsidRPr="00E043EA">
        <w:rPr>
          <w:rFonts w:ascii="Times New Roman" w:hAnsi="Times New Roman" w:cs="Times New Roman"/>
          <w:sz w:val="24"/>
          <w:szCs w:val="24"/>
        </w:rPr>
        <w:t>). Empirical snapshots reveal increases in renminbi clearing activity subsequent to geopolitical events, indicating that these infrastructures are being actively used during periods of stress (</w:t>
      </w:r>
      <w:proofErr w:type="spellStart"/>
      <w:r w:rsidR="00C210BC" w:rsidRPr="00E043EA">
        <w:rPr>
          <w:rFonts w:ascii="Times New Roman" w:hAnsi="Times New Roman" w:cs="Times New Roman"/>
          <w:sz w:val="24"/>
          <w:szCs w:val="24"/>
        </w:rPr>
        <w:t>Eichengreen</w:t>
      </w:r>
      <w:proofErr w:type="spellEnd"/>
      <w:r w:rsidR="00C210BC" w:rsidRPr="00E043EA">
        <w:rPr>
          <w:rFonts w:ascii="Times New Roman" w:hAnsi="Times New Roman" w:cs="Times New Roman"/>
          <w:sz w:val="24"/>
          <w:szCs w:val="24"/>
        </w:rPr>
        <w:t xml:space="preserve"> et al., 201</w:t>
      </w:r>
      <w:r w:rsidR="00606E99" w:rsidRPr="00E043EA">
        <w:rPr>
          <w:rFonts w:ascii="Times New Roman" w:hAnsi="Times New Roman" w:cs="Times New Roman"/>
          <w:sz w:val="24"/>
          <w:szCs w:val="24"/>
        </w:rPr>
        <w:t>8</w:t>
      </w:r>
      <w:r w:rsidR="00C210BC" w:rsidRPr="00E043EA">
        <w:rPr>
          <w:rFonts w:ascii="Times New Roman" w:hAnsi="Times New Roman" w:cs="Times New Roman"/>
          <w:sz w:val="24"/>
          <w:szCs w:val="24"/>
        </w:rPr>
        <w:t>). Fourth, at the reserves level, while policymakers are indicating interest in diversifying away from dollar reserves, such shifts as have actually occurred have been incremental.</w:t>
      </w:r>
      <w:r w:rsidR="00F04049" w:rsidRPr="00E043EA">
        <w:rPr>
          <w:rFonts w:ascii="Times New Roman" w:hAnsi="Times New Roman" w:cs="Times New Roman"/>
          <w:sz w:val="24"/>
          <w:szCs w:val="24"/>
        </w:rPr>
        <w:t xml:space="preserve"> </w:t>
      </w:r>
      <w:r w:rsidR="00C210BC" w:rsidRPr="00E043EA">
        <w:rPr>
          <w:rFonts w:ascii="Times New Roman" w:hAnsi="Times New Roman" w:cs="Times New Roman"/>
          <w:sz w:val="24"/>
          <w:szCs w:val="24"/>
        </w:rPr>
        <w:t xml:space="preserve">Reserve managers highlight liquidity, safety, and acceptability, and U.S. Treasuries are the deepest, most liquid global asset. IMF COFER data show that reserve holdings of the dollar have decreased only slightly in the last decade, with small reallocations toward euro, yen, or gold (IMF, 2024; </w:t>
      </w:r>
      <w:r w:rsidR="00BD0863" w:rsidRPr="00E043EA">
        <w:rPr>
          <w:rFonts w:ascii="Times New Roman" w:hAnsi="Times New Roman" w:cs="Times New Roman"/>
          <w:sz w:val="24"/>
          <w:szCs w:val="24"/>
        </w:rPr>
        <w:t xml:space="preserve">Kamin, S., &amp; Sobel, M. 2024; </w:t>
      </w:r>
      <w:proofErr w:type="spellStart"/>
      <w:r w:rsidR="00BD0863" w:rsidRPr="00E043EA">
        <w:rPr>
          <w:rFonts w:ascii="Times New Roman" w:hAnsi="Times New Roman" w:cs="Times New Roman"/>
          <w:sz w:val="24"/>
          <w:szCs w:val="24"/>
        </w:rPr>
        <w:t>Lysandrou</w:t>
      </w:r>
      <w:proofErr w:type="spellEnd"/>
      <w:r w:rsidR="00BD0863" w:rsidRPr="00E043EA">
        <w:rPr>
          <w:rFonts w:ascii="Times New Roman" w:hAnsi="Times New Roman" w:cs="Times New Roman"/>
          <w:sz w:val="24"/>
          <w:szCs w:val="24"/>
        </w:rPr>
        <w:t>, P. 2025</w:t>
      </w:r>
      <w:r w:rsidR="00C210BC" w:rsidRPr="00E043EA">
        <w:rPr>
          <w:rFonts w:ascii="Times New Roman" w:hAnsi="Times New Roman" w:cs="Times New Roman"/>
          <w:sz w:val="24"/>
          <w:szCs w:val="24"/>
        </w:rPr>
        <w:t>). Reserve inertial dynamics also decelerate de-dollarisation. These forces firm invoicing incentives, currency-swap infrastructure, and reserve inertia together determine the pace and extent of de-dollarisation. Tariffs raise geopolitical and financial risk, pushing policy and firms towards non-dollar alternatives, but institutional depth continues to matter: in the absence of credible alternatives in bond markets, FX liquidity, and clearing, currency substitution remains constrained.</w:t>
      </w:r>
    </w:p>
    <w:p w14:paraId="5229B596" w14:textId="27BD94E8" w:rsidR="00C210BC" w:rsidRPr="00E043EA" w:rsidRDefault="00C210BC" w:rsidP="008E3029">
      <w:pPr>
        <w:jc w:val="both"/>
        <w:rPr>
          <w:rFonts w:ascii="Times New Roman" w:hAnsi="Times New Roman" w:cs="Times New Roman"/>
          <w:sz w:val="24"/>
          <w:szCs w:val="24"/>
        </w:rPr>
      </w:pPr>
      <w:r w:rsidRPr="00E043EA">
        <w:rPr>
          <w:rFonts w:ascii="Times New Roman" w:hAnsi="Times New Roman" w:cs="Times New Roman"/>
          <w:sz w:val="24"/>
          <w:szCs w:val="24"/>
        </w:rPr>
        <w:t>From a welfare perspective, de-dollarisation provides risk mitigation, particularly in geopolitical tail-risk situations where dollar exposure could be weaponized through sanctions (</w:t>
      </w:r>
      <w:r w:rsidR="00025A7B" w:rsidRPr="00E043EA">
        <w:rPr>
          <w:rFonts w:ascii="Times New Roman" w:hAnsi="Times New Roman" w:cs="Times New Roman"/>
          <w:sz w:val="24"/>
          <w:szCs w:val="24"/>
        </w:rPr>
        <w:t>Krause, D. 2025</w:t>
      </w:r>
      <w:r w:rsidRPr="00E043EA">
        <w:rPr>
          <w:rFonts w:ascii="Times New Roman" w:hAnsi="Times New Roman" w:cs="Times New Roman"/>
          <w:sz w:val="24"/>
          <w:szCs w:val="24"/>
        </w:rPr>
        <w:t>). Minimi</w:t>
      </w:r>
      <w:r w:rsidR="00DB1CC0" w:rsidRPr="00E043EA">
        <w:rPr>
          <w:rFonts w:ascii="Times New Roman" w:hAnsi="Times New Roman" w:cs="Times New Roman"/>
          <w:sz w:val="24"/>
          <w:szCs w:val="24"/>
        </w:rPr>
        <w:t>s</w:t>
      </w:r>
      <w:r w:rsidRPr="00E043EA">
        <w:rPr>
          <w:rFonts w:ascii="Times New Roman" w:hAnsi="Times New Roman" w:cs="Times New Roman"/>
          <w:sz w:val="24"/>
          <w:szCs w:val="24"/>
        </w:rPr>
        <w:t>ing this exposure enhances stability and reduces anticipated macroeconomic dislocation. This advantage is, however, muted if replacement markets are shallow: companies subsequently incur greater hedging costs, greater exchange-rate volatility, reduced seigniorage, and international capital market fragmentation (Prasad, 2021; Rey, 2018).</w:t>
      </w:r>
      <w:r w:rsidR="00F04049" w:rsidRPr="00E043EA">
        <w:rPr>
          <w:rFonts w:ascii="Times New Roman" w:hAnsi="Times New Roman" w:cs="Times New Roman"/>
          <w:sz w:val="24"/>
          <w:szCs w:val="24"/>
        </w:rPr>
        <w:t xml:space="preserve"> </w:t>
      </w:r>
      <w:r w:rsidR="007F6A86" w:rsidRPr="00E043EA">
        <w:rPr>
          <w:rFonts w:ascii="Times New Roman" w:hAnsi="Times New Roman" w:cs="Times New Roman"/>
          <w:sz w:val="24"/>
          <w:szCs w:val="24"/>
        </w:rPr>
        <w:t xml:space="preserve">Quantitatively, although Jeanne and Son (2020) demonstrate that tariffs can account for ~20–30% or more of exchange-rate changes in certain episodes, complete de-dollarisation is a multi-decade </w:t>
      </w:r>
      <w:proofErr w:type="spellStart"/>
      <w:r w:rsidR="007F6A86" w:rsidRPr="00E043EA">
        <w:rPr>
          <w:rFonts w:ascii="Times New Roman" w:hAnsi="Times New Roman" w:cs="Times New Roman"/>
          <w:sz w:val="24"/>
          <w:szCs w:val="24"/>
        </w:rPr>
        <w:t>endeavor</w:t>
      </w:r>
      <w:proofErr w:type="spellEnd"/>
      <w:r w:rsidR="007F6A86" w:rsidRPr="00E043EA">
        <w:rPr>
          <w:rFonts w:ascii="Times New Roman" w:hAnsi="Times New Roman" w:cs="Times New Roman"/>
          <w:sz w:val="24"/>
          <w:szCs w:val="24"/>
        </w:rPr>
        <w:t>. In light of invoice-currency inertia and reserve fund limitations, increases in welfare from partial de-dollarisation can be small or asymmetrical: some industries (e.g., large exporters) gain more than others (Amiti et al., 2022; Gopinath &amp; Stein, 20</w:t>
      </w:r>
      <w:r w:rsidR="006B56D3" w:rsidRPr="00E043EA">
        <w:rPr>
          <w:rFonts w:ascii="Times New Roman" w:hAnsi="Times New Roman" w:cs="Times New Roman"/>
          <w:sz w:val="24"/>
          <w:szCs w:val="24"/>
        </w:rPr>
        <w:t>21</w:t>
      </w:r>
      <w:r w:rsidR="007F6A86" w:rsidRPr="00E043EA">
        <w:rPr>
          <w:rFonts w:ascii="Times New Roman" w:hAnsi="Times New Roman" w:cs="Times New Roman"/>
          <w:sz w:val="24"/>
          <w:szCs w:val="24"/>
        </w:rPr>
        <w:t>). The present paper attempts thus to address the following queries:</w:t>
      </w:r>
    </w:p>
    <w:p w14:paraId="429D84F1" w14:textId="015454CC" w:rsidR="007F6A86" w:rsidRPr="00E043EA" w:rsidRDefault="007F6A86"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1. Have BRICS members lowered the percentage of USD used in trade invoicing and reserves following tariff incidents?</w:t>
      </w:r>
    </w:p>
    <w:p w14:paraId="54C48F31" w14:textId="6BAC5C6B" w:rsidR="00C74415" w:rsidRPr="00E043EA" w:rsidRDefault="00C74415" w:rsidP="008E3029">
      <w:pPr>
        <w:jc w:val="both"/>
        <w:rPr>
          <w:rFonts w:ascii="Times New Roman" w:hAnsi="Times New Roman" w:cs="Times New Roman"/>
          <w:sz w:val="24"/>
          <w:szCs w:val="24"/>
        </w:rPr>
      </w:pPr>
      <w:r w:rsidRPr="00E043EA">
        <w:rPr>
          <w:rFonts w:ascii="Times New Roman" w:hAnsi="Times New Roman" w:cs="Times New Roman"/>
          <w:sz w:val="24"/>
          <w:szCs w:val="24"/>
        </w:rPr>
        <w:t>2. Through what mechanisms (trade invoicing switch, central bank swap arrangements, portfolio switching, use of alternative settlement systems/gold) has de-dollarisation been moving?</w:t>
      </w:r>
    </w:p>
    <w:p w14:paraId="3E427B3A" w14:textId="77777777"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3. Macro and trade implications of de-dollarisation (exchange rate volatility, trade diversion, pricing power)? </w:t>
      </w:r>
    </w:p>
    <w:p w14:paraId="76532801" w14:textId="54B0043E" w:rsidR="00C74415"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4. Is de-dollarisation a sustainable long-term substitute for dollar hegemony or rather transactional/political hedging?</w:t>
      </w:r>
    </w:p>
    <w:p w14:paraId="2A74ABD3" w14:textId="313C08A9" w:rsidR="00C74415" w:rsidRPr="00E043EA" w:rsidRDefault="00F04049" w:rsidP="00F04049">
      <w:pPr>
        <w:jc w:val="center"/>
        <w:rPr>
          <w:rFonts w:ascii="Times New Roman" w:hAnsi="Times New Roman" w:cs="Times New Roman"/>
          <w:b/>
          <w:bCs/>
          <w:sz w:val="24"/>
          <w:szCs w:val="24"/>
        </w:rPr>
      </w:pPr>
      <w:r w:rsidRPr="00E043EA">
        <w:rPr>
          <w:rFonts w:ascii="Times New Roman" w:hAnsi="Times New Roman" w:cs="Times New Roman"/>
          <w:b/>
          <w:bCs/>
          <w:sz w:val="24"/>
          <w:szCs w:val="24"/>
        </w:rPr>
        <w:t xml:space="preserve">II. </w:t>
      </w:r>
      <w:r w:rsidR="00C74415" w:rsidRPr="00E043EA">
        <w:rPr>
          <w:rFonts w:ascii="Times New Roman" w:hAnsi="Times New Roman" w:cs="Times New Roman"/>
          <w:b/>
          <w:bCs/>
          <w:sz w:val="24"/>
          <w:szCs w:val="24"/>
        </w:rPr>
        <w:t>LITERATURE REVIEW</w:t>
      </w:r>
    </w:p>
    <w:p w14:paraId="066B41E9" w14:textId="4617CE18" w:rsidR="00C74415" w:rsidRPr="00E043EA" w:rsidRDefault="00C74415"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 supremacy of the United States dollar in settling international trade is the result of intricate historical, institutional, and economic development. After the Second World War, the Bretton Woods Agreement of 1944 settled on the dollar as the focal column of the global monetary system by fixing other key currencies to it while keeping them </w:t>
      </w:r>
      <w:r w:rsidR="00DB1CC0" w:rsidRPr="00E043EA">
        <w:rPr>
          <w:rFonts w:ascii="Times New Roman" w:hAnsi="Times New Roman" w:cs="Times New Roman"/>
          <w:sz w:val="24"/>
          <w:szCs w:val="24"/>
        </w:rPr>
        <w:t>convertible</w:t>
      </w:r>
      <w:r w:rsidRPr="00E043EA">
        <w:rPr>
          <w:rFonts w:ascii="Times New Roman" w:hAnsi="Times New Roman" w:cs="Times New Roman"/>
          <w:sz w:val="24"/>
          <w:szCs w:val="24"/>
        </w:rPr>
        <w:t xml:space="preserve"> into gold at a fixed price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w:t>
      </w:r>
      <w:r w:rsidR="00606E99" w:rsidRPr="00E043EA">
        <w:rPr>
          <w:rFonts w:ascii="Times New Roman" w:hAnsi="Times New Roman" w:cs="Times New Roman"/>
          <w:sz w:val="24"/>
          <w:szCs w:val="24"/>
        </w:rPr>
        <w:t>8</w:t>
      </w:r>
      <w:r w:rsidR="002B6E49" w:rsidRPr="00E043EA">
        <w:rPr>
          <w:rFonts w:ascii="Times New Roman" w:hAnsi="Times New Roman" w:cs="Times New Roman"/>
          <w:sz w:val="24"/>
          <w:szCs w:val="24"/>
        </w:rPr>
        <w:t xml:space="preserve">; </w:t>
      </w:r>
      <w:proofErr w:type="spellStart"/>
      <w:r w:rsidR="002B6E49" w:rsidRPr="00E043EA">
        <w:rPr>
          <w:rFonts w:ascii="Times New Roman" w:hAnsi="Times New Roman" w:cs="Times New Roman"/>
          <w:sz w:val="24"/>
          <w:szCs w:val="24"/>
        </w:rPr>
        <w:t>Sathyanarayana</w:t>
      </w:r>
      <w:proofErr w:type="spellEnd"/>
      <w:r w:rsidR="002B6E49" w:rsidRPr="00E043EA">
        <w:rPr>
          <w:rFonts w:ascii="Times New Roman" w:hAnsi="Times New Roman" w:cs="Times New Roman"/>
          <w:sz w:val="24"/>
          <w:szCs w:val="24"/>
        </w:rPr>
        <w:t>, S.</w:t>
      </w:r>
      <w:r w:rsidR="00776B37" w:rsidRPr="00E043EA">
        <w:rPr>
          <w:rFonts w:ascii="Times New Roman" w:hAnsi="Times New Roman" w:cs="Times New Roman"/>
          <w:sz w:val="24"/>
          <w:szCs w:val="24"/>
        </w:rPr>
        <w:t>, &amp;</w:t>
      </w:r>
      <w:r w:rsidR="002B6E49" w:rsidRPr="00E043EA">
        <w:rPr>
          <w:rFonts w:ascii="Times New Roman" w:hAnsi="Times New Roman" w:cs="Times New Roman"/>
          <w:sz w:val="24"/>
          <w:szCs w:val="24"/>
        </w:rPr>
        <w:t xml:space="preserve"> </w:t>
      </w:r>
      <w:proofErr w:type="spellStart"/>
      <w:r w:rsidR="002B6E49" w:rsidRPr="00E043EA">
        <w:rPr>
          <w:rFonts w:ascii="Times New Roman" w:hAnsi="Times New Roman" w:cs="Times New Roman"/>
          <w:sz w:val="24"/>
          <w:szCs w:val="24"/>
        </w:rPr>
        <w:t>Mohanasundaram</w:t>
      </w:r>
      <w:proofErr w:type="spellEnd"/>
      <w:r w:rsidR="002B6E49" w:rsidRPr="00E043EA">
        <w:rPr>
          <w:rFonts w:ascii="Times New Roman" w:hAnsi="Times New Roman" w:cs="Times New Roman"/>
          <w:sz w:val="24"/>
          <w:szCs w:val="24"/>
        </w:rPr>
        <w:t>, T. 2025</w:t>
      </w:r>
      <w:r w:rsidRPr="00E043EA">
        <w:rPr>
          <w:rFonts w:ascii="Times New Roman" w:hAnsi="Times New Roman" w:cs="Times New Roman"/>
          <w:sz w:val="24"/>
          <w:szCs w:val="24"/>
        </w:rPr>
        <w:t>). This setup, aided by the establishment of the International Monetary Fund and the World Bank, made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s position in global finance and trade deeper. As Triffin (1960) noted in what came to be called the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Triffin dilemma,</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the supply of international liquidity through ongoing U.S. current account deficits was both required for the operation of the system and a source of instability for the system, as large deficits would sap confidence in the value of the dollar. Even following the breakdown of the gold convertibility in 1971, the dollar did not lose its supremacy, enjoying what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(2011) came to refer to as America</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s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exorbitant privilege,</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that enabled it to borrow cheaply in its own currency and sustain deficits without being subject to the disciplines imposed upon other countries.</w:t>
      </w:r>
    </w:p>
    <w:p w14:paraId="103E31C0" w14:textId="69A25D04" w:rsidR="00C74415" w:rsidRPr="00E043EA" w:rsidRDefault="00C74415" w:rsidP="008E3029">
      <w:pPr>
        <w:jc w:val="both"/>
        <w:rPr>
          <w:rFonts w:ascii="Times New Roman" w:hAnsi="Times New Roman" w:cs="Times New Roman"/>
          <w:sz w:val="24"/>
          <w:szCs w:val="24"/>
        </w:rPr>
      </w:pPr>
      <w:r w:rsidRPr="00E043EA">
        <w:rPr>
          <w:rFonts w:ascii="Times New Roman" w:hAnsi="Times New Roman" w:cs="Times New Roman"/>
          <w:sz w:val="24"/>
          <w:szCs w:val="24"/>
        </w:rPr>
        <w:t>The longevity of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s predominance is accounted for not just by tradition, but also by strong network effects and market forces. The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dominant currency paradigm</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of Gopinath et al. (2019) illustrates that international trade, even between non-U.S. counterparts, is invoiced in a limited set of dominant currencies, dominated by the U.S. dollar by a wide margin. This ubiquity generates self-perpetuating liquidity benefits: the more commodities and contracts are denominated in dollars, the deeper and more liquid the related financial markets are, and hence the reduced cost of transactions and exchange-rate risk for international traders. Likewise, Goldberg and Tille (2008) establish that the dollar is used widely as a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vehicle currency,</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an intermediary for other currencies to use in transactions, especially for homogeneous products. These relationships make dollar invoicing best for most companies, as it minimizes pricing, allows hedging, and diminishes uncertainty in risky currency markets.</w:t>
      </w:r>
    </w:p>
    <w:p w14:paraId="5DDFCF94" w14:textId="28530937"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 infrastructural and institutional aspects further strengthen the role of the dollar globally. The deep and liquid U.S. corporate and Treasury bond markets offer the largest pool of risk-free and safe assets, which are commonly held by central banks as reserve assets and by private parties as collateral (IMF, 2013). During periods of world uncertainty, the dollar rises as a result of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safe haven</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demand, adding to its function as a settlement and reserve currency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2011). In addition to financial depth, the operational networks of international </w:t>
      </w:r>
      <w:r w:rsidR="00F04049" w:rsidRPr="00E043EA">
        <w:rPr>
          <w:rFonts w:ascii="Times New Roman" w:hAnsi="Times New Roman" w:cs="Times New Roman"/>
          <w:sz w:val="24"/>
          <w:szCs w:val="24"/>
        </w:rPr>
        <w:t>finance such</w:t>
      </w:r>
      <w:r w:rsidRPr="00E043EA">
        <w:rPr>
          <w:rFonts w:ascii="Times New Roman" w:hAnsi="Times New Roman" w:cs="Times New Roman"/>
          <w:sz w:val="24"/>
          <w:szCs w:val="24"/>
        </w:rPr>
        <w:t xml:space="preserve"> as the SWIFT system, correspondent banking networks, and the legal infrastructures for syndicated loans, commodity contracts, and bond </w:t>
      </w:r>
      <w:r w:rsidR="00F04049" w:rsidRPr="00E043EA">
        <w:rPr>
          <w:rFonts w:ascii="Times New Roman" w:hAnsi="Times New Roman" w:cs="Times New Roman"/>
          <w:sz w:val="24"/>
          <w:szCs w:val="24"/>
        </w:rPr>
        <w:t>issuances all</w:t>
      </w:r>
      <w:r w:rsidRPr="00E043EA">
        <w:rPr>
          <w:rFonts w:ascii="Times New Roman" w:hAnsi="Times New Roman" w:cs="Times New Roman"/>
          <w:sz w:val="24"/>
          <w:szCs w:val="24"/>
        </w:rPr>
        <w:t xml:space="preserve"> gravitate </w:t>
      </w:r>
      <w:r w:rsidRPr="00E043EA">
        <w:rPr>
          <w:rFonts w:ascii="Times New Roman" w:hAnsi="Times New Roman" w:cs="Times New Roman"/>
          <w:sz w:val="24"/>
          <w:szCs w:val="24"/>
        </w:rPr>
        <w:lastRenderedPageBreak/>
        <w:t>overwhelmingly around the dollar. This embeddedness creates high switching costs for institutions considering alternative currencies: shifting would require renegotiating legal terms, modify payment systems, and potentially face greater legal and geopolitical risks.</w:t>
      </w:r>
    </w:p>
    <w:p w14:paraId="2B1E2B77" w14:textId="21A915FA"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The compounding impact of historical baggage, dominant currency pricing, financial market depth, and infrastructural lock-in renders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 displacement a naturally gradual and challenging proposition. Although regional solutions, bilateral currency swap agreements, and substitute payment systems have been fostered to decrease dependency upon the dollar, they tend to be limited to particular sectors or trading blocs because of a lack of scale and depth (Gopinath et al., 2019). Therefore, any realistic analysis of de-dollarisation has to first recognize the vested mechanisms which support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 global role before considering the viability of alternative arrangements.</w:t>
      </w:r>
    </w:p>
    <w:p w14:paraId="1B16FCED" w14:textId="5A6FE89D"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Literature on de-dollarisation overlaps with studies of global currency hierarchies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2011), international political economy (</w:t>
      </w: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2008), and sanctions economics (Early, 2015). Empirical findings indicate that geopolitical tensions such as sanctions and tariffs can speed up currency diversification by encouraging states to cut their exposure to U.S. monetary influence. Historical examples, including the slow internationalization of the euro, show that changes in invoicing currency and reserve composition tend to be piecemeal, based on institutional confidence and network externalities (Chinn &amp; Frankel, 2007; Cohen, 2015). In the BRICS environment, de-dollarisation efforts from local currency settlement promotion to alternative payment system development constitute both strategic hedging and desire for enhanced monetary autonomy (Yu, 2014).</w:t>
      </w:r>
      <w:r w:rsidR="00BB4C4F" w:rsidRPr="00E043EA">
        <w:rPr>
          <w:rFonts w:ascii="Times New Roman" w:hAnsi="Times New Roman" w:cs="Times New Roman"/>
          <w:sz w:val="24"/>
          <w:szCs w:val="24"/>
        </w:rPr>
        <w:t xml:space="preserve"> </w:t>
      </w:r>
      <w:r w:rsidRPr="00E043EA">
        <w:rPr>
          <w:rFonts w:ascii="Times New Roman" w:hAnsi="Times New Roman" w:cs="Times New Roman"/>
          <w:sz w:val="24"/>
          <w:szCs w:val="24"/>
        </w:rPr>
        <w:t>There are welfare implications, both positive and negative: while invoicing intra-bloc trade in local currencies can lower transaction costs and offset exchange rate pass-through (Gopinath, 2015; Goldberg &amp; Tille, 2008), advantages may be outweighed by higher currency volatility and thin liquidity unless backed by coordinated monetary policy and swap arrangements (Rey, 2013; Prasad, 2014). In addition, the interaction between trade policy shocks like U.S. tariff hikes and the strategic redetermination of monetary arrangements is not fully explored in the literature, especially in the wake of a transforming multipolar monetary system (Chey, 201</w:t>
      </w:r>
      <w:r w:rsidR="00BD0863" w:rsidRPr="00E043EA">
        <w:rPr>
          <w:rFonts w:ascii="Times New Roman" w:hAnsi="Times New Roman" w:cs="Times New Roman"/>
          <w:sz w:val="24"/>
          <w:szCs w:val="24"/>
        </w:rPr>
        <w:t>2</w:t>
      </w:r>
      <w:r w:rsidRPr="00E043EA">
        <w:rPr>
          <w:rFonts w:ascii="Times New Roman" w:hAnsi="Times New Roman" w:cs="Times New Roman"/>
          <w:sz w:val="24"/>
          <w:szCs w:val="24"/>
        </w:rPr>
        <w:t xml:space="preserve">; </w:t>
      </w:r>
      <w:r w:rsidR="00BD0863" w:rsidRPr="00E043EA">
        <w:rPr>
          <w:rFonts w:ascii="Times New Roman" w:hAnsi="Times New Roman" w:cs="Times New Roman"/>
          <w:sz w:val="24"/>
          <w:szCs w:val="24"/>
        </w:rPr>
        <w:t xml:space="preserve">Wright, R., &amp; Trejos, A. 2001; </w:t>
      </w:r>
      <w:r w:rsidR="00025A7B" w:rsidRPr="00E043EA">
        <w:rPr>
          <w:rFonts w:ascii="Times New Roman" w:hAnsi="Times New Roman" w:cs="Times New Roman"/>
          <w:sz w:val="24"/>
          <w:szCs w:val="24"/>
        </w:rPr>
        <w:t>Iancu et al.,</w:t>
      </w:r>
      <w:r w:rsidRPr="00E043EA">
        <w:rPr>
          <w:rFonts w:ascii="Times New Roman" w:hAnsi="Times New Roman" w:cs="Times New Roman"/>
          <w:sz w:val="24"/>
          <w:szCs w:val="24"/>
        </w:rPr>
        <w:t xml:space="preserve"> 2022).</w:t>
      </w:r>
    </w:p>
    <w:p w14:paraId="39AF55D9" w14:textId="0AF67CBD" w:rsidR="003077CC" w:rsidRPr="00E043EA" w:rsidRDefault="00BB4C4F" w:rsidP="00BB4C4F">
      <w:pPr>
        <w:jc w:val="center"/>
        <w:rPr>
          <w:rFonts w:ascii="Times New Roman" w:hAnsi="Times New Roman" w:cs="Times New Roman"/>
          <w:b/>
          <w:bCs/>
          <w:sz w:val="24"/>
          <w:szCs w:val="24"/>
        </w:rPr>
      </w:pPr>
      <w:r w:rsidRPr="00E043EA">
        <w:rPr>
          <w:rFonts w:ascii="Times New Roman" w:hAnsi="Times New Roman" w:cs="Times New Roman"/>
          <w:b/>
          <w:bCs/>
          <w:sz w:val="24"/>
          <w:szCs w:val="24"/>
        </w:rPr>
        <w:t>MAJOR THEORETICAL FRAMEWORKS</w:t>
      </w:r>
    </w:p>
    <w:p w14:paraId="270EA0EE" w14:textId="77777777" w:rsidR="003077CC" w:rsidRPr="00E043EA" w:rsidRDefault="003077CC"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Currency Substitution and Portfolio Choice Theory</w:t>
      </w:r>
    </w:p>
    <w:p w14:paraId="77409131" w14:textId="77777777"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Currency substitution, or dollarization of finance, can be set up as a portfolio choice problem where agents select the proportion </w:t>
      </w:r>
      <w:proofErr w:type="spellStart"/>
      <w:r w:rsidRPr="00E043EA">
        <w:rPr>
          <w:rFonts w:ascii="Times New Roman" w:hAnsi="Times New Roman" w:cs="Times New Roman"/>
          <w:sz w:val="24"/>
          <w:szCs w:val="24"/>
        </w:rPr>
        <w:t>sd</w:t>
      </w:r>
      <w:proofErr w:type="spellEnd"/>
      <w:r w:rsidRPr="00E043EA">
        <w:rPr>
          <w:rFonts w:ascii="Times New Roman" w:hAnsi="Times New Roman" w:cs="Times New Roman"/>
          <w:sz w:val="24"/>
          <w:szCs w:val="24"/>
        </w:rPr>
        <w:t xml:space="preserve"> of U.S. dollar-denominated wealth to maximize expected utility. Suppose </w:t>
      </w:r>
      <w:proofErr w:type="spellStart"/>
      <w:r w:rsidRPr="00E043EA">
        <w:rPr>
          <w:rFonts w:ascii="Times New Roman" w:hAnsi="Times New Roman" w:cs="Times New Roman"/>
          <w:sz w:val="24"/>
          <w:szCs w:val="24"/>
        </w:rPr>
        <w:t>r</w:t>
      </w:r>
      <w:r w:rsidRPr="00E043EA">
        <w:rPr>
          <w:rFonts w:ascii="Times New Roman" w:hAnsi="Times New Roman" w:cs="Times New Roman"/>
          <w:sz w:val="24"/>
          <w:szCs w:val="24"/>
          <w:vertAlign w:val="subscript"/>
        </w:rPr>
        <w:t>d</w:t>
      </w:r>
      <w:proofErr w:type="spellEnd"/>
      <w:r w:rsidRPr="00E043EA">
        <w:rPr>
          <w:rFonts w:ascii="Times New Roman" w:hAnsi="Times New Roman" w:cs="Times New Roman"/>
          <w:sz w:val="24"/>
          <w:szCs w:val="24"/>
        </w:rPr>
        <w:t xml:space="preserve"> and r</w:t>
      </w:r>
      <w:r w:rsidRPr="00E043EA">
        <w:rPr>
          <w:rFonts w:ascii="Times New Roman" w:hAnsi="Times New Roman" w:cs="Times New Roman"/>
          <w:sz w:val="24"/>
          <w:szCs w:val="24"/>
          <w:vertAlign w:val="subscript"/>
        </w:rPr>
        <w:t>ℓ</w:t>
      </w:r>
      <w:r w:rsidRPr="00E043EA">
        <w:rPr>
          <w:rFonts w:ascii="Times New Roman" w:hAnsi="Times New Roman" w:cs="Times New Roman"/>
          <w:sz w:val="24"/>
          <w:szCs w:val="24"/>
        </w:rPr>
        <w:t xml:space="preserve"> are the returns on dollar and local currency assets, respectively, and W is initial wealth. The problem of the representative agent can be stated as:</w:t>
      </w:r>
    </w:p>
    <w:p w14:paraId="030EF0A0" w14:textId="4160D508" w:rsidR="003077CC" w:rsidRPr="00E043EA" w:rsidRDefault="00621A36" w:rsidP="008E3029">
      <w:pPr>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max</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d</m:t>
                  </m:r>
                </m:sub>
              </m:sSub>
            </m:sub>
          </m:sSub>
          <m:r>
            <m:rPr>
              <m:sty m:val="p"/>
            </m:rP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U(</m:t>
              </m:r>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1+</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d</m:t>
                      </m:r>
                    </m:sub>
                  </m:sSub>
                </m:e>
              </m:d>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d</m:t>
                  </m:r>
                </m:sub>
              </m:sSub>
              <m:r>
                <m:rPr>
                  <m:sty m:val="p"/>
                </m:rPr>
                <w:rPr>
                  <w:rFonts w:ascii="Cambria Math" w:eastAsiaTheme="minorEastAsia" w:hAnsi="Cambria Math" w:cs="Times New Roman"/>
                  <w:sz w:val="24"/>
                  <w:szCs w:val="24"/>
                </w:rPr>
                <m:t>W+</m:t>
              </m:r>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1+</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l</m:t>
                      </m:r>
                    </m:sub>
                  </m:sSub>
                </m:e>
              </m:d>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1-</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d</m:t>
                      </m:r>
                    </m:sub>
                  </m:sSub>
                </m:e>
              </m:d>
              <m:r>
                <m:rPr>
                  <m:sty m:val="p"/>
                </m:rPr>
                <w:rPr>
                  <w:rFonts w:ascii="Cambria Math" w:eastAsiaTheme="minorEastAsia" w:hAnsi="Cambria Math" w:cs="Times New Roman"/>
                  <w:sz w:val="24"/>
                  <w:szCs w:val="24"/>
                </w:rPr>
                <m:t>W)</m:t>
              </m:r>
            </m:e>
          </m:d>
        </m:oMath>
      </m:oMathPara>
    </w:p>
    <w:p w14:paraId="7A553462" w14:textId="6F31EC49"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Under a mean–variance utility approximation (Markowitz, 1952), the first-order condition sets risk-adjusted expected returns equal to:</w:t>
      </w:r>
    </w:p>
    <w:p w14:paraId="2B7899DF" w14:textId="5940D1BF" w:rsidR="00E87600" w:rsidRPr="00E043EA" w:rsidRDefault="00621A36" w:rsidP="008E3029">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d</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r>
                    <w:rPr>
                      <w:rFonts w:ascii="Cambria Math" w:hAnsi="Cambria Math" w:cs="Times New Roman"/>
                      <w:sz w:val="24"/>
                      <w:szCs w:val="24"/>
                    </w:rPr>
                    <m:t>2</m:t>
                  </m:r>
                </m:sup>
              </m:sSub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l</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l</m:t>
                  </m:r>
                </m:sub>
                <m:sup>
                  <m:r>
                    <w:rPr>
                      <w:rFonts w:ascii="Cambria Math" w:hAnsi="Cambria Math" w:cs="Times New Roman"/>
                      <w:sz w:val="24"/>
                      <w:szCs w:val="24"/>
                    </w:rPr>
                    <m:t>2</m:t>
                  </m:r>
                </m:sup>
              </m:sSubSup>
            </m:den>
          </m:f>
        </m:oMath>
      </m:oMathPara>
    </w:p>
    <w:p w14:paraId="473DB76C" w14:textId="6174B720"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where R</w:t>
      </w:r>
      <w:r w:rsidRPr="00E043EA">
        <w:rPr>
          <w:rFonts w:ascii="Times New Roman" w:hAnsi="Times New Roman" w:cs="Times New Roman"/>
          <w:sz w:val="24"/>
          <w:szCs w:val="24"/>
          <w:vertAlign w:val="subscript"/>
        </w:rPr>
        <w:t>d</w:t>
      </w:r>
      <w:r w:rsidRPr="00E043EA">
        <w:rPr>
          <w:rFonts w:ascii="Times New Roman" w:hAnsi="Times New Roman" w:cs="Times New Roman"/>
          <w:sz w:val="24"/>
          <w:szCs w:val="24"/>
        </w:rPr>
        <w:t xml:space="preserve"> and R</w:t>
      </w:r>
      <w:r w:rsidRPr="00E043EA">
        <w:rPr>
          <w:rFonts w:ascii="Times New Roman" w:hAnsi="Times New Roman" w:cs="Times New Roman"/>
          <w:sz w:val="24"/>
          <w:szCs w:val="24"/>
          <w:vertAlign w:val="subscript"/>
        </w:rPr>
        <w:t>ℓ</w:t>
      </w:r>
      <w:r w:rsidRPr="00E043EA">
        <w:rPr>
          <w:rFonts w:ascii="Times New Roman" w:hAnsi="Times New Roman" w:cs="Times New Roman"/>
          <w:sz w:val="24"/>
          <w:szCs w:val="24"/>
        </w:rPr>
        <w:t xml:space="preserve"> are excess returns over the risk-free rate R</w:t>
      </w:r>
      <w:r w:rsidRPr="00E043EA">
        <w:rPr>
          <w:rFonts w:ascii="Times New Roman" w:hAnsi="Times New Roman" w:cs="Times New Roman"/>
          <w:sz w:val="24"/>
          <w:szCs w:val="24"/>
          <w:vertAlign w:val="subscript"/>
        </w:rPr>
        <w:t>f</w:t>
      </w:r>
      <w:r w:rsidRPr="00E043EA">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r>
              <w:rPr>
                <w:rFonts w:ascii="Cambria Math" w:hAnsi="Cambria Math" w:cs="Times New Roman"/>
                <w:sz w:val="24"/>
                <w:szCs w:val="24"/>
              </w:rPr>
              <m:t>2</m:t>
            </m:r>
          </m:sup>
        </m:sSubSup>
      </m:oMath>
      <w:r w:rsidRPr="00E043EA">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l</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Pr="00E043EA">
        <w:rPr>
          <w:rFonts w:ascii="Times New Roman" w:hAnsi="Times New Roman" w:cs="Times New Roman"/>
          <w:sz w:val="24"/>
          <w:szCs w:val="24"/>
        </w:rPr>
        <w:t>are the respective variances. An increase in expected return or decrease in volatility on dollar assets increases the optimal sd, while gains in local currency stability decrease it. Transaction fees, legal constraints, or taxation on foreign currency usage essentially reduce the net rate of return on dollar assets, tilting the optimal holding toward domestic currency assets (</w:t>
      </w:r>
      <w:proofErr w:type="spellStart"/>
      <w:r w:rsidRPr="00E043EA">
        <w:rPr>
          <w:rFonts w:ascii="Times New Roman" w:hAnsi="Times New Roman" w:cs="Times New Roman"/>
          <w:sz w:val="24"/>
          <w:szCs w:val="24"/>
        </w:rPr>
        <w:t>Ize</w:t>
      </w:r>
      <w:proofErr w:type="spellEnd"/>
      <w:r w:rsidRPr="00E043EA">
        <w:rPr>
          <w:rFonts w:ascii="Times New Roman" w:hAnsi="Times New Roman" w:cs="Times New Roman"/>
          <w:sz w:val="24"/>
          <w:szCs w:val="24"/>
        </w:rPr>
        <w:t xml:space="preserve">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2003). In contrast, chronic inflation, exchange rate uncertainty, and poor monetary credibility in the home market raise the level of dollarization (Reinhart, Rogoff, &amp; Savastano, 2003). Empirical research verifies that policy credibility, inflation targeting, and financial instrument development at home are essential to effective de-</w:t>
      </w:r>
      <w:proofErr w:type="spellStart"/>
      <w:r w:rsidRPr="00E043EA">
        <w:rPr>
          <w:rFonts w:ascii="Times New Roman" w:hAnsi="Times New Roman" w:cs="Times New Roman"/>
          <w:sz w:val="24"/>
          <w:szCs w:val="24"/>
        </w:rPr>
        <w:t>dollarisation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Ize</w:t>
      </w:r>
      <w:proofErr w:type="spellEnd"/>
      <w:r w:rsidRPr="00E043EA">
        <w:rPr>
          <w:rFonts w:ascii="Times New Roman" w:hAnsi="Times New Roman" w:cs="Times New Roman"/>
          <w:sz w:val="24"/>
          <w:szCs w:val="24"/>
        </w:rPr>
        <w:t xml:space="preserve">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2005; </w:t>
      </w:r>
      <w:r w:rsidR="00606E99" w:rsidRPr="00E043EA">
        <w:rPr>
          <w:rFonts w:ascii="Times New Roman" w:hAnsi="Times New Roman" w:cs="Times New Roman"/>
          <w:sz w:val="24"/>
          <w:szCs w:val="24"/>
        </w:rPr>
        <w:t>Sosa, M. S., &amp; Garcia-Escribano, M. M. 2011)</w:t>
      </w:r>
      <w:r w:rsidRPr="00E043EA">
        <w:rPr>
          <w:rFonts w:ascii="Times New Roman" w:hAnsi="Times New Roman" w:cs="Times New Roman"/>
          <w:sz w:val="24"/>
          <w:szCs w:val="24"/>
        </w:rPr>
        <w:t>).</w:t>
      </w:r>
    </w:p>
    <w:p w14:paraId="2746D992" w14:textId="0D030355" w:rsidR="00E87600" w:rsidRPr="00E043EA" w:rsidRDefault="00BB4C4F"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Dominant Currency Pricing (DCP)</w:t>
      </w:r>
    </w:p>
    <w:p w14:paraId="53C835CA" w14:textId="38BFF4FB"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Dominant Currency Pricing (DCP) accounts for why most international contracts are invoiced in one </w:t>
      </w:r>
      <w:r w:rsidR="00C8208D" w:rsidRPr="00E043EA">
        <w:rPr>
          <w:rFonts w:ascii="Times New Roman" w:hAnsi="Times New Roman" w:cs="Times New Roman"/>
          <w:sz w:val="24"/>
          <w:szCs w:val="24"/>
        </w:rPr>
        <w:t>“</w:t>
      </w:r>
      <w:r w:rsidRPr="00E043EA">
        <w:rPr>
          <w:rFonts w:ascii="Times New Roman" w:hAnsi="Times New Roman" w:cs="Times New Roman"/>
          <w:sz w:val="24"/>
          <w:szCs w:val="24"/>
        </w:rPr>
        <w:t>dominant</w:t>
      </w:r>
      <w:r w:rsidR="00C8208D" w:rsidRPr="00E043EA">
        <w:rPr>
          <w:rFonts w:ascii="Times New Roman" w:hAnsi="Times New Roman" w:cs="Times New Roman"/>
          <w:sz w:val="24"/>
          <w:szCs w:val="24"/>
        </w:rPr>
        <w:t>”</w:t>
      </w:r>
      <w:r w:rsidRPr="00E043EA">
        <w:rPr>
          <w:rFonts w:ascii="Times New Roman" w:hAnsi="Times New Roman" w:cs="Times New Roman"/>
          <w:sz w:val="24"/>
          <w:szCs w:val="24"/>
        </w:rPr>
        <w:t xml:space="preserve"> currency (usually the USD) regardless of currencies of trading partners. Suppose a representative exporter determines a price P</w:t>
      </w:r>
      <w:r w:rsidRPr="00E043EA">
        <w:rPr>
          <w:rFonts w:ascii="Times New Roman" w:hAnsi="Times New Roman" w:cs="Times New Roman"/>
          <w:sz w:val="24"/>
          <w:szCs w:val="24"/>
          <w:vertAlign w:val="superscript"/>
        </w:rPr>
        <w:t>c</w:t>
      </w:r>
      <w:r w:rsidRPr="00E043EA">
        <w:rPr>
          <w:rFonts w:ascii="Times New Roman" w:hAnsi="Times New Roman" w:cs="Times New Roman"/>
          <w:sz w:val="24"/>
          <w:szCs w:val="24"/>
        </w:rPr>
        <w:t xml:space="preserve"> in currency ccc to maximize profits: </w:t>
      </w:r>
    </w:p>
    <w:p w14:paraId="065DF1D6" w14:textId="7F5E99E9" w:rsidR="00E87600" w:rsidRPr="00E043EA" w:rsidRDefault="00621A36" w:rsidP="008E3029">
      <w:pPr>
        <w:jc w:val="both"/>
        <w:rPr>
          <w:rFonts w:ascii="Times New Roman" w:eastAsiaTheme="minorEastAsia"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max</m:t>
              </m:r>
            </m:e>
            <m:sub>
              <m:r>
                <m:rPr>
                  <m:sty m:val="p"/>
                </m:rPr>
                <w:rPr>
                  <w:rFonts w:ascii="Cambria Math" w:hAnsi="Cambria Math" w:cs="Times New Roman"/>
                  <w:sz w:val="24"/>
                  <w:szCs w:val="24"/>
                </w:rPr>
                <m:t>pc</m:t>
              </m:r>
            </m:sub>
          </m:sSub>
          <m:r>
            <m:rPr>
              <m:sty m:val="p"/>
            </m:rPr>
            <w:rPr>
              <w:rFonts w:ascii="Cambria Math" w:hAnsi="Cambria Math" w:cs="Times New Roman"/>
              <w:sz w:val="24"/>
              <w:szCs w:val="24"/>
            </w:rPr>
            <m:t>Π=</m:t>
          </m:r>
          <m:sSup>
            <m:sSupPr>
              <m:ctrlPr>
                <w:rPr>
                  <w:rFonts w:ascii="Cambria Math" w:hAnsi="Cambria Math" w:cs="Times New Roman"/>
                  <w:iCs/>
                  <w:sz w:val="24"/>
                  <w:szCs w:val="24"/>
                </w:rPr>
              </m:ctrlPr>
            </m:sSupPr>
            <m:e>
              <m:r>
                <m:rPr>
                  <m:sty m:val="p"/>
                </m:rPr>
                <w:rPr>
                  <w:rFonts w:ascii="Cambria Math" w:hAnsi="Cambria Math" w:cs="Times New Roman"/>
                  <w:sz w:val="24"/>
                  <w:szCs w:val="24"/>
                </w:rPr>
                <m:t>P</m:t>
              </m:r>
            </m:e>
            <m:sup>
              <m:r>
                <m:rPr>
                  <m:sty m:val="p"/>
                </m:rPr>
                <w:rPr>
                  <w:rFonts w:ascii="Cambria Math" w:hAnsi="Cambria Math" w:cs="Times New Roman"/>
                  <w:sz w:val="24"/>
                  <w:szCs w:val="24"/>
                </w:rPr>
                <m:t>C</m:t>
              </m:r>
            </m:sup>
          </m:sSup>
          <m:d>
            <m:dPr>
              <m:ctrlPr>
                <w:rPr>
                  <w:rFonts w:ascii="Cambria Math" w:hAnsi="Cambria Math" w:cs="Times New Roman"/>
                  <w:iCs/>
                  <w:sz w:val="24"/>
                  <w:szCs w:val="24"/>
                </w:rPr>
              </m:ctrlPr>
            </m:dPr>
            <m:e>
              <m:r>
                <m:rPr>
                  <m:sty m:val="p"/>
                </m:rPr>
                <w:rPr>
                  <w:rFonts w:ascii="Cambria Math" w:hAnsi="Cambria Math" w:cs="Times New Roman"/>
                  <w:sz w:val="24"/>
                  <w:szCs w:val="24"/>
                </w:rPr>
                <m:t>q</m:t>
              </m:r>
            </m:e>
          </m:d>
          <m:r>
            <m:rPr>
              <m:sty m:val="p"/>
            </m:rPr>
            <w:rPr>
              <w:rFonts w:ascii="Cambria Math" w:hAnsi="Cambria Math" w:cs="Times New Roman"/>
              <w:sz w:val="24"/>
              <w:szCs w:val="24"/>
            </w:rPr>
            <m:t>q-C(q)</m:t>
          </m:r>
        </m:oMath>
      </m:oMathPara>
    </w:p>
    <w:p w14:paraId="2A0C9E9C" w14:textId="2AA0076A"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q is foreign buyers' demand (a function of local-currency price). If the firm quotes an invoice price in dollars P$ and a local currency/dollar rate of e (local currency per USD), the local-currency price is </w:t>
      </w:r>
      <w:r w:rsidR="00BB4C4F" w:rsidRPr="00E043EA">
        <w:rPr>
          <w:rFonts w:ascii="Times New Roman" w:hAnsi="Times New Roman" w:cs="Times New Roman"/>
          <w:sz w:val="24"/>
          <w:szCs w:val="24"/>
        </w:rPr>
        <w:t>P</w:t>
      </w:r>
      <w:r w:rsidR="00BB4C4F" w:rsidRPr="00E043EA">
        <w:rPr>
          <w:rFonts w:ascii="Times New Roman" w:hAnsi="Times New Roman" w:cs="Times New Roman"/>
          <w:sz w:val="24"/>
          <w:szCs w:val="24"/>
          <w:vertAlign w:val="superscript"/>
        </w:rPr>
        <w:t>ℓ</w:t>
      </w:r>
      <w:r w:rsidR="00BB4C4F" w:rsidRPr="00E043EA">
        <w:rPr>
          <w:rFonts w:ascii="Times New Roman" w:hAnsi="Times New Roman" w:cs="Times New Roman"/>
          <w:sz w:val="24"/>
          <w:szCs w:val="24"/>
        </w:rPr>
        <w:t>=</w:t>
      </w:r>
      <w:proofErr w:type="spellStart"/>
      <w:r w:rsidR="00BB4C4F" w:rsidRPr="00E043EA">
        <w:rPr>
          <w:rFonts w:ascii="Times New Roman" w:hAnsi="Times New Roman" w:cs="Times New Roman"/>
          <w:sz w:val="24"/>
          <w:szCs w:val="24"/>
        </w:rPr>
        <w:t>e</w:t>
      </w:r>
      <w:r w:rsidR="00BB4C4F" w:rsidRPr="00E043EA">
        <w:rPr>
          <w:rFonts w:ascii="Cambria Math" w:hAnsi="Cambria Math" w:cs="Cambria Math"/>
          <w:sz w:val="24"/>
          <w:szCs w:val="24"/>
        </w:rPr>
        <w:t>⋅</w:t>
      </w:r>
      <w:r w:rsidR="00BB4C4F" w:rsidRPr="00E043EA">
        <w:rPr>
          <w:rFonts w:ascii="Times New Roman" w:hAnsi="Times New Roman" w:cs="Times New Roman"/>
          <w:sz w:val="24"/>
          <w:szCs w:val="24"/>
        </w:rPr>
        <w:t>P</w:t>
      </w:r>
      <w:proofErr w:type="spellEnd"/>
      <w:r w:rsidR="00BB4C4F" w:rsidRPr="00E043EA">
        <w:rPr>
          <w:rFonts w:ascii="Times New Roman" w:hAnsi="Times New Roman" w:cs="Times New Roman"/>
          <w:sz w:val="24"/>
          <w:szCs w:val="24"/>
          <w:vertAlign w:val="superscript"/>
        </w:rPr>
        <w:t>$</w:t>
      </w:r>
      <w:r w:rsidRPr="00E043EA">
        <w:rPr>
          <w:rFonts w:ascii="Times New Roman" w:hAnsi="Times New Roman" w:cs="Times New Roman"/>
          <w:sz w:val="24"/>
          <w:szCs w:val="24"/>
        </w:rPr>
        <w:t>. With full DCP (stickiness of the dominant currency), a change in e delivers full short-run pass-through to the importer's local-currency price</w:t>
      </w:r>
    </w:p>
    <w:p w14:paraId="6010EE58" w14:textId="55F5C2F2" w:rsidR="00BB4C4F" w:rsidRPr="00E043EA" w:rsidRDefault="00621A36" w:rsidP="008E3029">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∂ln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l</m:t>
                  </m:r>
                </m:sup>
              </m:sSup>
            </m:num>
            <m:den>
              <m:r>
                <w:rPr>
                  <w:rFonts w:ascii="Cambria Math" w:hAnsi="Cambria Math" w:cs="Times New Roman"/>
                  <w:sz w:val="24"/>
                  <w:szCs w:val="24"/>
                </w:rPr>
                <m:t>∂lne</m:t>
              </m:r>
            </m:den>
          </m:f>
          <m:r>
            <w:rPr>
              <w:rFonts w:ascii="Cambria Math" w:hAnsi="Cambria Math" w:cs="Times New Roman"/>
              <w:sz w:val="24"/>
              <w:szCs w:val="24"/>
            </w:rPr>
            <m:t>=1,</m:t>
          </m:r>
        </m:oMath>
      </m:oMathPara>
    </w:p>
    <w:p w14:paraId="49968ABF" w14:textId="5AA28FF3" w:rsidR="00E87600" w:rsidRPr="00E043EA" w:rsidRDefault="00782DC7" w:rsidP="008E3029">
      <w:pPr>
        <w:jc w:val="both"/>
        <w:rPr>
          <w:rFonts w:ascii="Times New Roman" w:hAnsi="Times New Roman" w:cs="Times New Roman"/>
          <w:sz w:val="24"/>
          <w:szCs w:val="24"/>
        </w:rPr>
      </w:pPr>
      <w:r w:rsidRPr="00E043EA">
        <w:rPr>
          <w:rFonts w:ascii="Times New Roman" w:hAnsi="Times New Roman" w:cs="Times New Roman"/>
          <w:sz w:val="24"/>
          <w:szCs w:val="24"/>
        </w:rPr>
        <w:t>while P</w:t>
      </w:r>
      <w:r w:rsidRPr="00E043EA">
        <w:rPr>
          <w:rFonts w:ascii="Times New Roman" w:hAnsi="Times New Roman" w:cs="Times New Roman"/>
          <w:sz w:val="24"/>
          <w:szCs w:val="24"/>
          <w:vertAlign w:val="superscript"/>
        </w:rPr>
        <w:t>$</w:t>
      </w:r>
      <w:r w:rsidRPr="00E043EA">
        <w:rPr>
          <w:rFonts w:ascii="Times New Roman" w:hAnsi="Times New Roman" w:cs="Times New Roman"/>
          <w:sz w:val="24"/>
          <w:szCs w:val="24"/>
        </w:rPr>
        <w:t xml:space="preserve"> and consequently foreign demand are unchanged, silencing the normal expenditure-switching effect of exchange-rate changes on export quantities. With mixed currency pricing (MCP), if α fraction of </w:t>
      </w:r>
      <w:r w:rsidR="002F658A" w:rsidRPr="00E043EA">
        <w:rPr>
          <w:rFonts w:ascii="Times New Roman" w:hAnsi="Times New Roman" w:cs="Times New Roman"/>
          <w:sz w:val="24"/>
          <w:szCs w:val="24"/>
        </w:rPr>
        <w:t>firm’s</w:t>
      </w:r>
      <w:r w:rsidRPr="00E043EA">
        <w:rPr>
          <w:rFonts w:ascii="Times New Roman" w:hAnsi="Times New Roman" w:cs="Times New Roman"/>
          <w:sz w:val="24"/>
          <w:szCs w:val="24"/>
        </w:rPr>
        <w:t xml:space="preserve"> invoice in the hegemonic currency and the rest in local currency, short-run pass-through to aggregate import prices is α, and depreciation of the exchange rate has an equivalently dampened impact on export levels. DCP thus produces asymmetric transmission of exchange-rate shocks, pricing complementarities, and more intense global spillovers from dollar movements; de-dollarisation involves either lowering invoicing costs in non-dominant currencies or manipulating the network externalities that make the dominant currency convenient (Gopinath et al., 2020; Gopinath &amp;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202</w:t>
      </w:r>
      <w:r w:rsidR="006B56D3" w:rsidRPr="00E043EA">
        <w:rPr>
          <w:rFonts w:ascii="Times New Roman" w:hAnsi="Times New Roman" w:cs="Times New Roman"/>
          <w:sz w:val="24"/>
          <w:szCs w:val="24"/>
        </w:rPr>
        <w:t>2</w:t>
      </w:r>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Amiti</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Konings</w:t>
      </w:r>
      <w:proofErr w:type="spellEnd"/>
      <w:r w:rsidRPr="00E043EA">
        <w:rPr>
          <w:rFonts w:ascii="Times New Roman" w:hAnsi="Times New Roman" w:cs="Times New Roman"/>
          <w:sz w:val="24"/>
          <w:szCs w:val="24"/>
        </w:rPr>
        <w:t>, 202</w:t>
      </w:r>
      <w:r w:rsidR="00025A7B" w:rsidRPr="00E043EA">
        <w:rPr>
          <w:rFonts w:ascii="Times New Roman" w:hAnsi="Times New Roman" w:cs="Times New Roman"/>
          <w:sz w:val="24"/>
          <w:szCs w:val="24"/>
        </w:rPr>
        <w:t>2</w:t>
      </w:r>
      <w:r w:rsidRPr="00E043EA">
        <w:rPr>
          <w:rFonts w:ascii="Times New Roman" w:hAnsi="Times New Roman" w:cs="Times New Roman"/>
          <w:sz w:val="24"/>
          <w:szCs w:val="24"/>
        </w:rPr>
        <w:t>).</w:t>
      </w:r>
    </w:p>
    <w:p w14:paraId="541523CE" w14:textId="77777777" w:rsidR="00782DC7" w:rsidRPr="00E043EA" w:rsidRDefault="00E87600"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Uncovered interest parity (UIP) </w:t>
      </w:r>
    </w:p>
    <w:p w14:paraId="01A11836" w14:textId="6BA5D624"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This theory offers the benchmark relationship between interest differentials and exchange-rate expectations, usually expressed as</w:t>
      </w:r>
    </w:p>
    <w:p w14:paraId="66F04E99" w14:textId="7C9BA3C1" w:rsidR="00E87600" w:rsidRPr="00E043EA" w:rsidRDefault="00BB4C4F" w:rsidP="008E3029">
      <w:pPr>
        <w:jc w:val="both"/>
        <w:rPr>
          <w:rFonts w:ascii="Times New Roman"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-risk premium</m:t>
          </m:r>
        </m:oMath>
      </m:oMathPara>
    </w:p>
    <w:p w14:paraId="3989D4A0" w14:textId="5C4025AF"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where Δ</w:t>
      </w:r>
      <w:r w:rsidRPr="00E043EA">
        <w:rPr>
          <w:rFonts w:ascii="Times New Roman" w:hAnsi="Times New Roman" w:cs="Times New Roman"/>
          <w:sz w:val="24"/>
          <w:szCs w:val="24"/>
          <w:vertAlign w:val="subscript"/>
        </w:rPr>
        <w:t xml:space="preserve">st+1 </w:t>
      </w:r>
      <w:r w:rsidRPr="00E043EA">
        <w:rPr>
          <w:rFonts w:ascii="Times New Roman" w:hAnsi="Times New Roman" w:cs="Times New Roman"/>
          <w:sz w:val="24"/>
          <w:szCs w:val="24"/>
        </w:rPr>
        <w:t xml:space="preserve">is the change in the log nominal exchange rate (foreign currency per domestic),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E043EA">
        <w:rPr>
          <w:rFonts w:ascii="Times New Roman" w:hAnsi="Times New Roman" w:cs="Times New Roman"/>
          <w:sz w:val="24"/>
          <w:szCs w:val="24"/>
        </w:rPr>
        <w:t xml:space="preserve">and </w:t>
      </w:r>
      <m:oMath>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m:t>
            </m:r>
          </m:sup>
        </m:sSubSup>
      </m:oMath>
      <w:r w:rsidRPr="00E043EA">
        <w:rPr>
          <w:rFonts w:ascii="Times New Roman" w:hAnsi="Times New Roman" w:cs="Times New Roman"/>
          <w:sz w:val="24"/>
          <w:szCs w:val="24"/>
        </w:rPr>
        <w:t xml:space="preserve">are domestic and foreign nominal interest rates, and the risk premium reflects time-varying compensation for currency-risk and liquidity (Fama, 1984; Obstfeld &amp; Rogoff, 1996). Covered interest parity (CIP) the forward-spot arbitrage relationship can temporarily be broken by funding or counterparty risk and market segmentation that prevents arbitrage (Baba, Packer, &amp; Nagano, 2008). Portfolio-balance models incorporate UIP by having the risk premium be an </w:t>
      </w:r>
      <w:r w:rsidRPr="00E043EA">
        <w:rPr>
          <w:rFonts w:ascii="Times New Roman" w:hAnsi="Times New Roman" w:cs="Times New Roman"/>
          <w:sz w:val="24"/>
          <w:szCs w:val="24"/>
        </w:rPr>
        <w:lastRenderedPageBreak/>
        <w:t>endogenous function of domestic and foreign asset supplies and investors</w:t>
      </w:r>
      <w:r w:rsidR="00C8208D" w:rsidRPr="00E043EA">
        <w:rPr>
          <w:rFonts w:ascii="Times New Roman" w:hAnsi="Times New Roman" w:cs="Times New Roman"/>
          <w:sz w:val="24"/>
          <w:szCs w:val="24"/>
        </w:rPr>
        <w:t>’</w:t>
      </w:r>
      <w:r w:rsidRPr="00E043EA">
        <w:rPr>
          <w:rFonts w:ascii="Times New Roman" w:hAnsi="Times New Roman" w:cs="Times New Roman"/>
          <w:sz w:val="24"/>
          <w:szCs w:val="24"/>
        </w:rPr>
        <w:t xml:space="preserve"> risk aversion: changes in official reserve composition, central-bank swap facilities, or trade invoicing currency composition change the relative supply of safe, liquid dollar assets and thus the equilibrium risk premium and exchange-rate reaction to shocks (Obstfeld &amp; Rogoff, 1996; Rey, 2013). As a result, de-dollarisation that decreases the demand for dollar assets or supplies more non-dollar safe-assets can increase or decrease the dollar risk premium based on market depth and scarcity of safe-assets, thus altering exchange-rate volatility and the transmission of interest-rate differentials (</w:t>
      </w:r>
      <w:proofErr w:type="spellStart"/>
      <w:r w:rsidRPr="00E043EA">
        <w:rPr>
          <w:rFonts w:ascii="Times New Roman" w:hAnsi="Times New Roman" w:cs="Times New Roman"/>
          <w:sz w:val="24"/>
          <w:szCs w:val="24"/>
        </w:rPr>
        <w:t>Brunnermeier</w:t>
      </w:r>
      <w:proofErr w:type="spellEnd"/>
      <w:r w:rsidRPr="00E043EA">
        <w:rPr>
          <w:rFonts w:ascii="Times New Roman" w:hAnsi="Times New Roman" w:cs="Times New Roman"/>
          <w:sz w:val="24"/>
          <w:szCs w:val="24"/>
        </w:rPr>
        <w:t>, Nagel, &amp; Pedersen, 2008; Rey, 2013). Empirically, time-varying risk premia and episodic CIP deviations imply that de-dollarisation efforts allow changes in reserves, swap arrangements, and payment-rail architecture as possible channels through which macro-financial dynamics respond.</w:t>
      </w:r>
    </w:p>
    <w:p w14:paraId="2A1141E7" w14:textId="6273889E" w:rsidR="00782DC7" w:rsidRPr="00E043EA" w:rsidRDefault="00782DC7"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Political-economy / Game theory </w:t>
      </w:r>
    </w:p>
    <w:p w14:paraId="0A99C6B9" w14:textId="5FADCFFF" w:rsidR="00782DC7" w:rsidRPr="00E043EA" w:rsidRDefault="00782DC7" w:rsidP="008E3029">
      <w:pPr>
        <w:jc w:val="both"/>
        <w:rPr>
          <w:rFonts w:ascii="Times New Roman" w:hAnsi="Times New Roman" w:cs="Times New Roman"/>
          <w:sz w:val="24"/>
          <w:szCs w:val="24"/>
        </w:rPr>
      </w:pPr>
      <w:r w:rsidRPr="00E043EA">
        <w:rPr>
          <w:rFonts w:ascii="Times New Roman" w:hAnsi="Times New Roman" w:cs="Times New Roman"/>
          <w:sz w:val="24"/>
          <w:szCs w:val="24"/>
        </w:rPr>
        <w:t>The political-economy of de-dollarisation can be represented as a repeated coordination game for two players (the United States and a BRICS bloc) where BRICS decide among strategies s</w:t>
      </w:r>
      <w:r w:rsidRPr="00E043EA">
        <w:rPr>
          <w:rFonts w:ascii="Cambria Math" w:hAnsi="Cambria Math" w:cs="Cambria Math"/>
          <w:sz w:val="24"/>
          <w:szCs w:val="24"/>
        </w:rPr>
        <w:t>∈</w:t>
      </w:r>
      <w:r w:rsidRPr="00E043EA">
        <w:rPr>
          <w:rFonts w:ascii="Times New Roman" w:hAnsi="Times New Roman" w:cs="Times New Roman"/>
          <w:sz w:val="24"/>
          <w:szCs w:val="24"/>
        </w:rPr>
        <w:t xml:space="preserve"> {USD, Diversify, </w:t>
      </w:r>
      <w:proofErr w:type="spellStart"/>
      <w:r w:rsidRPr="00E043EA">
        <w:rPr>
          <w:rFonts w:ascii="Times New Roman" w:hAnsi="Times New Roman" w:cs="Times New Roman"/>
          <w:sz w:val="24"/>
          <w:szCs w:val="24"/>
        </w:rPr>
        <w:t>NewSys</w:t>
      </w:r>
      <w:proofErr w:type="spellEnd"/>
      <w:r w:rsidRPr="00E043EA">
        <w:rPr>
          <w:rFonts w:ascii="Times New Roman" w:hAnsi="Times New Roman" w:cs="Times New Roman"/>
          <w:sz w:val="24"/>
          <w:szCs w:val="24"/>
        </w:rPr>
        <w:t>}. Let UBR(</w:t>
      </w:r>
      <w:proofErr w:type="spellStart"/>
      <w:proofErr w:type="gramStart"/>
      <w:r w:rsidRPr="00E043EA">
        <w:rPr>
          <w:rFonts w:ascii="Times New Roman" w:hAnsi="Times New Roman" w:cs="Times New Roman"/>
          <w:sz w:val="24"/>
          <w:szCs w:val="24"/>
        </w:rPr>
        <w:t>s,N</w:t>
      </w:r>
      <w:proofErr w:type="spellEnd"/>
      <w:proofErr w:type="gramEnd"/>
      <w:r w:rsidRPr="00E043EA">
        <w:rPr>
          <w:rFonts w:ascii="Times New Roman" w:hAnsi="Times New Roman" w:cs="Times New Roman"/>
          <w:sz w:val="24"/>
          <w:szCs w:val="24"/>
        </w:rPr>
        <w:t>) be BRICS' per-period payoff if a proportion N of trade and finance contracts are under a non-USD option; let there be network externalities such that UBR is an increasing function of N, and c&gt;0 be the fixed switching cost (liquidity loss, search frictions, legal frictions). A specific specification is</w:t>
      </w:r>
    </w:p>
    <w:p w14:paraId="4A72E9F5" w14:textId="688B427E" w:rsidR="00782DC7" w:rsidRPr="00E043EA" w:rsidRDefault="00621A36"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BR</m:t>
              </m:r>
            </m:sub>
          </m:sSub>
          <m:d>
            <m:dPr>
              <m:ctrlPr>
                <w:rPr>
                  <w:rFonts w:ascii="Cambria Math" w:hAnsi="Cambria Math" w:cs="Times New Roman"/>
                  <w:i/>
                  <w:sz w:val="24"/>
                  <w:szCs w:val="24"/>
                </w:rPr>
              </m:ctrlPr>
            </m:dPr>
            <m:e>
              <m:r>
                <w:rPr>
                  <w:rFonts w:ascii="Cambria Math" w:hAnsi="Cambria Math" w:cs="Times New Roman"/>
                  <w:sz w:val="24"/>
                  <w:szCs w:val="24"/>
                </w:rPr>
                <m:t>NewSys, N</m:t>
              </m:r>
            </m:e>
          </m:d>
          <m:r>
            <w:rPr>
              <w:rFonts w:ascii="Cambria Math" w:hAnsi="Cambria Math" w:cs="Times New Roman"/>
              <w:sz w:val="24"/>
              <w:szCs w:val="24"/>
            </w:rPr>
            <m:t xml:space="preserve">=B∙N-c,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BR</m:t>
              </m:r>
            </m:sub>
          </m:sSub>
          <m:d>
            <m:dPr>
              <m:ctrlPr>
                <w:rPr>
                  <w:rFonts w:ascii="Cambria Math" w:hAnsi="Cambria Math" w:cs="Times New Roman"/>
                  <w:i/>
                  <w:sz w:val="24"/>
                  <w:szCs w:val="24"/>
                </w:rPr>
              </m:ctrlPr>
            </m:dPr>
            <m:e>
              <m:r>
                <w:rPr>
                  <w:rFonts w:ascii="Cambria Math" w:hAnsi="Cambria Math" w:cs="Times New Roman"/>
                  <w:sz w:val="24"/>
                  <w:szCs w:val="24"/>
                </w:rPr>
                <m:t>USD,N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oMath>
      </m:oMathPara>
    </w:p>
    <w:p w14:paraId="7BA0D08C" w14:textId="1F389D58" w:rsidR="00782DC7" w:rsidRPr="00E043EA" w:rsidRDefault="00782DC7"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with B0 the baseline advantage of staying in USD and B the per-unit advantage of non-USD adoption; when N is endogenous and increasing in the quantity k of adopters, network benefits make collective action desirable. In a one-shot (static) environment, a coordinated shift to </w:t>
      </w:r>
      <w:proofErr w:type="spellStart"/>
      <w:r w:rsidRPr="00E043EA">
        <w:rPr>
          <w:rFonts w:ascii="Times New Roman" w:hAnsi="Times New Roman" w:cs="Times New Roman"/>
          <w:sz w:val="24"/>
          <w:szCs w:val="24"/>
        </w:rPr>
        <w:t>NewSys</w:t>
      </w:r>
      <w:proofErr w:type="spellEnd"/>
      <w:r w:rsidRPr="00E043EA">
        <w:rPr>
          <w:rFonts w:ascii="Times New Roman" w:hAnsi="Times New Roman" w:cs="Times New Roman"/>
          <w:sz w:val="24"/>
          <w:szCs w:val="24"/>
        </w:rPr>
        <w:t xml:space="preserve"> is worthwhile only if B</w:t>
      </w:r>
      <w:r w:rsidRPr="00E043EA">
        <w:rPr>
          <w:rFonts w:ascii="Cambria Math" w:hAnsi="Cambria Math" w:cs="Cambria Math"/>
          <w:sz w:val="24"/>
          <w:szCs w:val="24"/>
        </w:rPr>
        <w:t>⋅</w:t>
      </w:r>
      <w:r w:rsidRPr="00E043EA">
        <w:rPr>
          <w:rFonts w:ascii="Times New Roman" w:hAnsi="Times New Roman" w:cs="Times New Roman"/>
          <w:sz w:val="24"/>
          <w:szCs w:val="24"/>
        </w:rPr>
        <w:t>N−c&gt;B</w:t>
      </w:r>
      <w:r w:rsidRPr="00E043EA">
        <w:rPr>
          <w:rFonts w:ascii="Times New Roman" w:hAnsi="Times New Roman" w:cs="Times New Roman"/>
          <w:sz w:val="24"/>
          <w:szCs w:val="24"/>
          <w:vertAlign w:val="subscript"/>
        </w:rPr>
        <w:t>0</w:t>
      </w:r>
      <w:r w:rsidRPr="00E043EA">
        <w:rPr>
          <w:rFonts w:ascii="Times New Roman" w:hAnsi="Times New Roman" w:cs="Times New Roman"/>
          <w:sz w:val="24"/>
          <w:szCs w:val="24"/>
        </w:rPr>
        <w:t xml:space="preserve">, i.e. if the overall network benefit covers switch costs. </w:t>
      </w:r>
      <w:r w:rsidR="00C8208D" w:rsidRPr="00E043EA">
        <w:rPr>
          <w:rFonts w:ascii="Times New Roman" w:hAnsi="Times New Roman" w:cs="Times New Roman"/>
          <w:sz w:val="24"/>
          <w:szCs w:val="24"/>
        </w:rPr>
        <w:t>Modelling</w:t>
      </w:r>
      <w:r w:rsidRPr="00E043EA">
        <w:rPr>
          <w:rFonts w:ascii="Times New Roman" w:hAnsi="Times New Roman" w:cs="Times New Roman"/>
          <w:sz w:val="24"/>
          <w:szCs w:val="24"/>
        </w:rPr>
        <w:t xml:space="preserve"> the interaction as an infinitely repeated game with discount factor δ, cooperation (a staged joint movement) may be maintained by trigger strategies if discounted future benefits from successful coordination outweigh the one-period benefit of defection. Let the cooperative per-period payoff be V</w:t>
      </w:r>
      <w:r w:rsidRPr="00E043EA">
        <w:rPr>
          <w:rFonts w:ascii="Times New Roman" w:hAnsi="Times New Roman" w:cs="Times New Roman"/>
          <w:sz w:val="24"/>
          <w:szCs w:val="24"/>
          <w:vertAlign w:val="subscript"/>
        </w:rPr>
        <w:t>C</w:t>
      </w:r>
      <w:r w:rsidRPr="00E043EA">
        <w:rPr>
          <w:rFonts w:ascii="Times New Roman" w:hAnsi="Times New Roman" w:cs="Times New Roman"/>
          <w:sz w:val="24"/>
          <w:szCs w:val="24"/>
        </w:rPr>
        <w:t xml:space="preserve"> and the payoff to one-shot deviation be V</w:t>
      </w:r>
      <w:r w:rsidRPr="00E043EA">
        <w:rPr>
          <w:rFonts w:ascii="Times New Roman" w:hAnsi="Times New Roman" w:cs="Times New Roman"/>
          <w:sz w:val="24"/>
          <w:szCs w:val="24"/>
          <w:vertAlign w:val="subscript"/>
        </w:rPr>
        <w:t>D</w:t>
      </w:r>
      <w:r w:rsidRPr="00E043EA">
        <w:rPr>
          <w:rFonts w:ascii="Times New Roman" w:hAnsi="Times New Roman" w:cs="Times New Roman"/>
          <w:sz w:val="24"/>
          <w:szCs w:val="24"/>
        </w:rPr>
        <w:t>; cooperation is subgame-perfect if</w:t>
      </w:r>
    </w:p>
    <w:p w14:paraId="3BBEA780" w14:textId="2F08C017" w:rsidR="00871EDD" w:rsidRPr="00E043EA" w:rsidRDefault="00621A36" w:rsidP="008E3029">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m:t>
                  </m:r>
                </m:sub>
              </m:sSub>
            </m:num>
            <m:den>
              <m:r>
                <w:rPr>
                  <w:rFonts w:ascii="Cambria Math" w:hAnsi="Cambria Math" w:cs="Times New Roman"/>
                  <w:sz w:val="24"/>
                  <w:szCs w:val="24"/>
                </w:rPr>
                <m:t>1-δ</m:t>
              </m:r>
            </m:den>
          </m:f>
          <m:r>
            <w:rPr>
              <w:rFonts w:ascii="Cambria Math" w:hAnsi="Cambria Math" w:cs="Times New Roman"/>
              <w:sz w:val="24"/>
              <w:szCs w:val="24"/>
            </w:rPr>
            <m:t xml:space="preserve">≥loss form punishment </m:t>
          </m:r>
        </m:oMath>
      </m:oMathPara>
    </w:p>
    <w:p w14:paraId="02EE8809" w14:textId="5415478F"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which reduces under grim-trigger punishment to the well-known condition </w:t>
      </w:r>
      <m:oMath>
        <m:r>
          <w:rPr>
            <w:rFonts w:ascii="Cambria Math" w:hAnsi="Cambria Math" w:cs="Times New Roman"/>
            <w:sz w:val="24"/>
            <w:szCs w:val="24"/>
          </w:rPr>
          <m:t>δ≥</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m:t>
                </m:r>
              </m:sub>
            </m:sSub>
          </m:num>
          <m:den>
            <m:r>
              <w:rPr>
                <w:rFonts w:ascii="Cambria Math" w:hAnsi="Cambria Math" w:cs="Times New Roman"/>
                <w:sz w:val="24"/>
                <w:szCs w:val="24"/>
              </w:rPr>
              <m:t>1-δ</m:t>
            </m:r>
          </m:den>
        </m:f>
      </m:oMath>
      <w:r w:rsidR="00BB4C4F" w:rsidRPr="00E043EA">
        <w:rPr>
          <w:rFonts w:ascii="Times New Roman" w:hAnsi="Times New Roman" w:cs="Times New Roman"/>
          <w:sz w:val="24"/>
          <w:szCs w:val="24"/>
        </w:rPr>
        <w:t>​​,</w:t>
      </w:r>
      <w:r w:rsidRPr="00E043EA">
        <w:rPr>
          <w:rFonts w:ascii="Times New Roman" w:hAnsi="Times New Roman" w:cs="Times New Roman"/>
          <w:sz w:val="24"/>
          <w:szCs w:val="24"/>
        </w:rPr>
        <w:t xml:space="preserve"> where V</w:t>
      </w:r>
      <w:r w:rsidRPr="00E043EA">
        <w:rPr>
          <w:rFonts w:ascii="Times New Roman" w:hAnsi="Times New Roman" w:cs="Times New Roman"/>
          <w:sz w:val="24"/>
          <w:szCs w:val="24"/>
          <w:vertAlign w:val="subscript"/>
        </w:rPr>
        <w:t>P</w:t>
      </w:r>
      <w:r w:rsidRPr="00E043EA">
        <w:rPr>
          <w:rFonts w:ascii="Times New Roman" w:hAnsi="Times New Roman" w:cs="Times New Roman"/>
          <w:sz w:val="24"/>
          <w:szCs w:val="24"/>
        </w:rPr>
        <w:t xml:space="preserve"> is the payoff under permanent reversion to the non-cooperative state. Collective action thus prevails over network externalities when either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the network benefit B and associated N are large so V</w:t>
      </w:r>
      <w:r w:rsidRPr="00E043EA">
        <w:rPr>
          <w:rFonts w:ascii="Times New Roman" w:hAnsi="Times New Roman" w:cs="Times New Roman"/>
          <w:sz w:val="24"/>
          <w:szCs w:val="24"/>
          <w:vertAlign w:val="subscript"/>
        </w:rPr>
        <w:t>C</w:t>
      </w:r>
      <w:r w:rsidRPr="00E043EA">
        <w:rPr>
          <w:rFonts w:ascii="Times New Roman" w:hAnsi="Times New Roman" w:cs="Times New Roman"/>
          <w:sz w:val="24"/>
          <w:szCs w:val="24"/>
        </w:rPr>
        <w:t xml:space="preserve"> is high, (ii) switching costs ccc are low, or (iii) the shadow value of future cooperation (high δ) is high. This mechanism accounts for why uncoordinated de-dollarisation efforts tend to fail but coordinated BRICS initiatives (mutual swap lines, shared invoicing agreements, shared payment rails) can shift the balance off the USD; the formal reasoning appeals to coordination/network-externality models and repeated-game enforcement (Farrell &amp; Saloner, 1986; Olson, 1965; </w:t>
      </w:r>
      <w:proofErr w:type="spellStart"/>
      <w:r w:rsidRPr="00E043EA">
        <w:rPr>
          <w:rFonts w:ascii="Times New Roman" w:hAnsi="Times New Roman" w:cs="Times New Roman"/>
          <w:sz w:val="24"/>
          <w:szCs w:val="24"/>
        </w:rPr>
        <w:t>Fudenberg</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Maskin</w:t>
      </w:r>
      <w:proofErr w:type="spellEnd"/>
      <w:r w:rsidRPr="00E043EA">
        <w:rPr>
          <w:rFonts w:ascii="Times New Roman" w:hAnsi="Times New Roman" w:cs="Times New Roman"/>
          <w:sz w:val="24"/>
          <w:szCs w:val="24"/>
        </w:rPr>
        <w:t>, 1986) and is also compatible with political-economy explanations of currency ranking and strategic state action (</w:t>
      </w: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xml:space="preserve">, 2008; </w:t>
      </w:r>
      <w:proofErr w:type="spellStart"/>
      <w:r w:rsidRPr="00E043EA">
        <w:rPr>
          <w:rFonts w:ascii="Times New Roman" w:hAnsi="Times New Roman" w:cs="Times New Roman"/>
          <w:sz w:val="24"/>
          <w:szCs w:val="24"/>
        </w:rPr>
        <w:t>Kiyotaki</w:t>
      </w:r>
      <w:proofErr w:type="spellEnd"/>
      <w:r w:rsidRPr="00E043EA">
        <w:rPr>
          <w:rFonts w:ascii="Times New Roman" w:hAnsi="Times New Roman" w:cs="Times New Roman"/>
          <w:sz w:val="24"/>
          <w:szCs w:val="24"/>
        </w:rPr>
        <w:t xml:space="preserve"> &amp; Wright, 1989).</w:t>
      </w:r>
    </w:p>
    <w:p w14:paraId="6F86043A" w14:textId="77777777" w:rsidR="00871EDD" w:rsidRPr="00E043EA" w:rsidRDefault="00871EDD"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Macro DSGE / GVAR (for welfare and spillovers) </w:t>
      </w:r>
    </w:p>
    <w:p w14:paraId="65382F7F" w14:textId="5D465DB6"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Structural welfare analysis of and cross-border spillovers of exchange-rate movements, invoicing adjustment, or reserve composition changes is necessarily cast in two complementary frameworks. In a small open-economy DSGE one incorporates currency invoicing and foreign-currency debt into the household–firm–central-bank block in such a manner that domestic consumption Ct, net exports </w:t>
      </w:r>
      <w:proofErr w:type="spellStart"/>
      <w:r w:rsidRPr="00E043EA">
        <w:rPr>
          <w:rFonts w:ascii="Times New Roman" w:hAnsi="Times New Roman" w:cs="Times New Roman"/>
          <w:sz w:val="24"/>
          <w:szCs w:val="24"/>
        </w:rPr>
        <w:t>NX</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and real debt positions D</w:t>
      </w:r>
      <w:r w:rsidRPr="00E043EA">
        <w:rPr>
          <w:rFonts w:ascii="Times New Roman" w:hAnsi="Times New Roman" w:cs="Times New Roman"/>
          <w:sz w:val="24"/>
          <w:szCs w:val="24"/>
          <w:vertAlign w:val="subscript"/>
        </w:rPr>
        <w:t>t</w:t>
      </w:r>
      <w:r w:rsidRPr="00E043EA">
        <w:rPr>
          <w:rFonts w:ascii="Times New Roman" w:hAnsi="Times New Roman" w:cs="Times New Roman"/>
          <w:sz w:val="24"/>
          <w:szCs w:val="24"/>
          <w:vertAlign w:val="superscript"/>
        </w:rPr>
        <w:t>$</w:t>
      </w:r>
      <w:r w:rsidRPr="00E043EA">
        <w:rPr>
          <w:rFonts w:ascii="Times New Roman" w:hAnsi="Times New Roman" w:cs="Times New Roman"/>
          <w:sz w:val="24"/>
          <w:szCs w:val="24"/>
        </w:rPr>
        <w:t xml:space="preserve"> are determined as functions of exchange rates and invoicing shares. The planner's welfare loss from shock can be captured by the consumption-equivalent welfare change λ that satisfies</w:t>
      </w:r>
    </w:p>
    <w:p w14:paraId="55664A66" w14:textId="07D85D8D" w:rsidR="00871EDD" w:rsidRPr="00E043EA" w:rsidRDefault="00BB4C4F" w:rsidP="008E3029">
      <w:pPr>
        <w:jc w:val="both"/>
        <w:rPr>
          <w:rFonts w:ascii="Times New Roman" w:hAnsi="Times New Roman" w:cs="Times New Roman"/>
          <w:sz w:val="24"/>
          <w:szCs w:val="24"/>
        </w:rPr>
      </w:pPr>
      <m:oMathPara>
        <m:oMath>
          <m:r>
            <w:rPr>
              <w:rFonts w:ascii="Cambria Math" w:hAnsi="Cambria Math" w:cs="Times New Roman"/>
              <w:sz w:val="24"/>
              <w:szCs w:val="24"/>
            </w:rPr>
            <m:t>E</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r>
                <w:rPr>
                  <w:rFonts w:ascii="Cambria Math" w:hAnsi="Cambria Math" w:cs="Times New Roman"/>
                  <w:sz w:val="24"/>
                  <w:szCs w:val="24"/>
                </w:rPr>
                <m:t>u(1+λ)</m:t>
              </m:r>
            </m:e>
          </m:nary>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t</m:t>
              </m:r>
            </m:sub>
            <m:sup>
              <m:r>
                <w:rPr>
                  <w:rFonts w:ascii="Cambria Math" w:hAnsi="Cambria Math" w:cs="Times New Roman"/>
                  <w:sz w:val="24"/>
                  <w:szCs w:val="24"/>
                </w:rPr>
                <m:t>baseline</m:t>
              </m:r>
            </m:sup>
          </m:sSubSup>
          <m:r>
            <w:rPr>
              <w:rFonts w:ascii="Cambria Math" w:hAnsi="Cambria Math" w:cs="Times New Roman"/>
              <w:sz w:val="24"/>
              <w:szCs w:val="24"/>
            </w:rPr>
            <m:t>)=E</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r>
                <w:rPr>
                  <w:rFonts w:ascii="Cambria Math" w:hAnsi="Cambria Math" w:cs="Times New Roman"/>
                  <w:sz w:val="24"/>
                  <w:szCs w:val="24"/>
                </w:rPr>
                <m:t>u(</m:t>
              </m:r>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t</m:t>
                  </m:r>
                </m:sub>
                <m:sup>
                  <m:r>
                    <w:rPr>
                      <w:rFonts w:ascii="Cambria Math" w:hAnsi="Cambria Math" w:cs="Times New Roman"/>
                      <w:sz w:val="24"/>
                      <w:szCs w:val="24"/>
                    </w:rPr>
                    <m:t>shock</m:t>
                  </m:r>
                </m:sup>
              </m:sSubSup>
              <m:r>
                <w:rPr>
                  <w:rFonts w:ascii="Cambria Math" w:hAnsi="Cambria Math" w:cs="Times New Roman"/>
                  <w:sz w:val="24"/>
                  <w:szCs w:val="24"/>
                </w:rPr>
                <m:t>)</m:t>
              </m:r>
            </m:e>
          </m:nary>
        </m:oMath>
      </m:oMathPara>
    </w:p>
    <w:p w14:paraId="52EFDF7F" w14:textId="2971050A"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which for CRRA utility provides a scalar measure of welfare cost. </w:t>
      </w:r>
      <w:proofErr w:type="spellStart"/>
      <w:r w:rsidRPr="00E043EA">
        <w:rPr>
          <w:rFonts w:ascii="Times New Roman" w:hAnsi="Times New Roman" w:cs="Times New Roman"/>
          <w:sz w:val="24"/>
          <w:szCs w:val="24"/>
        </w:rPr>
        <w:t>Endogenising</w:t>
      </w:r>
      <w:proofErr w:type="spellEnd"/>
      <w:r w:rsidRPr="00E043EA">
        <w:rPr>
          <w:rFonts w:ascii="Times New Roman" w:hAnsi="Times New Roman" w:cs="Times New Roman"/>
          <w:sz w:val="24"/>
          <w:szCs w:val="24"/>
        </w:rPr>
        <w:t xml:space="preserve"> invoicing (share αt of trade invoiced in dollars) and foreign-currency debt renders risk premia and propagation channels (balance-sheet effects, exchange-rate pass-through, and monetary policy constraints) explicit and enables counterfactuals like the welfare benefits of successful de-dollarisation policies (local-currency bond development, swap lines, or payment-rail adoption). At the cross-country level, a Global VAR (GVAR) connects country blocs via trade, finance, and price-invoicing weights; dollar liquidity shock, reserve reallocation, or invoicing reallocation in any node sets off dynamic impulse responses within the network, allowing trade diversion, terms-of-trade impacts, and world risk-premium adjustments to be measured. Merging DSGE structural counterfactuals with GVAR-style spillover accounting thus provides local welfare estimates (through λ) and the international transmission of the effects (through cross-country impulse responses), which is what is required to measure whether de-dollarisation is bringing net welfare gains globally or simply redistributing risk and liquidity premia across markets (Obstfeld &amp; Rogoff, 1996; Schmitt-</w:t>
      </w:r>
      <w:proofErr w:type="spellStart"/>
      <w:r w:rsidRPr="00E043EA">
        <w:rPr>
          <w:rFonts w:ascii="Times New Roman" w:hAnsi="Times New Roman" w:cs="Times New Roman"/>
          <w:sz w:val="24"/>
          <w:szCs w:val="24"/>
        </w:rPr>
        <w:t>Grohé</w:t>
      </w:r>
      <w:proofErr w:type="spellEnd"/>
      <w:r w:rsidRPr="00E043EA">
        <w:rPr>
          <w:rFonts w:ascii="Times New Roman" w:hAnsi="Times New Roman" w:cs="Times New Roman"/>
          <w:sz w:val="24"/>
          <w:szCs w:val="24"/>
        </w:rPr>
        <w:t xml:space="preserve"> &amp; Uribe, 2003; </w:t>
      </w: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Schuermann</w:t>
      </w:r>
      <w:proofErr w:type="spellEnd"/>
      <w:r w:rsidRPr="00E043EA">
        <w:rPr>
          <w:rFonts w:ascii="Times New Roman" w:hAnsi="Times New Roman" w:cs="Times New Roman"/>
          <w:sz w:val="24"/>
          <w:szCs w:val="24"/>
        </w:rPr>
        <w:t>, &amp; Weiner, 2004).</w:t>
      </w:r>
    </w:p>
    <w:p w14:paraId="62B588AB" w14:textId="1289A438" w:rsidR="00871EDD" w:rsidRPr="00E043EA" w:rsidRDefault="00871EDD" w:rsidP="00BB4C4F">
      <w:pPr>
        <w:jc w:val="center"/>
        <w:rPr>
          <w:rFonts w:ascii="Times New Roman" w:hAnsi="Times New Roman" w:cs="Times New Roman"/>
          <w:b/>
          <w:bCs/>
          <w:sz w:val="24"/>
          <w:szCs w:val="24"/>
        </w:rPr>
      </w:pPr>
      <w:r w:rsidRPr="00E043EA">
        <w:rPr>
          <w:rFonts w:ascii="Times New Roman" w:hAnsi="Times New Roman" w:cs="Times New Roman"/>
          <w:b/>
          <w:bCs/>
          <w:sz w:val="24"/>
          <w:szCs w:val="24"/>
        </w:rPr>
        <w:t>Empirical approaches &amp; equations</w:t>
      </w:r>
    </w:p>
    <w:p w14:paraId="2C50A932" w14:textId="75A410EC"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The present paper introduces empirical approaches aimed at measuring the connectivity between U.S. tariff measures and BRICS de-dollarisation strategies, with emphasis on shifts in trade invoicing, reserve diversification, and payment system take-up. By combining time-series econometrics, panel regressions, and event-study models, the analysis aims to identify both short-run market reactions and long-term structural changes, informed by conventional techniques in international finance and open-economy macroeconomics (Frankel &amp; Rose, 1996; Obstfeld &amp; Rogoff, 1995; Chinn &amp; Frankel, 2007</w:t>
      </w:r>
      <w:r w:rsidR="00BD0863" w:rsidRPr="00E043EA">
        <w:rPr>
          <w:rFonts w:ascii="Times New Roman" w:hAnsi="Times New Roman" w:cs="Times New Roman"/>
          <w:sz w:val="24"/>
          <w:szCs w:val="24"/>
        </w:rPr>
        <w:t>; 2008</w:t>
      </w:r>
      <w:r w:rsidRPr="00E043EA">
        <w:rPr>
          <w:rFonts w:ascii="Times New Roman" w:hAnsi="Times New Roman" w:cs="Times New Roman"/>
          <w:sz w:val="24"/>
          <w:szCs w:val="24"/>
        </w:rPr>
        <w:t xml:space="preserve">). </w:t>
      </w:r>
    </w:p>
    <w:p w14:paraId="48C71540" w14:textId="6948E39B" w:rsidR="00871EDD" w:rsidRPr="00E043EA" w:rsidRDefault="00871EDD"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Method A: Difference-in-Differences (</w:t>
      </w:r>
      <w:proofErr w:type="spellStart"/>
      <w:r w:rsidRPr="00E043EA">
        <w:rPr>
          <w:rFonts w:ascii="Times New Roman" w:hAnsi="Times New Roman" w:cs="Times New Roman"/>
          <w:b/>
          <w:bCs/>
          <w:sz w:val="24"/>
          <w:szCs w:val="24"/>
        </w:rPr>
        <w:t>DiD</w:t>
      </w:r>
      <w:proofErr w:type="spellEnd"/>
      <w:r w:rsidRPr="00E043EA">
        <w:rPr>
          <w:rFonts w:ascii="Times New Roman" w:hAnsi="Times New Roman" w:cs="Times New Roman"/>
          <w:b/>
          <w:bCs/>
          <w:sz w:val="24"/>
          <w:szCs w:val="24"/>
        </w:rPr>
        <w:t>) across tariff episodes</w:t>
      </w:r>
    </w:p>
    <w:p w14:paraId="2DBFDAE3" w14:textId="4E356265" w:rsidR="00871EDD" w:rsidRPr="00E043EA" w:rsidRDefault="00621A36"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βTariffShock</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08E9A8C0" w14:textId="77777777" w:rsidR="00BB4C4F"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Begin with the baseline two-way fixed-effects </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xml:space="preserve">: </w:t>
      </w:r>
    </w:p>
    <w:p w14:paraId="42D18284" w14:textId="77777777" w:rsidR="0094492A"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w:t>
      </w:r>
      <w:proofErr w:type="spellStart"/>
      <w:r w:rsidRPr="00E043EA">
        <w:rPr>
          <w:rFonts w:ascii="Times New Roman" w:hAnsi="Times New Roman" w:cs="Times New Roman"/>
          <w:sz w:val="24"/>
          <w:szCs w:val="24"/>
        </w:rPr>
        <w:t>Y</w:t>
      </w:r>
      <w:r w:rsidRPr="00E043EA">
        <w:rPr>
          <w:rFonts w:ascii="Times New Roman" w:hAnsi="Times New Roman" w:cs="Times New Roman"/>
          <w:sz w:val="24"/>
          <w:szCs w:val="24"/>
          <w:vertAlign w:val="subscript"/>
        </w:rPr>
        <w:t>ict</w:t>
      </w:r>
      <w:proofErr w:type="spellEnd"/>
      <w:r w:rsidRPr="00E043EA">
        <w:rPr>
          <w:rFonts w:ascii="Times New Roman" w:hAnsi="Times New Roman" w:cs="Times New Roman"/>
          <w:sz w:val="24"/>
          <w:szCs w:val="24"/>
        </w:rPr>
        <w:t xml:space="preserve"> is the USD-invoicing (or USD-payment) of exports from origin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xml:space="preserve"> to counterparty c during month t; α</w:t>
      </w:r>
      <w:proofErr w:type="spellStart"/>
      <w:r w:rsidRPr="00E043EA">
        <w:rPr>
          <w:rFonts w:ascii="Times New Roman" w:hAnsi="Times New Roman" w:cs="Times New Roman"/>
          <w:sz w:val="24"/>
          <w:szCs w:val="24"/>
          <w:vertAlign w:val="subscript"/>
        </w:rPr>
        <w:t>i</w:t>
      </w:r>
      <w:proofErr w:type="spellEnd"/>
      <w:r w:rsidRPr="00E043EA">
        <w:rPr>
          <w:rFonts w:ascii="Times New Roman" w:hAnsi="Times New Roman" w:cs="Times New Roman"/>
          <w:sz w:val="24"/>
          <w:szCs w:val="24"/>
        </w:rPr>
        <w:t xml:space="preserve"> are origin–partner (or origin) fixed effects for absorbing time-invariant bilateral determinants; </w:t>
      </w:r>
      <w:proofErr w:type="spellStart"/>
      <w:r w:rsidRPr="00E043EA">
        <w:rPr>
          <w:rFonts w:ascii="Times New Roman" w:hAnsi="Times New Roman" w:cs="Times New Roman"/>
          <w:sz w:val="24"/>
          <w:szCs w:val="24"/>
        </w:rPr>
        <w:t>γ</w:t>
      </w:r>
      <w:r w:rsidRPr="00E043EA">
        <w:rPr>
          <w:rFonts w:ascii="Times New Roman" w:hAnsi="Times New Roman" w:cs="Times New Roman"/>
          <w:sz w:val="24"/>
          <w:szCs w:val="24"/>
          <w:vertAlign w:val="subscript"/>
        </w:rPr>
        <w:t>ct</w:t>
      </w:r>
      <w:proofErr w:type="spellEnd"/>
      <w:r w:rsidRPr="00E043EA">
        <w:rPr>
          <w:rFonts w:ascii="Times New Roman" w:hAnsi="Times New Roman" w:cs="Times New Roman"/>
          <w:sz w:val="24"/>
          <w:szCs w:val="24"/>
        </w:rPr>
        <w:t xml:space="preserve"> are time fixed effects at the counterparty or global time effects (or origin × time if preferred);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is an indicator (or intensity in continuous form) for a tariff event levied by country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xml:space="preserve"> at time t; and </w:t>
      </w:r>
      <w:proofErr w:type="spellStart"/>
      <w:r w:rsidRPr="00E043EA">
        <w:rPr>
          <w:rFonts w:ascii="Times New Roman" w:hAnsi="Times New Roman" w:cs="Times New Roman"/>
          <w:sz w:val="24"/>
          <w:szCs w:val="24"/>
        </w:rPr>
        <w:t>X</w:t>
      </w:r>
      <w:r w:rsidRPr="00E043EA">
        <w:rPr>
          <w:rFonts w:ascii="Times New Roman" w:hAnsi="Times New Roman" w:cs="Times New Roman"/>
          <w:sz w:val="24"/>
          <w:szCs w:val="24"/>
          <w:vertAlign w:val="subscript"/>
        </w:rPr>
        <w:t>ict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are time-varying controls (trade volumes, commodity composition, exchange-rate movements, local inflation, sanctions controls). The β </w:t>
      </w:r>
      <w:r w:rsidRPr="00E043EA">
        <w:rPr>
          <w:rFonts w:ascii="Times New Roman" w:hAnsi="Times New Roman" w:cs="Times New Roman"/>
          <w:sz w:val="24"/>
          <w:szCs w:val="24"/>
        </w:rPr>
        <w:lastRenderedPageBreak/>
        <w:t xml:space="preserve">coefficient determines the average impact of the tariff shock on the USD share assuming parallel trends. </w:t>
      </w:r>
    </w:p>
    <w:p w14:paraId="23852A95" w14:textId="1DDD033A" w:rsidR="00871EDD" w:rsidRPr="00E043EA" w:rsidRDefault="00871EDD"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Dynamic/event-study specification (optimal for pre-trend testing)</w:t>
      </w:r>
    </w:p>
    <w:p w14:paraId="6D8D61A0" w14:textId="77777777" w:rsidR="0094492A" w:rsidRPr="00E043EA" w:rsidRDefault="00621A36" w:rsidP="009449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k=-K</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r>
                <w:rPr>
                  <w:rFonts w:ascii="Cambria Math" w:hAnsi="Cambria Math" w:cs="Times New Roman"/>
                  <w:sz w:val="24"/>
                  <w:szCs w:val="24"/>
                </w:rPr>
                <m:t>1{t=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Treat</m:t>
                  </m:r>
                </m:e>
                <m:sub>
                  <m:r>
                    <w:rPr>
                      <w:rFonts w:ascii="Cambria Math" w:hAnsi="Cambria Math" w:cs="Times New Roman"/>
                      <w:sz w:val="24"/>
                      <w:szCs w:val="24"/>
                    </w:rPr>
                    <m:t>i</m:t>
                  </m:r>
                </m:sub>
              </m:sSub>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285837E1" w14:textId="77777777" w:rsidR="0094492A"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where t</w:t>
      </w:r>
      <w:r w:rsidRPr="00E043EA">
        <w:rPr>
          <w:rFonts w:ascii="Times New Roman" w:hAnsi="Times New Roman" w:cs="Times New Roman"/>
          <w:sz w:val="24"/>
          <w:szCs w:val="24"/>
          <w:vertAlign w:val="subscript"/>
        </w:rPr>
        <w:t>0</w:t>
      </w:r>
      <w:r w:rsidRPr="00E043EA">
        <w:rPr>
          <w:rFonts w:ascii="Times New Roman" w:hAnsi="Times New Roman" w:cs="Times New Roman"/>
          <w:sz w:val="24"/>
          <w:szCs w:val="24"/>
        </w:rPr>
        <w:t xml:space="preserve"> is the tariff initiation and </w:t>
      </w:r>
      <w:proofErr w:type="spellStart"/>
      <w:r w:rsidRPr="00E043EA">
        <w:rPr>
          <w:rFonts w:ascii="Times New Roman" w:hAnsi="Times New Roman" w:cs="Times New Roman"/>
          <w:sz w:val="24"/>
          <w:szCs w:val="24"/>
        </w:rPr>
        <w:t>Treat</w:t>
      </w:r>
      <w:r w:rsidRPr="00E043EA">
        <w:rPr>
          <w:rFonts w:ascii="Times New Roman" w:hAnsi="Times New Roman" w:cs="Times New Roman"/>
          <w:sz w:val="24"/>
          <w:szCs w:val="24"/>
          <w:vertAlign w:val="subscript"/>
        </w:rPr>
        <w:t>i</w:t>
      </w:r>
      <w:proofErr w:type="spellEnd"/>
      <w:r w:rsidRPr="00E043EA">
        <w:rPr>
          <w:rFonts w:ascii="Times New Roman" w:hAnsi="Times New Roman" w:cs="Times New Roman"/>
          <w:sz w:val="24"/>
          <w:szCs w:val="24"/>
        </w:rPr>
        <w:t xml:space="preserve"> represents treated units (or use interactive continuous intensity with event dummies). Plot β</w:t>
      </w:r>
      <w:r w:rsidRPr="00E043EA">
        <w:rPr>
          <w:rFonts w:ascii="Times New Roman" w:hAnsi="Times New Roman" w:cs="Times New Roman"/>
          <w:sz w:val="24"/>
          <w:szCs w:val="24"/>
          <w:vertAlign w:val="subscript"/>
        </w:rPr>
        <w:t>k</w:t>
      </w:r>
      <w:r w:rsidRPr="00E043EA">
        <w:rPr>
          <w:rFonts w:ascii="Times New Roman" w:hAnsi="Times New Roman" w:cs="Times New Roman"/>
          <w:sz w:val="24"/>
          <w:szCs w:val="24"/>
        </w:rPr>
        <w:t xml:space="preserve"> with confidence intervals; pre-t coefficients (k&lt;0) must be statistically identical to zero to provide parallel trends support. </w:t>
      </w:r>
    </w:p>
    <w:p w14:paraId="393B94EA" w14:textId="77777777" w:rsidR="0094492A" w:rsidRPr="00E043EA" w:rsidRDefault="0035584E"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Continuous treatment / intensity model (in case tariffs differ in magnitude): </w:t>
      </w:r>
    </w:p>
    <w:p w14:paraId="61F60176" w14:textId="77777777" w:rsidR="0094492A" w:rsidRPr="00E043EA" w:rsidRDefault="00621A36" w:rsidP="009449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βTariffRate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ηTariffRate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Post</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39D5E229" w14:textId="5B647DD1" w:rsidR="0035584E"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or directly use the continuous </w:t>
      </w:r>
      <w:proofErr w:type="spellStart"/>
      <w:r w:rsidRPr="00E043EA">
        <w:rPr>
          <w:rFonts w:ascii="Times New Roman" w:hAnsi="Times New Roman" w:cs="Times New Roman"/>
          <w:sz w:val="24"/>
          <w:szCs w:val="24"/>
        </w:rPr>
        <w:t>TariffRate</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interacted with a post threshold. Report coefficients as elasticity or percentage-point responses in USD share per 1 pp tariff hike. Triple-differences (to increase identification): compare the exports of treated BRICS countries to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its pre-period, (ii) contemporaneous non-BRICS contemporaries, and (iii) goods having less exposure to tariff (or services). Mathematically,</w:t>
      </w:r>
    </w:p>
    <w:p w14:paraId="42BFE5ED" w14:textId="5F0A908D" w:rsidR="0035584E" w:rsidRPr="00E043EA" w:rsidRDefault="00621A36"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BRICS</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42409CD9" w14:textId="2844EC86" w:rsidR="0094492A" w:rsidRPr="00E043EA" w:rsidRDefault="0035584E"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Key identification and implementation points </w:t>
      </w:r>
    </w:p>
    <w:p w14:paraId="2D3DAA38" w14:textId="2F0F7E6E"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 xml:space="preserve">Staggered treatment / heterogeneous effects: </w:t>
      </w:r>
      <w:r w:rsidRPr="00E043EA">
        <w:rPr>
          <w:rFonts w:ascii="Times New Roman" w:hAnsi="Times New Roman" w:cs="Times New Roman"/>
          <w:sz w:val="24"/>
          <w:szCs w:val="24"/>
        </w:rPr>
        <w:t xml:space="preserve">tariffs happen at varying time and magnitude. Prevent biased TWFE estimates when there is treatment timing/heterogeneity. Apply modern </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xml:space="preserve"> estimators that are sensitive to staggered adoption (e.g., Callaway &amp; </w:t>
      </w:r>
      <w:proofErr w:type="spellStart"/>
      <w:r w:rsidRPr="00E043EA">
        <w:rPr>
          <w:rFonts w:ascii="Times New Roman" w:hAnsi="Times New Roman" w:cs="Times New Roman"/>
          <w:sz w:val="24"/>
          <w:szCs w:val="24"/>
        </w:rPr>
        <w:t>Sant</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Anna</w:t>
      </w:r>
      <w:proofErr w:type="spellEnd"/>
      <w:r w:rsidRPr="00E043EA">
        <w:rPr>
          <w:rFonts w:ascii="Times New Roman" w:hAnsi="Times New Roman" w:cs="Times New Roman"/>
          <w:sz w:val="24"/>
          <w:szCs w:val="24"/>
        </w:rPr>
        <w:t>, 2021) and show group-time average treatment effects, or break down through Goodman-Bacon decomposition.</w:t>
      </w:r>
    </w:p>
    <w:p w14:paraId="7DD30812"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sz w:val="24"/>
          <w:szCs w:val="24"/>
        </w:rPr>
        <w:t xml:space="preserve"> </w:t>
      </w:r>
      <w:r w:rsidRPr="00E043EA">
        <w:rPr>
          <w:rFonts w:ascii="Times New Roman" w:hAnsi="Times New Roman" w:cs="Times New Roman"/>
          <w:b/>
          <w:bCs/>
          <w:sz w:val="24"/>
          <w:szCs w:val="24"/>
        </w:rPr>
        <w:t>Standard errors:</w:t>
      </w:r>
      <w:r w:rsidRPr="00E043EA">
        <w:rPr>
          <w:rFonts w:ascii="Times New Roman" w:hAnsi="Times New Roman" w:cs="Times New Roman"/>
          <w:sz w:val="24"/>
          <w:szCs w:val="24"/>
        </w:rPr>
        <w:t xml:space="preserve"> cluster at </w:t>
      </w:r>
      <w:proofErr w:type="spellStart"/>
      <w:r w:rsidRPr="00E043EA">
        <w:rPr>
          <w:rFonts w:ascii="Times New Roman" w:hAnsi="Times New Roman" w:cs="Times New Roman"/>
          <w:sz w:val="24"/>
          <w:szCs w:val="24"/>
        </w:rPr>
        <w:t>country×partner</w:t>
      </w:r>
      <w:proofErr w:type="spellEnd"/>
      <w:r w:rsidRPr="00E043EA">
        <w:rPr>
          <w:rFonts w:ascii="Times New Roman" w:hAnsi="Times New Roman" w:cs="Times New Roman"/>
          <w:sz w:val="24"/>
          <w:szCs w:val="24"/>
        </w:rPr>
        <w:t xml:space="preserve"> or treated-country level (or two-way cluster: origin and time) based on correlation structure; apply wild bootstrap if treated cluster number is small. </w:t>
      </w:r>
    </w:p>
    <w:p w14:paraId="341DC601"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Fixed effects and controls:</w:t>
      </w:r>
      <w:r w:rsidRPr="00E043EA">
        <w:rPr>
          <w:rFonts w:ascii="Times New Roman" w:hAnsi="Times New Roman" w:cs="Times New Roman"/>
          <w:sz w:val="24"/>
          <w:szCs w:val="24"/>
        </w:rPr>
        <w:t xml:space="preserve"> use bilateral fixed effects where available (α</w:t>
      </w:r>
      <w:proofErr w:type="spellStart"/>
      <w:r w:rsidRPr="00E043EA">
        <w:rPr>
          <w:rFonts w:ascii="Times New Roman" w:hAnsi="Times New Roman" w:cs="Times New Roman"/>
          <w:sz w:val="24"/>
          <w:szCs w:val="24"/>
          <w:vertAlign w:val="subscript"/>
        </w:rPr>
        <w:t>ic</w:t>
      </w:r>
      <w:proofErr w:type="spellEnd"/>
      <w:r w:rsidRPr="00E043EA">
        <w:rPr>
          <w:rFonts w:ascii="Times New Roman" w:hAnsi="Times New Roman" w:cs="Times New Roman"/>
          <w:sz w:val="24"/>
          <w:szCs w:val="24"/>
        </w:rPr>
        <w:t>) to remove time-invariant invoicing preferences, and high-frequency time effects (</w:t>
      </w:r>
      <w:proofErr w:type="spellStart"/>
      <w:r w:rsidRPr="00E043EA">
        <w:rPr>
          <w:rFonts w:ascii="Times New Roman" w:hAnsi="Times New Roman" w:cs="Times New Roman"/>
          <w:sz w:val="24"/>
          <w:szCs w:val="24"/>
        </w:rPr>
        <w:t>γ</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to soak up world USD shocks. Use </w:t>
      </w:r>
      <w:proofErr w:type="spellStart"/>
      <w:r w:rsidRPr="00E043EA">
        <w:rPr>
          <w:rFonts w:ascii="Times New Roman" w:hAnsi="Times New Roman" w:cs="Times New Roman"/>
          <w:sz w:val="24"/>
          <w:szCs w:val="24"/>
        </w:rPr>
        <w:t>origin×time</w:t>
      </w:r>
      <w:proofErr w:type="spellEnd"/>
      <w:r w:rsidRPr="00E043EA">
        <w:rPr>
          <w:rFonts w:ascii="Times New Roman" w:hAnsi="Times New Roman" w:cs="Times New Roman"/>
          <w:sz w:val="24"/>
          <w:szCs w:val="24"/>
        </w:rPr>
        <w:t xml:space="preserve"> fixed effects in testing partner-level outcomes.</w:t>
      </w:r>
    </w:p>
    <w:p w14:paraId="6CBCCF9C" w14:textId="14BF83B1"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Pre-trends / placebo tests:</w:t>
      </w:r>
      <w:r w:rsidRPr="00E043EA">
        <w:rPr>
          <w:rFonts w:ascii="Times New Roman" w:hAnsi="Times New Roman" w:cs="Times New Roman"/>
          <w:sz w:val="24"/>
          <w:szCs w:val="24"/>
        </w:rPr>
        <w:t> conduct falsification tests with dummy event dates, event study leads, and placebo </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treated</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groups to test for spurious correlations.</w:t>
      </w:r>
      <w:r w:rsidRPr="00E043EA">
        <w:rPr>
          <w:rFonts w:ascii="Times New Roman" w:hAnsi="Times New Roman" w:cs="Times New Roman"/>
          <w:sz w:val="24"/>
          <w:szCs w:val="24"/>
        </w:rPr>
        <w:br/>
      </w:r>
    </w:p>
    <w:p w14:paraId="156D46D3"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Heterogeneity:</w:t>
      </w:r>
      <w:r w:rsidRPr="00E043EA">
        <w:rPr>
          <w:rFonts w:ascii="Times New Roman" w:hAnsi="Times New Roman" w:cs="Times New Roman"/>
          <w:sz w:val="24"/>
          <w:szCs w:val="24"/>
        </w:rPr>
        <w:t xml:space="preserve"> estimate the effects by sector (commodities versus manufactures), by payment-rail availability (SWIFT access versus restricted), and by depth of domestic FX markets; present quantile or subgroup estimates.</w:t>
      </w:r>
      <w:r w:rsidRPr="00E043EA">
        <w:rPr>
          <w:rFonts w:ascii="Times New Roman" w:hAnsi="Times New Roman" w:cs="Times New Roman"/>
          <w:sz w:val="24"/>
          <w:szCs w:val="24"/>
        </w:rPr>
        <w:br/>
      </w:r>
    </w:p>
    <w:p w14:paraId="0CCC1D17"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Endogeneity issues:</w:t>
      </w:r>
      <w:r w:rsidRPr="00E043EA">
        <w:rPr>
          <w:rFonts w:ascii="Times New Roman" w:hAnsi="Times New Roman" w:cs="Times New Roman"/>
          <w:sz w:val="24"/>
          <w:szCs w:val="24"/>
        </w:rPr>
        <w:t> imposition of tariffs can be endogenous to earlier currency arrangements. Instrumental-variable methods are hard but feasible (employ exogenous geopolitical shocks, multilateral tariff announcements, or third-party tariff exposures as instruments). At least, condition on contemporaneous macro shocks (exchange-rate surprises, reserve announcements) and demonstrate robustness to lead-controls.</w:t>
      </w:r>
      <w:r w:rsidRPr="00E043EA">
        <w:rPr>
          <w:rFonts w:ascii="Times New Roman" w:hAnsi="Times New Roman" w:cs="Times New Roman"/>
          <w:sz w:val="24"/>
          <w:szCs w:val="24"/>
        </w:rPr>
        <w:br/>
      </w:r>
    </w:p>
    <w:p w14:paraId="35090080" w14:textId="77777777" w:rsidR="0094492A" w:rsidRPr="00E043EA" w:rsidRDefault="0094492A"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lastRenderedPageBreak/>
        <w:t>P</w:t>
      </w:r>
      <w:r w:rsidR="0035584E" w:rsidRPr="00E043EA">
        <w:rPr>
          <w:rFonts w:ascii="Times New Roman" w:hAnsi="Times New Roman" w:cs="Times New Roman"/>
          <w:b/>
          <w:bCs/>
          <w:sz w:val="24"/>
          <w:szCs w:val="24"/>
        </w:rPr>
        <w:t>ower inconsistency design:</w:t>
      </w:r>
      <w:r w:rsidR="0035584E" w:rsidRPr="00E043EA">
        <w:rPr>
          <w:rFonts w:ascii="Times New Roman" w:hAnsi="Times New Roman" w:cs="Times New Roman"/>
          <w:sz w:val="24"/>
          <w:szCs w:val="24"/>
        </w:rPr>
        <w:t xml:space="preserve"> when there is little currency-invoicing data, aggregate to quarterly or employ synthetic controls for individual large episodes. Report minimum detectable effects with sample size and clustering.</w:t>
      </w:r>
      <w:r w:rsidR="0035584E" w:rsidRPr="00E043EA">
        <w:rPr>
          <w:rFonts w:ascii="Times New Roman" w:hAnsi="Times New Roman" w:cs="Times New Roman"/>
          <w:sz w:val="24"/>
          <w:szCs w:val="24"/>
        </w:rPr>
        <w:br/>
      </w:r>
    </w:p>
    <w:p w14:paraId="740388A0" w14:textId="77777777" w:rsidR="002F658A" w:rsidRPr="00E043EA" w:rsidRDefault="0035584E" w:rsidP="0094492A">
      <w:pPr>
        <w:jc w:val="both"/>
        <w:rPr>
          <w:rFonts w:ascii="Times New Roman" w:hAnsi="Times New Roman" w:cs="Times New Roman"/>
          <w:sz w:val="24"/>
          <w:szCs w:val="24"/>
        </w:rPr>
      </w:pPr>
      <w:r w:rsidRPr="00E043EA">
        <w:rPr>
          <w:rFonts w:ascii="Times New Roman" w:hAnsi="Times New Roman" w:cs="Times New Roman"/>
          <w:b/>
          <w:bCs/>
          <w:sz w:val="24"/>
          <w:szCs w:val="24"/>
        </w:rPr>
        <w:t>Recommended estimating equations for inference and robustness</w:t>
      </w:r>
      <w:r w:rsidRPr="00E043EA">
        <w:rPr>
          <w:rFonts w:ascii="Times New Roman" w:hAnsi="Times New Roman" w:cs="Times New Roman"/>
          <w:sz w:val="24"/>
          <w:szCs w:val="24"/>
        </w:rPr>
        <w:br/>
        <w:t>Baseline TWFE (report but interpret with caution):</w:t>
      </w:r>
    </w:p>
    <w:p w14:paraId="39820B82" w14:textId="18DD11E0" w:rsidR="0035584E" w:rsidRPr="00E043EA" w:rsidRDefault="0035584E" w:rsidP="0094492A">
      <w:pPr>
        <w:jc w:val="both"/>
        <w:rPr>
          <w:rFonts w:ascii="Times New Roman" w:hAnsi="Times New Roman" w:cs="Times New Roman"/>
          <w:b/>
          <w:bCs/>
          <w:sz w:val="24"/>
          <w:szCs w:val="24"/>
        </w:rPr>
      </w:pPr>
      <w:r w:rsidRPr="00E043EA">
        <w:rPr>
          <w:rFonts w:ascii="Times New Roman" w:hAnsi="Times New Roman" w:cs="Times New Roman"/>
          <w:sz w:val="24"/>
          <w:szCs w:val="24"/>
        </w:rPr>
        <w:br/>
      </w: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βTariffShock</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60C4BE17" w14:textId="77777777" w:rsidR="0094492A"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Event-study (group-time ATT): </w:t>
      </w:r>
    </w:p>
    <w:p w14:paraId="3249EE36" w14:textId="26DB46E3" w:rsidR="0094492A" w:rsidRPr="00E043EA" w:rsidRDefault="00621A36"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g≠0</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EvenAge</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=g}</m:t>
              </m:r>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13A895A0" w14:textId="77777777" w:rsidR="001A7333"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with ATT having used Callaway–Sant'Anna or Sun–Abraham estimators. Continuous intensity (elasticity interpretation): </w:t>
      </w:r>
    </w:p>
    <w:p w14:paraId="6C896E81" w14:textId="77777777" w:rsidR="001A7333" w:rsidRPr="00E043EA" w:rsidRDefault="00621A36" w:rsidP="001A7333">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+β∆</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TariffRate</m:t>
                      </m:r>
                    </m:e>
                    <m:sub>
                      <m:r>
                        <w:rPr>
                          <w:rFonts w:ascii="Cambria Math" w:hAnsi="Cambria Math" w:cs="Times New Roman"/>
                          <w:sz w:val="24"/>
                          <w:szCs w:val="24"/>
                        </w:rPr>
                        <m:t>it</m:t>
                      </m:r>
                    </m:sub>
                  </m:sSub>
                </m:e>
              </m:d>
            </m:e>
          </m:func>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49452E3B" w14:textId="77777777" w:rsidR="001A7333"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Data and measurement notes (brief): outcome </w:t>
      </w:r>
      <w:proofErr w:type="spellStart"/>
      <w:r w:rsidRPr="00E043EA">
        <w:rPr>
          <w:rFonts w:ascii="Times New Roman" w:hAnsi="Times New Roman" w:cs="Times New Roman"/>
          <w:sz w:val="24"/>
          <w:szCs w:val="24"/>
        </w:rPr>
        <w:t>Y</w:t>
      </w:r>
      <w:r w:rsidRPr="00E043EA">
        <w:rPr>
          <w:rFonts w:ascii="Times New Roman" w:hAnsi="Times New Roman" w:cs="Times New Roman"/>
          <w:sz w:val="24"/>
          <w:szCs w:val="24"/>
          <w:vertAlign w:val="subscript"/>
        </w:rPr>
        <w:t>ict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USD invoicing share may be derived from customs/invoice data sources (if available), BIS/CPIS payment-settlement series, SWIFT messaging shares, or central bank releases; reserve composition from IMF COFER and national reports. Tariff timing and magnitude: official tariff schedules, WTO notifications, and national gazettes provide exact dates for onset of treatment. </w:t>
      </w:r>
    </w:p>
    <w:p w14:paraId="58527CA2" w14:textId="7E0B6685" w:rsidR="0035584E"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Explanation: β is the average tariff episode-induced change in USD share, ceteris paribus. Differentiate short-run (immediate) invoice adjustments from longer-run reserve reallocation employ different lags and cumulative impulse windows in the event study.</w:t>
      </w:r>
    </w:p>
    <w:p w14:paraId="54812DED" w14:textId="14A64381" w:rsidR="001A7333" w:rsidRPr="00E043EA" w:rsidRDefault="0035584E" w:rsidP="001A7333">
      <w:pPr>
        <w:rPr>
          <w:rFonts w:ascii="Times New Roman" w:hAnsi="Times New Roman" w:cs="Times New Roman"/>
          <w:sz w:val="24"/>
          <w:szCs w:val="24"/>
        </w:rPr>
      </w:pPr>
      <w:r w:rsidRPr="00E043EA">
        <w:rPr>
          <w:rFonts w:ascii="Times New Roman" w:hAnsi="Times New Roman" w:cs="Times New Roman"/>
          <w:sz w:val="24"/>
          <w:szCs w:val="24"/>
        </w:rPr>
        <w:t>Report checklist (Short)</w:t>
      </w:r>
    </w:p>
    <w:p w14:paraId="48381B04" w14:textId="77777777" w:rsidR="00A06851" w:rsidRPr="00E043EA" w:rsidRDefault="0035584E" w:rsidP="00A06851">
      <w:pPr>
        <w:jc w:val="both"/>
        <w:rPr>
          <w:rFonts w:ascii="Times New Roman" w:hAnsi="Times New Roman" w:cs="Times New Roman"/>
          <w:sz w:val="24"/>
          <w:szCs w:val="24"/>
        </w:rPr>
      </w:pPr>
      <w:r w:rsidRPr="00E043EA">
        <w:rPr>
          <w:rFonts w:ascii="Times New Roman" w:hAnsi="Times New Roman" w:cs="Times New Roman"/>
          <w:sz w:val="24"/>
          <w:szCs w:val="24"/>
        </w:rPr>
        <w:t>Report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event-study plots with pre-trends, (ii) TWFE and staggered-</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robust estimators, (iii) clustered SEs and placebo tests, (iv) heterogeneity by sector/market depth, and (v) sensitivity to controls and alternative samples.</w:t>
      </w:r>
    </w:p>
    <w:p w14:paraId="1EDAA1F4" w14:textId="77777777" w:rsidR="002F658A" w:rsidRPr="00E043EA" w:rsidRDefault="0035584E" w:rsidP="002F658A">
      <w:pPr>
        <w:rPr>
          <w:rFonts w:ascii="Times New Roman" w:hAnsi="Times New Roman" w:cs="Times New Roman"/>
          <w:sz w:val="24"/>
          <w:szCs w:val="24"/>
        </w:rPr>
      </w:pPr>
      <w:r w:rsidRPr="00E043EA">
        <w:rPr>
          <w:rFonts w:ascii="Times New Roman" w:hAnsi="Times New Roman" w:cs="Times New Roman"/>
          <w:sz w:val="24"/>
          <w:szCs w:val="24"/>
        </w:rPr>
        <w:br/>
      </w:r>
      <w:r w:rsidR="00776B37" w:rsidRPr="00E043EA">
        <w:rPr>
          <w:rFonts w:ascii="Times New Roman" w:hAnsi="Times New Roman" w:cs="Times New Roman"/>
          <w:b/>
          <w:bCs/>
          <w:sz w:val="24"/>
          <w:szCs w:val="24"/>
        </w:rPr>
        <w:t>Method</w:t>
      </w:r>
      <w:r w:rsidRPr="00E043EA">
        <w:rPr>
          <w:rFonts w:ascii="Times New Roman" w:hAnsi="Times New Roman" w:cs="Times New Roman"/>
          <w:b/>
          <w:bCs/>
          <w:sz w:val="24"/>
          <w:szCs w:val="24"/>
        </w:rPr>
        <w:t> B</w:t>
      </w:r>
      <w:r w:rsidR="00A06851" w:rsidRPr="00E043EA">
        <w:rPr>
          <w:rFonts w:ascii="Times New Roman" w:hAnsi="Times New Roman" w:cs="Times New Roman"/>
          <w:b/>
          <w:bCs/>
          <w:sz w:val="24"/>
          <w:szCs w:val="24"/>
        </w:rPr>
        <w:t xml:space="preserve">: </w:t>
      </w:r>
      <w:r w:rsidRPr="00E043EA">
        <w:rPr>
          <w:rFonts w:ascii="Times New Roman" w:hAnsi="Times New Roman" w:cs="Times New Roman"/>
          <w:b/>
          <w:bCs/>
          <w:sz w:val="24"/>
          <w:szCs w:val="24"/>
        </w:rPr>
        <w:t>Gravity model with dummy invoicing currency</w:t>
      </w:r>
      <w:r w:rsidRPr="00E043EA">
        <w:rPr>
          <w:rFonts w:ascii="Times New Roman" w:hAnsi="Times New Roman" w:cs="Times New Roman"/>
          <w:b/>
          <w:bCs/>
          <w:sz w:val="24"/>
          <w:szCs w:val="24"/>
        </w:rPr>
        <w:br/>
      </w:r>
    </w:p>
    <w:p w14:paraId="15D45820" w14:textId="469D628D" w:rsidR="00AA3D9F" w:rsidRPr="00E043EA" w:rsidRDefault="0035584E" w:rsidP="00A06851">
      <w:pPr>
        <w:jc w:val="both"/>
        <w:rPr>
          <w:rFonts w:ascii="Times New Roman" w:hAnsi="Times New Roman" w:cs="Times New Roman"/>
          <w:sz w:val="24"/>
          <w:szCs w:val="24"/>
        </w:rPr>
      </w:pPr>
      <w:r w:rsidRPr="00E043EA">
        <w:rPr>
          <w:rFonts w:ascii="Times New Roman" w:hAnsi="Times New Roman" w:cs="Times New Roman"/>
          <w:sz w:val="24"/>
          <w:szCs w:val="24"/>
        </w:rPr>
        <w:t>Estimate the way changes in tariffs forecast away from USD invoicing and how invoicing intermediates trade reactions with a gravity specification. The estimating equation is</w:t>
      </w:r>
    </w:p>
    <w:p w14:paraId="30CECA8D" w14:textId="77777777" w:rsidR="00AA3D9F" w:rsidRPr="00E043EA" w:rsidRDefault="00621A36" w:rsidP="00AA3D9F">
      <w:pPr>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lnX</m:t>
              </m:r>
            </m:e>
            <m:sub>
              <m:r>
                <w:rPr>
                  <w:rFonts w:ascii="Cambria Math" w:hAnsi="Cambria Math" w:cs="Times New Roman"/>
                  <w:sz w:val="20"/>
                  <w:szCs w:val="20"/>
                </w:rPr>
                <m:t>ijt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USDInvoiced</m:t>
              </m:r>
            </m:e>
            <m:sub>
              <m:r>
                <w:rPr>
                  <w:rFonts w:ascii="Cambria Math" w:hAnsi="Cambria Math" w:cs="Times New Roman"/>
                  <w:sz w:val="20"/>
                  <w:szCs w:val="20"/>
                </w:rPr>
                <m:t>ijt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Tariff</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USDInvoiced</m:t>
                  </m:r>
                </m:e>
                <m:sub>
                  <m:r>
                    <w:rPr>
                      <w:rFonts w:ascii="Cambria Math" w:hAnsi="Cambria Math" w:cs="Times New Roman"/>
                      <w:sz w:val="20"/>
                      <w:szCs w:val="20"/>
                    </w:rPr>
                    <m:t>ijt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Tariff</m:t>
                  </m:r>
                </m:e>
                <m:sub>
                  <m:r>
                    <w:rPr>
                      <w:rFonts w:ascii="Cambria Math" w:hAnsi="Cambria Math" w:cs="Times New Roman"/>
                      <w:sz w:val="20"/>
                      <w:szCs w:val="20"/>
                    </w:rPr>
                    <m:t>it</m:t>
                  </m:r>
                </m:sub>
              </m:sSub>
            </m:e>
          </m:d>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ijt</m:t>
              </m:r>
            </m:sub>
            <m:sup>
              <m:r>
                <w:rPr>
                  <w:rFonts w:ascii="Cambria Math" w:hAnsi="Cambria Math" w:cs="Times New Roman"/>
                  <w:sz w:val="20"/>
                  <w:szCs w:val="20"/>
                </w:rPr>
                <m:t>'</m:t>
              </m:r>
            </m:sup>
          </m:sSubSup>
          <m:r>
            <w:rPr>
              <w:rFonts w:ascii="Cambria Math" w:hAnsi="Cambria Math" w:cs="Times New Roman"/>
              <w:sz w:val="20"/>
              <w:szCs w:val="20"/>
            </w:rPr>
            <m:t>γ+</m:t>
          </m:r>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ij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ijt</m:t>
              </m:r>
            </m:sub>
          </m:sSub>
        </m:oMath>
      </m:oMathPara>
    </w:p>
    <w:p w14:paraId="02B14ABF" w14:textId="326D7FE9" w:rsidR="009057E4" w:rsidRPr="00E043EA" w:rsidRDefault="0035584E" w:rsidP="008E3029">
      <w:pPr>
        <w:jc w:val="both"/>
        <w:rPr>
          <w:rFonts w:ascii="Times New Roman" w:hAnsi="Times New Roman" w:cs="Times New Roman"/>
          <w:sz w:val="20"/>
          <w:szCs w:val="20"/>
        </w:rPr>
      </w:pPr>
      <w:r w:rsidRPr="00E043EA">
        <w:rPr>
          <w:rFonts w:ascii="Times New Roman" w:hAnsi="Times New Roman" w:cs="Times New Roman"/>
          <w:sz w:val="24"/>
          <w:szCs w:val="24"/>
        </w:rPr>
        <w:br/>
        <w:t xml:space="preserve">where </w:t>
      </w:r>
      <w:proofErr w:type="spellStart"/>
      <w:r w:rsidRPr="00E043EA">
        <w:rPr>
          <w:rFonts w:ascii="Times New Roman" w:hAnsi="Times New Roman" w:cs="Times New Roman"/>
          <w:sz w:val="24"/>
          <w:szCs w:val="24"/>
        </w:rPr>
        <w:t>X</w:t>
      </w:r>
      <w:r w:rsidRPr="00E043EA">
        <w:rPr>
          <w:rFonts w:ascii="Times New Roman" w:hAnsi="Times New Roman" w:cs="Times New Roman"/>
          <w:sz w:val="24"/>
          <w:szCs w:val="24"/>
          <w:vertAlign w:val="subscript"/>
        </w:rPr>
        <w:t>ijt</w:t>
      </w:r>
      <w:proofErr w:type="spellEnd"/>
      <w:r w:rsidRPr="00E043EA">
        <w:rPr>
          <w:rFonts w:ascii="Times New Roman" w:hAnsi="Times New Roman" w:cs="Times New Roman"/>
          <w:sz w:val="24"/>
          <w:szCs w:val="24"/>
        </w:rPr>
        <w:t xml:space="preserve"> is bilateral trade value (or exports from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xml:space="preserve"> to j) </w:t>
      </w:r>
      <w:proofErr w:type="spellStart"/>
      <w:r w:rsidRPr="00E043EA">
        <w:rPr>
          <w:rFonts w:ascii="Times New Roman" w:hAnsi="Times New Roman" w:cs="Times New Roman"/>
          <w:sz w:val="24"/>
          <w:szCs w:val="24"/>
        </w:rPr>
        <w:t>USDInvoiced</w:t>
      </w:r>
      <w:r w:rsidRPr="00E043EA">
        <w:rPr>
          <w:rFonts w:ascii="Times New Roman" w:hAnsi="Times New Roman" w:cs="Times New Roman"/>
          <w:sz w:val="24"/>
          <w:szCs w:val="24"/>
          <w:vertAlign w:val="subscript"/>
        </w:rPr>
        <w:t>ijt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is a dummy (or share) for USD invoicing, </w:t>
      </w:r>
      <w:proofErr w:type="spellStart"/>
      <w:r w:rsidRPr="00E043EA">
        <w:rPr>
          <w:rFonts w:ascii="Times New Roman" w:hAnsi="Times New Roman" w:cs="Times New Roman"/>
          <w:sz w:val="24"/>
          <w:szCs w:val="24"/>
        </w:rPr>
        <w:t>Tariff</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is the origin-country tariff exposure, </w:t>
      </w:r>
      <w:proofErr w:type="spellStart"/>
      <w:r w:rsidRPr="00E043EA">
        <w:rPr>
          <w:rFonts w:ascii="Times New Roman" w:hAnsi="Times New Roman" w:cs="Times New Roman"/>
          <w:sz w:val="24"/>
          <w:szCs w:val="24"/>
        </w:rPr>
        <w:t>Z</w:t>
      </w:r>
      <w:r w:rsidRPr="00E043EA">
        <w:rPr>
          <w:rFonts w:ascii="Times New Roman" w:hAnsi="Times New Roman" w:cs="Times New Roman"/>
          <w:sz w:val="24"/>
          <w:szCs w:val="24"/>
          <w:vertAlign w:val="subscript"/>
        </w:rPr>
        <w:t>ijt</w:t>
      </w:r>
      <w:proofErr w:type="spellEnd"/>
      <w:r w:rsidRPr="00E043EA">
        <w:rPr>
          <w:rFonts w:ascii="Times New Roman" w:hAnsi="Times New Roman" w:cs="Times New Roman"/>
          <w:sz w:val="24"/>
          <w:szCs w:val="24"/>
        </w:rPr>
        <w:t xml:space="preserve"> are time-varying controls (real exchange rates, distance-invariant proxies for trade costs if available, commodity composition), </w:t>
      </w:r>
      <w:proofErr w:type="spellStart"/>
      <w:r w:rsidRPr="00E043EA">
        <w:rPr>
          <w:rFonts w:ascii="Times New Roman" w:hAnsi="Times New Roman" w:cs="Times New Roman"/>
          <w:sz w:val="24"/>
          <w:szCs w:val="24"/>
        </w:rPr>
        <w:t>ϕ</w:t>
      </w:r>
      <w:r w:rsidRPr="00E043EA">
        <w:rPr>
          <w:rFonts w:ascii="Times New Roman" w:hAnsi="Times New Roman" w:cs="Times New Roman"/>
          <w:sz w:val="24"/>
          <w:szCs w:val="24"/>
          <w:vertAlign w:val="subscript"/>
        </w:rPr>
        <w:t>ij</w:t>
      </w:r>
      <w:proofErr w:type="spellEnd"/>
      <w:r w:rsidRPr="00E043EA">
        <w:rPr>
          <w:rFonts w:ascii="Times New Roman" w:hAnsi="Times New Roman" w:cs="Times New Roman"/>
          <w:sz w:val="24"/>
          <w:szCs w:val="24"/>
        </w:rPr>
        <w:t xml:space="preserve"> are bilateral fixed effects to absorb multilateral resistance and time-invariant bilateral determinants, and </w:t>
      </w:r>
      <w:proofErr w:type="spellStart"/>
      <w:r w:rsidRPr="00E043EA">
        <w:rPr>
          <w:rFonts w:ascii="Times New Roman" w:hAnsi="Times New Roman" w:cs="Times New Roman"/>
          <w:sz w:val="24"/>
          <w:szCs w:val="24"/>
        </w:rPr>
        <w:t>τ</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are time (or </w:t>
      </w:r>
      <w:proofErr w:type="spellStart"/>
      <w:r w:rsidRPr="00E043EA">
        <w:rPr>
          <w:rFonts w:ascii="Times New Roman" w:hAnsi="Times New Roman" w:cs="Times New Roman"/>
          <w:sz w:val="24"/>
          <w:szCs w:val="24"/>
        </w:rPr>
        <w:t>year×region</w:t>
      </w:r>
      <w:proofErr w:type="spellEnd"/>
      <w:r w:rsidRPr="00E043EA">
        <w:rPr>
          <w:rFonts w:ascii="Times New Roman" w:hAnsi="Times New Roman" w:cs="Times New Roman"/>
          <w:sz w:val="24"/>
          <w:szCs w:val="24"/>
        </w:rPr>
        <w:t xml:space="preserve">) fixed effects. Estimate in levels using Poisson Pseudo-Maximum Likelihood (PPML) to control for zeros and heteroskedasticity </w:t>
      </w:r>
      <w:r w:rsidRPr="00E043EA">
        <w:rPr>
          <w:rFonts w:ascii="Times New Roman" w:hAnsi="Times New Roman" w:cs="Times New Roman"/>
          <w:sz w:val="24"/>
          <w:szCs w:val="24"/>
        </w:rPr>
        <w:lastRenderedPageBreak/>
        <w:t xml:space="preserve">(Santos Silva &amp; </w:t>
      </w: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2006). Interpretation: β</w:t>
      </w:r>
      <w:r w:rsidRPr="00E043EA">
        <w:rPr>
          <w:rFonts w:ascii="Times New Roman" w:hAnsi="Times New Roman" w:cs="Times New Roman"/>
          <w:sz w:val="24"/>
          <w:szCs w:val="24"/>
          <w:vertAlign w:val="subscript"/>
        </w:rPr>
        <w:t>3</w:t>
      </w:r>
      <w:r w:rsidRPr="00E043EA">
        <w:rPr>
          <w:rFonts w:ascii="Times New Roman" w:hAnsi="Times New Roman" w:cs="Times New Roman"/>
          <w:sz w:val="24"/>
          <w:szCs w:val="24"/>
        </w:rPr>
        <w:t>&lt;0 suggests tariffs decrease USD-invoiced trade (or that USD-invoiced margins are more tariff sensitive), and the interaction can be used to recover the counterfactual impact of tariff shocks on USD vs non-USD invoiced trade.</w:t>
      </w:r>
      <w:r w:rsidR="00AA3D9F" w:rsidRPr="00E043EA">
        <w:rPr>
          <w:rFonts w:ascii="Times New Roman" w:hAnsi="Times New Roman" w:cs="Times New Roman"/>
          <w:sz w:val="20"/>
          <w:szCs w:val="20"/>
        </w:rPr>
        <w:t xml:space="preserve"> </w:t>
      </w:r>
      <w:r w:rsidR="009057E4" w:rsidRPr="00E043EA">
        <w:rPr>
          <w:rFonts w:ascii="Times New Roman" w:hAnsi="Times New Roman" w:cs="Times New Roman"/>
          <w:sz w:val="24"/>
          <w:szCs w:val="24"/>
        </w:rPr>
        <w:t xml:space="preserve">Identification issues involve endogeneity of invoicing (companies can decide to invoice in expectation of tariffs) and missing time-varying bilateral shocks. Control for these by adding </w:t>
      </w:r>
      <w:proofErr w:type="spellStart"/>
      <w:r w:rsidR="009057E4" w:rsidRPr="00E043EA">
        <w:rPr>
          <w:rFonts w:ascii="Times New Roman" w:hAnsi="Times New Roman" w:cs="Times New Roman"/>
          <w:sz w:val="24"/>
          <w:szCs w:val="24"/>
        </w:rPr>
        <w:t>exporter×time</w:t>
      </w:r>
      <w:proofErr w:type="spellEnd"/>
      <w:r w:rsidR="009057E4" w:rsidRPr="00E043EA">
        <w:rPr>
          <w:rFonts w:ascii="Times New Roman" w:hAnsi="Times New Roman" w:cs="Times New Roman"/>
          <w:sz w:val="24"/>
          <w:szCs w:val="24"/>
        </w:rPr>
        <w:t xml:space="preserve"> and </w:t>
      </w:r>
      <w:proofErr w:type="spellStart"/>
      <w:r w:rsidR="009057E4" w:rsidRPr="00E043EA">
        <w:rPr>
          <w:rFonts w:ascii="Times New Roman" w:hAnsi="Times New Roman" w:cs="Times New Roman"/>
          <w:sz w:val="24"/>
          <w:szCs w:val="24"/>
        </w:rPr>
        <w:t>importer×time</w:t>
      </w:r>
      <w:proofErr w:type="spellEnd"/>
      <w:r w:rsidR="009057E4" w:rsidRPr="00E043EA">
        <w:rPr>
          <w:rFonts w:ascii="Times New Roman" w:hAnsi="Times New Roman" w:cs="Times New Roman"/>
          <w:sz w:val="24"/>
          <w:szCs w:val="24"/>
        </w:rPr>
        <w:t xml:space="preserve"> fixed effects (or </w:t>
      </w:r>
      <w:proofErr w:type="spellStart"/>
      <w:r w:rsidR="009057E4" w:rsidRPr="00E043EA">
        <w:rPr>
          <w:rFonts w:ascii="Times New Roman" w:hAnsi="Times New Roman" w:cs="Times New Roman"/>
          <w:sz w:val="24"/>
          <w:szCs w:val="24"/>
        </w:rPr>
        <w:t>origin×year</w:t>
      </w:r>
      <w:proofErr w:type="spellEnd"/>
      <w:r w:rsidR="009057E4" w:rsidRPr="00E043EA">
        <w:rPr>
          <w:rFonts w:ascii="Times New Roman" w:hAnsi="Times New Roman" w:cs="Times New Roman"/>
          <w:sz w:val="24"/>
          <w:szCs w:val="24"/>
        </w:rPr>
        <w:t xml:space="preserve"> and </w:t>
      </w:r>
      <w:proofErr w:type="spellStart"/>
      <w:r w:rsidR="009057E4" w:rsidRPr="00E043EA">
        <w:rPr>
          <w:rFonts w:ascii="Times New Roman" w:hAnsi="Times New Roman" w:cs="Times New Roman"/>
          <w:sz w:val="24"/>
          <w:szCs w:val="24"/>
        </w:rPr>
        <w:t>partner×year</w:t>
      </w:r>
      <w:proofErr w:type="spellEnd"/>
      <w:r w:rsidR="009057E4" w:rsidRPr="00E043EA">
        <w:rPr>
          <w:rFonts w:ascii="Times New Roman" w:hAnsi="Times New Roman" w:cs="Times New Roman"/>
          <w:sz w:val="24"/>
          <w:szCs w:val="24"/>
        </w:rPr>
        <w:t>) to capture broad macro shocks, instrumenting invoicing where possible (e.g., use past invoicing shares, distance to large dollar financial hubs, or plausibly exogenous shocks to SWIFT access) and running heterogeneity tests by sector (commodities, differentiated products) and by source of invoicing data. Report PPML with clustered standard errors at the level of the exporter (treated) country and report robustness to OLS (log) on positive flows for the sake of comparison.</w:t>
      </w:r>
    </w:p>
    <w:p w14:paraId="42D46BA4" w14:textId="77777777" w:rsidR="00AA3D9F" w:rsidRPr="00E043EA" w:rsidRDefault="009057E4"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Method C — Local/ country-level VAR /local impulse response projections to tariff shocks. </w:t>
      </w:r>
    </w:p>
    <w:p w14:paraId="68FEE4DE" w14:textId="2DD0EB02" w:rsidR="009057E4"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Create country-level quarterly (or monthly, if available) series for the USD composition of reserves, USD composition of trade invoicing, FX volatility, interest differentials, and trade flows. Estimate either a reduced-form VAR,</w:t>
      </w:r>
    </w:p>
    <w:p w14:paraId="1A0BB947" w14:textId="1E1EF3AA" w:rsidR="00AA3D9F" w:rsidRPr="00E043EA" w:rsidRDefault="00621A36" w:rsidP="00AA3D9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A(L)Y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 Shock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m:oMathPara>
    </w:p>
    <w:p w14:paraId="02AACCB0" w14:textId="77777777" w:rsidR="009057E4"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or local projections (LP) after Jordà (2005): for horizon h,</w:t>
      </w:r>
    </w:p>
    <w:p w14:paraId="73A5C1CE" w14:textId="77777777" w:rsidR="00AA3D9F" w:rsidRPr="00E043EA" w:rsidRDefault="00621A36" w:rsidP="00AA3D9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Shock</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t-1</m:t>
              </m:r>
            </m:sub>
            <m:sup>
              <m:r>
                <w:rPr>
                  <w:rFonts w:ascii="Cambria Math" w:hAnsi="Cambria Math" w:cs="Times New Roman"/>
                  <w:sz w:val="24"/>
                  <w:szCs w:val="24"/>
                </w:rPr>
                <m:t>'</m:t>
              </m:r>
            </m:sup>
          </m:sSubSup>
          <m:r>
            <w:rPr>
              <w:rFonts w:ascii="Cambria Math" w:hAnsi="Cambria Math" w:cs="Times New Roman"/>
              <w:sz w:val="24"/>
              <w:szCs w:val="24"/>
            </w:rPr>
            <m:t>γh+</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t+h</m:t>
              </m:r>
            </m:sub>
          </m:sSub>
        </m:oMath>
      </m:oMathPara>
    </w:p>
    <w:p w14:paraId="6E7234F5" w14:textId="77777777" w:rsidR="009057E4"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w:t>
      </w:r>
      <w:proofErr w:type="spellStart"/>
      <w:r w:rsidRPr="00E043EA">
        <w:rPr>
          <w:rFonts w:ascii="Times New Roman" w:hAnsi="Times New Roman" w:cs="Times New Roman"/>
          <w:sz w:val="24"/>
          <w:szCs w:val="24"/>
        </w:rPr>
        <w:t>Shock</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is a tariff announcement, sanction event, or an instrumented measure of US tariff pressure (narrative shock), and X</w:t>
      </w:r>
      <w:r w:rsidRPr="00E043EA">
        <w:rPr>
          <w:rFonts w:ascii="Times New Roman" w:hAnsi="Times New Roman" w:cs="Times New Roman"/>
          <w:sz w:val="24"/>
          <w:szCs w:val="24"/>
          <w:vertAlign w:val="subscript"/>
        </w:rPr>
        <w:t xml:space="preserve">t−1 </w:t>
      </w:r>
      <w:r w:rsidRPr="00E043EA">
        <w:rPr>
          <w:rFonts w:ascii="Times New Roman" w:hAnsi="Times New Roman" w:cs="Times New Roman"/>
          <w:sz w:val="24"/>
          <w:szCs w:val="24"/>
        </w:rPr>
        <w:t>includes lags and controls. Estimation of the structural shock can proceed with a narrative/event-study strategy (announcement/implementation date of tariff), an external instrument (proxy) that is aligned with tariff intensity but not with country-specific shocks, or sign/short-run constraints in a structural VAR. Employ LPs for strong nonlinearities and simpler inference on impulse responses; bootstrap confidence bands and serial correlation correction. Key implementation decisions are choice of lag length, detrending (log differences versus levels), and the treatment of contemporaneous global variables (include global commodity prices or a global USD index). Experiment with alternative orderings and identification in VARs; in LPs, permit state-dependence by separately estimating β</w:t>
      </w:r>
      <w:r w:rsidRPr="00E043EA">
        <w:rPr>
          <w:rFonts w:ascii="Times New Roman" w:hAnsi="Times New Roman" w:cs="Times New Roman"/>
          <w:sz w:val="24"/>
          <w:szCs w:val="24"/>
          <w:vertAlign w:val="subscript"/>
        </w:rPr>
        <w:t>h</w:t>
      </w:r>
      <w:r w:rsidRPr="00E043EA">
        <w:rPr>
          <w:rFonts w:ascii="Times New Roman" w:hAnsi="Times New Roman" w:cs="Times New Roman"/>
          <w:sz w:val="24"/>
          <w:szCs w:val="24"/>
        </w:rPr>
        <w:t xml:space="preserve"> for high versus low reserve countries or invoicing-intensity terciles. Report cumulative impulse responses to trade shares and reserve composition, and break down responses into contemporaneous (short-run invoicing switches) and slower (reserve reallocation, portfolio) channels by exploring timing and persistence. Robustness tests involve placebo events, differing event windows, controlling for simultaneous monetary announcements, and panel-VAR estimation or GVAR extensions to capture cross-country spillovers.</w:t>
      </w:r>
    </w:p>
    <w:p w14:paraId="72B1D094" w14:textId="1B67A714" w:rsidR="009057E4" w:rsidRPr="00E043EA" w:rsidRDefault="00776B37"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Method</w:t>
      </w:r>
      <w:r w:rsidR="009057E4" w:rsidRPr="00E043EA">
        <w:rPr>
          <w:rFonts w:ascii="Times New Roman" w:hAnsi="Times New Roman" w:cs="Times New Roman"/>
          <w:b/>
          <w:bCs/>
          <w:sz w:val="24"/>
          <w:szCs w:val="24"/>
        </w:rPr>
        <w:t xml:space="preserve"> D — Portfolio / Reserve breakdown (balance-sheet) </w:t>
      </w:r>
    </w:p>
    <w:p w14:paraId="2809A384" w14:textId="77777777" w:rsidR="003748C5"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Examine the following empirical specification for a portfolio/reserve-decomposition methodology to test if tariff shocks forecast central-bank USD reserve shares changes:</w:t>
      </w:r>
    </w:p>
    <w:p w14:paraId="73DFE2F0" w14:textId="35F18326" w:rsidR="003748C5" w:rsidRPr="00E043EA" w:rsidRDefault="00621A36" w:rsidP="008E3029">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USDReserve</m:t>
            </m:r>
          </m:e>
          <m:sub>
            <m:r>
              <w:rPr>
                <w:rFonts w:ascii="Cambria Math" w:hAnsi="Cambria Math" w:cs="Times New Roman"/>
                <w:sz w:val="20"/>
                <w:szCs w:val="20"/>
              </w:rPr>
              <m:t>it</m:t>
            </m:r>
          </m:sub>
        </m:sSub>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Tariffshock</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FXVolatility</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sSub>
          <m:sSubPr>
            <m:ctrlPr>
              <w:rPr>
                <w:rFonts w:ascii="Cambria Math" w:hAnsi="Cambria Math" w:cs="Times New Roman"/>
                <w:i/>
                <w:sz w:val="20"/>
                <w:szCs w:val="20"/>
              </w:rPr>
            </m:ctrlPr>
          </m:sSubPr>
          <m:e>
            <m:r>
              <w:rPr>
                <w:rFonts w:ascii="Cambria Math" w:hAnsi="Cambria Math" w:cs="Times New Roman"/>
                <w:sz w:val="20"/>
                <w:szCs w:val="20"/>
              </w:rPr>
              <m:t>InterestSpread</m:t>
            </m:r>
          </m:e>
          <m:sub>
            <m:r>
              <w:rPr>
                <w:rFonts w:ascii="Cambria Math" w:hAnsi="Cambria Math" w:cs="Times New Roman"/>
                <w:sz w:val="20"/>
                <w:szCs w:val="20"/>
              </w:rPr>
              <m:t>it</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γ</m:t>
            </m:r>
          </m:e>
          <m:sup>
            <m:r>
              <w:rPr>
                <w:rFonts w:ascii="Cambria Math" w:hAnsi="Cambria Math" w:cs="Times New Roman"/>
                <w:sz w:val="20"/>
                <w:szCs w:val="20"/>
              </w:rPr>
              <m:t>'</m:t>
            </m:r>
          </m:sup>
        </m:sSup>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it</m:t>
            </m:r>
          </m:sub>
        </m:sSub>
      </m:oMath>
      <w:r w:rsidR="003748C5" w:rsidRPr="00E043EA">
        <w:rPr>
          <w:rFonts w:ascii="Times New Roman" w:hAnsi="Times New Roman" w:cs="Times New Roman"/>
          <w:sz w:val="20"/>
          <w:szCs w:val="20"/>
        </w:rPr>
        <w:t xml:space="preserve"> </w:t>
      </w:r>
    </w:p>
    <w:p w14:paraId="7CC7163A" w14:textId="3553E6DF" w:rsidR="006D3C50"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In the above equation the dependent variable </w:t>
      </w:r>
      <w:proofErr w:type="spellStart"/>
      <w:r w:rsidRPr="00E043EA">
        <w:rPr>
          <w:rFonts w:ascii="Times New Roman" w:hAnsi="Times New Roman" w:cs="Times New Roman"/>
          <w:sz w:val="24"/>
          <w:szCs w:val="24"/>
        </w:rPr>
        <w:t>USDReservesit</w:t>
      </w:r>
      <w:proofErr w:type="spellEnd"/>
      <w:r w:rsidRPr="00E043EA">
        <w:rPr>
          <w:rFonts w:ascii="Times New Roman" w:hAnsi="Times New Roman" w:cs="Times New Roman"/>
          <w:sz w:val="24"/>
          <w:szCs w:val="24"/>
        </w:rPr>
        <w:t xml:space="preserve"> is the share (or log share) of a country i</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official foreign reserves held in U.S. dollars at time t;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measures exogenous changes in tariff exposure or the incidence of newly imposed tariffs (percent point changes, tariff wedges, or a binary shock indicator); </w:t>
      </w:r>
      <w:proofErr w:type="spellStart"/>
      <w:r w:rsidRPr="00E043EA">
        <w:rPr>
          <w:rFonts w:ascii="Times New Roman" w:hAnsi="Times New Roman" w:cs="Times New Roman"/>
          <w:sz w:val="24"/>
          <w:szCs w:val="24"/>
        </w:rPr>
        <w:t>FXVolatility</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captures exchange-rate uncertainty (standard deviation of returns or GARCH conditional volatility); </w:t>
      </w:r>
      <w:proofErr w:type="spellStart"/>
      <w:r w:rsidRPr="00E043EA">
        <w:rPr>
          <w:rFonts w:ascii="Times New Roman" w:hAnsi="Times New Roman" w:cs="Times New Roman"/>
          <w:sz w:val="24"/>
          <w:szCs w:val="24"/>
        </w:rPr>
        <w:t>InterestSpread</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is the sovereign or short-term interest rate spread versus U.S. Treasuries (which is a proxy for relative return benefits of dollar assets); </w:t>
      </w:r>
      <w:proofErr w:type="spellStart"/>
      <w:r w:rsidRPr="00E043EA">
        <w:rPr>
          <w:rFonts w:ascii="Times New Roman" w:hAnsi="Times New Roman" w:cs="Times New Roman"/>
          <w:sz w:val="24"/>
          <w:szCs w:val="24"/>
        </w:rPr>
        <w:t>X</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captures other controls including real GDP (or GDP per capita), aggregate imports (or import-to-GDP), openness to trade, openness of the capital account, inflation, and financial development measures; </w:t>
      </w:r>
      <w:proofErr w:type="spellStart"/>
      <w:r w:rsidRPr="00E043EA">
        <w:rPr>
          <w:rFonts w:ascii="Times New Roman" w:hAnsi="Times New Roman" w:cs="Times New Roman"/>
          <w:sz w:val="24"/>
          <w:szCs w:val="24"/>
        </w:rPr>
        <w:t>μ</w:t>
      </w:r>
      <w:r w:rsidRPr="00E043EA">
        <w:rPr>
          <w:rFonts w:ascii="Times New Roman" w:hAnsi="Times New Roman" w:cs="Times New Roman"/>
          <w:sz w:val="24"/>
          <w:szCs w:val="24"/>
          <w:vertAlign w:val="subscript"/>
        </w:rPr>
        <w:t>i</w:t>
      </w:r>
      <w:proofErr w:type="spellEnd"/>
      <w:r w:rsidRPr="00E043EA">
        <w:rPr>
          <w:rFonts w:ascii="Times New Roman" w:hAnsi="Times New Roman" w:cs="Times New Roman"/>
          <w:sz w:val="24"/>
          <w:szCs w:val="24"/>
        </w:rPr>
        <w:t xml:space="preserve"> and </w:t>
      </w:r>
      <w:proofErr w:type="spellStart"/>
      <w:r w:rsidRPr="00E043EA">
        <w:rPr>
          <w:rFonts w:ascii="Times New Roman" w:hAnsi="Times New Roman" w:cs="Times New Roman"/>
          <w:sz w:val="24"/>
          <w:szCs w:val="24"/>
        </w:rPr>
        <w:t>τ</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are respective country and time fixed effects; and </w:t>
      </w:r>
      <w:proofErr w:type="spellStart"/>
      <w:r w:rsidRPr="00E043EA">
        <w:rPr>
          <w:rFonts w:ascii="Times New Roman" w:hAnsi="Times New Roman" w:cs="Times New Roman"/>
          <w:sz w:val="24"/>
          <w:szCs w:val="24"/>
        </w:rPr>
        <w:t>ε</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is the error term.</w:t>
      </w:r>
      <w:r w:rsidR="003748C5" w:rsidRPr="00E043EA">
        <w:rPr>
          <w:rFonts w:ascii="Times New Roman" w:hAnsi="Times New Roman" w:cs="Times New Roman"/>
          <w:sz w:val="24"/>
          <w:szCs w:val="24"/>
        </w:rPr>
        <w:t xml:space="preserve"> </w:t>
      </w:r>
      <w:r w:rsidRPr="00E043EA">
        <w:rPr>
          <w:rFonts w:ascii="Times New Roman" w:hAnsi="Times New Roman" w:cs="Times New Roman"/>
          <w:sz w:val="24"/>
          <w:szCs w:val="24"/>
        </w:rPr>
        <w:t>Economically, we anticipate β</w:t>
      </w:r>
      <w:r w:rsidRPr="00E043EA">
        <w:rPr>
          <w:rFonts w:ascii="Times New Roman" w:hAnsi="Times New Roman" w:cs="Times New Roman"/>
          <w:sz w:val="24"/>
          <w:szCs w:val="24"/>
          <w:vertAlign w:val="subscript"/>
        </w:rPr>
        <w:t>1</w:t>
      </w:r>
      <w:r w:rsidRPr="00E043EA">
        <w:rPr>
          <w:rFonts w:ascii="Times New Roman" w:hAnsi="Times New Roman" w:cs="Times New Roman"/>
          <w:sz w:val="24"/>
          <w:szCs w:val="24"/>
        </w:rPr>
        <w:t>&lt;0 if tariff shocks trigger a pivot out of dollar assets (i.e., increased tariff exposure leads to central banks diversifying away from USD), or β</w:t>
      </w:r>
      <w:r w:rsidRPr="00E043EA">
        <w:rPr>
          <w:rFonts w:ascii="Times New Roman" w:hAnsi="Times New Roman" w:cs="Times New Roman"/>
          <w:sz w:val="24"/>
          <w:szCs w:val="24"/>
          <w:vertAlign w:val="subscript"/>
        </w:rPr>
        <w:t>1</w:t>
      </w:r>
      <w:r w:rsidRPr="00E043EA">
        <w:rPr>
          <w:rFonts w:ascii="Times New Roman" w:hAnsi="Times New Roman" w:cs="Times New Roman"/>
          <w:sz w:val="24"/>
          <w:szCs w:val="24"/>
        </w:rPr>
        <w:t>&gt;0 if tariff</w:t>
      </w:r>
      <w:r w:rsidR="003748C5" w:rsidRPr="00E043EA">
        <w:rPr>
          <w:rFonts w:ascii="Times New Roman" w:hAnsi="Times New Roman" w:cs="Times New Roman"/>
          <w:sz w:val="24"/>
          <w:szCs w:val="24"/>
        </w:rPr>
        <w:t xml:space="preserve"> s</w:t>
      </w:r>
      <w:r w:rsidRPr="00E043EA">
        <w:rPr>
          <w:rFonts w:ascii="Times New Roman" w:hAnsi="Times New Roman" w:cs="Times New Roman"/>
          <w:sz w:val="24"/>
          <w:szCs w:val="24"/>
        </w:rPr>
        <w:t>hocks raise precautionary demand for dollar liquidity (e.g., if tariffs increase perceived geopolitical risk and therefore safe-asset demand). We anticipate β</w:t>
      </w:r>
      <w:r w:rsidRPr="00E043EA">
        <w:rPr>
          <w:rFonts w:ascii="Times New Roman" w:hAnsi="Times New Roman" w:cs="Times New Roman"/>
          <w:sz w:val="24"/>
          <w:szCs w:val="24"/>
          <w:vertAlign w:val="subscript"/>
        </w:rPr>
        <w:t>2</w:t>
      </w:r>
      <w:r w:rsidRPr="00E043EA">
        <w:rPr>
          <w:rFonts w:ascii="Times New Roman" w:hAnsi="Times New Roman" w:cs="Times New Roman"/>
          <w:sz w:val="24"/>
          <w:szCs w:val="24"/>
        </w:rPr>
        <w:t>&lt;0 under the assumption that greater FX volatility leads reserve managers to want to hold more dollar assets (if the dollar is viewed as a stabilising anchor) but the sign may be positive if volatility spurs diversification out of dollar-denominated risk; β</w:t>
      </w:r>
      <w:r w:rsidRPr="00E043EA">
        <w:rPr>
          <w:rFonts w:ascii="Times New Roman" w:hAnsi="Times New Roman" w:cs="Times New Roman"/>
          <w:sz w:val="24"/>
          <w:szCs w:val="24"/>
          <w:vertAlign w:val="subscript"/>
        </w:rPr>
        <w:t>3</w:t>
      </w:r>
      <w:r w:rsidRPr="00E043EA">
        <w:rPr>
          <w:rFonts w:ascii="Times New Roman" w:hAnsi="Times New Roman" w:cs="Times New Roman"/>
          <w:sz w:val="24"/>
          <w:szCs w:val="24"/>
        </w:rPr>
        <w:t> must be negative if a wider interest spread in </w:t>
      </w:r>
      <w:r w:rsidR="003748C5" w:rsidRPr="00E043EA">
        <w:rPr>
          <w:rFonts w:ascii="Times New Roman" w:hAnsi="Times New Roman" w:cs="Times New Roman"/>
          <w:sz w:val="24"/>
          <w:szCs w:val="24"/>
        </w:rPr>
        <w:t>favour</w:t>
      </w:r>
      <w:r w:rsidRPr="00E043EA">
        <w:rPr>
          <w:rFonts w:ascii="Times New Roman" w:hAnsi="Times New Roman" w:cs="Times New Roman"/>
          <w:sz w:val="24"/>
          <w:szCs w:val="24"/>
        </w:rPr>
        <w:t xml:space="preserve"> of U.S. assets draws reserve accumulation in dollars (greater relative returns on USD assets), and positive if spreads embed perceived U.S. risk premia that discourage dollar holding. Identification demands special care when addressing endogeneity: changes in tariffs can be endogenous to macro shocks or bilateral tensions that are associated with reserve choices. A valid approach is to take advantage of plausibly exogenous variation in tariff exposure (for example, external tariff changes by a large partner like the U.S. instrumented by political-economy interventions or by pre-determined industry exposure to partner tariff schedules) or to run difference-in-differences designs comparing countries (or sectors) more vs. less exposed to an abrupt tariff episode while adjusting for pre-trend behaviour. Panel estimators with fixed country effects remove time-invariant heterogeneity, and time fixed effects soak up world shocks; behaviour of reserves over time can be captured using lagged dependent variables and system GMM (Arellano–Bover/Blundell–Bond) estimation to control for persistence and possible Nickell bias. Standard errors must be clustered at the country (or pair of countries) level to permit serial correlation, and robustness tests must include: alternative definitions of the dependent variable (levels, shares, logs), alternative definitions of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(ad valorem changes, binary events, weighted average tariff exposure based on trade shares), addition of proxies for bilateral swap-line availability and FX intervention, and placebo experiments around non-tariff policy shocks.</w:t>
      </w:r>
      <w:r w:rsidR="003748C5" w:rsidRPr="00E043EA">
        <w:rPr>
          <w:rFonts w:ascii="Times New Roman" w:hAnsi="Times New Roman" w:cs="Times New Roman"/>
          <w:sz w:val="24"/>
          <w:szCs w:val="24"/>
        </w:rPr>
        <w:t xml:space="preserve"> </w:t>
      </w:r>
      <w:r w:rsidR="006D3C50" w:rsidRPr="00E043EA">
        <w:rPr>
          <w:rFonts w:ascii="Times New Roman" w:hAnsi="Times New Roman" w:cs="Times New Roman"/>
          <w:sz w:val="24"/>
          <w:szCs w:val="24"/>
        </w:rPr>
        <w:t>Where there is acute endogeneity, instrumental-variable strategies might employ lagged large partners</w:t>
      </w:r>
      <w:r w:rsidR="00A06851" w:rsidRPr="00E043EA">
        <w:rPr>
          <w:rFonts w:ascii="Times New Roman" w:hAnsi="Times New Roman" w:cs="Times New Roman"/>
          <w:sz w:val="24"/>
          <w:szCs w:val="24"/>
        </w:rPr>
        <w:t>’</w:t>
      </w:r>
      <w:r w:rsidR="006D3C50" w:rsidRPr="00E043EA">
        <w:rPr>
          <w:rFonts w:ascii="Times New Roman" w:hAnsi="Times New Roman" w:cs="Times New Roman"/>
          <w:sz w:val="24"/>
          <w:szCs w:val="24"/>
        </w:rPr>
        <w:t xml:space="preserve"> trade policy, political-calendar instruments, or international commodity-price shocks interacted with pre-existing bilateral exposure as instruments for </w:t>
      </w:r>
      <w:proofErr w:type="spellStart"/>
      <w:r w:rsidR="006D3C50" w:rsidRPr="00E043EA">
        <w:rPr>
          <w:rFonts w:ascii="Times New Roman" w:hAnsi="Times New Roman" w:cs="Times New Roman"/>
          <w:sz w:val="24"/>
          <w:szCs w:val="24"/>
        </w:rPr>
        <w:t>TariffShock</w:t>
      </w:r>
      <w:r w:rsidR="006D3C50" w:rsidRPr="00E043EA">
        <w:rPr>
          <w:rFonts w:ascii="Times New Roman" w:hAnsi="Times New Roman" w:cs="Times New Roman"/>
          <w:sz w:val="24"/>
          <w:szCs w:val="24"/>
          <w:vertAlign w:val="subscript"/>
        </w:rPr>
        <w:t>it</w:t>
      </w:r>
      <w:proofErr w:type="spellEnd"/>
      <w:r w:rsidR="006D3C50" w:rsidRPr="00E043EA">
        <w:rPr>
          <w:rFonts w:ascii="Times New Roman" w:hAnsi="Times New Roman" w:cs="Times New Roman"/>
          <w:sz w:val="24"/>
          <w:szCs w:val="24"/>
        </w:rPr>
        <w:t xml:space="preserve">. Lastly, inference regarding welfare and composition of portfolios can be made richer by breaking down reserve-share changes into flow versus valuation contributions, and by estimating the specification on sub-samples (emerging versus advanced economies) since the marginal reaction of reserves to tariff and risk shocks is likely to be different by financial depth and availability of global capital markets (Obstfeld, Shambaugh, &amp; Taylor, 2009; </w:t>
      </w:r>
      <w:proofErr w:type="spellStart"/>
      <w:r w:rsidR="006D3C50" w:rsidRPr="00E043EA">
        <w:rPr>
          <w:rFonts w:ascii="Times New Roman" w:hAnsi="Times New Roman" w:cs="Times New Roman"/>
          <w:sz w:val="24"/>
          <w:szCs w:val="24"/>
        </w:rPr>
        <w:t>Aizenman</w:t>
      </w:r>
      <w:proofErr w:type="spellEnd"/>
      <w:r w:rsidR="006D3C50" w:rsidRPr="00E043EA">
        <w:rPr>
          <w:rFonts w:ascii="Times New Roman" w:hAnsi="Times New Roman" w:cs="Times New Roman"/>
          <w:sz w:val="24"/>
          <w:szCs w:val="24"/>
        </w:rPr>
        <w:t xml:space="preserve"> &amp; Lee, 2007). Combined, this strategy ties reserve-composition movements together with policy shocks and addresses econometric as well as institutional nuances at the heart of credible inference.</w:t>
      </w:r>
    </w:p>
    <w:p w14:paraId="06CFD561" w14:textId="03FF9403" w:rsidR="006D3C50" w:rsidRPr="00E043EA" w:rsidRDefault="00776B37"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lastRenderedPageBreak/>
        <w:t>Method</w:t>
      </w:r>
      <w:r w:rsidR="006D3C50" w:rsidRPr="00E043EA">
        <w:rPr>
          <w:rFonts w:ascii="Times New Roman" w:hAnsi="Times New Roman" w:cs="Times New Roman"/>
          <w:b/>
          <w:bCs/>
          <w:sz w:val="24"/>
          <w:szCs w:val="24"/>
        </w:rPr>
        <w:t xml:space="preserve"> E</w:t>
      </w:r>
      <w:r w:rsidR="00A06851" w:rsidRPr="00E043EA">
        <w:rPr>
          <w:rFonts w:ascii="Times New Roman" w:hAnsi="Times New Roman" w:cs="Times New Roman"/>
          <w:b/>
          <w:bCs/>
          <w:sz w:val="24"/>
          <w:szCs w:val="24"/>
        </w:rPr>
        <w:t>:</w:t>
      </w:r>
      <w:r w:rsidR="006D3C50" w:rsidRPr="00E043EA">
        <w:rPr>
          <w:rFonts w:ascii="Times New Roman" w:hAnsi="Times New Roman" w:cs="Times New Roman"/>
          <w:b/>
          <w:bCs/>
          <w:sz w:val="24"/>
          <w:szCs w:val="24"/>
        </w:rPr>
        <w:t xml:space="preserve"> Structural / DSGE or GVAR </w:t>
      </w:r>
    </w:p>
    <w:p w14:paraId="46FC8C63" w14:textId="21412696"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A structural method to examining the relationship between tariff shocks, de-dollarisation, and welfare impacts is feasible in a small open-economy dynamic stochastic general equilibrium (DSGE) model that explicitly allows for currency invoicing, foreign currency debt, and reserve composition. In this environment, households solve the problem of maximising expected lifetime utility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e>
        </m:nary>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oMath>
      <w:r w:rsidRPr="00E043EA">
        <w:rPr>
          <w:rFonts w:ascii="Times New Roman" w:hAnsi="Times New Roman" w:cs="Times New Roman"/>
          <w:sz w:val="24"/>
          <w:szCs w:val="24"/>
        </w:rPr>
        <w:t xml:space="preserve"> subject to budget constraints with goods valued in alternate currencies and foreign debt repayment obligations. Companies price in either the local currency, a dominant foreign currency (such as USD), or a third currency with a Calvo-type sticky-price arrangement so that law of one price is not satisfied in the short period (Gopinath &amp; Itskhoki, 2010). The central bank maintains reserves in a currency basket and issues home liabilities, determining the composition of the reserves to minimize a loss function that balances reserve adequacy, valuation risk, and provision of liquidity goals (</w:t>
      </w:r>
      <w:proofErr w:type="spellStart"/>
      <w:r w:rsidR="00776B37" w:rsidRPr="00E043EA">
        <w:rPr>
          <w:rFonts w:ascii="Times New Roman" w:hAnsi="Times New Roman" w:cs="Times New Roman"/>
          <w:sz w:val="24"/>
          <w:szCs w:val="24"/>
        </w:rPr>
        <w:t>Bussière</w:t>
      </w:r>
      <w:proofErr w:type="spellEnd"/>
      <w:r w:rsidR="00776B37" w:rsidRPr="00E043EA">
        <w:rPr>
          <w:rFonts w:ascii="Times New Roman" w:hAnsi="Times New Roman" w:cs="Times New Roman"/>
          <w:sz w:val="24"/>
          <w:szCs w:val="24"/>
        </w:rPr>
        <w:t xml:space="preserve"> et al., 2015</w:t>
      </w:r>
      <w:r w:rsidRPr="00E043EA">
        <w:rPr>
          <w:rFonts w:ascii="Times New Roman" w:hAnsi="Times New Roman" w:cs="Times New Roman"/>
          <w:sz w:val="24"/>
          <w:szCs w:val="24"/>
        </w:rPr>
        <w:t>). Tariff shocks come in as ad valorem wedges on imported goods in the goods-market clearing equation and also influence terms of trade and currency risk premia.</w:t>
      </w:r>
    </w:p>
    <w:p w14:paraId="0D819ED0" w14:textId="132A1B5E"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The model</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central balance conditions consist of the consumption Euler equation, the uncovered interest parity (UIP) condition for currency risk premia, the New Keynesian Phillips curve in the invoicing currency, and the first-order condition on the central bank</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portfolio choice. The following stylised log-linearized UIP condition can be written as</w:t>
      </w:r>
    </w:p>
    <w:p w14:paraId="3212948A" w14:textId="59D87D67" w:rsidR="003748C5" w:rsidRPr="00E043EA" w:rsidRDefault="00621A36" w:rsidP="003748C5">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+ψ</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FX</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TariffShock</m:t>
              </m:r>
            </m:e>
            <m:sub>
              <m:r>
                <w:rPr>
                  <w:rFonts w:ascii="Cambria Math" w:hAnsi="Cambria Math" w:cs="Times New Roman"/>
                  <w:sz w:val="24"/>
                  <w:szCs w:val="24"/>
                </w:rPr>
                <m:t>t</m:t>
              </m:r>
            </m:sub>
          </m:sSub>
        </m:oMath>
      </m:oMathPara>
    </w:p>
    <w:p w14:paraId="5544A50A" w14:textId="5F02DF40"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where it and it</w:t>
      </w:r>
      <w:r w:rsidRPr="00E043EA">
        <w:rPr>
          <w:rFonts w:ascii="Cambria Math" w:hAnsi="Cambria Math" w:cs="Cambria Math"/>
          <w:sz w:val="24"/>
          <w:szCs w:val="24"/>
        </w:rPr>
        <w:t>∗</w:t>
      </w:r>
      <w:r w:rsidRPr="00E043EA">
        <w:rPr>
          <w:rFonts w:ascii="Times New Roman" w:hAnsi="Times New Roman" w:cs="Times New Roman"/>
          <w:sz w:val="24"/>
          <w:szCs w:val="24"/>
        </w:rPr>
        <w:t xml:space="preserve"> are domestic and foreign short-run interest rates, Δst+1 is the forecasted domestic currency depreciation, </w:t>
      </w:r>
      <w:proofErr w:type="spellStart"/>
      <w:r w:rsidRPr="00E043EA">
        <w:rPr>
          <w:rFonts w:ascii="Times New Roman" w:hAnsi="Times New Roman" w:cs="Times New Roman"/>
          <w:sz w:val="24"/>
          <w:szCs w:val="24"/>
        </w:rPr>
        <w:t>σ</w:t>
      </w:r>
      <w:r w:rsidRPr="00E043EA">
        <w:rPr>
          <w:rFonts w:ascii="Times New Roman" w:hAnsi="Times New Roman" w:cs="Times New Roman"/>
          <w:sz w:val="24"/>
          <w:szCs w:val="24"/>
          <w:vertAlign w:val="subscript"/>
        </w:rPr>
        <w:t>t</w:t>
      </w:r>
      <w:r w:rsidRPr="00E043EA">
        <w:rPr>
          <w:rFonts w:ascii="Times New Roman" w:hAnsi="Times New Roman" w:cs="Times New Roman"/>
          <w:sz w:val="24"/>
          <w:szCs w:val="24"/>
          <w:vertAlign w:val="superscript"/>
        </w:rPr>
        <w:t>FX</w:t>
      </w:r>
      <w:proofErr w:type="spellEnd"/>
      <w:r w:rsidRPr="00E043EA">
        <w:rPr>
          <w:rFonts w:ascii="Times New Roman" w:hAnsi="Times New Roman" w:cs="Times New Roman"/>
          <w:sz w:val="24"/>
          <w:szCs w:val="24"/>
        </w:rPr>
        <w:t xml:space="preserve"> is foreign exchange volatility, and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is the tariff shock-induced cost wedge. ψ parameter captures the effect of FX volatility on risk premia, while </w:t>
      </w:r>
      <w:r w:rsidRPr="00E043EA">
        <w:rPr>
          <w:rFonts w:ascii="Cambria Math" w:hAnsi="Cambria Math" w:cs="Cambria Math"/>
          <w:sz w:val="24"/>
          <w:szCs w:val="24"/>
        </w:rPr>
        <w:t>∅</w:t>
      </w:r>
      <w:r w:rsidRPr="00E043EA">
        <w:rPr>
          <w:rFonts w:ascii="Times New Roman" w:hAnsi="Times New Roman" w:cs="Times New Roman"/>
          <w:sz w:val="24"/>
          <w:szCs w:val="24"/>
        </w:rPr>
        <w:t xml:space="preserve"> captures the direct effect of tariff shocks on interest spreads via trade-balance and risk channels. Reserve composition dynamics can be captured by a portfolio share equation:</w:t>
      </w:r>
    </w:p>
    <w:p w14:paraId="47F62868" w14:textId="3077F14E" w:rsidR="007F449D" w:rsidRPr="00E043EA" w:rsidRDefault="00621A36"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USD,t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TariffShock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FX</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Spread</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m:oMathPara>
    </w:p>
    <w:p w14:paraId="50E9CDB0" w14:textId="74F7BBF2"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w:t>
      </w:r>
      <w:proofErr w:type="spellStart"/>
      <w:r w:rsidRPr="00E043EA">
        <w:rPr>
          <w:rFonts w:ascii="Times New Roman" w:hAnsi="Times New Roman" w:cs="Times New Roman"/>
          <w:sz w:val="24"/>
          <w:szCs w:val="24"/>
        </w:rPr>
        <w:t>ω</w:t>
      </w:r>
      <w:proofErr w:type="gramStart"/>
      <w:r w:rsidRPr="00E043EA">
        <w:rPr>
          <w:rFonts w:ascii="Times New Roman" w:hAnsi="Times New Roman" w:cs="Times New Roman"/>
          <w:sz w:val="24"/>
          <w:szCs w:val="24"/>
          <w:vertAlign w:val="subscript"/>
        </w:rPr>
        <w:t>USD,t</w:t>
      </w:r>
      <w:proofErr w:type="spellEnd"/>
      <w:proofErr w:type="gram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is the proportion of USD-denominated reserves, </w:t>
      </w:r>
      <w:proofErr w:type="spellStart"/>
      <w:r w:rsidRPr="00E043EA">
        <w:rPr>
          <w:rFonts w:ascii="Times New Roman" w:hAnsi="Times New Roman" w:cs="Times New Roman"/>
          <w:sz w:val="24"/>
          <w:szCs w:val="24"/>
        </w:rPr>
        <w:t>Spread</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is the USD asset-alternative interest spread, and coefficients β</w:t>
      </w:r>
      <w:r w:rsidRPr="00E043EA">
        <w:rPr>
          <w:rFonts w:ascii="Times New Roman" w:hAnsi="Times New Roman" w:cs="Times New Roman"/>
          <w:sz w:val="24"/>
          <w:szCs w:val="24"/>
          <w:vertAlign w:val="subscript"/>
        </w:rPr>
        <w:t>1</w:t>
      </w:r>
      <w:r w:rsidRPr="00E043EA">
        <w:rPr>
          <w:rFonts w:ascii="Times New Roman" w:hAnsi="Times New Roman" w:cs="Times New Roman"/>
          <w:sz w:val="24"/>
          <w:szCs w:val="24"/>
        </w:rPr>
        <w:t>,β</w:t>
      </w:r>
      <w:r w:rsidRPr="00E043EA">
        <w:rPr>
          <w:rFonts w:ascii="Times New Roman" w:hAnsi="Times New Roman" w:cs="Times New Roman"/>
          <w:sz w:val="24"/>
          <w:szCs w:val="24"/>
          <w:vertAlign w:val="subscript"/>
        </w:rPr>
        <w:t>2</w:t>
      </w:r>
      <w:r w:rsidRPr="00E043EA">
        <w:rPr>
          <w:rFonts w:ascii="Times New Roman" w:hAnsi="Times New Roman" w:cs="Times New Roman"/>
          <w:sz w:val="24"/>
          <w:szCs w:val="24"/>
        </w:rPr>
        <w:t>,β</w:t>
      </w:r>
      <w:r w:rsidRPr="00E043EA">
        <w:rPr>
          <w:rFonts w:ascii="Times New Roman" w:hAnsi="Times New Roman" w:cs="Times New Roman"/>
          <w:sz w:val="24"/>
          <w:szCs w:val="24"/>
          <w:vertAlign w:val="subscript"/>
        </w:rPr>
        <w:t>3</w:t>
      </w:r>
      <w:r w:rsidRPr="00E043EA">
        <w:rPr>
          <w:rFonts w:ascii="Times New Roman" w:hAnsi="Times New Roman" w:cs="Times New Roman"/>
          <w:sz w:val="24"/>
          <w:szCs w:val="24"/>
        </w:rPr>
        <w:t xml:space="preserve"> are endogenous solutions of the DSGE system instead of reduced-form parameters.</w:t>
      </w:r>
    </w:p>
    <w:p w14:paraId="7CECF579" w14:textId="7D93990E" w:rsidR="00E71D0C"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Estimation or calibration may go in two directions. First, Bayesian estimation utilizes macroeconomic and financial time-series data to estimate jointly structural parameters and shock processes using priors from micro-level invoicing </w:t>
      </w:r>
      <w:proofErr w:type="spellStart"/>
      <w:r w:rsidRPr="00E043EA">
        <w:rPr>
          <w:rFonts w:ascii="Times New Roman" w:hAnsi="Times New Roman" w:cs="Times New Roman"/>
          <w:sz w:val="24"/>
          <w:szCs w:val="24"/>
        </w:rPr>
        <w:t>behavior</w:t>
      </w:r>
      <w:proofErr w:type="spellEnd"/>
      <w:r w:rsidRPr="00E043EA">
        <w:rPr>
          <w:rFonts w:ascii="Times New Roman" w:hAnsi="Times New Roman" w:cs="Times New Roman"/>
          <w:sz w:val="24"/>
          <w:szCs w:val="24"/>
        </w:rPr>
        <w:t xml:space="preserve"> and reserve management studies (Justiniano &amp; Preston, 2010). Second, calibration aims at empirical moments like the mean share of USD in reserves, trade balance volatility, and exchange rate pass-through into import prices. Welfare analysis ranks steady-state consumption or consumption-equivalent losses under different reserve-composition rules and invoicing arrangements, measuring the gains from diversifying away from the dollar following a tariff shock. Counterfactual simulations, for instance, can determine the effect of moving invoicing from USD to a basket currency on output volatility, exchange-rate pass-through, and reserve valuation losses.</w:t>
      </w:r>
    </w:p>
    <w:p w14:paraId="64CC1F8A" w14:textId="36CD8B9D" w:rsidR="00E71D0C" w:rsidRPr="00E043EA" w:rsidRDefault="00E71D0C" w:rsidP="008E3029">
      <w:pPr>
        <w:jc w:val="both"/>
        <w:rPr>
          <w:rFonts w:ascii="Times New Roman" w:hAnsi="Times New Roman" w:cs="Times New Roman"/>
          <w:sz w:val="24"/>
          <w:szCs w:val="24"/>
        </w:rPr>
      </w:pPr>
      <w:r w:rsidRPr="00E043EA">
        <w:rPr>
          <w:rFonts w:ascii="Times New Roman" w:hAnsi="Times New Roman" w:cs="Times New Roman"/>
          <w:sz w:val="24"/>
          <w:szCs w:val="24"/>
        </w:rPr>
        <w:t>Alternatively</w:t>
      </w:r>
      <w:r w:rsidR="007F449D" w:rsidRPr="00E043EA">
        <w:rPr>
          <w:rFonts w:ascii="Times New Roman" w:hAnsi="Times New Roman" w:cs="Times New Roman"/>
          <w:sz w:val="24"/>
          <w:szCs w:val="24"/>
        </w:rPr>
        <w:t>,</w:t>
      </w:r>
      <w:r w:rsidRPr="00E043EA">
        <w:rPr>
          <w:rFonts w:ascii="Times New Roman" w:hAnsi="Times New Roman" w:cs="Times New Roman"/>
          <w:sz w:val="24"/>
          <w:szCs w:val="24"/>
        </w:rPr>
        <w:t xml:space="preserve"> or as an adjunct, a Global Vector Autoregression (GVAR) model may be utilized to identify cross-country spillovers and endogenous co-movements of reserves, exchange rates, and trade flows. For a GVAR model (</w:t>
      </w: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Schuermann</w:t>
      </w:r>
      <w:proofErr w:type="spellEnd"/>
      <w:r w:rsidRPr="00E043EA">
        <w:rPr>
          <w:rFonts w:ascii="Times New Roman" w:hAnsi="Times New Roman" w:cs="Times New Roman"/>
          <w:sz w:val="24"/>
          <w:szCs w:val="24"/>
        </w:rPr>
        <w:t>, &amp; Weiner, 2004), each nation</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small VAR contains domestic variables (e.g., GDP, inflation, share of USD reserves) and </w:t>
      </w:r>
      <w:r w:rsidRPr="00E043EA">
        <w:rPr>
          <w:rFonts w:ascii="Times New Roman" w:hAnsi="Times New Roman" w:cs="Times New Roman"/>
          <w:sz w:val="24"/>
          <w:szCs w:val="24"/>
        </w:rPr>
        <w:lastRenderedPageBreak/>
        <w:t>foreign aggregates, weighted by trade or financial exposure. Tariff shocks are seen as exogenous controls or structural shocks identified with sign constraints or narrative methods. The GVAR is estimated with panel data of various economies and allows for counterfactual examination of a shock in one large economy (e.g., U.S. trade tariff increases) to the reserve structure and exchange-rate dynamics of others.</w:t>
      </w:r>
    </w:p>
    <w:p w14:paraId="2F1A697D" w14:textId="306B8C21" w:rsidR="00E71D0C" w:rsidRPr="00E043EA" w:rsidRDefault="00E71D0C" w:rsidP="008E3029">
      <w:pPr>
        <w:jc w:val="both"/>
        <w:rPr>
          <w:rFonts w:ascii="Times New Roman" w:hAnsi="Times New Roman" w:cs="Times New Roman"/>
          <w:sz w:val="24"/>
          <w:szCs w:val="24"/>
        </w:rPr>
      </w:pPr>
      <w:r w:rsidRPr="00E043EA">
        <w:rPr>
          <w:rFonts w:ascii="Times New Roman" w:hAnsi="Times New Roman" w:cs="Times New Roman"/>
          <w:sz w:val="24"/>
          <w:szCs w:val="24"/>
        </w:rPr>
        <w:t>While DSGE models are based on structural theory and permit welfare analysis, GVARs offer empirical flexibility and identify high-dimensional cross-country linkages without requiring full micro-foundations. Using both sets of tools can offer a complete picture: DSGE for theory-consistent mechanisms and welfare implications and GVAR for data-quantification of spillovers.</w:t>
      </w:r>
    </w:p>
    <w:p w14:paraId="14A6D62F" w14:textId="4CFC3236" w:rsidR="00E71D0C"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III. IDENTIFICATION &amp; ECONOMETRIC CAVEATS</w:t>
      </w:r>
    </w:p>
    <w:p w14:paraId="7576975F" w14:textId="57849722" w:rsidR="00E71D0C" w:rsidRPr="00E043EA" w:rsidRDefault="00E71D0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One important econometric concern of this study is endogeneity, in that U.S. tariff measures against BRICS nations are usually driven by more general geopolitical tensions that also happen to provoke policies that affect trade invoicing (e.g., reserve diversification or swap lines). This creates issues of omitted-variable bias and reverse causality. To better counter this, the analysis seizes on exogenous sources of variation, e.g., tariff proclamations linked to U.S. election calendars or rulings by the WTO that are presumably unconnected to contemporaneous BRICS invoicing policies. Instrumental-variable (IV) methods with U.S. political timetables or lagged legislative calendars as instruments may additionally enhance identification, as proposed in tariff endogeneity econometric literature (Nakano &amp; Nishimura, 2022). Moreover, </w:t>
      </w:r>
      <w:proofErr w:type="spellStart"/>
      <w:r w:rsidRPr="00E043EA">
        <w:rPr>
          <w:rFonts w:ascii="Times New Roman" w:hAnsi="Times New Roman" w:cs="Times New Roman"/>
          <w:sz w:val="24"/>
          <w:szCs w:val="24"/>
        </w:rPr>
        <w:t>a</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xml:space="preserve"> approach with country-sector-year fixed effects and robust pre-trend tests may serve to trace out the causal effect of tariffs on changes in invoicing currency.</w:t>
      </w:r>
    </w:p>
    <w:p w14:paraId="5B4EBD1E" w14:textId="5913CCA4"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A second challenge is coverage of data: high-level data on invoicing currency at the product-partner level are frequently missing for BRICS economies. This analysis will clearly report such constraints and use proxy measures like Binance SWIFT data, BIS reporting, or patterned changes evidenced in customs reports to triangulate invoicing </w:t>
      </w:r>
      <w:r w:rsidR="007F449D" w:rsidRPr="00E043EA">
        <w:rPr>
          <w:rFonts w:ascii="Times New Roman" w:hAnsi="Times New Roman" w:cs="Times New Roman"/>
          <w:sz w:val="24"/>
          <w:szCs w:val="24"/>
        </w:rPr>
        <w:t>behaviour</w:t>
      </w:r>
      <w:r w:rsidRPr="00E043EA">
        <w:rPr>
          <w:rFonts w:ascii="Times New Roman" w:hAnsi="Times New Roman" w:cs="Times New Roman"/>
          <w:sz w:val="24"/>
          <w:szCs w:val="24"/>
        </w:rPr>
        <w:t>. Analogous approaches were employed in recent empirical research on sanctions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impact on invoicing currency when national-level customs statistics were used to identify deviations from the U.S. dollar (Berthou, 2023). </w:t>
      </w:r>
    </w:p>
    <w:p w14:paraId="640A32FE" w14:textId="4251E86F"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Third, the large network effects in currency invoicing and the gradual pace of de-dollarisation necessitate a dynamic modelling strategy. Currency-invoicing changes are path-dependent and usually take several years. Hence, our econometric models include lag structures or dynamic panel techniques (e.g., distributed-lag specifications or GMM estimators) to reflect both short-run and long-run responses, as firms and central banks slowly adjust invoicing and reserve composition.</w:t>
      </w:r>
    </w:p>
    <w:p w14:paraId="5CFAB220" w14:textId="13116327"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Last but not least, there is wide heterogeneity across BRICS members in reserve currency aspirations, depth of financial markets, and institutional settings. China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comprehensive capital controls and RMB depths stand in stark contrast to selective rupee invoicing or dollar-settled commodity trade reliance of India or Brazil; diversity of South Africa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reserve diversification channels also varies significantly. Thus, the analysis estimates country-specific treatment effects and adds interaction terms to enable tariff-invoicing responsiveness to differ between countries. Where possible, we will also have sub-sample analyses (e.g., emerging-market vs. commodity-exporting countries) to control for such structural heterogeneity.</w:t>
      </w:r>
    </w:p>
    <w:p w14:paraId="5EE681D2" w14:textId="0186857C" w:rsidR="0053306C"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lastRenderedPageBreak/>
        <w:t>HISTORICAL CONTEXT &amp; PRECEDENTS</w:t>
      </w:r>
    </w:p>
    <w:p w14:paraId="32B3E59C" w14:textId="380CDBF1"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De-dollarisation, while commonly presented as a recent geopolitical response to American trade policy, is actually more accurately described as one aspect of a long-term historical trend in which leading reserve currencies lose their supremacy over time. The present evolution spearheaded by BRICS states mirrors previous transitions within the global monetary system, most signally the fall of British pound sterling as the world</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dominant reserve and trading currency during the mid-20th century. Before World War II, the supremacy of sterling was based on the United Kingdom</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large colonial presence, deep and liquid capital markets in London, and convertibility of the pound into gold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2011). Nonetheless, wartime debt loads, comparative economic loss, and the repositioning of global industrial and financial influence toward the United States undermined faith in sterling and led to its progressive replacement by the U.S. dollar under the Bretton Woods regime (Schenk, 2010;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&amp; Flandreau, 20</w:t>
      </w:r>
      <w:r w:rsidR="00606E99" w:rsidRPr="00E043EA">
        <w:rPr>
          <w:rFonts w:ascii="Times New Roman" w:hAnsi="Times New Roman" w:cs="Times New Roman"/>
          <w:sz w:val="24"/>
          <w:szCs w:val="24"/>
        </w:rPr>
        <w:t>09</w:t>
      </w:r>
      <w:r w:rsidRPr="00E043EA">
        <w:rPr>
          <w:rFonts w:ascii="Times New Roman" w:hAnsi="Times New Roman" w:cs="Times New Roman"/>
          <w:sz w:val="24"/>
          <w:szCs w:val="24"/>
        </w:rPr>
        <w:t>).</w:t>
      </w:r>
    </w:p>
    <w:p w14:paraId="1DDDD8E3" w14:textId="65B9859B" w:rsidR="005342F8"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The Bretton Woods period</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experience provides significant analogies as well.</w:t>
      </w:r>
      <w:r w:rsidR="005342F8" w:rsidRPr="00E043EA">
        <w:rPr>
          <w:rFonts w:ascii="Times New Roman" w:hAnsi="Times New Roman" w:cs="Times New Roman"/>
          <w:sz w:val="24"/>
          <w:szCs w:val="24"/>
        </w:rPr>
        <w:t xml:space="preserve"> It began operations in 1944 and pegged key currencies to the dollar, which in turn was convertible into gold at $35 per ounce. This placed the dollar on a solid reserve footing but also created structural flaws, like the "Triffin dilemma," where the need to supply international liquidity through American deficits eventually undermined faith in the convertibility of the dollar to gold (Triffin, 1960; </w:t>
      </w:r>
      <w:r w:rsidR="00025A7B" w:rsidRPr="00E043EA">
        <w:rPr>
          <w:rFonts w:ascii="Times New Roman" w:hAnsi="Times New Roman" w:cs="Times New Roman"/>
          <w:sz w:val="24"/>
          <w:szCs w:val="24"/>
        </w:rPr>
        <w:t>Bown, C. P. 2021</w:t>
      </w:r>
      <w:r w:rsidR="005342F8" w:rsidRPr="00E043EA">
        <w:rPr>
          <w:rFonts w:ascii="Times New Roman" w:hAnsi="Times New Roman" w:cs="Times New Roman"/>
          <w:sz w:val="24"/>
          <w:szCs w:val="24"/>
        </w:rPr>
        <w:t>). The final system breakdown in 1971, when President Nixon suspended convertibility of gold, underscored the susceptibility of currency supremacy to shifting macroeconomic and political imperatives (</w:t>
      </w:r>
      <w:proofErr w:type="spellStart"/>
      <w:r w:rsidR="005342F8" w:rsidRPr="00E043EA">
        <w:rPr>
          <w:rFonts w:ascii="Times New Roman" w:hAnsi="Times New Roman" w:cs="Times New Roman"/>
          <w:sz w:val="24"/>
          <w:szCs w:val="24"/>
        </w:rPr>
        <w:t>Helleiner</w:t>
      </w:r>
      <w:proofErr w:type="spellEnd"/>
      <w:r w:rsidR="005342F8" w:rsidRPr="00E043EA">
        <w:rPr>
          <w:rFonts w:ascii="Times New Roman" w:hAnsi="Times New Roman" w:cs="Times New Roman"/>
          <w:sz w:val="24"/>
          <w:szCs w:val="24"/>
        </w:rPr>
        <w:t>, 2014).</w:t>
      </w:r>
    </w:p>
    <w:p w14:paraId="1CA0DD3E" w14:textId="0F56C49C" w:rsidR="005342F8" w:rsidRPr="00E043EA" w:rsidRDefault="005342F8" w:rsidP="008E3029">
      <w:pPr>
        <w:jc w:val="both"/>
        <w:rPr>
          <w:rFonts w:ascii="Times New Roman" w:hAnsi="Times New Roman" w:cs="Times New Roman"/>
          <w:sz w:val="24"/>
          <w:szCs w:val="24"/>
        </w:rPr>
      </w:pPr>
      <w:r w:rsidRPr="00E043EA">
        <w:rPr>
          <w:rFonts w:ascii="Times New Roman" w:hAnsi="Times New Roman" w:cs="Times New Roman"/>
          <w:sz w:val="24"/>
          <w:szCs w:val="24"/>
        </w:rPr>
        <w:t>The post-Bretton Woods world has been marked by the dollar</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continued status as the leading invoicing, payment, and reserve currency, but the past teaches us that such dominance cannot be permanent or unfettered. Examples like the rise of the euro as a major reserve currency during the early 2000s (Chinn &amp; Frankel, 2008), and the increasing usage of the Chinese renminbi for trade settlements post-2010, show that multipolar currency systems can arise if economic and institutional conditions permit. Viewed against this historical background, Latin America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BRICS-promoted de-dollarisation drive, through initiatives like encouraging local currency settlements of trade, building alternate payment systems, and creating currency swap lines, is not at all a tactical response to American tariff actions or financial embargoes. Instead, it can be viewed as a gradual process of reserve currency rotation over the long term, influenced by relative changes in economic power, strategic hedging against financial weaknesses, and pursuit of increased monetary autonomy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2011; Prasad, 2021).</w:t>
      </w:r>
    </w:p>
    <w:p w14:paraId="5F9B26E2" w14:textId="32AD35E2" w:rsidR="005342F8"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IV. BRICS MULTI-CURRENCY DIGITAL SETTLEMENT ARCHITECTURE: DESIGN, GOVERNANCE, AND STRATEGIC OBJECTIVES</w:t>
      </w:r>
    </w:p>
    <w:p w14:paraId="5AD20785" w14:textId="1FACE186" w:rsidR="005342F8" w:rsidRPr="00E043EA" w:rsidRDefault="005342F8" w:rsidP="008E3029">
      <w:pPr>
        <w:jc w:val="both"/>
        <w:rPr>
          <w:rFonts w:ascii="Times New Roman" w:hAnsi="Times New Roman" w:cs="Times New Roman"/>
          <w:sz w:val="24"/>
          <w:szCs w:val="24"/>
        </w:rPr>
      </w:pPr>
      <w:r w:rsidRPr="00E043EA">
        <w:rPr>
          <w:rFonts w:ascii="Times New Roman" w:hAnsi="Times New Roman" w:cs="Times New Roman"/>
          <w:sz w:val="24"/>
          <w:szCs w:val="24"/>
        </w:rPr>
        <w:t>BRICS still hasn</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t adopted a single legal-tender currency, but is proposing a multi-currency settlement architecture in which interoperable payments take precedence over monetary union. The foundation is a suggested BRICS Pay or BRICS Bridge model conceptually aligned with the People</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Bank of China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m-CBDC Bridge that enables member states to directly settle bilateral and multilateral trade in their own domestic currencies, such as the Chinese yuan, Russian </w:t>
      </w:r>
      <w:proofErr w:type="spellStart"/>
      <w:r w:rsidRPr="00E043EA">
        <w:rPr>
          <w:rFonts w:ascii="Times New Roman" w:hAnsi="Times New Roman" w:cs="Times New Roman"/>
          <w:sz w:val="24"/>
          <w:szCs w:val="24"/>
        </w:rPr>
        <w:t>ruble</w:t>
      </w:r>
      <w:proofErr w:type="spellEnd"/>
      <w:r w:rsidRPr="00E043EA">
        <w:rPr>
          <w:rFonts w:ascii="Times New Roman" w:hAnsi="Times New Roman" w:cs="Times New Roman"/>
          <w:sz w:val="24"/>
          <w:szCs w:val="24"/>
        </w:rPr>
        <w:t xml:space="preserve">, Indian rupee, Brazilian real, and South African rand (BIS, 2022; GEBRICS, 2024; Wikipedia, 2025). This system avoids U.S.-dollar clearing networks and the SWIFT system through a decentralized payment messaging layer, facilitating real-time gross settlement </w:t>
      </w:r>
      <w:r w:rsidRPr="00E043EA">
        <w:rPr>
          <w:rFonts w:ascii="Times New Roman" w:hAnsi="Times New Roman" w:cs="Times New Roman"/>
          <w:sz w:val="24"/>
          <w:szCs w:val="24"/>
        </w:rPr>
        <w:lastRenderedPageBreak/>
        <w:t>(RTGS) in central bank digital currency (CBDC) mode (Bank for International Settlements, 2021; Modern Diplomacy, 2024).</w:t>
      </w:r>
    </w:p>
    <w:p w14:paraId="1784BBC1" w14:textId="3D459E9F" w:rsidR="005342F8" w:rsidRPr="00E043EA" w:rsidRDefault="005342F8" w:rsidP="008E3029">
      <w:pPr>
        <w:jc w:val="both"/>
        <w:rPr>
          <w:rFonts w:ascii="Times New Roman" w:hAnsi="Times New Roman" w:cs="Times New Roman"/>
          <w:sz w:val="24"/>
          <w:szCs w:val="24"/>
        </w:rPr>
      </w:pPr>
      <w:r w:rsidRPr="00E043EA">
        <w:rPr>
          <w:rFonts w:ascii="Times New Roman" w:hAnsi="Times New Roman" w:cs="Times New Roman"/>
          <w:sz w:val="24"/>
          <w:szCs w:val="24"/>
        </w:rPr>
        <w:t>In this setup, the exchange rate is not fixed centrally by a supranational monetary institution; rather, terms for conversion are set either by bilateral agreements between the member central banks or algorithmic pricing modules built into the settlement protocol of the platform (GEBRICS, 2024; OMFIF, 2025). Each central bank still retains complete monetary sovereignty in its own currency, to assure that macroeconomic policy and interest rate manipulation are still domestic jurisdictions (BIS, 2022). The system is made to run mostly in the digital space, employing wholesale CBDCs, tokenized bank deposits, or other regulated digital payment instruments, while physical money and coins are left under domestic payment systems and not allowed in cross-border use (Bank for International Settlements, 2021).</w:t>
      </w:r>
    </w:p>
    <w:p w14:paraId="21F8DBD2" w14:textId="37C9700F" w:rsidR="00CD6EF7" w:rsidRPr="00E043EA" w:rsidRDefault="00CD6EF7"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Operational governance is likely to be integrated via the New Development Bank (NDB) as a multi-currency settlement </w:t>
      </w:r>
      <w:r w:rsidR="007F449D" w:rsidRPr="00E043EA">
        <w:rPr>
          <w:rFonts w:ascii="Times New Roman" w:hAnsi="Times New Roman" w:cs="Times New Roman"/>
          <w:sz w:val="24"/>
          <w:szCs w:val="24"/>
        </w:rPr>
        <w:t>centre</w:t>
      </w:r>
      <w:r w:rsidRPr="00E043EA">
        <w:rPr>
          <w:rFonts w:ascii="Times New Roman" w:hAnsi="Times New Roman" w:cs="Times New Roman"/>
          <w:sz w:val="24"/>
          <w:szCs w:val="24"/>
        </w:rPr>
        <w:t xml:space="preserve"> or as an oversight and arbitration forum. Nevertheless, the architecture is intentionally architected to steer clear of single-point control in </w:t>
      </w:r>
      <w:r w:rsidR="007F449D" w:rsidRPr="00E043EA">
        <w:rPr>
          <w:rFonts w:ascii="Times New Roman" w:hAnsi="Times New Roman" w:cs="Times New Roman"/>
          <w:sz w:val="24"/>
          <w:szCs w:val="24"/>
        </w:rPr>
        <w:t>favour</w:t>
      </w:r>
      <w:r w:rsidRPr="00E043EA">
        <w:rPr>
          <w:rFonts w:ascii="Times New Roman" w:hAnsi="Times New Roman" w:cs="Times New Roman"/>
          <w:sz w:val="24"/>
          <w:szCs w:val="24"/>
        </w:rPr>
        <w:t xml:space="preserve"> of distributed ledger technologies (DLT) or interoperable RTGS platforms hosted by cooperating central banks (GEBRICS, 2024; Modern Diplomacy, 2024). This decentralization aims to ease geopolitical exposure and systemic risk</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two of the main reasons behind BRICS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drive towards payment sovereignty (OMFIF, 2025). As of mid-2025, the proposals are still undergoing technical and diplomatic consideration, with finance ministers and central bank governors requiring the setting of legal, cybersecurity, and interoperability standards before rollout (Economic Times, 2024; Wikipedia, 2025).</w:t>
      </w:r>
    </w:p>
    <w:p w14:paraId="1EE7598A" w14:textId="1AFD1B6D" w:rsidR="00CD6EF7" w:rsidRPr="00E043EA" w:rsidRDefault="00CD6EF7"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Drivers of De-Dollarisation in the BRICS Bloc: Beyond U.S. Tariff Pressures</w:t>
      </w:r>
    </w:p>
    <w:p w14:paraId="6500EDF1" w14:textId="0EC160BB" w:rsidR="00CD6EF7" w:rsidRPr="00E043EA" w:rsidRDefault="00CD6EF7" w:rsidP="008E3029">
      <w:pPr>
        <w:jc w:val="both"/>
        <w:rPr>
          <w:rFonts w:ascii="Times New Roman" w:hAnsi="Times New Roman" w:cs="Times New Roman"/>
          <w:sz w:val="24"/>
          <w:szCs w:val="24"/>
        </w:rPr>
      </w:pPr>
      <w:r w:rsidRPr="00E043EA">
        <w:rPr>
          <w:rFonts w:ascii="Times New Roman" w:hAnsi="Times New Roman" w:cs="Times New Roman"/>
          <w:sz w:val="24"/>
          <w:szCs w:val="24"/>
        </w:rPr>
        <w:t>The global monetary order is being structurally rearranged as emerging markets, led by the BRICS countries (Brazil, Russia, India, China, and South Africa), step up drives for de-dollarisation</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a strategic move away from the use of the U.S. dollar in invoicing of trade, reserve assets, and financial settlements. Even though rising U.S. tariff actions have picked up the pace, the compelling drivers of this change go way beyond trade tensions. Drivers like the search for monetary sovereignty, reduction of vulnerability to U.S. financial sanctions, diversification of reserves, and evolution of alternative payment infrastructure are reconfiguring BRICS economies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currency choices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2011). Further, the internationalization of China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renminbi as a credible settlement currency, together with increasing intra-BRICS trade and financial integration, is indicative of a larger geopolitical and geo-economic realignment (Prasad, 2021). </w:t>
      </w:r>
      <w:r w:rsidR="007F449D" w:rsidRPr="00E043EA">
        <w:rPr>
          <w:rFonts w:ascii="Times New Roman" w:hAnsi="Times New Roman" w:cs="Times New Roman"/>
          <w:sz w:val="24"/>
          <w:szCs w:val="24"/>
        </w:rPr>
        <w:t>This dynamic</w:t>
      </w:r>
      <w:r w:rsidRPr="00E043EA">
        <w:rPr>
          <w:rFonts w:ascii="Times New Roman" w:hAnsi="Times New Roman" w:cs="Times New Roman"/>
          <w:sz w:val="24"/>
          <w:szCs w:val="24"/>
        </w:rPr>
        <w:t xml:space="preserve"> implies not just a reactionary move toward protectionist trade policies, but, rather a deliberate, long-term strategy for rebalancing the global monetary order.</w:t>
      </w:r>
    </w:p>
    <w:p w14:paraId="2F740F36" w14:textId="407151C3" w:rsidR="00D05459" w:rsidRPr="00E043EA" w:rsidRDefault="00D05459"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1. Rising Geopolitical Tensions and Strategic Autonomy</w:t>
      </w:r>
    </w:p>
    <w:p w14:paraId="2FE94BB8" w14:textId="0A7F9F14" w:rsidR="00D05459" w:rsidRPr="00E043EA" w:rsidRDefault="00D05459" w:rsidP="008E3029">
      <w:pPr>
        <w:jc w:val="both"/>
        <w:rPr>
          <w:rFonts w:ascii="Times New Roman" w:hAnsi="Times New Roman" w:cs="Times New Roman"/>
          <w:sz w:val="24"/>
          <w:szCs w:val="24"/>
        </w:rPr>
      </w:pPr>
      <w:r w:rsidRPr="00E043EA">
        <w:rPr>
          <w:rFonts w:ascii="Times New Roman" w:hAnsi="Times New Roman" w:cs="Times New Roman"/>
          <w:sz w:val="24"/>
          <w:szCs w:val="24"/>
        </w:rPr>
        <w:t>One of the strongest motivations for de-dollarisation in BRICS economies is limiting their geopolitical and U.S. unilateral sanctions exposure. The weaponisation of the U.S. dollar through the blocking of access to SWIFT, freezing assets, and banning trade has triggered developing economies to seek monetary sovereignty. By lowering dependence on the American dollar, the members of BRICS seek to shield their economies from foreign political pressure and reduce systemic risk related to U.S. foreign policy). This decoupling strategy is viewed as a long-term insurance against an uncertain international order.</w:t>
      </w:r>
    </w:p>
    <w:p w14:paraId="502D4BF6" w14:textId="77777777" w:rsidR="00D05459" w:rsidRPr="00E043EA" w:rsidRDefault="00D05459"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2. Diversification of Trade and Bilateral Currency Agreements </w:t>
      </w:r>
    </w:p>
    <w:p w14:paraId="3A3813DC" w14:textId="3208668F" w:rsidR="00D05459" w:rsidRPr="00E043EA" w:rsidRDefault="00D05459"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A second driver for de-dollarisation is the movement towards regional trade pacts and bilateral settlement facilities. BRICS economies have increasingly invoiced local trade in local currency, particularly for energy, commodity, and manufactured goods trade, to avoid dollar-based settlement channels (Prasad, 2023). This is underpinned by central bank currency swap facilities, which lower transactional costs and foreign exchange volatility and increase regional financial integration. Such arrangements not only reduce the dependence on the U.S. dollar but also increase intra-BRICS trade efficiency.</w:t>
      </w:r>
    </w:p>
    <w:p w14:paraId="6417A882" w14:textId="77777777" w:rsidR="00995A26" w:rsidRPr="00E043EA" w:rsidRDefault="00995A26"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3. American Tariff Policies and Economic Nationalism </w:t>
      </w:r>
    </w:p>
    <w:p w14:paraId="23CDA262" w14:textId="549ABEAF" w:rsidR="00995A26"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The use of punitive tariffs by the U.S. on BRICS exports, particularly China, India, and Brazil, has created the urgency to move away from dollar dependence. Tariffs raise the cost of exports to the U.S., weakening competitiveness and encouraging exporters to switch to other markets where trade can be done in local or third-party currencies (</w:t>
      </w:r>
      <w:r w:rsidR="00025A7B" w:rsidRPr="00E043EA">
        <w:rPr>
          <w:rFonts w:ascii="Times New Roman" w:hAnsi="Times New Roman" w:cs="Times New Roman"/>
          <w:sz w:val="24"/>
          <w:szCs w:val="24"/>
        </w:rPr>
        <w:t>García-Corchero, J. D., &amp; Jiménez-Rubio</w:t>
      </w:r>
      <w:r w:rsidRPr="00E043EA">
        <w:rPr>
          <w:rFonts w:ascii="Times New Roman" w:hAnsi="Times New Roman" w:cs="Times New Roman"/>
          <w:sz w:val="24"/>
          <w:szCs w:val="24"/>
        </w:rPr>
        <w:t>, 2022). In addition, uncertainty in tariffs generates exchange rate volatility, which renders the dollar undesirable for long-term trade agreements (</w:t>
      </w:r>
      <w:proofErr w:type="spellStart"/>
      <w:r w:rsidR="00606E99" w:rsidRPr="00E043EA">
        <w:rPr>
          <w:rFonts w:ascii="Times New Roman" w:hAnsi="Times New Roman" w:cs="Times New Roman"/>
          <w:sz w:val="24"/>
          <w:szCs w:val="24"/>
        </w:rPr>
        <w:t>Bleaney</w:t>
      </w:r>
      <w:proofErr w:type="spellEnd"/>
      <w:r w:rsidR="00606E99" w:rsidRPr="00E043EA">
        <w:rPr>
          <w:rFonts w:ascii="Times New Roman" w:hAnsi="Times New Roman" w:cs="Times New Roman"/>
          <w:sz w:val="24"/>
          <w:szCs w:val="24"/>
        </w:rPr>
        <w:t>, M., &amp; Tian, M. 2023</w:t>
      </w:r>
      <w:r w:rsidRPr="00E043EA">
        <w:rPr>
          <w:rFonts w:ascii="Times New Roman" w:hAnsi="Times New Roman" w:cs="Times New Roman"/>
          <w:sz w:val="24"/>
          <w:szCs w:val="24"/>
        </w:rPr>
        <w:t>). This has accelerated BRICS policy deliberations regarding the establishment of a common settlement currency.</w:t>
      </w:r>
    </w:p>
    <w:p w14:paraId="3EA3D0AD" w14:textId="77777777" w:rsidR="00995A26" w:rsidRPr="00E043EA" w:rsidRDefault="00995A26"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4. Financial System Resilience and Risk Mitigation </w:t>
      </w:r>
    </w:p>
    <w:p w14:paraId="29E73140" w14:textId="1D586FC7" w:rsidR="00995A26"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BRICS countries view dollar-dominated system as a structural weakness that exposes them to spillovers of U.S. monetary policy. For instance, aggressive interest rate tightening by the Federal Reserve tends to precipitate capital flight, currency devaluation, and inflation pressures in emerging economies (Rey, 2015). De-dollarisation efforts, including the creation of domestic bond markets and employing other reserve currencies such as the euro, yuan, or gold, are measures to increase macroeconomic stability (</w:t>
      </w:r>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Cheung, &amp; Ito, 20</w:t>
      </w:r>
      <w:r w:rsidR="00776B37" w:rsidRPr="00E043EA">
        <w:rPr>
          <w:rFonts w:ascii="Times New Roman" w:hAnsi="Times New Roman" w:cs="Times New Roman"/>
          <w:sz w:val="24"/>
          <w:szCs w:val="24"/>
        </w:rPr>
        <w:t>19</w:t>
      </w:r>
      <w:r w:rsidRPr="00E043EA">
        <w:rPr>
          <w:rFonts w:ascii="Times New Roman" w:hAnsi="Times New Roman" w:cs="Times New Roman"/>
          <w:sz w:val="24"/>
          <w:szCs w:val="24"/>
        </w:rPr>
        <w:t>). Reducing dollar exposure helps BRICS nations to control external shocks better.</w:t>
      </w:r>
    </w:p>
    <w:p w14:paraId="4D29A127" w14:textId="77777777" w:rsidR="00995A26" w:rsidRPr="00E043EA" w:rsidRDefault="00995A26"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5. Technological Innovation and Alternative Payment Systems </w:t>
      </w:r>
    </w:p>
    <w:p w14:paraId="481B8DBD" w14:textId="12DA9082" w:rsidR="00D05459"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Advances in technology have made it possible for BRICS member states to create and implement substitute cross-border payments systems evading U.S. control. The Russia SPFS, China CIPS, and India UPI integration of international transactions are cases in point. These systems alleviate SWIFT dependency and enable settlements in currencies other than the dollar, effectively confronting the U.S. structural monopoly in international finance. Central bank-issued digital currencies (CBDCs) extend further the universe of de-dollarisation by providing secure, state-governed settlement options.</w:t>
      </w:r>
    </w:p>
    <w:p w14:paraId="60D2243A" w14:textId="77777777" w:rsidR="002F658A" w:rsidRPr="00E043EA" w:rsidRDefault="002F658A" w:rsidP="007F449D">
      <w:pPr>
        <w:jc w:val="center"/>
        <w:rPr>
          <w:rFonts w:ascii="Times New Roman" w:hAnsi="Times New Roman" w:cs="Times New Roman"/>
          <w:b/>
          <w:bCs/>
          <w:sz w:val="24"/>
          <w:szCs w:val="24"/>
        </w:rPr>
      </w:pPr>
    </w:p>
    <w:p w14:paraId="2B89B160" w14:textId="77777777" w:rsidR="002F658A" w:rsidRPr="00E043EA" w:rsidRDefault="002F658A" w:rsidP="007F449D">
      <w:pPr>
        <w:jc w:val="center"/>
        <w:rPr>
          <w:rFonts w:ascii="Times New Roman" w:hAnsi="Times New Roman" w:cs="Times New Roman"/>
          <w:b/>
          <w:bCs/>
          <w:sz w:val="24"/>
          <w:szCs w:val="24"/>
        </w:rPr>
      </w:pPr>
    </w:p>
    <w:p w14:paraId="6859E1CD" w14:textId="78C4A8B9" w:rsidR="00995A26"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V. DISCUSSION AND CONCLUSION</w:t>
      </w:r>
    </w:p>
    <w:p w14:paraId="26ADDE76" w14:textId="1B3B2078" w:rsidR="00995A26"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There is increasing empirical evidence to support that de-dollarisation in BRICS is not just talk but supported by observable changes in reserve portfolios, cross-border payments, and institutional frameworks. IMF figures illustrate a slow reduction in the dollar</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percentage of world foreign exchange reserves</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about 71% in 1999 to 59% in 2021 (</w:t>
      </w:r>
      <w:proofErr w:type="spellStart"/>
      <w:r w:rsidRPr="00E043EA">
        <w:rPr>
          <w:rFonts w:ascii="Times New Roman" w:hAnsi="Times New Roman" w:cs="Times New Roman"/>
          <w:sz w:val="24"/>
          <w:szCs w:val="24"/>
        </w:rPr>
        <w:t>dedollarisation</w:t>
      </w:r>
      <w:proofErr w:type="spellEnd"/>
      <w:r w:rsidRPr="00E043EA">
        <w:rPr>
          <w:rFonts w:ascii="Times New Roman" w:hAnsi="Times New Roman" w:cs="Times New Roman"/>
          <w:sz w:val="24"/>
          <w:szCs w:val="24"/>
        </w:rPr>
        <w:t xml:space="preserve"> section, 2025). This decline has not all gone to the benefit of traditional reserve units such as the euro or yen but instead to smaller currencies such as the Chinese renminbi, Australian dollar, and </w:t>
      </w:r>
      <w:r w:rsidRPr="00E043EA">
        <w:rPr>
          <w:rFonts w:ascii="Times New Roman" w:hAnsi="Times New Roman" w:cs="Times New Roman"/>
          <w:sz w:val="24"/>
          <w:szCs w:val="24"/>
        </w:rPr>
        <w:lastRenderedPageBreak/>
        <w:t>Canadian dollar, which together gained percentage (</w:t>
      </w:r>
      <w:proofErr w:type="spellStart"/>
      <w:r w:rsidRPr="00E043EA">
        <w:rPr>
          <w:rFonts w:ascii="Times New Roman" w:hAnsi="Times New Roman" w:cs="Times New Roman"/>
          <w:sz w:val="24"/>
          <w:szCs w:val="24"/>
        </w:rPr>
        <w:t>dedollarisation</w:t>
      </w:r>
      <w:proofErr w:type="spellEnd"/>
      <w:r w:rsidRPr="00E043EA">
        <w:rPr>
          <w:rFonts w:ascii="Times New Roman" w:hAnsi="Times New Roman" w:cs="Times New Roman"/>
          <w:sz w:val="24"/>
          <w:szCs w:val="24"/>
        </w:rPr>
        <w:t xml:space="preserve"> section, 2025). These changes represent a planned diversification strategy by central banks from sole dependence on the dollar, consistent with longer-term structural forces rather than short-term policy communication. While there are scarce detailed journal-article references on BIS cross-border payments in BRICS currencies due to data-access limitations, the IMF working paper of Perez-Saiz, Zhang, and Iyer (2023) highlights that adoption of non-USD settlement currencies has high persistence and is influenced by legal-tender regimes, geographic proximity, and political alignment. Swap lines and offshore clearing banks help enormously enhance the usage of RMB in cross-border payments (Perez-Saiz et al., 2023).</w:t>
      </w:r>
    </w:p>
    <w:p w14:paraId="3CB3D88B" w14:textId="2F43EC98" w:rsidR="00D05459" w:rsidRPr="00E043EA" w:rsidRDefault="0077774D" w:rsidP="008E3029">
      <w:pPr>
        <w:jc w:val="both"/>
        <w:rPr>
          <w:rFonts w:ascii="Times New Roman" w:hAnsi="Times New Roman" w:cs="Times New Roman"/>
          <w:sz w:val="24"/>
          <w:szCs w:val="24"/>
        </w:rPr>
      </w:pPr>
      <w:r w:rsidRPr="00E043EA">
        <w:rPr>
          <w:rFonts w:ascii="Times New Roman" w:hAnsi="Times New Roman" w:cs="Times New Roman"/>
          <w:sz w:val="24"/>
          <w:szCs w:val="24"/>
        </w:rPr>
        <w:t>This reflects previous evidence that RMB swap arrangements increase its invoicing percentage (Song &amp; Xia, 2020;). Such evidence together shows that Beijing</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bilateral swap arrangements and clearing facilities materially propel RMB-based settlement of trade, as suggested by empirical SWIFT-based trends. The BRICS Contingent Reserve Agreement (CRA), which has been in operation since 2015, institutionalizes a $100 billion liquidity-swap facility designed to stabilize member economies under external shocks (BRICS CRA, 2025)⁠. Independent analysis indicates that bilateral swap arrangements (BSAs) move with rising global volatility indices such as the VIX, implying they play liquidity insurance and trade facilitation functions (IMF Working Paper, 2024)⁠. In addition, these swap lines have empirical impacts: Song and Xia (2020) discover that </w:t>
      </w:r>
      <w:proofErr w:type="spellStart"/>
      <w:r w:rsidRPr="00E043EA">
        <w:rPr>
          <w:rFonts w:ascii="Times New Roman" w:hAnsi="Times New Roman" w:cs="Times New Roman"/>
          <w:sz w:val="24"/>
          <w:szCs w:val="24"/>
        </w:rPr>
        <w:t>PBoC</w:t>
      </w:r>
      <w:proofErr w:type="spellEnd"/>
      <w:r w:rsidRPr="00E043EA">
        <w:rPr>
          <w:rFonts w:ascii="Times New Roman" w:hAnsi="Times New Roman" w:cs="Times New Roman"/>
          <w:sz w:val="24"/>
          <w:szCs w:val="24"/>
        </w:rPr>
        <w:t xml:space="preserve"> swap lines actually raised RMB</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proportion of SWIFT payments and BIS-measured invoicing in trade, reinforcing their function as tools for real de-dollarisation.</w:t>
      </w:r>
    </w:p>
    <w:p w14:paraId="027F29A8" w14:textId="1A19A8FC" w:rsidR="0077774D" w:rsidRPr="00E043EA" w:rsidRDefault="0077774D" w:rsidP="008E3029">
      <w:pPr>
        <w:jc w:val="both"/>
        <w:rPr>
          <w:rFonts w:ascii="Times New Roman" w:hAnsi="Times New Roman" w:cs="Times New Roman"/>
          <w:sz w:val="24"/>
          <w:szCs w:val="24"/>
        </w:rPr>
      </w:pPr>
      <w:r w:rsidRPr="00E043EA">
        <w:rPr>
          <w:rFonts w:ascii="Times New Roman" w:hAnsi="Times New Roman" w:cs="Times New Roman"/>
          <w:sz w:val="24"/>
          <w:szCs w:val="24"/>
        </w:rPr>
        <w:t>The collated empirical evidence presents de-dollarisation as a slow, multi-dimensional realignment, rather than a rapid regime change. In the first place, central banks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reserve holdings diversification (COFER statistics) alerts us to long-term hedging against dollar-dominated vulnerabilities</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more a function of structural policy than temporary geopolitical gesture. In the second place, cross-border payment statistics, while still underdeveloped for most BRICS currencies, indicate that swap infrastructure and legal frameworks substantially support non-USD invoicing</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especially in the case of the RMB. Third, institutional platforms such as the CRA and bilateral swap arrangements signal a progressively formalized framework for currency collaboration between emerging economies. Tariffs and sanctions reinforce de-dollarisation incentives. High tariff environments or threats of sanctions serve as triggers, prompting policymakers to harden local-currency settlement regimes and diversify foreign exchange exposures. However, the empirical evidence indicates this response is opportunistic, not transformative</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the long-term change hinges on the long-term development of liquidity, convertibility, and financial infrastructure in the alternative currencies.</w:t>
      </w:r>
    </w:p>
    <w:p w14:paraId="1C62A159" w14:textId="6FB97434" w:rsidR="00A06851" w:rsidRPr="00E043EA" w:rsidRDefault="00A06851" w:rsidP="008E3029">
      <w:pPr>
        <w:jc w:val="both"/>
        <w:rPr>
          <w:rFonts w:ascii="Times New Roman" w:hAnsi="Times New Roman" w:cs="Times New Roman"/>
          <w:sz w:val="24"/>
          <w:szCs w:val="24"/>
        </w:rPr>
      </w:pPr>
      <w:r w:rsidRPr="00E043EA">
        <w:rPr>
          <w:rFonts w:ascii="Times New Roman" w:hAnsi="Times New Roman" w:cs="Times New Roman"/>
          <w:sz w:val="24"/>
          <w:szCs w:val="24"/>
        </w:rPr>
        <w:t>The macroeconomic and trade effects of de-dollarisation in BRICS nations are far-reaching, affecting exchange rate phenomena, trade flows, and pricing systems within international trade. Shifting away from the U.S. dollar as the most widely used invoicing currency enhances dependence on bilateral exchange rates between BRICS currencies, which are less liquid and more volatile, thus perhaps increasing short-run price volatility in international trade (Ito &amp; Chinn, 201</w:t>
      </w:r>
      <w:r w:rsidR="006B56D3" w:rsidRPr="00E043EA">
        <w:rPr>
          <w:rFonts w:ascii="Times New Roman" w:hAnsi="Times New Roman" w:cs="Times New Roman"/>
          <w:sz w:val="24"/>
          <w:szCs w:val="24"/>
        </w:rPr>
        <w:t>3</w:t>
      </w:r>
      <w:r w:rsidRPr="00E043EA">
        <w:rPr>
          <w:rFonts w:ascii="Times New Roman" w:hAnsi="Times New Roman" w:cs="Times New Roman"/>
          <w:sz w:val="24"/>
          <w:szCs w:val="24"/>
        </w:rPr>
        <w:t xml:space="preserve">; </w:t>
      </w:r>
      <w:r w:rsidR="006B56D3" w:rsidRPr="00E043EA">
        <w:rPr>
          <w:rFonts w:ascii="Times New Roman" w:hAnsi="Times New Roman" w:cs="Times New Roman"/>
          <w:sz w:val="24"/>
          <w:szCs w:val="24"/>
        </w:rPr>
        <w:t>Shapiro, J. S. 2021</w:t>
      </w:r>
      <w:r w:rsidRPr="00E043EA">
        <w:rPr>
          <w:rFonts w:ascii="Times New Roman" w:hAnsi="Times New Roman" w:cs="Times New Roman"/>
          <w:sz w:val="24"/>
          <w:szCs w:val="24"/>
        </w:rPr>
        <w:t xml:space="preserve">). Although such a change might minimize exposure to U.S. monetary policy spillovers as well as the global financial cycle (Rey, 2015), it might also increase the costs of transactions and hedging requirements during the period of transition. On the trade side, local currency settlement mechanisms and regional payment mechanisms can facilitate intra-BRICS trade by reducing conversion costs and minimizing exposure to </w:t>
      </w:r>
      <w:r w:rsidRPr="00E043EA">
        <w:rPr>
          <w:rFonts w:ascii="Times New Roman" w:hAnsi="Times New Roman" w:cs="Times New Roman"/>
          <w:sz w:val="24"/>
          <w:szCs w:val="24"/>
        </w:rPr>
        <w:lastRenderedPageBreak/>
        <w:t xml:space="preserve">shortages of dollars and thus facilitating trade diversion to South–South economic networks (Prasad, 2021;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Mehl</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Chitu</w:t>
      </w:r>
      <w:proofErr w:type="spellEnd"/>
      <w:r w:rsidRPr="00E043EA">
        <w:rPr>
          <w:rFonts w:ascii="Times New Roman" w:hAnsi="Times New Roman" w:cs="Times New Roman"/>
          <w:sz w:val="24"/>
          <w:szCs w:val="24"/>
        </w:rPr>
        <w:t>, 2017). From a price perspective, de-dollarisation undermines the prevailing currency price discipline whereby the U.S. dollar enables exporters to price stably around the world while transferring exchange rate risks to importers (Gopinath, 201</w:t>
      </w:r>
      <w:r w:rsidR="006B56D3" w:rsidRPr="00E043EA">
        <w:rPr>
          <w:rFonts w:ascii="Times New Roman" w:hAnsi="Times New Roman" w:cs="Times New Roman"/>
          <w:sz w:val="24"/>
          <w:szCs w:val="24"/>
        </w:rPr>
        <w:t>5</w:t>
      </w:r>
      <w:r w:rsidRPr="00E043EA">
        <w:rPr>
          <w:rFonts w:ascii="Times New Roman" w:hAnsi="Times New Roman" w:cs="Times New Roman"/>
          <w:sz w:val="24"/>
          <w:szCs w:val="24"/>
        </w:rPr>
        <w:t xml:space="preserve">). By denominating trade in their own or other currencies, BRICS exporters can regain more pricing power and control over trade but, at the same time, take on more exchange rate risk and adjust to higher potential market volatility (Goldberg &amp; Tille, 2008; Casas, Diez, Gopinath, &amp; </w:t>
      </w:r>
      <w:proofErr w:type="spellStart"/>
      <w:r w:rsidRPr="00E043EA">
        <w:rPr>
          <w:rFonts w:ascii="Times New Roman" w:hAnsi="Times New Roman" w:cs="Times New Roman"/>
          <w:sz w:val="24"/>
          <w:szCs w:val="24"/>
        </w:rPr>
        <w:t>Gourinchas</w:t>
      </w:r>
      <w:proofErr w:type="spellEnd"/>
      <w:r w:rsidRPr="00E043EA">
        <w:rPr>
          <w:rFonts w:ascii="Times New Roman" w:hAnsi="Times New Roman" w:cs="Times New Roman"/>
          <w:sz w:val="24"/>
          <w:szCs w:val="24"/>
        </w:rPr>
        <w:t>, 201</w:t>
      </w:r>
      <w:r w:rsidR="00BD0863" w:rsidRPr="00E043EA">
        <w:rPr>
          <w:rFonts w:ascii="Times New Roman" w:hAnsi="Times New Roman" w:cs="Times New Roman"/>
          <w:sz w:val="24"/>
          <w:szCs w:val="24"/>
        </w:rPr>
        <w:t>7</w:t>
      </w:r>
      <w:r w:rsidRPr="00E043EA">
        <w:rPr>
          <w:rFonts w:ascii="Times New Roman" w:hAnsi="Times New Roman" w:cs="Times New Roman"/>
          <w:sz w:val="24"/>
          <w:szCs w:val="24"/>
        </w:rPr>
        <w:t>). Generally, successful de-dollarisation could add to the long-term monetary sovereignty of BRICS economies, yet the transition period will see volatility in trade flows, patterns of capital movements, and exposures on company balance sheets.</w:t>
      </w:r>
    </w:p>
    <w:p w14:paraId="26C8B6BD" w14:textId="5E8ECCC9" w:rsidR="00A06851" w:rsidRPr="00E043EA" w:rsidRDefault="00A06851" w:rsidP="008E3029">
      <w:pPr>
        <w:jc w:val="both"/>
        <w:rPr>
          <w:rFonts w:ascii="Times New Roman" w:hAnsi="Times New Roman" w:cs="Times New Roman"/>
          <w:sz w:val="24"/>
          <w:szCs w:val="24"/>
        </w:rPr>
      </w:pPr>
      <w:r w:rsidRPr="00E043EA">
        <w:rPr>
          <w:rFonts w:ascii="Times New Roman" w:hAnsi="Times New Roman" w:cs="Times New Roman"/>
          <w:sz w:val="24"/>
          <w:szCs w:val="24"/>
        </w:rPr>
        <w:t>The argument of whether de-dollarisation is a viable long-term substitute for dollar supremacy or a case of political and transactional hedging depends on the continuation of structural benefits supporting the U.S. dollar in the world financial system. The dollar’s embedded position is supported by well-developed and liquid U.S. capital markets, the depth of its use in trade invoicing and settlement, and its status as a safe-haven currency in times of uncertainty characteristics that create strong network externalities that are not easily matched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Mehl</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Chitu</w:t>
      </w:r>
      <w:proofErr w:type="spellEnd"/>
      <w:r w:rsidRPr="00E043EA">
        <w:rPr>
          <w:rFonts w:ascii="Times New Roman" w:hAnsi="Times New Roman" w:cs="Times New Roman"/>
          <w:sz w:val="24"/>
          <w:szCs w:val="24"/>
        </w:rPr>
        <w:t>, 2017; Gopinath, 201</w:t>
      </w:r>
      <w:r w:rsidR="006B56D3" w:rsidRPr="00E043EA">
        <w:rPr>
          <w:rFonts w:ascii="Times New Roman" w:hAnsi="Times New Roman" w:cs="Times New Roman"/>
          <w:sz w:val="24"/>
          <w:szCs w:val="24"/>
        </w:rPr>
        <w:t>5</w:t>
      </w:r>
      <w:r w:rsidRPr="00E043EA">
        <w:rPr>
          <w:rFonts w:ascii="Times New Roman" w:hAnsi="Times New Roman" w:cs="Times New Roman"/>
          <w:sz w:val="24"/>
          <w:szCs w:val="24"/>
        </w:rPr>
        <w:t>). While some recent BRICS measures, such as local-currency trade settlements, bilateral currency swaps, and the establishment of alternative payment systems, herald a collective push towards dollar independence, they are still predominantly regional in nature and are not yet backed by the depth of institutions and market infrastructure needed to propel them globally (Prasad, 2021; Ito &amp; Chinn, 201</w:t>
      </w:r>
      <w:r w:rsidR="006B56D3" w:rsidRPr="00E043EA">
        <w:rPr>
          <w:rFonts w:ascii="Times New Roman" w:hAnsi="Times New Roman" w:cs="Times New Roman"/>
          <w:sz w:val="24"/>
          <w:szCs w:val="24"/>
        </w:rPr>
        <w:t>3</w:t>
      </w:r>
      <w:r w:rsidRPr="00E043EA">
        <w:rPr>
          <w:rFonts w:ascii="Times New Roman" w:hAnsi="Times New Roman" w:cs="Times New Roman"/>
          <w:sz w:val="24"/>
          <w:szCs w:val="24"/>
        </w:rPr>
        <w:t>). On the medium to short term, a lot of observed de-dollarisation activity also serves the purpose of geopolitical and financial risk hedging, the objective of which is to provide shelter to economies from the extraterritorial application of U.S. sanctions and spillovers from the monetary policy of the U.S., rather than signalling an outright dollar substitution (Rey, 2015). On the longer timescale, de-dollarisation may be possible as a movement towards a more multipolar currency environment, but this would necessitate sustained policy credibility, real improvements in financial market depth in alternative currencies, and a general reconfiguration of global reserve management practice. In light of these structural facts, de-dollarisation is rather more credibly regarded as an incremental diversification process than as some near-term displacement of dollar hegemony.</w:t>
      </w:r>
    </w:p>
    <w:p w14:paraId="0DBF8BA2" w14:textId="3E55A583" w:rsidR="002F658A" w:rsidRDefault="00A06851" w:rsidP="002F658A">
      <w:pPr>
        <w:jc w:val="both"/>
        <w:rPr>
          <w:rFonts w:ascii="Times New Roman" w:hAnsi="Times New Roman" w:cs="Times New Roman"/>
          <w:sz w:val="24"/>
          <w:szCs w:val="24"/>
        </w:rPr>
      </w:pPr>
      <w:r w:rsidRPr="00E043EA">
        <w:rPr>
          <w:rFonts w:ascii="Times New Roman" w:hAnsi="Times New Roman" w:cs="Times New Roman"/>
          <w:sz w:val="24"/>
          <w:szCs w:val="24"/>
        </w:rPr>
        <w:t>To conclude</w:t>
      </w:r>
      <w:r w:rsidR="008E3029" w:rsidRPr="00E043EA">
        <w:rPr>
          <w:rFonts w:ascii="Times New Roman" w:hAnsi="Times New Roman" w:cs="Times New Roman"/>
          <w:sz w:val="24"/>
          <w:szCs w:val="24"/>
        </w:rPr>
        <w:t xml:space="preserve">, the future depends on deepening non-USD-denominated financial markets, improving institutional integration (e.g., via augmented swap networks or interoperate payment systems), and spreading confidence and liquidity in the currencies. Absent that underlying development, dollar dominance will likely continue. But the empirical signposts currently </w:t>
      </w:r>
      <w:r w:rsidR="007F449D" w:rsidRPr="00E043EA">
        <w:rPr>
          <w:rFonts w:ascii="Times New Roman" w:hAnsi="Times New Roman" w:cs="Times New Roman"/>
          <w:sz w:val="24"/>
          <w:szCs w:val="24"/>
        </w:rPr>
        <w:t>available reserve</w:t>
      </w:r>
      <w:r w:rsidR="008E3029" w:rsidRPr="00E043EA">
        <w:rPr>
          <w:rFonts w:ascii="Times New Roman" w:hAnsi="Times New Roman" w:cs="Times New Roman"/>
          <w:sz w:val="24"/>
          <w:szCs w:val="24"/>
        </w:rPr>
        <w:t xml:space="preserve"> movements, swap effects on RMB invoicing, the CRA </w:t>
      </w:r>
      <w:r w:rsidR="007F449D" w:rsidRPr="00E043EA">
        <w:rPr>
          <w:rFonts w:ascii="Times New Roman" w:hAnsi="Times New Roman" w:cs="Times New Roman"/>
          <w:sz w:val="24"/>
          <w:szCs w:val="24"/>
        </w:rPr>
        <w:t>infrastructure are</w:t>
      </w:r>
      <w:r w:rsidR="008E3029" w:rsidRPr="00E043EA">
        <w:rPr>
          <w:rFonts w:ascii="Times New Roman" w:hAnsi="Times New Roman" w:cs="Times New Roman"/>
          <w:sz w:val="24"/>
          <w:szCs w:val="24"/>
        </w:rPr>
        <w:t xml:space="preserve"> consistent with a gradual structural shift toward a more diversified monetary order.</w:t>
      </w:r>
    </w:p>
    <w:p w14:paraId="76BB684E" w14:textId="0E9D70C0" w:rsidR="00515815" w:rsidRDefault="00515815" w:rsidP="002F658A">
      <w:pPr>
        <w:jc w:val="both"/>
        <w:rPr>
          <w:rFonts w:ascii="Times New Roman" w:hAnsi="Times New Roman" w:cs="Times New Roman"/>
          <w:sz w:val="24"/>
          <w:szCs w:val="24"/>
        </w:rPr>
      </w:pPr>
    </w:p>
    <w:p w14:paraId="48FB2554" w14:textId="65D3EE77" w:rsidR="00515815" w:rsidRDefault="00515815" w:rsidP="002F658A">
      <w:pPr>
        <w:jc w:val="both"/>
        <w:rPr>
          <w:rFonts w:ascii="Times New Roman" w:hAnsi="Times New Roman" w:cs="Times New Roman"/>
          <w:sz w:val="24"/>
          <w:szCs w:val="24"/>
        </w:rPr>
      </w:pPr>
    </w:p>
    <w:p w14:paraId="0E703B1A" w14:textId="02980F31" w:rsidR="00515815" w:rsidRDefault="00515815" w:rsidP="002F658A">
      <w:pPr>
        <w:jc w:val="both"/>
        <w:rPr>
          <w:rFonts w:ascii="Times New Roman" w:hAnsi="Times New Roman" w:cs="Times New Roman"/>
          <w:sz w:val="24"/>
          <w:szCs w:val="24"/>
        </w:rPr>
      </w:pPr>
    </w:p>
    <w:p w14:paraId="6ACE2091" w14:textId="77777777" w:rsidR="00515815" w:rsidRPr="00576E6A" w:rsidRDefault="00515815" w:rsidP="00515815">
      <w:pPr>
        <w:rPr>
          <w:b/>
          <w:bCs/>
          <w:i/>
          <w:iCs/>
          <w:highlight w:val="yellow"/>
        </w:rPr>
      </w:pPr>
      <w:bookmarkStart w:id="1" w:name="_Hlk190852809"/>
      <w:r w:rsidRPr="00576E6A">
        <w:rPr>
          <w:b/>
          <w:bCs/>
          <w:i/>
          <w:iCs/>
          <w:highlight w:val="yellow"/>
        </w:rPr>
        <w:t>Disclaimer (Artificial intelligence)</w:t>
      </w:r>
    </w:p>
    <w:p w14:paraId="0386CD77" w14:textId="3FCAB0EB" w:rsidR="00515815" w:rsidRPr="00576E6A" w:rsidRDefault="00515815" w:rsidP="00576E6A">
      <w:pPr>
        <w:jc w:val="both"/>
        <w:rPr>
          <w:b/>
          <w:bCs/>
          <w:i/>
          <w:iCs/>
          <w:highlight w:val="yellow"/>
        </w:rPr>
      </w:pPr>
      <w:r w:rsidRPr="00576E6A">
        <w:rPr>
          <w:b/>
          <w:bCs/>
          <w:i/>
          <w:iCs/>
          <w:highlight w:val="yellow"/>
        </w:rPr>
        <w:lastRenderedPageBreak/>
        <w:t xml:space="preserve">Author hereby </w:t>
      </w:r>
      <w:r w:rsidR="00576E6A" w:rsidRPr="00576E6A">
        <w:rPr>
          <w:b/>
          <w:bCs/>
          <w:i/>
          <w:iCs/>
          <w:highlight w:val="yellow"/>
        </w:rPr>
        <w:t>declares</w:t>
      </w:r>
      <w:r w:rsidRPr="00576E6A">
        <w:rPr>
          <w:b/>
          <w:bCs/>
          <w:i/>
          <w:iCs/>
          <w:highlight w:val="yellow"/>
        </w:rPr>
        <w:t xml:space="preserve"> that NO generative AI technologies such as Large Language Models (ChatGPT, COPILOT, etc.) and text-to-image generators have been used during the writing or editing of this manuscript. </w:t>
      </w:r>
    </w:p>
    <w:bookmarkEnd w:id="1"/>
    <w:p w14:paraId="1FDC5D6E" w14:textId="77777777" w:rsidR="00515815" w:rsidRPr="00D047BB" w:rsidRDefault="00515815" w:rsidP="00515815"/>
    <w:p w14:paraId="1E8B8DDD" w14:textId="77777777" w:rsidR="00515815" w:rsidRPr="00E043EA" w:rsidRDefault="00515815" w:rsidP="002F658A">
      <w:pPr>
        <w:jc w:val="both"/>
        <w:rPr>
          <w:rFonts w:ascii="Times New Roman" w:hAnsi="Times New Roman" w:cs="Times New Roman"/>
          <w:sz w:val="24"/>
          <w:szCs w:val="24"/>
        </w:rPr>
      </w:pPr>
    </w:p>
    <w:p w14:paraId="553F4AD5" w14:textId="4483C23E" w:rsidR="00CE7D9D" w:rsidRPr="00E043EA" w:rsidRDefault="00CE7D9D" w:rsidP="00CE7D9D">
      <w:pPr>
        <w:jc w:val="center"/>
        <w:rPr>
          <w:rFonts w:ascii="Times New Roman" w:hAnsi="Times New Roman" w:cs="Times New Roman"/>
          <w:b/>
          <w:bCs/>
          <w:sz w:val="24"/>
          <w:szCs w:val="24"/>
        </w:rPr>
      </w:pPr>
      <w:r w:rsidRPr="00E043EA">
        <w:rPr>
          <w:rFonts w:ascii="Times New Roman" w:hAnsi="Times New Roman" w:cs="Times New Roman"/>
          <w:b/>
          <w:bCs/>
          <w:sz w:val="24"/>
          <w:szCs w:val="24"/>
        </w:rPr>
        <w:t>REFERENCES</w:t>
      </w:r>
    </w:p>
    <w:p w14:paraId="24AAE41B" w14:textId="7D2A9529" w:rsidR="00CE7D9D" w:rsidRPr="00E043EA" w:rsidRDefault="00776B37" w:rsidP="00CE7D9D">
      <w:pPr>
        <w:pStyle w:val="ListParagraph"/>
        <w:numPr>
          <w:ilvl w:val="0"/>
          <w:numId w:val="3"/>
        </w:numPr>
        <w:jc w:val="both"/>
        <w:rPr>
          <w:rFonts w:ascii="Times New Roman" w:hAnsi="Times New Roman" w:cs="Times New Roman"/>
          <w:sz w:val="24"/>
          <w:szCs w:val="24"/>
        </w:rPr>
      </w:pPr>
      <w:bookmarkStart w:id="2" w:name="_Hlk205795945"/>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J., &amp; Lee, J. (2007). International reserves: precautionary versus mercantilist views, theory and evidence. </w:t>
      </w:r>
      <w:r w:rsidRPr="00E043EA">
        <w:rPr>
          <w:rFonts w:ascii="Times New Roman" w:hAnsi="Times New Roman" w:cs="Times New Roman"/>
          <w:i/>
          <w:iCs/>
          <w:sz w:val="24"/>
          <w:szCs w:val="24"/>
        </w:rPr>
        <w:t>Open Economies Review</w:t>
      </w:r>
      <w:r w:rsidRPr="00E043EA">
        <w:rPr>
          <w:rFonts w:ascii="Times New Roman" w:hAnsi="Times New Roman" w:cs="Times New Roman"/>
          <w:sz w:val="24"/>
          <w:szCs w:val="24"/>
        </w:rPr>
        <w:t>, </w:t>
      </w:r>
      <w:r w:rsidRPr="00E043EA">
        <w:rPr>
          <w:rFonts w:ascii="Times New Roman" w:hAnsi="Times New Roman" w:cs="Times New Roman"/>
          <w:i/>
          <w:iCs/>
          <w:sz w:val="24"/>
          <w:szCs w:val="24"/>
        </w:rPr>
        <w:t>18</w:t>
      </w:r>
      <w:r w:rsidRPr="00E043EA">
        <w:rPr>
          <w:rFonts w:ascii="Times New Roman" w:hAnsi="Times New Roman" w:cs="Times New Roman"/>
          <w:sz w:val="24"/>
          <w:szCs w:val="24"/>
        </w:rPr>
        <w:t>(2), 191-214.</w:t>
      </w:r>
    </w:p>
    <w:p w14:paraId="4AFD932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xml:space="preserve">, J., Cheung, Y. W., &amp; Ito, H. (2015). International reserves before and after the global crisis: Is there no end to hoarding? </w:t>
      </w:r>
      <w:r w:rsidRPr="00E043EA">
        <w:rPr>
          <w:rFonts w:ascii="Times New Roman" w:hAnsi="Times New Roman" w:cs="Times New Roman"/>
          <w:i/>
          <w:iCs/>
          <w:sz w:val="24"/>
          <w:szCs w:val="24"/>
        </w:rPr>
        <w:t>Journal of International Money and Finance, 52</w:t>
      </w:r>
      <w:r w:rsidRPr="00E043EA">
        <w:rPr>
          <w:rFonts w:ascii="Times New Roman" w:hAnsi="Times New Roman" w:cs="Times New Roman"/>
          <w:sz w:val="24"/>
          <w:szCs w:val="24"/>
        </w:rPr>
        <w:t>, 102–126. https://doi.org/10.1016/j.jimonfin.2014.11.016</w:t>
      </w:r>
    </w:p>
    <w:p w14:paraId="7D02697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xml:space="preserve">, J., Cheung, Y. W., &amp; Ito, H. (2021). The interest rate effect on private saving: Alternative perspectives. </w:t>
      </w:r>
      <w:r w:rsidRPr="00E043EA">
        <w:rPr>
          <w:rFonts w:ascii="Times New Roman" w:hAnsi="Times New Roman" w:cs="Times New Roman"/>
          <w:i/>
          <w:iCs/>
          <w:sz w:val="24"/>
          <w:szCs w:val="24"/>
        </w:rPr>
        <w:t>Journal of International Money and Finance, 112</w:t>
      </w:r>
      <w:r w:rsidRPr="00E043EA">
        <w:rPr>
          <w:rFonts w:ascii="Times New Roman" w:hAnsi="Times New Roman" w:cs="Times New Roman"/>
          <w:sz w:val="24"/>
          <w:szCs w:val="24"/>
        </w:rPr>
        <w:t>, 102334. https://doi.org/10.1016/j.jimonfin.2020.102334</w:t>
      </w:r>
    </w:p>
    <w:p w14:paraId="6094426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Amiti, M.,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&amp; </w:t>
      </w:r>
      <w:proofErr w:type="spellStart"/>
      <w:r w:rsidRPr="00E043EA">
        <w:rPr>
          <w:rFonts w:ascii="Times New Roman" w:hAnsi="Times New Roman" w:cs="Times New Roman"/>
          <w:sz w:val="24"/>
          <w:szCs w:val="24"/>
        </w:rPr>
        <w:t>Konings</w:t>
      </w:r>
      <w:proofErr w:type="spellEnd"/>
      <w:r w:rsidRPr="00E043EA">
        <w:rPr>
          <w:rFonts w:ascii="Times New Roman" w:hAnsi="Times New Roman" w:cs="Times New Roman"/>
          <w:sz w:val="24"/>
          <w:szCs w:val="24"/>
        </w:rPr>
        <w:t xml:space="preserve">, J. (2021). </w:t>
      </w:r>
      <w:r w:rsidRPr="00E043EA">
        <w:rPr>
          <w:rFonts w:ascii="Times New Roman" w:hAnsi="Times New Roman" w:cs="Times New Roman"/>
          <w:i/>
          <w:iCs/>
          <w:sz w:val="24"/>
          <w:szCs w:val="24"/>
        </w:rPr>
        <w:t>Dominant currencies</w:t>
      </w:r>
      <w:r w:rsidRPr="00E043EA">
        <w:rPr>
          <w:rFonts w:ascii="Times New Roman" w:hAnsi="Times New Roman" w:cs="Times New Roman"/>
          <w:sz w:val="24"/>
          <w:szCs w:val="24"/>
        </w:rPr>
        <w:t>. Manuscript.</w:t>
      </w:r>
    </w:p>
    <w:p w14:paraId="32C483B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Amiti, M.,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&amp; </w:t>
      </w:r>
      <w:proofErr w:type="spellStart"/>
      <w:r w:rsidRPr="00E043EA">
        <w:rPr>
          <w:rFonts w:ascii="Times New Roman" w:hAnsi="Times New Roman" w:cs="Times New Roman"/>
          <w:sz w:val="24"/>
          <w:szCs w:val="24"/>
        </w:rPr>
        <w:t>Konings</w:t>
      </w:r>
      <w:proofErr w:type="spellEnd"/>
      <w:r w:rsidRPr="00E043EA">
        <w:rPr>
          <w:rFonts w:ascii="Times New Roman" w:hAnsi="Times New Roman" w:cs="Times New Roman"/>
          <w:sz w:val="24"/>
          <w:szCs w:val="24"/>
        </w:rPr>
        <w:t xml:space="preserve">, J. (2022). Dominant currencies: How firms choose currency invoicing and why it matters. </w:t>
      </w:r>
      <w:r w:rsidRPr="00E043EA">
        <w:rPr>
          <w:rFonts w:ascii="Times New Roman" w:hAnsi="Times New Roman" w:cs="Times New Roman"/>
          <w:i/>
          <w:iCs/>
          <w:sz w:val="24"/>
          <w:szCs w:val="24"/>
        </w:rPr>
        <w:t>Quarterly Journal of Economics, 137</w:t>
      </w:r>
      <w:r w:rsidRPr="00E043EA">
        <w:rPr>
          <w:rFonts w:ascii="Times New Roman" w:hAnsi="Times New Roman" w:cs="Times New Roman"/>
          <w:sz w:val="24"/>
          <w:szCs w:val="24"/>
        </w:rPr>
        <w:t>(3), 1435–1493.</w:t>
      </w:r>
    </w:p>
    <w:p w14:paraId="37FD1D6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Arellano, M., &amp; Bover, O. (1995). Another look at the instrumental variable estimation of error-components models. </w:t>
      </w:r>
      <w:r w:rsidRPr="00E043EA">
        <w:rPr>
          <w:rFonts w:ascii="Times New Roman" w:hAnsi="Times New Roman" w:cs="Times New Roman"/>
          <w:i/>
          <w:iCs/>
          <w:sz w:val="24"/>
          <w:szCs w:val="24"/>
        </w:rPr>
        <w:t>Journal of Econometrics, 68</w:t>
      </w:r>
      <w:r w:rsidRPr="00E043EA">
        <w:rPr>
          <w:rFonts w:ascii="Times New Roman" w:hAnsi="Times New Roman" w:cs="Times New Roman"/>
          <w:sz w:val="24"/>
          <w:szCs w:val="24"/>
        </w:rPr>
        <w:t>(1), 29–51.</w:t>
      </w:r>
    </w:p>
    <w:p w14:paraId="045ECFA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Baba, N., Packer, F., &amp; Nagano, T. (2008). The spillover of money market turbulence to FX swap and cross-currency swap markets. </w:t>
      </w:r>
      <w:r w:rsidRPr="00E043EA">
        <w:rPr>
          <w:rFonts w:ascii="Times New Roman" w:hAnsi="Times New Roman" w:cs="Times New Roman"/>
          <w:i/>
          <w:iCs/>
          <w:sz w:val="24"/>
          <w:szCs w:val="24"/>
        </w:rPr>
        <w:t>BIS Quarterly Review</w:t>
      </w:r>
      <w:r w:rsidRPr="00E043EA">
        <w:rPr>
          <w:rFonts w:ascii="Times New Roman" w:hAnsi="Times New Roman" w:cs="Times New Roman"/>
          <w:sz w:val="24"/>
          <w:szCs w:val="24"/>
        </w:rPr>
        <w:t>, September, 73–86.</w:t>
      </w:r>
    </w:p>
    <w:p w14:paraId="2ED774A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Bank for International Settlements. (2021). </w:t>
      </w:r>
      <w:r w:rsidRPr="00E043EA">
        <w:rPr>
          <w:rFonts w:ascii="Times New Roman" w:hAnsi="Times New Roman" w:cs="Times New Roman"/>
          <w:i/>
          <w:iCs/>
          <w:sz w:val="24"/>
          <w:szCs w:val="24"/>
        </w:rPr>
        <w:t>Inthanon–</w:t>
      </w:r>
      <w:proofErr w:type="spellStart"/>
      <w:r w:rsidRPr="00E043EA">
        <w:rPr>
          <w:rFonts w:ascii="Times New Roman" w:hAnsi="Times New Roman" w:cs="Times New Roman"/>
          <w:i/>
          <w:iCs/>
          <w:sz w:val="24"/>
          <w:szCs w:val="24"/>
        </w:rPr>
        <w:t>LionRock</w:t>
      </w:r>
      <w:proofErr w:type="spellEnd"/>
      <w:r w:rsidRPr="00E043EA">
        <w:rPr>
          <w:rFonts w:ascii="Times New Roman" w:hAnsi="Times New Roman" w:cs="Times New Roman"/>
          <w:i/>
          <w:iCs/>
          <w:sz w:val="24"/>
          <w:szCs w:val="24"/>
        </w:rPr>
        <w:t xml:space="preserve"> to </w:t>
      </w:r>
      <w:proofErr w:type="spellStart"/>
      <w:r w:rsidRPr="00E043EA">
        <w:rPr>
          <w:rFonts w:ascii="Times New Roman" w:hAnsi="Times New Roman" w:cs="Times New Roman"/>
          <w:i/>
          <w:iCs/>
          <w:sz w:val="24"/>
          <w:szCs w:val="24"/>
        </w:rPr>
        <w:t>mBridge</w:t>
      </w:r>
      <w:proofErr w:type="spellEnd"/>
      <w:r w:rsidRPr="00E043EA">
        <w:rPr>
          <w:rFonts w:ascii="Times New Roman" w:hAnsi="Times New Roman" w:cs="Times New Roman"/>
          <w:i/>
          <w:iCs/>
          <w:sz w:val="24"/>
          <w:szCs w:val="24"/>
        </w:rPr>
        <w:t>: Building a multi-CBDC platform for international payments</w:t>
      </w:r>
      <w:r w:rsidRPr="00E043EA">
        <w:rPr>
          <w:rFonts w:ascii="Times New Roman" w:hAnsi="Times New Roman" w:cs="Times New Roman"/>
          <w:sz w:val="24"/>
          <w:szCs w:val="24"/>
        </w:rPr>
        <w:t>. BIS. https://www.bis.org/publ/othp40.pdf</w:t>
      </w:r>
    </w:p>
    <w:p w14:paraId="1AA2BE8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Bank for International Settlements. (2022). </w:t>
      </w:r>
      <w:r w:rsidRPr="00E043EA">
        <w:rPr>
          <w:rFonts w:ascii="Times New Roman" w:hAnsi="Times New Roman" w:cs="Times New Roman"/>
          <w:i/>
          <w:iCs/>
          <w:sz w:val="24"/>
          <w:szCs w:val="24"/>
        </w:rPr>
        <w:t>Options for access to and interoperability of CBDCs for cross-border payments</w:t>
      </w:r>
      <w:r w:rsidRPr="00E043EA">
        <w:rPr>
          <w:rFonts w:ascii="Times New Roman" w:hAnsi="Times New Roman" w:cs="Times New Roman"/>
          <w:sz w:val="24"/>
          <w:szCs w:val="24"/>
        </w:rPr>
        <w:t>. BIS. https://www.bis.org/publ/othp49.pdf</w:t>
      </w:r>
    </w:p>
    <w:p w14:paraId="7073F9B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Berthou, A. (2023). </w:t>
      </w:r>
      <w:r w:rsidRPr="00E043EA">
        <w:rPr>
          <w:rFonts w:ascii="Times New Roman" w:hAnsi="Times New Roman" w:cs="Times New Roman"/>
          <w:i/>
          <w:iCs/>
          <w:sz w:val="24"/>
          <w:szCs w:val="24"/>
        </w:rPr>
        <w:t>International sanctions and the dollar: Evidence from trade invoicing</w:t>
      </w:r>
      <w:r w:rsidRPr="00E043EA">
        <w:rPr>
          <w:rFonts w:ascii="Times New Roman" w:hAnsi="Times New Roman" w:cs="Times New Roman"/>
          <w:sz w:val="24"/>
          <w:szCs w:val="24"/>
        </w:rPr>
        <w:t>. Banque de France Working Paper.</w:t>
      </w:r>
    </w:p>
    <w:p w14:paraId="2C3EBB1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Blundell, R., &amp; Bond, S. (1998). Initial conditions and moment restrictions in dynamic panel data models. </w:t>
      </w:r>
      <w:r w:rsidRPr="00E043EA">
        <w:rPr>
          <w:rFonts w:ascii="Times New Roman" w:hAnsi="Times New Roman" w:cs="Times New Roman"/>
          <w:i/>
          <w:iCs/>
          <w:sz w:val="24"/>
          <w:szCs w:val="24"/>
        </w:rPr>
        <w:t>Journal of Econometrics, 87</w:t>
      </w:r>
      <w:r w:rsidRPr="00E043EA">
        <w:rPr>
          <w:rFonts w:ascii="Times New Roman" w:hAnsi="Times New Roman" w:cs="Times New Roman"/>
          <w:sz w:val="24"/>
          <w:szCs w:val="24"/>
        </w:rPr>
        <w:t>(1), 115–143.</w:t>
      </w:r>
    </w:p>
    <w:p w14:paraId="7D9B44D4"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Bordo, M. D. (1993). The Bretton Woods International Monetary System: An Historical Overview. In M. D. Bordo &amp; B.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(Eds.), A Retrospective on the Bretton Woods System: Lessons for International Monetary Reform (pp. 3–108). University of Chicago Press.</w:t>
      </w:r>
    </w:p>
    <w:p w14:paraId="48AC680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Bown, C. P. (2022). The US–China trade war and phase one agreement. </w:t>
      </w:r>
      <w:r w:rsidRPr="00E043EA">
        <w:rPr>
          <w:rFonts w:ascii="Times New Roman" w:hAnsi="Times New Roman" w:cs="Times New Roman"/>
          <w:i/>
          <w:iCs/>
          <w:sz w:val="24"/>
          <w:szCs w:val="24"/>
        </w:rPr>
        <w:t xml:space="preserve">Journal of Policy </w:t>
      </w:r>
      <w:proofErr w:type="spellStart"/>
      <w:r w:rsidRPr="00E043EA">
        <w:rPr>
          <w:rFonts w:ascii="Times New Roman" w:hAnsi="Times New Roman" w:cs="Times New Roman"/>
          <w:i/>
          <w:iCs/>
          <w:sz w:val="24"/>
          <w:szCs w:val="24"/>
        </w:rPr>
        <w:t>Modeling</w:t>
      </w:r>
      <w:proofErr w:type="spellEnd"/>
      <w:r w:rsidRPr="00E043EA">
        <w:rPr>
          <w:rFonts w:ascii="Times New Roman" w:hAnsi="Times New Roman" w:cs="Times New Roman"/>
          <w:i/>
          <w:iCs/>
          <w:sz w:val="24"/>
          <w:szCs w:val="24"/>
        </w:rPr>
        <w:t>, 44</w:t>
      </w:r>
      <w:r w:rsidRPr="00E043EA">
        <w:rPr>
          <w:rFonts w:ascii="Times New Roman" w:hAnsi="Times New Roman" w:cs="Times New Roman"/>
          <w:sz w:val="24"/>
          <w:szCs w:val="24"/>
        </w:rPr>
        <w:t>(1), 76–98. https://doi.org/10.1016/j.jpolmod.2021.09.003</w:t>
      </w:r>
    </w:p>
    <w:p w14:paraId="1920E8C9" w14:textId="77777777" w:rsidR="00CE7D9D" w:rsidRPr="00C8274A" w:rsidRDefault="00CE7D9D" w:rsidP="00CE7D9D">
      <w:pPr>
        <w:pStyle w:val="ListParagraph"/>
        <w:numPr>
          <w:ilvl w:val="0"/>
          <w:numId w:val="3"/>
        </w:numPr>
        <w:jc w:val="both"/>
        <w:rPr>
          <w:rFonts w:ascii="Times New Roman" w:hAnsi="Times New Roman" w:cs="Times New Roman"/>
          <w:sz w:val="24"/>
          <w:szCs w:val="24"/>
          <w:highlight w:val="yellow"/>
        </w:rPr>
      </w:pPr>
      <w:r w:rsidRPr="00C8274A">
        <w:rPr>
          <w:rFonts w:ascii="Times New Roman" w:hAnsi="Times New Roman" w:cs="Times New Roman"/>
          <w:sz w:val="24"/>
          <w:szCs w:val="24"/>
          <w:highlight w:val="yellow"/>
        </w:rPr>
        <w:t xml:space="preserve">BRICS Contingent Reserve Arrangement (CRA). (2025). In </w:t>
      </w:r>
      <w:r w:rsidRPr="00C8274A">
        <w:rPr>
          <w:rFonts w:ascii="Times New Roman" w:hAnsi="Times New Roman" w:cs="Times New Roman"/>
          <w:i/>
          <w:iCs/>
          <w:sz w:val="24"/>
          <w:szCs w:val="24"/>
          <w:highlight w:val="yellow"/>
        </w:rPr>
        <w:t>Wikipedia</w:t>
      </w:r>
      <w:r w:rsidRPr="00C8274A">
        <w:rPr>
          <w:rFonts w:ascii="Times New Roman" w:hAnsi="Times New Roman" w:cs="Times New Roman"/>
          <w:sz w:val="24"/>
          <w:szCs w:val="24"/>
          <w:highlight w:val="yellow"/>
        </w:rPr>
        <w:t>. Retrieved from Wikipedia (accessed March 2025).</w:t>
      </w:r>
    </w:p>
    <w:p w14:paraId="1E8F18A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Broz, J. L., &amp; Zhang, Z. (2022). Reserve currencies in an evolving international monetary system. </w:t>
      </w:r>
      <w:r w:rsidRPr="00E043EA">
        <w:rPr>
          <w:rFonts w:ascii="Times New Roman" w:hAnsi="Times New Roman" w:cs="Times New Roman"/>
          <w:i/>
          <w:iCs/>
          <w:sz w:val="24"/>
          <w:szCs w:val="24"/>
        </w:rPr>
        <w:t>Journal of International Economics, 136</w:t>
      </w:r>
      <w:r w:rsidRPr="00E043EA">
        <w:rPr>
          <w:rFonts w:ascii="Times New Roman" w:hAnsi="Times New Roman" w:cs="Times New Roman"/>
          <w:sz w:val="24"/>
          <w:szCs w:val="24"/>
        </w:rPr>
        <w:t>, 103616. https://doi.org/10.1016/j.jinteco.2022.103616</w:t>
      </w:r>
    </w:p>
    <w:p w14:paraId="72B06F0A"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lastRenderedPageBreak/>
        <w:t>Brunnermeier</w:t>
      </w:r>
      <w:proofErr w:type="spellEnd"/>
      <w:r w:rsidRPr="00E043EA">
        <w:rPr>
          <w:rFonts w:ascii="Times New Roman" w:hAnsi="Times New Roman" w:cs="Times New Roman"/>
          <w:sz w:val="24"/>
          <w:szCs w:val="24"/>
        </w:rPr>
        <w:t xml:space="preserve">, M. K., Nagel, S., &amp; Pedersen, L. H. (2008). Carry trades and currency crashes. In R. W. Kolb (Ed.), </w:t>
      </w:r>
      <w:r w:rsidRPr="00E043EA">
        <w:rPr>
          <w:rFonts w:ascii="Times New Roman" w:hAnsi="Times New Roman" w:cs="Times New Roman"/>
          <w:i/>
          <w:iCs/>
          <w:sz w:val="24"/>
          <w:szCs w:val="24"/>
        </w:rPr>
        <w:t>Contemporary developments in financial markets</w:t>
      </w:r>
      <w:r w:rsidRPr="00E043EA">
        <w:rPr>
          <w:rFonts w:ascii="Times New Roman" w:hAnsi="Times New Roman" w:cs="Times New Roman"/>
          <w:sz w:val="24"/>
          <w:szCs w:val="24"/>
        </w:rPr>
        <w:t xml:space="preserve"> (pp. 131–156). Wiley.</w:t>
      </w:r>
    </w:p>
    <w:p w14:paraId="75A0C65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Casas, C., Diez, F., Gopinath, G., &amp; </w:t>
      </w:r>
      <w:proofErr w:type="spellStart"/>
      <w:r w:rsidRPr="00E043EA">
        <w:rPr>
          <w:rFonts w:ascii="Times New Roman" w:hAnsi="Times New Roman" w:cs="Times New Roman"/>
          <w:sz w:val="24"/>
          <w:szCs w:val="24"/>
        </w:rPr>
        <w:t>Gourinchas</w:t>
      </w:r>
      <w:proofErr w:type="spellEnd"/>
      <w:r w:rsidRPr="00E043EA">
        <w:rPr>
          <w:rFonts w:ascii="Times New Roman" w:hAnsi="Times New Roman" w:cs="Times New Roman"/>
          <w:sz w:val="24"/>
          <w:szCs w:val="24"/>
        </w:rPr>
        <w:t xml:space="preserve">, P. O. (2016). Dominant currency paradigm: A new model for small open economies. </w:t>
      </w:r>
      <w:r w:rsidRPr="00E043EA">
        <w:rPr>
          <w:rFonts w:ascii="Times New Roman" w:hAnsi="Times New Roman" w:cs="Times New Roman"/>
          <w:i/>
          <w:iCs/>
          <w:sz w:val="24"/>
          <w:szCs w:val="24"/>
        </w:rPr>
        <w:t>IMF Working Paper No. 16/264</w:t>
      </w:r>
      <w:r w:rsidRPr="00E043EA">
        <w:rPr>
          <w:rFonts w:ascii="Times New Roman" w:hAnsi="Times New Roman" w:cs="Times New Roman"/>
          <w:sz w:val="24"/>
          <w:szCs w:val="24"/>
        </w:rPr>
        <w:t>. International Monetary Fund.</w:t>
      </w:r>
    </w:p>
    <w:p w14:paraId="33E5230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Chey, H. (2013). Theories of international currencies and the future of the world monetary order. </w:t>
      </w:r>
      <w:r w:rsidRPr="00E043EA">
        <w:rPr>
          <w:rFonts w:ascii="Times New Roman" w:hAnsi="Times New Roman" w:cs="Times New Roman"/>
          <w:i/>
          <w:iCs/>
          <w:sz w:val="24"/>
          <w:szCs w:val="24"/>
        </w:rPr>
        <w:t>International Studies Review, 15</w:t>
      </w:r>
      <w:r w:rsidRPr="00E043EA">
        <w:rPr>
          <w:rFonts w:ascii="Times New Roman" w:hAnsi="Times New Roman" w:cs="Times New Roman"/>
          <w:sz w:val="24"/>
          <w:szCs w:val="24"/>
        </w:rPr>
        <w:t>(3), 389–407. https://doi.org/10.1111/misr.12038</w:t>
      </w:r>
    </w:p>
    <w:p w14:paraId="787D013A"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Chinn, M. D., &amp; Frankel, J. A. (2007). Will the euro eventually surpass the dollar as leading international reserve currency? In R. Clarida (Ed.), </w:t>
      </w:r>
      <w:r w:rsidRPr="00E043EA">
        <w:rPr>
          <w:rFonts w:ascii="Times New Roman" w:hAnsi="Times New Roman" w:cs="Times New Roman"/>
          <w:i/>
          <w:iCs/>
          <w:sz w:val="24"/>
          <w:szCs w:val="24"/>
        </w:rPr>
        <w:t>G7 current account imbalances: Sustainability and adjustment</w:t>
      </w:r>
      <w:r w:rsidRPr="00E043EA">
        <w:rPr>
          <w:rFonts w:ascii="Times New Roman" w:hAnsi="Times New Roman" w:cs="Times New Roman"/>
          <w:sz w:val="24"/>
          <w:szCs w:val="24"/>
        </w:rPr>
        <w:t xml:space="preserve"> (pp. 283–338). University of Chicago Press.</w:t>
      </w:r>
    </w:p>
    <w:p w14:paraId="6EA517C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Chinn, M., &amp; Frankel, J. (2008). The Euro May Over the Next 15 Years Surpass the Dollar as Leading International Currency. International Finance, 11(1), 49–73.</w:t>
      </w:r>
    </w:p>
    <w:p w14:paraId="4A24B7C4"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Cohen, B. J. (2015). Currency power: Understanding monetary rivalry. </w:t>
      </w:r>
      <w:r w:rsidRPr="00E043EA">
        <w:rPr>
          <w:rFonts w:ascii="Times New Roman" w:hAnsi="Times New Roman" w:cs="Times New Roman"/>
          <w:i/>
          <w:iCs/>
          <w:sz w:val="24"/>
          <w:szCs w:val="24"/>
        </w:rPr>
        <w:t>Princeton University Press</w:t>
      </w:r>
      <w:r w:rsidRPr="00E043EA">
        <w:rPr>
          <w:rFonts w:ascii="Times New Roman" w:hAnsi="Times New Roman" w:cs="Times New Roman"/>
          <w:sz w:val="24"/>
          <w:szCs w:val="24"/>
        </w:rPr>
        <w:t>.</w:t>
      </w:r>
    </w:p>
    <w:p w14:paraId="7DAAB05E" w14:textId="77777777" w:rsidR="00CE7D9D" w:rsidRPr="00C8274A" w:rsidRDefault="00CE7D9D" w:rsidP="00CE7D9D">
      <w:pPr>
        <w:pStyle w:val="ListParagraph"/>
        <w:numPr>
          <w:ilvl w:val="0"/>
          <w:numId w:val="3"/>
        </w:numPr>
        <w:jc w:val="both"/>
        <w:rPr>
          <w:rFonts w:ascii="Times New Roman" w:hAnsi="Times New Roman" w:cs="Times New Roman"/>
          <w:sz w:val="24"/>
          <w:szCs w:val="24"/>
          <w:highlight w:val="yellow"/>
        </w:rPr>
      </w:pPr>
      <w:proofErr w:type="spellStart"/>
      <w:r w:rsidRPr="00C8274A">
        <w:rPr>
          <w:rFonts w:ascii="Times New Roman" w:hAnsi="Times New Roman" w:cs="Times New Roman"/>
          <w:sz w:val="24"/>
          <w:szCs w:val="24"/>
          <w:highlight w:val="yellow"/>
        </w:rPr>
        <w:t>Dedollarisation</w:t>
      </w:r>
      <w:proofErr w:type="spellEnd"/>
      <w:r w:rsidRPr="00C8274A">
        <w:rPr>
          <w:rFonts w:ascii="Times New Roman" w:hAnsi="Times New Roman" w:cs="Times New Roman"/>
          <w:sz w:val="24"/>
          <w:szCs w:val="24"/>
          <w:highlight w:val="yellow"/>
        </w:rPr>
        <w:t xml:space="preserve">. (2025). In </w:t>
      </w:r>
      <w:r w:rsidRPr="00C8274A">
        <w:rPr>
          <w:rFonts w:ascii="Times New Roman" w:hAnsi="Times New Roman" w:cs="Times New Roman"/>
          <w:i/>
          <w:iCs/>
          <w:sz w:val="24"/>
          <w:szCs w:val="24"/>
          <w:highlight w:val="yellow"/>
        </w:rPr>
        <w:t>Wikipedia</w:t>
      </w:r>
      <w:r w:rsidRPr="00C8274A">
        <w:rPr>
          <w:rFonts w:ascii="Times New Roman" w:hAnsi="Times New Roman" w:cs="Times New Roman"/>
          <w:sz w:val="24"/>
          <w:szCs w:val="24"/>
          <w:highlight w:val="yellow"/>
        </w:rPr>
        <w:t>. Retrieved from Wikipedia (accessed April 2025).</w:t>
      </w:r>
    </w:p>
    <w:p w14:paraId="183D020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Early, B. R. (2015). </w:t>
      </w:r>
      <w:r w:rsidRPr="00E043EA">
        <w:rPr>
          <w:rFonts w:ascii="Times New Roman" w:hAnsi="Times New Roman" w:cs="Times New Roman"/>
          <w:i/>
          <w:iCs/>
          <w:sz w:val="24"/>
          <w:szCs w:val="24"/>
        </w:rPr>
        <w:t>Busted sanctions: Explaining why economic sanctions fail</w:t>
      </w:r>
      <w:r w:rsidRPr="00E043EA">
        <w:rPr>
          <w:rFonts w:ascii="Times New Roman" w:hAnsi="Times New Roman" w:cs="Times New Roman"/>
          <w:sz w:val="24"/>
          <w:szCs w:val="24"/>
        </w:rPr>
        <w:t>. Stanford University Press.</w:t>
      </w:r>
    </w:p>
    <w:p w14:paraId="7782C3F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Economic Times. (2024, October 24). </w:t>
      </w:r>
      <w:r w:rsidRPr="00E043EA">
        <w:rPr>
          <w:rFonts w:ascii="Times New Roman" w:hAnsi="Times New Roman" w:cs="Times New Roman"/>
          <w:i/>
          <w:iCs/>
          <w:sz w:val="24"/>
          <w:szCs w:val="24"/>
        </w:rPr>
        <w:t>BRICS nations agree to boost trade, financial settlement in local currencies</w:t>
      </w:r>
      <w:r w:rsidRPr="00E043EA">
        <w:rPr>
          <w:rFonts w:ascii="Times New Roman" w:hAnsi="Times New Roman" w:cs="Times New Roman"/>
          <w:sz w:val="24"/>
          <w:szCs w:val="24"/>
        </w:rPr>
        <w:t>. The Economic Times. https://economictimes.indiatimes.com/news/economy/foreign-trade/brics-nations-agree-to-boost-trade-financial-settlement-in-local-currencies/</w:t>
      </w:r>
    </w:p>
    <w:p w14:paraId="6EA3DDB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(2011). Exorbitant privilege: The rise and fall of the dollar and the future of the international monetary system. </w:t>
      </w:r>
      <w:r w:rsidRPr="00E043EA">
        <w:rPr>
          <w:rFonts w:ascii="Times New Roman" w:hAnsi="Times New Roman" w:cs="Times New Roman"/>
          <w:i/>
          <w:iCs/>
          <w:sz w:val="24"/>
          <w:szCs w:val="24"/>
        </w:rPr>
        <w:t>Oxford University Press</w:t>
      </w:r>
      <w:r w:rsidRPr="00E043EA">
        <w:rPr>
          <w:rFonts w:ascii="Times New Roman" w:hAnsi="Times New Roman" w:cs="Times New Roman"/>
          <w:sz w:val="24"/>
          <w:szCs w:val="24"/>
        </w:rPr>
        <w:t>.</w:t>
      </w:r>
    </w:p>
    <w:p w14:paraId="1F7EE97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(2019). </w:t>
      </w:r>
      <w:r w:rsidRPr="00E043EA">
        <w:rPr>
          <w:rFonts w:ascii="Times New Roman" w:hAnsi="Times New Roman" w:cs="Times New Roman"/>
          <w:i/>
          <w:iCs/>
          <w:sz w:val="24"/>
          <w:szCs w:val="24"/>
        </w:rPr>
        <w:t>Globalizing capital: A history of the international monetary system</w:t>
      </w:r>
      <w:r w:rsidRPr="00E043EA">
        <w:rPr>
          <w:rFonts w:ascii="Times New Roman" w:hAnsi="Times New Roman" w:cs="Times New Roman"/>
          <w:sz w:val="24"/>
          <w:szCs w:val="24"/>
        </w:rPr>
        <w:t xml:space="preserve"> (3rd ed.). Princeton University Press.</w:t>
      </w:r>
    </w:p>
    <w:p w14:paraId="62D0390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B., &amp; Flandreau, M. (2012). The Rise and Fall of the Dollar (or When Did the Dollar Replace Sterling as the Leading Reserve Currency?). European Review of Economic History, 16(1), 135–159.</w:t>
      </w:r>
    </w:p>
    <w:p w14:paraId="69297CFD" w14:textId="77777777" w:rsidR="00CE7D9D" w:rsidRPr="00C8274A" w:rsidRDefault="00CE7D9D" w:rsidP="00CE7D9D">
      <w:pPr>
        <w:pStyle w:val="ListParagraph"/>
        <w:numPr>
          <w:ilvl w:val="0"/>
          <w:numId w:val="3"/>
        </w:numPr>
        <w:jc w:val="both"/>
        <w:rPr>
          <w:rFonts w:ascii="Times New Roman" w:hAnsi="Times New Roman" w:cs="Times New Roman"/>
          <w:sz w:val="24"/>
          <w:szCs w:val="24"/>
          <w:highlight w:val="yellow"/>
        </w:rPr>
      </w:pPr>
      <w:proofErr w:type="spellStart"/>
      <w:r w:rsidRPr="00C8274A">
        <w:rPr>
          <w:rFonts w:ascii="Times New Roman" w:hAnsi="Times New Roman" w:cs="Times New Roman"/>
          <w:sz w:val="24"/>
          <w:szCs w:val="24"/>
          <w:highlight w:val="yellow"/>
        </w:rPr>
        <w:t>Eichengreen</w:t>
      </w:r>
      <w:proofErr w:type="spellEnd"/>
      <w:r w:rsidRPr="00C8274A">
        <w:rPr>
          <w:rFonts w:ascii="Times New Roman" w:hAnsi="Times New Roman" w:cs="Times New Roman"/>
          <w:sz w:val="24"/>
          <w:szCs w:val="24"/>
          <w:highlight w:val="yellow"/>
        </w:rPr>
        <w:t xml:space="preserve">, B., Filardo, A., &amp; Mehl, A. (2019). </w:t>
      </w:r>
      <w:r w:rsidRPr="00C8274A">
        <w:rPr>
          <w:rFonts w:ascii="Times New Roman" w:hAnsi="Times New Roman" w:cs="Times New Roman"/>
          <w:i/>
          <w:iCs/>
          <w:sz w:val="24"/>
          <w:szCs w:val="24"/>
          <w:highlight w:val="yellow"/>
        </w:rPr>
        <w:t>Monetary policy cooperation, central bank swap lines, and global financial interdependence</w:t>
      </w:r>
      <w:r w:rsidRPr="00C8274A">
        <w:rPr>
          <w:rFonts w:ascii="Times New Roman" w:hAnsi="Times New Roman" w:cs="Times New Roman"/>
          <w:sz w:val="24"/>
          <w:szCs w:val="24"/>
          <w:highlight w:val="yellow"/>
        </w:rPr>
        <w:t>. BIS Working Paper No. 815.</w:t>
      </w:r>
    </w:p>
    <w:p w14:paraId="77ACEAD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w:t>
      </w:r>
      <w:proofErr w:type="spellStart"/>
      <w:r w:rsidRPr="00E043EA">
        <w:rPr>
          <w:rFonts w:ascii="Times New Roman" w:hAnsi="Times New Roman" w:cs="Times New Roman"/>
          <w:sz w:val="24"/>
          <w:szCs w:val="24"/>
        </w:rPr>
        <w:t>Mehl</w:t>
      </w:r>
      <w:proofErr w:type="spellEnd"/>
      <w:r w:rsidRPr="00E043EA">
        <w:rPr>
          <w:rFonts w:ascii="Times New Roman" w:hAnsi="Times New Roman" w:cs="Times New Roman"/>
          <w:sz w:val="24"/>
          <w:szCs w:val="24"/>
        </w:rPr>
        <w:t xml:space="preserve">, A., &amp; Chitu, L. (2017). </w:t>
      </w:r>
      <w:r w:rsidRPr="00E043EA">
        <w:rPr>
          <w:rFonts w:ascii="Times New Roman" w:hAnsi="Times New Roman" w:cs="Times New Roman"/>
          <w:i/>
          <w:iCs/>
          <w:sz w:val="24"/>
          <w:szCs w:val="24"/>
        </w:rPr>
        <w:t>How global currencies work: Past, present, and future</w:t>
      </w:r>
      <w:r w:rsidRPr="00E043EA">
        <w:rPr>
          <w:rFonts w:ascii="Times New Roman" w:hAnsi="Times New Roman" w:cs="Times New Roman"/>
          <w:sz w:val="24"/>
          <w:szCs w:val="24"/>
        </w:rPr>
        <w:t>. Princeton University Press.</w:t>
      </w:r>
    </w:p>
    <w:p w14:paraId="11B6270C" w14:textId="011BE2AA"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Fama</w:t>
      </w:r>
      <w:proofErr w:type="spellEnd"/>
      <w:r w:rsidRPr="00E043EA">
        <w:rPr>
          <w:rFonts w:ascii="Times New Roman" w:hAnsi="Times New Roman" w:cs="Times New Roman"/>
          <w:sz w:val="24"/>
          <w:szCs w:val="24"/>
        </w:rPr>
        <w:t xml:space="preserve">, E.F. (1984). Forward and spot exchange rates. </w:t>
      </w:r>
      <w:r w:rsidRPr="00E043EA">
        <w:rPr>
          <w:rFonts w:ascii="Times New Roman" w:hAnsi="Times New Roman" w:cs="Times New Roman"/>
          <w:i/>
          <w:iCs/>
          <w:sz w:val="24"/>
          <w:szCs w:val="24"/>
        </w:rPr>
        <w:t>Journal of Monetary Economics, 14</w:t>
      </w:r>
      <w:r w:rsidRPr="00E043EA">
        <w:rPr>
          <w:rFonts w:ascii="Times New Roman" w:hAnsi="Times New Roman" w:cs="Times New Roman"/>
          <w:sz w:val="24"/>
          <w:szCs w:val="24"/>
        </w:rPr>
        <w:t>(3), 319–338. https://doi.org/10.1016/0304-3932(84)90075-2</w:t>
      </w:r>
    </w:p>
    <w:p w14:paraId="1404B3C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Farrell, J., &amp; Saloner, G. (1986). Installed base and compatibility: Innovation, product preannouncements, and predation. </w:t>
      </w:r>
      <w:r w:rsidRPr="00E043EA">
        <w:rPr>
          <w:rFonts w:ascii="Times New Roman" w:hAnsi="Times New Roman" w:cs="Times New Roman"/>
          <w:i/>
          <w:iCs/>
          <w:sz w:val="24"/>
          <w:szCs w:val="24"/>
        </w:rPr>
        <w:t>The American Economic Review, 76</w:t>
      </w:r>
      <w:r w:rsidRPr="00E043EA">
        <w:rPr>
          <w:rFonts w:ascii="Times New Roman" w:hAnsi="Times New Roman" w:cs="Times New Roman"/>
          <w:sz w:val="24"/>
          <w:szCs w:val="24"/>
        </w:rPr>
        <w:t>(5), 940–955.</w:t>
      </w:r>
    </w:p>
    <w:p w14:paraId="1370B60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Frankel, J. A., &amp; Rose, A. K. (1996). Currency crashes in emerging markets: An empirical treatment. </w:t>
      </w:r>
      <w:r w:rsidRPr="00E043EA">
        <w:rPr>
          <w:rFonts w:ascii="Times New Roman" w:hAnsi="Times New Roman" w:cs="Times New Roman"/>
          <w:i/>
          <w:iCs/>
          <w:sz w:val="24"/>
          <w:szCs w:val="24"/>
        </w:rPr>
        <w:t>Journal of International Economics, 41</w:t>
      </w:r>
      <w:r w:rsidRPr="00E043EA">
        <w:rPr>
          <w:rFonts w:ascii="Times New Roman" w:hAnsi="Times New Roman" w:cs="Times New Roman"/>
          <w:sz w:val="24"/>
          <w:szCs w:val="24"/>
        </w:rPr>
        <w:t>(3-4), 351–366.</w:t>
      </w:r>
    </w:p>
    <w:p w14:paraId="6603E5E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Frohm, E. (2021). Dominant currencies and the export supply channel. </w:t>
      </w:r>
      <w:r w:rsidRPr="00E043EA">
        <w:rPr>
          <w:rFonts w:ascii="Times New Roman" w:hAnsi="Times New Roman" w:cs="Times New Roman"/>
          <w:i/>
          <w:iCs/>
          <w:sz w:val="24"/>
          <w:szCs w:val="24"/>
        </w:rPr>
        <w:t>ECB Working Paper</w:t>
      </w:r>
      <w:r w:rsidRPr="00E043EA">
        <w:rPr>
          <w:rFonts w:ascii="Times New Roman" w:hAnsi="Times New Roman" w:cs="Times New Roman"/>
          <w:sz w:val="24"/>
          <w:szCs w:val="24"/>
        </w:rPr>
        <w:t xml:space="preserve"> No. 2580.</w:t>
      </w:r>
    </w:p>
    <w:p w14:paraId="3E9709E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Fudenberg</w:t>
      </w:r>
      <w:proofErr w:type="spellEnd"/>
      <w:r w:rsidRPr="00E043EA">
        <w:rPr>
          <w:rFonts w:ascii="Times New Roman" w:hAnsi="Times New Roman" w:cs="Times New Roman"/>
          <w:sz w:val="24"/>
          <w:szCs w:val="24"/>
        </w:rPr>
        <w:t xml:space="preserve">, D., &amp; Maskin, E. (1986). The Folk Theorem in repeated games with discounting or with incomplete information. </w:t>
      </w:r>
      <w:proofErr w:type="spellStart"/>
      <w:r w:rsidRPr="00E043EA">
        <w:rPr>
          <w:rFonts w:ascii="Times New Roman" w:hAnsi="Times New Roman" w:cs="Times New Roman"/>
          <w:i/>
          <w:iCs/>
          <w:sz w:val="24"/>
          <w:szCs w:val="24"/>
        </w:rPr>
        <w:t>Econometrica</w:t>
      </w:r>
      <w:proofErr w:type="spellEnd"/>
      <w:r w:rsidRPr="00E043EA">
        <w:rPr>
          <w:rFonts w:ascii="Times New Roman" w:hAnsi="Times New Roman" w:cs="Times New Roman"/>
          <w:i/>
          <w:iCs/>
          <w:sz w:val="24"/>
          <w:szCs w:val="24"/>
        </w:rPr>
        <w:t>, 54</w:t>
      </w:r>
      <w:r w:rsidRPr="00E043EA">
        <w:rPr>
          <w:rFonts w:ascii="Times New Roman" w:hAnsi="Times New Roman" w:cs="Times New Roman"/>
          <w:sz w:val="24"/>
          <w:szCs w:val="24"/>
        </w:rPr>
        <w:t>(3), 533–554.</w:t>
      </w:r>
    </w:p>
    <w:p w14:paraId="4363FE5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García-Escribano, M., &amp; Sosa, S. (2011). What is driving financial de-dollarization in Latin America? </w:t>
      </w:r>
      <w:r w:rsidRPr="00E043EA">
        <w:rPr>
          <w:rFonts w:ascii="Times New Roman" w:hAnsi="Times New Roman" w:cs="Times New Roman"/>
          <w:i/>
          <w:iCs/>
          <w:sz w:val="24"/>
          <w:szCs w:val="24"/>
        </w:rPr>
        <w:t>IMF Working Paper</w:t>
      </w:r>
      <w:r w:rsidRPr="00E043EA">
        <w:rPr>
          <w:rFonts w:ascii="Times New Roman" w:hAnsi="Times New Roman" w:cs="Times New Roman"/>
          <w:sz w:val="24"/>
          <w:szCs w:val="24"/>
        </w:rPr>
        <w:t>, WP/11/10. International Monetary Fund.</w:t>
      </w:r>
    </w:p>
    <w:p w14:paraId="6E205EF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GEBRICS. (2024, October 21). </w:t>
      </w:r>
      <w:r w:rsidRPr="00E043EA">
        <w:rPr>
          <w:rFonts w:ascii="Times New Roman" w:hAnsi="Times New Roman" w:cs="Times New Roman"/>
          <w:i/>
          <w:iCs/>
          <w:sz w:val="24"/>
          <w:szCs w:val="24"/>
        </w:rPr>
        <w:t>BRICS’ international payment systems, a common BRICS currency, and de-dollarization</w:t>
      </w:r>
      <w:r w:rsidRPr="00E043EA">
        <w:rPr>
          <w:rFonts w:ascii="Times New Roman" w:hAnsi="Times New Roman" w:cs="Times New Roman"/>
          <w:sz w:val="24"/>
          <w:szCs w:val="24"/>
        </w:rPr>
        <w:t xml:space="preserve">. Grupo de </w:t>
      </w:r>
      <w:proofErr w:type="spellStart"/>
      <w:r w:rsidRPr="00E043EA">
        <w:rPr>
          <w:rFonts w:ascii="Times New Roman" w:hAnsi="Times New Roman" w:cs="Times New Roman"/>
          <w:sz w:val="24"/>
          <w:szCs w:val="24"/>
        </w:rPr>
        <w:t>Estudos</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sobre</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os</w:t>
      </w:r>
      <w:proofErr w:type="spellEnd"/>
      <w:r w:rsidRPr="00E043EA">
        <w:rPr>
          <w:rFonts w:ascii="Times New Roman" w:hAnsi="Times New Roman" w:cs="Times New Roman"/>
          <w:sz w:val="24"/>
          <w:szCs w:val="24"/>
        </w:rPr>
        <w:t xml:space="preserve"> BRICS. https://sites.usp.br/gebrics/brics-international-payment-systems-a-common-brics-currency-and-de-dollarization/</w:t>
      </w:r>
    </w:p>
    <w:p w14:paraId="6AE8E98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Goldberg, L. S., &amp; Tille, C. (2008). Vehicle currency use in international trade. </w:t>
      </w:r>
      <w:r w:rsidRPr="00E043EA">
        <w:rPr>
          <w:rFonts w:ascii="Times New Roman" w:hAnsi="Times New Roman" w:cs="Times New Roman"/>
          <w:i/>
          <w:iCs/>
          <w:sz w:val="24"/>
          <w:szCs w:val="24"/>
        </w:rPr>
        <w:t>Journal of International Economics, 76</w:t>
      </w:r>
      <w:r w:rsidRPr="00E043EA">
        <w:rPr>
          <w:rFonts w:ascii="Times New Roman" w:hAnsi="Times New Roman" w:cs="Times New Roman"/>
          <w:sz w:val="24"/>
          <w:szCs w:val="24"/>
        </w:rPr>
        <w:t xml:space="preserve">(2), 177–192. </w:t>
      </w:r>
    </w:p>
    <w:p w14:paraId="04539CD0" w14:textId="77777777" w:rsidR="00CE7D9D" w:rsidRPr="00E043EA" w:rsidRDefault="00CE7D9D" w:rsidP="00CE7D9D">
      <w:pPr>
        <w:pStyle w:val="ListParagraph"/>
        <w:numPr>
          <w:ilvl w:val="0"/>
          <w:numId w:val="3"/>
        </w:numPr>
        <w:rPr>
          <w:rFonts w:ascii="Times New Roman" w:hAnsi="Times New Roman" w:cs="Times New Roman"/>
          <w:sz w:val="24"/>
          <w:szCs w:val="24"/>
        </w:rPr>
      </w:pPr>
      <w:r w:rsidRPr="00E043EA">
        <w:rPr>
          <w:rFonts w:ascii="Times New Roman" w:hAnsi="Times New Roman" w:cs="Times New Roman"/>
          <w:sz w:val="24"/>
          <w:szCs w:val="24"/>
        </w:rPr>
        <w:t xml:space="preserve">Gopinath, G. (2015). The international price system. In </w:t>
      </w:r>
      <w:r w:rsidRPr="00E043EA">
        <w:rPr>
          <w:rFonts w:ascii="Times New Roman" w:hAnsi="Times New Roman" w:cs="Times New Roman"/>
          <w:i/>
          <w:iCs/>
          <w:sz w:val="24"/>
          <w:szCs w:val="24"/>
        </w:rPr>
        <w:t>The Handbook of International Economics</w:t>
      </w:r>
      <w:r w:rsidRPr="00E043EA">
        <w:rPr>
          <w:rFonts w:ascii="Times New Roman" w:hAnsi="Times New Roman" w:cs="Times New Roman"/>
          <w:sz w:val="24"/>
          <w:szCs w:val="24"/>
        </w:rPr>
        <w:t xml:space="preserve"> (Vol. 4, pp. 391–454). Elsevier.</w:t>
      </w:r>
    </w:p>
    <w:p w14:paraId="16B3970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(2015). The international price system. </w:t>
      </w:r>
      <w:r w:rsidRPr="00E043EA">
        <w:rPr>
          <w:rFonts w:ascii="Times New Roman" w:hAnsi="Times New Roman" w:cs="Times New Roman"/>
          <w:i/>
          <w:iCs/>
          <w:sz w:val="24"/>
          <w:szCs w:val="24"/>
        </w:rPr>
        <w:t>Jackson Hole Economic Policy Symposium Proceedings</w:t>
      </w:r>
      <w:r w:rsidRPr="00E043EA">
        <w:rPr>
          <w:rFonts w:ascii="Times New Roman" w:hAnsi="Times New Roman" w:cs="Times New Roman"/>
          <w:sz w:val="24"/>
          <w:szCs w:val="24"/>
        </w:rPr>
        <w:t>, Federal Reserve Bank of Kansas City, 27–77.</w:t>
      </w:r>
    </w:p>
    <w:p w14:paraId="02B5BB9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(2016). The international price system. In J. H. Cochrane &amp; J. B. Taylor (Eds.), </w:t>
      </w:r>
      <w:r w:rsidRPr="00E043EA">
        <w:rPr>
          <w:rFonts w:ascii="Times New Roman" w:hAnsi="Times New Roman" w:cs="Times New Roman"/>
          <w:i/>
          <w:iCs/>
          <w:sz w:val="24"/>
          <w:szCs w:val="24"/>
        </w:rPr>
        <w:t>NBER international seminar on macroeconomics 2015</w:t>
      </w:r>
      <w:r w:rsidRPr="00E043EA">
        <w:rPr>
          <w:rFonts w:ascii="Times New Roman" w:hAnsi="Times New Roman" w:cs="Times New Roman"/>
          <w:sz w:val="24"/>
          <w:szCs w:val="24"/>
        </w:rPr>
        <w:t xml:space="preserve"> (pp. 119–165). University of Chicago Press.</w:t>
      </w:r>
    </w:p>
    <w:p w14:paraId="10EB483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(2010). Frequency of price adjustment and pass-through. </w:t>
      </w:r>
      <w:r w:rsidRPr="00E043EA">
        <w:rPr>
          <w:rFonts w:ascii="Times New Roman" w:hAnsi="Times New Roman" w:cs="Times New Roman"/>
          <w:i/>
          <w:iCs/>
          <w:sz w:val="24"/>
          <w:szCs w:val="24"/>
        </w:rPr>
        <w:t>Quarterly Journal of Economics, 125</w:t>
      </w:r>
      <w:r w:rsidRPr="00E043EA">
        <w:rPr>
          <w:rFonts w:ascii="Times New Roman" w:hAnsi="Times New Roman" w:cs="Times New Roman"/>
          <w:sz w:val="24"/>
          <w:szCs w:val="24"/>
        </w:rPr>
        <w:t>(2), 675–727. https://doi.org/10.1162/qjec.2010.125.2.675</w:t>
      </w:r>
    </w:p>
    <w:p w14:paraId="2D3EE33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(2021). Dominant currency paradigm: A review. </w:t>
      </w:r>
      <w:r w:rsidRPr="00E043EA">
        <w:rPr>
          <w:rFonts w:ascii="Times New Roman" w:hAnsi="Times New Roman" w:cs="Times New Roman"/>
          <w:i/>
          <w:iCs/>
          <w:sz w:val="24"/>
          <w:szCs w:val="24"/>
        </w:rPr>
        <w:t>NBER Working Paper</w:t>
      </w:r>
      <w:r w:rsidRPr="00E043EA">
        <w:rPr>
          <w:rFonts w:ascii="Times New Roman" w:hAnsi="Times New Roman" w:cs="Times New Roman"/>
          <w:sz w:val="24"/>
          <w:szCs w:val="24"/>
        </w:rPr>
        <w:t xml:space="preserve"> No. 29556.</w:t>
      </w:r>
    </w:p>
    <w:p w14:paraId="60A089E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Stein, J. C. (2021). Banking, trade, and the making of a dominant currency. </w:t>
      </w:r>
      <w:r w:rsidRPr="00E043EA">
        <w:rPr>
          <w:rFonts w:ascii="Times New Roman" w:hAnsi="Times New Roman" w:cs="Times New Roman"/>
          <w:i/>
          <w:iCs/>
          <w:sz w:val="24"/>
          <w:szCs w:val="24"/>
        </w:rPr>
        <w:t>Quarterly Journal of Economics, 136</w:t>
      </w:r>
      <w:r w:rsidRPr="00E043EA">
        <w:rPr>
          <w:rFonts w:ascii="Times New Roman" w:hAnsi="Times New Roman" w:cs="Times New Roman"/>
          <w:sz w:val="24"/>
          <w:szCs w:val="24"/>
        </w:rPr>
        <w:t>(2), 783–830. https://doi.org/10.1093/qje/qjaa042</w:t>
      </w:r>
    </w:p>
    <w:p w14:paraId="09D74E9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Steinberg, J. (2018). Banking, trade, and the making of a dominant currency. </w:t>
      </w:r>
      <w:r w:rsidRPr="00E043EA">
        <w:rPr>
          <w:rFonts w:ascii="Times New Roman" w:hAnsi="Times New Roman" w:cs="Times New Roman"/>
          <w:i/>
          <w:iCs/>
          <w:sz w:val="24"/>
          <w:szCs w:val="24"/>
        </w:rPr>
        <w:t>Quarterly Journal of Economics, 133</w:t>
      </w:r>
      <w:r w:rsidRPr="00E043EA">
        <w:rPr>
          <w:rFonts w:ascii="Times New Roman" w:hAnsi="Times New Roman" w:cs="Times New Roman"/>
          <w:sz w:val="24"/>
          <w:szCs w:val="24"/>
        </w:rPr>
        <w:t>(2), 633–690.</w:t>
      </w:r>
    </w:p>
    <w:p w14:paraId="23EED15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Boz, E., Casas, C., Díez, F. J., </w:t>
      </w:r>
      <w:proofErr w:type="spellStart"/>
      <w:r w:rsidRPr="00E043EA">
        <w:rPr>
          <w:rFonts w:ascii="Times New Roman" w:hAnsi="Times New Roman" w:cs="Times New Roman"/>
          <w:sz w:val="24"/>
          <w:szCs w:val="24"/>
        </w:rPr>
        <w:t>Gourinchas</w:t>
      </w:r>
      <w:proofErr w:type="spellEnd"/>
      <w:r w:rsidRPr="00E043EA">
        <w:rPr>
          <w:rFonts w:ascii="Times New Roman" w:hAnsi="Times New Roman" w:cs="Times New Roman"/>
          <w:sz w:val="24"/>
          <w:szCs w:val="24"/>
        </w:rPr>
        <w:t xml:space="preserve">, P.-O., &amp; Plagborg-Møller, M. (2020). Dominant currency paradigm. </w:t>
      </w:r>
      <w:r w:rsidRPr="00E043EA">
        <w:rPr>
          <w:rFonts w:ascii="Times New Roman" w:hAnsi="Times New Roman" w:cs="Times New Roman"/>
          <w:i/>
          <w:iCs/>
          <w:sz w:val="24"/>
          <w:szCs w:val="24"/>
        </w:rPr>
        <w:t>American Economic Review, 110</w:t>
      </w:r>
      <w:r w:rsidRPr="00E043EA">
        <w:rPr>
          <w:rFonts w:ascii="Times New Roman" w:hAnsi="Times New Roman" w:cs="Times New Roman"/>
          <w:sz w:val="24"/>
          <w:szCs w:val="24"/>
        </w:rPr>
        <w:t>(3), 677–719.</w:t>
      </w:r>
    </w:p>
    <w:p w14:paraId="1BE2ED2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xml:space="preserve">, E. (2008). Political determinants of international currencies: What future for the US dollar? </w:t>
      </w:r>
      <w:r w:rsidRPr="00E043EA">
        <w:rPr>
          <w:rFonts w:ascii="Times New Roman" w:hAnsi="Times New Roman" w:cs="Times New Roman"/>
          <w:i/>
          <w:iCs/>
          <w:sz w:val="24"/>
          <w:szCs w:val="24"/>
        </w:rPr>
        <w:t>Review of International Political Economy, 15</w:t>
      </w:r>
      <w:r w:rsidRPr="00E043EA">
        <w:rPr>
          <w:rFonts w:ascii="Times New Roman" w:hAnsi="Times New Roman" w:cs="Times New Roman"/>
          <w:sz w:val="24"/>
          <w:szCs w:val="24"/>
        </w:rPr>
        <w:t xml:space="preserve">(3), 354–378. </w:t>
      </w:r>
    </w:p>
    <w:p w14:paraId="6BB18BA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E. (2014). The Status Quo Crisis: Global Financial Governance After the 2008 Meltdown. Oxford University Press.</w:t>
      </w:r>
    </w:p>
    <w:p w14:paraId="154730E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IMF. (2024). </w:t>
      </w:r>
      <w:r w:rsidRPr="00E043EA">
        <w:rPr>
          <w:rFonts w:ascii="Times New Roman" w:hAnsi="Times New Roman" w:cs="Times New Roman"/>
          <w:i/>
          <w:iCs/>
          <w:sz w:val="24"/>
          <w:szCs w:val="24"/>
        </w:rPr>
        <w:t>Central Banks Casting a Global Financial Safety Net: What Drives the Supply of Bilateral Swaps?</w:t>
      </w:r>
      <w:r w:rsidRPr="00E043EA">
        <w:rPr>
          <w:rFonts w:ascii="Times New Roman" w:hAnsi="Times New Roman" w:cs="Times New Roman"/>
          <w:sz w:val="24"/>
          <w:szCs w:val="24"/>
        </w:rPr>
        <w:t xml:space="preserve"> IMF Working Paper 2024/088.</w:t>
      </w:r>
    </w:p>
    <w:p w14:paraId="672BE06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International Monetary Fund. (2013). </w:t>
      </w:r>
      <w:r w:rsidRPr="00E043EA">
        <w:rPr>
          <w:rFonts w:ascii="Times New Roman" w:hAnsi="Times New Roman" w:cs="Times New Roman"/>
          <w:i/>
          <w:iCs/>
          <w:sz w:val="24"/>
          <w:szCs w:val="24"/>
        </w:rPr>
        <w:t>The international monetary system: Where are we and where do we need to go?</w:t>
      </w:r>
      <w:r w:rsidRPr="00E043EA">
        <w:rPr>
          <w:rFonts w:ascii="Times New Roman" w:hAnsi="Times New Roman" w:cs="Times New Roman"/>
          <w:sz w:val="24"/>
          <w:szCs w:val="24"/>
        </w:rPr>
        <w:t xml:space="preserve"> IMF Working Paper No. 13/224. International Monetary Fund.</w:t>
      </w:r>
    </w:p>
    <w:p w14:paraId="194D1BD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International Monetary Fund. (2024). Currency Composition of Official Foreign Exchange Reserves (COFER) data. Retrieved from Statistical publications.</w:t>
      </w:r>
    </w:p>
    <w:p w14:paraId="3E3134E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Ito, H., &amp; Chinn, M. D. (2015). The rise of the “redback” and China’s capital account liberalization: An empirical analysis of the determinants of invoicing currencies. In M. Kawai, M. B. </w:t>
      </w:r>
      <w:proofErr w:type="spellStart"/>
      <w:r w:rsidRPr="00E043EA">
        <w:rPr>
          <w:rFonts w:ascii="Times New Roman" w:hAnsi="Times New Roman" w:cs="Times New Roman"/>
          <w:sz w:val="24"/>
          <w:szCs w:val="24"/>
        </w:rPr>
        <w:t>Lamberte</w:t>
      </w:r>
      <w:proofErr w:type="spellEnd"/>
      <w:r w:rsidRPr="00E043EA">
        <w:rPr>
          <w:rFonts w:ascii="Times New Roman" w:hAnsi="Times New Roman" w:cs="Times New Roman"/>
          <w:sz w:val="24"/>
          <w:szCs w:val="24"/>
        </w:rPr>
        <w:t xml:space="preserve">, &amp; Y. C. Park (Eds.), </w:t>
      </w:r>
      <w:r w:rsidRPr="00E043EA">
        <w:rPr>
          <w:rFonts w:ascii="Times New Roman" w:hAnsi="Times New Roman" w:cs="Times New Roman"/>
          <w:i/>
          <w:iCs/>
          <w:sz w:val="24"/>
          <w:szCs w:val="24"/>
        </w:rPr>
        <w:t>Managing capital flows</w:t>
      </w:r>
      <w:r w:rsidRPr="00E043EA">
        <w:rPr>
          <w:rFonts w:ascii="Times New Roman" w:hAnsi="Times New Roman" w:cs="Times New Roman"/>
          <w:sz w:val="24"/>
          <w:szCs w:val="24"/>
        </w:rPr>
        <w:t xml:space="preserve"> (pp. 111–154). Edward Elgar.</w:t>
      </w:r>
    </w:p>
    <w:p w14:paraId="00C79E8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Ize, A.,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(2003). Financial dollarization. </w:t>
      </w:r>
      <w:r w:rsidRPr="00E043EA">
        <w:rPr>
          <w:rFonts w:ascii="Times New Roman" w:hAnsi="Times New Roman" w:cs="Times New Roman"/>
          <w:i/>
          <w:iCs/>
          <w:sz w:val="24"/>
          <w:szCs w:val="24"/>
        </w:rPr>
        <w:t>Journal of International Economics, 59</w:t>
      </w:r>
      <w:r w:rsidRPr="00E043EA">
        <w:rPr>
          <w:rFonts w:ascii="Times New Roman" w:hAnsi="Times New Roman" w:cs="Times New Roman"/>
          <w:sz w:val="24"/>
          <w:szCs w:val="24"/>
        </w:rPr>
        <w:t xml:space="preserve">(2), 323–347. </w:t>
      </w:r>
    </w:p>
    <w:p w14:paraId="05191FE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Ize, A.,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(2005). Financial de-dollarization: Is it for real? </w:t>
      </w:r>
      <w:r w:rsidRPr="00E043EA">
        <w:rPr>
          <w:rFonts w:ascii="Times New Roman" w:hAnsi="Times New Roman" w:cs="Times New Roman"/>
          <w:i/>
          <w:iCs/>
          <w:sz w:val="24"/>
          <w:szCs w:val="24"/>
        </w:rPr>
        <w:t>IMF Working Paper</w:t>
      </w:r>
      <w:r w:rsidRPr="00E043EA">
        <w:rPr>
          <w:rFonts w:ascii="Times New Roman" w:hAnsi="Times New Roman" w:cs="Times New Roman"/>
          <w:sz w:val="24"/>
          <w:szCs w:val="24"/>
        </w:rPr>
        <w:t>, WP/05/187. International Monetary Fund.</w:t>
      </w:r>
    </w:p>
    <w:p w14:paraId="2FEA5EC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Jeanne, O., &amp; Son, J. (2020). To what extent are tariffs offset by exchange rates? </w:t>
      </w:r>
      <w:r w:rsidRPr="00E043EA">
        <w:rPr>
          <w:rFonts w:ascii="Times New Roman" w:hAnsi="Times New Roman" w:cs="Times New Roman"/>
          <w:i/>
          <w:iCs/>
          <w:sz w:val="24"/>
          <w:szCs w:val="24"/>
        </w:rPr>
        <w:t>NBER Working Paper No. 27654</w:t>
      </w:r>
      <w:r w:rsidRPr="00E043EA">
        <w:rPr>
          <w:rFonts w:ascii="Times New Roman" w:hAnsi="Times New Roman" w:cs="Times New Roman"/>
          <w:sz w:val="24"/>
          <w:szCs w:val="24"/>
        </w:rPr>
        <w:t>. National Bureau of Economic Research.</w:t>
      </w:r>
    </w:p>
    <w:p w14:paraId="4D42C68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Jordà, Ò. (2005). Estimation and inference of impulse responses by local projections. </w:t>
      </w:r>
      <w:r w:rsidRPr="00E043EA">
        <w:rPr>
          <w:rFonts w:ascii="Times New Roman" w:hAnsi="Times New Roman" w:cs="Times New Roman"/>
          <w:i/>
          <w:iCs/>
          <w:sz w:val="24"/>
          <w:szCs w:val="24"/>
        </w:rPr>
        <w:t>American Economic Review, 95</w:t>
      </w:r>
      <w:r w:rsidRPr="00E043EA">
        <w:rPr>
          <w:rFonts w:ascii="Times New Roman" w:hAnsi="Times New Roman" w:cs="Times New Roman"/>
          <w:sz w:val="24"/>
          <w:szCs w:val="24"/>
        </w:rPr>
        <w:t>(1), 161–182.</w:t>
      </w:r>
    </w:p>
    <w:p w14:paraId="15C7EA0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Justiniano, A., &amp; Preston, B. (2010). Monetary policy and uncertainty in an empirical small open-economy model. </w:t>
      </w:r>
      <w:r w:rsidRPr="00E043EA">
        <w:rPr>
          <w:rFonts w:ascii="Times New Roman" w:hAnsi="Times New Roman" w:cs="Times New Roman"/>
          <w:i/>
          <w:iCs/>
          <w:sz w:val="24"/>
          <w:szCs w:val="24"/>
        </w:rPr>
        <w:t>Journal of Applied Econometrics, 25</w:t>
      </w:r>
      <w:r w:rsidRPr="00E043EA">
        <w:rPr>
          <w:rFonts w:ascii="Times New Roman" w:hAnsi="Times New Roman" w:cs="Times New Roman"/>
          <w:sz w:val="24"/>
          <w:szCs w:val="24"/>
        </w:rPr>
        <w:t>(1), 93–128. https://doi.org/10.1002/jae.1120</w:t>
      </w:r>
    </w:p>
    <w:p w14:paraId="3168CAD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Kiyotaki, N., &amp; Wright, R. (1989). On money as a medium of exchange. </w:t>
      </w:r>
      <w:r w:rsidRPr="00E043EA">
        <w:rPr>
          <w:rFonts w:ascii="Times New Roman" w:hAnsi="Times New Roman" w:cs="Times New Roman"/>
          <w:i/>
          <w:iCs/>
          <w:sz w:val="24"/>
          <w:szCs w:val="24"/>
        </w:rPr>
        <w:t>Journal of Political Economy, 97</w:t>
      </w:r>
      <w:r w:rsidRPr="00E043EA">
        <w:rPr>
          <w:rFonts w:ascii="Times New Roman" w:hAnsi="Times New Roman" w:cs="Times New Roman"/>
          <w:sz w:val="24"/>
          <w:szCs w:val="24"/>
        </w:rPr>
        <w:t>(4), 927–954.</w:t>
      </w:r>
    </w:p>
    <w:p w14:paraId="7B6FFE8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Levy-</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(various years). </w:t>
      </w:r>
      <w:r w:rsidRPr="00E043EA">
        <w:rPr>
          <w:rFonts w:ascii="Times New Roman" w:hAnsi="Times New Roman" w:cs="Times New Roman"/>
          <w:i/>
          <w:iCs/>
          <w:sz w:val="24"/>
          <w:szCs w:val="24"/>
        </w:rPr>
        <w:t>Financial dollarization and de-dollarization</w:t>
      </w:r>
      <w:r w:rsidRPr="00E043EA">
        <w:rPr>
          <w:rFonts w:ascii="Times New Roman" w:hAnsi="Times New Roman" w:cs="Times New Roman"/>
          <w:sz w:val="24"/>
          <w:szCs w:val="24"/>
        </w:rPr>
        <w:t xml:space="preserve"> (working papers and articles).</w:t>
      </w:r>
    </w:p>
    <w:p w14:paraId="5524518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Markowitz, H. (1952). Portfolio selection. </w:t>
      </w:r>
      <w:r w:rsidRPr="00E043EA">
        <w:rPr>
          <w:rFonts w:ascii="Times New Roman" w:hAnsi="Times New Roman" w:cs="Times New Roman"/>
          <w:i/>
          <w:iCs/>
          <w:sz w:val="24"/>
          <w:szCs w:val="24"/>
        </w:rPr>
        <w:t>The Journal of Finance, 7</w:t>
      </w:r>
      <w:r w:rsidRPr="00E043EA">
        <w:rPr>
          <w:rFonts w:ascii="Times New Roman" w:hAnsi="Times New Roman" w:cs="Times New Roman"/>
          <w:sz w:val="24"/>
          <w:szCs w:val="24"/>
        </w:rPr>
        <w:t>(1), 77–91. https://doi.org/10.1111/j.1540-6261.1952.tb01525.x</w:t>
      </w:r>
    </w:p>
    <w:p w14:paraId="0742371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Modern Diplomacy. (2024, August 15). </w:t>
      </w:r>
      <w:r w:rsidRPr="00E043EA">
        <w:rPr>
          <w:rFonts w:ascii="Times New Roman" w:hAnsi="Times New Roman" w:cs="Times New Roman"/>
          <w:i/>
          <w:iCs/>
          <w:sz w:val="24"/>
          <w:szCs w:val="24"/>
        </w:rPr>
        <w:t>Prospects for BRICS new currency and new payment system</w:t>
      </w:r>
      <w:r w:rsidRPr="00E043EA">
        <w:rPr>
          <w:rFonts w:ascii="Times New Roman" w:hAnsi="Times New Roman" w:cs="Times New Roman"/>
          <w:sz w:val="24"/>
          <w:szCs w:val="24"/>
        </w:rPr>
        <w:t>. Modern Diplomacy. https://moderndiplomacy.eu/2024/08/15/prospects-for-brics-new-currency-and-new-payment-system/</w:t>
      </w:r>
    </w:p>
    <w:p w14:paraId="124789C7" w14:textId="6AED9583"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Nakano, S., &amp; Nishimura, K. (2022). On estimating Armington elasticities for Japan's meat imports.</w:t>
      </w:r>
      <w:r w:rsidR="00E043EA" w:rsidRPr="00E043EA">
        <w:rPr>
          <w:rFonts w:ascii="Times New Roman" w:hAnsi="Times New Roman" w:cs="Times New Roman"/>
          <w:sz w:val="24"/>
          <w:szCs w:val="24"/>
        </w:rPr>
        <w:t xml:space="preserve"> </w:t>
      </w:r>
    </w:p>
    <w:p w14:paraId="5D7D61C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Obstfeld, M., &amp; Rogoff, K. (1995). Exchange rate dynamics redux. </w:t>
      </w:r>
      <w:r w:rsidRPr="00E043EA">
        <w:rPr>
          <w:rFonts w:ascii="Times New Roman" w:hAnsi="Times New Roman" w:cs="Times New Roman"/>
          <w:i/>
          <w:iCs/>
          <w:sz w:val="24"/>
          <w:szCs w:val="24"/>
        </w:rPr>
        <w:t>Journal of Political Economy, 103</w:t>
      </w:r>
      <w:r w:rsidRPr="00E043EA">
        <w:rPr>
          <w:rFonts w:ascii="Times New Roman" w:hAnsi="Times New Roman" w:cs="Times New Roman"/>
          <w:sz w:val="24"/>
          <w:szCs w:val="24"/>
        </w:rPr>
        <w:t>(3), 624–660.</w:t>
      </w:r>
    </w:p>
    <w:p w14:paraId="2E1CB18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Obstfeld, M., &amp; Rogoff, K. (1996). </w:t>
      </w:r>
      <w:r w:rsidRPr="00E043EA">
        <w:rPr>
          <w:rFonts w:ascii="Times New Roman" w:hAnsi="Times New Roman" w:cs="Times New Roman"/>
          <w:i/>
          <w:iCs/>
          <w:sz w:val="24"/>
          <w:szCs w:val="24"/>
        </w:rPr>
        <w:t>Foundations of international macroeconomics</w:t>
      </w:r>
      <w:r w:rsidRPr="00E043EA">
        <w:rPr>
          <w:rFonts w:ascii="Times New Roman" w:hAnsi="Times New Roman" w:cs="Times New Roman"/>
          <w:sz w:val="24"/>
          <w:szCs w:val="24"/>
        </w:rPr>
        <w:t>. MIT Press.</w:t>
      </w:r>
    </w:p>
    <w:p w14:paraId="1DD3AEF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Obstfeld, M., Shambaugh, J. C., &amp; Taylor, A. M. (2009). Financial stability, the trilemma, and international reserves. </w:t>
      </w:r>
      <w:r w:rsidRPr="00E043EA">
        <w:rPr>
          <w:rFonts w:ascii="Times New Roman" w:hAnsi="Times New Roman" w:cs="Times New Roman"/>
          <w:i/>
          <w:iCs/>
          <w:sz w:val="24"/>
          <w:szCs w:val="24"/>
        </w:rPr>
        <w:t>American Economic Journal: Macroeconomics, 1</w:t>
      </w:r>
      <w:r w:rsidRPr="00E043EA">
        <w:rPr>
          <w:rFonts w:ascii="Times New Roman" w:hAnsi="Times New Roman" w:cs="Times New Roman"/>
          <w:sz w:val="24"/>
          <w:szCs w:val="24"/>
        </w:rPr>
        <w:t>(1), 57–94.</w:t>
      </w:r>
    </w:p>
    <w:p w14:paraId="5CECC7B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Ocampo, J. A. (2019). Resetting the International Monetary (Non)System. Oxford University Press.</w:t>
      </w:r>
    </w:p>
    <w:p w14:paraId="16CB15AA"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Olson, M. (1965). </w:t>
      </w:r>
      <w:r w:rsidRPr="00E043EA">
        <w:rPr>
          <w:rFonts w:ascii="Times New Roman" w:hAnsi="Times New Roman" w:cs="Times New Roman"/>
          <w:i/>
          <w:iCs/>
          <w:sz w:val="24"/>
          <w:szCs w:val="24"/>
        </w:rPr>
        <w:t>The logic of collective action: Public goods and the theory of groups</w:t>
      </w:r>
      <w:r w:rsidRPr="00E043EA">
        <w:rPr>
          <w:rFonts w:ascii="Times New Roman" w:hAnsi="Times New Roman" w:cs="Times New Roman"/>
          <w:sz w:val="24"/>
          <w:szCs w:val="24"/>
        </w:rPr>
        <w:t>. Harvard University Press.</w:t>
      </w:r>
    </w:p>
    <w:p w14:paraId="080AD4E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OMFIF. (2025, February 14). </w:t>
      </w:r>
      <w:r w:rsidRPr="00E043EA">
        <w:rPr>
          <w:rFonts w:ascii="Times New Roman" w:hAnsi="Times New Roman" w:cs="Times New Roman"/>
          <w:i/>
          <w:iCs/>
          <w:sz w:val="24"/>
          <w:szCs w:val="24"/>
        </w:rPr>
        <w:t xml:space="preserve">Shared BRICS money: A basket currency or a basket </w:t>
      </w:r>
      <w:proofErr w:type="gramStart"/>
      <w:r w:rsidRPr="00E043EA">
        <w:rPr>
          <w:rFonts w:ascii="Times New Roman" w:hAnsi="Times New Roman" w:cs="Times New Roman"/>
          <w:i/>
          <w:iCs/>
          <w:sz w:val="24"/>
          <w:szCs w:val="24"/>
        </w:rPr>
        <w:t>case?</w:t>
      </w:r>
      <w:r w:rsidRPr="00E043EA">
        <w:rPr>
          <w:rFonts w:ascii="Times New Roman" w:hAnsi="Times New Roman" w:cs="Times New Roman"/>
          <w:sz w:val="24"/>
          <w:szCs w:val="24"/>
        </w:rPr>
        <w:t>.</w:t>
      </w:r>
      <w:proofErr w:type="gramEnd"/>
      <w:r w:rsidRPr="00E043EA">
        <w:rPr>
          <w:rFonts w:ascii="Times New Roman" w:hAnsi="Times New Roman" w:cs="Times New Roman"/>
          <w:sz w:val="24"/>
          <w:szCs w:val="24"/>
        </w:rPr>
        <w:t xml:space="preserve"> Official Monetary and Financial Institutions Forum. https://www.omfif.org/2025/02/shared-brics-money-a-basket-currency-or-a-basket-case/</w:t>
      </w:r>
    </w:p>
    <w:p w14:paraId="05440E8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Perez-</w:t>
      </w:r>
      <w:proofErr w:type="spellStart"/>
      <w:r w:rsidRPr="00E043EA">
        <w:rPr>
          <w:rFonts w:ascii="Times New Roman" w:hAnsi="Times New Roman" w:cs="Times New Roman"/>
          <w:sz w:val="24"/>
          <w:szCs w:val="24"/>
        </w:rPr>
        <w:t>Saiz</w:t>
      </w:r>
      <w:proofErr w:type="spellEnd"/>
      <w:r w:rsidRPr="00E043EA">
        <w:rPr>
          <w:rFonts w:ascii="Times New Roman" w:hAnsi="Times New Roman" w:cs="Times New Roman"/>
          <w:sz w:val="24"/>
          <w:szCs w:val="24"/>
        </w:rPr>
        <w:t xml:space="preserve">, H., Zhang, L., &amp; Iyer, R. (2023). “Currency Adoption for Cross-Border Payments.” </w:t>
      </w:r>
      <w:r w:rsidRPr="00E043EA">
        <w:rPr>
          <w:rFonts w:ascii="Times New Roman" w:hAnsi="Times New Roman" w:cs="Times New Roman"/>
          <w:i/>
          <w:iCs/>
          <w:sz w:val="24"/>
          <w:szCs w:val="24"/>
        </w:rPr>
        <w:t>IMF Working Paper</w:t>
      </w:r>
      <w:r w:rsidRPr="00E043EA">
        <w:rPr>
          <w:rFonts w:ascii="Times New Roman" w:hAnsi="Times New Roman" w:cs="Times New Roman"/>
          <w:sz w:val="24"/>
          <w:szCs w:val="24"/>
        </w:rPr>
        <w:t>.</w:t>
      </w:r>
    </w:p>
    <w:p w14:paraId="1EEF014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M. H., Schuermann, T., &amp; Weiner, S. M. (2004). </w:t>
      </w:r>
      <w:proofErr w:type="spellStart"/>
      <w:r w:rsidRPr="00E043EA">
        <w:rPr>
          <w:rFonts w:ascii="Times New Roman" w:hAnsi="Times New Roman" w:cs="Times New Roman"/>
          <w:sz w:val="24"/>
          <w:szCs w:val="24"/>
        </w:rPr>
        <w:t>Modeling</w:t>
      </w:r>
      <w:proofErr w:type="spellEnd"/>
      <w:r w:rsidRPr="00E043EA">
        <w:rPr>
          <w:rFonts w:ascii="Times New Roman" w:hAnsi="Times New Roman" w:cs="Times New Roman"/>
          <w:sz w:val="24"/>
          <w:szCs w:val="24"/>
        </w:rPr>
        <w:t xml:space="preserve"> regional interdependencies using a global error-correcting </w:t>
      </w:r>
      <w:proofErr w:type="spellStart"/>
      <w:r w:rsidRPr="00E043EA">
        <w:rPr>
          <w:rFonts w:ascii="Times New Roman" w:hAnsi="Times New Roman" w:cs="Times New Roman"/>
          <w:sz w:val="24"/>
          <w:szCs w:val="24"/>
        </w:rPr>
        <w:t>macroeconometric</w:t>
      </w:r>
      <w:proofErr w:type="spellEnd"/>
      <w:r w:rsidRPr="00E043EA">
        <w:rPr>
          <w:rFonts w:ascii="Times New Roman" w:hAnsi="Times New Roman" w:cs="Times New Roman"/>
          <w:sz w:val="24"/>
          <w:szCs w:val="24"/>
        </w:rPr>
        <w:t xml:space="preserve"> model. </w:t>
      </w:r>
      <w:r w:rsidRPr="00E043EA">
        <w:rPr>
          <w:rFonts w:ascii="Times New Roman" w:hAnsi="Times New Roman" w:cs="Times New Roman"/>
          <w:i/>
          <w:iCs/>
          <w:sz w:val="24"/>
          <w:szCs w:val="24"/>
        </w:rPr>
        <w:t>Journal of Business &amp; Economic Statistics, 22</w:t>
      </w:r>
      <w:r w:rsidRPr="00E043EA">
        <w:rPr>
          <w:rFonts w:ascii="Times New Roman" w:hAnsi="Times New Roman" w:cs="Times New Roman"/>
          <w:sz w:val="24"/>
          <w:szCs w:val="24"/>
        </w:rPr>
        <w:t xml:space="preserve">(2), 129–162. </w:t>
      </w:r>
    </w:p>
    <w:p w14:paraId="520FDFC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M. H., Schuermann, T., &amp; Weiner, S. M. (2004). Modelling regional interdependencies using a global VAR. </w:t>
      </w:r>
      <w:r w:rsidRPr="00E043EA">
        <w:rPr>
          <w:rFonts w:ascii="Times New Roman" w:hAnsi="Times New Roman" w:cs="Times New Roman"/>
          <w:i/>
          <w:iCs/>
          <w:sz w:val="24"/>
          <w:szCs w:val="24"/>
        </w:rPr>
        <w:t>Journal of Applied Econometrics, 20</w:t>
      </w:r>
      <w:r w:rsidRPr="00E043EA">
        <w:rPr>
          <w:rFonts w:ascii="Times New Roman" w:hAnsi="Times New Roman" w:cs="Times New Roman"/>
          <w:sz w:val="24"/>
          <w:szCs w:val="24"/>
        </w:rPr>
        <w:t>(2), 191–215.</w:t>
      </w:r>
    </w:p>
    <w:p w14:paraId="46087B82" w14:textId="77777777" w:rsidR="00CE7D9D" w:rsidRPr="00C8274A" w:rsidRDefault="00CE7D9D" w:rsidP="00CE7D9D">
      <w:pPr>
        <w:pStyle w:val="ListParagraph"/>
        <w:numPr>
          <w:ilvl w:val="0"/>
          <w:numId w:val="3"/>
        </w:numPr>
        <w:jc w:val="both"/>
        <w:rPr>
          <w:rFonts w:ascii="Times New Roman" w:hAnsi="Times New Roman" w:cs="Times New Roman"/>
          <w:sz w:val="24"/>
          <w:szCs w:val="24"/>
          <w:highlight w:val="yellow"/>
        </w:rPr>
      </w:pPr>
      <w:r w:rsidRPr="00C8274A">
        <w:rPr>
          <w:rFonts w:ascii="Times New Roman" w:hAnsi="Times New Roman" w:cs="Times New Roman"/>
          <w:sz w:val="24"/>
          <w:szCs w:val="24"/>
          <w:highlight w:val="yellow"/>
        </w:rPr>
        <w:t xml:space="preserve">Prasad, E. (2021). The future of international monetary coordination. In </w:t>
      </w:r>
      <w:r w:rsidRPr="00C8274A">
        <w:rPr>
          <w:rFonts w:ascii="Times New Roman" w:hAnsi="Times New Roman" w:cs="Times New Roman"/>
          <w:i/>
          <w:iCs/>
          <w:sz w:val="24"/>
          <w:szCs w:val="24"/>
          <w:highlight w:val="yellow"/>
        </w:rPr>
        <w:t>Global Monetary Governance and Financial Stability</w:t>
      </w:r>
      <w:r w:rsidRPr="00C8274A">
        <w:rPr>
          <w:rFonts w:ascii="Times New Roman" w:hAnsi="Times New Roman" w:cs="Times New Roman"/>
          <w:sz w:val="24"/>
          <w:szCs w:val="24"/>
          <w:highlight w:val="yellow"/>
        </w:rPr>
        <w:t xml:space="preserve"> (pp. 23–42). Cambridge University Press.</w:t>
      </w:r>
    </w:p>
    <w:p w14:paraId="4E76F62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Prasad, E. (2021). </w:t>
      </w:r>
      <w:r w:rsidRPr="00E043EA">
        <w:rPr>
          <w:rFonts w:ascii="Times New Roman" w:hAnsi="Times New Roman" w:cs="Times New Roman"/>
          <w:i/>
          <w:iCs/>
          <w:sz w:val="24"/>
          <w:szCs w:val="24"/>
        </w:rPr>
        <w:t>The future of money: How the digital revolution is transforming currencies and finance</w:t>
      </w:r>
      <w:r w:rsidRPr="00E043EA">
        <w:rPr>
          <w:rFonts w:ascii="Times New Roman" w:hAnsi="Times New Roman" w:cs="Times New Roman"/>
          <w:sz w:val="24"/>
          <w:szCs w:val="24"/>
        </w:rPr>
        <w:t>. Harvard University Press.</w:t>
      </w:r>
    </w:p>
    <w:p w14:paraId="44CD29E7" w14:textId="77777777" w:rsidR="00CE7D9D" w:rsidRPr="00C8274A" w:rsidRDefault="00CE7D9D" w:rsidP="00CE7D9D">
      <w:pPr>
        <w:pStyle w:val="ListParagraph"/>
        <w:numPr>
          <w:ilvl w:val="0"/>
          <w:numId w:val="3"/>
        </w:numPr>
        <w:jc w:val="both"/>
        <w:rPr>
          <w:rFonts w:ascii="Times New Roman" w:hAnsi="Times New Roman" w:cs="Times New Roman"/>
          <w:sz w:val="24"/>
          <w:szCs w:val="24"/>
          <w:highlight w:val="yellow"/>
        </w:rPr>
      </w:pPr>
      <w:r w:rsidRPr="00C8274A">
        <w:rPr>
          <w:rFonts w:ascii="Times New Roman" w:hAnsi="Times New Roman" w:cs="Times New Roman"/>
          <w:sz w:val="24"/>
          <w:szCs w:val="24"/>
          <w:highlight w:val="yellow"/>
        </w:rPr>
        <w:lastRenderedPageBreak/>
        <w:t xml:space="preserve">Prasad, E. (2023). The dollar trap revisited: Global implications of U.S. monetary policy. </w:t>
      </w:r>
      <w:r w:rsidRPr="00C8274A">
        <w:rPr>
          <w:rFonts w:ascii="Times New Roman" w:hAnsi="Times New Roman" w:cs="Times New Roman"/>
          <w:i/>
          <w:iCs/>
          <w:sz w:val="24"/>
          <w:szCs w:val="24"/>
          <w:highlight w:val="yellow"/>
        </w:rPr>
        <w:t>Brookings Papers on Economic Activity, 2023</w:t>
      </w:r>
      <w:r w:rsidRPr="00C8274A">
        <w:rPr>
          <w:rFonts w:ascii="Times New Roman" w:hAnsi="Times New Roman" w:cs="Times New Roman"/>
          <w:sz w:val="24"/>
          <w:szCs w:val="24"/>
          <w:highlight w:val="yellow"/>
        </w:rPr>
        <w:t>(1), 125–168.</w:t>
      </w:r>
    </w:p>
    <w:p w14:paraId="0DCD5B9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Prasad, E. S. (2014). </w:t>
      </w:r>
      <w:r w:rsidRPr="00E043EA">
        <w:rPr>
          <w:rFonts w:ascii="Times New Roman" w:hAnsi="Times New Roman" w:cs="Times New Roman"/>
          <w:i/>
          <w:iCs/>
          <w:sz w:val="24"/>
          <w:szCs w:val="24"/>
        </w:rPr>
        <w:t>The dollar trap: How the U.S. dollar tightened its grip on global finance</w:t>
      </w:r>
      <w:r w:rsidRPr="00E043EA">
        <w:rPr>
          <w:rFonts w:ascii="Times New Roman" w:hAnsi="Times New Roman" w:cs="Times New Roman"/>
          <w:sz w:val="24"/>
          <w:szCs w:val="24"/>
        </w:rPr>
        <w:t>. Princeton University Press.</w:t>
      </w:r>
    </w:p>
    <w:p w14:paraId="1A3E523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Reinhart, C. M., Rogoff, K. S., &amp; Savastano, M. A. (2003). Addicted to dollars. </w:t>
      </w:r>
      <w:r w:rsidRPr="00E043EA">
        <w:rPr>
          <w:rFonts w:ascii="Times New Roman" w:hAnsi="Times New Roman" w:cs="Times New Roman"/>
          <w:i/>
          <w:iCs/>
          <w:sz w:val="24"/>
          <w:szCs w:val="24"/>
        </w:rPr>
        <w:t>NBER Working Paper</w:t>
      </w:r>
      <w:r w:rsidRPr="00E043EA">
        <w:rPr>
          <w:rFonts w:ascii="Times New Roman" w:hAnsi="Times New Roman" w:cs="Times New Roman"/>
          <w:sz w:val="24"/>
          <w:szCs w:val="24"/>
        </w:rPr>
        <w:t xml:space="preserve"> No. 10015. National Bureau of Economic Research.</w:t>
      </w:r>
    </w:p>
    <w:p w14:paraId="63E4FCF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Rey, H. (2013). Dilemma not trilemma: The global financial cycle and monetary policy independence. In </w:t>
      </w:r>
      <w:r w:rsidRPr="00E043EA">
        <w:rPr>
          <w:rFonts w:ascii="Times New Roman" w:hAnsi="Times New Roman" w:cs="Times New Roman"/>
          <w:i/>
          <w:iCs/>
          <w:sz w:val="24"/>
          <w:szCs w:val="24"/>
        </w:rPr>
        <w:t>Global dimensions of unconventional monetary policy</w:t>
      </w:r>
      <w:r w:rsidRPr="00E043EA">
        <w:rPr>
          <w:rFonts w:ascii="Times New Roman" w:hAnsi="Times New Roman" w:cs="Times New Roman"/>
          <w:sz w:val="24"/>
          <w:szCs w:val="24"/>
        </w:rPr>
        <w:t xml:space="preserve"> (pp. 285–333). Bank for International Settlements.</w:t>
      </w:r>
    </w:p>
    <w:p w14:paraId="62C8982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Rey, H. (2015). Dilemma not trilemma: The global financial cycle and monetary policy independence. </w:t>
      </w:r>
      <w:r w:rsidRPr="00E043EA">
        <w:rPr>
          <w:rFonts w:ascii="Times New Roman" w:hAnsi="Times New Roman" w:cs="Times New Roman"/>
          <w:i/>
          <w:iCs/>
          <w:sz w:val="24"/>
          <w:szCs w:val="24"/>
        </w:rPr>
        <w:t>NBER Working Paper No. 21162</w:t>
      </w:r>
      <w:r w:rsidRPr="00E043EA">
        <w:rPr>
          <w:rFonts w:ascii="Times New Roman" w:hAnsi="Times New Roman" w:cs="Times New Roman"/>
          <w:sz w:val="24"/>
          <w:szCs w:val="24"/>
        </w:rPr>
        <w:t>. https://doi.org/10.3386/w21162</w:t>
      </w:r>
    </w:p>
    <w:p w14:paraId="4481A12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Rey, H. (2018). Dilemma not trilemma: The global financial cycle and monetary policy independence. </w:t>
      </w:r>
      <w:r w:rsidRPr="00E043EA">
        <w:rPr>
          <w:rFonts w:ascii="Times New Roman" w:hAnsi="Times New Roman" w:cs="Times New Roman"/>
          <w:i/>
          <w:iCs/>
          <w:sz w:val="24"/>
          <w:szCs w:val="24"/>
        </w:rPr>
        <w:t>Jackson Hole Economic Policy Symposium</w:t>
      </w:r>
      <w:r w:rsidRPr="00E043EA">
        <w:rPr>
          <w:rFonts w:ascii="Times New Roman" w:hAnsi="Times New Roman" w:cs="Times New Roman"/>
          <w:sz w:val="24"/>
          <w:szCs w:val="24"/>
        </w:rPr>
        <w:t>.</w:t>
      </w:r>
    </w:p>
    <w:p w14:paraId="3C111E1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Santos Silva, J. M. C., &amp; </w:t>
      </w: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xml:space="preserve">, S. (2006). The log of gravity. </w:t>
      </w:r>
      <w:r w:rsidRPr="00E043EA">
        <w:rPr>
          <w:rFonts w:ascii="Times New Roman" w:hAnsi="Times New Roman" w:cs="Times New Roman"/>
          <w:i/>
          <w:iCs/>
          <w:sz w:val="24"/>
          <w:szCs w:val="24"/>
        </w:rPr>
        <w:t>The Review of Economics and Statistics, 88</w:t>
      </w:r>
      <w:r w:rsidRPr="00E043EA">
        <w:rPr>
          <w:rFonts w:ascii="Times New Roman" w:hAnsi="Times New Roman" w:cs="Times New Roman"/>
          <w:sz w:val="24"/>
          <w:szCs w:val="24"/>
        </w:rPr>
        <w:t>(4), 641–658.</w:t>
      </w:r>
    </w:p>
    <w:p w14:paraId="648C7E55" w14:textId="5F7D5A25" w:rsidR="00D210F8" w:rsidRPr="00E043EA" w:rsidRDefault="00D210F8" w:rsidP="00D210F8">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Sathyanarayana, S., &amp; </w:t>
      </w:r>
      <w:proofErr w:type="spellStart"/>
      <w:r w:rsidRPr="00E043EA">
        <w:rPr>
          <w:rFonts w:ascii="Times New Roman" w:hAnsi="Times New Roman" w:cs="Times New Roman"/>
          <w:sz w:val="24"/>
          <w:szCs w:val="24"/>
        </w:rPr>
        <w:t>Mohanasundaram</w:t>
      </w:r>
      <w:proofErr w:type="spellEnd"/>
      <w:r w:rsidRPr="00E043EA">
        <w:rPr>
          <w:rFonts w:ascii="Times New Roman" w:hAnsi="Times New Roman" w:cs="Times New Roman"/>
          <w:sz w:val="24"/>
          <w:szCs w:val="24"/>
        </w:rPr>
        <w:t>, T. (2025). The Surge in Gold Price Volatility: Macroeconomic Drivers, Geopolitical Risk, and Market Dynamics. IRA-International Journal of Management &amp; Social Sciences (ISSN 2455-2267), 21(1), 15-45. DOI: https://dx.doi.org/10.21013/jmss.v21.n1.p2</w:t>
      </w:r>
    </w:p>
    <w:p w14:paraId="77BCB4B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Schenk, C. R. (2010). The Decline of Sterling: Managing the Retreat of an International Currency, 1945–1992. Cambridge University Press.</w:t>
      </w:r>
    </w:p>
    <w:p w14:paraId="1D6DD88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Schmitt-</w:t>
      </w:r>
      <w:proofErr w:type="spellStart"/>
      <w:r w:rsidRPr="00E043EA">
        <w:rPr>
          <w:rFonts w:ascii="Times New Roman" w:hAnsi="Times New Roman" w:cs="Times New Roman"/>
          <w:sz w:val="24"/>
          <w:szCs w:val="24"/>
        </w:rPr>
        <w:t>Grohé</w:t>
      </w:r>
      <w:proofErr w:type="spellEnd"/>
      <w:r w:rsidRPr="00E043EA">
        <w:rPr>
          <w:rFonts w:ascii="Times New Roman" w:hAnsi="Times New Roman" w:cs="Times New Roman"/>
          <w:sz w:val="24"/>
          <w:szCs w:val="24"/>
        </w:rPr>
        <w:t xml:space="preserve">, S., &amp; Uribe, M. (2003). Closing small open economy models. </w:t>
      </w:r>
      <w:r w:rsidRPr="00E043EA">
        <w:rPr>
          <w:rFonts w:ascii="Times New Roman" w:hAnsi="Times New Roman" w:cs="Times New Roman"/>
          <w:i/>
          <w:iCs/>
          <w:sz w:val="24"/>
          <w:szCs w:val="24"/>
        </w:rPr>
        <w:t>Journal of International Economics, 61</w:t>
      </w:r>
      <w:r w:rsidRPr="00E043EA">
        <w:rPr>
          <w:rFonts w:ascii="Times New Roman" w:hAnsi="Times New Roman" w:cs="Times New Roman"/>
          <w:sz w:val="24"/>
          <w:szCs w:val="24"/>
        </w:rPr>
        <w:t>(1), 163–185.</w:t>
      </w:r>
    </w:p>
    <w:p w14:paraId="1A196DA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Song, K., &amp; Xia, L. (2020). Bilateral swap agreement and renminbi settlement in cross-border trade. </w:t>
      </w:r>
      <w:r w:rsidRPr="00E043EA">
        <w:rPr>
          <w:rFonts w:ascii="Times New Roman" w:hAnsi="Times New Roman" w:cs="Times New Roman"/>
          <w:i/>
          <w:iCs/>
          <w:sz w:val="24"/>
          <w:szCs w:val="24"/>
        </w:rPr>
        <w:t>Economic and Political Studies, 8</w:t>
      </w:r>
      <w:r w:rsidRPr="00E043EA">
        <w:rPr>
          <w:rFonts w:ascii="Times New Roman" w:hAnsi="Times New Roman" w:cs="Times New Roman"/>
          <w:sz w:val="24"/>
          <w:szCs w:val="24"/>
        </w:rPr>
        <w:t>(3), 355–373.</w:t>
      </w:r>
    </w:p>
    <w:p w14:paraId="5C9107C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P. (2017). The People’s Money: How China is Building a Global Currency. Columbia University Press.</w:t>
      </w:r>
    </w:p>
    <w:p w14:paraId="1F88698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S. (2024). Dollar dominance and the transmission of monetary policy. LSE manuscript.</w:t>
      </w:r>
    </w:p>
    <w:p w14:paraId="541FEB4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Triffin, R. (1960). </w:t>
      </w:r>
      <w:r w:rsidRPr="00E043EA">
        <w:rPr>
          <w:rFonts w:ascii="Times New Roman" w:hAnsi="Times New Roman" w:cs="Times New Roman"/>
          <w:i/>
          <w:iCs/>
          <w:sz w:val="24"/>
          <w:szCs w:val="24"/>
        </w:rPr>
        <w:t>Gold and the dollar crisis: The future of convertibility</w:t>
      </w:r>
      <w:r w:rsidRPr="00E043EA">
        <w:rPr>
          <w:rFonts w:ascii="Times New Roman" w:hAnsi="Times New Roman" w:cs="Times New Roman"/>
          <w:sz w:val="24"/>
          <w:szCs w:val="24"/>
        </w:rPr>
        <w:t>. Yale University Press.</w:t>
      </w:r>
    </w:p>
    <w:p w14:paraId="6791000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Wikipedia. (2025). </w:t>
      </w:r>
      <w:r w:rsidRPr="00E043EA">
        <w:rPr>
          <w:rFonts w:ascii="Times New Roman" w:hAnsi="Times New Roman" w:cs="Times New Roman"/>
          <w:i/>
          <w:iCs/>
          <w:sz w:val="24"/>
          <w:szCs w:val="24"/>
        </w:rPr>
        <w:t>BRICS</w:t>
      </w:r>
      <w:r w:rsidRPr="00E043EA">
        <w:rPr>
          <w:rFonts w:ascii="Times New Roman" w:hAnsi="Times New Roman" w:cs="Times New Roman"/>
          <w:sz w:val="24"/>
          <w:szCs w:val="24"/>
        </w:rPr>
        <w:t>. In Wikipedia. https://en.wikipedia.org/wiki/BRICS</w:t>
      </w:r>
    </w:p>
    <w:p w14:paraId="40BB814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Yu, Y. (2014). How far can renminbi internationalization go? </w:t>
      </w:r>
      <w:r w:rsidRPr="00E043EA">
        <w:rPr>
          <w:rFonts w:ascii="Times New Roman" w:hAnsi="Times New Roman" w:cs="Times New Roman"/>
          <w:i/>
          <w:iCs/>
          <w:sz w:val="24"/>
          <w:szCs w:val="24"/>
        </w:rPr>
        <w:t>Asian Economic Policy Review, 9</w:t>
      </w:r>
      <w:r w:rsidRPr="00E043EA">
        <w:rPr>
          <w:rFonts w:ascii="Times New Roman" w:hAnsi="Times New Roman" w:cs="Times New Roman"/>
          <w:sz w:val="24"/>
          <w:szCs w:val="24"/>
        </w:rPr>
        <w:t xml:space="preserve">(2), 193–213. </w:t>
      </w:r>
    </w:p>
    <w:bookmarkEnd w:id="2"/>
    <w:p w14:paraId="548EC6B1" w14:textId="77777777" w:rsidR="00CE7D9D" w:rsidRPr="00CE7D9D" w:rsidRDefault="00CE7D9D" w:rsidP="00CE7D9D">
      <w:pPr>
        <w:rPr>
          <w:rFonts w:ascii="Times New Roman" w:hAnsi="Times New Roman" w:cs="Times New Roman"/>
          <w:sz w:val="24"/>
          <w:szCs w:val="24"/>
        </w:rPr>
      </w:pPr>
    </w:p>
    <w:sectPr w:rsidR="00CE7D9D" w:rsidRPr="00CE7D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C041" w14:textId="77777777" w:rsidR="00621A36" w:rsidRDefault="00621A36" w:rsidP="00BD63D6">
      <w:pPr>
        <w:spacing w:after="0" w:line="240" w:lineRule="auto"/>
      </w:pPr>
      <w:r>
        <w:separator/>
      </w:r>
    </w:p>
  </w:endnote>
  <w:endnote w:type="continuationSeparator" w:id="0">
    <w:p w14:paraId="5166577E" w14:textId="77777777" w:rsidR="00621A36" w:rsidRDefault="00621A36" w:rsidP="00BD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BBF5" w14:textId="77777777" w:rsidR="00BD63D6" w:rsidRDefault="00BD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8623" w14:textId="77777777" w:rsidR="00BD63D6" w:rsidRDefault="00BD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8B96" w14:textId="77777777" w:rsidR="00BD63D6" w:rsidRDefault="00BD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CB8E5" w14:textId="77777777" w:rsidR="00621A36" w:rsidRDefault="00621A36" w:rsidP="00BD63D6">
      <w:pPr>
        <w:spacing w:after="0" w:line="240" w:lineRule="auto"/>
      </w:pPr>
      <w:r>
        <w:separator/>
      </w:r>
    </w:p>
  </w:footnote>
  <w:footnote w:type="continuationSeparator" w:id="0">
    <w:p w14:paraId="63D7CDDE" w14:textId="77777777" w:rsidR="00621A36" w:rsidRDefault="00621A36" w:rsidP="00BD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5AFB" w14:textId="16ADBCEF" w:rsidR="00BD63D6" w:rsidRDefault="00621A36">
    <w:pPr>
      <w:pStyle w:val="Header"/>
    </w:pPr>
    <w:r>
      <w:rPr>
        <w:noProof/>
      </w:rPr>
      <w:pict w14:anchorId="3CFB7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9AC8" w14:textId="4A3BFCE0" w:rsidR="00BD63D6" w:rsidRDefault="00621A36">
    <w:pPr>
      <w:pStyle w:val="Header"/>
    </w:pPr>
    <w:r>
      <w:rPr>
        <w:noProof/>
      </w:rPr>
      <w:pict w14:anchorId="59D7E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9D8F" w14:textId="66366F97" w:rsidR="00BD63D6" w:rsidRDefault="00621A36">
    <w:pPr>
      <w:pStyle w:val="Header"/>
    </w:pPr>
    <w:r>
      <w:rPr>
        <w:noProof/>
      </w:rPr>
      <w:pict w14:anchorId="396B5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5A49"/>
    <w:multiLevelType w:val="hybridMultilevel"/>
    <w:tmpl w:val="9044F9AA"/>
    <w:lvl w:ilvl="0" w:tplc="B0228D4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DA3490"/>
    <w:multiLevelType w:val="hybridMultilevel"/>
    <w:tmpl w:val="4E00E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6C079B"/>
    <w:multiLevelType w:val="hybridMultilevel"/>
    <w:tmpl w:val="DB784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DG0MDOxNDAzNDVQ0lEKTi0uzszPAykwrAUAPCvXJSwAAAA="/>
  </w:docVars>
  <w:rsids>
    <w:rsidRoot w:val="005362EB"/>
    <w:rsid w:val="00025A7B"/>
    <w:rsid w:val="00067EA7"/>
    <w:rsid w:val="00174A05"/>
    <w:rsid w:val="001A7333"/>
    <w:rsid w:val="00232FE1"/>
    <w:rsid w:val="002372D3"/>
    <w:rsid w:val="002646D0"/>
    <w:rsid w:val="00285BBC"/>
    <w:rsid w:val="002B6E49"/>
    <w:rsid w:val="002F658A"/>
    <w:rsid w:val="003077CC"/>
    <w:rsid w:val="0035584E"/>
    <w:rsid w:val="00363272"/>
    <w:rsid w:val="003748C5"/>
    <w:rsid w:val="004C7607"/>
    <w:rsid w:val="004E0BD1"/>
    <w:rsid w:val="00514FED"/>
    <w:rsid w:val="00515815"/>
    <w:rsid w:val="0053306C"/>
    <w:rsid w:val="005342F8"/>
    <w:rsid w:val="005362EB"/>
    <w:rsid w:val="005726D4"/>
    <w:rsid w:val="00576E6A"/>
    <w:rsid w:val="0058364E"/>
    <w:rsid w:val="00602EA4"/>
    <w:rsid w:val="00606E99"/>
    <w:rsid w:val="00621A36"/>
    <w:rsid w:val="00693B2E"/>
    <w:rsid w:val="006B56D3"/>
    <w:rsid w:val="006D3C50"/>
    <w:rsid w:val="00725B9C"/>
    <w:rsid w:val="00776B37"/>
    <w:rsid w:val="0077774D"/>
    <w:rsid w:val="00782DC7"/>
    <w:rsid w:val="007F449D"/>
    <w:rsid w:val="007F6A86"/>
    <w:rsid w:val="008250D6"/>
    <w:rsid w:val="00871EDD"/>
    <w:rsid w:val="00891AE2"/>
    <w:rsid w:val="008E3029"/>
    <w:rsid w:val="008F4F06"/>
    <w:rsid w:val="009057E4"/>
    <w:rsid w:val="009247B3"/>
    <w:rsid w:val="0094492A"/>
    <w:rsid w:val="00995A26"/>
    <w:rsid w:val="00A06851"/>
    <w:rsid w:val="00A3446D"/>
    <w:rsid w:val="00A53E03"/>
    <w:rsid w:val="00A82B60"/>
    <w:rsid w:val="00AA3D9F"/>
    <w:rsid w:val="00BB4C4F"/>
    <w:rsid w:val="00BD0863"/>
    <w:rsid w:val="00BD63D6"/>
    <w:rsid w:val="00C210BC"/>
    <w:rsid w:val="00C60447"/>
    <w:rsid w:val="00C74415"/>
    <w:rsid w:val="00C8208D"/>
    <w:rsid w:val="00C8274A"/>
    <w:rsid w:val="00CD6EF7"/>
    <w:rsid w:val="00CE7D9D"/>
    <w:rsid w:val="00D05459"/>
    <w:rsid w:val="00D210F8"/>
    <w:rsid w:val="00DB1CC0"/>
    <w:rsid w:val="00DB3442"/>
    <w:rsid w:val="00E043EA"/>
    <w:rsid w:val="00E12F12"/>
    <w:rsid w:val="00E1613D"/>
    <w:rsid w:val="00E230CB"/>
    <w:rsid w:val="00E54DDA"/>
    <w:rsid w:val="00E71D0C"/>
    <w:rsid w:val="00E87600"/>
    <w:rsid w:val="00F04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7AAEE"/>
  <w15:chartTrackingRefBased/>
  <w15:docId w15:val="{B8F58BE0-D53A-4B4A-B447-193387DA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EB"/>
    <w:rPr>
      <w:rFonts w:eastAsiaTheme="majorEastAsia" w:cstheme="majorBidi"/>
      <w:color w:val="272727" w:themeColor="text1" w:themeTint="D8"/>
    </w:rPr>
  </w:style>
  <w:style w:type="paragraph" w:styleId="Title">
    <w:name w:val="Title"/>
    <w:basedOn w:val="Normal"/>
    <w:next w:val="Normal"/>
    <w:link w:val="TitleChar"/>
    <w:uiPriority w:val="10"/>
    <w:qFormat/>
    <w:rsid w:val="0053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EB"/>
    <w:pPr>
      <w:spacing w:before="160"/>
      <w:jc w:val="center"/>
    </w:pPr>
    <w:rPr>
      <w:i/>
      <w:iCs/>
      <w:color w:val="404040" w:themeColor="text1" w:themeTint="BF"/>
    </w:rPr>
  </w:style>
  <w:style w:type="character" w:customStyle="1" w:styleId="QuoteChar">
    <w:name w:val="Quote Char"/>
    <w:basedOn w:val="DefaultParagraphFont"/>
    <w:link w:val="Quote"/>
    <w:uiPriority w:val="29"/>
    <w:rsid w:val="005362EB"/>
    <w:rPr>
      <w:i/>
      <w:iCs/>
      <w:color w:val="404040" w:themeColor="text1" w:themeTint="BF"/>
    </w:rPr>
  </w:style>
  <w:style w:type="paragraph" w:styleId="ListParagraph">
    <w:name w:val="List Paragraph"/>
    <w:basedOn w:val="Normal"/>
    <w:uiPriority w:val="34"/>
    <w:qFormat/>
    <w:rsid w:val="005362EB"/>
    <w:pPr>
      <w:ind w:left="720"/>
      <w:contextualSpacing/>
    </w:pPr>
  </w:style>
  <w:style w:type="character" w:styleId="IntenseEmphasis">
    <w:name w:val="Intense Emphasis"/>
    <w:basedOn w:val="DefaultParagraphFont"/>
    <w:uiPriority w:val="21"/>
    <w:qFormat/>
    <w:rsid w:val="005362EB"/>
    <w:rPr>
      <w:i/>
      <w:iCs/>
      <w:color w:val="2F5496" w:themeColor="accent1" w:themeShade="BF"/>
    </w:rPr>
  </w:style>
  <w:style w:type="paragraph" w:styleId="IntenseQuote">
    <w:name w:val="Intense Quote"/>
    <w:basedOn w:val="Normal"/>
    <w:next w:val="Normal"/>
    <w:link w:val="IntenseQuoteChar"/>
    <w:uiPriority w:val="30"/>
    <w:qFormat/>
    <w:rsid w:val="00536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2EB"/>
    <w:rPr>
      <w:i/>
      <w:iCs/>
      <w:color w:val="2F5496" w:themeColor="accent1" w:themeShade="BF"/>
    </w:rPr>
  </w:style>
  <w:style w:type="character" w:styleId="IntenseReference">
    <w:name w:val="Intense Reference"/>
    <w:basedOn w:val="DefaultParagraphFont"/>
    <w:uiPriority w:val="32"/>
    <w:qFormat/>
    <w:rsid w:val="005362EB"/>
    <w:rPr>
      <w:b/>
      <w:bCs/>
      <w:smallCaps/>
      <w:color w:val="2F5496" w:themeColor="accent1" w:themeShade="BF"/>
      <w:spacing w:val="5"/>
    </w:rPr>
  </w:style>
  <w:style w:type="character" w:styleId="Hyperlink">
    <w:name w:val="Hyperlink"/>
    <w:basedOn w:val="DefaultParagraphFont"/>
    <w:uiPriority w:val="99"/>
    <w:unhideWhenUsed/>
    <w:rsid w:val="009057E4"/>
    <w:rPr>
      <w:color w:val="0563C1" w:themeColor="hyperlink"/>
      <w:u w:val="single"/>
    </w:rPr>
  </w:style>
  <w:style w:type="character" w:styleId="UnresolvedMention">
    <w:name w:val="Unresolved Mention"/>
    <w:basedOn w:val="DefaultParagraphFont"/>
    <w:uiPriority w:val="99"/>
    <w:semiHidden/>
    <w:unhideWhenUsed/>
    <w:rsid w:val="009057E4"/>
    <w:rPr>
      <w:color w:val="605E5C"/>
      <w:shd w:val="clear" w:color="auto" w:fill="E1DFDD"/>
    </w:rPr>
  </w:style>
  <w:style w:type="paragraph" w:styleId="NoSpacing">
    <w:name w:val="No Spacing"/>
    <w:uiPriority w:val="1"/>
    <w:qFormat/>
    <w:rsid w:val="00776B37"/>
    <w:pPr>
      <w:spacing w:after="0" w:line="240" w:lineRule="auto"/>
    </w:pPr>
  </w:style>
  <w:style w:type="paragraph" w:styleId="Header">
    <w:name w:val="header"/>
    <w:basedOn w:val="Normal"/>
    <w:link w:val="HeaderChar"/>
    <w:uiPriority w:val="99"/>
    <w:unhideWhenUsed/>
    <w:rsid w:val="00BD6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3D6"/>
  </w:style>
  <w:style w:type="paragraph" w:styleId="Footer">
    <w:name w:val="footer"/>
    <w:basedOn w:val="Normal"/>
    <w:link w:val="FooterChar"/>
    <w:uiPriority w:val="99"/>
    <w:unhideWhenUsed/>
    <w:rsid w:val="00BD6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23</Pages>
  <Words>11425</Words>
  <Characters>65127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1158</cp:lastModifiedBy>
  <cp:revision>28</cp:revision>
  <cp:lastPrinted>2025-08-15T08:50:00Z</cp:lastPrinted>
  <dcterms:created xsi:type="dcterms:W3CDTF">2025-08-10T06:17:00Z</dcterms:created>
  <dcterms:modified xsi:type="dcterms:W3CDTF">2025-08-22T05:54:00Z</dcterms:modified>
</cp:coreProperties>
</file>