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EAB39" w14:textId="71F5D9C0" w:rsidR="00754C9A" w:rsidRPr="00A447AE" w:rsidRDefault="00A447AE" w:rsidP="00A447AE">
      <w:pPr>
        <w:pStyle w:val="Title"/>
        <w:spacing w:after="0"/>
        <w:rPr>
          <w:rFonts w:ascii="Arial" w:hAnsi="Arial" w:cs="Arial"/>
          <w:i/>
          <w:u w:val="single"/>
        </w:rPr>
      </w:pPr>
      <w:r w:rsidRPr="00A447AE">
        <w:rPr>
          <w:rFonts w:ascii="Arial" w:hAnsi="Arial" w:cs="Arial"/>
          <w:i/>
          <w:u w:val="single"/>
        </w:rPr>
        <w:t>Original Research Article</w:t>
      </w:r>
    </w:p>
    <w:p w14:paraId="7FAF7C27" w14:textId="77777777" w:rsidR="00A447AE" w:rsidRPr="00732C16" w:rsidRDefault="00A447AE" w:rsidP="00732C16">
      <w:pPr>
        <w:pStyle w:val="Title"/>
        <w:spacing w:after="0"/>
        <w:jc w:val="both"/>
        <w:rPr>
          <w:rFonts w:ascii="Arial" w:hAnsi="Arial" w:cs="Arial"/>
        </w:rPr>
      </w:pPr>
    </w:p>
    <w:p w14:paraId="44527E7D" w14:textId="41F11251" w:rsidR="00163BC4" w:rsidRPr="00732C16" w:rsidRDefault="00BA4BD8" w:rsidP="00732C16">
      <w:pPr>
        <w:pStyle w:val="Author"/>
        <w:spacing w:line="240" w:lineRule="auto"/>
        <w:rPr>
          <w:rFonts w:ascii="Arial" w:hAnsi="Arial" w:cs="Arial"/>
          <w:bCs/>
          <w:iCs/>
          <w:kern w:val="28"/>
          <w:sz w:val="36"/>
        </w:rPr>
      </w:pPr>
      <w:r w:rsidRPr="00BA4BD8">
        <w:rPr>
          <w:rFonts w:ascii="Arial" w:hAnsi="Arial" w:cs="Arial"/>
          <w:bCs/>
          <w:iCs/>
          <w:kern w:val="28"/>
          <w:sz w:val="36"/>
        </w:rPr>
        <w:t>Effects of Credit Risk on Profitability and Sustainability: Evidence from Selected Micro-Finance Institutions within Sub-Saharan Region</w:t>
      </w:r>
      <w:r w:rsidR="00401927" w:rsidRPr="00732C16">
        <w:rPr>
          <w:rFonts w:ascii="Arial" w:hAnsi="Arial" w:cs="Arial"/>
          <w:bCs/>
          <w:iCs/>
          <w:kern w:val="28"/>
          <w:sz w:val="36"/>
        </w:rPr>
        <w:t xml:space="preserve"> </w:t>
      </w:r>
    </w:p>
    <w:p w14:paraId="2C63C6E0" w14:textId="77777777" w:rsidR="00790ADA" w:rsidRPr="00732C16" w:rsidRDefault="00790ADA" w:rsidP="00732C16">
      <w:pPr>
        <w:pStyle w:val="Affiliation"/>
        <w:spacing w:after="0" w:line="240" w:lineRule="auto"/>
        <w:jc w:val="both"/>
        <w:rPr>
          <w:rFonts w:ascii="Arial" w:hAnsi="Arial" w:cs="Arial"/>
        </w:rPr>
      </w:pPr>
    </w:p>
    <w:p w14:paraId="0AD1419D" w14:textId="77777777" w:rsidR="002C57D2" w:rsidRPr="00732C16" w:rsidRDefault="002C57D2" w:rsidP="00732C16">
      <w:pPr>
        <w:pStyle w:val="Affiliation"/>
        <w:spacing w:after="0" w:line="240" w:lineRule="auto"/>
        <w:jc w:val="both"/>
        <w:rPr>
          <w:rFonts w:ascii="Arial" w:hAnsi="Arial" w:cs="Arial"/>
        </w:rPr>
      </w:pPr>
      <w:bookmarkStart w:id="0" w:name="_GoBack"/>
      <w:bookmarkEnd w:id="0"/>
    </w:p>
    <w:p w14:paraId="18CEED65" w14:textId="77777777" w:rsidR="00B01FCD" w:rsidRPr="00732C16" w:rsidRDefault="00732C16" w:rsidP="00732C16">
      <w:pPr>
        <w:pStyle w:val="Copyright"/>
        <w:spacing w:after="0" w:line="240" w:lineRule="auto"/>
        <w:jc w:val="both"/>
        <w:rPr>
          <w:rFonts w:ascii="Arial" w:hAnsi="Arial" w:cs="Arial"/>
        </w:rPr>
        <w:sectPr w:rsidR="00B01FCD" w:rsidRPr="00732C16" w:rsidSect="00856F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32C16">
        <w:rPr>
          <w:rFonts w:ascii="Arial" w:hAnsi="Arial" w:cs="Arial"/>
          <w:noProof/>
        </w:rPr>
        <mc:AlternateContent>
          <mc:Choice Requires="wps">
            <w:drawing>
              <wp:inline distT="0" distB="0" distL="0" distR="0" wp14:anchorId="61B2FCA6" wp14:editId="2A935B80">
                <wp:extent cx="5303520" cy="635"/>
                <wp:effectExtent l="11430" t="16510" r="9525" b="1206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E8514C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sidRPr="00732C16">
        <w:rPr>
          <w:rFonts w:ascii="Arial" w:hAnsi="Arial" w:cs="Arial"/>
        </w:rPr>
        <w:t>.</w:t>
      </w:r>
    </w:p>
    <w:p w14:paraId="5575E87F" w14:textId="77777777" w:rsidR="00B01FCD" w:rsidRPr="00732C16" w:rsidRDefault="00B01FCD" w:rsidP="00732C16">
      <w:pPr>
        <w:pStyle w:val="AbstHead"/>
        <w:spacing w:after="0"/>
        <w:jc w:val="both"/>
        <w:rPr>
          <w:rFonts w:ascii="Arial" w:hAnsi="Arial" w:cs="Arial"/>
        </w:rPr>
      </w:pPr>
      <w:r w:rsidRPr="00732C16">
        <w:rPr>
          <w:rFonts w:ascii="Arial" w:hAnsi="Arial" w:cs="Arial"/>
        </w:rPr>
        <w:t>ABSTRACT</w:t>
      </w:r>
      <w:r w:rsidR="00976267" w:rsidRPr="00732C16">
        <w:rPr>
          <w:rFonts w:ascii="Arial" w:hAnsi="Arial" w:cs="Arial"/>
        </w:rPr>
        <w:t xml:space="preserve"> </w:t>
      </w:r>
    </w:p>
    <w:p w14:paraId="276541CE" w14:textId="77777777" w:rsidR="00790ADA" w:rsidRPr="00732C16" w:rsidRDefault="00790ADA" w:rsidP="00732C1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32C16" w14:paraId="79CADEE7" w14:textId="77777777" w:rsidTr="001E44FE">
        <w:tc>
          <w:tcPr>
            <w:tcW w:w="9576" w:type="dxa"/>
            <w:shd w:val="clear" w:color="auto" w:fill="F2F2F2"/>
          </w:tcPr>
          <w:p w14:paraId="729A445D" w14:textId="77777777" w:rsidR="00E3114E" w:rsidRPr="00732C16" w:rsidRDefault="00E3114E" w:rsidP="00732C16">
            <w:pPr>
              <w:pStyle w:val="Body"/>
              <w:spacing w:after="0"/>
              <w:rPr>
                <w:rFonts w:ascii="Arial" w:eastAsia="Calibri" w:hAnsi="Arial" w:cs="Arial"/>
                <w:szCs w:val="22"/>
              </w:rPr>
            </w:pPr>
          </w:p>
          <w:p w14:paraId="233D9D65" w14:textId="77777777"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 xml:space="preserve">Aims: </w:t>
            </w:r>
            <w:r w:rsidR="00947BA4" w:rsidRPr="00732C16">
              <w:rPr>
                <w:rFonts w:ascii="Arial" w:eastAsia="Calibri" w:hAnsi="Arial" w:cs="Arial"/>
                <w:szCs w:val="22"/>
              </w:rPr>
              <w:t>The study aimed to investigate the effects of credit risk on the profitability and sustainability of micro-financial institutions (MFIs) in Sub-Saharan Africa. Given the critical role that MFIs play in financial inclusion and economic development, understanding how credit risk affects their operational efficiency is essential for ensuring long-term financial stability.</w:t>
            </w:r>
          </w:p>
          <w:p w14:paraId="0DCBFE0A" w14:textId="06E44679"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Study design:</w:t>
            </w:r>
            <w:r w:rsidRPr="00732C16">
              <w:rPr>
                <w:rFonts w:ascii="Arial" w:eastAsia="Calibri" w:hAnsi="Arial" w:cs="Arial"/>
                <w:szCs w:val="22"/>
              </w:rPr>
              <w:t xml:space="preserve"> </w:t>
            </w:r>
            <w:r w:rsidR="00947BA4" w:rsidRPr="00732C16">
              <w:rPr>
                <w:rFonts w:ascii="Arial" w:eastAsia="Calibri" w:hAnsi="Arial" w:cs="Arial"/>
                <w:szCs w:val="22"/>
              </w:rPr>
              <w:t>This research adopted a mixed-methods approach, integrating both explanatory and descriptive research designs to explore the causal relationship between credit risk and MFI performance, while also offering contextual insights into how these risks manifest in practice.</w:t>
            </w:r>
          </w:p>
          <w:p w14:paraId="65DD9102" w14:textId="26FAC710" w:rsidR="00BA1B01" w:rsidRPr="00732C16" w:rsidRDefault="00BA1B01" w:rsidP="00732C16">
            <w:pPr>
              <w:pStyle w:val="Body"/>
              <w:spacing w:after="0"/>
              <w:rPr>
                <w:rFonts w:ascii="Arial" w:eastAsia="Calibri" w:hAnsi="Arial" w:cs="Arial"/>
                <w:szCs w:val="22"/>
              </w:rPr>
            </w:pPr>
            <w:r w:rsidRPr="00732C16">
              <w:rPr>
                <w:rFonts w:ascii="Arial" w:eastAsia="Calibri" w:hAnsi="Arial" w:cs="Arial"/>
                <w:b/>
                <w:szCs w:val="22"/>
              </w:rPr>
              <w:t>Place and Duration of Study:</w:t>
            </w:r>
            <w:r w:rsidRPr="00732C16">
              <w:rPr>
                <w:rFonts w:ascii="Arial" w:eastAsia="Calibri" w:hAnsi="Arial" w:cs="Arial"/>
                <w:szCs w:val="22"/>
              </w:rPr>
              <w:t xml:space="preserve"> </w:t>
            </w:r>
            <w:r w:rsidR="00383ED4" w:rsidRPr="00732C16">
              <w:rPr>
                <w:rFonts w:ascii="Arial" w:eastAsia="Calibri" w:hAnsi="Arial" w:cs="Arial"/>
                <w:szCs w:val="22"/>
              </w:rPr>
              <w:t xml:space="preserve">The study was conducted across 12 selected countries in Sub-Saharan Africa representing approximately 25% of the region’s </w:t>
            </w:r>
            <w:r w:rsidR="00C35163">
              <w:rPr>
                <w:rFonts w:ascii="Arial" w:eastAsia="Calibri" w:hAnsi="Arial" w:cs="Arial"/>
                <w:szCs w:val="22"/>
              </w:rPr>
              <w:t>nations and</w:t>
            </w:r>
            <w:r w:rsidR="00383ED4" w:rsidRPr="00732C16">
              <w:rPr>
                <w:rFonts w:ascii="Arial" w:eastAsia="Calibri" w:hAnsi="Arial" w:cs="Arial"/>
                <w:szCs w:val="22"/>
              </w:rPr>
              <w:t xml:space="preserve"> spanning West, East, and Southern Africa. Data collection took place between August 2024 and March 2025.</w:t>
            </w:r>
          </w:p>
          <w:p w14:paraId="0010EF98" w14:textId="77777777" w:rsidR="00383ED4" w:rsidRPr="00732C16" w:rsidRDefault="00BA1B01" w:rsidP="00732C16">
            <w:pPr>
              <w:pStyle w:val="Body"/>
              <w:rPr>
                <w:rFonts w:ascii="Arial" w:eastAsia="Calibri" w:hAnsi="Arial" w:cs="Arial"/>
                <w:szCs w:val="22"/>
              </w:rPr>
            </w:pPr>
            <w:r w:rsidRPr="00732C16">
              <w:rPr>
                <w:rFonts w:ascii="Arial" w:eastAsia="Calibri" w:hAnsi="Arial" w:cs="Arial"/>
                <w:b/>
                <w:bCs/>
                <w:szCs w:val="22"/>
              </w:rPr>
              <w:t>Methodology:</w:t>
            </w:r>
            <w:r w:rsidRPr="00732C16">
              <w:rPr>
                <w:rFonts w:ascii="Arial" w:eastAsia="Calibri" w:hAnsi="Arial" w:cs="Arial"/>
                <w:szCs w:val="22"/>
              </w:rPr>
              <w:t xml:space="preserve"> </w:t>
            </w:r>
            <w:r w:rsidR="00383ED4" w:rsidRPr="00732C16">
              <w:rPr>
                <w:rFonts w:ascii="Arial" w:eastAsia="Calibri" w:hAnsi="Arial" w:cs="Arial"/>
                <w:szCs w:val="22"/>
              </w:rPr>
              <w:t>The study utilized both primary and secondary data sources. Primary data were gathered through online surveys and semi-structured interviews with MFI employees and managers. A sample of 385 participants was selected using stratified random and purposive sampling techniques. Descriptive statistics were conducted using SPSS to analyze survey data, while thematic analysis was used for qualitative interview data. Regression analysis was employed to test the hypothesis regarding the influence of credit risk on profitability and sustainability.</w:t>
            </w:r>
          </w:p>
          <w:p w14:paraId="24C442FB" w14:textId="48F3901E" w:rsidR="00383ED4" w:rsidRPr="00732C16" w:rsidRDefault="00BA1B01" w:rsidP="00732C16">
            <w:pPr>
              <w:pStyle w:val="Body"/>
              <w:rPr>
                <w:rFonts w:ascii="Arial" w:eastAsia="Calibri" w:hAnsi="Arial" w:cs="Arial"/>
                <w:szCs w:val="22"/>
              </w:rPr>
            </w:pPr>
            <w:r w:rsidRPr="00732C16">
              <w:rPr>
                <w:rFonts w:ascii="Arial" w:eastAsia="Calibri" w:hAnsi="Arial" w:cs="Arial"/>
                <w:b/>
                <w:bCs/>
                <w:szCs w:val="22"/>
              </w:rPr>
              <w:t>Results:</w:t>
            </w:r>
            <w:r w:rsidRPr="00732C16">
              <w:rPr>
                <w:rFonts w:ascii="Arial" w:eastAsia="Calibri" w:hAnsi="Arial" w:cs="Arial"/>
                <w:szCs w:val="22"/>
              </w:rPr>
              <w:t xml:space="preserve"> </w:t>
            </w:r>
            <w:r w:rsidR="00DA3CBB" w:rsidRPr="00DA3CBB">
              <w:rPr>
                <w:rFonts w:ascii="Arial" w:eastAsia="Calibri" w:hAnsi="Arial" w:cs="Arial"/>
                <w:szCs w:val="22"/>
              </w:rPr>
              <w:t>The study found that credit risk has a significant negative effect on the profitability and sustainability of MFIs. Regression analysis revealed a coefficient of -0.318 (t = -3.457, p = 0.001), indicating that higher credit risk is associated with lower profitability and reduced operational stability. Descriptive statistics showed moderate to high concern for credit risk (mean = 3.68) alongside modest profitability (mean = 3.45) and sustainability (mean = 3.52), while interviews confirmed that loan defaults and non-performing loans continue to compromise financial performance despite</w:t>
            </w:r>
            <w:r w:rsidR="00DA3CBB">
              <w:rPr>
                <w:rFonts w:ascii="Arial" w:eastAsia="Calibri" w:hAnsi="Arial" w:cs="Arial"/>
                <w:szCs w:val="22"/>
              </w:rPr>
              <w:t xml:space="preserve"> robust risk assessment efforts</w:t>
            </w:r>
            <w:r w:rsidR="00383ED4" w:rsidRPr="00732C16">
              <w:rPr>
                <w:rFonts w:ascii="Arial" w:eastAsia="Calibri" w:hAnsi="Arial" w:cs="Arial"/>
                <w:szCs w:val="22"/>
              </w:rPr>
              <w:t>.</w:t>
            </w:r>
          </w:p>
          <w:p w14:paraId="184A69D5" w14:textId="7AA7041A" w:rsidR="00505F06" w:rsidRPr="00DA3CBB" w:rsidRDefault="00BA1B01" w:rsidP="00DA3CBB">
            <w:pPr>
              <w:pStyle w:val="Body"/>
              <w:rPr>
                <w:rFonts w:ascii="Arial" w:eastAsia="Calibri" w:hAnsi="Arial" w:cs="Arial"/>
                <w:bCs/>
                <w:szCs w:val="22"/>
              </w:rPr>
            </w:pPr>
            <w:r w:rsidRPr="00732C16">
              <w:rPr>
                <w:rFonts w:ascii="Arial" w:eastAsia="Calibri" w:hAnsi="Arial" w:cs="Arial"/>
                <w:b/>
                <w:bCs/>
                <w:szCs w:val="22"/>
              </w:rPr>
              <w:t>Conclusion:</w:t>
            </w:r>
            <w:r w:rsidR="00B20D46" w:rsidRPr="00732C16">
              <w:rPr>
                <w:rFonts w:ascii="Arial" w:hAnsi="Arial" w:cs="Arial"/>
              </w:rPr>
              <w:t xml:space="preserve"> </w:t>
            </w:r>
            <w:r w:rsidR="00DA3CBB" w:rsidRPr="00DA3CBB">
              <w:rPr>
                <w:rFonts w:ascii="Arial" w:eastAsia="Calibri" w:hAnsi="Arial" w:cs="Arial"/>
                <w:bCs/>
                <w:szCs w:val="22"/>
              </w:rPr>
              <w:t xml:space="preserve">Credit risk is a central challenge undermining both the financial performance and long-term sustainability of MFIs in Sub-Saharan Africa. Even with existing mitigation strategies, persistent defaults continue to erode profitability and operational stability. MFIs should strengthen credit appraisal using both financial and non-financial indicators, invest in staff training on risk assessment and monitoring, leverage digital tools for real-time borrower tracking, and align credit decisions with their risk appetite. Additionally, </w:t>
            </w:r>
            <w:r w:rsidR="00DA3CBB" w:rsidRPr="00DA3CBB">
              <w:rPr>
                <w:rFonts w:ascii="Arial" w:eastAsia="Calibri" w:hAnsi="Arial" w:cs="Arial"/>
                <w:bCs/>
                <w:szCs w:val="22"/>
              </w:rPr>
              <w:lastRenderedPageBreak/>
              <w:t>engagement with policymakers to enhance regulatory frameworks, combined with scenario analysis and stress testing, will support more resilient and sustainable operations</w:t>
            </w:r>
            <w:r w:rsidR="003F1E40" w:rsidRPr="003F1E40">
              <w:rPr>
                <w:rFonts w:ascii="Arial" w:eastAsia="Calibri" w:hAnsi="Arial" w:cs="Arial"/>
                <w:bCs/>
                <w:szCs w:val="22"/>
              </w:rPr>
              <w:t>.</w:t>
            </w:r>
          </w:p>
        </w:tc>
      </w:tr>
    </w:tbl>
    <w:p w14:paraId="76D62B8A" w14:textId="77777777" w:rsidR="00636EB2" w:rsidRPr="00732C16" w:rsidRDefault="00636EB2" w:rsidP="00732C16">
      <w:pPr>
        <w:pStyle w:val="Body"/>
        <w:spacing w:after="0"/>
        <w:rPr>
          <w:rFonts w:ascii="Arial" w:hAnsi="Arial" w:cs="Arial"/>
          <w:i/>
        </w:rPr>
      </w:pPr>
    </w:p>
    <w:p w14:paraId="1151556E" w14:textId="1202A2BE" w:rsidR="00383ED4" w:rsidRPr="00732C16" w:rsidRDefault="00B20D46" w:rsidP="00732C16">
      <w:pPr>
        <w:pStyle w:val="Body"/>
        <w:spacing w:after="0"/>
        <w:rPr>
          <w:rFonts w:ascii="Arial" w:hAnsi="Arial" w:cs="Arial"/>
          <w:i/>
        </w:rPr>
      </w:pPr>
      <w:r w:rsidRPr="00732C16">
        <w:rPr>
          <w:rFonts w:ascii="Arial" w:hAnsi="Arial" w:cs="Arial"/>
          <w:i/>
        </w:rPr>
        <w:t xml:space="preserve">Keywords: </w:t>
      </w:r>
      <w:r w:rsidR="00383ED4" w:rsidRPr="00732C16">
        <w:rPr>
          <w:rFonts w:ascii="Arial" w:hAnsi="Arial" w:cs="Arial"/>
          <w:i/>
        </w:rPr>
        <w:t>credit risk, microfinance institutions, Sub-Saharan Africa, profit</w:t>
      </w:r>
      <w:r w:rsidR="00DA3CBB">
        <w:rPr>
          <w:rFonts w:ascii="Arial" w:hAnsi="Arial" w:cs="Arial"/>
          <w:i/>
        </w:rPr>
        <w:t>ability, sustainability, loan default</w:t>
      </w:r>
      <w:r w:rsidR="00383ED4" w:rsidRPr="00732C16">
        <w:rPr>
          <w:rFonts w:ascii="Arial" w:hAnsi="Arial" w:cs="Arial"/>
          <w:i/>
        </w:rPr>
        <w:t>.</w:t>
      </w:r>
    </w:p>
    <w:p w14:paraId="78472005" w14:textId="77777777" w:rsidR="00383ED4" w:rsidRPr="00732C16" w:rsidRDefault="00383ED4" w:rsidP="00732C16">
      <w:pPr>
        <w:pStyle w:val="Body"/>
        <w:spacing w:after="0"/>
        <w:rPr>
          <w:rFonts w:ascii="Arial" w:hAnsi="Arial" w:cs="Arial"/>
          <w:i/>
        </w:rPr>
      </w:pPr>
    </w:p>
    <w:p w14:paraId="5BA44F75" w14:textId="77777777" w:rsidR="007F7B32" w:rsidRPr="00732C16" w:rsidRDefault="00902823" w:rsidP="00732C16">
      <w:pPr>
        <w:pStyle w:val="Body"/>
        <w:spacing w:after="0"/>
        <w:rPr>
          <w:rFonts w:ascii="Arial" w:hAnsi="Arial" w:cs="Arial"/>
          <w:b/>
        </w:rPr>
      </w:pPr>
      <w:r w:rsidRPr="00732C16">
        <w:rPr>
          <w:rFonts w:ascii="Arial" w:hAnsi="Arial" w:cs="Arial"/>
          <w:b/>
        </w:rPr>
        <w:t xml:space="preserve">1. </w:t>
      </w:r>
      <w:r w:rsidR="00B01FCD" w:rsidRPr="00732C16">
        <w:rPr>
          <w:rFonts w:ascii="Arial" w:hAnsi="Arial" w:cs="Arial"/>
          <w:b/>
        </w:rPr>
        <w:t>INTRODUCTION</w:t>
      </w:r>
      <w:r w:rsidR="00B20D46" w:rsidRPr="00732C16">
        <w:rPr>
          <w:rFonts w:ascii="Arial" w:hAnsi="Arial" w:cs="Arial"/>
          <w:b/>
        </w:rPr>
        <w:t xml:space="preserve"> </w:t>
      </w:r>
    </w:p>
    <w:p w14:paraId="49892E38" w14:textId="77777777" w:rsidR="00790ADA" w:rsidRPr="00732C16" w:rsidRDefault="00790ADA" w:rsidP="00732C16">
      <w:pPr>
        <w:pStyle w:val="AbstHead"/>
        <w:spacing w:after="0"/>
        <w:jc w:val="both"/>
        <w:rPr>
          <w:rFonts w:ascii="Arial" w:hAnsi="Arial" w:cs="Arial"/>
        </w:rPr>
      </w:pPr>
    </w:p>
    <w:p w14:paraId="2EBEF7B5" w14:textId="77777777" w:rsidR="003150CB" w:rsidRPr="00732C16" w:rsidRDefault="00FF0C7F" w:rsidP="00732C16">
      <w:pPr>
        <w:pStyle w:val="Body"/>
        <w:rPr>
          <w:rFonts w:ascii="Arial" w:eastAsia="Calibri" w:hAnsi="Arial" w:cs="Arial"/>
          <w:b/>
          <w:szCs w:val="22"/>
        </w:rPr>
      </w:pPr>
      <w:r w:rsidRPr="00732C16">
        <w:rPr>
          <w:rFonts w:ascii="Arial" w:eastAsia="Calibri" w:hAnsi="Arial" w:cs="Arial"/>
          <w:b/>
          <w:szCs w:val="22"/>
        </w:rPr>
        <w:t>1.1 Background of the Study</w:t>
      </w:r>
    </w:p>
    <w:p w14:paraId="1577A951" w14:textId="61EDBBE2" w:rsidR="00504B26" w:rsidRPr="00504B26" w:rsidRDefault="00504B26" w:rsidP="00504B26">
      <w:pPr>
        <w:pStyle w:val="Body"/>
        <w:rPr>
          <w:rFonts w:ascii="Arial" w:eastAsia="Calibri" w:hAnsi="Arial" w:cs="Arial"/>
          <w:szCs w:val="22"/>
        </w:rPr>
      </w:pPr>
      <w:r w:rsidRPr="00504B26">
        <w:rPr>
          <w:rFonts w:ascii="Arial" w:eastAsia="Calibri" w:hAnsi="Arial" w:cs="Arial"/>
          <w:szCs w:val="22"/>
        </w:rPr>
        <w:t>Globally, microfinance institutions (MFIs) have emerged as critical players in advancing financial inclusion and poverty alleviation, particularly among low-income populations excluded from traditional banking services (</w:t>
      </w:r>
      <w:r w:rsidR="00995B13">
        <w:rPr>
          <w:rFonts w:ascii="Arial" w:eastAsia="Calibri" w:hAnsi="Arial" w:cs="Arial"/>
          <w:szCs w:val="22"/>
        </w:rPr>
        <w:t xml:space="preserve">Cull &amp; </w:t>
      </w:r>
      <w:proofErr w:type="spellStart"/>
      <w:r w:rsidR="00995B13">
        <w:rPr>
          <w:rFonts w:ascii="Arial" w:eastAsia="Calibri" w:hAnsi="Arial" w:cs="Arial"/>
          <w:szCs w:val="22"/>
        </w:rPr>
        <w:t>Hartarska</w:t>
      </w:r>
      <w:proofErr w:type="spellEnd"/>
      <w:r w:rsidR="00995B13">
        <w:rPr>
          <w:rFonts w:ascii="Arial" w:eastAsia="Calibri" w:hAnsi="Arial" w:cs="Arial"/>
          <w:szCs w:val="22"/>
        </w:rPr>
        <w:t>, 2023)</w:t>
      </w:r>
      <w:r w:rsidRPr="00504B26">
        <w:rPr>
          <w:rFonts w:ascii="Arial" w:eastAsia="Calibri" w:hAnsi="Arial" w:cs="Arial"/>
          <w:szCs w:val="22"/>
        </w:rPr>
        <w:t>. They provide essential services such as microloans, savings, and insurance, thereby fostering entrepreneurship and community development. However, despite their potential, MFIs face persistent challenges in managing financia</w:t>
      </w:r>
      <w:r w:rsidR="00995B13">
        <w:rPr>
          <w:rFonts w:ascii="Arial" w:eastAsia="Calibri" w:hAnsi="Arial" w:cs="Arial"/>
          <w:szCs w:val="22"/>
        </w:rPr>
        <w:t xml:space="preserve">l risks, especially credit risk </w:t>
      </w:r>
      <w:r w:rsidRPr="00504B26">
        <w:rPr>
          <w:rFonts w:ascii="Arial" w:eastAsia="Calibri" w:hAnsi="Arial" w:cs="Arial"/>
          <w:szCs w:val="22"/>
        </w:rPr>
        <w:t>the likelihood of</w:t>
      </w:r>
      <w:r w:rsidR="00995B13">
        <w:rPr>
          <w:rFonts w:ascii="Arial" w:eastAsia="Calibri" w:hAnsi="Arial" w:cs="Arial"/>
          <w:szCs w:val="22"/>
        </w:rPr>
        <w:t xml:space="preserve"> borrower default </w:t>
      </w:r>
      <w:r w:rsidRPr="00504B26">
        <w:rPr>
          <w:rFonts w:ascii="Arial" w:eastAsia="Calibri" w:hAnsi="Arial" w:cs="Arial"/>
          <w:szCs w:val="22"/>
        </w:rPr>
        <w:t xml:space="preserve">which directly affects their profitability and long-term sustainability. Empirical studies from various regions underscore this relationship. For instance, in Peru, high credit risk was found to negatively influence profitability, largely due to increased loan loss provisions and restrictions on capital inflows (Matos Bautista, Martinez Luna &amp; </w:t>
      </w:r>
      <w:proofErr w:type="spellStart"/>
      <w:r w:rsidRPr="00504B26">
        <w:rPr>
          <w:rFonts w:ascii="Arial" w:eastAsia="Calibri" w:hAnsi="Arial" w:cs="Arial"/>
          <w:szCs w:val="22"/>
        </w:rPr>
        <w:t>Ninanya</w:t>
      </w:r>
      <w:proofErr w:type="spellEnd"/>
      <w:r w:rsidRPr="00504B26">
        <w:rPr>
          <w:rFonts w:ascii="Arial" w:eastAsia="Calibri" w:hAnsi="Arial" w:cs="Arial"/>
          <w:szCs w:val="22"/>
        </w:rPr>
        <w:t xml:space="preserve"> </w:t>
      </w:r>
      <w:proofErr w:type="spellStart"/>
      <w:r w:rsidRPr="00504B26">
        <w:rPr>
          <w:rFonts w:ascii="Arial" w:eastAsia="Calibri" w:hAnsi="Arial" w:cs="Arial"/>
          <w:szCs w:val="22"/>
        </w:rPr>
        <w:t>Carnejo</w:t>
      </w:r>
      <w:proofErr w:type="spellEnd"/>
      <w:r w:rsidRPr="00504B26">
        <w:rPr>
          <w:rFonts w:ascii="Arial" w:eastAsia="Calibri" w:hAnsi="Arial" w:cs="Arial"/>
          <w:szCs w:val="22"/>
        </w:rPr>
        <w:t>, 2022). Similar evidence from Bosnia and Herzegovina revealed that elevated credit risk during post-conflict reconstruction undermined MFI sustainability (</w:t>
      </w:r>
      <w:proofErr w:type="spellStart"/>
      <w:r w:rsidRPr="00504B26">
        <w:rPr>
          <w:rFonts w:ascii="Arial" w:eastAsia="Calibri" w:hAnsi="Arial" w:cs="Arial"/>
          <w:szCs w:val="22"/>
        </w:rPr>
        <w:t>Smolo</w:t>
      </w:r>
      <w:proofErr w:type="spellEnd"/>
      <w:r w:rsidRPr="00504B26">
        <w:rPr>
          <w:rFonts w:ascii="Arial" w:eastAsia="Calibri" w:hAnsi="Arial" w:cs="Arial"/>
          <w:szCs w:val="22"/>
        </w:rPr>
        <w:t>, 2023), while research in Eastern Europe highlighted how weak credit risk frameworks reduced returns on assets and increased default rates in countries like Romania and Bulgaria (</w:t>
      </w:r>
      <w:proofErr w:type="spellStart"/>
      <w:r w:rsidRPr="00504B26">
        <w:rPr>
          <w:rFonts w:ascii="Arial" w:eastAsia="Calibri" w:hAnsi="Arial" w:cs="Arial"/>
          <w:szCs w:val="22"/>
        </w:rPr>
        <w:t>Kanellopoulos</w:t>
      </w:r>
      <w:proofErr w:type="spellEnd"/>
      <w:r w:rsidRPr="00504B26">
        <w:rPr>
          <w:rFonts w:ascii="Arial" w:eastAsia="Calibri" w:hAnsi="Arial" w:cs="Arial"/>
          <w:szCs w:val="22"/>
        </w:rPr>
        <w:t>, 2022). In contrast, Germany demonstrated that stronger regulatory environments and robust credit risk assessment models significantly improved portfolio quality and financial outcomes. These global insights illustrate that effective credit risk management is universally linked to the financial health and sustainability of MFIs.</w:t>
      </w:r>
    </w:p>
    <w:p w14:paraId="70EEFDC4" w14:textId="77777777" w:rsidR="00504B26" w:rsidRPr="00504B26" w:rsidRDefault="00504B26" w:rsidP="00504B26">
      <w:pPr>
        <w:pStyle w:val="Body"/>
        <w:rPr>
          <w:rFonts w:ascii="Arial" w:eastAsia="Calibri" w:hAnsi="Arial" w:cs="Arial"/>
          <w:szCs w:val="22"/>
        </w:rPr>
      </w:pPr>
      <w:r w:rsidRPr="00504B26">
        <w:rPr>
          <w:rFonts w:ascii="Arial" w:eastAsia="Calibri" w:hAnsi="Arial" w:cs="Arial"/>
          <w:szCs w:val="22"/>
        </w:rPr>
        <w:t xml:space="preserve">At the continental level, African MFIs face even greater exposure to credit risk due to economic volatility, limited regulatory enforcement, and challenges in borrower assessment (Dube &amp; </w:t>
      </w:r>
      <w:proofErr w:type="spellStart"/>
      <w:r w:rsidRPr="00504B26">
        <w:rPr>
          <w:rFonts w:ascii="Arial" w:eastAsia="Calibri" w:hAnsi="Arial" w:cs="Arial"/>
          <w:szCs w:val="22"/>
        </w:rPr>
        <w:t>Kwenda</w:t>
      </w:r>
      <w:proofErr w:type="spellEnd"/>
      <w:r w:rsidRPr="00504B26">
        <w:rPr>
          <w:rFonts w:ascii="Arial" w:eastAsia="Calibri" w:hAnsi="Arial" w:cs="Arial"/>
          <w:szCs w:val="22"/>
        </w:rPr>
        <w:t xml:space="preserve">, 2023). Empirical evidence consistently shows that weak credit risk management practices erode profitability and financial sustainability. In Southern Africa, particularly Zimbabwe and South Africa, poor borrower assessments and rising default rates have severely constrained institutional viability (Dube &amp; </w:t>
      </w:r>
      <w:proofErr w:type="spellStart"/>
      <w:r w:rsidRPr="00504B26">
        <w:rPr>
          <w:rFonts w:ascii="Arial" w:eastAsia="Calibri" w:hAnsi="Arial" w:cs="Arial"/>
          <w:szCs w:val="22"/>
        </w:rPr>
        <w:t>Kwenda</w:t>
      </w:r>
      <w:proofErr w:type="spellEnd"/>
      <w:r w:rsidRPr="00504B26">
        <w:rPr>
          <w:rFonts w:ascii="Arial" w:eastAsia="Calibri" w:hAnsi="Arial" w:cs="Arial"/>
          <w:szCs w:val="22"/>
        </w:rPr>
        <w:t>, 2023). In Nigeria, insufficient credit appraisal mechanisms have been identified as major contributors to institutional losses and declining sustainability (</w:t>
      </w:r>
      <w:proofErr w:type="spellStart"/>
      <w:r w:rsidRPr="00504B26">
        <w:rPr>
          <w:rFonts w:ascii="Arial" w:eastAsia="Calibri" w:hAnsi="Arial" w:cs="Arial"/>
          <w:szCs w:val="22"/>
        </w:rPr>
        <w:t>Jachi</w:t>
      </w:r>
      <w:proofErr w:type="spellEnd"/>
      <w:r w:rsidRPr="00504B26">
        <w:rPr>
          <w:rFonts w:ascii="Arial" w:eastAsia="Calibri" w:hAnsi="Arial" w:cs="Arial"/>
          <w:szCs w:val="22"/>
        </w:rPr>
        <w:t xml:space="preserve"> et al., 2021). Similarly, Kenyan microfinance banks have reported significant declines in profitability due to financial risks, with credit risk being the most prominent (</w:t>
      </w:r>
      <w:proofErr w:type="spellStart"/>
      <w:r w:rsidRPr="00504B26">
        <w:rPr>
          <w:rFonts w:ascii="Arial" w:eastAsia="Calibri" w:hAnsi="Arial" w:cs="Arial"/>
          <w:szCs w:val="22"/>
        </w:rPr>
        <w:t>Chepngetich</w:t>
      </w:r>
      <w:proofErr w:type="spellEnd"/>
      <w:r w:rsidRPr="00504B26">
        <w:rPr>
          <w:rFonts w:ascii="Arial" w:eastAsia="Calibri" w:hAnsi="Arial" w:cs="Arial"/>
          <w:szCs w:val="22"/>
        </w:rPr>
        <w:t>, 2022). Importantly, several studies point to operational efficiency, staff training, and strong internal controls as vital strategies for mitigating these risks and safeguarding institutional performance (</w:t>
      </w:r>
      <w:proofErr w:type="spellStart"/>
      <w:r w:rsidRPr="00504B26">
        <w:rPr>
          <w:rFonts w:ascii="Arial" w:eastAsia="Calibri" w:hAnsi="Arial" w:cs="Arial"/>
          <w:szCs w:val="22"/>
        </w:rPr>
        <w:t>Omowole</w:t>
      </w:r>
      <w:proofErr w:type="spellEnd"/>
      <w:r w:rsidRPr="00504B26">
        <w:rPr>
          <w:rFonts w:ascii="Arial" w:eastAsia="Calibri" w:hAnsi="Arial" w:cs="Arial"/>
          <w:szCs w:val="22"/>
        </w:rPr>
        <w:t xml:space="preserve">, </w:t>
      </w:r>
      <w:proofErr w:type="spellStart"/>
      <w:r w:rsidRPr="00504B26">
        <w:rPr>
          <w:rFonts w:ascii="Arial" w:eastAsia="Calibri" w:hAnsi="Arial" w:cs="Arial"/>
          <w:szCs w:val="22"/>
        </w:rPr>
        <w:t>Urefe</w:t>
      </w:r>
      <w:proofErr w:type="spellEnd"/>
      <w:r w:rsidRPr="00504B26">
        <w:rPr>
          <w:rFonts w:ascii="Arial" w:eastAsia="Calibri" w:hAnsi="Arial" w:cs="Arial"/>
          <w:szCs w:val="22"/>
        </w:rPr>
        <w:t xml:space="preserve">, </w:t>
      </w:r>
      <w:proofErr w:type="spellStart"/>
      <w:r w:rsidRPr="00504B26">
        <w:rPr>
          <w:rFonts w:ascii="Arial" w:eastAsia="Calibri" w:hAnsi="Arial" w:cs="Arial"/>
          <w:szCs w:val="22"/>
        </w:rPr>
        <w:t>Mokogwu</w:t>
      </w:r>
      <w:proofErr w:type="spellEnd"/>
      <w:r w:rsidRPr="00504B26">
        <w:rPr>
          <w:rFonts w:ascii="Arial" w:eastAsia="Calibri" w:hAnsi="Arial" w:cs="Arial"/>
          <w:szCs w:val="22"/>
        </w:rPr>
        <w:t xml:space="preserve"> &amp; </w:t>
      </w:r>
      <w:proofErr w:type="spellStart"/>
      <w:r w:rsidRPr="00504B26">
        <w:rPr>
          <w:rFonts w:ascii="Arial" w:eastAsia="Calibri" w:hAnsi="Arial" w:cs="Arial"/>
          <w:szCs w:val="22"/>
        </w:rPr>
        <w:t>Ewim</w:t>
      </w:r>
      <w:proofErr w:type="spellEnd"/>
      <w:r w:rsidRPr="00504B26">
        <w:rPr>
          <w:rFonts w:ascii="Arial" w:eastAsia="Calibri" w:hAnsi="Arial" w:cs="Arial"/>
          <w:szCs w:val="22"/>
        </w:rPr>
        <w:t>, 2024; Nyirenda, 2024). These findings highlight that across Africa, credit risk management is not only a financial concern but also a developmental imperative, given the role MFIs play in poverty reduction and inclusive growth.</w:t>
      </w:r>
    </w:p>
    <w:p w14:paraId="5B601C69" w14:textId="03F20390" w:rsidR="00FF0C7F" w:rsidRPr="00732C16" w:rsidRDefault="00504B26" w:rsidP="00504B26">
      <w:pPr>
        <w:pStyle w:val="Body"/>
        <w:rPr>
          <w:rFonts w:ascii="Arial" w:eastAsia="Calibri" w:hAnsi="Arial" w:cs="Arial"/>
          <w:szCs w:val="22"/>
        </w:rPr>
      </w:pPr>
      <w:r w:rsidRPr="00504B26">
        <w:rPr>
          <w:rFonts w:ascii="Arial" w:eastAsia="Calibri" w:hAnsi="Arial" w:cs="Arial"/>
          <w:szCs w:val="22"/>
        </w:rPr>
        <w:t>Focusing specifically on the Sub-Saharan African context, credit risk remains one of the most significant determinants of MFI profitability and sustainability. Studies in Kenya, Uganda, and Ghana demonstrate that institutions wit</w:t>
      </w:r>
      <w:r w:rsidR="00995B13">
        <w:rPr>
          <w:rFonts w:ascii="Arial" w:eastAsia="Calibri" w:hAnsi="Arial" w:cs="Arial"/>
          <w:szCs w:val="22"/>
        </w:rPr>
        <w:t xml:space="preserve">h robust credit risk frameworks </w:t>
      </w:r>
      <w:r w:rsidRPr="00504B26">
        <w:rPr>
          <w:rFonts w:ascii="Arial" w:eastAsia="Calibri" w:hAnsi="Arial" w:cs="Arial"/>
          <w:szCs w:val="22"/>
        </w:rPr>
        <w:t xml:space="preserve">such as effective loan screening, reliable credit scoring, and </w:t>
      </w:r>
      <w:r w:rsidR="00995B13">
        <w:rPr>
          <w:rFonts w:ascii="Arial" w:eastAsia="Calibri" w:hAnsi="Arial" w:cs="Arial"/>
          <w:szCs w:val="22"/>
        </w:rPr>
        <w:t xml:space="preserve">stringent collection procedures </w:t>
      </w:r>
      <w:r w:rsidRPr="00504B26">
        <w:rPr>
          <w:rFonts w:ascii="Arial" w:eastAsia="Calibri" w:hAnsi="Arial" w:cs="Arial"/>
          <w:szCs w:val="22"/>
        </w:rPr>
        <w:t>are more profitable and resilient in the face of defaults (</w:t>
      </w:r>
      <w:proofErr w:type="spellStart"/>
      <w:r w:rsidRPr="00504B26">
        <w:rPr>
          <w:rFonts w:ascii="Arial" w:eastAsia="Calibri" w:hAnsi="Arial" w:cs="Arial"/>
          <w:szCs w:val="22"/>
        </w:rPr>
        <w:t>Omowole</w:t>
      </w:r>
      <w:proofErr w:type="spellEnd"/>
      <w:r w:rsidRPr="00504B26">
        <w:rPr>
          <w:rFonts w:ascii="Arial" w:eastAsia="Calibri" w:hAnsi="Arial" w:cs="Arial"/>
          <w:szCs w:val="22"/>
        </w:rPr>
        <w:t xml:space="preserve"> et al., 2024; Nyirenda, 2024; </w:t>
      </w:r>
      <w:proofErr w:type="spellStart"/>
      <w:r w:rsidRPr="00504B26">
        <w:rPr>
          <w:rFonts w:ascii="Arial" w:eastAsia="Calibri" w:hAnsi="Arial" w:cs="Arial"/>
          <w:szCs w:val="22"/>
        </w:rPr>
        <w:t>Omokhoa</w:t>
      </w:r>
      <w:proofErr w:type="spellEnd"/>
      <w:r w:rsidRPr="00504B26">
        <w:rPr>
          <w:rFonts w:ascii="Arial" w:eastAsia="Calibri" w:hAnsi="Arial" w:cs="Arial"/>
          <w:szCs w:val="22"/>
        </w:rPr>
        <w:t xml:space="preserve">, </w:t>
      </w:r>
      <w:proofErr w:type="spellStart"/>
      <w:r w:rsidRPr="00504B26">
        <w:rPr>
          <w:rFonts w:ascii="Arial" w:eastAsia="Calibri" w:hAnsi="Arial" w:cs="Arial"/>
          <w:szCs w:val="22"/>
        </w:rPr>
        <w:t>Odionu</w:t>
      </w:r>
      <w:proofErr w:type="spellEnd"/>
      <w:r w:rsidRPr="00504B26">
        <w:rPr>
          <w:rFonts w:ascii="Arial" w:eastAsia="Calibri" w:hAnsi="Arial" w:cs="Arial"/>
          <w:szCs w:val="22"/>
        </w:rPr>
        <w:t xml:space="preserve">, Azubuike &amp; </w:t>
      </w:r>
      <w:proofErr w:type="spellStart"/>
      <w:r w:rsidRPr="00504B26">
        <w:rPr>
          <w:rFonts w:ascii="Arial" w:eastAsia="Calibri" w:hAnsi="Arial" w:cs="Arial"/>
          <w:szCs w:val="22"/>
        </w:rPr>
        <w:t>Sule</w:t>
      </w:r>
      <w:proofErr w:type="spellEnd"/>
      <w:r w:rsidRPr="00504B26">
        <w:rPr>
          <w:rFonts w:ascii="Arial" w:eastAsia="Calibri" w:hAnsi="Arial" w:cs="Arial"/>
          <w:szCs w:val="22"/>
        </w:rPr>
        <w:t xml:space="preserve">, 2024). Conversely, MFIs that lack these mechanisms face high non-performing loans (NPLs), diminished profitability, and in extreme cases, collapse. This context </w:t>
      </w:r>
      <w:r w:rsidRPr="00504B26">
        <w:rPr>
          <w:rFonts w:ascii="Arial" w:eastAsia="Calibri" w:hAnsi="Arial" w:cs="Arial"/>
          <w:szCs w:val="22"/>
        </w:rPr>
        <w:lastRenderedPageBreak/>
        <w:t>is particularly pressing in Sub-Saharan Africa, where financial inclusion is central to development goals, yet economic instability, unemployment, and weak infrastructure exacerbate borrower risk profiles. Understanding how credit risk affects both profitability and sustainability is therefore essential to ensuring that MFIs can continue to fulfill their developmental mandate while m</w:t>
      </w:r>
      <w:r>
        <w:rPr>
          <w:rFonts w:ascii="Arial" w:eastAsia="Calibri" w:hAnsi="Arial" w:cs="Arial"/>
          <w:szCs w:val="22"/>
        </w:rPr>
        <w:t xml:space="preserve">aintaining financial </w:t>
      </w:r>
      <w:r w:rsidR="00995B13">
        <w:rPr>
          <w:rFonts w:ascii="Arial" w:eastAsia="Calibri" w:hAnsi="Arial" w:cs="Arial"/>
          <w:szCs w:val="22"/>
        </w:rPr>
        <w:t>viability.</w:t>
      </w:r>
      <w:r w:rsidR="00995B13" w:rsidRPr="00504B26">
        <w:rPr>
          <w:rFonts w:ascii="Arial" w:eastAsia="Calibri" w:hAnsi="Arial" w:cs="Arial"/>
          <w:szCs w:val="22"/>
        </w:rPr>
        <w:t xml:space="preserve"> Against</w:t>
      </w:r>
      <w:r w:rsidRPr="00504B26">
        <w:rPr>
          <w:rFonts w:ascii="Arial" w:eastAsia="Calibri" w:hAnsi="Arial" w:cs="Arial"/>
          <w:szCs w:val="22"/>
        </w:rPr>
        <w:t xml:space="preserve"> this backdrop, this study investigates the effects of credit risk on the profitability and sustainability of MFIs within the Sub-Saharan region. </w:t>
      </w:r>
      <w:r w:rsidR="00995B13" w:rsidRPr="00995B13">
        <w:rPr>
          <w:rFonts w:ascii="Arial" w:eastAsia="Calibri" w:hAnsi="Arial" w:cs="Arial"/>
          <w:szCs w:val="22"/>
        </w:rPr>
        <w:t xml:space="preserve">Situating the research within global, continental, and local perspectives allows it to contribute to scholarly discourse while offering practical insights for policymakers, regulators, and financial institutions seeking to strengthen risk management frameworks and promote </w:t>
      </w:r>
      <w:r w:rsidR="00995B13">
        <w:rPr>
          <w:rFonts w:ascii="Arial" w:eastAsia="Calibri" w:hAnsi="Arial" w:cs="Arial"/>
          <w:szCs w:val="22"/>
        </w:rPr>
        <w:t>sustainable financial inclusion</w:t>
      </w:r>
      <w:r w:rsidR="003150CB" w:rsidRPr="00732C16">
        <w:rPr>
          <w:rFonts w:ascii="Arial" w:eastAsia="Calibri" w:hAnsi="Arial" w:cs="Arial"/>
          <w:szCs w:val="22"/>
        </w:rPr>
        <w:t>.</w:t>
      </w:r>
    </w:p>
    <w:p w14:paraId="112ED120" w14:textId="77777777" w:rsidR="00505F06" w:rsidRPr="00732C16" w:rsidRDefault="00FF0C7F" w:rsidP="00732C16">
      <w:pPr>
        <w:pStyle w:val="Body"/>
        <w:spacing w:after="0"/>
        <w:rPr>
          <w:rFonts w:ascii="Arial" w:hAnsi="Arial" w:cs="Arial"/>
          <w:b/>
        </w:rPr>
      </w:pPr>
      <w:r w:rsidRPr="00732C16">
        <w:rPr>
          <w:rFonts w:ascii="Arial" w:eastAsia="Calibri" w:hAnsi="Arial" w:cs="Arial"/>
          <w:b/>
          <w:szCs w:val="22"/>
        </w:rPr>
        <w:t xml:space="preserve">1.2 Problem Statement </w:t>
      </w:r>
    </w:p>
    <w:p w14:paraId="4C19638F" w14:textId="508967B1" w:rsidR="00FF0C7F" w:rsidRPr="00732C16" w:rsidRDefault="00EF15CF" w:rsidP="00EF15CF">
      <w:pPr>
        <w:pStyle w:val="Body"/>
        <w:rPr>
          <w:rFonts w:ascii="Arial" w:hAnsi="Arial" w:cs="Arial"/>
        </w:rPr>
      </w:pPr>
      <w:r w:rsidRPr="00EF15CF">
        <w:rPr>
          <w:rFonts w:ascii="Arial" w:hAnsi="Arial" w:cs="Arial"/>
        </w:rPr>
        <w:t>Effective credit risk management should serve as a cornerstone for strengthening the profitability and long-term sustainability of</w:t>
      </w:r>
      <w:r>
        <w:rPr>
          <w:rFonts w:ascii="Arial" w:hAnsi="Arial" w:cs="Arial"/>
        </w:rPr>
        <w:t xml:space="preserve"> </w:t>
      </w:r>
      <w:r w:rsidRPr="00EF15CF">
        <w:rPr>
          <w:rFonts w:ascii="Arial" w:hAnsi="Arial" w:cs="Arial"/>
        </w:rPr>
        <w:t>MFIs, enabling them to expand financial inclusion and support socio-economic development in Sub-Saharan Africa. When properly implemented, robust credit risk frameworks minimize non-performing loans, build investor confidence, and enhance institutional resilience. However, in practice, many MFIs in the region continue to struggle with weak credit risk management, resulting in rising default rates, reduced profitability, and, in some cases, institutional collapse. Although global and regional studies have established the critical role of credit risk in shaping MFI performance, there remains a significant gap in context-specific research within Sub-Saharan Africa, where unique economic, regulatory, and operational conditions pose additional challenges. Much of the existing literature has foc</w:t>
      </w:r>
      <w:r>
        <w:rPr>
          <w:rFonts w:ascii="Arial" w:hAnsi="Arial" w:cs="Arial"/>
        </w:rPr>
        <w:t xml:space="preserve">used on national-level analyses </w:t>
      </w:r>
      <w:r w:rsidRPr="00EF15CF">
        <w:rPr>
          <w:rFonts w:ascii="Arial" w:hAnsi="Arial" w:cs="Arial"/>
        </w:rPr>
        <w:t>f</w:t>
      </w:r>
      <w:r>
        <w:rPr>
          <w:rFonts w:ascii="Arial" w:hAnsi="Arial" w:cs="Arial"/>
        </w:rPr>
        <w:t xml:space="preserve">or example, in Kenya or Nigeria </w:t>
      </w:r>
      <w:r w:rsidRPr="00EF15CF">
        <w:rPr>
          <w:rFonts w:ascii="Arial" w:hAnsi="Arial" w:cs="Arial"/>
        </w:rPr>
        <w:t>without providing a broader regional perspective that captures common trends and contextual variations across countries (</w:t>
      </w:r>
      <w:proofErr w:type="spellStart"/>
      <w:r w:rsidRPr="00EF15CF">
        <w:rPr>
          <w:rFonts w:ascii="Arial" w:hAnsi="Arial" w:cs="Arial"/>
        </w:rPr>
        <w:t>Omowole</w:t>
      </w:r>
      <w:proofErr w:type="spellEnd"/>
      <w:r w:rsidRPr="00EF15CF">
        <w:rPr>
          <w:rFonts w:ascii="Arial" w:hAnsi="Arial" w:cs="Arial"/>
        </w:rPr>
        <w:t xml:space="preserve"> et al., 2024). Furthermore, while liquidity risk has received considerable scholarly attention, comparatively less research has examined the impact of credit risk on both profitability and sustainability at a cross-country level. This study seeks to address these gaps by investigating the effects of credit risk on the financial performance of selected MFIs in Sub-Saharan Africa, offering a comparative analysis that reflects both shared challenges and diverse practices. In doing so, it aims to generate empirical insights that inform stronger credit risk management strategies and policy interventions to support the long-term sustainability of MFIs in the region.</w:t>
      </w:r>
    </w:p>
    <w:p w14:paraId="050D41DD" w14:textId="77777777" w:rsidR="00997C2E" w:rsidRPr="00732C16" w:rsidRDefault="00997C2E" w:rsidP="00732C16">
      <w:pPr>
        <w:pStyle w:val="Body"/>
        <w:spacing w:after="0"/>
        <w:rPr>
          <w:rFonts w:ascii="Arial" w:hAnsi="Arial" w:cs="Arial"/>
          <w:b/>
        </w:rPr>
      </w:pPr>
    </w:p>
    <w:p w14:paraId="68A477C0" w14:textId="77777777" w:rsidR="00997C2E" w:rsidRPr="00732C16" w:rsidRDefault="00FF0C7F" w:rsidP="00732C16">
      <w:pPr>
        <w:pStyle w:val="Body"/>
        <w:spacing w:after="0"/>
        <w:rPr>
          <w:rFonts w:ascii="Arial" w:hAnsi="Arial" w:cs="Arial"/>
          <w:b/>
        </w:rPr>
      </w:pPr>
      <w:r w:rsidRPr="00732C16">
        <w:rPr>
          <w:rFonts w:ascii="Arial" w:hAnsi="Arial" w:cs="Arial"/>
          <w:b/>
        </w:rPr>
        <w:t xml:space="preserve">1.3 </w:t>
      </w:r>
      <w:r w:rsidR="00997C2E" w:rsidRPr="00732C16">
        <w:rPr>
          <w:rFonts w:ascii="Arial" w:hAnsi="Arial" w:cs="Arial"/>
          <w:b/>
        </w:rPr>
        <w:t>Research Question</w:t>
      </w:r>
    </w:p>
    <w:p w14:paraId="0892F0FF" w14:textId="682A4DE2" w:rsidR="00997C2E" w:rsidRDefault="005E1A25" w:rsidP="00732C16">
      <w:pPr>
        <w:pStyle w:val="Body"/>
        <w:spacing w:after="0"/>
        <w:rPr>
          <w:rFonts w:ascii="Arial" w:hAnsi="Arial" w:cs="Arial"/>
        </w:rPr>
      </w:pPr>
      <w:r w:rsidRPr="005E1A25">
        <w:rPr>
          <w:rFonts w:ascii="Arial" w:hAnsi="Arial" w:cs="Arial"/>
        </w:rPr>
        <w:t>In what ways does credit risk affect the profitability and sustainability of micro-financial institutions in Sub-Saharan A</w:t>
      </w:r>
      <w:r>
        <w:rPr>
          <w:rFonts w:ascii="Arial" w:hAnsi="Arial" w:cs="Arial"/>
        </w:rPr>
        <w:t>frica</w:t>
      </w:r>
      <w:r w:rsidR="00617747" w:rsidRPr="00732C16">
        <w:rPr>
          <w:rFonts w:ascii="Arial" w:hAnsi="Arial" w:cs="Arial"/>
        </w:rPr>
        <w:t>?</w:t>
      </w:r>
    </w:p>
    <w:p w14:paraId="39FB7255" w14:textId="6E137393" w:rsidR="005E1A25" w:rsidRPr="00732C16" w:rsidRDefault="005E1A25" w:rsidP="00732C16">
      <w:pPr>
        <w:pStyle w:val="Body"/>
        <w:spacing w:after="0"/>
        <w:rPr>
          <w:rFonts w:ascii="Arial" w:hAnsi="Arial" w:cs="Arial"/>
        </w:rPr>
      </w:pPr>
    </w:p>
    <w:p w14:paraId="526A55BD" w14:textId="77777777" w:rsidR="00997C2E" w:rsidRPr="00732C16" w:rsidRDefault="00997C2E" w:rsidP="00732C16">
      <w:pPr>
        <w:pStyle w:val="Body"/>
        <w:spacing w:after="0"/>
        <w:rPr>
          <w:rFonts w:ascii="Arial" w:hAnsi="Arial" w:cs="Arial"/>
          <w:b/>
        </w:rPr>
      </w:pPr>
      <w:r w:rsidRPr="00732C16">
        <w:rPr>
          <w:rFonts w:ascii="Arial" w:hAnsi="Arial" w:cs="Arial"/>
          <w:b/>
        </w:rPr>
        <w:t xml:space="preserve">1.4 Research Objective </w:t>
      </w:r>
    </w:p>
    <w:p w14:paraId="5468252D" w14:textId="7947BF5D" w:rsidR="00997C2E" w:rsidRDefault="00997C2E" w:rsidP="00732C16">
      <w:pPr>
        <w:pStyle w:val="Body"/>
        <w:spacing w:after="0"/>
        <w:rPr>
          <w:rFonts w:ascii="Arial" w:hAnsi="Arial" w:cs="Arial"/>
        </w:rPr>
      </w:pPr>
      <w:r w:rsidRPr="00732C16">
        <w:rPr>
          <w:rFonts w:ascii="Arial" w:hAnsi="Arial" w:cs="Arial"/>
        </w:rPr>
        <w:t>To evaluate the effects of credit risk on profitability and sustainability among Sub-Saharan micro-financial institutions.</w:t>
      </w:r>
    </w:p>
    <w:p w14:paraId="3A67104E" w14:textId="7C29E3C2" w:rsidR="00997C2E" w:rsidRPr="00732C16" w:rsidRDefault="00997C2E" w:rsidP="00732C16">
      <w:pPr>
        <w:pStyle w:val="Body"/>
        <w:spacing w:after="0"/>
        <w:rPr>
          <w:rFonts w:ascii="Arial" w:hAnsi="Arial" w:cs="Arial"/>
        </w:rPr>
      </w:pPr>
    </w:p>
    <w:p w14:paraId="1EE95BD3" w14:textId="77777777" w:rsidR="00997C2E" w:rsidRPr="00732C16" w:rsidRDefault="00997C2E" w:rsidP="00732C16">
      <w:pPr>
        <w:pStyle w:val="Body"/>
        <w:spacing w:after="0"/>
        <w:rPr>
          <w:rFonts w:ascii="Arial" w:hAnsi="Arial" w:cs="Arial"/>
          <w:b/>
        </w:rPr>
      </w:pPr>
      <w:r w:rsidRPr="00732C16">
        <w:rPr>
          <w:rFonts w:ascii="Arial" w:hAnsi="Arial" w:cs="Arial"/>
          <w:b/>
        </w:rPr>
        <w:t>1.5 Hypothesis of the Study</w:t>
      </w:r>
    </w:p>
    <w:p w14:paraId="76D50B03" w14:textId="3B7F16D2" w:rsidR="00617747" w:rsidRDefault="00B13E31" w:rsidP="00B13E31">
      <w:pPr>
        <w:pStyle w:val="Body"/>
        <w:rPr>
          <w:rFonts w:ascii="Arial" w:hAnsi="Arial" w:cs="Arial"/>
        </w:rPr>
      </w:pPr>
      <w:r w:rsidRPr="00B13E31">
        <w:rPr>
          <w:rFonts w:ascii="Arial" w:hAnsi="Arial" w:cs="Arial"/>
          <w:b/>
        </w:rPr>
        <w:t>H</w:t>
      </w:r>
      <w:r w:rsidRPr="00B13E31">
        <w:rPr>
          <w:rFonts w:ascii="Cambria Math" w:hAnsi="Cambria Math" w:cs="Cambria Math"/>
          <w:b/>
        </w:rPr>
        <w:t>₀₁</w:t>
      </w:r>
      <w:r w:rsidRPr="00B13E31">
        <w:rPr>
          <w:rFonts w:ascii="Arial" w:hAnsi="Arial" w:cs="Arial"/>
          <w:b/>
        </w:rPr>
        <w:t>:</w:t>
      </w:r>
      <w:r w:rsidRPr="00B13E31">
        <w:rPr>
          <w:rFonts w:ascii="Arial" w:hAnsi="Arial" w:cs="Arial"/>
        </w:rPr>
        <w:t xml:space="preserve"> Credit risk has no significant effect on the profitability and sustainability of micro-financial institutions in Sub-Saharan Africa.</w:t>
      </w:r>
    </w:p>
    <w:p w14:paraId="01E60402" w14:textId="0D086F6A" w:rsidR="00E6446A" w:rsidRDefault="00E6446A" w:rsidP="00732C16">
      <w:pPr>
        <w:pStyle w:val="Body"/>
        <w:spacing w:after="0"/>
        <w:rPr>
          <w:rFonts w:ascii="Arial" w:hAnsi="Arial" w:cs="Arial"/>
          <w:b/>
        </w:rPr>
      </w:pPr>
      <w:r w:rsidRPr="00E6446A">
        <w:rPr>
          <w:rFonts w:ascii="Arial" w:hAnsi="Arial" w:cs="Arial"/>
          <w:b/>
        </w:rPr>
        <w:t>1.6 Conceptual Framework</w:t>
      </w:r>
    </w:p>
    <w:p w14:paraId="17A6E876" w14:textId="1C12B63D" w:rsidR="00715C5D" w:rsidRPr="00715C5D" w:rsidRDefault="00715C5D" w:rsidP="00732C16">
      <w:pPr>
        <w:pStyle w:val="Body"/>
        <w:spacing w:after="0"/>
        <w:rPr>
          <w:rFonts w:ascii="Arial" w:hAnsi="Arial" w:cs="Arial"/>
        </w:rPr>
      </w:pPr>
      <w:r w:rsidRPr="00715C5D">
        <w:rPr>
          <w:rFonts w:ascii="Arial" w:hAnsi="Arial" w:cs="Arial"/>
        </w:rPr>
        <w:t>The conceptual framework illustrates the relationship between credit ris</w:t>
      </w:r>
      <w:r w:rsidR="00B13E31">
        <w:rPr>
          <w:rFonts w:ascii="Arial" w:hAnsi="Arial" w:cs="Arial"/>
        </w:rPr>
        <w:t xml:space="preserve">k (independent variable) and profitability and sustainability </w:t>
      </w:r>
      <w:r w:rsidRPr="00715C5D">
        <w:rPr>
          <w:rFonts w:ascii="Arial" w:hAnsi="Arial" w:cs="Arial"/>
        </w:rPr>
        <w:t>of Sub-Saharan micro-financial institutions (dependent variable), with profitability and sustainability serving as the key dimensions of performance.</w:t>
      </w:r>
    </w:p>
    <w:p w14:paraId="1F1AE52E" w14:textId="48008802" w:rsidR="00E6446A" w:rsidRPr="00936D8B" w:rsidRDefault="00E6446A" w:rsidP="00732C16">
      <w:pPr>
        <w:pStyle w:val="Body"/>
        <w:spacing w:after="0"/>
        <w:rPr>
          <w:rFonts w:ascii="Arial" w:hAnsi="Arial" w:cs="Arial"/>
        </w:rPr>
      </w:pPr>
    </w:p>
    <w:p w14:paraId="44EE4E4E" w14:textId="7E383817" w:rsidR="00715C5D" w:rsidRPr="00936D8B" w:rsidRDefault="00715C5D" w:rsidP="00715C5D">
      <w:pPr>
        <w:pStyle w:val="Caption"/>
        <w:rPr>
          <w:rFonts w:ascii="Arial" w:hAnsi="Arial" w:cs="Arial"/>
          <w:color w:val="auto"/>
          <w:sz w:val="20"/>
          <w:szCs w:val="20"/>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sidR="00936D8B" w:rsidRPr="00936D8B">
        <w:rPr>
          <w:rFonts w:ascii="Arial" w:hAnsi="Arial" w:cs="Arial"/>
          <w:noProof/>
          <w:color w:val="auto"/>
          <w:sz w:val="20"/>
          <w:szCs w:val="20"/>
        </w:rPr>
        <w:t>1</w:t>
      </w:r>
      <w:r w:rsidRPr="00936D8B">
        <w:rPr>
          <w:rFonts w:ascii="Arial" w:hAnsi="Arial" w:cs="Arial"/>
          <w:color w:val="auto"/>
          <w:sz w:val="20"/>
          <w:szCs w:val="20"/>
        </w:rPr>
        <w:fldChar w:fldCharType="end"/>
      </w:r>
      <w:r w:rsidRPr="00936D8B">
        <w:rPr>
          <w:rFonts w:ascii="Arial" w:hAnsi="Arial" w:cs="Arial"/>
          <w:color w:val="auto"/>
          <w:sz w:val="20"/>
          <w:szCs w:val="20"/>
        </w:rPr>
        <w:t xml:space="preserve"> :Conce</w:t>
      </w:r>
      <w:r w:rsidR="00936D8B" w:rsidRPr="00936D8B">
        <w:rPr>
          <w:rFonts w:ascii="Arial" w:hAnsi="Arial" w:cs="Arial"/>
          <w:color w:val="auto"/>
          <w:sz w:val="20"/>
          <w:szCs w:val="20"/>
        </w:rPr>
        <w:t xml:space="preserve">ptual framework </w:t>
      </w:r>
    </w:p>
    <w:p w14:paraId="6481E751" w14:textId="0A85132C" w:rsidR="00936D8B" w:rsidRPr="00936D8B" w:rsidRDefault="00936D8B" w:rsidP="00936D8B">
      <w:pPr>
        <w:rPr>
          <w:rFonts w:ascii="Arial" w:hAnsi="Arial" w:cs="Arial"/>
        </w:rPr>
      </w:pPr>
      <w:r w:rsidRPr="00936D8B">
        <w:rPr>
          <w:rFonts w:ascii="Arial" w:hAnsi="Arial" w:cs="Arial"/>
        </w:rPr>
        <w:lastRenderedPageBreak/>
        <w:t xml:space="preserve">Independent variable                                             </w:t>
      </w:r>
      <w:r w:rsidR="00F4114C">
        <w:rPr>
          <w:rFonts w:ascii="Arial" w:hAnsi="Arial" w:cs="Arial"/>
        </w:rPr>
        <w:t xml:space="preserve">                               </w:t>
      </w:r>
      <w:r w:rsidRPr="00936D8B">
        <w:rPr>
          <w:rFonts w:ascii="Arial" w:hAnsi="Arial" w:cs="Arial"/>
        </w:rPr>
        <w:t xml:space="preserve">   Dependent variable </w:t>
      </w:r>
    </w:p>
    <w:p w14:paraId="1EE6DC12" w14:textId="5769E093" w:rsidR="00936D8B" w:rsidRDefault="00F4114C" w:rsidP="00936D8B">
      <w:r>
        <w:rPr>
          <w:noProof/>
        </w:rPr>
        <mc:AlternateContent>
          <mc:Choice Requires="wpg">
            <w:drawing>
              <wp:anchor distT="0" distB="0" distL="114300" distR="114300" simplePos="0" relativeHeight="251661312" behindDoc="0" locked="0" layoutInCell="1" allowOverlap="1" wp14:anchorId="13D94C69" wp14:editId="5AA0FA34">
                <wp:simplePos x="0" y="0"/>
                <wp:positionH relativeFrom="column">
                  <wp:posOffset>-48260</wp:posOffset>
                </wp:positionH>
                <wp:positionV relativeFrom="paragraph">
                  <wp:posOffset>95250</wp:posOffset>
                </wp:positionV>
                <wp:extent cx="5992469" cy="1847850"/>
                <wp:effectExtent l="0" t="0" r="27940" b="19050"/>
                <wp:wrapNone/>
                <wp:docPr id="8" name="Group 8"/>
                <wp:cNvGraphicFramePr/>
                <a:graphic xmlns:a="http://schemas.openxmlformats.org/drawingml/2006/main">
                  <a:graphicData uri="http://schemas.microsoft.com/office/word/2010/wordprocessingGroup">
                    <wpg:wgp>
                      <wpg:cNvGrpSpPr/>
                      <wpg:grpSpPr>
                        <a:xfrm>
                          <a:off x="0" y="0"/>
                          <a:ext cx="5992469" cy="1847850"/>
                          <a:chOff x="0" y="0"/>
                          <a:chExt cx="5992469" cy="1684728"/>
                        </a:xfrm>
                      </wpg:grpSpPr>
                      <wps:wsp>
                        <wps:cNvPr id="2" name="Rounded Rectangle 2"/>
                        <wps:cNvSpPr/>
                        <wps:spPr>
                          <a:xfrm>
                            <a:off x="0" y="37785"/>
                            <a:ext cx="1874142" cy="1534076"/>
                          </a:xfrm>
                          <a:prstGeom prst="roundRect">
                            <a:avLst/>
                          </a:prstGeom>
                        </wps:spPr>
                        <wps:style>
                          <a:lnRef idx="2">
                            <a:schemeClr val="dk1"/>
                          </a:lnRef>
                          <a:fillRef idx="1">
                            <a:schemeClr val="lt1"/>
                          </a:fillRef>
                          <a:effectRef idx="0">
                            <a:schemeClr val="dk1"/>
                          </a:effectRef>
                          <a:fontRef idx="minor">
                            <a:schemeClr val="dk1"/>
                          </a:fontRef>
                        </wps:style>
                        <wps:txbx>
                          <w:txbxContent>
                            <w:p w14:paraId="7AD034BD" w14:textId="756B216D" w:rsidR="00F53774" w:rsidRPr="00936D8B" w:rsidRDefault="00F53774" w:rsidP="00F4114C">
                              <w:pPr>
                                <w:jc w:val="center"/>
                                <w:rPr>
                                  <w:rFonts w:ascii="Arial" w:hAnsi="Arial" w:cs="Arial"/>
                                  <w:b/>
                                  <w:u w:val="single"/>
                                </w:rPr>
                              </w:pPr>
                              <w:r w:rsidRPr="00936D8B">
                                <w:rPr>
                                  <w:rFonts w:ascii="Arial" w:hAnsi="Arial" w:cs="Arial"/>
                                  <w:b/>
                                  <w:u w:val="single"/>
                                </w:rPr>
                                <w:t>Credit Risk</w:t>
                              </w:r>
                            </w:p>
                            <w:p w14:paraId="0D77921B" w14:textId="77777777" w:rsidR="00F53774" w:rsidRPr="00F4114C" w:rsidRDefault="00F53774" w:rsidP="00936D8B">
                              <w:pPr>
                                <w:pStyle w:val="ListParagraph"/>
                                <w:numPr>
                                  <w:ilvl w:val="0"/>
                                  <w:numId w:val="33"/>
                                </w:numPr>
                                <w:jc w:val="both"/>
                                <w:rPr>
                                  <w:rFonts w:ascii="Arial" w:hAnsi="Arial" w:cs="Arial"/>
                                </w:rPr>
                              </w:pPr>
                              <w:r w:rsidRPr="00F4114C">
                                <w:rPr>
                                  <w:rFonts w:ascii="Arial" w:hAnsi="Arial" w:cs="Arial"/>
                                </w:rPr>
                                <w:t>Non-Performing Loans (NPL) ratio</w:t>
                              </w:r>
                            </w:p>
                            <w:p w14:paraId="3C3EA204" w14:textId="29AA69E4" w:rsidR="00F53774" w:rsidRPr="00F4114C" w:rsidRDefault="00F53774" w:rsidP="00936D8B">
                              <w:pPr>
                                <w:pStyle w:val="ListParagraph"/>
                                <w:numPr>
                                  <w:ilvl w:val="0"/>
                                  <w:numId w:val="33"/>
                                </w:numPr>
                                <w:jc w:val="both"/>
                                <w:rPr>
                                  <w:rFonts w:ascii="Arial" w:hAnsi="Arial" w:cs="Arial"/>
                                </w:rPr>
                              </w:pPr>
                              <w:r>
                                <w:rPr>
                                  <w:rFonts w:ascii="Arial" w:hAnsi="Arial" w:cs="Arial"/>
                                </w:rPr>
                                <w:t xml:space="preserve">Collection rate </w:t>
                              </w:r>
                            </w:p>
                            <w:p w14:paraId="013463FC" w14:textId="5E78042E" w:rsidR="00F53774" w:rsidRDefault="00F53774" w:rsidP="00936D8B">
                              <w:pPr>
                                <w:pStyle w:val="ListParagraph"/>
                                <w:numPr>
                                  <w:ilvl w:val="0"/>
                                  <w:numId w:val="33"/>
                                </w:numPr>
                                <w:jc w:val="both"/>
                                <w:rPr>
                                  <w:rFonts w:ascii="Arial" w:hAnsi="Arial" w:cs="Arial"/>
                                </w:rPr>
                              </w:pPr>
                              <w:r>
                                <w:rPr>
                                  <w:rFonts w:ascii="Arial" w:hAnsi="Arial" w:cs="Arial"/>
                                </w:rPr>
                                <w:t>Loan loss ratio</w:t>
                              </w:r>
                            </w:p>
                            <w:p w14:paraId="3D4543A2" w14:textId="668E3FBD" w:rsidR="00F53774" w:rsidRDefault="00F53774" w:rsidP="00936D8B">
                              <w:pPr>
                                <w:pStyle w:val="ListParagraph"/>
                                <w:numPr>
                                  <w:ilvl w:val="0"/>
                                  <w:numId w:val="33"/>
                                </w:numPr>
                                <w:jc w:val="both"/>
                                <w:rPr>
                                  <w:rFonts w:ascii="Arial" w:hAnsi="Arial" w:cs="Arial"/>
                                </w:rPr>
                              </w:pPr>
                              <w:r>
                                <w:rPr>
                                  <w:rFonts w:ascii="Arial" w:hAnsi="Arial" w:cs="Arial"/>
                                </w:rPr>
                                <w:t>Portfolio at Risk</w:t>
                              </w:r>
                              <w:r w:rsidR="000C2ADD">
                                <w:rPr>
                                  <w:rFonts w:ascii="Arial" w:hAnsi="Arial" w:cs="Arial"/>
                                </w:rPr>
                                <w:t>-</w:t>
                              </w:r>
                              <w:r>
                                <w:rPr>
                                  <w:rFonts w:ascii="Arial" w:hAnsi="Arial" w:cs="Arial"/>
                                </w:rPr>
                                <w:t xml:space="preserve"> PAR30</w:t>
                              </w:r>
                            </w:p>
                            <w:p w14:paraId="36869A82" w14:textId="57DE8458" w:rsidR="00F53774" w:rsidRPr="00F4114C" w:rsidRDefault="00F53774" w:rsidP="00DD6D1C">
                              <w:pPr>
                                <w:pStyle w:val="ListParagraph"/>
                                <w:numPr>
                                  <w:ilvl w:val="0"/>
                                  <w:numId w:val="33"/>
                                </w:numPr>
                                <w:jc w:val="both"/>
                                <w:rPr>
                                  <w:rFonts w:ascii="Arial" w:hAnsi="Arial" w:cs="Arial"/>
                                </w:rPr>
                              </w:pPr>
                              <w:r>
                                <w:rPr>
                                  <w:rFonts w:ascii="Arial" w:hAnsi="Arial" w:cs="Arial"/>
                                </w:rPr>
                                <w:t>Portfolio at Risk</w:t>
                              </w:r>
                              <w:r w:rsidR="000C2ADD">
                                <w:rPr>
                                  <w:rFonts w:ascii="Arial" w:hAnsi="Arial" w:cs="Arial"/>
                                </w:rPr>
                                <w:t>-</w:t>
                              </w:r>
                              <w:r>
                                <w:rPr>
                                  <w:rFonts w:ascii="Arial" w:hAnsi="Arial" w:cs="Arial"/>
                                </w:rPr>
                                <w:t>PAR90</w:t>
                              </w:r>
                            </w:p>
                            <w:p w14:paraId="51F3811F" w14:textId="77777777" w:rsidR="00F53774" w:rsidRPr="00F4114C" w:rsidRDefault="00F53774" w:rsidP="00936D8B">
                              <w:pPr>
                                <w:pStyle w:val="ListParagraph"/>
                                <w:numPr>
                                  <w:ilvl w:val="0"/>
                                  <w:numId w:val="33"/>
                                </w:numPr>
                                <w:jc w:val="both"/>
                                <w:rPr>
                                  <w:rFonts w:ascii="Arial" w:hAnsi="Arial" w:cs="Arial"/>
                                </w:rPr>
                              </w:pPr>
                            </w:p>
                            <w:p w14:paraId="63619B6A" w14:textId="189E4E5E" w:rsidR="00F53774" w:rsidRPr="00DD6D1C" w:rsidRDefault="00F53774" w:rsidP="00DD6D1C">
                              <w:pPr>
                                <w:pStyle w:val="ListParagraph"/>
                                <w:jc w:val="both"/>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3476231" y="0"/>
                            <a:ext cx="2516238" cy="1684728"/>
                          </a:xfrm>
                          <a:prstGeom prst="roundRect">
                            <a:avLst/>
                          </a:prstGeom>
                        </wps:spPr>
                        <wps:style>
                          <a:lnRef idx="2">
                            <a:schemeClr val="dk1"/>
                          </a:lnRef>
                          <a:fillRef idx="1">
                            <a:schemeClr val="lt1"/>
                          </a:fillRef>
                          <a:effectRef idx="0">
                            <a:schemeClr val="dk1"/>
                          </a:effectRef>
                          <a:fontRef idx="minor">
                            <a:schemeClr val="dk1"/>
                          </a:fontRef>
                        </wps:style>
                        <wps:txbx>
                          <w:txbxContent>
                            <w:p w14:paraId="11C67364" w14:textId="2401E98A" w:rsidR="00F53774" w:rsidRDefault="00F53774" w:rsidP="00F4114C">
                              <w:pPr>
                                <w:jc w:val="center"/>
                                <w:rPr>
                                  <w:rFonts w:ascii="Arial" w:hAnsi="Arial" w:cs="Arial"/>
                                  <w:b/>
                                  <w:u w:val="single"/>
                                </w:rPr>
                              </w:pPr>
                              <w:r>
                                <w:rPr>
                                  <w:rFonts w:ascii="Arial" w:hAnsi="Arial" w:cs="Arial"/>
                                  <w:b/>
                                  <w:u w:val="single"/>
                                </w:rPr>
                                <w:t>Profitability and Sustainability</w:t>
                              </w:r>
                              <w:r w:rsidRPr="00F4114C">
                                <w:rPr>
                                  <w:rFonts w:ascii="Arial" w:hAnsi="Arial" w:cs="Arial"/>
                                  <w:b/>
                                  <w:u w:val="single"/>
                                </w:rPr>
                                <w:t xml:space="preserve"> </w:t>
                              </w:r>
                            </w:p>
                            <w:p w14:paraId="1A42556D" w14:textId="757EBF7D" w:rsidR="00F53774" w:rsidRDefault="00F53774" w:rsidP="00F4114C">
                              <w:pPr>
                                <w:pStyle w:val="ListParagraph"/>
                                <w:numPr>
                                  <w:ilvl w:val="0"/>
                                  <w:numId w:val="34"/>
                                </w:numPr>
                                <w:jc w:val="both"/>
                                <w:rPr>
                                  <w:rFonts w:ascii="Arial" w:hAnsi="Arial" w:cs="Arial"/>
                                </w:rPr>
                              </w:pPr>
                              <w:r w:rsidRPr="00F4114C">
                                <w:rPr>
                                  <w:rFonts w:ascii="Arial" w:hAnsi="Arial" w:cs="Arial"/>
                                </w:rPr>
                                <w:t>Profitability metrics (Return on Assets, Return on Equity, Operational Self-Sufficiency)</w:t>
                              </w:r>
                              <w:r>
                                <w:rPr>
                                  <w:rFonts w:ascii="Arial" w:hAnsi="Arial" w:cs="Arial"/>
                                </w:rPr>
                                <w:t>.</w:t>
                              </w:r>
                            </w:p>
                            <w:p w14:paraId="5C211363" w14:textId="27A447D7" w:rsidR="00F53774" w:rsidRPr="00F4114C" w:rsidRDefault="00F53774" w:rsidP="00F4114C">
                              <w:pPr>
                                <w:pStyle w:val="ListParagraph"/>
                                <w:numPr>
                                  <w:ilvl w:val="0"/>
                                  <w:numId w:val="34"/>
                                </w:numPr>
                                <w:jc w:val="both"/>
                                <w:rPr>
                                  <w:rFonts w:ascii="Arial" w:hAnsi="Arial" w:cs="Arial"/>
                                </w:rPr>
                              </w:pPr>
                              <w:r w:rsidRPr="00F4114C">
                                <w:rPr>
                                  <w:rFonts w:ascii="Arial" w:hAnsi="Arial" w:cs="Arial"/>
                                </w:rPr>
                                <w:t>Sustainability metrics (client retention, capital adequacy, ability to cover operational costs without subsidies)</w:t>
                              </w:r>
                              <w:r>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Elbow Connector 7"/>
                        <wps:cNvCnPr/>
                        <wps:spPr>
                          <a:xfrm>
                            <a:off x="1874142" y="801044"/>
                            <a:ext cx="1602089" cy="45719"/>
                          </a:xfrm>
                          <a:prstGeom prst="bentConnector3">
                            <a:avLst>
                              <a:gd name="adj1" fmla="val 178"/>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3D94C69" id="Group 8" o:spid="_x0000_s1026" style="position:absolute;margin-left:-3.8pt;margin-top:7.5pt;width:471.85pt;height:145.5pt;z-index:251661312;mso-height-relative:margin" coordsize="59924,16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">
                <v:roundrect id="Rounded Rectangle 2" o:spid="_x0000_s1027" style="position:absolute;top:377;width:18741;height:15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" fillcolor="white [3201]" strokecolor="black [3200]" strokeweight="2pt">
                  <v:textbox>
                    <w:txbxContent>
                      <w:p w14:paraId="7AD034BD" w14:textId="756B216D" w:rsidR="00F53774" w:rsidRPr="00936D8B" w:rsidRDefault="00F53774" w:rsidP="00F4114C">
                        <w:pPr>
                          <w:jc w:val="center"/>
                          <w:rPr>
                            <w:rFonts w:ascii="Arial" w:hAnsi="Arial" w:cs="Arial"/>
                            <w:b/>
                            <w:u w:val="single"/>
                          </w:rPr>
                        </w:pPr>
                        <w:r w:rsidRPr="00936D8B">
                          <w:rPr>
                            <w:rFonts w:ascii="Arial" w:hAnsi="Arial" w:cs="Arial"/>
                            <w:b/>
                            <w:u w:val="single"/>
                          </w:rPr>
                          <w:t>Credit Risk</w:t>
                        </w:r>
                      </w:p>
                      <w:p w14:paraId="0D77921B" w14:textId="77777777" w:rsidR="00F53774" w:rsidRPr="00F4114C" w:rsidRDefault="00F53774" w:rsidP="00936D8B">
                        <w:pPr>
                          <w:pStyle w:val="ListParagraph"/>
                          <w:numPr>
                            <w:ilvl w:val="0"/>
                            <w:numId w:val="33"/>
                          </w:numPr>
                          <w:jc w:val="both"/>
                          <w:rPr>
                            <w:rFonts w:ascii="Arial" w:hAnsi="Arial" w:cs="Arial"/>
                          </w:rPr>
                        </w:pPr>
                        <w:r w:rsidRPr="00F4114C">
                          <w:rPr>
                            <w:rFonts w:ascii="Arial" w:hAnsi="Arial" w:cs="Arial"/>
                          </w:rPr>
                          <w:t>Non-Performing Loans (NPL) ratio</w:t>
                        </w:r>
                      </w:p>
                      <w:p w14:paraId="3C3EA204" w14:textId="29AA69E4" w:rsidR="00F53774" w:rsidRPr="00F4114C" w:rsidRDefault="00F53774" w:rsidP="00936D8B">
                        <w:pPr>
                          <w:pStyle w:val="ListParagraph"/>
                          <w:numPr>
                            <w:ilvl w:val="0"/>
                            <w:numId w:val="33"/>
                          </w:numPr>
                          <w:jc w:val="both"/>
                          <w:rPr>
                            <w:rFonts w:ascii="Arial" w:hAnsi="Arial" w:cs="Arial"/>
                          </w:rPr>
                        </w:pPr>
                        <w:r>
                          <w:rPr>
                            <w:rFonts w:ascii="Arial" w:hAnsi="Arial" w:cs="Arial"/>
                          </w:rPr>
                          <w:t xml:space="preserve">Collection rate </w:t>
                        </w:r>
                      </w:p>
                      <w:p w14:paraId="013463FC" w14:textId="5E78042E" w:rsidR="00F53774" w:rsidRDefault="00F53774" w:rsidP="00936D8B">
                        <w:pPr>
                          <w:pStyle w:val="ListParagraph"/>
                          <w:numPr>
                            <w:ilvl w:val="0"/>
                            <w:numId w:val="33"/>
                          </w:numPr>
                          <w:jc w:val="both"/>
                          <w:rPr>
                            <w:rFonts w:ascii="Arial" w:hAnsi="Arial" w:cs="Arial"/>
                          </w:rPr>
                        </w:pPr>
                        <w:r>
                          <w:rPr>
                            <w:rFonts w:ascii="Arial" w:hAnsi="Arial" w:cs="Arial"/>
                          </w:rPr>
                          <w:t>Loan loss ratio</w:t>
                        </w:r>
                      </w:p>
                      <w:p w14:paraId="3D4543A2" w14:textId="668E3FBD" w:rsidR="00F53774" w:rsidRDefault="00F53774" w:rsidP="00936D8B">
                        <w:pPr>
                          <w:pStyle w:val="ListParagraph"/>
                          <w:numPr>
                            <w:ilvl w:val="0"/>
                            <w:numId w:val="33"/>
                          </w:numPr>
                          <w:jc w:val="both"/>
                          <w:rPr>
                            <w:rFonts w:ascii="Arial" w:hAnsi="Arial" w:cs="Arial"/>
                          </w:rPr>
                        </w:pPr>
                        <w:r>
                          <w:rPr>
                            <w:rFonts w:ascii="Arial" w:hAnsi="Arial" w:cs="Arial"/>
                          </w:rPr>
                          <w:t>Portfolio at Risk</w:t>
                        </w:r>
                        <w:r w:rsidR="000C2ADD">
                          <w:rPr>
                            <w:rFonts w:ascii="Arial" w:hAnsi="Arial" w:cs="Arial"/>
                          </w:rPr>
                          <w:t>-</w:t>
                        </w:r>
                        <w:r>
                          <w:rPr>
                            <w:rFonts w:ascii="Arial" w:hAnsi="Arial" w:cs="Arial"/>
                          </w:rPr>
                          <w:t xml:space="preserve"> PAR30</w:t>
                        </w:r>
                      </w:p>
                      <w:p w14:paraId="36869A82" w14:textId="57DE8458" w:rsidR="00F53774" w:rsidRPr="00F4114C" w:rsidRDefault="00F53774" w:rsidP="00DD6D1C">
                        <w:pPr>
                          <w:pStyle w:val="ListParagraph"/>
                          <w:numPr>
                            <w:ilvl w:val="0"/>
                            <w:numId w:val="33"/>
                          </w:numPr>
                          <w:jc w:val="both"/>
                          <w:rPr>
                            <w:rFonts w:ascii="Arial" w:hAnsi="Arial" w:cs="Arial"/>
                          </w:rPr>
                        </w:pPr>
                        <w:r>
                          <w:rPr>
                            <w:rFonts w:ascii="Arial" w:hAnsi="Arial" w:cs="Arial"/>
                          </w:rPr>
                          <w:t>Portfolio at Risk</w:t>
                        </w:r>
                        <w:r w:rsidR="000C2ADD">
                          <w:rPr>
                            <w:rFonts w:ascii="Arial" w:hAnsi="Arial" w:cs="Arial"/>
                          </w:rPr>
                          <w:t>-</w:t>
                        </w:r>
                        <w:r>
                          <w:rPr>
                            <w:rFonts w:ascii="Arial" w:hAnsi="Arial" w:cs="Arial"/>
                          </w:rPr>
                          <w:t>PAR90</w:t>
                        </w:r>
                      </w:p>
                      <w:p w14:paraId="51F3811F" w14:textId="77777777" w:rsidR="00F53774" w:rsidRPr="00F4114C" w:rsidRDefault="00F53774" w:rsidP="00936D8B">
                        <w:pPr>
                          <w:pStyle w:val="ListParagraph"/>
                          <w:numPr>
                            <w:ilvl w:val="0"/>
                            <w:numId w:val="33"/>
                          </w:numPr>
                          <w:jc w:val="both"/>
                          <w:rPr>
                            <w:rFonts w:ascii="Arial" w:hAnsi="Arial" w:cs="Arial"/>
                          </w:rPr>
                        </w:pPr>
                      </w:p>
                      <w:p w14:paraId="63619B6A" w14:textId="189E4E5E" w:rsidR="00F53774" w:rsidRPr="00DD6D1C" w:rsidRDefault="00F53774" w:rsidP="00DD6D1C">
                        <w:pPr>
                          <w:pStyle w:val="ListParagraph"/>
                          <w:jc w:val="both"/>
                          <w:rPr>
                            <w:rFonts w:ascii="Arial" w:hAnsi="Arial" w:cs="Arial"/>
                          </w:rPr>
                        </w:pPr>
                      </w:p>
                    </w:txbxContent>
                  </v:textbox>
                </v:roundrect>
                <v:roundrect id="Rounded Rectangle 5" o:spid="_x0000_s1028" style="position:absolute;left:34762;width:25162;height:16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" fillcolor="white [3201]" strokecolor="black [3200]" strokeweight="2pt">
                  <v:textbox>
                    <w:txbxContent>
                      <w:p w14:paraId="11C67364" w14:textId="2401E98A" w:rsidR="00F53774" w:rsidRDefault="00F53774" w:rsidP="00F4114C">
                        <w:pPr>
                          <w:jc w:val="center"/>
                          <w:rPr>
                            <w:rFonts w:ascii="Arial" w:hAnsi="Arial" w:cs="Arial"/>
                            <w:b/>
                            <w:u w:val="single"/>
                          </w:rPr>
                        </w:pPr>
                        <w:r>
                          <w:rPr>
                            <w:rFonts w:ascii="Arial" w:hAnsi="Arial" w:cs="Arial"/>
                            <w:b/>
                            <w:u w:val="single"/>
                          </w:rPr>
                          <w:t>Profitability and Sustainability</w:t>
                        </w:r>
                        <w:r w:rsidRPr="00F4114C">
                          <w:rPr>
                            <w:rFonts w:ascii="Arial" w:hAnsi="Arial" w:cs="Arial"/>
                            <w:b/>
                            <w:u w:val="single"/>
                          </w:rPr>
                          <w:t xml:space="preserve"> </w:t>
                        </w:r>
                      </w:p>
                      <w:p w14:paraId="1A42556D" w14:textId="757EBF7D" w:rsidR="00F53774" w:rsidRDefault="00F53774" w:rsidP="00F4114C">
                        <w:pPr>
                          <w:pStyle w:val="ListParagraph"/>
                          <w:numPr>
                            <w:ilvl w:val="0"/>
                            <w:numId w:val="34"/>
                          </w:numPr>
                          <w:jc w:val="both"/>
                          <w:rPr>
                            <w:rFonts w:ascii="Arial" w:hAnsi="Arial" w:cs="Arial"/>
                          </w:rPr>
                        </w:pPr>
                        <w:r w:rsidRPr="00F4114C">
                          <w:rPr>
                            <w:rFonts w:ascii="Arial" w:hAnsi="Arial" w:cs="Arial"/>
                          </w:rPr>
                          <w:t>Profitability metrics (Return on Assets, Return on Equity, Operational Self-Sufficiency)</w:t>
                        </w:r>
                        <w:r>
                          <w:rPr>
                            <w:rFonts w:ascii="Arial" w:hAnsi="Arial" w:cs="Arial"/>
                          </w:rPr>
                          <w:t>.</w:t>
                        </w:r>
                      </w:p>
                      <w:p w14:paraId="5C211363" w14:textId="27A447D7" w:rsidR="00F53774" w:rsidRPr="00F4114C" w:rsidRDefault="00F53774" w:rsidP="00F4114C">
                        <w:pPr>
                          <w:pStyle w:val="ListParagraph"/>
                          <w:numPr>
                            <w:ilvl w:val="0"/>
                            <w:numId w:val="34"/>
                          </w:numPr>
                          <w:jc w:val="both"/>
                          <w:rPr>
                            <w:rFonts w:ascii="Arial" w:hAnsi="Arial" w:cs="Arial"/>
                          </w:rPr>
                        </w:pPr>
                        <w:r w:rsidRPr="00F4114C">
                          <w:rPr>
                            <w:rFonts w:ascii="Arial" w:hAnsi="Arial" w:cs="Arial"/>
                          </w:rPr>
                          <w:t>Sustainability metrics (client retention, capital adequacy, ability to cover operational costs without subsidies)</w:t>
                        </w:r>
                        <w:r>
                          <w:rPr>
                            <w:rFonts w:ascii="Arial" w:hAnsi="Arial" w:cs="Arial"/>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9" type="#_x0000_t34" style="position:absolute;left:18741;top:8010;width:16021;height:4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" adj="38" strokecolor="black [3040]">
                  <v:stroke endarrow="block"/>
                </v:shape>
              </v:group>
            </w:pict>
          </mc:Fallback>
        </mc:AlternateContent>
      </w:r>
    </w:p>
    <w:p w14:paraId="6B30EF6A" w14:textId="0A8E585E" w:rsidR="00936D8B" w:rsidRDefault="00936D8B" w:rsidP="00936D8B"/>
    <w:p w14:paraId="5D13A9C0" w14:textId="425BCB4A" w:rsidR="00936D8B" w:rsidRDefault="00936D8B" w:rsidP="00936D8B"/>
    <w:p w14:paraId="5692B57E" w14:textId="554973EB" w:rsidR="00EF15CF" w:rsidRDefault="00EF15CF" w:rsidP="00936D8B"/>
    <w:p w14:paraId="7DF0F3B5" w14:textId="1FC251D4" w:rsidR="00EF15CF" w:rsidRDefault="00EF15CF" w:rsidP="00936D8B"/>
    <w:p w14:paraId="7CC9FB38" w14:textId="6BB77EF0" w:rsidR="00EF15CF" w:rsidRDefault="00EF15CF" w:rsidP="00936D8B"/>
    <w:p w14:paraId="798DB718" w14:textId="4CB601F0" w:rsidR="00EF15CF" w:rsidRDefault="00EF15CF" w:rsidP="00936D8B"/>
    <w:p w14:paraId="7D753584" w14:textId="14930749" w:rsidR="00EF15CF" w:rsidRDefault="00EF15CF" w:rsidP="00936D8B"/>
    <w:p w14:paraId="678B3896" w14:textId="6306ADC1" w:rsidR="00EF15CF" w:rsidRDefault="00EF15CF" w:rsidP="00936D8B"/>
    <w:p w14:paraId="1244A819" w14:textId="6EF17888" w:rsidR="00EF15CF" w:rsidRDefault="00EF15CF" w:rsidP="00936D8B"/>
    <w:p w14:paraId="40A9F51D" w14:textId="532D2F2D" w:rsidR="00EF15CF" w:rsidRDefault="00EF15CF" w:rsidP="00936D8B"/>
    <w:p w14:paraId="0777C2CB" w14:textId="18789960" w:rsidR="00EF15CF" w:rsidRDefault="00EF15CF" w:rsidP="00936D8B"/>
    <w:p w14:paraId="65A0B11E" w14:textId="77777777" w:rsidR="00EF15CF" w:rsidRDefault="00EF15CF" w:rsidP="00936D8B"/>
    <w:p w14:paraId="5658F994" w14:textId="2CF385AB" w:rsidR="00936D8B" w:rsidRDefault="00936D8B" w:rsidP="00936D8B"/>
    <w:p w14:paraId="317AAD96" w14:textId="62863750" w:rsidR="00936D8B" w:rsidRDefault="00EF15CF" w:rsidP="00936D8B">
      <w:r>
        <w:t>Source: Author’s own configuration</w:t>
      </w:r>
    </w:p>
    <w:p w14:paraId="17F260B4" w14:textId="76D26F88" w:rsidR="00936D8B" w:rsidRDefault="00936D8B" w:rsidP="00936D8B"/>
    <w:p w14:paraId="0719A507" w14:textId="64E24591" w:rsidR="00936D8B" w:rsidRPr="00F4114C" w:rsidRDefault="00F4114C" w:rsidP="00F4114C">
      <w:pPr>
        <w:jc w:val="both"/>
        <w:rPr>
          <w:rFonts w:ascii="Arial" w:hAnsi="Arial" w:cs="Arial"/>
        </w:rPr>
      </w:pPr>
      <w:r w:rsidRPr="00F4114C">
        <w:rPr>
          <w:rFonts w:ascii="Arial" w:hAnsi="Arial" w:cs="Arial"/>
        </w:rPr>
        <w:t>High levels of credit risk (e.g., high NPLs or default rates) are expected to negatively affect MFIs’ profitability by reducing interest income and increasing provisioning costs. Over time, persistent credit risk may undermine sustainability by eroding capital, restricting lending capacity, and damaging institutional credibility. Conversely, effective credit risk management should enhance profitability and ensure the long-term sustainability of MFIs.</w:t>
      </w:r>
    </w:p>
    <w:p w14:paraId="3647799D" w14:textId="77777777" w:rsidR="00FF0C7F" w:rsidRPr="00732C16" w:rsidRDefault="00FF0C7F" w:rsidP="00732C16">
      <w:pPr>
        <w:pStyle w:val="Body"/>
        <w:spacing w:after="0"/>
        <w:rPr>
          <w:rFonts w:ascii="Arial" w:hAnsi="Arial" w:cs="Arial"/>
          <w:b/>
        </w:rPr>
      </w:pPr>
    </w:p>
    <w:p w14:paraId="6F1146D0" w14:textId="77777777" w:rsidR="00FF0C7F" w:rsidRPr="00732C16" w:rsidRDefault="0054562D" w:rsidP="00732C16">
      <w:pPr>
        <w:pStyle w:val="Body"/>
        <w:spacing w:after="0"/>
        <w:rPr>
          <w:rFonts w:ascii="Arial" w:hAnsi="Arial" w:cs="Arial"/>
          <w:b/>
        </w:rPr>
      </w:pPr>
      <w:r w:rsidRPr="00732C16">
        <w:rPr>
          <w:rFonts w:ascii="Arial" w:hAnsi="Arial" w:cs="Arial"/>
          <w:b/>
        </w:rPr>
        <w:t>2. BRIEF LITERATURE REVIEW</w:t>
      </w:r>
    </w:p>
    <w:p w14:paraId="7CCE4429" w14:textId="405719AB" w:rsidR="00EF15CF" w:rsidRDefault="00EF15CF" w:rsidP="00732C16">
      <w:pPr>
        <w:pStyle w:val="Body"/>
        <w:rPr>
          <w:rFonts w:ascii="Arial" w:hAnsi="Arial" w:cs="Arial"/>
        </w:rPr>
      </w:pPr>
      <w:r w:rsidRPr="00EF15CF">
        <w:rPr>
          <w:rFonts w:ascii="Arial" w:hAnsi="Arial" w:cs="Arial"/>
        </w:rPr>
        <w:t xml:space="preserve">This literature review examines how credit risk shapes the profitability and sustainability of </w:t>
      </w:r>
      <w:r>
        <w:rPr>
          <w:rFonts w:ascii="Arial" w:hAnsi="Arial" w:cs="Arial"/>
        </w:rPr>
        <w:t>MFIs</w:t>
      </w:r>
      <w:r w:rsidRPr="00EF15CF">
        <w:rPr>
          <w:rFonts w:ascii="Arial" w:hAnsi="Arial" w:cs="Arial"/>
        </w:rPr>
        <w:t xml:space="preserve"> in Sub-Saharan Africa, where MFIs are central to financial inclusion yet remain vulnerable to risk-induced performance pressures. The review is organized into </w:t>
      </w:r>
      <w:r w:rsidR="00F53774">
        <w:rPr>
          <w:rFonts w:ascii="Arial" w:hAnsi="Arial" w:cs="Arial"/>
        </w:rPr>
        <w:t>three parts. The conceptual r</w:t>
      </w:r>
      <w:r w:rsidRPr="00EF15CF">
        <w:rPr>
          <w:rFonts w:ascii="Arial" w:hAnsi="Arial" w:cs="Arial"/>
        </w:rPr>
        <w:t>evie</w:t>
      </w:r>
      <w:r>
        <w:rPr>
          <w:rFonts w:ascii="Arial" w:hAnsi="Arial" w:cs="Arial"/>
        </w:rPr>
        <w:t xml:space="preserve">w clarifies the core constructs </w:t>
      </w:r>
      <w:r w:rsidRPr="00EF15CF">
        <w:rPr>
          <w:rFonts w:ascii="Arial" w:hAnsi="Arial" w:cs="Arial"/>
        </w:rPr>
        <w:t>credit risk, profitability, sustainability, a</w:t>
      </w:r>
      <w:r>
        <w:rPr>
          <w:rFonts w:ascii="Arial" w:hAnsi="Arial" w:cs="Arial"/>
        </w:rPr>
        <w:t xml:space="preserve">nd micro-financial institutions </w:t>
      </w:r>
      <w:r w:rsidRPr="00EF15CF">
        <w:rPr>
          <w:rFonts w:ascii="Arial" w:hAnsi="Arial" w:cs="Arial"/>
        </w:rPr>
        <w:t>to establish consistent definitions an</w:t>
      </w:r>
      <w:r w:rsidR="00F53774">
        <w:rPr>
          <w:rFonts w:ascii="Arial" w:hAnsi="Arial" w:cs="Arial"/>
        </w:rPr>
        <w:t>d measurement perspectives. Theoretical r</w:t>
      </w:r>
      <w:r w:rsidRPr="00EF15CF">
        <w:rPr>
          <w:rFonts w:ascii="Arial" w:hAnsi="Arial" w:cs="Arial"/>
        </w:rPr>
        <w:t>eview then surveys the principal frameworks that underpin these concepts and explain their interrelationships, providing a lens for interpreting MFI performance under var</w:t>
      </w:r>
      <w:r w:rsidR="00F53774">
        <w:rPr>
          <w:rFonts w:ascii="Arial" w:hAnsi="Arial" w:cs="Arial"/>
        </w:rPr>
        <w:t>ying risk conditions. The empirical r</w:t>
      </w:r>
      <w:r w:rsidRPr="00EF15CF">
        <w:rPr>
          <w:rFonts w:ascii="Arial" w:hAnsi="Arial" w:cs="Arial"/>
        </w:rPr>
        <w:t>eview synthesizes prior studies relevant to the region and topic, highlighting methodological approaches, key findings, and unresolved gaps that motivate the present investigation. This structure ensures a clear progression from concept definition, to explanatory theory, to evidence, culminating in a focused agenda for the current study.</w:t>
      </w:r>
    </w:p>
    <w:p w14:paraId="68809314" w14:textId="22032873" w:rsidR="00F53774" w:rsidRDefault="00F53774" w:rsidP="00732C16">
      <w:pPr>
        <w:pStyle w:val="Body"/>
        <w:rPr>
          <w:rFonts w:ascii="Arial" w:hAnsi="Arial" w:cs="Arial"/>
          <w:b/>
        </w:rPr>
      </w:pPr>
      <w:r w:rsidRPr="00F53774">
        <w:rPr>
          <w:rFonts w:ascii="Arial" w:hAnsi="Arial" w:cs="Arial"/>
          <w:b/>
        </w:rPr>
        <w:t xml:space="preserve">2.1 Conceptual Review </w:t>
      </w:r>
    </w:p>
    <w:p w14:paraId="6E337899" w14:textId="185CC6DB" w:rsidR="00F53774" w:rsidRDefault="00F53774" w:rsidP="00732C16">
      <w:pPr>
        <w:pStyle w:val="Body"/>
        <w:rPr>
          <w:rFonts w:ascii="Arial" w:hAnsi="Arial" w:cs="Arial"/>
          <w:b/>
        </w:rPr>
      </w:pPr>
      <w:r>
        <w:rPr>
          <w:rFonts w:ascii="Arial" w:hAnsi="Arial" w:cs="Arial"/>
          <w:b/>
        </w:rPr>
        <w:t>2.1.1 Credit Risk</w:t>
      </w:r>
    </w:p>
    <w:p w14:paraId="6D67DEA2" w14:textId="622A6A45" w:rsidR="00F53774" w:rsidRPr="00F53774" w:rsidRDefault="00F53774" w:rsidP="00F53774">
      <w:pPr>
        <w:pStyle w:val="Body"/>
        <w:rPr>
          <w:rFonts w:ascii="Arial" w:hAnsi="Arial" w:cs="Arial"/>
        </w:rPr>
      </w:pPr>
      <w:r w:rsidRPr="00F53774">
        <w:rPr>
          <w:rFonts w:ascii="Arial" w:hAnsi="Arial" w:cs="Arial"/>
        </w:rPr>
        <w:t>Credit risk, defined as the potential financial loss resulting from a borrower’s inability or unwillingness to meet repayment obligations, is widely recognized as the most critical risk facing financial institutions (</w:t>
      </w:r>
      <w:proofErr w:type="spellStart"/>
      <w:r w:rsidRPr="00F53774">
        <w:rPr>
          <w:rFonts w:ascii="Arial" w:hAnsi="Arial" w:cs="Arial"/>
        </w:rPr>
        <w:t>Yanenkova</w:t>
      </w:r>
      <w:proofErr w:type="spellEnd"/>
      <w:r w:rsidRPr="00F53774">
        <w:rPr>
          <w:rFonts w:ascii="Arial" w:hAnsi="Arial" w:cs="Arial"/>
        </w:rPr>
        <w:t xml:space="preserve"> et al., 2021; Mpofu &amp; </w:t>
      </w:r>
      <w:proofErr w:type="spellStart"/>
      <w:r w:rsidRPr="00F53774">
        <w:rPr>
          <w:rFonts w:ascii="Arial" w:hAnsi="Arial" w:cs="Arial"/>
        </w:rPr>
        <w:t>Nikolaidou</w:t>
      </w:r>
      <w:proofErr w:type="spellEnd"/>
      <w:r w:rsidRPr="00F53774">
        <w:rPr>
          <w:rFonts w:ascii="Arial" w:hAnsi="Arial" w:cs="Arial"/>
        </w:rPr>
        <w:t>, 2018). While banks also contend with operational, interest rate, exchange rate, and fraud risks, credit risk poses the greatest threat to their stability, as defaults can deplete capital reserve</w:t>
      </w:r>
      <w:r>
        <w:rPr>
          <w:rFonts w:ascii="Arial" w:hAnsi="Arial" w:cs="Arial"/>
        </w:rPr>
        <w:t>s and erode profitability. For MFIs</w:t>
      </w:r>
      <w:r w:rsidRPr="00F53774">
        <w:rPr>
          <w:rFonts w:ascii="Arial" w:hAnsi="Arial" w:cs="Arial"/>
        </w:rPr>
        <w:t>, which primarily extend credit to underserved communities, this risk is even more pronounced given their clientele’s vulnerability to economic fluctuations and personal financial hardships (</w:t>
      </w:r>
      <w:proofErr w:type="spellStart"/>
      <w:r w:rsidRPr="00F53774">
        <w:rPr>
          <w:rFonts w:ascii="Arial" w:hAnsi="Arial" w:cs="Arial"/>
        </w:rPr>
        <w:t>Siwale</w:t>
      </w:r>
      <w:proofErr w:type="spellEnd"/>
      <w:r w:rsidRPr="00F53774">
        <w:rPr>
          <w:rFonts w:ascii="Arial" w:hAnsi="Arial" w:cs="Arial"/>
        </w:rPr>
        <w:t xml:space="preserve"> &amp; </w:t>
      </w:r>
      <w:proofErr w:type="spellStart"/>
      <w:r w:rsidRPr="00F53774">
        <w:rPr>
          <w:rFonts w:ascii="Arial" w:hAnsi="Arial" w:cs="Arial"/>
        </w:rPr>
        <w:t>Godfroid</w:t>
      </w:r>
      <w:proofErr w:type="spellEnd"/>
      <w:r w:rsidRPr="00F53774">
        <w:rPr>
          <w:rFonts w:ascii="Arial" w:hAnsi="Arial" w:cs="Arial"/>
        </w:rPr>
        <w:t>, 2022).</w:t>
      </w:r>
    </w:p>
    <w:p w14:paraId="34864737" w14:textId="77777777" w:rsidR="00F53774" w:rsidRPr="00F53774" w:rsidRDefault="00F53774" w:rsidP="00F53774">
      <w:pPr>
        <w:pStyle w:val="Body"/>
        <w:rPr>
          <w:rFonts w:ascii="Arial" w:hAnsi="Arial" w:cs="Arial"/>
        </w:rPr>
      </w:pPr>
      <w:r w:rsidRPr="00F53774">
        <w:rPr>
          <w:rFonts w:ascii="Arial" w:hAnsi="Arial" w:cs="Arial"/>
        </w:rPr>
        <w:t>The implications of poor credit risk management are severe, often leading to liquidity challenges, reduced cash flow, and overall financial distress. Studies show that credit failures are a major contributor to the collapse of financial institutions, as observed in Nigeria where loan recovery problems significantly contributed to banking sector failures (</w:t>
      </w:r>
      <w:proofErr w:type="spellStart"/>
      <w:r w:rsidRPr="00F53774">
        <w:rPr>
          <w:rFonts w:ascii="Arial" w:hAnsi="Arial" w:cs="Arial"/>
        </w:rPr>
        <w:t>Owojori</w:t>
      </w:r>
      <w:proofErr w:type="spellEnd"/>
      <w:r w:rsidRPr="00F53774">
        <w:rPr>
          <w:rFonts w:ascii="Arial" w:hAnsi="Arial" w:cs="Arial"/>
        </w:rPr>
        <w:t xml:space="preserve">, </w:t>
      </w:r>
      <w:proofErr w:type="spellStart"/>
      <w:r w:rsidRPr="00F53774">
        <w:rPr>
          <w:rFonts w:ascii="Arial" w:hAnsi="Arial" w:cs="Arial"/>
        </w:rPr>
        <w:t>Akintoye</w:t>
      </w:r>
      <w:proofErr w:type="spellEnd"/>
      <w:r w:rsidRPr="00F53774">
        <w:rPr>
          <w:rFonts w:ascii="Arial" w:hAnsi="Arial" w:cs="Arial"/>
        </w:rPr>
        <w:t xml:space="preserve"> </w:t>
      </w:r>
      <w:r w:rsidRPr="00F53774">
        <w:rPr>
          <w:rFonts w:ascii="Arial" w:hAnsi="Arial" w:cs="Arial"/>
        </w:rPr>
        <w:lastRenderedPageBreak/>
        <w:t xml:space="preserve">&amp; </w:t>
      </w:r>
      <w:proofErr w:type="spellStart"/>
      <w:r w:rsidRPr="00F53774">
        <w:rPr>
          <w:rFonts w:ascii="Arial" w:hAnsi="Arial" w:cs="Arial"/>
        </w:rPr>
        <w:t>Adidu</w:t>
      </w:r>
      <w:proofErr w:type="spellEnd"/>
      <w:r w:rsidRPr="00F53774">
        <w:rPr>
          <w:rFonts w:ascii="Arial" w:hAnsi="Arial" w:cs="Arial"/>
        </w:rPr>
        <w:t xml:space="preserve">, 2011). Similarly, MFIs that fail to manage credit risk effectively face high levels of non-performing loans, threatening their sustainability and weakening investor confidence. Scholars such as </w:t>
      </w:r>
      <w:proofErr w:type="spellStart"/>
      <w:r w:rsidRPr="00F53774">
        <w:rPr>
          <w:rFonts w:ascii="Arial" w:hAnsi="Arial" w:cs="Arial"/>
        </w:rPr>
        <w:t>Masavu</w:t>
      </w:r>
      <w:proofErr w:type="spellEnd"/>
      <w:r w:rsidRPr="00F53774">
        <w:rPr>
          <w:rFonts w:ascii="Arial" w:hAnsi="Arial" w:cs="Arial"/>
        </w:rPr>
        <w:t xml:space="preserve"> (2022) and </w:t>
      </w:r>
      <w:proofErr w:type="spellStart"/>
      <w:r w:rsidRPr="00F53774">
        <w:rPr>
          <w:rFonts w:ascii="Arial" w:hAnsi="Arial" w:cs="Arial"/>
        </w:rPr>
        <w:t>Lelgo</w:t>
      </w:r>
      <w:proofErr w:type="spellEnd"/>
      <w:r w:rsidRPr="00F53774">
        <w:rPr>
          <w:rFonts w:ascii="Arial" w:hAnsi="Arial" w:cs="Arial"/>
        </w:rPr>
        <w:t xml:space="preserve"> &amp; </w:t>
      </w:r>
      <w:proofErr w:type="spellStart"/>
      <w:r w:rsidRPr="00F53774">
        <w:rPr>
          <w:rFonts w:ascii="Arial" w:hAnsi="Arial" w:cs="Arial"/>
        </w:rPr>
        <w:t>Obwogi</w:t>
      </w:r>
      <w:proofErr w:type="spellEnd"/>
      <w:r w:rsidRPr="00F53774">
        <w:rPr>
          <w:rFonts w:ascii="Arial" w:hAnsi="Arial" w:cs="Arial"/>
        </w:rPr>
        <w:t xml:space="preserve"> (2018) highlight that borrower defaults and declining credit quality represent some of the most significant dangers to MFI performance and long-term survival.</w:t>
      </w:r>
    </w:p>
    <w:p w14:paraId="78F08E36" w14:textId="3F8CB8E9" w:rsidR="00F53774" w:rsidRDefault="00F53774" w:rsidP="00732C16">
      <w:pPr>
        <w:pStyle w:val="Body"/>
        <w:rPr>
          <w:rFonts w:ascii="Arial" w:hAnsi="Arial" w:cs="Arial"/>
        </w:rPr>
      </w:pPr>
      <w:r w:rsidRPr="00F53774">
        <w:rPr>
          <w:rFonts w:ascii="Arial" w:hAnsi="Arial" w:cs="Arial"/>
        </w:rPr>
        <w:t>To safeguard financial stability, MFIs must adopt comprehensive credit risk management strategies. These include thorough loan screening processes, effective monitoring, adequate collateral assessment, portfolio diversification, and appropriate loan pricing mechanisms (</w:t>
      </w:r>
      <w:proofErr w:type="spellStart"/>
      <w:r w:rsidRPr="00F53774">
        <w:rPr>
          <w:rFonts w:ascii="Arial" w:hAnsi="Arial" w:cs="Arial"/>
        </w:rPr>
        <w:t>Naili</w:t>
      </w:r>
      <w:proofErr w:type="spellEnd"/>
      <w:r w:rsidRPr="00F53774">
        <w:rPr>
          <w:rFonts w:ascii="Arial" w:hAnsi="Arial" w:cs="Arial"/>
        </w:rPr>
        <w:t xml:space="preserve"> &amp; </w:t>
      </w:r>
      <w:proofErr w:type="spellStart"/>
      <w:r w:rsidRPr="00F53774">
        <w:rPr>
          <w:rFonts w:ascii="Arial" w:hAnsi="Arial" w:cs="Arial"/>
        </w:rPr>
        <w:t>Lahrichi</w:t>
      </w:r>
      <w:proofErr w:type="spellEnd"/>
      <w:r w:rsidRPr="00F53774">
        <w:rPr>
          <w:rFonts w:ascii="Arial" w:hAnsi="Arial" w:cs="Arial"/>
        </w:rPr>
        <w:t>, 2022). Implementing such measures enables MFIs to reduce default rates and maintain sustainability while continuing their developmental mission of serving low-income and financially excluded populations. The capacity to balance risk management with financial inclusion objectives remains central to their profitability, resilience, and overall contribution to socio-economic development in Sub-Saharan Africa.</w:t>
      </w:r>
    </w:p>
    <w:p w14:paraId="149E8FE6" w14:textId="017A09CB" w:rsidR="00F53774" w:rsidRDefault="00F53774" w:rsidP="00732C16">
      <w:pPr>
        <w:pStyle w:val="Body"/>
        <w:rPr>
          <w:rFonts w:ascii="Arial" w:hAnsi="Arial" w:cs="Arial"/>
          <w:b/>
        </w:rPr>
      </w:pPr>
      <w:r w:rsidRPr="00F53774">
        <w:rPr>
          <w:rFonts w:ascii="Arial" w:hAnsi="Arial" w:cs="Arial"/>
          <w:b/>
        </w:rPr>
        <w:t>2.1.2 Profitability</w:t>
      </w:r>
    </w:p>
    <w:p w14:paraId="14DF24A4" w14:textId="64475D72" w:rsidR="00F53774" w:rsidRPr="00F53774" w:rsidRDefault="00F53774" w:rsidP="00F53774">
      <w:pPr>
        <w:pStyle w:val="Body"/>
        <w:rPr>
          <w:rFonts w:ascii="Arial" w:hAnsi="Arial" w:cs="Arial"/>
        </w:rPr>
      </w:pPr>
      <w:r w:rsidRPr="00F53774">
        <w:rPr>
          <w:rFonts w:ascii="Arial" w:hAnsi="Arial" w:cs="Arial"/>
        </w:rPr>
        <w:t xml:space="preserve">Profitability is a core measure of business performance, reflecting an institution’s ability to generate income relative to its expenses. For </w:t>
      </w:r>
      <w:r>
        <w:rPr>
          <w:rFonts w:ascii="Arial" w:hAnsi="Arial" w:cs="Arial"/>
        </w:rPr>
        <w:t xml:space="preserve">MFIs </w:t>
      </w:r>
      <w:r w:rsidRPr="00F53774">
        <w:rPr>
          <w:rFonts w:ascii="Arial" w:hAnsi="Arial" w:cs="Arial"/>
        </w:rPr>
        <w:t>in Sub-Saharan Africa, profitability is not only essential for sustainability but also for scaling financial inclusion efforts. Studies show that effective risk ma</w:t>
      </w:r>
      <w:r>
        <w:rPr>
          <w:rFonts w:ascii="Arial" w:hAnsi="Arial" w:cs="Arial"/>
        </w:rPr>
        <w:t xml:space="preserve">nagement practices </w:t>
      </w:r>
      <w:r w:rsidRPr="00F53774">
        <w:rPr>
          <w:rFonts w:ascii="Arial" w:hAnsi="Arial" w:cs="Arial"/>
        </w:rPr>
        <w:t xml:space="preserve">such as strong loan recovery mechanisms and </w:t>
      </w:r>
      <w:r w:rsidR="00FE73AE">
        <w:rPr>
          <w:rFonts w:ascii="Arial" w:hAnsi="Arial" w:cs="Arial"/>
        </w:rPr>
        <w:t xml:space="preserve">efficient asset utilization </w:t>
      </w:r>
      <w:r w:rsidRPr="00F53774">
        <w:rPr>
          <w:rFonts w:ascii="Arial" w:hAnsi="Arial" w:cs="Arial"/>
        </w:rPr>
        <w:t>contribute significantly to profitability by reducing default rates and operational inefficiencies (</w:t>
      </w:r>
      <w:proofErr w:type="spellStart"/>
      <w:r w:rsidRPr="00F53774">
        <w:rPr>
          <w:rFonts w:ascii="Arial" w:hAnsi="Arial" w:cs="Arial"/>
        </w:rPr>
        <w:t>Adelopo</w:t>
      </w:r>
      <w:proofErr w:type="spellEnd"/>
      <w:r w:rsidRPr="00F53774">
        <w:rPr>
          <w:rFonts w:ascii="Arial" w:hAnsi="Arial" w:cs="Arial"/>
        </w:rPr>
        <w:t xml:space="preserve"> et al., 2018; </w:t>
      </w:r>
      <w:proofErr w:type="spellStart"/>
      <w:r w:rsidRPr="00F53774">
        <w:rPr>
          <w:rFonts w:ascii="Arial" w:hAnsi="Arial" w:cs="Arial"/>
        </w:rPr>
        <w:t>Altavilla</w:t>
      </w:r>
      <w:proofErr w:type="spellEnd"/>
      <w:r w:rsidRPr="00F53774">
        <w:rPr>
          <w:rFonts w:ascii="Arial" w:hAnsi="Arial" w:cs="Arial"/>
        </w:rPr>
        <w:t xml:space="preserve"> et al., 2018; Singh et al., 2021). Moreover, profitable MFIs are better positioned to expand their outreach to underserved populations, thereby reinforcing their dual mandate of financial performance and social impact.</w:t>
      </w:r>
    </w:p>
    <w:p w14:paraId="7DF36DDB" w14:textId="77777777" w:rsidR="00F53774" w:rsidRPr="00F53774" w:rsidRDefault="00F53774" w:rsidP="00F53774">
      <w:pPr>
        <w:pStyle w:val="Body"/>
        <w:rPr>
          <w:rFonts w:ascii="Arial" w:hAnsi="Arial" w:cs="Arial"/>
        </w:rPr>
      </w:pPr>
      <w:r w:rsidRPr="00F53774">
        <w:rPr>
          <w:rFonts w:ascii="Arial" w:hAnsi="Arial" w:cs="Arial"/>
        </w:rPr>
        <w:t>Profitability, however, is highly sensitive to financial risks, particularly credit risk, liquidity risk, market risk, and interest rate risk. Credit risk remains the most critical, as borrower defaults directly erode revenue streams and capital reserves, especially in economically fragile contexts (</w:t>
      </w:r>
      <w:proofErr w:type="spellStart"/>
      <w:r w:rsidRPr="00F53774">
        <w:rPr>
          <w:rFonts w:ascii="Arial" w:hAnsi="Arial" w:cs="Arial"/>
        </w:rPr>
        <w:t>Dimitropoulos</w:t>
      </w:r>
      <w:proofErr w:type="spellEnd"/>
      <w:r w:rsidRPr="00F53774">
        <w:rPr>
          <w:rFonts w:ascii="Arial" w:hAnsi="Arial" w:cs="Arial"/>
        </w:rPr>
        <w:t xml:space="preserve"> et al., 2010; </w:t>
      </w:r>
      <w:proofErr w:type="spellStart"/>
      <w:r w:rsidRPr="00F53774">
        <w:rPr>
          <w:rFonts w:ascii="Arial" w:hAnsi="Arial" w:cs="Arial"/>
        </w:rPr>
        <w:t>Lekhelebana</w:t>
      </w:r>
      <w:proofErr w:type="spellEnd"/>
      <w:r w:rsidRPr="00F53774">
        <w:rPr>
          <w:rFonts w:ascii="Arial" w:hAnsi="Arial" w:cs="Arial"/>
        </w:rPr>
        <w:t>, 2022). Interest rate risk also poses challenges when mismatches occur between lending and deposit rates, compressing margins and limiting earnings potential (</w:t>
      </w:r>
      <w:proofErr w:type="spellStart"/>
      <w:r w:rsidRPr="00F53774">
        <w:rPr>
          <w:rFonts w:ascii="Arial" w:hAnsi="Arial" w:cs="Arial"/>
        </w:rPr>
        <w:t>Dimitropoulos</w:t>
      </w:r>
      <w:proofErr w:type="spellEnd"/>
      <w:r w:rsidRPr="00F53774">
        <w:rPr>
          <w:rFonts w:ascii="Arial" w:hAnsi="Arial" w:cs="Arial"/>
        </w:rPr>
        <w:t xml:space="preserve"> et al., 2010). Exchange rate fluctuations further complicate profitability for MFIs engaged in foreign borrowing or cross-border transactions, with local currency depreciation leading to higher repayment costs and potential financial instability (Pradhan &amp; </w:t>
      </w:r>
      <w:proofErr w:type="spellStart"/>
      <w:r w:rsidRPr="00F53774">
        <w:rPr>
          <w:rFonts w:ascii="Arial" w:hAnsi="Arial" w:cs="Arial"/>
        </w:rPr>
        <w:t>Hiremath</w:t>
      </w:r>
      <w:proofErr w:type="spellEnd"/>
      <w:r w:rsidRPr="00F53774">
        <w:rPr>
          <w:rFonts w:ascii="Arial" w:hAnsi="Arial" w:cs="Arial"/>
        </w:rPr>
        <w:t>, 2020). Thus, understanding and mitigating these risks is vital for safeguarding the financial health of MFIs.</w:t>
      </w:r>
    </w:p>
    <w:p w14:paraId="41D66A84" w14:textId="20D8BE40" w:rsidR="00F53774" w:rsidRDefault="00F53774" w:rsidP="00F53774">
      <w:pPr>
        <w:pStyle w:val="Body"/>
        <w:rPr>
          <w:rFonts w:ascii="Arial" w:hAnsi="Arial" w:cs="Arial"/>
        </w:rPr>
      </w:pPr>
      <w:r w:rsidRPr="00F53774">
        <w:rPr>
          <w:rFonts w:ascii="Arial" w:hAnsi="Arial" w:cs="Arial"/>
        </w:rPr>
        <w:t>Assessing profitability in MFIs typically relies on financial performance ratios similar to those used in traditional banking. Common measures include return on equity (ROE) and return on assets (ROA), which capture earnings relative to equity and assets respectively, as well as financial leverage ratios that indicate the institution’s reliance on debt financing (</w:t>
      </w:r>
      <w:proofErr w:type="spellStart"/>
      <w:r w:rsidRPr="00F53774">
        <w:rPr>
          <w:rFonts w:ascii="Arial" w:hAnsi="Arial" w:cs="Arial"/>
        </w:rPr>
        <w:t>Leite</w:t>
      </w:r>
      <w:proofErr w:type="spellEnd"/>
      <w:r w:rsidRPr="00F53774">
        <w:rPr>
          <w:rFonts w:ascii="Arial" w:hAnsi="Arial" w:cs="Arial"/>
        </w:rPr>
        <w:t xml:space="preserve"> et al., 2019; </w:t>
      </w:r>
      <w:proofErr w:type="spellStart"/>
      <w:r w:rsidRPr="00F53774">
        <w:rPr>
          <w:rFonts w:ascii="Arial" w:hAnsi="Arial" w:cs="Arial"/>
        </w:rPr>
        <w:t>Dardac</w:t>
      </w:r>
      <w:proofErr w:type="spellEnd"/>
      <w:r w:rsidRPr="00F53774">
        <w:rPr>
          <w:rFonts w:ascii="Arial" w:hAnsi="Arial" w:cs="Arial"/>
        </w:rPr>
        <w:t xml:space="preserve"> &amp; </w:t>
      </w:r>
      <w:proofErr w:type="spellStart"/>
      <w:r w:rsidRPr="00F53774">
        <w:rPr>
          <w:rFonts w:ascii="Arial" w:hAnsi="Arial" w:cs="Arial"/>
        </w:rPr>
        <w:t>Barbu</w:t>
      </w:r>
      <w:proofErr w:type="spellEnd"/>
      <w:r w:rsidRPr="00F53774">
        <w:rPr>
          <w:rFonts w:ascii="Arial" w:hAnsi="Arial" w:cs="Arial"/>
        </w:rPr>
        <w:t>, 2015). Research highlights that MFIs with higher equity ratios tend to generate stronger returns, as profitability reflects both operational efficiency and resilience to shocks (</w:t>
      </w:r>
      <w:proofErr w:type="spellStart"/>
      <w:r w:rsidRPr="00F53774">
        <w:rPr>
          <w:rFonts w:ascii="Arial" w:hAnsi="Arial" w:cs="Arial"/>
        </w:rPr>
        <w:t>Ceylan</w:t>
      </w:r>
      <w:proofErr w:type="spellEnd"/>
      <w:r w:rsidRPr="00F53774">
        <w:rPr>
          <w:rFonts w:ascii="Arial" w:hAnsi="Arial" w:cs="Arial"/>
        </w:rPr>
        <w:t xml:space="preserve"> et al., 2014; Parvin et al., 2020). Ultimately, profitability serves as a key indicator of institutional viability, enabling MFIs to balance financial sustainability with their mission of advancing financial inclusion. </w:t>
      </w:r>
    </w:p>
    <w:p w14:paraId="36075CF1" w14:textId="057E7B28" w:rsidR="00FE73AE" w:rsidRDefault="00FE73AE" w:rsidP="00F53774">
      <w:pPr>
        <w:pStyle w:val="Body"/>
        <w:rPr>
          <w:rFonts w:ascii="Arial" w:hAnsi="Arial" w:cs="Arial"/>
          <w:b/>
        </w:rPr>
      </w:pPr>
      <w:r w:rsidRPr="00FE73AE">
        <w:rPr>
          <w:rFonts w:ascii="Arial" w:hAnsi="Arial" w:cs="Arial"/>
          <w:b/>
        </w:rPr>
        <w:t xml:space="preserve">2.1.3 Sustainability </w:t>
      </w:r>
    </w:p>
    <w:p w14:paraId="4A104284" w14:textId="797063AC" w:rsidR="00FE73AE" w:rsidRPr="00FE73AE" w:rsidRDefault="00FE73AE" w:rsidP="00FE73AE">
      <w:pPr>
        <w:pStyle w:val="Body"/>
        <w:rPr>
          <w:rFonts w:ascii="Arial" w:hAnsi="Arial" w:cs="Arial"/>
        </w:rPr>
      </w:pPr>
      <w:r w:rsidRPr="00FE73AE">
        <w:rPr>
          <w:rFonts w:ascii="Arial" w:hAnsi="Arial" w:cs="Arial"/>
        </w:rPr>
        <w:t xml:space="preserve">Sustainability in </w:t>
      </w:r>
      <w:r>
        <w:rPr>
          <w:rFonts w:ascii="Arial" w:hAnsi="Arial" w:cs="Arial"/>
        </w:rPr>
        <w:t>MFIs</w:t>
      </w:r>
      <w:r w:rsidRPr="00FE73AE">
        <w:rPr>
          <w:rFonts w:ascii="Arial" w:hAnsi="Arial" w:cs="Arial"/>
        </w:rPr>
        <w:t xml:space="preserve"> refers to the ability to maintain operations over the long term while balancing financial performance with social objectives (C</w:t>
      </w:r>
      <w:r>
        <w:rPr>
          <w:rFonts w:ascii="Arial" w:hAnsi="Arial" w:cs="Arial"/>
        </w:rPr>
        <w:t xml:space="preserve">ull &amp; </w:t>
      </w:r>
      <w:proofErr w:type="spellStart"/>
      <w:r>
        <w:rPr>
          <w:rFonts w:ascii="Arial" w:hAnsi="Arial" w:cs="Arial"/>
        </w:rPr>
        <w:t>Hartarska</w:t>
      </w:r>
      <w:proofErr w:type="spellEnd"/>
      <w:r>
        <w:rPr>
          <w:rFonts w:ascii="Arial" w:hAnsi="Arial" w:cs="Arial"/>
        </w:rPr>
        <w:t>, 2023)</w:t>
      </w:r>
      <w:r w:rsidRPr="00FE73AE">
        <w:rPr>
          <w:rFonts w:ascii="Arial" w:hAnsi="Arial" w:cs="Arial"/>
        </w:rPr>
        <w:t xml:space="preserve">. It encompasses not only financial viability but also institutional resilience, client outreach, and the capacity to withstand economic shocks. In the context of Sub-Saharan Africa, sustainability </w:t>
      </w:r>
      <w:r w:rsidRPr="00FE73AE">
        <w:rPr>
          <w:rFonts w:ascii="Arial" w:hAnsi="Arial" w:cs="Arial"/>
        </w:rPr>
        <w:lastRenderedPageBreak/>
        <w:t>is crucial as MFIs operate in environments characterized by economic volatility, regulatory inconsistencies, and high poverty levels, which increase operational risk (</w:t>
      </w:r>
      <w:proofErr w:type="spellStart"/>
      <w:r w:rsidRPr="00FE73AE">
        <w:rPr>
          <w:rFonts w:ascii="Arial" w:hAnsi="Arial" w:cs="Arial"/>
        </w:rPr>
        <w:t>Tadele</w:t>
      </w:r>
      <w:proofErr w:type="spellEnd"/>
      <w:r w:rsidRPr="00FE73AE">
        <w:rPr>
          <w:rFonts w:ascii="Arial" w:hAnsi="Arial" w:cs="Arial"/>
        </w:rPr>
        <w:t xml:space="preserve">, </w:t>
      </w:r>
      <w:r>
        <w:rPr>
          <w:rFonts w:ascii="Arial" w:hAnsi="Arial" w:cs="Arial"/>
        </w:rPr>
        <w:t xml:space="preserve">Roberts &amp; Whiting, </w:t>
      </w:r>
      <w:r w:rsidRPr="00FE73AE">
        <w:rPr>
          <w:rFonts w:ascii="Arial" w:hAnsi="Arial" w:cs="Arial"/>
        </w:rPr>
        <w:t>2022). Achieving sustainability ensures that MFIs can continue providing financial services to underserved populations without relying excessively on external subsidies.</w:t>
      </w:r>
    </w:p>
    <w:p w14:paraId="0E1CBF45" w14:textId="3967F6A7" w:rsidR="00FE73AE" w:rsidRPr="00FE73AE" w:rsidRDefault="00FE73AE" w:rsidP="00FE73AE">
      <w:pPr>
        <w:pStyle w:val="Body"/>
        <w:rPr>
          <w:rFonts w:ascii="Arial" w:hAnsi="Arial" w:cs="Arial"/>
        </w:rPr>
      </w:pPr>
      <w:r w:rsidRPr="00FE73AE">
        <w:rPr>
          <w:rFonts w:ascii="Arial" w:hAnsi="Arial" w:cs="Arial"/>
        </w:rPr>
        <w:t>Financial sustainability, a key dimension of overall sustainability, is closely linked to profitability and effective risk management. Studies indicate that MFIs with strong financial management practices, including rigorous credit assessment and portfolio diversification, are better able to sustain operations over time (</w:t>
      </w:r>
      <w:proofErr w:type="spellStart"/>
      <w:r>
        <w:rPr>
          <w:rFonts w:ascii="Arial" w:hAnsi="Arial" w:cs="Arial"/>
        </w:rPr>
        <w:t>Omowole</w:t>
      </w:r>
      <w:proofErr w:type="spellEnd"/>
      <w:r>
        <w:rPr>
          <w:rFonts w:ascii="Arial" w:hAnsi="Arial" w:cs="Arial"/>
        </w:rPr>
        <w:t xml:space="preserve"> et al.,2024)</w:t>
      </w:r>
      <w:r w:rsidRPr="00FE73AE">
        <w:rPr>
          <w:rFonts w:ascii="Arial" w:hAnsi="Arial" w:cs="Arial"/>
        </w:rPr>
        <w:t>. Poor management of financial risks, particularly credit risk, can undermine both short-term profitability and long-term sustainability, leading to high non-performing loan ratios and reduced investor confidence (</w:t>
      </w:r>
      <w:proofErr w:type="spellStart"/>
      <w:r>
        <w:rPr>
          <w:rFonts w:ascii="Arial" w:hAnsi="Arial" w:cs="Arial"/>
        </w:rPr>
        <w:t>Atichasari</w:t>
      </w:r>
      <w:proofErr w:type="spellEnd"/>
      <w:r>
        <w:rPr>
          <w:rFonts w:ascii="Arial" w:hAnsi="Arial" w:cs="Arial"/>
        </w:rPr>
        <w:t xml:space="preserve"> et al.,2023)</w:t>
      </w:r>
      <w:r w:rsidRPr="00FE73AE">
        <w:rPr>
          <w:rFonts w:ascii="Arial" w:hAnsi="Arial" w:cs="Arial"/>
        </w:rPr>
        <w:t>. Sustainability, therefore, depends on striking a balance between social outreach objec</w:t>
      </w:r>
      <w:r>
        <w:rPr>
          <w:rFonts w:ascii="Arial" w:hAnsi="Arial" w:cs="Arial"/>
        </w:rPr>
        <w:t>tives and financial discipline</w:t>
      </w:r>
      <w:r w:rsidRPr="00FE73AE">
        <w:rPr>
          <w:rFonts w:ascii="Arial" w:hAnsi="Arial" w:cs="Arial"/>
        </w:rPr>
        <w:t>.</w:t>
      </w:r>
    </w:p>
    <w:p w14:paraId="2C074561" w14:textId="6EEB162C" w:rsidR="00FE73AE" w:rsidRPr="00FE73AE" w:rsidRDefault="00FE73AE" w:rsidP="00FE73AE">
      <w:pPr>
        <w:pStyle w:val="Body"/>
        <w:rPr>
          <w:rFonts w:ascii="Arial" w:hAnsi="Arial" w:cs="Arial"/>
        </w:rPr>
      </w:pPr>
      <w:r w:rsidRPr="00FE73AE">
        <w:rPr>
          <w:rFonts w:ascii="Arial" w:hAnsi="Arial" w:cs="Arial"/>
          <w:b/>
        </w:rPr>
        <w:t>2.1.4 Micro-Financial Institutions (MFIs)</w:t>
      </w:r>
    </w:p>
    <w:p w14:paraId="3D538796" w14:textId="793325C7" w:rsidR="00FE73AE" w:rsidRPr="00FE73AE" w:rsidRDefault="00FE73AE" w:rsidP="00FE73AE">
      <w:pPr>
        <w:pStyle w:val="Body"/>
        <w:rPr>
          <w:rFonts w:ascii="Arial" w:hAnsi="Arial" w:cs="Arial"/>
        </w:rPr>
      </w:pPr>
      <w:r>
        <w:rPr>
          <w:rFonts w:ascii="Arial" w:hAnsi="Arial" w:cs="Arial"/>
        </w:rPr>
        <w:t>MFIs</w:t>
      </w:r>
      <w:r w:rsidRPr="00FE73AE">
        <w:rPr>
          <w:rFonts w:ascii="Arial" w:hAnsi="Arial" w:cs="Arial"/>
        </w:rPr>
        <w:t xml:space="preserve"> are specialized financial entities that provide credit, savings, and other financial services to low-income and underserved populations who typically lack access to conventional banking (</w:t>
      </w:r>
      <w:proofErr w:type="spellStart"/>
      <w:r w:rsidR="003F76A9" w:rsidRPr="003F76A9">
        <w:rPr>
          <w:rFonts w:ascii="Arial" w:hAnsi="Arial" w:cs="Arial"/>
        </w:rPr>
        <w:t>Omowole</w:t>
      </w:r>
      <w:proofErr w:type="spellEnd"/>
      <w:r w:rsidR="003F76A9" w:rsidRPr="003F76A9">
        <w:rPr>
          <w:rFonts w:ascii="Arial" w:hAnsi="Arial" w:cs="Arial"/>
        </w:rPr>
        <w:t xml:space="preserve"> et al.,2024</w:t>
      </w:r>
      <w:r w:rsidRPr="00FE73AE">
        <w:rPr>
          <w:rFonts w:ascii="Arial" w:hAnsi="Arial" w:cs="Arial"/>
        </w:rPr>
        <w:t>). MFIs play a vital role in promoting financial inclusion, poverty reduction, and local economic development, particularly in Sub-Saharan Africa, where access to formal financial services remains limited (</w:t>
      </w:r>
      <w:proofErr w:type="spellStart"/>
      <w:r w:rsidR="003F76A9" w:rsidRPr="003F76A9">
        <w:rPr>
          <w:rFonts w:ascii="Arial" w:hAnsi="Arial" w:cs="Arial"/>
        </w:rPr>
        <w:t>Kanellopoulos</w:t>
      </w:r>
      <w:proofErr w:type="spellEnd"/>
      <w:r w:rsidR="003F76A9" w:rsidRPr="003F76A9">
        <w:rPr>
          <w:rFonts w:ascii="Arial" w:hAnsi="Arial" w:cs="Arial"/>
        </w:rPr>
        <w:t>, 2022</w:t>
      </w:r>
      <w:r w:rsidRPr="00FE73AE">
        <w:rPr>
          <w:rFonts w:ascii="Arial" w:hAnsi="Arial" w:cs="Arial"/>
        </w:rPr>
        <w:t xml:space="preserve">). By offering small loans, savings accounts, and insurance products, MFIs enable clients to invest in income-generating activities, manage risks, and improve household </w:t>
      </w:r>
      <w:r w:rsidR="003F76A9" w:rsidRPr="00FE73AE">
        <w:rPr>
          <w:rFonts w:ascii="Arial" w:hAnsi="Arial" w:cs="Arial"/>
        </w:rPr>
        <w:t>welfare. The</w:t>
      </w:r>
      <w:r w:rsidRPr="00FE73AE">
        <w:rPr>
          <w:rFonts w:ascii="Arial" w:hAnsi="Arial" w:cs="Arial"/>
        </w:rPr>
        <w:t xml:space="preserve"> operational model of MFIs differs from traditional banks, as they often focus on group lending, community-based assessment, and social collateral to mitigate credit risk (</w:t>
      </w:r>
      <w:proofErr w:type="spellStart"/>
      <w:r w:rsidR="003F76A9">
        <w:rPr>
          <w:rFonts w:ascii="Arial" w:hAnsi="Arial" w:cs="Arial"/>
        </w:rPr>
        <w:t>Jachi</w:t>
      </w:r>
      <w:proofErr w:type="spellEnd"/>
      <w:r w:rsidR="003F76A9">
        <w:rPr>
          <w:rFonts w:ascii="Arial" w:hAnsi="Arial" w:cs="Arial"/>
        </w:rPr>
        <w:t xml:space="preserve"> et al. 2021</w:t>
      </w:r>
      <w:r w:rsidRPr="00FE73AE">
        <w:rPr>
          <w:rFonts w:ascii="Arial" w:hAnsi="Arial" w:cs="Arial"/>
        </w:rPr>
        <w:t>). These institutions typically serve clients with limited financial literacy, informal income streams, and high vulnerability to economic shocks, which amplifies the importance of robust risk management practices. Research shows that MFIs with structured credit assessment procedures, borrower education programs, and strong internal controls achieve higher repayment rates and improved financial performance (</w:t>
      </w:r>
      <w:proofErr w:type="spellStart"/>
      <w:r w:rsidR="003F76A9" w:rsidRPr="003F76A9">
        <w:rPr>
          <w:rFonts w:ascii="Arial" w:hAnsi="Arial" w:cs="Arial"/>
        </w:rPr>
        <w:t>Smolo</w:t>
      </w:r>
      <w:proofErr w:type="spellEnd"/>
      <w:r w:rsidR="003F76A9" w:rsidRPr="003F76A9">
        <w:rPr>
          <w:rFonts w:ascii="Arial" w:hAnsi="Arial" w:cs="Arial"/>
        </w:rPr>
        <w:t>, 2023</w:t>
      </w:r>
      <w:r w:rsidRPr="00FE73AE">
        <w:rPr>
          <w:rFonts w:ascii="Arial" w:hAnsi="Arial" w:cs="Arial"/>
        </w:rPr>
        <w:t>).</w:t>
      </w:r>
    </w:p>
    <w:p w14:paraId="60475AF0" w14:textId="343CFA4A" w:rsidR="00FE73AE" w:rsidRDefault="00FE73AE" w:rsidP="00FE73AE">
      <w:pPr>
        <w:pStyle w:val="Body"/>
        <w:rPr>
          <w:rFonts w:ascii="Arial" w:hAnsi="Arial" w:cs="Arial"/>
        </w:rPr>
      </w:pPr>
      <w:r w:rsidRPr="00FE73AE">
        <w:rPr>
          <w:rFonts w:ascii="Arial" w:hAnsi="Arial" w:cs="Arial"/>
        </w:rPr>
        <w:t>MFIs face unique challenges in balancing social objectives with financial sustainability. While their mission emphasizes poverty alleviation and financial inclusion, they must also generate sufficient revenue to cover operational costs and maintain solvency (</w:t>
      </w:r>
      <w:r w:rsidR="003F76A9" w:rsidRPr="003F76A9">
        <w:rPr>
          <w:rFonts w:ascii="Arial" w:hAnsi="Arial" w:cs="Arial"/>
        </w:rPr>
        <w:t>Matos</w:t>
      </w:r>
      <w:r w:rsidR="003F76A9">
        <w:rPr>
          <w:rFonts w:ascii="Arial" w:hAnsi="Arial" w:cs="Arial"/>
        </w:rPr>
        <w:t xml:space="preserve"> et al.,2022</w:t>
      </w:r>
      <w:r w:rsidRPr="00FE73AE">
        <w:rPr>
          <w:rFonts w:ascii="Arial" w:hAnsi="Arial" w:cs="Arial"/>
        </w:rPr>
        <w:t xml:space="preserve">). In Sub-Saharan Africa, MFIs contend with high default rates, regulatory variability, limited capital access, and fluctuating macroeconomic conditions, which can threaten both profitability and sustainability (Dube &amp; </w:t>
      </w:r>
      <w:proofErr w:type="spellStart"/>
      <w:r w:rsidRPr="00FE73AE">
        <w:rPr>
          <w:rFonts w:ascii="Arial" w:hAnsi="Arial" w:cs="Arial"/>
        </w:rPr>
        <w:t>Kwenda</w:t>
      </w:r>
      <w:proofErr w:type="spellEnd"/>
      <w:r w:rsidRPr="00FE73AE">
        <w:rPr>
          <w:rFonts w:ascii="Arial" w:hAnsi="Arial" w:cs="Arial"/>
        </w:rPr>
        <w:t>, 2023). Consequently, the success of MFIs depends on their ability to integrate effective credit risk management, sound financial planning, and adaptive operational strategies to serve clients while remaining viable over the long term.</w:t>
      </w:r>
    </w:p>
    <w:p w14:paraId="225AC19A" w14:textId="528E7879" w:rsidR="003F76A9" w:rsidRDefault="003F76A9" w:rsidP="00FE73AE">
      <w:pPr>
        <w:pStyle w:val="Body"/>
        <w:rPr>
          <w:rFonts w:ascii="Arial" w:hAnsi="Arial" w:cs="Arial"/>
          <w:b/>
        </w:rPr>
      </w:pPr>
      <w:r w:rsidRPr="003F76A9">
        <w:rPr>
          <w:rFonts w:ascii="Arial" w:hAnsi="Arial" w:cs="Arial"/>
          <w:b/>
        </w:rPr>
        <w:t xml:space="preserve">2.2 Theoretical Review </w:t>
      </w:r>
    </w:p>
    <w:p w14:paraId="69B17BD0" w14:textId="5D29F2E5" w:rsidR="003F76A9" w:rsidRPr="003F76A9" w:rsidRDefault="003F76A9" w:rsidP="003F76A9">
      <w:pPr>
        <w:pStyle w:val="Body"/>
        <w:rPr>
          <w:rFonts w:ascii="Arial" w:hAnsi="Arial" w:cs="Arial"/>
          <w:b/>
        </w:rPr>
      </w:pPr>
      <w:r w:rsidRPr="003F76A9">
        <w:rPr>
          <w:rFonts w:ascii="Arial" w:hAnsi="Arial" w:cs="Arial"/>
          <w:b/>
        </w:rPr>
        <w:t>2.2.1 Stakeholder Theory</w:t>
      </w:r>
    </w:p>
    <w:p w14:paraId="4D17788B" w14:textId="2F77F545" w:rsidR="003F76A9" w:rsidRPr="003F76A9" w:rsidRDefault="003F76A9" w:rsidP="003F76A9">
      <w:pPr>
        <w:pStyle w:val="Body"/>
        <w:rPr>
          <w:rFonts w:ascii="Arial" w:hAnsi="Arial" w:cs="Arial"/>
        </w:rPr>
      </w:pPr>
      <w:r w:rsidRPr="003F76A9">
        <w:rPr>
          <w:rFonts w:ascii="Arial" w:hAnsi="Arial" w:cs="Arial"/>
        </w:rPr>
        <w:t>Stakeholder theory, first articulated by Freeman (1984), emphasizes that organizations should consider th</w:t>
      </w:r>
      <w:r>
        <w:rPr>
          <w:rFonts w:ascii="Arial" w:hAnsi="Arial" w:cs="Arial"/>
        </w:rPr>
        <w:t xml:space="preserve">e interests of all stakeholders not just shareholders </w:t>
      </w:r>
      <w:r w:rsidRPr="003F76A9">
        <w:rPr>
          <w:rFonts w:ascii="Arial" w:hAnsi="Arial" w:cs="Arial"/>
        </w:rPr>
        <w:t xml:space="preserve">to achieve long-term success. This approach highlights the importance of aligning the efforts of employees, clients, communities, business partners, and other relevant parties to mitigate risks that may affect performance (Mahajan et al., 2023). In the context of MFIs in Sub-Saharan Africa, stakeholder theory supports this study by illustrating how effective credit risk management requires coordination among managers, borrowers, regulators, and investors. Integrating stakeholder interests enables MFIs to reduce defaults, ensure compliance, and strengthen institutional </w:t>
      </w:r>
      <w:r w:rsidRPr="003F76A9">
        <w:rPr>
          <w:rFonts w:ascii="Arial" w:hAnsi="Arial" w:cs="Arial"/>
        </w:rPr>
        <w:lastRenderedPageBreak/>
        <w:t xml:space="preserve">sustainability, thereby enhancing both profitability and long-term viability (de Araújo Lima, Crema &amp; </w:t>
      </w:r>
      <w:proofErr w:type="spellStart"/>
      <w:r w:rsidRPr="003F76A9">
        <w:rPr>
          <w:rFonts w:ascii="Arial" w:hAnsi="Arial" w:cs="Arial"/>
        </w:rPr>
        <w:t>Verbano</w:t>
      </w:r>
      <w:proofErr w:type="spellEnd"/>
      <w:r w:rsidRPr="003F76A9">
        <w:rPr>
          <w:rFonts w:ascii="Arial" w:hAnsi="Arial" w:cs="Arial"/>
        </w:rPr>
        <w:t>, 2020).</w:t>
      </w:r>
    </w:p>
    <w:p w14:paraId="18785C24" w14:textId="0B504D01" w:rsidR="003F76A9" w:rsidRPr="003F76A9" w:rsidRDefault="003F76A9" w:rsidP="003F76A9">
      <w:pPr>
        <w:pStyle w:val="Body"/>
        <w:rPr>
          <w:rFonts w:ascii="Arial" w:hAnsi="Arial" w:cs="Arial"/>
          <w:b/>
        </w:rPr>
      </w:pPr>
      <w:r w:rsidRPr="003F76A9">
        <w:rPr>
          <w:rFonts w:ascii="Arial" w:hAnsi="Arial" w:cs="Arial"/>
          <w:b/>
        </w:rPr>
        <w:t>2.2.2 Agency Theory</w:t>
      </w:r>
    </w:p>
    <w:p w14:paraId="5C739D47" w14:textId="77777777" w:rsidR="003F76A9" w:rsidRPr="003F76A9" w:rsidRDefault="003F76A9" w:rsidP="003F76A9">
      <w:pPr>
        <w:pStyle w:val="Body"/>
        <w:rPr>
          <w:rFonts w:ascii="Arial" w:hAnsi="Arial" w:cs="Arial"/>
        </w:rPr>
      </w:pPr>
      <w:r w:rsidRPr="003F76A9">
        <w:rPr>
          <w:rFonts w:ascii="Arial" w:hAnsi="Arial" w:cs="Arial"/>
        </w:rPr>
        <w:t xml:space="preserve">Agency theory, introduced by Jensen and </w:t>
      </w:r>
      <w:proofErr w:type="spellStart"/>
      <w:r w:rsidRPr="003F76A9">
        <w:rPr>
          <w:rFonts w:ascii="Arial" w:hAnsi="Arial" w:cs="Arial"/>
        </w:rPr>
        <w:t>Meckling</w:t>
      </w:r>
      <w:proofErr w:type="spellEnd"/>
      <w:r w:rsidRPr="003F76A9">
        <w:rPr>
          <w:rFonts w:ascii="Arial" w:hAnsi="Arial" w:cs="Arial"/>
        </w:rPr>
        <w:t xml:space="preserve"> (1976), addresses conflicts of interest between owners (shareholders) and managers, which may lead to suboptimal risk-taking and misallocation of resources (Smith, 1987; Morrell &amp; </w:t>
      </w:r>
      <w:proofErr w:type="spellStart"/>
      <w:r w:rsidRPr="003F76A9">
        <w:rPr>
          <w:rFonts w:ascii="Arial" w:hAnsi="Arial" w:cs="Arial"/>
        </w:rPr>
        <w:t>Heracleous</w:t>
      </w:r>
      <w:proofErr w:type="spellEnd"/>
      <w:r w:rsidRPr="003F76A9">
        <w:rPr>
          <w:rFonts w:ascii="Arial" w:hAnsi="Arial" w:cs="Arial"/>
        </w:rPr>
        <w:t xml:space="preserve">, 2015). Within MFIs, agency problems arise when management decisions on lending, risk exposure, or hedging do not align with shareholder objectives, potentially undermining profitability and sustainability (Ahmed, Fairchild &amp; </w:t>
      </w:r>
      <w:proofErr w:type="spellStart"/>
      <w:r w:rsidRPr="003F76A9">
        <w:rPr>
          <w:rFonts w:ascii="Arial" w:hAnsi="Arial" w:cs="Arial"/>
        </w:rPr>
        <w:t>Guney</w:t>
      </w:r>
      <w:proofErr w:type="spellEnd"/>
      <w:r w:rsidRPr="003F76A9">
        <w:rPr>
          <w:rFonts w:ascii="Arial" w:hAnsi="Arial" w:cs="Arial"/>
        </w:rPr>
        <w:t xml:space="preserve">, 2020; </w:t>
      </w:r>
      <w:proofErr w:type="spellStart"/>
      <w:r w:rsidRPr="003F76A9">
        <w:rPr>
          <w:rFonts w:ascii="Arial" w:hAnsi="Arial" w:cs="Arial"/>
        </w:rPr>
        <w:t>Mutugi</w:t>
      </w:r>
      <w:proofErr w:type="spellEnd"/>
      <w:r w:rsidRPr="003F76A9">
        <w:rPr>
          <w:rFonts w:ascii="Arial" w:hAnsi="Arial" w:cs="Arial"/>
        </w:rPr>
        <w:t>, 2022). This theory underpins the study by highlighting the need for structured credit risk management practices and governance mechanisms that align managerial incentives with organizational goals, ensuring effective decision-making and value creation in MFIs (</w:t>
      </w:r>
      <w:proofErr w:type="spellStart"/>
      <w:r w:rsidRPr="003F76A9">
        <w:rPr>
          <w:rFonts w:ascii="Arial" w:hAnsi="Arial" w:cs="Arial"/>
        </w:rPr>
        <w:t>Sumantri</w:t>
      </w:r>
      <w:proofErr w:type="spellEnd"/>
      <w:r w:rsidRPr="003F76A9">
        <w:rPr>
          <w:rFonts w:ascii="Arial" w:hAnsi="Arial" w:cs="Arial"/>
        </w:rPr>
        <w:t xml:space="preserve">, </w:t>
      </w:r>
      <w:proofErr w:type="spellStart"/>
      <w:r w:rsidRPr="003F76A9">
        <w:rPr>
          <w:rFonts w:ascii="Arial" w:hAnsi="Arial" w:cs="Arial"/>
        </w:rPr>
        <w:t>Kusnawan</w:t>
      </w:r>
      <w:proofErr w:type="spellEnd"/>
      <w:r w:rsidRPr="003F76A9">
        <w:rPr>
          <w:rFonts w:ascii="Arial" w:hAnsi="Arial" w:cs="Arial"/>
        </w:rPr>
        <w:t xml:space="preserve"> &amp; </w:t>
      </w:r>
      <w:proofErr w:type="spellStart"/>
      <w:r w:rsidRPr="003F76A9">
        <w:rPr>
          <w:rFonts w:ascii="Arial" w:hAnsi="Arial" w:cs="Arial"/>
        </w:rPr>
        <w:t>Anggraeni</w:t>
      </w:r>
      <w:proofErr w:type="spellEnd"/>
      <w:r w:rsidRPr="003F76A9">
        <w:rPr>
          <w:rFonts w:ascii="Arial" w:hAnsi="Arial" w:cs="Arial"/>
        </w:rPr>
        <w:t>, 2021; Conlon &amp; Huan, 2019).</w:t>
      </w:r>
    </w:p>
    <w:p w14:paraId="081AF64A" w14:textId="17C2F5A6" w:rsidR="003F76A9" w:rsidRPr="003F76A9" w:rsidRDefault="003F76A9" w:rsidP="003F76A9">
      <w:pPr>
        <w:pStyle w:val="Body"/>
        <w:rPr>
          <w:rFonts w:ascii="Arial" w:hAnsi="Arial" w:cs="Arial"/>
          <w:b/>
        </w:rPr>
      </w:pPr>
      <w:r w:rsidRPr="003F76A9">
        <w:rPr>
          <w:rFonts w:ascii="Arial" w:hAnsi="Arial" w:cs="Arial"/>
          <w:b/>
        </w:rPr>
        <w:t>2.2.3 Financial Economic Theory</w:t>
      </w:r>
    </w:p>
    <w:p w14:paraId="17FF1F0C" w14:textId="77777777" w:rsidR="003F76A9" w:rsidRDefault="003F76A9" w:rsidP="00732C16">
      <w:pPr>
        <w:pStyle w:val="Body"/>
        <w:rPr>
          <w:rFonts w:ascii="Arial" w:hAnsi="Arial" w:cs="Arial"/>
        </w:rPr>
      </w:pPr>
      <w:r>
        <w:rPr>
          <w:rFonts w:ascii="Arial" w:hAnsi="Arial" w:cs="Arial"/>
        </w:rPr>
        <w:t>The Financial Economic t</w:t>
      </w:r>
      <w:r w:rsidRPr="003F76A9">
        <w:rPr>
          <w:rFonts w:ascii="Arial" w:hAnsi="Arial" w:cs="Arial"/>
        </w:rPr>
        <w:t>heory, grounded in the Modigliani-Miller framework, posits that hedging and risk management reduce cash flow volatility and stabilize firm value, potentially enhancing overall financial performance (</w:t>
      </w:r>
      <w:proofErr w:type="spellStart"/>
      <w:r w:rsidRPr="003F76A9">
        <w:rPr>
          <w:rFonts w:ascii="Arial" w:hAnsi="Arial" w:cs="Arial"/>
        </w:rPr>
        <w:t>Ingrao</w:t>
      </w:r>
      <w:proofErr w:type="spellEnd"/>
      <w:r w:rsidRPr="003F76A9">
        <w:rPr>
          <w:rFonts w:ascii="Arial" w:hAnsi="Arial" w:cs="Arial"/>
        </w:rPr>
        <w:t xml:space="preserve"> &amp; </w:t>
      </w:r>
      <w:proofErr w:type="spellStart"/>
      <w:r w:rsidRPr="003F76A9">
        <w:rPr>
          <w:rFonts w:ascii="Arial" w:hAnsi="Arial" w:cs="Arial"/>
        </w:rPr>
        <w:t>Sardoni</w:t>
      </w:r>
      <w:proofErr w:type="spellEnd"/>
      <w:r w:rsidRPr="003F76A9">
        <w:rPr>
          <w:rFonts w:ascii="Arial" w:hAnsi="Arial" w:cs="Arial"/>
        </w:rPr>
        <w:t>, 2019). Applied to MFIs, this theory justifies the implementation of credit risk mitigation strategies, as reducing the variability of loan repayment and income streams can improve both profitability and sustainability (</w:t>
      </w:r>
      <w:proofErr w:type="spellStart"/>
      <w:r w:rsidRPr="003F76A9">
        <w:rPr>
          <w:rFonts w:ascii="Arial" w:hAnsi="Arial" w:cs="Arial"/>
        </w:rPr>
        <w:t>Iwedi</w:t>
      </w:r>
      <w:proofErr w:type="spellEnd"/>
      <w:r w:rsidRPr="003F76A9">
        <w:rPr>
          <w:rFonts w:ascii="Arial" w:hAnsi="Arial" w:cs="Arial"/>
        </w:rPr>
        <w:t xml:space="preserve">, Anderson, </w:t>
      </w:r>
      <w:proofErr w:type="spellStart"/>
      <w:r w:rsidRPr="003F76A9">
        <w:rPr>
          <w:rFonts w:ascii="Arial" w:hAnsi="Arial" w:cs="Arial"/>
        </w:rPr>
        <w:t>Barisua</w:t>
      </w:r>
      <w:proofErr w:type="spellEnd"/>
      <w:r w:rsidRPr="003F76A9">
        <w:rPr>
          <w:rFonts w:ascii="Arial" w:hAnsi="Arial" w:cs="Arial"/>
        </w:rPr>
        <w:t xml:space="preserve"> &amp; </w:t>
      </w:r>
      <w:proofErr w:type="spellStart"/>
      <w:r w:rsidRPr="003F76A9">
        <w:rPr>
          <w:rFonts w:ascii="Arial" w:hAnsi="Arial" w:cs="Arial"/>
        </w:rPr>
        <w:t>Zaagha</w:t>
      </w:r>
      <w:proofErr w:type="spellEnd"/>
      <w:r w:rsidRPr="003F76A9">
        <w:rPr>
          <w:rFonts w:ascii="Arial" w:hAnsi="Arial" w:cs="Arial"/>
        </w:rPr>
        <w:t>, 2020). Providing a formal economic rationale for risk management, the theory underpins the study’s examination of how credit risk management mediates the relationship between credit risk exposure and business performance in Sub-Saharan MFIs.</w:t>
      </w:r>
    </w:p>
    <w:p w14:paraId="3260BAF6" w14:textId="7CF1E63E" w:rsidR="003F76A9" w:rsidRPr="003F76A9" w:rsidRDefault="003F76A9" w:rsidP="00732C16">
      <w:pPr>
        <w:pStyle w:val="Body"/>
        <w:rPr>
          <w:rFonts w:ascii="Arial" w:hAnsi="Arial" w:cs="Arial"/>
          <w:b/>
        </w:rPr>
      </w:pPr>
      <w:r w:rsidRPr="003F76A9">
        <w:rPr>
          <w:rFonts w:ascii="Arial" w:hAnsi="Arial" w:cs="Arial"/>
          <w:b/>
        </w:rPr>
        <w:t>2.3 Empirical Review</w:t>
      </w:r>
    </w:p>
    <w:p w14:paraId="3D52D017" w14:textId="77777777" w:rsidR="0054562D" w:rsidRPr="00732C16" w:rsidRDefault="0054562D" w:rsidP="00732C16">
      <w:pPr>
        <w:pStyle w:val="Body"/>
        <w:rPr>
          <w:rFonts w:ascii="Arial" w:hAnsi="Arial" w:cs="Arial"/>
        </w:rPr>
      </w:pPr>
      <w:proofErr w:type="spellStart"/>
      <w:r w:rsidRPr="00732C16">
        <w:rPr>
          <w:rFonts w:ascii="Arial" w:hAnsi="Arial" w:cs="Arial"/>
        </w:rPr>
        <w:t>Kahihu</w:t>
      </w:r>
      <w:proofErr w:type="spellEnd"/>
      <w:r w:rsidRPr="00732C16">
        <w:rPr>
          <w:rFonts w:ascii="Arial" w:hAnsi="Arial" w:cs="Arial"/>
        </w:rPr>
        <w:t xml:space="preserve"> (2021) exploration into the impact of credit risk on the sustainability of MFIs in Kenya reveals critical insights into how financial health is intertwined with operational viability. Their mixed-methods approach, which integrates quantitative data analysis with qualitative interviews from various stakeholders, provides a comprehensive view of the challenges faced by MFIs. The findings indicate that high levels of non-performing loans (NPLs) significantly hinder both profitability and sustainability, as these loans lead to increased financial strain and reduced operational capacity for MFIs. This situation creates a vicious cycle where diminished profitability restricts the ability to lend further, thereby limiting growth opportunities and potentially jeopardizing the mission of providing financial services to underserved populations. Furthermore, while the study effectively highlights current issues within the sector, it also identifies a notable gap: the absence of longitudinal data. Without such data, it becomes challenging to assess long-term trends and make informed predictions about future sustainability in light of fluctuating credit risks. This limitation suggests that further research incorporating longitudinal studies would be beneficial for understanding how credit risk evolves over time and its broader implications for MFIs in Kenya.</w:t>
      </w:r>
    </w:p>
    <w:p w14:paraId="54BABD63" w14:textId="1EF887E1" w:rsidR="0054562D" w:rsidRPr="00732C16" w:rsidRDefault="0054562D" w:rsidP="00732C16">
      <w:pPr>
        <w:pStyle w:val="Body"/>
        <w:rPr>
          <w:rFonts w:ascii="Arial" w:hAnsi="Arial" w:cs="Arial"/>
        </w:rPr>
      </w:pPr>
      <w:r w:rsidRPr="00732C16">
        <w:rPr>
          <w:rFonts w:ascii="Arial" w:hAnsi="Arial" w:cs="Arial"/>
        </w:rPr>
        <w:t>The research conducted on Ghanaian MFIs provides valuable insights into the relationship between credit risk management and financial performance</w:t>
      </w:r>
      <w:r w:rsidR="0041476D">
        <w:rPr>
          <w:rFonts w:ascii="Arial" w:hAnsi="Arial" w:cs="Arial"/>
        </w:rPr>
        <w:t xml:space="preserve"> (</w:t>
      </w:r>
      <w:proofErr w:type="spellStart"/>
      <w:r w:rsidR="0041476D">
        <w:rPr>
          <w:rFonts w:ascii="Arial" w:hAnsi="Arial" w:cs="Arial"/>
        </w:rPr>
        <w:t>Kaldorf</w:t>
      </w:r>
      <w:proofErr w:type="spellEnd"/>
      <w:r w:rsidR="0041476D">
        <w:rPr>
          <w:rFonts w:ascii="Arial" w:hAnsi="Arial" w:cs="Arial"/>
        </w:rPr>
        <w:t xml:space="preserve">, </w:t>
      </w:r>
      <w:r w:rsidR="0041476D" w:rsidRPr="0041476D">
        <w:rPr>
          <w:rFonts w:ascii="Arial" w:hAnsi="Arial" w:cs="Arial"/>
        </w:rPr>
        <w:t>2022)</w:t>
      </w:r>
      <w:r w:rsidRPr="00732C16">
        <w:rPr>
          <w:rFonts w:ascii="Arial" w:hAnsi="Arial" w:cs="Arial"/>
        </w:rPr>
        <w:t xml:space="preserve">. This study highlights a significant correlation between robust credit risk assessment practices and enhanced profitability metrics. The researchers suggest that when MFIs implement effective strategies to evaluate and manage credit risk, they are likely to experience improved financial outcomes, such as higher returns on assets and equity. However, it is crucial to note that the study’s findings may be limited due to its exclusion of external economic factors that can also </w:t>
      </w:r>
      <w:r w:rsidRPr="00732C16">
        <w:rPr>
          <w:rFonts w:ascii="Arial" w:hAnsi="Arial" w:cs="Arial"/>
        </w:rPr>
        <w:lastRenderedPageBreak/>
        <w:t>influence these financial metrics. For instance, macroeconomic conditions such as inflation rates, interest rates, and overall economic growth can significantly affect the lending environment and repayment behaviors of borrowers. Therefore, while the internal practices of MFIs play a critical role in their financial stability and growth prospects, understanding the broader economic context is essential for a comprehensive evaluation of their performance.</w:t>
      </w:r>
    </w:p>
    <w:p w14:paraId="78F3D624" w14:textId="77777777" w:rsidR="0054562D" w:rsidRPr="00732C16" w:rsidRDefault="0054562D" w:rsidP="00732C16">
      <w:pPr>
        <w:pStyle w:val="Body"/>
        <w:rPr>
          <w:rFonts w:ascii="Arial" w:hAnsi="Arial" w:cs="Arial"/>
        </w:rPr>
      </w:pPr>
      <w:r w:rsidRPr="00732C16">
        <w:rPr>
          <w:rFonts w:ascii="Arial" w:hAnsi="Arial" w:cs="Arial"/>
        </w:rPr>
        <w:t>Hassan et al. (2022) comprehensive review of credit risk management strategies across several Sub-Saharan African countries provides critical insights into how these strategies impact the performance of MFIs. Their research indicates that the implementation of robust credit policies is positively correlated with enhanced profitability for MFIs. This suggests that when institutions adopt stringent credit risk management practices, they are likely to experience better financial outcomes. However, the authors also highlight significant regional disparities in the effectiveness of these strategies, which can be attributed to varying regulatory environments across different countries in the region. For instance, some nations may have more supportive regulatory frameworks that facilitate better enforcement of credit policies, while others may face challenges such as inadequate legal structures or lack of institutional support. These disparities underscore a critical weakness in the generalizability of their findings; what works effectively in one country or context may not yield similar results elsewhere due to these differing conditions. Thus, while robust credit policies are essential for improving MFI performance, their success is contingent upon the broader regulatory landscape and local contextual factors.</w:t>
      </w:r>
    </w:p>
    <w:p w14:paraId="50AE647E" w14:textId="7835ED5E" w:rsidR="0054562D" w:rsidRPr="00732C16" w:rsidRDefault="00572EEC" w:rsidP="00732C16">
      <w:pPr>
        <w:pStyle w:val="Body"/>
        <w:rPr>
          <w:rFonts w:ascii="Arial" w:hAnsi="Arial" w:cs="Arial"/>
        </w:rPr>
      </w:pPr>
      <w:r w:rsidRPr="00732C16">
        <w:rPr>
          <w:rFonts w:ascii="Arial" w:hAnsi="Arial" w:cs="Arial"/>
        </w:rPr>
        <w:t xml:space="preserve">Study by </w:t>
      </w:r>
      <w:proofErr w:type="spellStart"/>
      <w:r w:rsidRPr="00732C16">
        <w:rPr>
          <w:rFonts w:ascii="Arial" w:hAnsi="Arial" w:cs="Arial"/>
        </w:rPr>
        <w:t>Agbana</w:t>
      </w:r>
      <w:proofErr w:type="spellEnd"/>
      <w:r w:rsidRPr="00732C16">
        <w:rPr>
          <w:rFonts w:ascii="Arial" w:hAnsi="Arial" w:cs="Arial"/>
        </w:rPr>
        <w:t xml:space="preserve">, </w:t>
      </w:r>
      <w:proofErr w:type="spellStart"/>
      <w:r w:rsidR="0041476D">
        <w:rPr>
          <w:rFonts w:ascii="Arial" w:hAnsi="Arial" w:cs="Arial"/>
        </w:rPr>
        <w:t>Bukoye</w:t>
      </w:r>
      <w:proofErr w:type="spellEnd"/>
      <w:r w:rsidR="0041476D">
        <w:rPr>
          <w:rFonts w:ascii="Arial" w:hAnsi="Arial" w:cs="Arial"/>
        </w:rPr>
        <w:t xml:space="preserve"> and Arinze-</w:t>
      </w:r>
      <w:proofErr w:type="spellStart"/>
      <w:r w:rsidR="0041476D">
        <w:rPr>
          <w:rFonts w:ascii="Arial" w:hAnsi="Arial" w:cs="Arial"/>
        </w:rPr>
        <w:t>Emefo</w:t>
      </w:r>
      <w:proofErr w:type="spellEnd"/>
      <w:r w:rsidR="0041476D">
        <w:rPr>
          <w:rFonts w:ascii="Arial" w:hAnsi="Arial" w:cs="Arial"/>
        </w:rPr>
        <w:t xml:space="preserve"> (2023)</w:t>
      </w:r>
      <w:r w:rsidRPr="00732C16">
        <w:rPr>
          <w:rFonts w:ascii="Arial" w:hAnsi="Arial" w:cs="Arial"/>
        </w:rPr>
        <w:t xml:space="preserve"> delves into the intricate relationship between credit risk management practices and the financial performance of MFIs in Nigeria. The authors employed a quantitative research methodology, meticulously analyzing data collected from various MFIs over a five-year span. This extensive timeframe allowed for a comprehensive examination of trends and patterns in credit risk management and its impact on profitability. The findings revealed that effective credit risk management is crucial for enhancing the profitability of MFIs, primarily because it leads to reduced default rates among borrowers. MFIs can significantly improve their loan recovery processes, thereby ensuring a steady flow of income and sustainability in their operations by implementing robust credit assessment procedures and monitoring mechanisms. However, the study acknowledges a critical limitation: its exclusive focus on Nigeria may not provide insights applicable to other countries within Sub-Saharan Africa. This geographical constraint raises questions about the generalizability of the findings, as different countries may exhibit varying economic conditions, regulatory environments, and borrower behaviors that could influence the effectiveness of credit risk management strategies.</w:t>
      </w:r>
    </w:p>
    <w:p w14:paraId="5EE8FA52" w14:textId="77777777" w:rsidR="0054562D" w:rsidRPr="00732C16" w:rsidRDefault="0054562D" w:rsidP="00732C16">
      <w:pPr>
        <w:pStyle w:val="Body"/>
        <w:rPr>
          <w:rFonts w:ascii="Arial" w:hAnsi="Arial" w:cs="Arial"/>
        </w:rPr>
      </w:pPr>
      <w:proofErr w:type="spellStart"/>
      <w:r w:rsidRPr="00732C16">
        <w:rPr>
          <w:rFonts w:ascii="Arial" w:hAnsi="Arial" w:cs="Arial"/>
        </w:rPr>
        <w:t>Munyasia</w:t>
      </w:r>
      <w:proofErr w:type="spellEnd"/>
      <w:r w:rsidRPr="00732C16">
        <w:rPr>
          <w:rFonts w:ascii="Arial" w:hAnsi="Arial" w:cs="Arial"/>
        </w:rPr>
        <w:t xml:space="preserve"> (2023) latest investigation into Kenyan MFIs provides a comprehensive analysis of how technology adoption plays a crucial role in managing credit risks effectively while simultaneously enhancing overall business performance metrics, particularly return on assets (ROA). The study utilized quantitative methods to assess the impact of technological tools on risk assessment processes within these institutions. Their findings revealed a statistically significant positive relationship between the integration of technology and improved financial outcomes, suggesting that MFIs that leverage advanced technological solutions are better equipped to evaluate creditworthiness and mitigate potential defaults. This technological adoption not only streamlines operations but also contributes to more informed decision-making, ultimately leading to enhanced profitability as indicated by increased ROA. However, </w:t>
      </w:r>
      <w:proofErr w:type="spellStart"/>
      <w:r w:rsidRPr="00732C16">
        <w:rPr>
          <w:rFonts w:ascii="Arial" w:hAnsi="Arial" w:cs="Arial"/>
        </w:rPr>
        <w:t>Munyasia</w:t>
      </w:r>
      <w:proofErr w:type="spellEnd"/>
      <w:r w:rsidRPr="00732C16">
        <w:rPr>
          <w:rFonts w:ascii="Arial" w:hAnsi="Arial" w:cs="Arial"/>
        </w:rPr>
        <w:t xml:space="preserve"> (2023) also recognized limitations in their research, particularly concerning the diversity of their sample size across different regions within Kenya. This limitation raises questions about the generalizability of their findings and suggests that further research with a more diverse sample could provide deeper insights into the varying impacts of technology adoption across different contexts within the microfinance sector.</w:t>
      </w:r>
    </w:p>
    <w:p w14:paraId="3AB1CAC1" w14:textId="77777777" w:rsidR="00572EEC" w:rsidRPr="00732C16" w:rsidRDefault="00572EEC" w:rsidP="00732C16">
      <w:pPr>
        <w:pStyle w:val="Body"/>
        <w:rPr>
          <w:rFonts w:ascii="Arial" w:hAnsi="Arial" w:cs="Arial"/>
        </w:rPr>
      </w:pPr>
      <w:r w:rsidRPr="00732C16">
        <w:rPr>
          <w:rFonts w:ascii="Arial" w:hAnsi="Arial" w:cs="Arial"/>
        </w:rPr>
        <w:lastRenderedPageBreak/>
        <w:t xml:space="preserve">In their study, </w:t>
      </w:r>
      <w:proofErr w:type="spellStart"/>
      <w:r w:rsidRPr="00732C16">
        <w:rPr>
          <w:rFonts w:ascii="Arial" w:hAnsi="Arial" w:cs="Arial"/>
        </w:rPr>
        <w:t>Mwakujonga</w:t>
      </w:r>
      <w:proofErr w:type="spellEnd"/>
      <w:r w:rsidRPr="00732C16">
        <w:rPr>
          <w:rFonts w:ascii="Arial" w:hAnsi="Arial" w:cs="Arial"/>
        </w:rPr>
        <w:t xml:space="preserve"> and </w:t>
      </w:r>
      <w:proofErr w:type="spellStart"/>
      <w:r w:rsidRPr="00732C16">
        <w:rPr>
          <w:rFonts w:ascii="Arial" w:hAnsi="Arial" w:cs="Arial"/>
        </w:rPr>
        <w:t>Komba</w:t>
      </w:r>
      <w:proofErr w:type="spellEnd"/>
      <w:r w:rsidRPr="00732C16">
        <w:rPr>
          <w:rFonts w:ascii="Arial" w:hAnsi="Arial" w:cs="Arial"/>
        </w:rPr>
        <w:t xml:space="preserve"> (2024) focused on the critical relationship between credit risk management and operational efficiency within MFIs in Tanzania. They employed a case study methodology that involved conducting interviews with key personnel at selected MFIs to gather qualitative data on how credit assessment processes impact profitability. Their findings indicated that inadequate credit assessment procedures lead to higher rates of loan defaults, which in turn adversely affect the financial performance of these institutions. The implications of their research highlight the necessity for robust credit evaluation mechanisms to mitigate risks associated with lending practices. However, it is important to note that their qualitative approach may introduce biases due to the subjective nature of interview responses. This limitation can restrict the generalizability of their conclusions across different contexts or regions, as personal experiences and perceptions may not accurately reflect broader industry trends or challenges faced by all MFIs in Tanzania.</w:t>
      </w:r>
    </w:p>
    <w:p w14:paraId="3A5E2CED" w14:textId="77777777" w:rsidR="00572EEC" w:rsidRPr="00732C16" w:rsidRDefault="00572EEC" w:rsidP="00732C16">
      <w:pPr>
        <w:pStyle w:val="Body"/>
        <w:rPr>
          <w:rFonts w:ascii="Arial" w:hAnsi="Arial" w:cs="Arial"/>
        </w:rPr>
      </w:pPr>
      <w:r w:rsidRPr="00732C16">
        <w:rPr>
          <w:rFonts w:ascii="Arial" w:hAnsi="Arial" w:cs="Arial"/>
        </w:rPr>
        <w:t>Bekele (2025) research provides valuable insights into how Ethiopian MFIs navigated credit risk challenges during the economic downturns triggered by external shocks. Their use of econometric modeling techniques allowed for a robust analysis of the financial behaviors and strategies employed by these institutions in response to unprecedented economic pressures. The findings indicated that MFIs that adopted proactive credit management strategies were significantly more capable of sustaining profitability compared to those that lacked such measures. This suggests a critical link between strategic foresight in credit management and financial resilience during crises. However, the temporal focus of this study raises pertinent questions regarding its applicability in the post-pandemic landscape. As economies begin to recover and adapt to new realities, it is essential to consider whether the strategies identified as effective during the pandemic remain relevant or need adaptation in light of evolving market conditions and consumer behaviors. The dynamic nature of economic environments necessitates ongoing research to evaluate how MFIs can continue to innovate their credit management practices to mitigate future risks effectively.</w:t>
      </w:r>
    </w:p>
    <w:p w14:paraId="49EE4D20" w14:textId="77777777" w:rsidR="0054562D" w:rsidRPr="00732C16" w:rsidRDefault="0054562D" w:rsidP="00732C16">
      <w:pPr>
        <w:pStyle w:val="Body"/>
        <w:rPr>
          <w:rFonts w:ascii="Arial" w:hAnsi="Arial" w:cs="Arial"/>
        </w:rPr>
      </w:pPr>
      <w:r w:rsidRPr="00732C16">
        <w:rPr>
          <w:rFonts w:ascii="Arial" w:hAnsi="Arial" w:cs="Arial"/>
        </w:rPr>
        <w:t>The relationship between credit risk management practices and profitability among MFIs in Sub-Saharan Africa is a critical area of study that has garnered attention due to its implications for financial stability and economic development. Various studies have highlighted the importance of effective credit risk management as a determinant of profitability, indicating that MFIs with robust risk assessment frameworks tend to perform better financially. However, these studies also reveal significant gaps that must be addressed to gain a comprehensive understanding of this relationship. One major limitation is geographical; many existing studies focus on specific countries or regions within Sub-Saharan Africa, which may not provide a holistic view applicable across diverse contexts. Additionally, there is often a lack of longitudinal analyses that track the performance of MFIs over time, making it difficult to ascertain the long-term effects of credit risk management practices on profitability. Furthermore, qualitative methodologies can introduce biases that affect the reliability of findings, as they may rely heavily on subjective interpretations rather than objective data. Emerging challenges posed by technological advancements also complicate the landscape for MFIs. The rise of digital finance and fintech solutions presents both opportunities and risks that traditional credit risk management practices may not adequately address. As technology continues to evolve, MFIs must adapt their strategies to mitigate new forms of credit risk while leveraging technological innovations to enhance their profitability.</w:t>
      </w:r>
    </w:p>
    <w:p w14:paraId="561193F9" w14:textId="77777777" w:rsidR="0054562D" w:rsidRPr="00732C16" w:rsidRDefault="0054562D" w:rsidP="00732C16">
      <w:pPr>
        <w:pStyle w:val="Body"/>
        <w:spacing w:after="0"/>
        <w:rPr>
          <w:rFonts w:ascii="Arial" w:hAnsi="Arial" w:cs="Arial"/>
        </w:rPr>
      </w:pPr>
      <w:r w:rsidRPr="00732C16">
        <w:rPr>
          <w:rFonts w:ascii="Arial" w:hAnsi="Arial" w:cs="Arial"/>
        </w:rPr>
        <w:t xml:space="preserve">The current study focusing on 12 countries in Sub-Saharan Africa, could significantly contribute to filling these gaps. Encompassing a broader geographical scope, would allow this research for comparative analyses across different national contexts, thereby enhancing the generalizability of findings. This study will also utilize mixed-methods approaches that combine quantitative data with qualitative insights, thus minimizing biases associated with purely qualitative methodologies. Addressing these gaps through comprehensive research will not </w:t>
      </w:r>
      <w:r w:rsidRPr="00732C16">
        <w:rPr>
          <w:rFonts w:ascii="Arial" w:hAnsi="Arial" w:cs="Arial"/>
        </w:rPr>
        <w:lastRenderedPageBreak/>
        <w:t>only advance academic understanding but also provide practical guidance for MFIs striving to enhance their profitability through improved credit risk management practices.</w:t>
      </w:r>
    </w:p>
    <w:p w14:paraId="7B669F01" w14:textId="77777777" w:rsidR="00790ADA" w:rsidRPr="00732C16" w:rsidRDefault="00790ADA" w:rsidP="00732C16">
      <w:pPr>
        <w:pStyle w:val="Body"/>
        <w:spacing w:after="0"/>
        <w:rPr>
          <w:rFonts w:ascii="Arial" w:hAnsi="Arial" w:cs="Arial"/>
        </w:rPr>
      </w:pPr>
    </w:p>
    <w:p w14:paraId="2AEEEA9E" w14:textId="77777777" w:rsidR="007F7B32" w:rsidRPr="00732C16" w:rsidRDefault="00572EEC" w:rsidP="00732C16">
      <w:pPr>
        <w:pStyle w:val="AbstHead"/>
        <w:spacing w:after="0"/>
        <w:jc w:val="both"/>
        <w:rPr>
          <w:rFonts w:ascii="Arial" w:hAnsi="Arial" w:cs="Arial"/>
        </w:rPr>
      </w:pPr>
      <w:r w:rsidRPr="00732C16">
        <w:rPr>
          <w:rFonts w:ascii="Arial" w:hAnsi="Arial" w:cs="Arial"/>
        </w:rPr>
        <w:t>3</w:t>
      </w:r>
      <w:r w:rsidR="00902823" w:rsidRPr="00732C16">
        <w:rPr>
          <w:rFonts w:ascii="Arial" w:hAnsi="Arial" w:cs="Arial"/>
        </w:rPr>
        <w:t xml:space="preserve">. </w:t>
      </w:r>
      <w:r w:rsidR="006B57D0" w:rsidRPr="00732C16">
        <w:rPr>
          <w:rFonts w:ascii="Arial" w:hAnsi="Arial" w:cs="Arial"/>
        </w:rPr>
        <w:t>methodology</w:t>
      </w:r>
      <w:r w:rsidR="001023BB" w:rsidRPr="00732C16">
        <w:rPr>
          <w:rFonts w:ascii="Arial" w:hAnsi="Arial" w:cs="Arial"/>
        </w:rPr>
        <w:t xml:space="preserve"> </w:t>
      </w:r>
    </w:p>
    <w:p w14:paraId="2AAB6F9D" w14:textId="77777777" w:rsidR="00790ADA" w:rsidRPr="00732C16" w:rsidRDefault="00790ADA" w:rsidP="00732C16">
      <w:pPr>
        <w:pStyle w:val="AbstHead"/>
        <w:spacing w:after="0"/>
        <w:jc w:val="both"/>
        <w:rPr>
          <w:rFonts w:ascii="Arial" w:hAnsi="Arial" w:cs="Arial"/>
        </w:rPr>
      </w:pPr>
    </w:p>
    <w:p w14:paraId="658C5308" w14:textId="506C38DF" w:rsidR="0041476D" w:rsidRPr="0041476D" w:rsidRDefault="0041476D" w:rsidP="0041476D">
      <w:pPr>
        <w:contextualSpacing/>
        <w:jc w:val="both"/>
        <w:rPr>
          <w:rFonts w:ascii="Arial" w:hAnsi="Arial" w:cs="Arial"/>
        </w:rPr>
      </w:pPr>
      <w:r w:rsidRPr="0041476D">
        <w:rPr>
          <w:rFonts w:ascii="Arial" w:hAnsi="Arial" w:cs="Arial"/>
        </w:rPr>
        <w:t>This study adopted a mixed-methods approach, integrating both explanatory and descriptive research designs to investigate the effects of credit risk on the profitability and sustainability of MFIs in Sub-Saharan Africa. The explanatory component employed quantitative data and statistical techniques to analyze the causal relationships between credit risk and business performance, while the descriptive com</w:t>
      </w:r>
      <w:r>
        <w:rPr>
          <w:rFonts w:ascii="Arial" w:hAnsi="Arial" w:cs="Arial"/>
        </w:rPr>
        <w:t xml:space="preserve">ponent used qualitative methods </w:t>
      </w:r>
      <w:r w:rsidRPr="0041476D">
        <w:rPr>
          <w:rFonts w:ascii="Arial" w:hAnsi="Arial" w:cs="Arial"/>
        </w:rPr>
        <w:t>including semi-structured interviews and focus group di</w:t>
      </w:r>
      <w:r>
        <w:rPr>
          <w:rFonts w:ascii="Arial" w:hAnsi="Arial" w:cs="Arial"/>
        </w:rPr>
        <w:t xml:space="preserve">scussions with key stakeholders </w:t>
      </w:r>
      <w:r w:rsidRPr="0041476D">
        <w:rPr>
          <w:rFonts w:ascii="Arial" w:hAnsi="Arial" w:cs="Arial"/>
        </w:rPr>
        <w:t>to explore how financial risks arise and affect institutional operations (Williams, 2021). A representative sample of MFIs from 12 strategically selected countries across West, East, and Southern Africa was chosen, encompassing diverse operational contexts, sizes, and service offerings. The sample size was determined using the standard formula for unknown populations (Cochran, 1977):</w:t>
      </w:r>
    </w:p>
    <w:p w14:paraId="535A3864" w14:textId="77777777" w:rsidR="0041476D" w:rsidRPr="0041476D" w:rsidRDefault="0041476D" w:rsidP="0041476D">
      <w:pPr>
        <w:contextualSpacing/>
        <w:jc w:val="both"/>
        <w:rPr>
          <w:rFonts w:ascii="Arial" w:hAnsi="Arial" w:cs="Arial"/>
        </w:rPr>
      </w:pPr>
    </w:p>
    <w:p w14:paraId="778131A9" w14:textId="77777777" w:rsidR="0041476D" w:rsidRPr="00732C16" w:rsidRDefault="0041476D" w:rsidP="0041476D">
      <w:pPr>
        <w:contextualSpacing/>
        <w:jc w:val="both"/>
        <w:rPr>
          <w:rFonts w:ascii="Arial" w:eastAsia="Roboto" w:hAnsi="Arial" w:cs="Arial"/>
          <w:lang w:eastAsia="cs-CZ"/>
        </w:rPr>
      </w:pPr>
      <w:r w:rsidRPr="00732C16">
        <w:rPr>
          <w:rFonts w:ascii="Arial" w:eastAsia="Roboto" w:hAnsi="Arial" w:cs="Arial"/>
          <w:lang w:eastAsia="cs-CZ"/>
        </w:rPr>
        <w:t>The formula used is:</w:t>
      </w:r>
    </w:p>
    <w:p w14:paraId="325B23F8" w14:textId="77777777" w:rsidR="0041476D" w:rsidRPr="00732C16" w:rsidRDefault="0041476D" w:rsidP="0041476D">
      <w:pPr>
        <w:ind w:firstLine="720"/>
        <w:contextualSpacing/>
        <w:rPr>
          <w:rFonts w:ascii="Arial" w:eastAsia="Roboto" w:hAnsi="Arial" w:cs="Arial"/>
          <w:shd w:val="clear" w:color="auto" w:fill="FFFFFF"/>
          <w:lang w:eastAsia="cs-CZ"/>
        </w:rPr>
      </w:pPr>
      <w:r w:rsidRPr="00732C16">
        <w:rPr>
          <w:rFonts w:ascii="Arial" w:eastAsia="Roboto" w:hAnsi="Arial" w:cs="Arial"/>
          <w:shd w:val="clear" w:color="auto" w:fill="FFFFFF"/>
          <w:lang w:eastAsia="cs-CZ"/>
        </w:rPr>
        <w:t> n=</w:t>
      </w:r>
      <m:oMath>
        <m:f>
          <m:fPr>
            <m:ctrlPr>
              <w:rPr>
                <w:rFonts w:ascii="Cambria Math" w:eastAsia="Roboto" w:hAnsi="Cambria Math" w:cs="Arial"/>
                <w:i/>
                <w:shd w:val="clear" w:color="auto" w:fill="FFFFFF"/>
                <w:lang w:eastAsia="cs-CZ"/>
              </w:rPr>
            </m:ctrlPr>
          </m:fPr>
          <m:num>
            <m:sSup>
              <m:sSupPr>
                <m:ctrlPr>
                  <w:rPr>
                    <w:rFonts w:ascii="Cambria Math" w:eastAsia="Roboto" w:hAnsi="Cambria Math" w:cs="Arial"/>
                    <w:i/>
                    <w:shd w:val="clear" w:color="auto" w:fill="FFFFFF"/>
                    <w:lang w:eastAsia="cs-CZ"/>
                  </w:rPr>
                </m:ctrlPr>
              </m:sSupPr>
              <m:e>
                <m:r>
                  <w:rPr>
                    <w:rFonts w:ascii="Cambria Math" w:eastAsia="Roboto" w:hAnsi="Cambria Math" w:cs="Arial"/>
                    <w:shd w:val="clear" w:color="auto" w:fill="FFFFFF"/>
                    <w:lang w:eastAsia="cs-CZ"/>
                  </w:rPr>
                  <m:t>Z</m:t>
                </m:r>
              </m:e>
              <m:sup>
                <m:r>
                  <w:rPr>
                    <w:rFonts w:ascii="Cambria Math" w:eastAsia="Roboto" w:hAnsi="Cambria Math" w:cs="Arial"/>
                    <w:shd w:val="clear" w:color="auto" w:fill="FFFFFF"/>
                    <w:lang w:eastAsia="cs-CZ"/>
                  </w:rPr>
                  <m:t>2</m:t>
                </m:r>
              </m:sup>
            </m:sSup>
            <m:r>
              <w:rPr>
                <w:rFonts w:ascii="Cambria Math" w:eastAsia="Roboto" w:hAnsi="Cambria Math" w:cs="Arial"/>
                <w:shd w:val="clear" w:color="auto" w:fill="FFFFFF"/>
                <w:lang w:eastAsia="cs-CZ"/>
              </w:rPr>
              <m:t>×P×</m:t>
            </m:r>
            <m:d>
              <m:dPr>
                <m:ctrlPr>
                  <w:rPr>
                    <w:rFonts w:ascii="Cambria Math" w:eastAsia="Roboto" w:hAnsi="Cambria Math" w:cs="Arial"/>
                    <w:i/>
                    <w:shd w:val="clear" w:color="auto" w:fill="FFFFFF"/>
                    <w:lang w:eastAsia="cs-CZ"/>
                  </w:rPr>
                </m:ctrlPr>
              </m:dPr>
              <m:e>
                <m:r>
                  <w:rPr>
                    <w:rFonts w:ascii="Cambria Math" w:eastAsia="Roboto" w:hAnsi="Cambria Math" w:cs="Arial"/>
                    <w:shd w:val="clear" w:color="auto" w:fill="FFFFFF"/>
                    <w:lang w:eastAsia="cs-CZ"/>
                  </w:rPr>
                  <m:t>1-P</m:t>
                </m:r>
              </m:e>
            </m:d>
          </m:num>
          <m:den>
            <m:sSup>
              <m:sSupPr>
                <m:ctrlPr>
                  <w:rPr>
                    <w:rFonts w:ascii="Cambria Math" w:eastAsia="Roboto" w:hAnsi="Cambria Math" w:cs="Arial"/>
                    <w:i/>
                    <w:shd w:val="clear" w:color="auto" w:fill="FFFFFF"/>
                    <w:lang w:eastAsia="cs-CZ"/>
                  </w:rPr>
                </m:ctrlPr>
              </m:sSupPr>
              <m:e>
                <m:r>
                  <w:rPr>
                    <w:rFonts w:ascii="Cambria Math" w:eastAsia="Roboto" w:hAnsi="Cambria Math" w:cs="Arial"/>
                    <w:shd w:val="clear" w:color="auto" w:fill="FFFFFF"/>
                    <w:lang w:eastAsia="cs-CZ"/>
                  </w:rPr>
                  <m:t>E</m:t>
                </m:r>
              </m:e>
              <m:sup>
                <m:r>
                  <w:rPr>
                    <w:rFonts w:ascii="Cambria Math" w:eastAsia="Roboto" w:hAnsi="Cambria Math" w:cs="Arial"/>
                    <w:shd w:val="clear" w:color="auto" w:fill="FFFFFF"/>
                    <w:lang w:eastAsia="cs-CZ"/>
                  </w:rPr>
                  <m:t>2</m:t>
                </m:r>
              </m:sup>
            </m:sSup>
          </m:den>
        </m:f>
      </m:oMath>
    </w:p>
    <w:p w14:paraId="6D7FB96F" w14:textId="77777777" w:rsidR="0041476D" w:rsidRPr="00732C16" w:rsidRDefault="0041476D" w:rsidP="0041476D">
      <w:pPr>
        <w:contextualSpacing/>
        <w:rPr>
          <w:rFonts w:ascii="Arial" w:hAnsi="Arial" w:cs="Arial"/>
        </w:rPr>
      </w:pPr>
      <w:r w:rsidRPr="00732C16">
        <w:rPr>
          <w:rFonts w:ascii="Arial" w:hAnsi="Arial" w:cs="Arial"/>
        </w:rPr>
        <w:t>Where:</w:t>
      </w:r>
    </w:p>
    <w:p w14:paraId="57F9B715" w14:textId="77777777" w:rsidR="0041476D" w:rsidRPr="00732C16" w:rsidRDefault="0041476D" w:rsidP="0041476D">
      <w:pPr>
        <w:numPr>
          <w:ilvl w:val="0"/>
          <w:numId w:val="32"/>
        </w:numPr>
        <w:spacing w:after="200"/>
        <w:contextualSpacing/>
        <w:rPr>
          <w:rFonts w:ascii="Arial" w:hAnsi="Arial" w:cs="Arial"/>
        </w:rPr>
      </w:pPr>
      <w:r w:rsidRPr="00732C16">
        <w:rPr>
          <w:rFonts w:ascii="Arial" w:hAnsi="Arial" w:cs="Arial"/>
        </w:rPr>
        <w:t>n = required sample size</w:t>
      </w:r>
    </w:p>
    <w:p w14:paraId="21F17FDD" w14:textId="77777777" w:rsidR="0041476D" w:rsidRPr="00732C16" w:rsidRDefault="0041476D" w:rsidP="0041476D">
      <w:pPr>
        <w:numPr>
          <w:ilvl w:val="0"/>
          <w:numId w:val="32"/>
        </w:numPr>
        <w:spacing w:after="200"/>
        <w:contextualSpacing/>
        <w:rPr>
          <w:rFonts w:ascii="Arial" w:hAnsi="Arial" w:cs="Arial"/>
          <w:lang w:val="sk-SK"/>
        </w:rPr>
      </w:pPr>
      <w:r w:rsidRPr="00732C16">
        <w:rPr>
          <w:rFonts w:ascii="Arial" w:hAnsi="Arial" w:cs="Arial"/>
          <w:lang w:val="sk-SK"/>
        </w:rPr>
        <w:t>Z = Z-value (</w:t>
      </w:r>
      <w:r w:rsidRPr="00732C16">
        <w:rPr>
          <w:rFonts w:ascii="Arial" w:hAnsi="Arial" w:cs="Arial"/>
        </w:rPr>
        <w:t>A common confidence level used in social sciences is 95%, corresponding to a Z-value of approximately 1.96</w:t>
      </w:r>
      <w:r w:rsidRPr="00732C16">
        <w:rPr>
          <w:rFonts w:ascii="Arial" w:hAnsi="Arial" w:cs="Arial"/>
          <w:lang w:val="sk-SK"/>
        </w:rPr>
        <w:t>).</w:t>
      </w:r>
    </w:p>
    <w:p w14:paraId="48C315F4" w14:textId="77777777" w:rsidR="0041476D" w:rsidRPr="00732C16" w:rsidRDefault="0041476D" w:rsidP="0041476D">
      <w:pPr>
        <w:numPr>
          <w:ilvl w:val="0"/>
          <w:numId w:val="32"/>
        </w:numPr>
        <w:spacing w:after="200"/>
        <w:contextualSpacing/>
        <w:rPr>
          <w:rFonts w:ascii="Arial" w:hAnsi="Arial" w:cs="Arial"/>
          <w:lang w:val="sk-SK"/>
        </w:rPr>
      </w:pPr>
      <w:r w:rsidRPr="00732C16">
        <w:rPr>
          <w:rFonts w:ascii="Arial" w:hAnsi="Arial" w:cs="Arial"/>
          <w:lang w:val="sk-SK"/>
        </w:rPr>
        <w:t>p = estimated proportion of the population that has the attribute of interest (if unknown, 0.5 is often used as it provides the maximum sample size)</w:t>
      </w:r>
    </w:p>
    <w:p w14:paraId="7F2E1537" w14:textId="77777777" w:rsidR="0041476D" w:rsidRPr="00732C16" w:rsidRDefault="0041476D" w:rsidP="0041476D">
      <w:pPr>
        <w:numPr>
          <w:ilvl w:val="0"/>
          <w:numId w:val="32"/>
        </w:numPr>
        <w:spacing w:after="200"/>
        <w:contextualSpacing/>
        <w:rPr>
          <w:rFonts w:ascii="Arial" w:eastAsia="Roboto" w:hAnsi="Arial" w:cs="Arial"/>
          <w:lang w:eastAsia="cs-CZ"/>
        </w:rPr>
      </w:pPr>
      <w:r w:rsidRPr="00732C16">
        <w:rPr>
          <w:rFonts w:ascii="Arial" w:hAnsi="Arial" w:cs="Arial"/>
        </w:rPr>
        <w:t>E = margin of error (0.05)</w:t>
      </w:r>
    </w:p>
    <w:p w14:paraId="25F0EE8C" w14:textId="77777777" w:rsidR="0041476D" w:rsidRPr="00732C16" w:rsidRDefault="0041476D" w:rsidP="0041476D">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sSup>
              <m:sSupPr>
                <m:ctrlPr>
                  <w:rPr>
                    <w:rFonts w:ascii="Cambria Math" w:eastAsia="Roboto" w:hAnsi="Cambria Math" w:cs="Arial"/>
                    <w:i/>
                    <w:lang w:eastAsia="cs-CZ"/>
                  </w:rPr>
                </m:ctrlPr>
              </m:sSupPr>
              <m:e>
                <m:r>
                  <w:rPr>
                    <w:rFonts w:ascii="Cambria Math" w:eastAsia="Roboto" w:hAnsi="Cambria Math" w:cs="Arial"/>
                    <w:lang w:eastAsia="cs-CZ"/>
                  </w:rPr>
                  <m:t>1.96</m:t>
                </m:r>
              </m:e>
              <m:sup>
                <m:r>
                  <w:rPr>
                    <w:rFonts w:ascii="Cambria Math" w:eastAsia="Roboto" w:hAnsi="Cambria Math" w:cs="Arial"/>
                    <w:lang w:eastAsia="cs-CZ"/>
                  </w:rPr>
                  <m:t>2</m:t>
                </m:r>
              </m:sup>
            </m:sSup>
            <m:r>
              <w:rPr>
                <w:rFonts w:ascii="Cambria Math" w:eastAsia="Roboto" w:hAnsi="Cambria Math" w:cs="Arial"/>
                <w:lang w:eastAsia="cs-CZ"/>
              </w:rPr>
              <m:t>×0.5×</m:t>
            </m:r>
            <m:d>
              <m:dPr>
                <m:ctrlPr>
                  <w:rPr>
                    <w:rFonts w:ascii="Cambria Math" w:eastAsia="Roboto" w:hAnsi="Cambria Math" w:cs="Arial"/>
                    <w:i/>
                    <w:lang w:eastAsia="cs-CZ"/>
                  </w:rPr>
                </m:ctrlPr>
              </m:dPr>
              <m:e>
                <m:r>
                  <w:rPr>
                    <w:rFonts w:ascii="Cambria Math" w:eastAsia="Roboto" w:hAnsi="Cambria Math" w:cs="Arial"/>
                    <w:lang w:eastAsia="cs-CZ"/>
                  </w:rPr>
                  <m:t>1-0.5</m:t>
                </m:r>
              </m:e>
            </m:d>
          </m:num>
          <m:den>
            <m:sSup>
              <m:sSupPr>
                <m:ctrlPr>
                  <w:rPr>
                    <w:rFonts w:ascii="Cambria Math" w:eastAsia="Roboto" w:hAnsi="Cambria Math" w:cs="Arial"/>
                    <w:i/>
                    <w:lang w:eastAsia="cs-CZ"/>
                  </w:rPr>
                </m:ctrlPr>
              </m:sSupPr>
              <m:e>
                <m:r>
                  <w:rPr>
                    <w:rFonts w:ascii="Cambria Math" w:eastAsia="Roboto" w:hAnsi="Cambria Math" w:cs="Arial"/>
                    <w:lang w:eastAsia="cs-CZ"/>
                  </w:rPr>
                  <m:t>0.05</m:t>
                </m:r>
              </m:e>
              <m:sup>
                <m:r>
                  <w:rPr>
                    <w:rFonts w:ascii="Cambria Math" w:eastAsia="Roboto" w:hAnsi="Cambria Math" w:cs="Arial"/>
                    <w:lang w:eastAsia="cs-CZ"/>
                  </w:rPr>
                  <m:t>2</m:t>
                </m:r>
              </m:sup>
            </m:sSup>
          </m:den>
        </m:f>
      </m:oMath>
    </w:p>
    <w:p w14:paraId="26FC253C" w14:textId="77777777" w:rsidR="0041476D" w:rsidRPr="00732C16" w:rsidRDefault="0041476D" w:rsidP="0041476D">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r>
              <w:rPr>
                <w:rFonts w:ascii="Cambria Math" w:eastAsia="Roboto" w:hAnsi="Cambria Math" w:cs="Arial"/>
                <w:lang w:eastAsia="cs-CZ"/>
              </w:rPr>
              <m:t>3.8416×0.25</m:t>
            </m:r>
          </m:num>
          <m:den>
            <m:r>
              <w:rPr>
                <w:rFonts w:ascii="Cambria Math" w:eastAsia="Roboto" w:hAnsi="Cambria Math" w:cs="Arial"/>
                <w:lang w:eastAsia="cs-CZ"/>
              </w:rPr>
              <m:t>0.0025</m:t>
            </m:r>
          </m:den>
        </m:f>
      </m:oMath>
    </w:p>
    <w:p w14:paraId="322D475D" w14:textId="77777777" w:rsidR="0041476D" w:rsidRPr="00732C16" w:rsidRDefault="0041476D" w:rsidP="0041476D">
      <w:pPr>
        <w:ind w:firstLine="720"/>
        <w:contextualSpacing/>
        <w:rPr>
          <w:rFonts w:ascii="Arial" w:eastAsia="Roboto" w:hAnsi="Arial" w:cs="Arial"/>
          <w:lang w:eastAsia="cs-CZ"/>
        </w:rPr>
      </w:pPr>
      <w:r w:rsidRPr="00732C16">
        <w:rPr>
          <w:rFonts w:ascii="Arial" w:eastAsia="Roboto" w:hAnsi="Arial" w:cs="Arial"/>
          <w:lang w:eastAsia="cs-CZ"/>
        </w:rPr>
        <w:t>n=</w:t>
      </w:r>
      <m:oMath>
        <m:f>
          <m:fPr>
            <m:ctrlPr>
              <w:rPr>
                <w:rFonts w:ascii="Cambria Math" w:eastAsia="Roboto" w:hAnsi="Cambria Math" w:cs="Arial"/>
                <w:i/>
                <w:lang w:eastAsia="cs-CZ"/>
              </w:rPr>
            </m:ctrlPr>
          </m:fPr>
          <m:num>
            <m:r>
              <w:rPr>
                <w:rFonts w:ascii="Cambria Math" w:eastAsia="Roboto" w:hAnsi="Cambria Math" w:cs="Arial"/>
                <w:lang w:eastAsia="cs-CZ"/>
              </w:rPr>
              <m:t>0.96040</m:t>
            </m:r>
          </m:num>
          <m:den>
            <m:r>
              <w:rPr>
                <w:rFonts w:ascii="Cambria Math" w:eastAsia="Roboto" w:hAnsi="Cambria Math" w:cs="Arial"/>
                <w:lang w:eastAsia="cs-CZ"/>
              </w:rPr>
              <m:t>0.0025</m:t>
            </m:r>
          </m:den>
        </m:f>
      </m:oMath>
    </w:p>
    <w:p w14:paraId="0E178917" w14:textId="77777777" w:rsidR="0041476D" w:rsidRPr="00732C16" w:rsidRDefault="0041476D" w:rsidP="0041476D">
      <w:pPr>
        <w:ind w:firstLine="720"/>
        <w:contextualSpacing/>
        <w:rPr>
          <w:rFonts w:ascii="Arial" w:eastAsia="Roboto" w:hAnsi="Arial" w:cs="Arial"/>
          <w:lang w:eastAsia="cs-CZ"/>
        </w:rPr>
      </w:pPr>
      <w:r w:rsidRPr="00732C16">
        <w:rPr>
          <w:rFonts w:ascii="Arial" w:eastAsia="Roboto" w:hAnsi="Arial" w:cs="Arial"/>
          <w:lang w:eastAsia="cs-CZ"/>
        </w:rPr>
        <w:t>n=384.16</w:t>
      </w:r>
    </w:p>
    <w:p w14:paraId="521E8FA9" w14:textId="77777777" w:rsidR="0041476D" w:rsidRPr="0041476D" w:rsidRDefault="0041476D" w:rsidP="0041476D">
      <w:pPr>
        <w:contextualSpacing/>
        <w:jc w:val="both"/>
        <w:rPr>
          <w:rFonts w:ascii="Arial" w:hAnsi="Arial" w:cs="Arial"/>
        </w:rPr>
      </w:pPr>
    </w:p>
    <w:p w14:paraId="797A14C4" w14:textId="6FA0C053" w:rsidR="0041476D" w:rsidRPr="0041476D" w:rsidRDefault="0041476D" w:rsidP="0041476D">
      <w:pPr>
        <w:contextualSpacing/>
        <w:jc w:val="both"/>
        <w:rPr>
          <w:rFonts w:ascii="Arial" w:hAnsi="Arial" w:cs="Arial"/>
        </w:rPr>
      </w:pPr>
      <w:r w:rsidRPr="0041476D">
        <w:rPr>
          <w:rFonts w:ascii="Arial" w:hAnsi="Arial" w:cs="Arial"/>
        </w:rPr>
        <w:t>Since it is not possible to have a fraction of a participant, the calculated sample size was rounded up to 385. Participants were selected using a combination of stratified random sampling across the three regions and purposive sampling for 12 key informants with expertise in microfinance.</w:t>
      </w:r>
    </w:p>
    <w:p w14:paraId="5B7BA341" w14:textId="77777777" w:rsidR="0041476D" w:rsidRPr="0041476D" w:rsidRDefault="0041476D" w:rsidP="0041476D">
      <w:pPr>
        <w:contextualSpacing/>
        <w:jc w:val="both"/>
        <w:rPr>
          <w:rFonts w:ascii="Arial" w:hAnsi="Arial" w:cs="Arial"/>
        </w:rPr>
      </w:pPr>
    </w:p>
    <w:p w14:paraId="782F5B41" w14:textId="50EB63DB" w:rsidR="001606A5" w:rsidRPr="0041476D" w:rsidRDefault="00FD0A85" w:rsidP="0041476D">
      <w:pPr>
        <w:contextualSpacing/>
        <w:jc w:val="both"/>
        <w:rPr>
          <w:rFonts w:ascii="Arial" w:hAnsi="Arial" w:cs="Arial"/>
        </w:rPr>
      </w:pPr>
      <w:r>
        <w:rPr>
          <w:rFonts w:ascii="Arial" w:hAnsi="Arial" w:cs="Arial"/>
        </w:rPr>
        <w:t>To construct the credit risk variable</w:t>
      </w:r>
      <w:r w:rsidR="0041476D" w:rsidRPr="0041476D">
        <w:rPr>
          <w:rFonts w:ascii="Arial" w:hAnsi="Arial" w:cs="Arial"/>
        </w:rPr>
        <w:t xml:space="preserve">, multiple indicators were combined, including Non-Performing Loans (NPL) ratio, loan default rates, loan loss provisions, and Portfolio at Risk (PAR). These indicators were normalized and aggregated into a single composite measure representing overall credit risk exposure, consistent with approaches used by Mpofu and </w:t>
      </w:r>
      <w:proofErr w:type="spellStart"/>
      <w:r w:rsidR="0041476D" w:rsidRPr="0041476D">
        <w:rPr>
          <w:rFonts w:ascii="Arial" w:hAnsi="Arial" w:cs="Arial"/>
        </w:rPr>
        <w:t>Nikolaidou</w:t>
      </w:r>
      <w:proofErr w:type="spellEnd"/>
      <w:r w:rsidR="0041476D" w:rsidRPr="0041476D">
        <w:rPr>
          <w:rFonts w:ascii="Arial" w:hAnsi="Arial" w:cs="Arial"/>
        </w:rPr>
        <w:t xml:space="preserve"> (2018) and </w:t>
      </w:r>
      <w:proofErr w:type="spellStart"/>
      <w:r w:rsidR="0041476D" w:rsidRPr="0041476D">
        <w:rPr>
          <w:rFonts w:ascii="Arial" w:hAnsi="Arial" w:cs="Arial"/>
        </w:rPr>
        <w:t>Yanenkova</w:t>
      </w:r>
      <w:proofErr w:type="spellEnd"/>
      <w:r w:rsidR="0041476D" w:rsidRPr="0041476D">
        <w:rPr>
          <w:rFonts w:ascii="Arial" w:hAnsi="Arial" w:cs="Arial"/>
        </w:rPr>
        <w:t xml:space="preserve"> </w:t>
      </w:r>
      <w:r>
        <w:rPr>
          <w:rFonts w:ascii="Arial" w:hAnsi="Arial" w:cs="Arial"/>
        </w:rPr>
        <w:t xml:space="preserve">et al. (2021). Similarly, the </w:t>
      </w:r>
      <w:r w:rsidR="0041476D" w:rsidRPr="0041476D">
        <w:rPr>
          <w:rFonts w:ascii="Arial" w:hAnsi="Arial" w:cs="Arial"/>
        </w:rPr>
        <w:t xml:space="preserve">efficient </w:t>
      </w:r>
      <w:r>
        <w:rPr>
          <w:rFonts w:ascii="Arial" w:hAnsi="Arial" w:cs="Arial"/>
        </w:rPr>
        <w:t xml:space="preserve">business performance variable </w:t>
      </w:r>
      <w:r w:rsidR="0041476D" w:rsidRPr="0041476D">
        <w:rPr>
          <w:rFonts w:ascii="Arial" w:hAnsi="Arial" w:cs="Arial"/>
        </w:rPr>
        <w:t>was created by integrating profitability metrics (Return on Assets, Return on Equity, Operational Self-Sufficiency) and sustainability metrics (client retention, capital adequacy, and the ability to cover operational costs without subsidies). Quantitative data were analyzed using SPSS to compute descriptive statistics and explore correlations, while qualitative data from interviews were examined using thematic analysis to identify patterns and contextual insights (Clarke &amp; Braun, 2017; Field, 2024). Combining these approaches allowed for a robust assessment of how credit risk impacts both the financial performance and long-term sustainability of MFIs in Sub-Saharan Africa</w:t>
      </w:r>
    </w:p>
    <w:p w14:paraId="4BCCB36A" w14:textId="77777777" w:rsidR="00902823" w:rsidRPr="00732C16" w:rsidRDefault="00CB6B5E" w:rsidP="00732C16">
      <w:pPr>
        <w:pStyle w:val="Head1"/>
        <w:spacing w:after="0"/>
        <w:jc w:val="both"/>
        <w:rPr>
          <w:rFonts w:ascii="Arial" w:hAnsi="Arial" w:cs="Arial"/>
        </w:rPr>
      </w:pPr>
      <w:r w:rsidRPr="00732C16">
        <w:rPr>
          <w:rFonts w:ascii="Arial" w:hAnsi="Arial" w:cs="Arial"/>
        </w:rPr>
        <w:lastRenderedPageBreak/>
        <w:t>4</w:t>
      </w:r>
      <w:r w:rsidR="00902823" w:rsidRPr="00732C16">
        <w:rPr>
          <w:rFonts w:ascii="Arial" w:hAnsi="Arial" w:cs="Arial"/>
        </w:rPr>
        <w:t xml:space="preserve">. </w:t>
      </w:r>
      <w:r w:rsidR="00000F8F" w:rsidRPr="00732C16">
        <w:rPr>
          <w:rFonts w:ascii="Arial" w:hAnsi="Arial" w:cs="Arial"/>
        </w:rPr>
        <w:t>results and discussion</w:t>
      </w:r>
    </w:p>
    <w:p w14:paraId="070BCB71" w14:textId="77777777" w:rsidR="00790ADA" w:rsidRPr="00732C16" w:rsidRDefault="00790ADA" w:rsidP="00732C16">
      <w:pPr>
        <w:pStyle w:val="Head1"/>
        <w:spacing w:after="0"/>
        <w:jc w:val="both"/>
        <w:rPr>
          <w:rFonts w:ascii="Arial" w:hAnsi="Arial" w:cs="Arial"/>
        </w:rPr>
      </w:pPr>
    </w:p>
    <w:p w14:paraId="6A887109" w14:textId="77777777" w:rsidR="00B555C0" w:rsidRPr="00732C16" w:rsidRDefault="00B555C0" w:rsidP="00732C16">
      <w:pPr>
        <w:pStyle w:val="Head1"/>
        <w:spacing w:after="0"/>
        <w:jc w:val="both"/>
        <w:rPr>
          <w:rFonts w:ascii="Arial" w:hAnsi="Arial" w:cs="Arial"/>
          <w:caps w:val="0"/>
        </w:rPr>
      </w:pPr>
      <w:r w:rsidRPr="00732C16">
        <w:rPr>
          <w:rFonts w:ascii="Arial" w:hAnsi="Arial" w:cs="Arial"/>
          <w:caps w:val="0"/>
        </w:rPr>
        <w:t>4.1 Response Rate</w:t>
      </w:r>
    </w:p>
    <w:p w14:paraId="0F654EF3" w14:textId="77777777" w:rsidR="00B555C0" w:rsidRPr="00732C16" w:rsidRDefault="00B555C0" w:rsidP="00732C16">
      <w:pPr>
        <w:pStyle w:val="Head1"/>
        <w:spacing w:after="0"/>
        <w:jc w:val="both"/>
        <w:rPr>
          <w:rFonts w:ascii="Arial" w:hAnsi="Arial" w:cs="Arial"/>
        </w:rPr>
      </w:pPr>
    </w:p>
    <w:p w14:paraId="3C926A3D" w14:textId="77777777" w:rsidR="00790ADA" w:rsidRPr="00732C16" w:rsidRDefault="00A04866" w:rsidP="00732C16">
      <w:pPr>
        <w:pStyle w:val="Body"/>
        <w:spacing w:after="0"/>
        <w:rPr>
          <w:rFonts w:ascii="Arial" w:hAnsi="Arial" w:cs="Arial"/>
        </w:rPr>
      </w:pPr>
      <w:r w:rsidRPr="00732C16">
        <w:rPr>
          <w:rFonts w:ascii="Arial" w:hAnsi="Arial" w:cs="Arial"/>
        </w:rPr>
        <w:t xml:space="preserve">The response rate represents the percentage of the selected sample that actively participated in the study by completing the research instruments. It is calculated by comparing the number of completed responses to the total number of individuals invited to participate. </w:t>
      </w:r>
    </w:p>
    <w:p w14:paraId="58027535" w14:textId="77777777" w:rsidR="00A04866" w:rsidRPr="00732C16" w:rsidRDefault="00A04866" w:rsidP="00732C16">
      <w:pPr>
        <w:pStyle w:val="Body"/>
        <w:spacing w:after="0"/>
        <w:rPr>
          <w:rFonts w:ascii="Arial" w:hAnsi="Arial" w:cs="Arial"/>
        </w:rPr>
      </w:pPr>
    </w:p>
    <w:p w14:paraId="7157644B" w14:textId="06F365A1" w:rsidR="00A04866" w:rsidRPr="00936D8B" w:rsidRDefault="00936D8B" w:rsidP="00936D8B">
      <w:pPr>
        <w:pStyle w:val="Caption"/>
        <w:rPr>
          <w:rFonts w:ascii="Arial" w:hAnsi="Arial" w:cs="Arial"/>
          <w:i w:val="0"/>
          <w:color w:val="auto"/>
          <w:sz w:val="20"/>
          <w:szCs w:val="20"/>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Pr>
          <w:rFonts w:ascii="Arial" w:hAnsi="Arial" w:cs="Arial"/>
          <w:noProof/>
          <w:color w:val="auto"/>
          <w:sz w:val="20"/>
          <w:szCs w:val="20"/>
        </w:rPr>
        <w:t>2</w:t>
      </w:r>
      <w:r w:rsidRPr="00936D8B">
        <w:rPr>
          <w:rFonts w:ascii="Arial" w:hAnsi="Arial" w:cs="Arial"/>
          <w:color w:val="auto"/>
          <w:sz w:val="20"/>
          <w:szCs w:val="20"/>
        </w:rPr>
        <w:fldChar w:fldCharType="end"/>
      </w:r>
      <w:r w:rsidRPr="00936D8B">
        <w:rPr>
          <w:rFonts w:ascii="Arial" w:hAnsi="Arial" w:cs="Arial"/>
          <w:color w:val="auto"/>
          <w:sz w:val="20"/>
          <w:szCs w:val="20"/>
        </w:rPr>
        <w:t xml:space="preserve"> </w:t>
      </w:r>
      <w:r w:rsidR="0023131D" w:rsidRPr="00936D8B">
        <w:rPr>
          <w:rFonts w:ascii="Arial" w:hAnsi="Arial" w:cs="Arial"/>
          <w:color w:val="auto"/>
          <w:sz w:val="20"/>
          <w:szCs w:val="20"/>
        </w:rPr>
        <w:t xml:space="preserve">: </w:t>
      </w:r>
      <w:r w:rsidR="00A04866" w:rsidRPr="00936D8B">
        <w:rPr>
          <w:rFonts w:ascii="Arial" w:hAnsi="Arial" w:cs="Arial"/>
          <w:color w:val="auto"/>
          <w:sz w:val="20"/>
          <w:szCs w:val="20"/>
        </w:rPr>
        <w:t>Response Rate</w:t>
      </w:r>
    </w:p>
    <w:p w14:paraId="40AF7C9E" w14:textId="77777777" w:rsidR="0023131D" w:rsidRPr="00732C16" w:rsidRDefault="0023131D" w:rsidP="00732C16">
      <w:pPr>
        <w:pStyle w:val="Body"/>
        <w:spacing w:after="0"/>
        <w:rPr>
          <w:rFonts w:ascii="Arial" w:hAnsi="Arial" w:cs="Arial"/>
          <w:i/>
        </w:rPr>
      </w:pPr>
    </w:p>
    <w:p w14:paraId="274C9E7B" w14:textId="77777777" w:rsidR="00A04866" w:rsidRPr="00732C16" w:rsidRDefault="00A04866" w:rsidP="00732C16">
      <w:pPr>
        <w:pStyle w:val="Body"/>
        <w:spacing w:after="0"/>
        <w:rPr>
          <w:rFonts w:ascii="Arial" w:hAnsi="Arial" w:cs="Arial"/>
          <w:i/>
        </w:rPr>
      </w:pPr>
      <w:r w:rsidRPr="00732C16">
        <w:rPr>
          <w:rFonts w:ascii="Arial" w:hAnsi="Arial" w:cs="Arial"/>
          <w:i/>
          <w:noProof/>
        </w:rPr>
        <w:drawing>
          <wp:inline distT="0" distB="0" distL="0" distR="0" wp14:anchorId="722A0641" wp14:editId="513ED3C3">
            <wp:extent cx="5212080" cy="304038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68896F" w14:textId="77777777" w:rsidR="00A04866" w:rsidRPr="00732C16" w:rsidRDefault="00A04866" w:rsidP="00732C16">
      <w:pPr>
        <w:pStyle w:val="Body"/>
        <w:spacing w:after="0"/>
        <w:rPr>
          <w:rFonts w:ascii="Arial" w:hAnsi="Arial" w:cs="Arial"/>
        </w:rPr>
      </w:pPr>
    </w:p>
    <w:p w14:paraId="626D3C5E" w14:textId="77777777" w:rsidR="00A04866" w:rsidRPr="00732C16" w:rsidRDefault="005B4981" w:rsidP="00732C16">
      <w:pPr>
        <w:rPr>
          <w:rFonts w:ascii="Arial" w:hAnsi="Arial" w:cs="Arial"/>
          <w:lang w:val="en-GB" w:eastAsia="en-GB"/>
        </w:rPr>
      </w:pPr>
      <w:r>
        <w:rPr>
          <w:rFonts w:ascii="Arial" w:hAnsi="Arial" w:cs="Arial"/>
          <w:lang w:val="en-GB" w:eastAsia="en-GB"/>
        </w:rPr>
        <w:t>Source: Primary data (2025</w:t>
      </w:r>
      <w:r w:rsidR="00A04866" w:rsidRPr="00732C16">
        <w:rPr>
          <w:rFonts w:ascii="Arial" w:hAnsi="Arial" w:cs="Arial"/>
          <w:lang w:val="en-GB" w:eastAsia="en-GB"/>
        </w:rPr>
        <w:t>)</w:t>
      </w:r>
    </w:p>
    <w:p w14:paraId="13B1C236" w14:textId="77777777" w:rsidR="00A04866" w:rsidRPr="00732C16" w:rsidRDefault="00A04866" w:rsidP="00732C16">
      <w:pPr>
        <w:rPr>
          <w:rFonts w:ascii="Arial" w:hAnsi="Arial" w:cs="Arial"/>
          <w:lang w:val="en-GB" w:eastAsia="en-GB"/>
        </w:rPr>
      </w:pPr>
    </w:p>
    <w:p w14:paraId="25743FDA" w14:textId="07E64CE0" w:rsidR="0023131D" w:rsidRPr="00732C16" w:rsidRDefault="00936D8B" w:rsidP="00732C16">
      <w:pPr>
        <w:jc w:val="both"/>
        <w:rPr>
          <w:rFonts w:ascii="Arial" w:hAnsi="Arial" w:cs="Arial"/>
          <w:lang w:val="en-GB" w:eastAsia="en-GB"/>
        </w:rPr>
      </w:pPr>
      <w:r>
        <w:rPr>
          <w:rFonts w:ascii="Arial" w:hAnsi="Arial" w:cs="Arial"/>
          <w:lang w:val="en-GB" w:eastAsia="en-GB"/>
        </w:rPr>
        <w:t>As shown in Fig. 2</w:t>
      </w:r>
      <w:r w:rsidR="0023131D" w:rsidRPr="00732C16">
        <w:rPr>
          <w:rFonts w:ascii="Arial" w:hAnsi="Arial" w:cs="Arial"/>
          <w:lang w:val="en-GB" w:eastAsia="en-GB"/>
        </w:rPr>
        <w:t xml:space="preserve">, this study surveyed 385 microfinance employees across 12 countries in Sub-Saharan Africa and achieved a 55% response rate, with 210 questionnaires fully completed. According to Wu, Zhao, and </w:t>
      </w:r>
      <w:proofErr w:type="spellStart"/>
      <w:r w:rsidR="0023131D" w:rsidRPr="00732C16">
        <w:rPr>
          <w:rFonts w:ascii="Arial" w:hAnsi="Arial" w:cs="Arial"/>
          <w:lang w:val="en-GB" w:eastAsia="en-GB"/>
        </w:rPr>
        <w:t>FilsAime</w:t>
      </w:r>
      <w:proofErr w:type="spellEnd"/>
      <w:r w:rsidR="0023131D" w:rsidRPr="00732C16">
        <w:rPr>
          <w:rFonts w:ascii="Arial" w:hAnsi="Arial" w:cs="Arial"/>
          <w:lang w:val="en-GB" w:eastAsia="en-GB"/>
        </w:rPr>
        <w:t xml:space="preserve"> (2022), a response rate of 50% is considered adequate, while 60% is deemed good, positioning this study's rate within an acceptable range. Data collection was facilitated through a combination of Google Forms and the pick-and-drop method, enhancing accessibility and efficiency. In addition to the survey, 12 key informant interviews were conducted one in each country achieving a 100% response rate for the qualitative component. This full participation enhances the study’s validity and reliability by ensuring diverse perspectives on financial risk management were captured (Bell, Harley &amp; Bryman, 2022). The robust response levels contribute significantly to the credibility and depth of the study’s findings on financial risk practices within MFIs in the region.</w:t>
      </w:r>
    </w:p>
    <w:p w14:paraId="77C24471" w14:textId="77777777" w:rsidR="0023131D" w:rsidRPr="00732C16" w:rsidRDefault="0023131D" w:rsidP="00732C16">
      <w:pPr>
        <w:jc w:val="both"/>
        <w:rPr>
          <w:rFonts w:ascii="Arial" w:hAnsi="Arial" w:cs="Arial"/>
          <w:lang w:val="en-GB" w:eastAsia="en-GB"/>
        </w:rPr>
      </w:pPr>
    </w:p>
    <w:p w14:paraId="72C8905E" w14:textId="77777777" w:rsidR="00A04866" w:rsidRPr="00732C16" w:rsidRDefault="00A04866" w:rsidP="00732C16">
      <w:pPr>
        <w:rPr>
          <w:rFonts w:ascii="Arial" w:hAnsi="Arial" w:cs="Arial"/>
          <w:b/>
          <w:lang w:val="en-GB" w:eastAsia="en-GB"/>
        </w:rPr>
      </w:pPr>
      <w:r w:rsidRPr="00732C16">
        <w:rPr>
          <w:rFonts w:ascii="Arial" w:hAnsi="Arial" w:cs="Arial"/>
          <w:b/>
          <w:lang w:val="en-GB" w:eastAsia="en-GB"/>
        </w:rPr>
        <w:t xml:space="preserve">4.2 Respondents Demographic Profiles </w:t>
      </w:r>
    </w:p>
    <w:p w14:paraId="135766F4" w14:textId="77777777" w:rsidR="00A04866" w:rsidRPr="00732C16" w:rsidRDefault="00A04866" w:rsidP="00732C16">
      <w:pPr>
        <w:rPr>
          <w:rFonts w:ascii="Arial" w:hAnsi="Arial" w:cs="Arial"/>
          <w:b/>
          <w:lang w:val="en-GB" w:eastAsia="en-GB"/>
        </w:rPr>
      </w:pPr>
    </w:p>
    <w:p w14:paraId="1B155B69" w14:textId="77777777" w:rsidR="00A04866" w:rsidRPr="00732C16" w:rsidRDefault="00A04866" w:rsidP="00732C16">
      <w:pPr>
        <w:rPr>
          <w:rFonts w:ascii="Arial" w:hAnsi="Arial" w:cs="Arial"/>
          <w:b/>
          <w:lang w:val="en-GB" w:eastAsia="en-GB"/>
        </w:rPr>
      </w:pPr>
      <w:r w:rsidRPr="00732C16">
        <w:rPr>
          <w:rFonts w:ascii="Arial" w:hAnsi="Arial" w:cs="Arial"/>
          <w:b/>
          <w:lang w:val="en-GB" w:eastAsia="en-GB"/>
        </w:rPr>
        <w:t xml:space="preserve">4.2.1 Gender </w:t>
      </w:r>
    </w:p>
    <w:p w14:paraId="1D608A89" w14:textId="77777777" w:rsidR="00A04866" w:rsidRPr="00732C16" w:rsidRDefault="00A04866" w:rsidP="00732C16">
      <w:pPr>
        <w:rPr>
          <w:rFonts w:ascii="Arial" w:hAnsi="Arial" w:cs="Arial"/>
          <w:lang w:val="en-GB" w:eastAsia="en-GB"/>
        </w:rPr>
      </w:pPr>
    </w:p>
    <w:p w14:paraId="1BAF76E0" w14:textId="77777777" w:rsidR="00A04866" w:rsidRPr="00732C16" w:rsidRDefault="00A04866" w:rsidP="00732C16">
      <w:pPr>
        <w:jc w:val="both"/>
        <w:rPr>
          <w:rFonts w:ascii="Arial" w:hAnsi="Arial" w:cs="Arial"/>
          <w:lang w:val="en-GB" w:eastAsia="en-GB"/>
        </w:rPr>
      </w:pPr>
      <w:r w:rsidRPr="00732C16">
        <w:rPr>
          <w:rFonts w:ascii="Arial" w:hAnsi="Arial" w:cs="Arial"/>
          <w:lang w:val="en-GB" w:eastAsia="en-GB"/>
        </w:rPr>
        <w:t xml:space="preserve">The gender composition within MFIs plays a vital role in shaping key aspects of financial management, risk perception, and overall organizational performance. </w:t>
      </w:r>
      <w:proofErr w:type="spellStart"/>
      <w:r w:rsidRPr="00732C16">
        <w:rPr>
          <w:rFonts w:ascii="Arial" w:hAnsi="Arial" w:cs="Arial"/>
          <w:lang w:val="en-GB" w:eastAsia="en-GB"/>
        </w:rPr>
        <w:t>Analyzing</w:t>
      </w:r>
      <w:proofErr w:type="spellEnd"/>
      <w:r w:rsidRPr="00732C16">
        <w:rPr>
          <w:rFonts w:ascii="Arial" w:hAnsi="Arial" w:cs="Arial"/>
          <w:lang w:val="en-GB" w:eastAsia="en-GB"/>
        </w:rPr>
        <w:t xml:space="preserve"> gender </w:t>
      </w:r>
      <w:r w:rsidRPr="00732C16">
        <w:rPr>
          <w:rFonts w:ascii="Arial" w:hAnsi="Arial" w:cs="Arial"/>
          <w:lang w:val="en-GB" w:eastAsia="en-GB"/>
        </w:rPr>
        <w:lastRenderedPageBreak/>
        <w:t>representation helps to highlight the roles and contributions of different genders within these institutions, offering valuable insights that can inform more inclusive and empowering financial strategies. A clear understanding of gender dynamics can also support the development of targeted initiatives aimed at promoting financial inclusion and gender equity. The study’s findings on gender distribution are illustrated in Fig. 3.</w:t>
      </w:r>
    </w:p>
    <w:p w14:paraId="35701F55" w14:textId="77777777" w:rsidR="0023131D" w:rsidRPr="00732C16" w:rsidRDefault="0023131D" w:rsidP="00732C16">
      <w:pPr>
        <w:jc w:val="both"/>
        <w:rPr>
          <w:rFonts w:ascii="Arial" w:hAnsi="Arial" w:cs="Arial"/>
          <w:lang w:val="en-GB" w:eastAsia="en-GB"/>
        </w:rPr>
      </w:pPr>
    </w:p>
    <w:p w14:paraId="296EBCF2" w14:textId="19C75D07" w:rsidR="0023131D" w:rsidRPr="00936D8B" w:rsidRDefault="00936D8B" w:rsidP="00936D8B">
      <w:pPr>
        <w:pStyle w:val="Caption"/>
        <w:rPr>
          <w:rFonts w:ascii="Arial" w:hAnsi="Arial" w:cs="Arial"/>
          <w:i w:val="0"/>
          <w:color w:val="auto"/>
          <w:sz w:val="20"/>
          <w:szCs w:val="20"/>
          <w:lang w:val="en-GB" w:eastAsia="en-GB"/>
        </w:rPr>
      </w:pPr>
      <w:r w:rsidRPr="00936D8B">
        <w:rPr>
          <w:rFonts w:ascii="Arial" w:hAnsi="Arial" w:cs="Arial"/>
          <w:color w:val="auto"/>
          <w:sz w:val="20"/>
          <w:szCs w:val="20"/>
        </w:rPr>
        <w:t xml:space="preserve">Figure </w:t>
      </w:r>
      <w:r w:rsidRPr="00936D8B">
        <w:rPr>
          <w:rFonts w:ascii="Arial" w:hAnsi="Arial" w:cs="Arial"/>
          <w:color w:val="auto"/>
          <w:sz w:val="20"/>
          <w:szCs w:val="20"/>
        </w:rPr>
        <w:fldChar w:fldCharType="begin"/>
      </w:r>
      <w:r w:rsidRPr="00936D8B">
        <w:rPr>
          <w:rFonts w:ascii="Arial" w:hAnsi="Arial" w:cs="Arial"/>
          <w:color w:val="auto"/>
          <w:sz w:val="20"/>
          <w:szCs w:val="20"/>
        </w:rPr>
        <w:instrText xml:space="preserve"> SEQ Figure \* ARABIC </w:instrText>
      </w:r>
      <w:r w:rsidRPr="00936D8B">
        <w:rPr>
          <w:rFonts w:ascii="Arial" w:hAnsi="Arial" w:cs="Arial"/>
          <w:color w:val="auto"/>
          <w:sz w:val="20"/>
          <w:szCs w:val="20"/>
        </w:rPr>
        <w:fldChar w:fldCharType="separate"/>
      </w:r>
      <w:r w:rsidRPr="00936D8B">
        <w:rPr>
          <w:rFonts w:ascii="Arial" w:hAnsi="Arial" w:cs="Arial"/>
          <w:noProof/>
          <w:color w:val="auto"/>
          <w:sz w:val="20"/>
          <w:szCs w:val="20"/>
        </w:rPr>
        <w:t>3</w:t>
      </w:r>
      <w:r w:rsidRPr="00936D8B">
        <w:rPr>
          <w:rFonts w:ascii="Arial" w:hAnsi="Arial" w:cs="Arial"/>
          <w:color w:val="auto"/>
          <w:sz w:val="20"/>
          <w:szCs w:val="20"/>
        </w:rPr>
        <w:fldChar w:fldCharType="end"/>
      </w:r>
      <w:r w:rsidRPr="00936D8B">
        <w:rPr>
          <w:rFonts w:ascii="Arial" w:hAnsi="Arial" w:cs="Arial"/>
          <w:color w:val="auto"/>
          <w:sz w:val="20"/>
          <w:szCs w:val="20"/>
        </w:rPr>
        <w:t xml:space="preserve"> </w:t>
      </w:r>
      <w:r w:rsidR="0023131D" w:rsidRPr="00936D8B">
        <w:rPr>
          <w:rFonts w:ascii="Arial" w:hAnsi="Arial" w:cs="Arial"/>
          <w:color w:val="auto"/>
          <w:sz w:val="20"/>
          <w:szCs w:val="20"/>
          <w:lang w:val="en-GB" w:eastAsia="en-GB"/>
        </w:rPr>
        <w:t xml:space="preserve">: Gender </w:t>
      </w:r>
    </w:p>
    <w:p w14:paraId="18536B2E" w14:textId="77777777" w:rsidR="0023131D" w:rsidRPr="00732C16" w:rsidRDefault="0023131D" w:rsidP="00732C16">
      <w:pPr>
        <w:jc w:val="both"/>
        <w:rPr>
          <w:rFonts w:ascii="Arial" w:hAnsi="Arial" w:cs="Arial"/>
          <w:lang w:val="en-GB" w:eastAsia="en-GB"/>
        </w:rPr>
      </w:pPr>
    </w:p>
    <w:p w14:paraId="53438054" w14:textId="77777777" w:rsidR="0023131D" w:rsidRPr="00732C16" w:rsidRDefault="0023131D" w:rsidP="00732C16">
      <w:pPr>
        <w:jc w:val="both"/>
        <w:rPr>
          <w:rFonts w:ascii="Arial" w:hAnsi="Arial" w:cs="Arial"/>
          <w:lang w:val="en-GB" w:eastAsia="en-GB"/>
        </w:rPr>
      </w:pPr>
      <w:r w:rsidRPr="00732C16">
        <w:rPr>
          <w:rFonts w:ascii="Arial" w:hAnsi="Arial" w:cs="Arial"/>
          <w:noProof/>
        </w:rPr>
        <w:drawing>
          <wp:inline distT="0" distB="0" distL="0" distR="0" wp14:anchorId="724ECC42" wp14:editId="53FEF9CF">
            <wp:extent cx="5212080" cy="304038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9EEE54" w14:textId="77777777" w:rsidR="0023131D" w:rsidRPr="00732C16" w:rsidRDefault="0023131D" w:rsidP="00732C16">
      <w:pPr>
        <w:jc w:val="both"/>
        <w:rPr>
          <w:rFonts w:ascii="Arial" w:hAnsi="Arial" w:cs="Arial"/>
          <w:lang w:val="en-GB" w:eastAsia="en-GB"/>
        </w:rPr>
      </w:pPr>
    </w:p>
    <w:p w14:paraId="6F2A0838" w14:textId="77777777" w:rsidR="0023131D" w:rsidRPr="00732C16" w:rsidRDefault="005B4981" w:rsidP="00732C16">
      <w:pPr>
        <w:jc w:val="both"/>
        <w:rPr>
          <w:rFonts w:ascii="Arial" w:hAnsi="Arial" w:cs="Arial"/>
          <w:lang w:val="en-GB" w:eastAsia="en-GB"/>
        </w:rPr>
      </w:pPr>
      <w:r>
        <w:rPr>
          <w:rFonts w:ascii="Arial" w:hAnsi="Arial" w:cs="Arial"/>
          <w:lang w:val="en-GB" w:eastAsia="en-GB"/>
        </w:rPr>
        <w:t>Source: Primary data (2025</w:t>
      </w:r>
      <w:r w:rsidR="0023131D" w:rsidRPr="00732C16">
        <w:rPr>
          <w:rFonts w:ascii="Arial" w:hAnsi="Arial" w:cs="Arial"/>
          <w:lang w:val="en-GB" w:eastAsia="en-GB"/>
        </w:rPr>
        <w:t>)</w:t>
      </w:r>
    </w:p>
    <w:p w14:paraId="3A8A4847" w14:textId="77777777" w:rsidR="0023131D" w:rsidRPr="00732C16" w:rsidRDefault="0023131D" w:rsidP="00732C16">
      <w:pPr>
        <w:jc w:val="both"/>
        <w:rPr>
          <w:rFonts w:ascii="Arial" w:hAnsi="Arial" w:cs="Arial"/>
          <w:lang w:val="en-GB" w:eastAsia="en-GB"/>
        </w:rPr>
      </w:pPr>
    </w:p>
    <w:p w14:paraId="6603900D" w14:textId="77777777" w:rsidR="0023131D" w:rsidRPr="00732C16" w:rsidRDefault="0023131D" w:rsidP="00732C16">
      <w:pPr>
        <w:jc w:val="both"/>
        <w:rPr>
          <w:rFonts w:ascii="Arial" w:hAnsi="Arial" w:cs="Arial"/>
          <w:lang w:val="en-GB" w:eastAsia="en-GB"/>
        </w:rPr>
      </w:pPr>
      <w:r w:rsidRPr="00732C16">
        <w:rPr>
          <w:rFonts w:ascii="Arial" w:hAnsi="Arial" w:cs="Arial"/>
          <w:lang w:val="en-GB" w:eastAsia="en-GB"/>
        </w:rPr>
        <w:t xml:space="preserve">The study identified a notable gender imbalance within the workforce of MFIs in Sub-Saharan Africa, with women comprising 60% and men 40% of employees. This higher representation of female staff aligns with broader societal shifts and policy efforts aimed at promoting gender equality in the workplace (Zhang, 2020). Research suggests that gender diversity can enhance organizational performance by introducing a range of perspectives, which is particularly valuable in strengthening relationships with female clients who often form the core customer base of MFIs (Hossain, Mia &amp; Dalla </w:t>
      </w:r>
      <w:proofErr w:type="spellStart"/>
      <w:r w:rsidRPr="00732C16">
        <w:rPr>
          <w:rFonts w:ascii="Arial" w:hAnsi="Arial" w:cs="Arial"/>
          <w:lang w:val="en-GB" w:eastAsia="en-GB"/>
        </w:rPr>
        <w:t>Pellegrina</w:t>
      </w:r>
      <w:proofErr w:type="spellEnd"/>
      <w:r w:rsidRPr="00732C16">
        <w:rPr>
          <w:rFonts w:ascii="Arial" w:hAnsi="Arial" w:cs="Arial"/>
          <w:lang w:val="en-GB" w:eastAsia="en-GB"/>
        </w:rPr>
        <w:t>, 2024). Nevertheless, a workforce dominated by women may require specialized training initiatives and sensitivity to gender-specific dynamics in management to fully leverage its potential and improve service delivery. Future studies are encouraged to explore how gender composition influences the operational efficiency and overall outcomes of MFIs.</w:t>
      </w:r>
    </w:p>
    <w:p w14:paraId="31BA2EC5" w14:textId="77777777" w:rsidR="0023131D" w:rsidRPr="00732C16" w:rsidRDefault="0023131D" w:rsidP="00732C16">
      <w:pPr>
        <w:jc w:val="both"/>
        <w:rPr>
          <w:rFonts w:ascii="Arial" w:hAnsi="Arial" w:cs="Arial"/>
          <w:lang w:val="en-GB" w:eastAsia="en-GB"/>
        </w:rPr>
      </w:pPr>
    </w:p>
    <w:p w14:paraId="4EA1128F" w14:textId="77777777" w:rsidR="0023131D" w:rsidRPr="00732C16" w:rsidRDefault="0023131D" w:rsidP="00732C16">
      <w:pPr>
        <w:jc w:val="both"/>
        <w:rPr>
          <w:rFonts w:ascii="Arial" w:hAnsi="Arial" w:cs="Arial"/>
          <w:b/>
          <w:lang w:val="en-GB" w:eastAsia="en-GB"/>
        </w:rPr>
      </w:pPr>
      <w:r w:rsidRPr="00732C16">
        <w:rPr>
          <w:rFonts w:ascii="Arial" w:hAnsi="Arial" w:cs="Arial"/>
          <w:b/>
          <w:lang w:val="en-GB" w:eastAsia="en-GB"/>
        </w:rPr>
        <w:t xml:space="preserve">4.2.2 Work Position </w:t>
      </w:r>
    </w:p>
    <w:p w14:paraId="1451CD5F"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 xml:space="preserve">The researcher gathered valuable insights from participants actively involved in the microfinance sector across various regions of Sub-Saharan Africa. The findings presented reflect the professional roles of the study’s participants, as summarized in Table 1, which outlines their distribution by job position. </w:t>
      </w:r>
    </w:p>
    <w:p w14:paraId="21406BB0" w14:textId="77777777" w:rsidR="000E2EE2" w:rsidRPr="00732C16" w:rsidRDefault="000E2EE2" w:rsidP="00732C16">
      <w:pPr>
        <w:jc w:val="both"/>
        <w:rPr>
          <w:rFonts w:ascii="Arial" w:hAnsi="Arial" w:cs="Arial"/>
          <w:lang w:val="en-GB" w:eastAsia="en-GB"/>
        </w:rPr>
      </w:pPr>
    </w:p>
    <w:p w14:paraId="3F6FFEED"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Table 1: Work position</w:t>
      </w:r>
    </w:p>
    <w:tbl>
      <w:tblPr>
        <w:tblW w:w="91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156"/>
        <w:gridCol w:w="2240"/>
        <w:gridCol w:w="1835"/>
        <w:gridCol w:w="1604"/>
        <w:gridCol w:w="2319"/>
      </w:tblGrid>
      <w:tr w:rsidR="000E2EE2" w:rsidRPr="00732C16" w14:paraId="0658EE23" w14:textId="77777777" w:rsidTr="00383ED4">
        <w:trPr>
          <w:trHeight w:val="554"/>
        </w:trPr>
        <w:tc>
          <w:tcPr>
            <w:tcW w:w="1156" w:type="dxa"/>
            <w:shd w:val="clear" w:color="auto" w:fill="F2F2F2"/>
          </w:tcPr>
          <w:p w14:paraId="4693A895"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29B737D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1835" w:type="dxa"/>
            <w:shd w:val="clear" w:color="auto" w:fill="F2F2F2"/>
          </w:tcPr>
          <w:p w14:paraId="74E61988"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Frequency</w:t>
            </w:r>
          </w:p>
        </w:tc>
        <w:tc>
          <w:tcPr>
            <w:tcW w:w="1604" w:type="dxa"/>
            <w:shd w:val="clear" w:color="auto" w:fill="F2F2F2"/>
          </w:tcPr>
          <w:p w14:paraId="3A6E5BDC"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Percent</w:t>
            </w:r>
          </w:p>
        </w:tc>
        <w:tc>
          <w:tcPr>
            <w:tcW w:w="2319" w:type="dxa"/>
            <w:shd w:val="clear" w:color="auto" w:fill="F2F2F2"/>
          </w:tcPr>
          <w:p w14:paraId="36C6DEA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Cumulative Percent</w:t>
            </w:r>
          </w:p>
        </w:tc>
      </w:tr>
      <w:tr w:rsidR="000E2EE2" w:rsidRPr="00732C16" w14:paraId="1E65E0A2" w14:textId="77777777" w:rsidTr="00383ED4">
        <w:trPr>
          <w:trHeight w:val="276"/>
        </w:trPr>
        <w:tc>
          <w:tcPr>
            <w:tcW w:w="1156" w:type="dxa"/>
            <w:vMerge w:val="restart"/>
            <w:shd w:val="clear" w:color="auto" w:fill="F2F2F2"/>
          </w:tcPr>
          <w:p w14:paraId="1CB4680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Valid</w:t>
            </w:r>
          </w:p>
        </w:tc>
        <w:tc>
          <w:tcPr>
            <w:tcW w:w="2240" w:type="dxa"/>
          </w:tcPr>
          <w:p w14:paraId="500831B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Executive management</w:t>
            </w:r>
          </w:p>
        </w:tc>
        <w:tc>
          <w:tcPr>
            <w:tcW w:w="1835" w:type="dxa"/>
            <w:shd w:val="clear" w:color="auto" w:fill="F2F2F2"/>
          </w:tcPr>
          <w:p w14:paraId="6568B490"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30</w:t>
            </w:r>
          </w:p>
        </w:tc>
        <w:tc>
          <w:tcPr>
            <w:tcW w:w="1604" w:type="dxa"/>
          </w:tcPr>
          <w:p w14:paraId="7CE3EC2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c>
          <w:tcPr>
            <w:tcW w:w="2319" w:type="dxa"/>
            <w:shd w:val="clear" w:color="auto" w:fill="F2F2F2"/>
          </w:tcPr>
          <w:p w14:paraId="4EE766F7"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r>
      <w:tr w:rsidR="000E2EE2" w:rsidRPr="00732C16" w14:paraId="7C3212F3" w14:textId="77777777" w:rsidTr="00383ED4">
        <w:trPr>
          <w:trHeight w:val="286"/>
        </w:trPr>
        <w:tc>
          <w:tcPr>
            <w:tcW w:w="1156" w:type="dxa"/>
            <w:vMerge/>
            <w:shd w:val="clear" w:color="auto" w:fill="F2F2F2"/>
          </w:tcPr>
          <w:p w14:paraId="4567649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2A8AE879"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Middle management</w:t>
            </w:r>
          </w:p>
        </w:tc>
        <w:tc>
          <w:tcPr>
            <w:tcW w:w="1835" w:type="dxa"/>
            <w:shd w:val="clear" w:color="auto" w:fill="F2F2F2"/>
          </w:tcPr>
          <w:p w14:paraId="2E0527D9"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60</w:t>
            </w:r>
          </w:p>
        </w:tc>
        <w:tc>
          <w:tcPr>
            <w:tcW w:w="1604" w:type="dxa"/>
            <w:shd w:val="clear" w:color="auto" w:fill="F2F2F2"/>
          </w:tcPr>
          <w:p w14:paraId="16D68B0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28.5</w:t>
            </w:r>
          </w:p>
        </w:tc>
        <w:tc>
          <w:tcPr>
            <w:tcW w:w="2319" w:type="dxa"/>
            <w:shd w:val="clear" w:color="auto" w:fill="F2F2F2"/>
          </w:tcPr>
          <w:p w14:paraId="3FA01AD4"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42.8</w:t>
            </w:r>
          </w:p>
        </w:tc>
      </w:tr>
      <w:tr w:rsidR="000E2EE2" w:rsidRPr="00732C16" w14:paraId="43B650B2" w14:textId="77777777" w:rsidTr="00383ED4">
        <w:trPr>
          <w:trHeight w:val="286"/>
        </w:trPr>
        <w:tc>
          <w:tcPr>
            <w:tcW w:w="1156" w:type="dxa"/>
            <w:vMerge/>
            <w:shd w:val="clear" w:color="auto" w:fill="F2F2F2"/>
          </w:tcPr>
          <w:p w14:paraId="280DEF9C"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tcPr>
          <w:p w14:paraId="39AE0CE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Operational staff</w:t>
            </w:r>
          </w:p>
        </w:tc>
        <w:tc>
          <w:tcPr>
            <w:tcW w:w="1835" w:type="dxa"/>
            <w:shd w:val="clear" w:color="auto" w:fill="F2F2F2"/>
          </w:tcPr>
          <w:p w14:paraId="65322D4B"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90</w:t>
            </w:r>
          </w:p>
        </w:tc>
        <w:tc>
          <w:tcPr>
            <w:tcW w:w="1604" w:type="dxa"/>
          </w:tcPr>
          <w:p w14:paraId="5100909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42.9</w:t>
            </w:r>
          </w:p>
        </w:tc>
        <w:tc>
          <w:tcPr>
            <w:tcW w:w="2319" w:type="dxa"/>
            <w:shd w:val="clear" w:color="auto" w:fill="F2F2F2"/>
          </w:tcPr>
          <w:p w14:paraId="1DB8558A"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85.8</w:t>
            </w:r>
          </w:p>
        </w:tc>
      </w:tr>
      <w:tr w:rsidR="000E2EE2" w:rsidRPr="00732C16" w14:paraId="2D076685" w14:textId="77777777" w:rsidTr="00383ED4">
        <w:trPr>
          <w:trHeight w:val="286"/>
        </w:trPr>
        <w:tc>
          <w:tcPr>
            <w:tcW w:w="1156" w:type="dxa"/>
            <w:vMerge/>
            <w:shd w:val="clear" w:color="auto" w:fill="F2F2F2"/>
          </w:tcPr>
          <w:p w14:paraId="44429408"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shd w:val="clear" w:color="auto" w:fill="F2F2F2"/>
          </w:tcPr>
          <w:p w14:paraId="4935C8CD"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Support staff</w:t>
            </w:r>
          </w:p>
        </w:tc>
        <w:tc>
          <w:tcPr>
            <w:tcW w:w="1835" w:type="dxa"/>
            <w:shd w:val="clear" w:color="auto" w:fill="F2F2F2"/>
          </w:tcPr>
          <w:p w14:paraId="2F654EC5"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30</w:t>
            </w:r>
          </w:p>
        </w:tc>
        <w:tc>
          <w:tcPr>
            <w:tcW w:w="1604" w:type="dxa"/>
            <w:shd w:val="clear" w:color="auto" w:fill="F2F2F2"/>
          </w:tcPr>
          <w:p w14:paraId="5C8B9D6D"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14.3</w:t>
            </w:r>
          </w:p>
        </w:tc>
        <w:tc>
          <w:tcPr>
            <w:tcW w:w="2319" w:type="dxa"/>
            <w:shd w:val="clear" w:color="auto" w:fill="F2F2F2"/>
          </w:tcPr>
          <w:p w14:paraId="732351D6" w14:textId="77777777" w:rsidR="000E2EE2" w:rsidRPr="00732C16" w:rsidRDefault="000E2EE2" w:rsidP="00732C16">
            <w:pPr>
              <w:autoSpaceDE w:val="0"/>
              <w:autoSpaceDN w:val="0"/>
              <w:adjustRightInd w:val="0"/>
              <w:jc w:val="both"/>
              <w:rPr>
                <w:rFonts w:ascii="Arial" w:eastAsia="Calibri" w:hAnsi="Arial" w:cs="Arial"/>
                <w:sz w:val="18"/>
                <w:szCs w:val="18"/>
              </w:rPr>
            </w:pPr>
            <w:r w:rsidRPr="00732C16">
              <w:rPr>
                <w:rFonts w:ascii="Arial" w:eastAsia="Calibri" w:hAnsi="Arial" w:cs="Arial"/>
                <w:sz w:val="18"/>
                <w:szCs w:val="18"/>
              </w:rPr>
              <w:t>100</w:t>
            </w:r>
          </w:p>
        </w:tc>
      </w:tr>
      <w:tr w:rsidR="000E2EE2" w:rsidRPr="00732C16" w14:paraId="00669E70" w14:textId="77777777" w:rsidTr="00383ED4">
        <w:trPr>
          <w:trHeight w:val="286"/>
        </w:trPr>
        <w:tc>
          <w:tcPr>
            <w:tcW w:w="1156" w:type="dxa"/>
            <w:vMerge/>
            <w:shd w:val="clear" w:color="auto" w:fill="F2F2F2"/>
          </w:tcPr>
          <w:p w14:paraId="0FF4C5D3" w14:textId="77777777" w:rsidR="000E2EE2" w:rsidRPr="00732C16" w:rsidRDefault="000E2EE2" w:rsidP="00732C16">
            <w:pPr>
              <w:autoSpaceDE w:val="0"/>
              <w:autoSpaceDN w:val="0"/>
              <w:adjustRightInd w:val="0"/>
              <w:jc w:val="both"/>
              <w:rPr>
                <w:rFonts w:ascii="Arial" w:eastAsia="Calibri" w:hAnsi="Arial" w:cs="Arial"/>
                <w:sz w:val="18"/>
                <w:szCs w:val="18"/>
              </w:rPr>
            </w:pPr>
          </w:p>
        </w:tc>
        <w:tc>
          <w:tcPr>
            <w:tcW w:w="2240" w:type="dxa"/>
          </w:tcPr>
          <w:p w14:paraId="3C55EA66"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Total</w:t>
            </w:r>
          </w:p>
        </w:tc>
        <w:tc>
          <w:tcPr>
            <w:tcW w:w="1835" w:type="dxa"/>
            <w:shd w:val="clear" w:color="auto" w:fill="F2F2F2"/>
          </w:tcPr>
          <w:p w14:paraId="470E0E1E"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210</w:t>
            </w:r>
          </w:p>
        </w:tc>
        <w:tc>
          <w:tcPr>
            <w:tcW w:w="1604" w:type="dxa"/>
          </w:tcPr>
          <w:p w14:paraId="01405E2F" w14:textId="77777777" w:rsidR="000E2EE2" w:rsidRPr="00732C16" w:rsidRDefault="000E2EE2" w:rsidP="00732C16">
            <w:pPr>
              <w:autoSpaceDE w:val="0"/>
              <w:autoSpaceDN w:val="0"/>
              <w:adjustRightInd w:val="0"/>
              <w:jc w:val="both"/>
              <w:rPr>
                <w:rFonts w:ascii="Arial" w:eastAsia="Calibri" w:hAnsi="Arial" w:cs="Arial"/>
                <w:b/>
                <w:sz w:val="18"/>
                <w:szCs w:val="18"/>
              </w:rPr>
            </w:pPr>
            <w:r w:rsidRPr="00732C16">
              <w:rPr>
                <w:rFonts w:ascii="Arial" w:eastAsia="Calibri" w:hAnsi="Arial" w:cs="Arial"/>
                <w:b/>
                <w:sz w:val="18"/>
                <w:szCs w:val="18"/>
              </w:rPr>
              <w:t>100.0</w:t>
            </w:r>
          </w:p>
        </w:tc>
        <w:tc>
          <w:tcPr>
            <w:tcW w:w="2319" w:type="dxa"/>
            <w:shd w:val="clear" w:color="auto" w:fill="F2F2F2"/>
          </w:tcPr>
          <w:p w14:paraId="1D69D6EA" w14:textId="77777777" w:rsidR="000E2EE2" w:rsidRPr="00732C16" w:rsidRDefault="000E2EE2" w:rsidP="00732C16">
            <w:pPr>
              <w:autoSpaceDE w:val="0"/>
              <w:autoSpaceDN w:val="0"/>
              <w:adjustRightInd w:val="0"/>
              <w:jc w:val="both"/>
              <w:rPr>
                <w:rFonts w:ascii="Arial" w:eastAsia="Calibri" w:hAnsi="Arial" w:cs="Arial"/>
                <w:sz w:val="18"/>
                <w:szCs w:val="18"/>
              </w:rPr>
            </w:pPr>
          </w:p>
        </w:tc>
      </w:tr>
    </w:tbl>
    <w:p w14:paraId="7BD8DBFA" w14:textId="77777777" w:rsidR="000E2EE2" w:rsidRPr="00732C16" w:rsidRDefault="000E2EE2" w:rsidP="00732C16">
      <w:pPr>
        <w:jc w:val="both"/>
        <w:rPr>
          <w:rFonts w:ascii="Arial" w:hAnsi="Arial" w:cs="Arial"/>
          <w:lang w:val="en-GB" w:eastAsia="en-GB"/>
        </w:rPr>
      </w:pPr>
      <w:r w:rsidRPr="00732C16">
        <w:rPr>
          <w:rFonts w:ascii="Arial" w:hAnsi="Arial" w:cs="Arial"/>
          <w:lang w:val="en-GB" w:eastAsia="en-GB"/>
        </w:rPr>
        <w:t>Source: Primary data (2024)</w:t>
      </w:r>
    </w:p>
    <w:p w14:paraId="497C119A" w14:textId="77777777" w:rsidR="000E2EE2" w:rsidRPr="00732C16" w:rsidRDefault="000E2EE2" w:rsidP="00732C16">
      <w:pPr>
        <w:jc w:val="both"/>
        <w:rPr>
          <w:rFonts w:ascii="Arial" w:hAnsi="Arial" w:cs="Arial"/>
          <w:lang w:val="en-GB" w:eastAsia="en-GB"/>
        </w:rPr>
      </w:pPr>
    </w:p>
    <w:p w14:paraId="37BC104C" w14:textId="6C169E1C" w:rsidR="0023131D" w:rsidRPr="00732C16" w:rsidRDefault="000E2EE2" w:rsidP="00732C16">
      <w:pPr>
        <w:jc w:val="both"/>
        <w:rPr>
          <w:rFonts w:ascii="Arial" w:hAnsi="Arial" w:cs="Arial"/>
          <w:lang w:val="en-GB" w:eastAsia="en-GB"/>
        </w:rPr>
      </w:pPr>
      <w:r w:rsidRPr="00732C16">
        <w:rPr>
          <w:rFonts w:ascii="Arial" w:hAnsi="Arial" w:cs="Arial"/>
          <w:lang w:val="en-GB" w:eastAsia="en-GB"/>
        </w:rPr>
        <w:t>A significant portion of respondents (42.9%) were from operational staff, a group critical to understanding the day-to-day realities and practical implications of financial risk management</w:t>
      </w:r>
      <w:r w:rsidR="00E9286B">
        <w:rPr>
          <w:rFonts w:ascii="Arial" w:hAnsi="Arial" w:cs="Arial"/>
          <w:lang w:val="en-GB" w:eastAsia="en-GB"/>
        </w:rPr>
        <w:t xml:space="preserve"> within MFIs. Middle management</w:t>
      </w:r>
      <w:r w:rsidRPr="00732C16">
        <w:rPr>
          <w:rFonts w:ascii="Arial" w:hAnsi="Arial" w:cs="Arial"/>
          <w:lang w:val="en-GB" w:eastAsia="en-GB"/>
        </w:rPr>
        <w:t xml:space="preserve"> made up 28.6% of the sample, offering a bridge between strategic decision-making and on-the-ground execution. In contrast, executive management and support staff each represented 14.3% of participants, indicating a relatively smaller contribution from these groups. This distribution suggests that the data is heavily influenced by frontline perspectives, which can provide actionable insights for improving operational efficiency and risk response. Prior studies emphasize the value of capturing diverse viewpoints, particularly those of operational staff, who often encounter organizational challenges that may not be fully visible to senior leadership (Tang, </w:t>
      </w:r>
      <w:proofErr w:type="spellStart"/>
      <w:r w:rsidRPr="00732C16">
        <w:rPr>
          <w:rFonts w:ascii="Arial" w:hAnsi="Arial" w:cs="Arial"/>
          <w:lang w:val="en-GB" w:eastAsia="en-GB"/>
        </w:rPr>
        <w:t>Quayes</w:t>
      </w:r>
      <w:proofErr w:type="spellEnd"/>
      <w:r w:rsidRPr="00732C16">
        <w:rPr>
          <w:rFonts w:ascii="Arial" w:hAnsi="Arial" w:cs="Arial"/>
          <w:lang w:val="en-GB" w:eastAsia="en-GB"/>
        </w:rPr>
        <w:t xml:space="preserve"> &amp; Joseph, 2020; </w:t>
      </w:r>
      <w:proofErr w:type="spellStart"/>
      <w:r w:rsidRPr="00732C16">
        <w:rPr>
          <w:rFonts w:ascii="Arial" w:hAnsi="Arial" w:cs="Arial"/>
          <w:lang w:val="en-GB" w:eastAsia="en-GB"/>
        </w:rPr>
        <w:t>Tadele</w:t>
      </w:r>
      <w:proofErr w:type="spellEnd"/>
      <w:r w:rsidRPr="00732C16">
        <w:rPr>
          <w:rFonts w:ascii="Arial" w:hAnsi="Arial" w:cs="Arial"/>
          <w:lang w:val="en-GB" w:eastAsia="en-GB"/>
        </w:rPr>
        <w:t>, 2021).</w:t>
      </w:r>
    </w:p>
    <w:p w14:paraId="44C9F4CC" w14:textId="77777777" w:rsidR="00A04866" w:rsidRPr="00732C16" w:rsidRDefault="00A04866" w:rsidP="00732C16">
      <w:pPr>
        <w:rPr>
          <w:rFonts w:ascii="Arial" w:hAnsi="Arial" w:cs="Arial"/>
          <w:lang w:val="en-GB" w:eastAsia="en-GB"/>
        </w:rPr>
      </w:pPr>
    </w:p>
    <w:p w14:paraId="12C11100" w14:textId="77777777" w:rsidR="000E2EE2" w:rsidRPr="00732C16" w:rsidRDefault="000E2EE2" w:rsidP="00732C16">
      <w:pPr>
        <w:rPr>
          <w:rFonts w:ascii="Arial" w:hAnsi="Arial" w:cs="Arial"/>
          <w:b/>
          <w:lang w:val="en-GB" w:eastAsia="en-GB"/>
        </w:rPr>
      </w:pPr>
      <w:r w:rsidRPr="00732C16">
        <w:rPr>
          <w:rFonts w:ascii="Arial" w:hAnsi="Arial" w:cs="Arial"/>
          <w:b/>
          <w:lang w:val="en-GB" w:eastAsia="en-GB"/>
        </w:rPr>
        <w:t>4.3 Descriptive Statistics</w:t>
      </w:r>
    </w:p>
    <w:p w14:paraId="13B5ED24" w14:textId="77777777" w:rsidR="000E2EE2" w:rsidRPr="00732C16" w:rsidRDefault="000E2EE2" w:rsidP="00732C16">
      <w:pPr>
        <w:rPr>
          <w:rFonts w:ascii="Arial" w:hAnsi="Arial" w:cs="Arial"/>
          <w:lang w:val="en-GB" w:eastAsia="en-GB"/>
        </w:rPr>
      </w:pPr>
    </w:p>
    <w:p w14:paraId="45574423" w14:textId="77777777" w:rsidR="00790ADA"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The evaluation of credit risk and its implications for profitability and sustainability among MFIs in Sub-Saharan Africa is crucial for understanding the broader financial landscape in this region. This section presents the findings derived from descriptive statistical analyses, focusing on key metrics such as mean and standard deviation. These statistics provide a foundational understanding of how credit risk influences the financial performance of micro-financial institutions, which are pivotal in promoting economic growth and stability within their communities.</w:t>
      </w:r>
    </w:p>
    <w:p w14:paraId="3FDDC62F" w14:textId="77777777" w:rsidR="00C04515" w:rsidRPr="00732C16" w:rsidRDefault="00C04515" w:rsidP="00732C16">
      <w:pPr>
        <w:pStyle w:val="Body"/>
        <w:spacing w:after="0"/>
        <w:rPr>
          <w:rFonts w:ascii="Arial" w:hAnsi="Arial" w:cs="Arial"/>
          <w:lang w:val="en-GB" w:eastAsia="en-GB"/>
        </w:rPr>
      </w:pPr>
    </w:p>
    <w:p w14:paraId="3A08E040" w14:textId="77777777" w:rsidR="00C04515"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Table 2: Descriptive statistics</w:t>
      </w:r>
    </w:p>
    <w:p w14:paraId="018FD5AA" w14:textId="77777777" w:rsidR="00C04515" w:rsidRPr="00732C16" w:rsidRDefault="00C04515" w:rsidP="00732C16">
      <w:pPr>
        <w:pStyle w:val="Body"/>
        <w:spacing w:after="0"/>
        <w:rPr>
          <w:rFonts w:ascii="Arial" w:hAnsi="Arial" w:cs="Arial"/>
          <w:lang w:val="en-GB" w:eastAsia="en-GB"/>
        </w:rPr>
      </w:pPr>
    </w:p>
    <w:tbl>
      <w:tblPr>
        <w:tblStyle w:val="TableGrid7"/>
        <w:tblW w:w="9410" w:type="dxa"/>
        <w:tblLook w:val="04A0" w:firstRow="1" w:lastRow="0" w:firstColumn="1" w:lastColumn="0" w:noHBand="0" w:noVBand="1"/>
      </w:tblPr>
      <w:tblGrid>
        <w:gridCol w:w="4640"/>
        <w:gridCol w:w="529"/>
        <w:gridCol w:w="1029"/>
        <w:gridCol w:w="1071"/>
        <w:gridCol w:w="692"/>
        <w:gridCol w:w="1449"/>
      </w:tblGrid>
      <w:tr w:rsidR="00BE4788" w:rsidRPr="00C8567A" w14:paraId="10A281EE" w14:textId="77777777" w:rsidTr="00BE4788">
        <w:trPr>
          <w:trHeight w:val="446"/>
        </w:trPr>
        <w:tc>
          <w:tcPr>
            <w:tcW w:w="0" w:type="auto"/>
            <w:hideMark/>
          </w:tcPr>
          <w:p w14:paraId="7D61B9D8" w14:textId="68349B34" w:rsidR="00C8567A" w:rsidRPr="00C8567A" w:rsidRDefault="00C8567A" w:rsidP="00C8567A">
            <w:pPr>
              <w:jc w:val="center"/>
              <w:rPr>
                <w:rFonts w:ascii="Arial" w:hAnsi="Arial" w:cs="Arial"/>
                <w:b/>
                <w:bCs/>
                <w:sz w:val="18"/>
                <w:szCs w:val="18"/>
              </w:rPr>
            </w:pPr>
            <w:r w:rsidRPr="00C8567A">
              <w:rPr>
                <w:rFonts w:ascii="Arial" w:hAnsi="Arial" w:cs="Arial"/>
                <w:b/>
                <w:bCs/>
                <w:sz w:val="18"/>
                <w:szCs w:val="18"/>
              </w:rPr>
              <w:t xml:space="preserve">Variable </w:t>
            </w:r>
          </w:p>
        </w:tc>
        <w:tc>
          <w:tcPr>
            <w:tcW w:w="0" w:type="auto"/>
            <w:hideMark/>
          </w:tcPr>
          <w:p w14:paraId="29237DCB" w14:textId="77777777" w:rsidR="00C8567A" w:rsidRPr="00C8567A" w:rsidRDefault="00C8567A" w:rsidP="00C8567A">
            <w:pPr>
              <w:jc w:val="center"/>
              <w:rPr>
                <w:rFonts w:ascii="Arial" w:hAnsi="Arial" w:cs="Arial"/>
                <w:b/>
                <w:bCs/>
                <w:sz w:val="18"/>
                <w:szCs w:val="18"/>
              </w:rPr>
            </w:pPr>
            <w:r w:rsidRPr="00C8567A">
              <w:rPr>
                <w:rFonts w:ascii="Arial" w:hAnsi="Arial" w:cs="Arial"/>
                <w:b/>
                <w:bCs/>
                <w:sz w:val="18"/>
                <w:szCs w:val="18"/>
              </w:rPr>
              <w:t>N</w:t>
            </w:r>
          </w:p>
        </w:tc>
        <w:tc>
          <w:tcPr>
            <w:tcW w:w="0" w:type="auto"/>
            <w:hideMark/>
          </w:tcPr>
          <w:p w14:paraId="519DA4FE" w14:textId="77777777" w:rsidR="00C8567A" w:rsidRPr="00C8567A" w:rsidRDefault="00C8567A" w:rsidP="00C8567A">
            <w:pPr>
              <w:jc w:val="center"/>
              <w:rPr>
                <w:rFonts w:ascii="Arial" w:hAnsi="Arial" w:cs="Arial"/>
                <w:b/>
                <w:bCs/>
                <w:sz w:val="18"/>
                <w:szCs w:val="18"/>
              </w:rPr>
            </w:pPr>
            <w:r w:rsidRPr="00C8567A">
              <w:rPr>
                <w:rFonts w:ascii="Arial" w:hAnsi="Arial" w:cs="Arial"/>
                <w:b/>
                <w:bCs/>
                <w:sz w:val="18"/>
                <w:szCs w:val="18"/>
              </w:rPr>
              <w:t>Minimum</w:t>
            </w:r>
          </w:p>
        </w:tc>
        <w:tc>
          <w:tcPr>
            <w:tcW w:w="0" w:type="auto"/>
            <w:hideMark/>
          </w:tcPr>
          <w:p w14:paraId="27CF92B8" w14:textId="77777777" w:rsidR="00C8567A" w:rsidRPr="00C8567A" w:rsidRDefault="00C8567A" w:rsidP="00C8567A">
            <w:pPr>
              <w:jc w:val="center"/>
              <w:rPr>
                <w:rFonts w:ascii="Arial" w:hAnsi="Arial" w:cs="Arial"/>
                <w:b/>
                <w:bCs/>
                <w:sz w:val="18"/>
                <w:szCs w:val="18"/>
              </w:rPr>
            </w:pPr>
            <w:r w:rsidRPr="00C8567A">
              <w:rPr>
                <w:rFonts w:ascii="Arial" w:hAnsi="Arial" w:cs="Arial"/>
                <w:b/>
                <w:bCs/>
                <w:sz w:val="18"/>
                <w:szCs w:val="18"/>
              </w:rPr>
              <w:t>Maximum</w:t>
            </w:r>
          </w:p>
        </w:tc>
        <w:tc>
          <w:tcPr>
            <w:tcW w:w="0" w:type="auto"/>
            <w:hideMark/>
          </w:tcPr>
          <w:p w14:paraId="613C6CA4" w14:textId="77777777" w:rsidR="00C8567A" w:rsidRPr="00C8567A" w:rsidRDefault="00C8567A" w:rsidP="00C8567A">
            <w:pPr>
              <w:jc w:val="center"/>
              <w:rPr>
                <w:rFonts w:ascii="Arial" w:hAnsi="Arial" w:cs="Arial"/>
                <w:b/>
                <w:bCs/>
                <w:sz w:val="18"/>
                <w:szCs w:val="18"/>
              </w:rPr>
            </w:pPr>
            <w:r w:rsidRPr="00C8567A">
              <w:rPr>
                <w:rFonts w:ascii="Arial" w:hAnsi="Arial" w:cs="Arial"/>
                <w:b/>
                <w:bCs/>
                <w:sz w:val="18"/>
                <w:szCs w:val="18"/>
              </w:rPr>
              <w:t>Mean</w:t>
            </w:r>
          </w:p>
        </w:tc>
        <w:tc>
          <w:tcPr>
            <w:tcW w:w="0" w:type="auto"/>
            <w:hideMark/>
          </w:tcPr>
          <w:p w14:paraId="6620BA93" w14:textId="77777777" w:rsidR="00C8567A" w:rsidRPr="00C8567A" w:rsidRDefault="00C8567A" w:rsidP="00C8567A">
            <w:pPr>
              <w:jc w:val="center"/>
              <w:rPr>
                <w:rFonts w:ascii="Arial" w:hAnsi="Arial" w:cs="Arial"/>
                <w:b/>
                <w:bCs/>
                <w:sz w:val="18"/>
                <w:szCs w:val="18"/>
              </w:rPr>
            </w:pPr>
            <w:r w:rsidRPr="00C8567A">
              <w:rPr>
                <w:rFonts w:ascii="Arial" w:hAnsi="Arial" w:cs="Arial"/>
                <w:b/>
                <w:bCs/>
                <w:sz w:val="18"/>
                <w:szCs w:val="18"/>
              </w:rPr>
              <w:t>Std. Deviation</w:t>
            </w:r>
          </w:p>
        </w:tc>
      </w:tr>
      <w:tr w:rsidR="00BE4788" w:rsidRPr="00C8567A" w14:paraId="4C1D722E" w14:textId="77777777" w:rsidTr="00BE4788">
        <w:trPr>
          <w:trHeight w:val="228"/>
        </w:trPr>
        <w:tc>
          <w:tcPr>
            <w:tcW w:w="0" w:type="auto"/>
            <w:hideMark/>
          </w:tcPr>
          <w:p w14:paraId="455F49D9" w14:textId="77777777" w:rsidR="00C8567A" w:rsidRPr="00C8567A" w:rsidRDefault="00C8567A" w:rsidP="00C8567A">
            <w:pPr>
              <w:rPr>
                <w:rFonts w:ascii="Arial" w:hAnsi="Arial" w:cs="Arial"/>
                <w:sz w:val="18"/>
                <w:szCs w:val="18"/>
              </w:rPr>
            </w:pPr>
            <w:r w:rsidRPr="00C8567A">
              <w:rPr>
                <w:rFonts w:ascii="Arial" w:hAnsi="Arial" w:cs="Arial"/>
                <w:b/>
                <w:bCs/>
                <w:sz w:val="18"/>
                <w:szCs w:val="18"/>
              </w:rPr>
              <w:t>Credit Risk</w:t>
            </w:r>
          </w:p>
        </w:tc>
        <w:tc>
          <w:tcPr>
            <w:tcW w:w="0" w:type="auto"/>
            <w:hideMark/>
          </w:tcPr>
          <w:p w14:paraId="73A0E11F" w14:textId="77777777" w:rsidR="00C8567A" w:rsidRPr="00C8567A" w:rsidRDefault="00C8567A" w:rsidP="00C8567A">
            <w:pPr>
              <w:rPr>
                <w:rFonts w:ascii="Arial" w:hAnsi="Arial" w:cs="Arial"/>
                <w:sz w:val="18"/>
                <w:szCs w:val="18"/>
              </w:rPr>
            </w:pPr>
          </w:p>
        </w:tc>
        <w:tc>
          <w:tcPr>
            <w:tcW w:w="0" w:type="auto"/>
            <w:hideMark/>
          </w:tcPr>
          <w:p w14:paraId="7DE9538D" w14:textId="77777777" w:rsidR="00C8567A" w:rsidRPr="00C8567A" w:rsidRDefault="00C8567A" w:rsidP="00C8567A">
            <w:pPr>
              <w:rPr>
                <w:rFonts w:ascii="Arial" w:hAnsi="Arial" w:cs="Arial"/>
                <w:sz w:val="18"/>
                <w:szCs w:val="18"/>
              </w:rPr>
            </w:pPr>
          </w:p>
        </w:tc>
        <w:tc>
          <w:tcPr>
            <w:tcW w:w="0" w:type="auto"/>
            <w:hideMark/>
          </w:tcPr>
          <w:p w14:paraId="7B373AA3" w14:textId="77777777" w:rsidR="00C8567A" w:rsidRPr="00C8567A" w:rsidRDefault="00C8567A" w:rsidP="00C8567A">
            <w:pPr>
              <w:rPr>
                <w:rFonts w:ascii="Arial" w:hAnsi="Arial" w:cs="Arial"/>
                <w:sz w:val="18"/>
                <w:szCs w:val="18"/>
              </w:rPr>
            </w:pPr>
          </w:p>
        </w:tc>
        <w:tc>
          <w:tcPr>
            <w:tcW w:w="0" w:type="auto"/>
            <w:hideMark/>
          </w:tcPr>
          <w:p w14:paraId="10D16725" w14:textId="77777777" w:rsidR="00C8567A" w:rsidRPr="00C8567A" w:rsidRDefault="00C8567A" w:rsidP="00C8567A">
            <w:pPr>
              <w:rPr>
                <w:rFonts w:ascii="Arial" w:hAnsi="Arial" w:cs="Arial"/>
                <w:sz w:val="18"/>
                <w:szCs w:val="18"/>
              </w:rPr>
            </w:pPr>
          </w:p>
        </w:tc>
        <w:tc>
          <w:tcPr>
            <w:tcW w:w="0" w:type="auto"/>
            <w:hideMark/>
          </w:tcPr>
          <w:p w14:paraId="4C6EA785" w14:textId="77777777" w:rsidR="00C8567A" w:rsidRPr="00C8567A" w:rsidRDefault="00C8567A" w:rsidP="00C8567A">
            <w:pPr>
              <w:rPr>
                <w:rFonts w:ascii="Arial" w:hAnsi="Arial" w:cs="Arial"/>
                <w:sz w:val="18"/>
                <w:szCs w:val="18"/>
              </w:rPr>
            </w:pPr>
          </w:p>
        </w:tc>
      </w:tr>
      <w:tr w:rsidR="00BE4788" w:rsidRPr="00C8567A" w14:paraId="4CAAF548" w14:textId="77777777" w:rsidTr="00BE4788">
        <w:trPr>
          <w:trHeight w:val="228"/>
        </w:trPr>
        <w:tc>
          <w:tcPr>
            <w:tcW w:w="0" w:type="auto"/>
            <w:hideMark/>
          </w:tcPr>
          <w:p w14:paraId="20B238E3" w14:textId="77777777" w:rsidR="00C8567A" w:rsidRPr="00C8567A" w:rsidRDefault="00C8567A" w:rsidP="00C8567A">
            <w:pPr>
              <w:rPr>
                <w:rFonts w:ascii="Arial" w:hAnsi="Arial" w:cs="Arial"/>
                <w:sz w:val="18"/>
                <w:szCs w:val="18"/>
              </w:rPr>
            </w:pPr>
            <w:r w:rsidRPr="00C8567A">
              <w:rPr>
                <w:rFonts w:ascii="Arial" w:hAnsi="Arial" w:cs="Arial"/>
                <w:sz w:val="18"/>
                <w:szCs w:val="18"/>
              </w:rPr>
              <w:t>CR1: Non-Performing Loans (NPL) ratio</w:t>
            </w:r>
          </w:p>
        </w:tc>
        <w:tc>
          <w:tcPr>
            <w:tcW w:w="0" w:type="auto"/>
            <w:hideMark/>
          </w:tcPr>
          <w:p w14:paraId="703D1EB3"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73CFA8BE"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00897AA3"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35326B33" w14:textId="77777777" w:rsidR="00C8567A" w:rsidRPr="00C8567A" w:rsidRDefault="00C8567A" w:rsidP="00C8567A">
            <w:pPr>
              <w:rPr>
                <w:rFonts w:ascii="Arial" w:hAnsi="Arial" w:cs="Arial"/>
                <w:sz w:val="18"/>
                <w:szCs w:val="18"/>
              </w:rPr>
            </w:pPr>
            <w:r w:rsidRPr="00C8567A">
              <w:rPr>
                <w:rFonts w:ascii="Arial" w:hAnsi="Arial" w:cs="Arial"/>
                <w:sz w:val="18"/>
                <w:szCs w:val="18"/>
              </w:rPr>
              <w:t>3.70</w:t>
            </w:r>
          </w:p>
        </w:tc>
        <w:tc>
          <w:tcPr>
            <w:tcW w:w="0" w:type="auto"/>
            <w:hideMark/>
          </w:tcPr>
          <w:p w14:paraId="6A474EE7" w14:textId="77777777" w:rsidR="00C8567A" w:rsidRPr="00C8567A" w:rsidRDefault="00C8567A" w:rsidP="00C8567A">
            <w:pPr>
              <w:rPr>
                <w:rFonts w:ascii="Arial" w:hAnsi="Arial" w:cs="Arial"/>
                <w:sz w:val="18"/>
                <w:szCs w:val="18"/>
              </w:rPr>
            </w:pPr>
            <w:r w:rsidRPr="00C8567A">
              <w:rPr>
                <w:rFonts w:ascii="Arial" w:hAnsi="Arial" w:cs="Arial"/>
                <w:sz w:val="18"/>
                <w:szCs w:val="18"/>
              </w:rPr>
              <w:t>0.88</w:t>
            </w:r>
          </w:p>
        </w:tc>
      </w:tr>
      <w:tr w:rsidR="00BE4788" w:rsidRPr="00C8567A" w14:paraId="74C91D55" w14:textId="77777777" w:rsidTr="00BE4788">
        <w:trPr>
          <w:trHeight w:val="217"/>
        </w:trPr>
        <w:tc>
          <w:tcPr>
            <w:tcW w:w="0" w:type="auto"/>
            <w:hideMark/>
          </w:tcPr>
          <w:p w14:paraId="5590A8F7" w14:textId="77777777" w:rsidR="00C8567A" w:rsidRPr="00C8567A" w:rsidRDefault="00C8567A" w:rsidP="00C8567A">
            <w:pPr>
              <w:rPr>
                <w:rFonts w:ascii="Arial" w:hAnsi="Arial" w:cs="Arial"/>
                <w:sz w:val="18"/>
                <w:szCs w:val="18"/>
              </w:rPr>
            </w:pPr>
            <w:r w:rsidRPr="00C8567A">
              <w:rPr>
                <w:rFonts w:ascii="Arial" w:hAnsi="Arial" w:cs="Arial"/>
                <w:sz w:val="18"/>
                <w:szCs w:val="18"/>
              </w:rPr>
              <w:t>CR2: Loan default rates</w:t>
            </w:r>
          </w:p>
        </w:tc>
        <w:tc>
          <w:tcPr>
            <w:tcW w:w="0" w:type="auto"/>
            <w:hideMark/>
          </w:tcPr>
          <w:p w14:paraId="29AEF575"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380B484B"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23E14754"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147A3271" w14:textId="77777777" w:rsidR="00C8567A" w:rsidRPr="00C8567A" w:rsidRDefault="00C8567A" w:rsidP="00C8567A">
            <w:pPr>
              <w:rPr>
                <w:rFonts w:ascii="Arial" w:hAnsi="Arial" w:cs="Arial"/>
                <w:sz w:val="18"/>
                <w:szCs w:val="18"/>
              </w:rPr>
            </w:pPr>
            <w:r w:rsidRPr="00C8567A">
              <w:rPr>
                <w:rFonts w:ascii="Arial" w:hAnsi="Arial" w:cs="Arial"/>
                <w:sz w:val="18"/>
                <w:szCs w:val="18"/>
              </w:rPr>
              <w:t>3.65</w:t>
            </w:r>
          </w:p>
        </w:tc>
        <w:tc>
          <w:tcPr>
            <w:tcW w:w="0" w:type="auto"/>
            <w:hideMark/>
          </w:tcPr>
          <w:p w14:paraId="2EEDD31F" w14:textId="77777777" w:rsidR="00C8567A" w:rsidRPr="00C8567A" w:rsidRDefault="00C8567A" w:rsidP="00C8567A">
            <w:pPr>
              <w:rPr>
                <w:rFonts w:ascii="Arial" w:hAnsi="Arial" w:cs="Arial"/>
                <w:sz w:val="18"/>
                <w:szCs w:val="18"/>
              </w:rPr>
            </w:pPr>
            <w:r w:rsidRPr="00C8567A">
              <w:rPr>
                <w:rFonts w:ascii="Arial" w:hAnsi="Arial" w:cs="Arial"/>
                <w:sz w:val="18"/>
                <w:szCs w:val="18"/>
              </w:rPr>
              <w:t>0.91</w:t>
            </w:r>
          </w:p>
        </w:tc>
      </w:tr>
      <w:tr w:rsidR="00BE4788" w:rsidRPr="00C8567A" w14:paraId="326E8E71" w14:textId="77777777" w:rsidTr="00BE4788">
        <w:trPr>
          <w:trHeight w:val="228"/>
        </w:trPr>
        <w:tc>
          <w:tcPr>
            <w:tcW w:w="0" w:type="auto"/>
            <w:hideMark/>
          </w:tcPr>
          <w:p w14:paraId="6277343F" w14:textId="77777777" w:rsidR="00C8567A" w:rsidRPr="00C8567A" w:rsidRDefault="00C8567A" w:rsidP="00C8567A">
            <w:pPr>
              <w:rPr>
                <w:rFonts w:ascii="Arial" w:hAnsi="Arial" w:cs="Arial"/>
                <w:sz w:val="18"/>
                <w:szCs w:val="18"/>
              </w:rPr>
            </w:pPr>
            <w:r w:rsidRPr="00C8567A">
              <w:rPr>
                <w:rFonts w:ascii="Arial" w:hAnsi="Arial" w:cs="Arial"/>
                <w:sz w:val="18"/>
                <w:szCs w:val="18"/>
              </w:rPr>
              <w:t>CR3: Loan loss provisions</w:t>
            </w:r>
          </w:p>
        </w:tc>
        <w:tc>
          <w:tcPr>
            <w:tcW w:w="0" w:type="auto"/>
            <w:hideMark/>
          </w:tcPr>
          <w:p w14:paraId="121C4429"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616F8241"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0DE4DBA5"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1FCB0F3A" w14:textId="77777777" w:rsidR="00C8567A" w:rsidRPr="00C8567A" w:rsidRDefault="00C8567A" w:rsidP="00C8567A">
            <w:pPr>
              <w:rPr>
                <w:rFonts w:ascii="Arial" w:hAnsi="Arial" w:cs="Arial"/>
                <w:sz w:val="18"/>
                <w:szCs w:val="18"/>
              </w:rPr>
            </w:pPr>
            <w:r w:rsidRPr="00C8567A">
              <w:rPr>
                <w:rFonts w:ascii="Arial" w:hAnsi="Arial" w:cs="Arial"/>
                <w:sz w:val="18"/>
                <w:szCs w:val="18"/>
              </w:rPr>
              <w:t>3.68</w:t>
            </w:r>
          </w:p>
        </w:tc>
        <w:tc>
          <w:tcPr>
            <w:tcW w:w="0" w:type="auto"/>
            <w:hideMark/>
          </w:tcPr>
          <w:p w14:paraId="4C13E615" w14:textId="77777777" w:rsidR="00C8567A" w:rsidRPr="00C8567A" w:rsidRDefault="00C8567A" w:rsidP="00C8567A">
            <w:pPr>
              <w:rPr>
                <w:rFonts w:ascii="Arial" w:hAnsi="Arial" w:cs="Arial"/>
                <w:sz w:val="18"/>
                <w:szCs w:val="18"/>
              </w:rPr>
            </w:pPr>
            <w:r w:rsidRPr="00C8567A">
              <w:rPr>
                <w:rFonts w:ascii="Arial" w:hAnsi="Arial" w:cs="Arial"/>
                <w:sz w:val="18"/>
                <w:szCs w:val="18"/>
              </w:rPr>
              <w:t>0.87</w:t>
            </w:r>
          </w:p>
        </w:tc>
      </w:tr>
      <w:tr w:rsidR="00BE4788" w:rsidRPr="00C8567A" w14:paraId="5E759840" w14:textId="77777777" w:rsidTr="00BE4788">
        <w:trPr>
          <w:trHeight w:val="228"/>
        </w:trPr>
        <w:tc>
          <w:tcPr>
            <w:tcW w:w="0" w:type="auto"/>
            <w:hideMark/>
          </w:tcPr>
          <w:p w14:paraId="565B6495" w14:textId="77777777" w:rsidR="00C8567A" w:rsidRPr="00C8567A" w:rsidRDefault="00C8567A" w:rsidP="00C8567A">
            <w:pPr>
              <w:rPr>
                <w:rFonts w:ascii="Arial" w:hAnsi="Arial" w:cs="Arial"/>
                <w:sz w:val="18"/>
                <w:szCs w:val="18"/>
              </w:rPr>
            </w:pPr>
            <w:r w:rsidRPr="00C8567A">
              <w:rPr>
                <w:rFonts w:ascii="Arial" w:hAnsi="Arial" w:cs="Arial"/>
                <w:sz w:val="18"/>
                <w:szCs w:val="18"/>
              </w:rPr>
              <w:t>CR4: Portfolio at Risk (PAR)</w:t>
            </w:r>
          </w:p>
        </w:tc>
        <w:tc>
          <w:tcPr>
            <w:tcW w:w="0" w:type="auto"/>
            <w:hideMark/>
          </w:tcPr>
          <w:p w14:paraId="0B2E98AD"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15A3D195"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48AC0577"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0A5A72E3" w14:textId="77777777" w:rsidR="00C8567A" w:rsidRPr="00C8567A" w:rsidRDefault="00C8567A" w:rsidP="00C8567A">
            <w:pPr>
              <w:rPr>
                <w:rFonts w:ascii="Arial" w:hAnsi="Arial" w:cs="Arial"/>
                <w:sz w:val="18"/>
                <w:szCs w:val="18"/>
              </w:rPr>
            </w:pPr>
            <w:r w:rsidRPr="00C8567A">
              <w:rPr>
                <w:rFonts w:ascii="Arial" w:hAnsi="Arial" w:cs="Arial"/>
                <w:sz w:val="18"/>
                <w:szCs w:val="18"/>
              </w:rPr>
              <w:t>3.69</w:t>
            </w:r>
          </w:p>
        </w:tc>
        <w:tc>
          <w:tcPr>
            <w:tcW w:w="0" w:type="auto"/>
            <w:hideMark/>
          </w:tcPr>
          <w:p w14:paraId="4AF61AF9" w14:textId="77777777" w:rsidR="00C8567A" w:rsidRPr="00C8567A" w:rsidRDefault="00C8567A" w:rsidP="00C8567A">
            <w:pPr>
              <w:rPr>
                <w:rFonts w:ascii="Arial" w:hAnsi="Arial" w:cs="Arial"/>
                <w:sz w:val="18"/>
                <w:szCs w:val="18"/>
              </w:rPr>
            </w:pPr>
            <w:r w:rsidRPr="00C8567A">
              <w:rPr>
                <w:rFonts w:ascii="Arial" w:hAnsi="Arial" w:cs="Arial"/>
                <w:sz w:val="18"/>
                <w:szCs w:val="18"/>
              </w:rPr>
              <w:t>0.90</w:t>
            </w:r>
          </w:p>
        </w:tc>
      </w:tr>
      <w:tr w:rsidR="00BE4788" w:rsidRPr="00C8567A" w14:paraId="6182F9DE" w14:textId="77777777" w:rsidTr="00BE4788">
        <w:trPr>
          <w:trHeight w:val="228"/>
        </w:trPr>
        <w:tc>
          <w:tcPr>
            <w:tcW w:w="0" w:type="auto"/>
            <w:hideMark/>
          </w:tcPr>
          <w:p w14:paraId="605EA843" w14:textId="77777777" w:rsidR="00C8567A" w:rsidRPr="00C8567A" w:rsidRDefault="00C8567A" w:rsidP="00C8567A">
            <w:pPr>
              <w:rPr>
                <w:rFonts w:ascii="Arial" w:hAnsi="Arial" w:cs="Arial"/>
                <w:sz w:val="18"/>
                <w:szCs w:val="18"/>
              </w:rPr>
            </w:pPr>
            <w:r w:rsidRPr="00C8567A">
              <w:rPr>
                <w:rFonts w:ascii="Arial" w:hAnsi="Arial" w:cs="Arial"/>
                <w:b/>
                <w:bCs/>
                <w:sz w:val="18"/>
                <w:szCs w:val="18"/>
              </w:rPr>
              <w:t>Credit Risk Overall Score</w:t>
            </w:r>
          </w:p>
        </w:tc>
        <w:tc>
          <w:tcPr>
            <w:tcW w:w="0" w:type="auto"/>
            <w:hideMark/>
          </w:tcPr>
          <w:p w14:paraId="2A6A0A74"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411FBE23"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79CE0ED1"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711B5A6A" w14:textId="77777777" w:rsidR="00C8567A" w:rsidRPr="00C8567A" w:rsidRDefault="00C8567A" w:rsidP="00C8567A">
            <w:pPr>
              <w:rPr>
                <w:rFonts w:ascii="Arial" w:hAnsi="Arial" w:cs="Arial"/>
                <w:sz w:val="18"/>
                <w:szCs w:val="18"/>
              </w:rPr>
            </w:pPr>
            <w:r w:rsidRPr="00C8567A">
              <w:rPr>
                <w:rFonts w:ascii="Arial" w:hAnsi="Arial" w:cs="Arial"/>
                <w:sz w:val="18"/>
                <w:szCs w:val="18"/>
              </w:rPr>
              <w:t>3.68</w:t>
            </w:r>
          </w:p>
        </w:tc>
        <w:tc>
          <w:tcPr>
            <w:tcW w:w="0" w:type="auto"/>
            <w:hideMark/>
          </w:tcPr>
          <w:p w14:paraId="41688354" w14:textId="77777777" w:rsidR="00C8567A" w:rsidRPr="00C8567A" w:rsidRDefault="00C8567A" w:rsidP="00C8567A">
            <w:pPr>
              <w:rPr>
                <w:rFonts w:ascii="Arial" w:hAnsi="Arial" w:cs="Arial"/>
                <w:sz w:val="18"/>
                <w:szCs w:val="18"/>
              </w:rPr>
            </w:pPr>
            <w:r w:rsidRPr="00C8567A">
              <w:rPr>
                <w:rFonts w:ascii="Arial" w:hAnsi="Arial" w:cs="Arial"/>
                <w:sz w:val="18"/>
                <w:szCs w:val="18"/>
              </w:rPr>
              <w:t>0.89</w:t>
            </w:r>
          </w:p>
        </w:tc>
      </w:tr>
      <w:tr w:rsidR="00BE4788" w:rsidRPr="00C8567A" w14:paraId="4912FE07" w14:textId="77777777" w:rsidTr="00BE4788">
        <w:trPr>
          <w:trHeight w:val="217"/>
        </w:trPr>
        <w:tc>
          <w:tcPr>
            <w:tcW w:w="0" w:type="auto"/>
            <w:hideMark/>
          </w:tcPr>
          <w:p w14:paraId="78B89702" w14:textId="77777777" w:rsidR="00C8567A" w:rsidRPr="00C8567A" w:rsidRDefault="00C8567A" w:rsidP="00C8567A">
            <w:pPr>
              <w:rPr>
                <w:rFonts w:ascii="Arial" w:hAnsi="Arial" w:cs="Arial"/>
                <w:sz w:val="18"/>
                <w:szCs w:val="18"/>
              </w:rPr>
            </w:pPr>
            <w:r w:rsidRPr="00C8567A">
              <w:rPr>
                <w:rFonts w:ascii="Arial" w:hAnsi="Arial" w:cs="Arial"/>
                <w:b/>
                <w:bCs/>
                <w:sz w:val="18"/>
                <w:szCs w:val="18"/>
              </w:rPr>
              <w:t>Profitability</w:t>
            </w:r>
          </w:p>
        </w:tc>
        <w:tc>
          <w:tcPr>
            <w:tcW w:w="0" w:type="auto"/>
            <w:hideMark/>
          </w:tcPr>
          <w:p w14:paraId="5C860E01" w14:textId="77777777" w:rsidR="00C8567A" w:rsidRPr="00C8567A" w:rsidRDefault="00C8567A" w:rsidP="00C8567A">
            <w:pPr>
              <w:rPr>
                <w:rFonts w:ascii="Arial" w:hAnsi="Arial" w:cs="Arial"/>
                <w:sz w:val="18"/>
                <w:szCs w:val="18"/>
              </w:rPr>
            </w:pPr>
          </w:p>
        </w:tc>
        <w:tc>
          <w:tcPr>
            <w:tcW w:w="0" w:type="auto"/>
            <w:hideMark/>
          </w:tcPr>
          <w:p w14:paraId="1DD413F5" w14:textId="77777777" w:rsidR="00C8567A" w:rsidRPr="00C8567A" w:rsidRDefault="00C8567A" w:rsidP="00C8567A">
            <w:pPr>
              <w:rPr>
                <w:rFonts w:ascii="Arial" w:hAnsi="Arial" w:cs="Arial"/>
                <w:sz w:val="18"/>
                <w:szCs w:val="18"/>
              </w:rPr>
            </w:pPr>
          </w:p>
        </w:tc>
        <w:tc>
          <w:tcPr>
            <w:tcW w:w="0" w:type="auto"/>
            <w:hideMark/>
          </w:tcPr>
          <w:p w14:paraId="6C0E5E71" w14:textId="77777777" w:rsidR="00C8567A" w:rsidRPr="00C8567A" w:rsidRDefault="00C8567A" w:rsidP="00C8567A">
            <w:pPr>
              <w:rPr>
                <w:rFonts w:ascii="Arial" w:hAnsi="Arial" w:cs="Arial"/>
                <w:sz w:val="18"/>
                <w:szCs w:val="18"/>
              </w:rPr>
            </w:pPr>
          </w:p>
        </w:tc>
        <w:tc>
          <w:tcPr>
            <w:tcW w:w="0" w:type="auto"/>
            <w:hideMark/>
          </w:tcPr>
          <w:p w14:paraId="7E49F6FB" w14:textId="77777777" w:rsidR="00C8567A" w:rsidRPr="00C8567A" w:rsidRDefault="00C8567A" w:rsidP="00C8567A">
            <w:pPr>
              <w:rPr>
                <w:rFonts w:ascii="Arial" w:hAnsi="Arial" w:cs="Arial"/>
                <w:sz w:val="18"/>
                <w:szCs w:val="18"/>
              </w:rPr>
            </w:pPr>
          </w:p>
        </w:tc>
        <w:tc>
          <w:tcPr>
            <w:tcW w:w="0" w:type="auto"/>
            <w:hideMark/>
          </w:tcPr>
          <w:p w14:paraId="7694E49B" w14:textId="77777777" w:rsidR="00C8567A" w:rsidRPr="00C8567A" w:rsidRDefault="00C8567A" w:rsidP="00C8567A">
            <w:pPr>
              <w:rPr>
                <w:rFonts w:ascii="Arial" w:hAnsi="Arial" w:cs="Arial"/>
                <w:sz w:val="18"/>
                <w:szCs w:val="18"/>
              </w:rPr>
            </w:pPr>
          </w:p>
        </w:tc>
      </w:tr>
      <w:tr w:rsidR="00BE4788" w:rsidRPr="00C8567A" w14:paraId="7D589EF5" w14:textId="77777777" w:rsidTr="00BE4788">
        <w:trPr>
          <w:trHeight w:val="228"/>
        </w:trPr>
        <w:tc>
          <w:tcPr>
            <w:tcW w:w="0" w:type="auto"/>
            <w:hideMark/>
          </w:tcPr>
          <w:p w14:paraId="78A825C9" w14:textId="77777777" w:rsidR="00C8567A" w:rsidRPr="00C8567A" w:rsidRDefault="00C8567A" w:rsidP="00C8567A">
            <w:pPr>
              <w:rPr>
                <w:rFonts w:ascii="Arial" w:hAnsi="Arial" w:cs="Arial"/>
                <w:sz w:val="18"/>
                <w:szCs w:val="18"/>
              </w:rPr>
            </w:pPr>
            <w:r w:rsidRPr="00C8567A">
              <w:rPr>
                <w:rFonts w:ascii="Arial" w:hAnsi="Arial" w:cs="Arial"/>
                <w:sz w:val="18"/>
                <w:szCs w:val="18"/>
              </w:rPr>
              <w:t>P1: Return on Assets (ROA)</w:t>
            </w:r>
          </w:p>
        </w:tc>
        <w:tc>
          <w:tcPr>
            <w:tcW w:w="0" w:type="auto"/>
            <w:hideMark/>
          </w:tcPr>
          <w:p w14:paraId="65BE88A7"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598D5997"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1EB2D76A"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4DFEC404" w14:textId="77777777" w:rsidR="00C8567A" w:rsidRPr="00C8567A" w:rsidRDefault="00C8567A" w:rsidP="00C8567A">
            <w:pPr>
              <w:rPr>
                <w:rFonts w:ascii="Arial" w:hAnsi="Arial" w:cs="Arial"/>
                <w:sz w:val="18"/>
                <w:szCs w:val="18"/>
              </w:rPr>
            </w:pPr>
            <w:r w:rsidRPr="00C8567A">
              <w:rPr>
                <w:rFonts w:ascii="Arial" w:hAnsi="Arial" w:cs="Arial"/>
                <w:sz w:val="18"/>
                <w:szCs w:val="18"/>
              </w:rPr>
              <w:t>3.44</w:t>
            </w:r>
          </w:p>
        </w:tc>
        <w:tc>
          <w:tcPr>
            <w:tcW w:w="0" w:type="auto"/>
            <w:hideMark/>
          </w:tcPr>
          <w:p w14:paraId="41B2A45F" w14:textId="77777777" w:rsidR="00C8567A" w:rsidRPr="00C8567A" w:rsidRDefault="00C8567A" w:rsidP="00C8567A">
            <w:pPr>
              <w:rPr>
                <w:rFonts w:ascii="Arial" w:hAnsi="Arial" w:cs="Arial"/>
                <w:sz w:val="18"/>
                <w:szCs w:val="18"/>
              </w:rPr>
            </w:pPr>
            <w:r w:rsidRPr="00C8567A">
              <w:rPr>
                <w:rFonts w:ascii="Arial" w:hAnsi="Arial" w:cs="Arial"/>
                <w:sz w:val="18"/>
                <w:szCs w:val="18"/>
              </w:rPr>
              <w:t>0.86</w:t>
            </w:r>
          </w:p>
        </w:tc>
      </w:tr>
      <w:tr w:rsidR="00BE4788" w:rsidRPr="00C8567A" w14:paraId="1545C64B" w14:textId="77777777" w:rsidTr="00BE4788">
        <w:trPr>
          <w:trHeight w:val="228"/>
        </w:trPr>
        <w:tc>
          <w:tcPr>
            <w:tcW w:w="0" w:type="auto"/>
            <w:hideMark/>
          </w:tcPr>
          <w:p w14:paraId="4BD72406" w14:textId="77777777" w:rsidR="00C8567A" w:rsidRPr="00C8567A" w:rsidRDefault="00C8567A" w:rsidP="00C8567A">
            <w:pPr>
              <w:rPr>
                <w:rFonts w:ascii="Arial" w:hAnsi="Arial" w:cs="Arial"/>
                <w:sz w:val="18"/>
                <w:szCs w:val="18"/>
              </w:rPr>
            </w:pPr>
            <w:r w:rsidRPr="00C8567A">
              <w:rPr>
                <w:rFonts w:ascii="Arial" w:hAnsi="Arial" w:cs="Arial"/>
                <w:sz w:val="18"/>
                <w:szCs w:val="18"/>
              </w:rPr>
              <w:t>P2: Return on Equity (ROE)</w:t>
            </w:r>
          </w:p>
        </w:tc>
        <w:tc>
          <w:tcPr>
            <w:tcW w:w="0" w:type="auto"/>
            <w:hideMark/>
          </w:tcPr>
          <w:p w14:paraId="178DE04F"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38E30048"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778E8BDE"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3298A8F4" w14:textId="77777777" w:rsidR="00C8567A" w:rsidRPr="00C8567A" w:rsidRDefault="00C8567A" w:rsidP="00C8567A">
            <w:pPr>
              <w:rPr>
                <w:rFonts w:ascii="Arial" w:hAnsi="Arial" w:cs="Arial"/>
                <w:sz w:val="18"/>
                <w:szCs w:val="18"/>
              </w:rPr>
            </w:pPr>
            <w:r w:rsidRPr="00C8567A">
              <w:rPr>
                <w:rFonts w:ascii="Arial" w:hAnsi="Arial" w:cs="Arial"/>
                <w:sz w:val="18"/>
                <w:szCs w:val="18"/>
              </w:rPr>
              <w:t>3.46</w:t>
            </w:r>
          </w:p>
        </w:tc>
        <w:tc>
          <w:tcPr>
            <w:tcW w:w="0" w:type="auto"/>
            <w:hideMark/>
          </w:tcPr>
          <w:p w14:paraId="2596624C" w14:textId="77777777" w:rsidR="00C8567A" w:rsidRPr="00C8567A" w:rsidRDefault="00C8567A" w:rsidP="00C8567A">
            <w:pPr>
              <w:rPr>
                <w:rFonts w:ascii="Arial" w:hAnsi="Arial" w:cs="Arial"/>
                <w:sz w:val="18"/>
                <w:szCs w:val="18"/>
              </w:rPr>
            </w:pPr>
            <w:r w:rsidRPr="00C8567A">
              <w:rPr>
                <w:rFonts w:ascii="Arial" w:hAnsi="Arial" w:cs="Arial"/>
                <w:sz w:val="18"/>
                <w:szCs w:val="18"/>
              </w:rPr>
              <w:t>0.84</w:t>
            </w:r>
          </w:p>
        </w:tc>
      </w:tr>
      <w:tr w:rsidR="00BE4788" w:rsidRPr="00C8567A" w14:paraId="28EDF7A7" w14:textId="77777777" w:rsidTr="00BE4788">
        <w:trPr>
          <w:trHeight w:val="217"/>
        </w:trPr>
        <w:tc>
          <w:tcPr>
            <w:tcW w:w="0" w:type="auto"/>
            <w:hideMark/>
          </w:tcPr>
          <w:p w14:paraId="30D4E611" w14:textId="77777777" w:rsidR="00C8567A" w:rsidRPr="00C8567A" w:rsidRDefault="00C8567A" w:rsidP="00C8567A">
            <w:pPr>
              <w:rPr>
                <w:rFonts w:ascii="Arial" w:hAnsi="Arial" w:cs="Arial"/>
                <w:sz w:val="18"/>
                <w:szCs w:val="18"/>
              </w:rPr>
            </w:pPr>
            <w:r w:rsidRPr="00C8567A">
              <w:rPr>
                <w:rFonts w:ascii="Arial" w:hAnsi="Arial" w:cs="Arial"/>
                <w:sz w:val="18"/>
                <w:szCs w:val="18"/>
              </w:rPr>
              <w:t>P3: Operational Self-Sufficiency</w:t>
            </w:r>
          </w:p>
        </w:tc>
        <w:tc>
          <w:tcPr>
            <w:tcW w:w="0" w:type="auto"/>
            <w:hideMark/>
          </w:tcPr>
          <w:p w14:paraId="728AE434"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55618A69"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1A07D129"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38EFE4C4" w14:textId="77777777" w:rsidR="00C8567A" w:rsidRPr="00C8567A" w:rsidRDefault="00C8567A" w:rsidP="00C8567A">
            <w:pPr>
              <w:rPr>
                <w:rFonts w:ascii="Arial" w:hAnsi="Arial" w:cs="Arial"/>
                <w:sz w:val="18"/>
                <w:szCs w:val="18"/>
              </w:rPr>
            </w:pPr>
            <w:r w:rsidRPr="00C8567A">
              <w:rPr>
                <w:rFonts w:ascii="Arial" w:hAnsi="Arial" w:cs="Arial"/>
                <w:sz w:val="18"/>
                <w:szCs w:val="18"/>
              </w:rPr>
              <w:t>3.45</w:t>
            </w:r>
          </w:p>
        </w:tc>
        <w:tc>
          <w:tcPr>
            <w:tcW w:w="0" w:type="auto"/>
            <w:hideMark/>
          </w:tcPr>
          <w:p w14:paraId="662808FE" w14:textId="77777777" w:rsidR="00C8567A" w:rsidRPr="00C8567A" w:rsidRDefault="00C8567A" w:rsidP="00C8567A">
            <w:pPr>
              <w:rPr>
                <w:rFonts w:ascii="Arial" w:hAnsi="Arial" w:cs="Arial"/>
                <w:sz w:val="18"/>
                <w:szCs w:val="18"/>
              </w:rPr>
            </w:pPr>
            <w:r w:rsidRPr="00C8567A">
              <w:rPr>
                <w:rFonts w:ascii="Arial" w:hAnsi="Arial" w:cs="Arial"/>
                <w:sz w:val="18"/>
                <w:szCs w:val="18"/>
              </w:rPr>
              <w:t>0.85</w:t>
            </w:r>
          </w:p>
        </w:tc>
      </w:tr>
      <w:tr w:rsidR="00BE4788" w:rsidRPr="00C8567A" w14:paraId="3276C743" w14:textId="77777777" w:rsidTr="00BE4788">
        <w:trPr>
          <w:trHeight w:val="228"/>
        </w:trPr>
        <w:tc>
          <w:tcPr>
            <w:tcW w:w="0" w:type="auto"/>
            <w:hideMark/>
          </w:tcPr>
          <w:p w14:paraId="4C42936A" w14:textId="77777777" w:rsidR="00C8567A" w:rsidRPr="00C8567A" w:rsidRDefault="00C8567A" w:rsidP="00C8567A">
            <w:pPr>
              <w:rPr>
                <w:rFonts w:ascii="Arial" w:hAnsi="Arial" w:cs="Arial"/>
                <w:sz w:val="18"/>
                <w:szCs w:val="18"/>
              </w:rPr>
            </w:pPr>
            <w:r w:rsidRPr="00C8567A">
              <w:rPr>
                <w:rFonts w:ascii="Arial" w:hAnsi="Arial" w:cs="Arial"/>
                <w:b/>
                <w:bCs/>
                <w:sz w:val="18"/>
                <w:szCs w:val="18"/>
              </w:rPr>
              <w:t>Profitability Overall Score</w:t>
            </w:r>
          </w:p>
        </w:tc>
        <w:tc>
          <w:tcPr>
            <w:tcW w:w="0" w:type="auto"/>
            <w:hideMark/>
          </w:tcPr>
          <w:p w14:paraId="311E29DE"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6D38F3C0"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3CEBFF3E"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44ABB5FB" w14:textId="77777777" w:rsidR="00C8567A" w:rsidRPr="00C8567A" w:rsidRDefault="00C8567A" w:rsidP="00C8567A">
            <w:pPr>
              <w:rPr>
                <w:rFonts w:ascii="Arial" w:hAnsi="Arial" w:cs="Arial"/>
                <w:sz w:val="18"/>
                <w:szCs w:val="18"/>
              </w:rPr>
            </w:pPr>
            <w:r w:rsidRPr="00C8567A">
              <w:rPr>
                <w:rFonts w:ascii="Arial" w:hAnsi="Arial" w:cs="Arial"/>
                <w:sz w:val="18"/>
                <w:szCs w:val="18"/>
              </w:rPr>
              <w:t>3.45</w:t>
            </w:r>
          </w:p>
        </w:tc>
        <w:tc>
          <w:tcPr>
            <w:tcW w:w="0" w:type="auto"/>
            <w:hideMark/>
          </w:tcPr>
          <w:p w14:paraId="0A712A77" w14:textId="77777777" w:rsidR="00C8567A" w:rsidRPr="00C8567A" w:rsidRDefault="00C8567A" w:rsidP="00C8567A">
            <w:pPr>
              <w:rPr>
                <w:rFonts w:ascii="Arial" w:hAnsi="Arial" w:cs="Arial"/>
                <w:sz w:val="18"/>
                <w:szCs w:val="18"/>
              </w:rPr>
            </w:pPr>
            <w:r w:rsidRPr="00C8567A">
              <w:rPr>
                <w:rFonts w:ascii="Arial" w:hAnsi="Arial" w:cs="Arial"/>
                <w:sz w:val="18"/>
                <w:szCs w:val="18"/>
              </w:rPr>
              <w:t>0.85</w:t>
            </w:r>
          </w:p>
        </w:tc>
      </w:tr>
      <w:tr w:rsidR="00BE4788" w:rsidRPr="00C8567A" w14:paraId="00EB96CB" w14:textId="77777777" w:rsidTr="00BE4788">
        <w:trPr>
          <w:trHeight w:val="228"/>
        </w:trPr>
        <w:tc>
          <w:tcPr>
            <w:tcW w:w="0" w:type="auto"/>
            <w:hideMark/>
          </w:tcPr>
          <w:p w14:paraId="11C71961" w14:textId="77777777" w:rsidR="00C8567A" w:rsidRPr="00C8567A" w:rsidRDefault="00C8567A" w:rsidP="00C8567A">
            <w:pPr>
              <w:rPr>
                <w:rFonts w:ascii="Arial" w:hAnsi="Arial" w:cs="Arial"/>
                <w:sz w:val="18"/>
                <w:szCs w:val="18"/>
              </w:rPr>
            </w:pPr>
            <w:r w:rsidRPr="00C8567A">
              <w:rPr>
                <w:rFonts w:ascii="Arial" w:hAnsi="Arial" w:cs="Arial"/>
                <w:b/>
                <w:bCs/>
                <w:sz w:val="18"/>
                <w:szCs w:val="18"/>
              </w:rPr>
              <w:t>Sustainability</w:t>
            </w:r>
          </w:p>
        </w:tc>
        <w:tc>
          <w:tcPr>
            <w:tcW w:w="0" w:type="auto"/>
            <w:hideMark/>
          </w:tcPr>
          <w:p w14:paraId="1E254F05" w14:textId="77777777" w:rsidR="00C8567A" w:rsidRPr="00C8567A" w:rsidRDefault="00C8567A" w:rsidP="00C8567A">
            <w:pPr>
              <w:rPr>
                <w:rFonts w:ascii="Arial" w:hAnsi="Arial" w:cs="Arial"/>
                <w:sz w:val="18"/>
                <w:szCs w:val="18"/>
              </w:rPr>
            </w:pPr>
          </w:p>
        </w:tc>
        <w:tc>
          <w:tcPr>
            <w:tcW w:w="0" w:type="auto"/>
            <w:hideMark/>
          </w:tcPr>
          <w:p w14:paraId="18552FD0" w14:textId="77777777" w:rsidR="00C8567A" w:rsidRPr="00C8567A" w:rsidRDefault="00C8567A" w:rsidP="00C8567A">
            <w:pPr>
              <w:rPr>
                <w:rFonts w:ascii="Arial" w:hAnsi="Arial" w:cs="Arial"/>
                <w:sz w:val="18"/>
                <w:szCs w:val="18"/>
              </w:rPr>
            </w:pPr>
          </w:p>
        </w:tc>
        <w:tc>
          <w:tcPr>
            <w:tcW w:w="0" w:type="auto"/>
            <w:hideMark/>
          </w:tcPr>
          <w:p w14:paraId="1717EC7F" w14:textId="77777777" w:rsidR="00C8567A" w:rsidRPr="00C8567A" w:rsidRDefault="00C8567A" w:rsidP="00C8567A">
            <w:pPr>
              <w:rPr>
                <w:rFonts w:ascii="Arial" w:hAnsi="Arial" w:cs="Arial"/>
                <w:sz w:val="18"/>
                <w:szCs w:val="18"/>
              </w:rPr>
            </w:pPr>
          </w:p>
        </w:tc>
        <w:tc>
          <w:tcPr>
            <w:tcW w:w="0" w:type="auto"/>
            <w:hideMark/>
          </w:tcPr>
          <w:p w14:paraId="0BD884E1" w14:textId="77777777" w:rsidR="00C8567A" w:rsidRPr="00C8567A" w:rsidRDefault="00C8567A" w:rsidP="00C8567A">
            <w:pPr>
              <w:rPr>
                <w:rFonts w:ascii="Arial" w:hAnsi="Arial" w:cs="Arial"/>
                <w:sz w:val="18"/>
                <w:szCs w:val="18"/>
              </w:rPr>
            </w:pPr>
          </w:p>
        </w:tc>
        <w:tc>
          <w:tcPr>
            <w:tcW w:w="0" w:type="auto"/>
            <w:hideMark/>
          </w:tcPr>
          <w:p w14:paraId="0C6E5CD2" w14:textId="77777777" w:rsidR="00C8567A" w:rsidRPr="00C8567A" w:rsidRDefault="00C8567A" w:rsidP="00C8567A">
            <w:pPr>
              <w:rPr>
                <w:rFonts w:ascii="Arial" w:hAnsi="Arial" w:cs="Arial"/>
                <w:sz w:val="18"/>
                <w:szCs w:val="18"/>
              </w:rPr>
            </w:pPr>
          </w:p>
        </w:tc>
      </w:tr>
      <w:tr w:rsidR="00BE4788" w:rsidRPr="00C8567A" w14:paraId="0D6E0BF2" w14:textId="77777777" w:rsidTr="00BE4788">
        <w:trPr>
          <w:trHeight w:val="217"/>
        </w:trPr>
        <w:tc>
          <w:tcPr>
            <w:tcW w:w="0" w:type="auto"/>
            <w:hideMark/>
          </w:tcPr>
          <w:p w14:paraId="6904AD8E" w14:textId="77777777" w:rsidR="00C8567A" w:rsidRPr="00C8567A" w:rsidRDefault="00C8567A" w:rsidP="00C8567A">
            <w:pPr>
              <w:rPr>
                <w:rFonts w:ascii="Arial" w:hAnsi="Arial" w:cs="Arial"/>
                <w:sz w:val="18"/>
                <w:szCs w:val="18"/>
              </w:rPr>
            </w:pPr>
            <w:r w:rsidRPr="00C8567A">
              <w:rPr>
                <w:rFonts w:ascii="Arial" w:hAnsi="Arial" w:cs="Arial"/>
                <w:sz w:val="18"/>
                <w:szCs w:val="18"/>
              </w:rPr>
              <w:t>S1: Client retention</w:t>
            </w:r>
          </w:p>
        </w:tc>
        <w:tc>
          <w:tcPr>
            <w:tcW w:w="0" w:type="auto"/>
            <w:hideMark/>
          </w:tcPr>
          <w:p w14:paraId="7383092F"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05044B43"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10C7EE22"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610748F2" w14:textId="77777777" w:rsidR="00C8567A" w:rsidRPr="00C8567A" w:rsidRDefault="00C8567A" w:rsidP="00C8567A">
            <w:pPr>
              <w:rPr>
                <w:rFonts w:ascii="Arial" w:hAnsi="Arial" w:cs="Arial"/>
                <w:sz w:val="18"/>
                <w:szCs w:val="18"/>
              </w:rPr>
            </w:pPr>
            <w:r w:rsidRPr="00C8567A">
              <w:rPr>
                <w:rFonts w:ascii="Arial" w:hAnsi="Arial" w:cs="Arial"/>
                <w:sz w:val="18"/>
                <w:szCs w:val="18"/>
              </w:rPr>
              <w:t>3.50</w:t>
            </w:r>
          </w:p>
        </w:tc>
        <w:tc>
          <w:tcPr>
            <w:tcW w:w="0" w:type="auto"/>
            <w:hideMark/>
          </w:tcPr>
          <w:p w14:paraId="6F864766" w14:textId="77777777" w:rsidR="00C8567A" w:rsidRPr="00C8567A" w:rsidRDefault="00C8567A" w:rsidP="00C8567A">
            <w:pPr>
              <w:rPr>
                <w:rFonts w:ascii="Arial" w:hAnsi="Arial" w:cs="Arial"/>
                <w:sz w:val="18"/>
                <w:szCs w:val="18"/>
              </w:rPr>
            </w:pPr>
            <w:r w:rsidRPr="00C8567A">
              <w:rPr>
                <w:rFonts w:ascii="Arial" w:hAnsi="Arial" w:cs="Arial"/>
                <w:sz w:val="18"/>
                <w:szCs w:val="18"/>
              </w:rPr>
              <w:t>0.83</w:t>
            </w:r>
          </w:p>
        </w:tc>
      </w:tr>
      <w:tr w:rsidR="00BE4788" w:rsidRPr="00C8567A" w14:paraId="136C3A5C" w14:textId="77777777" w:rsidTr="00BE4788">
        <w:trPr>
          <w:trHeight w:val="228"/>
        </w:trPr>
        <w:tc>
          <w:tcPr>
            <w:tcW w:w="0" w:type="auto"/>
            <w:hideMark/>
          </w:tcPr>
          <w:p w14:paraId="51CCE801" w14:textId="77777777" w:rsidR="00C8567A" w:rsidRPr="00C8567A" w:rsidRDefault="00C8567A" w:rsidP="00C8567A">
            <w:pPr>
              <w:rPr>
                <w:rFonts w:ascii="Arial" w:hAnsi="Arial" w:cs="Arial"/>
                <w:sz w:val="18"/>
                <w:szCs w:val="18"/>
              </w:rPr>
            </w:pPr>
            <w:r w:rsidRPr="00C8567A">
              <w:rPr>
                <w:rFonts w:ascii="Arial" w:hAnsi="Arial" w:cs="Arial"/>
                <w:sz w:val="18"/>
                <w:szCs w:val="18"/>
              </w:rPr>
              <w:t>S2: Capital adequacy</w:t>
            </w:r>
          </w:p>
        </w:tc>
        <w:tc>
          <w:tcPr>
            <w:tcW w:w="0" w:type="auto"/>
            <w:hideMark/>
          </w:tcPr>
          <w:p w14:paraId="3CED44D5"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75766A61"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5ADC049F"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45AA2B7E" w14:textId="77777777" w:rsidR="00C8567A" w:rsidRPr="00C8567A" w:rsidRDefault="00C8567A" w:rsidP="00C8567A">
            <w:pPr>
              <w:rPr>
                <w:rFonts w:ascii="Arial" w:hAnsi="Arial" w:cs="Arial"/>
                <w:sz w:val="18"/>
                <w:szCs w:val="18"/>
              </w:rPr>
            </w:pPr>
            <w:r w:rsidRPr="00C8567A">
              <w:rPr>
                <w:rFonts w:ascii="Arial" w:hAnsi="Arial" w:cs="Arial"/>
                <w:sz w:val="18"/>
                <w:szCs w:val="18"/>
              </w:rPr>
              <w:t>3.53</w:t>
            </w:r>
          </w:p>
        </w:tc>
        <w:tc>
          <w:tcPr>
            <w:tcW w:w="0" w:type="auto"/>
            <w:hideMark/>
          </w:tcPr>
          <w:p w14:paraId="2C53518C" w14:textId="77777777" w:rsidR="00C8567A" w:rsidRPr="00C8567A" w:rsidRDefault="00C8567A" w:rsidP="00C8567A">
            <w:pPr>
              <w:rPr>
                <w:rFonts w:ascii="Arial" w:hAnsi="Arial" w:cs="Arial"/>
                <w:sz w:val="18"/>
                <w:szCs w:val="18"/>
              </w:rPr>
            </w:pPr>
            <w:r w:rsidRPr="00C8567A">
              <w:rPr>
                <w:rFonts w:ascii="Arial" w:hAnsi="Arial" w:cs="Arial"/>
                <w:sz w:val="18"/>
                <w:szCs w:val="18"/>
              </w:rPr>
              <w:t>0.82</w:t>
            </w:r>
          </w:p>
        </w:tc>
      </w:tr>
      <w:tr w:rsidR="00BE4788" w:rsidRPr="00C8567A" w14:paraId="22979BA1" w14:textId="77777777" w:rsidTr="00BE4788">
        <w:trPr>
          <w:trHeight w:val="457"/>
        </w:trPr>
        <w:tc>
          <w:tcPr>
            <w:tcW w:w="0" w:type="auto"/>
            <w:hideMark/>
          </w:tcPr>
          <w:p w14:paraId="3A078E60" w14:textId="77777777" w:rsidR="00C8567A" w:rsidRPr="00C8567A" w:rsidRDefault="00C8567A" w:rsidP="00C8567A">
            <w:pPr>
              <w:rPr>
                <w:rFonts w:ascii="Arial" w:hAnsi="Arial" w:cs="Arial"/>
                <w:sz w:val="18"/>
                <w:szCs w:val="18"/>
              </w:rPr>
            </w:pPr>
            <w:r w:rsidRPr="00C8567A">
              <w:rPr>
                <w:rFonts w:ascii="Arial" w:hAnsi="Arial" w:cs="Arial"/>
                <w:sz w:val="18"/>
                <w:szCs w:val="18"/>
              </w:rPr>
              <w:t>S3: Ability to cover operational costs without subsidies</w:t>
            </w:r>
          </w:p>
        </w:tc>
        <w:tc>
          <w:tcPr>
            <w:tcW w:w="0" w:type="auto"/>
            <w:hideMark/>
          </w:tcPr>
          <w:p w14:paraId="4EEDC022"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11F0A83A"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587284AC"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3C589EE4" w14:textId="77777777" w:rsidR="00C8567A" w:rsidRPr="00C8567A" w:rsidRDefault="00C8567A" w:rsidP="00C8567A">
            <w:pPr>
              <w:rPr>
                <w:rFonts w:ascii="Arial" w:hAnsi="Arial" w:cs="Arial"/>
                <w:sz w:val="18"/>
                <w:szCs w:val="18"/>
              </w:rPr>
            </w:pPr>
            <w:r w:rsidRPr="00C8567A">
              <w:rPr>
                <w:rFonts w:ascii="Arial" w:hAnsi="Arial" w:cs="Arial"/>
                <w:sz w:val="18"/>
                <w:szCs w:val="18"/>
              </w:rPr>
              <w:t>3.53</w:t>
            </w:r>
          </w:p>
        </w:tc>
        <w:tc>
          <w:tcPr>
            <w:tcW w:w="0" w:type="auto"/>
            <w:hideMark/>
          </w:tcPr>
          <w:p w14:paraId="2ED45397" w14:textId="77777777" w:rsidR="00C8567A" w:rsidRPr="00C8567A" w:rsidRDefault="00C8567A" w:rsidP="00C8567A">
            <w:pPr>
              <w:rPr>
                <w:rFonts w:ascii="Arial" w:hAnsi="Arial" w:cs="Arial"/>
                <w:sz w:val="18"/>
                <w:szCs w:val="18"/>
              </w:rPr>
            </w:pPr>
            <w:r w:rsidRPr="00C8567A">
              <w:rPr>
                <w:rFonts w:ascii="Arial" w:hAnsi="Arial" w:cs="Arial"/>
                <w:sz w:val="18"/>
                <w:szCs w:val="18"/>
              </w:rPr>
              <w:t>0.81</w:t>
            </w:r>
          </w:p>
        </w:tc>
      </w:tr>
      <w:tr w:rsidR="00BE4788" w:rsidRPr="00C8567A" w14:paraId="1650A83D" w14:textId="77777777" w:rsidTr="00BE4788">
        <w:trPr>
          <w:trHeight w:val="217"/>
        </w:trPr>
        <w:tc>
          <w:tcPr>
            <w:tcW w:w="0" w:type="auto"/>
            <w:hideMark/>
          </w:tcPr>
          <w:p w14:paraId="2D3A25D0" w14:textId="77777777" w:rsidR="00C8567A" w:rsidRPr="00C8567A" w:rsidRDefault="00C8567A" w:rsidP="00C8567A">
            <w:pPr>
              <w:rPr>
                <w:rFonts w:ascii="Arial" w:hAnsi="Arial" w:cs="Arial"/>
                <w:sz w:val="18"/>
                <w:szCs w:val="18"/>
              </w:rPr>
            </w:pPr>
            <w:r w:rsidRPr="00C8567A">
              <w:rPr>
                <w:rFonts w:ascii="Arial" w:hAnsi="Arial" w:cs="Arial"/>
                <w:b/>
                <w:bCs/>
                <w:sz w:val="18"/>
                <w:szCs w:val="18"/>
              </w:rPr>
              <w:lastRenderedPageBreak/>
              <w:t>Sustainability Overall Score</w:t>
            </w:r>
          </w:p>
        </w:tc>
        <w:tc>
          <w:tcPr>
            <w:tcW w:w="0" w:type="auto"/>
            <w:hideMark/>
          </w:tcPr>
          <w:p w14:paraId="2AC96A7D" w14:textId="77777777" w:rsidR="00C8567A" w:rsidRPr="00C8567A" w:rsidRDefault="00C8567A" w:rsidP="00C8567A">
            <w:pPr>
              <w:rPr>
                <w:rFonts w:ascii="Arial" w:hAnsi="Arial" w:cs="Arial"/>
                <w:sz w:val="18"/>
                <w:szCs w:val="18"/>
              </w:rPr>
            </w:pPr>
            <w:r w:rsidRPr="00C8567A">
              <w:rPr>
                <w:rFonts w:ascii="Arial" w:hAnsi="Arial" w:cs="Arial"/>
                <w:sz w:val="18"/>
                <w:szCs w:val="18"/>
              </w:rPr>
              <w:t>210</w:t>
            </w:r>
          </w:p>
        </w:tc>
        <w:tc>
          <w:tcPr>
            <w:tcW w:w="0" w:type="auto"/>
            <w:hideMark/>
          </w:tcPr>
          <w:p w14:paraId="0C0713A8" w14:textId="77777777" w:rsidR="00C8567A" w:rsidRPr="00C8567A" w:rsidRDefault="00C8567A" w:rsidP="00C8567A">
            <w:pPr>
              <w:rPr>
                <w:rFonts w:ascii="Arial" w:hAnsi="Arial" w:cs="Arial"/>
                <w:sz w:val="18"/>
                <w:szCs w:val="18"/>
              </w:rPr>
            </w:pPr>
            <w:r w:rsidRPr="00C8567A">
              <w:rPr>
                <w:rFonts w:ascii="Arial" w:hAnsi="Arial" w:cs="Arial"/>
                <w:sz w:val="18"/>
                <w:szCs w:val="18"/>
              </w:rPr>
              <w:t>1</w:t>
            </w:r>
          </w:p>
        </w:tc>
        <w:tc>
          <w:tcPr>
            <w:tcW w:w="0" w:type="auto"/>
            <w:hideMark/>
          </w:tcPr>
          <w:p w14:paraId="0689CA22" w14:textId="77777777" w:rsidR="00C8567A" w:rsidRPr="00C8567A" w:rsidRDefault="00C8567A" w:rsidP="00C8567A">
            <w:pPr>
              <w:rPr>
                <w:rFonts w:ascii="Arial" w:hAnsi="Arial" w:cs="Arial"/>
                <w:sz w:val="18"/>
                <w:szCs w:val="18"/>
              </w:rPr>
            </w:pPr>
            <w:r w:rsidRPr="00C8567A">
              <w:rPr>
                <w:rFonts w:ascii="Arial" w:hAnsi="Arial" w:cs="Arial"/>
                <w:sz w:val="18"/>
                <w:szCs w:val="18"/>
              </w:rPr>
              <w:t>5</w:t>
            </w:r>
          </w:p>
        </w:tc>
        <w:tc>
          <w:tcPr>
            <w:tcW w:w="0" w:type="auto"/>
            <w:hideMark/>
          </w:tcPr>
          <w:p w14:paraId="6F1C335F" w14:textId="77777777" w:rsidR="00C8567A" w:rsidRPr="00C8567A" w:rsidRDefault="00C8567A" w:rsidP="00C8567A">
            <w:pPr>
              <w:rPr>
                <w:rFonts w:ascii="Arial" w:hAnsi="Arial" w:cs="Arial"/>
                <w:sz w:val="18"/>
                <w:szCs w:val="18"/>
              </w:rPr>
            </w:pPr>
            <w:r w:rsidRPr="00C8567A">
              <w:rPr>
                <w:rFonts w:ascii="Arial" w:hAnsi="Arial" w:cs="Arial"/>
                <w:sz w:val="18"/>
                <w:szCs w:val="18"/>
              </w:rPr>
              <w:t>3.52</w:t>
            </w:r>
          </w:p>
        </w:tc>
        <w:tc>
          <w:tcPr>
            <w:tcW w:w="0" w:type="auto"/>
            <w:hideMark/>
          </w:tcPr>
          <w:p w14:paraId="27EBA61F" w14:textId="77777777" w:rsidR="00C8567A" w:rsidRPr="00C8567A" w:rsidRDefault="00C8567A" w:rsidP="00C8567A">
            <w:pPr>
              <w:rPr>
                <w:rFonts w:ascii="Arial" w:hAnsi="Arial" w:cs="Arial"/>
                <w:sz w:val="18"/>
                <w:szCs w:val="18"/>
              </w:rPr>
            </w:pPr>
            <w:r w:rsidRPr="00C8567A">
              <w:rPr>
                <w:rFonts w:ascii="Arial" w:hAnsi="Arial" w:cs="Arial"/>
                <w:sz w:val="18"/>
                <w:szCs w:val="18"/>
              </w:rPr>
              <w:t>0.82</w:t>
            </w:r>
          </w:p>
        </w:tc>
      </w:tr>
    </w:tbl>
    <w:p w14:paraId="0123CBA6" w14:textId="53C16959" w:rsidR="00C04515" w:rsidRPr="00732C16" w:rsidRDefault="00C04515" w:rsidP="00732C16">
      <w:pPr>
        <w:pStyle w:val="Body"/>
        <w:spacing w:after="0"/>
        <w:rPr>
          <w:rFonts w:ascii="Arial" w:hAnsi="Arial" w:cs="Arial"/>
          <w:lang w:val="en-GB" w:eastAsia="en-GB"/>
        </w:rPr>
      </w:pPr>
    </w:p>
    <w:p w14:paraId="55483FBF" w14:textId="77777777" w:rsidR="00C04515" w:rsidRPr="00732C16" w:rsidRDefault="00C04515" w:rsidP="00732C16">
      <w:pPr>
        <w:pStyle w:val="Body"/>
        <w:spacing w:after="0"/>
        <w:rPr>
          <w:rFonts w:ascii="Arial" w:hAnsi="Arial" w:cs="Arial"/>
          <w:lang w:val="en-GB" w:eastAsia="en-GB"/>
        </w:rPr>
      </w:pPr>
    </w:p>
    <w:p w14:paraId="1536F33D" w14:textId="77777777" w:rsidR="00C04515" w:rsidRPr="00732C16" w:rsidRDefault="005B4981" w:rsidP="00732C16">
      <w:pPr>
        <w:pStyle w:val="Body"/>
        <w:spacing w:after="0"/>
        <w:rPr>
          <w:rFonts w:ascii="Arial" w:hAnsi="Arial" w:cs="Arial"/>
          <w:lang w:val="en-GB" w:eastAsia="en-GB"/>
        </w:rPr>
      </w:pPr>
      <w:r>
        <w:rPr>
          <w:rFonts w:ascii="Arial" w:hAnsi="Arial" w:cs="Arial"/>
          <w:lang w:val="en-GB" w:eastAsia="en-GB"/>
        </w:rPr>
        <w:t>Source: Primary data (2025</w:t>
      </w:r>
      <w:r w:rsidR="00C04515" w:rsidRPr="00732C16">
        <w:rPr>
          <w:rFonts w:ascii="Arial" w:hAnsi="Arial" w:cs="Arial"/>
          <w:lang w:val="en-GB" w:eastAsia="en-GB"/>
        </w:rPr>
        <w:t>)</w:t>
      </w:r>
    </w:p>
    <w:p w14:paraId="781E3B08" w14:textId="77777777" w:rsidR="009A4A1A" w:rsidRPr="00732C16" w:rsidRDefault="009A4A1A" w:rsidP="00732C16">
      <w:pPr>
        <w:pStyle w:val="Body"/>
        <w:spacing w:after="0"/>
        <w:rPr>
          <w:rFonts w:ascii="Arial" w:hAnsi="Arial" w:cs="Arial"/>
          <w:lang w:val="en-GB" w:eastAsia="en-GB"/>
        </w:rPr>
      </w:pPr>
    </w:p>
    <w:p w14:paraId="3ACB93DF" w14:textId="6C15059F" w:rsidR="00C04515" w:rsidRPr="00732C16" w:rsidRDefault="00C8567A" w:rsidP="00732C16">
      <w:pPr>
        <w:pStyle w:val="Body"/>
        <w:rPr>
          <w:rFonts w:ascii="Arial" w:hAnsi="Arial" w:cs="Arial"/>
          <w:lang w:val="en-GB" w:eastAsia="en-GB"/>
        </w:rPr>
      </w:pPr>
      <w:r w:rsidRPr="00C8567A">
        <w:rPr>
          <w:rFonts w:ascii="Arial" w:hAnsi="Arial" w:cs="Arial"/>
          <w:lang w:val="en-GB" w:eastAsia="en-GB"/>
        </w:rPr>
        <w:t>The descriptive statistics indicate that participants generally perceive moderate to high levels of credit risk within the sampled MFIs, with an overall mean score of 3.68, suggesting notable concerns regarding non-performing loans, loan defaults, loan loss provisions, and portfolios at risk. Profitability measures, including ROA, ROE, and operational self-sufficiency, show a slightly lower overall mean of 3.45, implying that while MFIs maintain some level of financial performance, profitability is moderately affected, likely due to exposure to credit risk. Sustainability indicators, encompassing client retention, capital adequacy, and the ability to cover operational costs without subsidies, have an overall mean of 3.52, reflecting that MFIs experience moderate challenges in maintaining long-term operational stability. The standard deviations across all items, ranging from 0.81 to 0.91, indicate a relatively consistent perception among respondents, suggesting that credit risk has a perceptible negative impact on both profitability and sustain</w:t>
      </w:r>
      <w:r>
        <w:rPr>
          <w:rFonts w:ascii="Arial" w:hAnsi="Arial" w:cs="Arial"/>
          <w:lang w:val="en-GB" w:eastAsia="en-GB"/>
        </w:rPr>
        <w:t>ability within Sub-Saharan MFIs</w:t>
      </w:r>
      <w:r w:rsidR="00C04515" w:rsidRPr="00732C16">
        <w:rPr>
          <w:rFonts w:ascii="Arial" w:hAnsi="Arial" w:cs="Arial"/>
          <w:lang w:val="en-GB" w:eastAsia="en-GB"/>
        </w:rPr>
        <w:t>.</w:t>
      </w:r>
    </w:p>
    <w:p w14:paraId="2EF4B67E"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 xml:space="preserve">In the interviews conducted with top management from MFIs in Sub-Saharan Africa, several direct quotations reinforced the survey findings regarding the impact of credit risk on profitability and sustainability. One manager stated, </w:t>
      </w:r>
    </w:p>
    <w:p w14:paraId="7D09C980"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 xml:space="preserve">“Credit risk is at the forefront of our decision-making process; without thorough assessments, we cannot ensure our institution’s longevity.” </w:t>
      </w:r>
    </w:p>
    <w:p w14:paraId="7B842982"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Another noted,</w:t>
      </w:r>
    </w:p>
    <w:p w14:paraId="183963BA" w14:textId="77777777" w:rsidR="00C04515" w:rsidRPr="00732C16" w:rsidRDefault="00C04515" w:rsidP="00732C16">
      <w:pPr>
        <w:pStyle w:val="Body"/>
        <w:ind w:left="720"/>
        <w:rPr>
          <w:rFonts w:ascii="Arial" w:hAnsi="Arial" w:cs="Arial"/>
          <w:i/>
          <w:lang w:val="en-GB" w:eastAsia="en-GB"/>
        </w:rPr>
      </w:pPr>
      <w:r w:rsidRPr="00732C16">
        <w:rPr>
          <w:rFonts w:ascii="Arial" w:hAnsi="Arial" w:cs="Arial"/>
          <w:lang w:val="en-GB" w:eastAsia="en-GB"/>
        </w:rPr>
        <w:t xml:space="preserve"> </w:t>
      </w:r>
      <w:r w:rsidRPr="00732C16">
        <w:rPr>
          <w:rFonts w:ascii="Arial" w:hAnsi="Arial" w:cs="Arial"/>
          <w:i/>
          <w:lang w:val="en-GB" w:eastAsia="en-GB"/>
        </w:rPr>
        <w:t xml:space="preserve">“Our stakeholders are increasingly vocal about their concerns regarding credit defaults; it’s a pressing issue that we must address to maintain trust.” </w:t>
      </w:r>
    </w:p>
    <w:p w14:paraId="6CB3A804" w14:textId="77777777" w:rsidR="00C04515" w:rsidRPr="00732C16" w:rsidRDefault="00C04515" w:rsidP="00732C16">
      <w:pPr>
        <w:pStyle w:val="Body"/>
        <w:rPr>
          <w:rFonts w:ascii="Arial" w:hAnsi="Arial" w:cs="Arial"/>
          <w:lang w:val="en-GB" w:eastAsia="en-GB"/>
        </w:rPr>
      </w:pPr>
      <w:r w:rsidRPr="00732C16">
        <w:rPr>
          <w:rFonts w:ascii="Arial" w:hAnsi="Arial" w:cs="Arial"/>
          <w:lang w:val="en-GB" w:eastAsia="en-GB"/>
        </w:rPr>
        <w:t xml:space="preserve">A third interviewee remarked, </w:t>
      </w:r>
    </w:p>
    <w:p w14:paraId="43418C4D" w14:textId="7777777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t>“Despite our rigorous creditworthiness evaluations, we still face challenges with loan defaults that directly affect our bottom line.”</w:t>
      </w:r>
    </w:p>
    <w:p w14:paraId="44B040B6" w14:textId="278A20B5" w:rsidR="00C04515" w:rsidRPr="00732C16" w:rsidRDefault="00C04515" w:rsidP="00732C16">
      <w:pPr>
        <w:pStyle w:val="Body"/>
        <w:rPr>
          <w:rFonts w:ascii="Arial" w:hAnsi="Arial" w:cs="Arial"/>
          <w:lang w:val="en-GB" w:eastAsia="en-GB"/>
        </w:rPr>
      </w:pPr>
      <w:r w:rsidRPr="00732C16">
        <w:rPr>
          <w:rFonts w:ascii="Arial" w:hAnsi="Arial" w:cs="Arial"/>
          <w:lang w:val="en-GB" w:eastAsia="en-GB"/>
        </w:rPr>
        <w:t>These statements echo the survey results indicating high mean scores related to credit risk’s influence on loan approval decisions and stakeholder concerns. The convergence between the survey and interview findings highlights a shared recognition among MFIs of the critical role that credit risk plays in their operations. Both data sources indicate that while institutions are implementing comprehensive methods to assess borrower creditworthiness and regularly reviewing policies to mitigate risks, they still experience negative impacts on profitability due to increased default rates. This aligns with existing literature that emphasizes the importance of effective credit risk management in enhancing financial performance within microfinance sectors (</w:t>
      </w:r>
      <w:proofErr w:type="spellStart"/>
      <w:r w:rsidR="009A4A1A" w:rsidRPr="00732C16">
        <w:rPr>
          <w:rFonts w:ascii="Arial" w:hAnsi="Arial" w:cs="Arial"/>
          <w:lang w:val="en-GB" w:eastAsia="en-GB"/>
        </w:rPr>
        <w:t>Mwakujonga</w:t>
      </w:r>
      <w:proofErr w:type="spellEnd"/>
      <w:r w:rsidR="009A4A1A" w:rsidRPr="00732C16">
        <w:rPr>
          <w:rFonts w:ascii="Arial" w:hAnsi="Arial" w:cs="Arial"/>
          <w:lang w:val="en-GB" w:eastAsia="en-GB"/>
        </w:rPr>
        <w:t xml:space="preserve"> &amp; </w:t>
      </w:r>
      <w:proofErr w:type="spellStart"/>
      <w:r w:rsidR="009A4A1A" w:rsidRPr="00732C16">
        <w:rPr>
          <w:rFonts w:ascii="Arial" w:hAnsi="Arial" w:cs="Arial"/>
          <w:lang w:val="en-GB" w:eastAsia="en-GB"/>
        </w:rPr>
        <w:t>Komba</w:t>
      </w:r>
      <w:proofErr w:type="spellEnd"/>
      <w:r w:rsidR="009A4A1A" w:rsidRPr="00732C16">
        <w:rPr>
          <w:rFonts w:ascii="Arial" w:hAnsi="Arial" w:cs="Arial"/>
          <w:lang w:val="en-GB" w:eastAsia="en-GB"/>
        </w:rPr>
        <w:t>, 2024</w:t>
      </w:r>
      <w:r w:rsidRPr="00732C16">
        <w:rPr>
          <w:rFonts w:ascii="Arial" w:hAnsi="Arial" w:cs="Arial"/>
          <w:lang w:val="en-GB" w:eastAsia="en-GB"/>
        </w:rPr>
        <w:t xml:space="preserve">). Another study by </w:t>
      </w:r>
      <w:r w:rsidR="009A4A1A" w:rsidRPr="00732C16">
        <w:rPr>
          <w:rFonts w:ascii="Arial" w:hAnsi="Arial" w:cs="Arial"/>
          <w:lang w:val="en-GB" w:eastAsia="en-GB"/>
        </w:rPr>
        <w:t xml:space="preserve">Bekele (2025) </w:t>
      </w:r>
      <w:r w:rsidRPr="00732C16">
        <w:rPr>
          <w:rFonts w:ascii="Arial" w:hAnsi="Arial" w:cs="Arial"/>
          <w:lang w:val="en-GB" w:eastAsia="en-GB"/>
        </w:rPr>
        <w:t xml:space="preserve">also found that inadequate credit assessment procedures lead to higher rates of loan defaults, which in turn adversely affect the financial performance of these institutions. </w:t>
      </w:r>
      <w:proofErr w:type="spellStart"/>
      <w:r w:rsidRPr="00732C16">
        <w:rPr>
          <w:rFonts w:ascii="Arial" w:hAnsi="Arial" w:cs="Arial"/>
          <w:lang w:val="en-GB" w:eastAsia="en-GB"/>
        </w:rPr>
        <w:t>Kaldorf</w:t>
      </w:r>
      <w:proofErr w:type="spellEnd"/>
      <w:r w:rsidRPr="00732C16">
        <w:rPr>
          <w:rFonts w:ascii="Arial" w:hAnsi="Arial" w:cs="Arial"/>
          <w:lang w:val="en-GB" w:eastAsia="en-GB"/>
        </w:rPr>
        <w:t xml:space="preserve"> (2022) utilizing regression analysis on financial statements from various Ghanaian MFIs, highlights a significant correlation between robust credit risk assessment practices and enhanced profitability </w:t>
      </w:r>
      <w:r w:rsidR="009A4A1A" w:rsidRPr="00732C16">
        <w:rPr>
          <w:rFonts w:ascii="Arial" w:hAnsi="Arial" w:cs="Arial"/>
          <w:lang w:val="en-GB" w:eastAsia="en-GB"/>
        </w:rPr>
        <w:t>metrics. However</w:t>
      </w:r>
      <w:r w:rsidRPr="00732C16">
        <w:rPr>
          <w:rFonts w:ascii="Arial" w:hAnsi="Arial" w:cs="Arial"/>
          <w:lang w:val="en-GB" w:eastAsia="en-GB"/>
        </w:rPr>
        <w:t>, there is also a divergence noted in the perception of profitability growth. While the survey indicated measurable gro</w:t>
      </w:r>
      <w:r w:rsidR="00E9286B">
        <w:rPr>
          <w:rFonts w:ascii="Arial" w:hAnsi="Arial" w:cs="Arial"/>
          <w:lang w:val="en-GB" w:eastAsia="en-GB"/>
        </w:rPr>
        <w:t>wth in profitability</w:t>
      </w:r>
      <w:r w:rsidRPr="00732C16">
        <w:rPr>
          <w:rFonts w:ascii="Arial" w:hAnsi="Arial" w:cs="Arial"/>
          <w:lang w:val="en-GB" w:eastAsia="en-GB"/>
        </w:rPr>
        <w:t xml:space="preserve">, some interviewees expressed </w:t>
      </w:r>
      <w:proofErr w:type="spellStart"/>
      <w:r w:rsidRPr="00732C16">
        <w:rPr>
          <w:rFonts w:ascii="Arial" w:hAnsi="Arial" w:cs="Arial"/>
          <w:lang w:val="en-GB" w:eastAsia="en-GB"/>
        </w:rPr>
        <w:t>skepticism</w:t>
      </w:r>
      <w:proofErr w:type="spellEnd"/>
      <w:r w:rsidRPr="00732C16">
        <w:rPr>
          <w:rFonts w:ascii="Arial" w:hAnsi="Arial" w:cs="Arial"/>
          <w:lang w:val="en-GB" w:eastAsia="en-GB"/>
        </w:rPr>
        <w:t xml:space="preserve"> about this growth being sustainable under current conditions. For instance, one manager commented, </w:t>
      </w:r>
    </w:p>
    <w:p w14:paraId="38AF5EAF" w14:textId="062EEE67" w:rsidR="00C04515" w:rsidRPr="00732C16" w:rsidRDefault="00C04515" w:rsidP="00732C16">
      <w:pPr>
        <w:pStyle w:val="Body"/>
        <w:ind w:left="720"/>
        <w:rPr>
          <w:rFonts w:ascii="Arial" w:hAnsi="Arial" w:cs="Arial"/>
          <w:i/>
          <w:lang w:val="en-GB" w:eastAsia="en-GB"/>
        </w:rPr>
      </w:pPr>
      <w:r w:rsidRPr="00732C16">
        <w:rPr>
          <w:rFonts w:ascii="Arial" w:hAnsi="Arial" w:cs="Arial"/>
          <w:i/>
          <w:lang w:val="en-GB" w:eastAsia="en-GB"/>
        </w:rPr>
        <w:lastRenderedPageBreak/>
        <w:t>“We may see sh</w:t>
      </w:r>
      <w:r w:rsidR="00E9286B">
        <w:rPr>
          <w:rFonts w:ascii="Arial" w:hAnsi="Arial" w:cs="Arial"/>
          <w:i/>
          <w:lang w:val="en-GB" w:eastAsia="en-GB"/>
        </w:rPr>
        <w:t>ort-term profits, but if we do no</w:t>
      </w:r>
      <w:r w:rsidRPr="00732C16">
        <w:rPr>
          <w:rFonts w:ascii="Arial" w:hAnsi="Arial" w:cs="Arial"/>
          <w:i/>
          <w:lang w:val="en-GB" w:eastAsia="en-GB"/>
        </w:rPr>
        <w:t xml:space="preserve">t tackle these credit risks head-on, long-term sustainability is at stake.” </w:t>
      </w:r>
    </w:p>
    <w:p w14:paraId="3AD02DE0" w14:textId="77777777" w:rsidR="00C04515" w:rsidRPr="00732C16" w:rsidRDefault="00C04515" w:rsidP="00732C16">
      <w:pPr>
        <w:pStyle w:val="Body"/>
        <w:spacing w:after="0"/>
        <w:rPr>
          <w:rFonts w:ascii="Arial" w:hAnsi="Arial" w:cs="Arial"/>
          <w:lang w:val="en-GB" w:eastAsia="en-GB"/>
        </w:rPr>
      </w:pPr>
      <w:r w:rsidRPr="00732C16">
        <w:rPr>
          <w:rFonts w:ascii="Arial" w:hAnsi="Arial" w:cs="Arial"/>
          <w:lang w:val="en-GB" w:eastAsia="en-GB"/>
        </w:rPr>
        <w:t>This sentiment reflects concerns found in literature suggesting that external economic factors and internal operational challenges can undermine profitability despite apparent growth (Hassan et al., 2022). Hence, both qualitative and quantitative findings underscore the complex relationship between credit risk management and financial sustainability in MFIs operating within Sub-Saharan Africa.</w:t>
      </w:r>
    </w:p>
    <w:p w14:paraId="5F7CBD18" w14:textId="77777777" w:rsidR="009A4A1A" w:rsidRPr="00732C16" w:rsidRDefault="009A4A1A" w:rsidP="00732C16">
      <w:pPr>
        <w:pStyle w:val="Body"/>
        <w:spacing w:after="0"/>
        <w:rPr>
          <w:rFonts w:ascii="Arial" w:hAnsi="Arial" w:cs="Arial"/>
          <w:lang w:val="en-GB" w:eastAsia="en-GB"/>
        </w:rPr>
      </w:pPr>
    </w:p>
    <w:p w14:paraId="4F6F2FF0" w14:textId="77777777" w:rsidR="00C04515" w:rsidRPr="00732C16" w:rsidRDefault="009A4A1A" w:rsidP="00732C16">
      <w:pPr>
        <w:pStyle w:val="Body"/>
        <w:spacing w:after="0"/>
        <w:rPr>
          <w:rFonts w:ascii="Arial" w:hAnsi="Arial" w:cs="Arial"/>
          <w:b/>
        </w:rPr>
      </w:pPr>
      <w:r w:rsidRPr="00732C16">
        <w:rPr>
          <w:rFonts w:ascii="Arial" w:hAnsi="Arial" w:cs="Arial"/>
          <w:b/>
        </w:rPr>
        <w:t>4.4 Inferential Statistics</w:t>
      </w:r>
    </w:p>
    <w:p w14:paraId="778EEB71" w14:textId="7C3DB177" w:rsidR="009A4A1A" w:rsidRPr="00732C16" w:rsidRDefault="009A4A1A" w:rsidP="00732C16">
      <w:pPr>
        <w:pStyle w:val="Body"/>
        <w:spacing w:after="0"/>
        <w:rPr>
          <w:rFonts w:ascii="Arial" w:hAnsi="Arial" w:cs="Arial"/>
        </w:rPr>
      </w:pPr>
      <w:r w:rsidRPr="00732C16">
        <w:rPr>
          <w:rFonts w:ascii="Arial" w:hAnsi="Arial" w:cs="Arial"/>
        </w:rPr>
        <w:t xml:space="preserve">To test the hypotheses regarding the effect of credit risk on the profitability and </w:t>
      </w:r>
      <w:r w:rsidR="00E9286B">
        <w:rPr>
          <w:rFonts w:ascii="Arial" w:hAnsi="Arial" w:cs="Arial"/>
        </w:rPr>
        <w:t xml:space="preserve">sustainability </w:t>
      </w:r>
      <w:r w:rsidRPr="00732C16">
        <w:rPr>
          <w:rFonts w:ascii="Arial" w:hAnsi="Arial" w:cs="Arial"/>
        </w:rPr>
        <w:t>of Sub-Saharan MFIs, regression analysis was utilized. This statistical method enabled the researcher to evaluate the extent to which the independent variable credit risk impacts the de</w:t>
      </w:r>
      <w:r w:rsidR="000803FB">
        <w:rPr>
          <w:rFonts w:ascii="Arial" w:hAnsi="Arial" w:cs="Arial"/>
        </w:rPr>
        <w:t xml:space="preserve">pendent variable </w:t>
      </w:r>
      <w:r w:rsidRPr="00732C16">
        <w:rPr>
          <w:rFonts w:ascii="Arial" w:hAnsi="Arial" w:cs="Arial"/>
        </w:rPr>
        <w:t>.</w:t>
      </w:r>
    </w:p>
    <w:p w14:paraId="40EB4569" w14:textId="77777777" w:rsidR="009A4A1A" w:rsidRPr="00732C16" w:rsidRDefault="009A4A1A" w:rsidP="00732C16">
      <w:pPr>
        <w:pStyle w:val="Body"/>
        <w:spacing w:after="0"/>
        <w:rPr>
          <w:rFonts w:ascii="Arial" w:hAnsi="Arial" w:cs="Arial"/>
        </w:rPr>
      </w:pPr>
    </w:p>
    <w:p w14:paraId="1CD2B49F" w14:textId="77777777" w:rsidR="009A4A1A" w:rsidRPr="00732C16" w:rsidRDefault="009A4A1A" w:rsidP="00732C16">
      <w:pPr>
        <w:pStyle w:val="Body"/>
        <w:spacing w:after="0"/>
        <w:rPr>
          <w:rFonts w:ascii="Arial" w:hAnsi="Arial" w:cs="Arial"/>
          <w:b/>
        </w:rPr>
      </w:pPr>
      <w:r w:rsidRPr="00732C16">
        <w:rPr>
          <w:rFonts w:ascii="Arial" w:hAnsi="Arial" w:cs="Arial"/>
          <w:b/>
        </w:rPr>
        <w:t xml:space="preserve">Table 3: Regression model analysis results </w:t>
      </w:r>
    </w:p>
    <w:tbl>
      <w:tblPr>
        <w:tblStyle w:val="PlainTable43"/>
        <w:tblW w:w="8557" w:type="dxa"/>
        <w:tblLook w:val="04A0" w:firstRow="1" w:lastRow="0" w:firstColumn="1" w:lastColumn="0" w:noHBand="0" w:noVBand="1"/>
      </w:tblPr>
      <w:tblGrid>
        <w:gridCol w:w="1310"/>
        <w:gridCol w:w="1287"/>
        <w:gridCol w:w="1175"/>
        <w:gridCol w:w="816"/>
        <w:gridCol w:w="1276"/>
        <w:gridCol w:w="748"/>
        <w:gridCol w:w="1197"/>
        <w:gridCol w:w="748"/>
      </w:tblGrid>
      <w:tr w:rsidR="00C913F5" w:rsidRPr="00E9286B" w14:paraId="22F21239" w14:textId="77777777" w:rsidTr="00C913F5">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hideMark/>
          </w:tcPr>
          <w:p w14:paraId="5549D42B" w14:textId="77777777" w:rsidR="00E9286B" w:rsidRPr="00E9286B" w:rsidRDefault="00E9286B" w:rsidP="00E9286B">
            <w:pPr>
              <w:jc w:val="center"/>
              <w:rPr>
                <w:rFonts w:ascii="Arial" w:hAnsi="Arial" w:cs="Arial"/>
                <w:sz w:val="18"/>
                <w:szCs w:val="18"/>
              </w:rPr>
            </w:pPr>
            <w:r w:rsidRPr="00E9286B">
              <w:rPr>
                <w:rFonts w:ascii="Arial" w:hAnsi="Arial" w:cs="Arial"/>
                <w:sz w:val="18"/>
                <w:szCs w:val="18"/>
              </w:rPr>
              <w:t>Variable</w:t>
            </w:r>
          </w:p>
        </w:tc>
        <w:tc>
          <w:tcPr>
            <w:tcW w:w="0" w:type="auto"/>
            <w:hideMark/>
          </w:tcPr>
          <w:p w14:paraId="0C5D4AD1" w14:textId="77777777" w:rsidR="00E9286B" w:rsidRPr="00E9286B" w:rsidRDefault="00E9286B" w:rsidP="00E9286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Coefficient</w:t>
            </w:r>
          </w:p>
        </w:tc>
        <w:tc>
          <w:tcPr>
            <w:tcW w:w="0" w:type="auto"/>
            <w:hideMark/>
          </w:tcPr>
          <w:p w14:paraId="720BFB8E" w14:textId="77777777" w:rsidR="00E9286B" w:rsidRPr="00E9286B" w:rsidRDefault="00E9286B" w:rsidP="00E9286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Std. Error</w:t>
            </w:r>
          </w:p>
        </w:tc>
        <w:tc>
          <w:tcPr>
            <w:tcW w:w="0" w:type="auto"/>
            <w:hideMark/>
          </w:tcPr>
          <w:p w14:paraId="50BE694D" w14:textId="77777777" w:rsidR="00E9286B" w:rsidRPr="00E9286B" w:rsidRDefault="00E9286B" w:rsidP="00E9286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Beta</w:t>
            </w:r>
          </w:p>
        </w:tc>
        <w:tc>
          <w:tcPr>
            <w:tcW w:w="0" w:type="auto"/>
            <w:hideMark/>
          </w:tcPr>
          <w:p w14:paraId="33DA8C69" w14:textId="77777777" w:rsidR="00E9286B" w:rsidRPr="00E9286B" w:rsidRDefault="00E9286B" w:rsidP="00E9286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t-Statistics</w:t>
            </w:r>
          </w:p>
        </w:tc>
        <w:tc>
          <w:tcPr>
            <w:tcW w:w="0" w:type="auto"/>
            <w:hideMark/>
          </w:tcPr>
          <w:p w14:paraId="62495F06" w14:textId="77777777" w:rsidR="00E9286B" w:rsidRPr="00E9286B" w:rsidRDefault="00E9286B" w:rsidP="00E9286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Sig.</w:t>
            </w:r>
          </w:p>
        </w:tc>
        <w:tc>
          <w:tcPr>
            <w:tcW w:w="0" w:type="auto"/>
            <w:hideMark/>
          </w:tcPr>
          <w:p w14:paraId="33CF62F0" w14:textId="77777777" w:rsidR="00E9286B" w:rsidRPr="00E9286B" w:rsidRDefault="00E9286B" w:rsidP="00E9286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Tolerance</w:t>
            </w:r>
          </w:p>
        </w:tc>
        <w:tc>
          <w:tcPr>
            <w:tcW w:w="0" w:type="auto"/>
            <w:hideMark/>
          </w:tcPr>
          <w:p w14:paraId="36137165" w14:textId="77777777" w:rsidR="00E9286B" w:rsidRPr="00E9286B" w:rsidRDefault="00E9286B" w:rsidP="00E9286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VIF</w:t>
            </w:r>
          </w:p>
        </w:tc>
      </w:tr>
      <w:tr w:rsidR="00C913F5" w:rsidRPr="00E9286B" w14:paraId="0A66634F" w14:textId="77777777" w:rsidTr="00C913F5">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0" w:type="auto"/>
            <w:hideMark/>
          </w:tcPr>
          <w:p w14:paraId="3BB1E914" w14:textId="77777777" w:rsidR="00E9286B" w:rsidRPr="00E9286B" w:rsidRDefault="00E9286B" w:rsidP="00E9286B">
            <w:pPr>
              <w:rPr>
                <w:rFonts w:ascii="Arial" w:hAnsi="Arial" w:cs="Arial"/>
                <w:sz w:val="18"/>
                <w:szCs w:val="18"/>
              </w:rPr>
            </w:pPr>
            <w:r w:rsidRPr="00E9286B">
              <w:rPr>
                <w:rFonts w:ascii="Arial" w:hAnsi="Arial" w:cs="Arial"/>
                <w:sz w:val="18"/>
                <w:szCs w:val="18"/>
              </w:rPr>
              <w:t>(Constant)</w:t>
            </w:r>
          </w:p>
        </w:tc>
        <w:tc>
          <w:tcPr>
            <w:tcW w:w="0" w:type="auto"/>
            <w:hideMark/>
          </w:tcPr>
          <w:p w14:paraId="33476BF9" w14:textId="77777777" w:rsidR="00E9286B" w:rsidRPr="00E9286B" w:rsidRDefault="00E9286B" w:rsidP="00E9286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9286B">
              <w:rPr>
                <w:rFonts w:ascii="Arial" w:hAnsi="Arial" w:cs="Arial"/>
                <w:sz w:val="18"/>
                <w:szCs w:val="18"/>
              </w:rPr>
              <w:t>4.215</w:t>
            </w:r>
          </w:p>
        </w:tc>
        <w:tc>
          <w:tcPr>
            <w:tcW w:w="0" w:type="auto"/>
            <w:hideMark/>
          </w:tcPr>
          <w:p w14:paraId="560602C7" w14:textId="77777777" w:rsidR="00E9286B" w:rsidRPr="00E9286B" w:rsidRDefault="00E9286B" w:rsidP="00E9286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9286B">
              <w:rPr>
                <w:rFonts w:ascii="Arial" w:hAnsi="Arial" w:cs="Arial"/>
                <w:sz w:val="18"/>
                <w:szCs w:val="18"/>
              </w:rPr>
              <w:t>0.678</w:t>
            </w:r>
          </w:p>
        </w:tc>
        <w:tc>
          <w:tcPr>
            <w:tcW w:w="0" w:type="auto"/>
            <w:hideMark/>
          </w:tcPr>
          <w:p w14:paraId="3FA56588" w14:textId="77777777" w:rsidR="00E9286B" w:rsidRPr="00E9286B" w:rsidRDefault="00E9286B" w:rsidP="00E9286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0" w:type="auto"/>
            <w:hideMark/>
          </w:tcPr>
          <w:p w14:paraId="4734F90F" w14:textId="77777777" w:rsidR="00E9286B" w:rsidRPr="00E9286B" w:rsidRDefault="00E9286B" w:rsidP="00E9286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9286B">
              <w:rPr>
                <w:rFonts w:ascii="Arial" w:hAnsi="Arial" w:cs="Arial"/>
                <w:sz w:val="18"/>
                <w:szCs w:val="18"/>
              </w:rPr>
              <w:t>6.211**</w:t>
            </w:r>
          </w:p>
        </w:tc>
        <w:tc>
          <w:tcPr>
            <w:tcW w:w="0" w:type="auto"/>
            <w:hideMark/>
          </w:tcPr>
          <w:p w14:paraId="56438871" w14:textId="77777777" w:rsidR="00E9286B" w:rsidRPr="00E9286B" w:rsidRDefault="00E9286B" w:rsidP="00E9286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9286B">
              <w:rPr>
                <w:rFonts w:ascii="Arial" w:hAnsi="Arial" w:cs="Arial"/>
                <w:sz w:val="18"/>
                <w:szCs w:val="18"/>
              </w:rPr>
              <w:t>0.000</w:t>
            </w:r>
          </w:p>
        </w:tc>
        <w:tc>
          <w:tcPr>
            <w:tcW w:w="0" w:type="auto"/>
            <w:hideMark/>
          </w:tcPr>
          <w:p w14:paraId="77D648A4" w14:textId="77777777" w:rsidR="00E9286B" w:rsidRPr="00E9286B" w:rsidRDefault="00E9286B" w:rsidP="00E9286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0" w:type="auto"/>
            <w:hideMark/>
          </w:tcPr>
          <w:p w14:paraId="72ADA380" w14:textId="77777777" w:rsidR="00E9286B" w:rsidRPr="00E9286B" w:rsidRDefault="00E9286B" w:rsidP="00E9286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C913F5" w:rsidRPr="00E9286B" w14:paraId="56B2EE3E" w14:textId="77777777" w:rsidTr="00C913F5">
        <w:trPr>
          <w:trHeight w:val="224"/>
        </w:trPr>
        <w:tc>
          <w:tcPr>
            <w:cnfStyle w:val="001000000000" w:firstRow="0" w:lastRow="0" w:firstColumn="1" w:lastColumn="0" w:oddVBand="0" w:evenVBand="0" w:oddHBand="0" w:evenHBand="0" w:firstRowFirstColumn="0" w:firstRowLastColumn="0" w:lastRowFirstColumn="0" w:lastRowLastColumn="0"/>
            <w:tcW w:w="0" w:type="auto"/>
            <w:hideMark/>
          </w:tcPr>
          <w:p w14:paraId="14FC8047" w14:textId="77777777" w:rsidR="00E9286B" w:rsidRPr="00E9286B" w:rsidRDefault="00E9286B" w:rsidP="00E9286B">
            <w:pPr>
              <w:rPr>
                <w:rFonts w:ascii="Arial" w:hAnsi="Arial" w:cs="Arial"/>
                <w:sz w:val="18"/>
                <w:szCs w:val="18"/>
              </w:rPr>
            </w:pPr>
            <w:r w:rsidRPr="00E9286B">
              <w:rPr>
                <w:rFonts w:ascii="Arial" w:hAnsi="Arial" w:cs="Arial"/>
                <w:sz w:val="18"/>
                <w:szCs w:val="18"/>
              </w:rPr>
              <w:t>Credit Risk</w:t>
            </w:r>
          </w:p>
        </w:tc>
        <w:tc>
          <w:tcPr>
            <w:tcW w:w="0" w:type="auto"/>
            <w:hideMark/>
          </w:tcPr>
          <w:p w14:paraId="35D1EE93" w14:textId="77777777" w:rsidR="00E9286B" w:rsidRPr="00E9286B" w:rsidRDefault="00E9286B" w:rsidP="00E928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-0.318</w:t>
            </w:r>
          </w:p>
        </w:tc>
        <w:tc>
          <w:tcPr>
            <w:tcW w:w="0" w:type="auto"/>
            <w:hideMark/>
          </w:tcPr>
          <w:p w14:paraId="51BA3B84" w14:textId="77777777" w:rsidR="00E9286B" w:rsidRPr="00E9286B" w:rsidRDefault="00E9286B" w:rsidP="00E928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0.092</w:t>
            </w:r>
          </w:p>
        </w:tc>
        <w:tc>
          <w:tcPr>
            <w:tcW w:w="0" w:type="auto"/>
            <w:hideMark/>
          </w:tcPr>
          <w:p w14:paraId="708A270B" w14:textId="77777777" w:rsidR="00E9286B" w:rsidRPr="00E9286B" w:rsidRDefault="00E9286B" w:rsidP="00E928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-0.332</w:t>
            </w:r>
          </w:p>
        </w:tc>
        <w:tc>
          <w:tcPr>
            <w:tcW w:w="0" w:type="auto"/>
            <w:hideMark/>
          </w:tcPr>
          <w:p w14:paraId="7F08C701" w14:textId="77777777" w:rsidR="00E9286B" w:rsidRPr="00E9286B" w:rsidRDefault="00E9286B" w:rsidP="00E928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-3.457**</w:t>
            </w:r>
          </w:p>
        </w:tc>
        <w:tc>
          <w:tcPr>
            <w:tcW w:w="0" w:type="auto"/>
            <w:hideMark/>
          </w:tcPr>
          <w:p w14:paraId="0EC774DE" w14:textId="77777777" w:rsidR="00E9286B" w:rsidRPr="00E9286B" w:rsidRDefault="00E9286B" w:rsidP="00E928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0.001</w:t>
            </w:r>
          </w:p>
        </w:tc>
        <w:tc>
          <w:tcPr>
            <w:tcW w:w="0" w:type="auto"/>
            <w:hideMark/>
          </w:tcPr>
          <w:p w14:paraId="14DB13BC" w14:textId="77777777" w:rsidR="00E9286B" w:rsidRPr="00E9286B" w:rsidRDefault="00E9286B" w:rsidP="00E928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0.941</w:t>
            </w:r>
          </w:p>
        </w:tc>
        <w:tc>
          <w:tcPr>
            <w:tcW w:w="0" w:type="auto"/>
            <w:hideMark/>
          </w:tcPr>
          <w:p w14:paraId="3390D7C8" w14:textId="77777777" w:rsidR="00E9286B" w:rsidRPr="00E9286B" w:rsidRDefault="00E9286B" w:rsidP="00E928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E9286B">
              <w:rPr>
                <w:rFonts w:ascii="Arial" w:hAnsi="Arial" w:cs="Arial"/>
                <w:sz w:val="18"/>
                <w:szCs w:val="18"/>
              </w:rPr>
              <w:t>1.062</w:t>
            </w:r>
          </w:p>
        </w:tc>
      </w:tr>
    </w:tbl>
    <w:p w14:paraId="5A680BAE" w14:textId="77777777" w:rsidR="007374B8" w:rsidRPr="00732C16" w:rsidRDefault="007374B8" w:rsidP="00732C16">
      <w:pPr>
        <w:pStyle w:val="Body"/>
        <w:spacing w:after="0"/>
        <w:rPr>
          <w:rFonts w:ascii="Arial" w:hAnsi="Arial" w:cs="Arial"/>
          <w:b/>
        </w:rPr>
      </w:pPr>
    </w:p>
    <w:p w14:paraId="5F93F0BC" w14:textId="77777777" w:rsidR="009A4A1A" w:rsidRPr="00732C16" w:rsidRDefault="009A4A1A" w:rsidP="00732C16">
      <w:pPr>
        <w:pStyle w:val="Body"/>
        <w:spacing w:after="0"/>
        <w:rPr>
          <w:rFonts w:ascii="Arial" w:hAnsi="Arial" w:cs="Arial"/>
          <w:b/>
        </w:rPr>
      </w:pPr>
    </w:p>
    <w:p w14:paraId="49874D97" w14:textId="77777777" w:rsidR="009A4A1A" w:rsidRPr="00732C16" w:rsidRDefault="005B4981" w:rsidP="00732C16">
      <w:pPr>
        <w:pStyle w:val="Body"/>
        <w:spacing w:after="0"/>
        <w:rPr>
          <w:rFonts w:ascii="Arial" w:hAnsi="Arial" w:cs="Arial"/>
        </w:rPr>
      </w:pPr>
      <w:r>
        <w:rPr>
          <w:rFonts w:ascii="Arial" w:hAnsi="Arial" w:cs="Arial"/>
        </w:rPr>
        <w:t>Source: Primary data (2025</w:t>
      </w:r>
      <w:r w:rsidR="007374B8" w:rsidRPr="00732C16">
        <w:rPr>
          <w:rFonts w:ascii="Arial" w:hAnsi="Arial" w:cs="Arial"/>
        </w:rPr>
        <w:t>)</w:t>
      </w:r>
    </w:p>
    <w:p w14:paraId="66B865E8" w14:textId="77777777" w:rsidR="007374B8" w:rsidRPr="00732C16" w:rsidRDefault="007374B8" w:rsidP="00732C16">
      <w:pPr>
        <w:pStyle w:val="Body"/>
        <w:spacing w:after="0"/>
        <w:rPr>
          <w:rFonts w:ascii="Arial" w:hAnsi="Arial" w:cs="Arial"/>
        </w:rPr>
      </w:pPr>
    </w:p>
    <w:p w14:paraId="78274326" w14:textId="77777777" w:rsidR="00C913F5" w:rsidRDefault="00C913F5" w:rsidP="00732C16">
      <w:pPr>
        <w:pStyle w:val="Body"/>
        <w:rPr>
          <w:rFonts w:ascii="Arial" w:hAnsi="Arial" w:cs="Arial"/>
        </w:rPr>
      </w:pPr>
      <w:r w:rsidRPr="00C913F5">
        <w:rPr>
          <w:rFonts w:ascii="Arial" w:hAnsi="Arial" w:cs="Arial"/>
        </w:rPr>
        <w:t xml:space="preserve">The regression analysis demonstrates that credit risk has a significant negative effect on the profitability and sustainability of micro-financial institutions in Sub-Saharan Africa. The coefficient for credit risk is -0.318, indicating that an increase in credit risk is associated with a decrease in profitability and sustainability metrics. The t-statistic of -3.457 and p-value of 0.001 confirm that this relationship is statistically significant at the 5% level. This finding aligns with theoretical expectations and prior research, which suggest that higher levels of non-performing loans, defaults, and portfolio at risk reduce the financial efficiency, capital adequacy, and operational stability of MFIs. In practical terms, each unit increase in credit risk corresponds to a 0.318-unit reduction in the efficient business performance of MFIs, highlighting the critical importance of effective credit risk management to safeguard institutional sustainability and profitability. </w:t>
      </w:r>
      <w:r w:rsidR="007374B8" w:rsidRPr="00732C16">
        <w:rPr>
          <w:rFonts w:ascii="Arial" w:hAnsi="Arial" w:cs="Arial"/>
        </w:rPr>
        <w:t>These findings reject the null hypothesis and affirm that credit risk is a critical factor influencing the performance and long-term viability of microfinance institutions in the region.</w:t>
      </w:r>
      <w:r w:rsidR="00D824CE" w:rsidRPr="00732C16">
        <w:rPr>
          <w:rFonts w:ascii="Arial" w:hAnsi="Arial" w:cs="Arial"/>
        </w:rPr>
        <w:t xml:space="preserve"> </w:t>
      </w:r>
      <w:r w:rsidRPr="00C913F5">
        <w:rPr>
          <w:rFonts w:ascii="Arial" w:hAnsi="Arial" w:cs="Arial"/>
        </w:rPr>
        <w:t>The findings of this study indicate that credit risk has a significant negative impact on the profitability and sustainability of micro-financial institutions (MFIs) in Sub-Saharan Africa, aligning with prior research that identifies credit risk as the most critical threat to financial institutions, as borrower defaults erode revenue, capital reserves, and operational stability (</w:t>
      </w:r>
      <w:proofErr w:type="spellStart"/>
      <w:r w:rsidRPr="00C913F5">
        <w:rPr>
          <w:rFonts w:ascii="Arial" w:hAnsi="Arial" w:cs="Arial"/>
        </w:rPr>
        <w:t>Yanenkova</w:t>
      </w:r>
      <w:proofErr w:type="spellEnd"/>
      <w:r w:rsidRPr="00C913F5">
        <w:rPr>
          <w:rFonts w:ascii="Arial" w:hAnsi="Arial" w:cs="Arial"/>
        </w:rPr>
        <w:t xml:space="preserve"> et al., 2021; Mpofu &amp; </w:t>
      </w:r>
      <w:proofErr w:type="spellStart"/>
      <w:r w:rsidRPr="00C913F5">
        <w:rPr>
          <w:rFonts w:ascii="Arial" w:hAnsi="Arial" w:cs="Arial"/>
        </w:rPr>
        <w:t>Nikolaidou</w:t>
      </w:r>
      <w:proofErr w:type="spellEnd"/>
      <w:r w:rsidRPr="00C913F5">
        <w:rPr>
          <w:rFonts w:ascii="Arial" w:hAnsi="Arial" w:cs="Arial"/>
        </w:rPr>
        <w:t xml:space="preserve">, 2018; </w:t>
      </w:r>
      <w:proofErr w:type="spellStart"/>
      <w:r w:rsidRPr="00C913F5">
        <w:rPr>
          <w:rFonts w:ascii="Arial" w:hAnsi="Arial" w:cs="Arial"/>
        </w:rPr>
        <w:t>Masavu</w:t>
      </w:r>
      <w:proofErr w:type="spellEnd"/>
      <w:r w:rsidRPr="00C913F5">
        <w:rPr>
          <w:rFonts w:ascii="Arial" w:hAnsi="Arial" w:cs="Arial"/>
        </w:rPr>
        <w:t>, 2022). This result converges with evidence from Nigeria showing that poor loan recovery and high non-performing loans contributed to institutional distress, underscoring the importance of managing credit risk to protect both profitability and long-term viability (</w:t>
      </w:r>
      <w:proofErr w:type="spellStart"/>
      <w:r w:rsidRPr="00C913F5">
        <w:rPr>
          <w:rFonts w:ascii="Arial" w:hAnsi="Arial" w:cs="Arial"/>
        </w:rPr>
        <w:t>Owojori</w:t>
      </w:r>
      <w:proofErr w:type="spellEnd"/>
      <w:r w:rsidRPr="00C913F5">
        <w:rPr>
          <w:rFonts w:ascii="Arial" w:hAnsi="Arial" w:cs="Arial"/>
        </w:rPr>
        <w:t xml:space="preserve">, </w:t>
      </w:r>
      <w:proofErr w:type="spellStart"/>
      <w:r w:rsidRPr="00C913F5">
        <w:rPr>
          <w:rFonts w:ascii="Arial" w:hAnsi="Arial" w:cs="Arial"/>
        </w:rPr>
        <w:t>Akintoye</w:t>
      </w:r>
      <w:proofErr w:type="spellEnd"/>
      <w:r w:rsidRPr="00C913F5">
        <w:rPr>
          <w:rFonts w:ascii="Arial" w:hAnsi="Arial" w:cs="Arial"/>
        </w:rPr>
        <w:t xml:space="preserve"> &amp; </w:t>
      </w:r>
      <w:proofErr w:type="spellStart"/>
      <w:r w:rsidRPr="00C913F5">
        <w:rPr>
          <w:rFonts w:ascii="Arial" w:hAnsi="Arial" w:cs="Arial"/>
        </w:rPr>
        <w:t>Adidu</w:t>
      </w:r>
      <w:proofErr w:type="spellEnd"/>
      <w:r w:rsidRPr="00C913F5">
        <w:rPr>
          <w:rFonts w:ascii="Arial" w:hAnsi="Arial" w:cs="Arial"/>
        </w:rPr>
        <w:t xml:space="preserve">, 2011; </w:t>
      </w:r>
      <w:proofErr w:type="spellStart"/>
      <w:r w:rsidRPr="00C913F5">
        <w:rPr>
          <w:rFonts w:ascii="Arial" w:hAnsi="Arial" w:cs="Arial"/>
        </w:rPr>
        <w:t>Lelgo</w:t>
      </w:r>
      <w:proofErr w:type="spellEnd"/>
      <w:r w:rsidRPr="00C913F5">
        <w:rPr>
          <w:rFonts w:ascii="Arial" w:hAnsi="Arial" w:cs="Arial"/>
        </w:rPr>
        <w:t xml:space="preserve"> &amp; </w:t>
      </w:r>
      <w:proofErr w:type="spellStart"/>
      <w:r w:rsidRPr="00C913F5">
        <w:rPr>
          <w:rFonts w:ascii="Arial" w:hAnsi="Arial" w:cs="Arial"/>
        </w:rPr>
        <w:t>Obwogi</w:t>
      </w:r>
      <w:proofErr w:type="spellEnd"/>
      <w:r w:rsidRPr="00C913F5">
        <w:rPr>
          <w:rFonts w:ascii="Arial" w:hAnsi="Arial" w:cs="Arial"/>
        </w:rPr>
        <w:t xml:space="preserve">, 2018; </w:t>
      </w:r>
      <w:proofErr w:type="spellStart"/>
      <w:r w:rsidRPr="00C913F5">
        <w:rPr>
          <w:rFonts w:ascii="Arial" w:hAnsi="Arial" w:cs="Arial"/>
        </w:rPr>
        <w:t>Siwale</w:t>
      </w:r>
      <w:proofErr w:type="spellEnd"/>
      <w:r w:rsidRPr="00C913F5">
        <w:rPr>
          <w:rFonts w:ascii="Arial" w:hAnsi="Arial" w:cs="Arial"/>
        </w:rPr>
        <w:t xml:space="preserve"> &amp; </w:t>
      </w:r>
      <w:proofErr w:type="spellStart"/>
      <w:r w:rsidRPr="00C913F5">
        <w:rPr>
          <w:rFonts w:ascii="Arial" w:hAnsi="Arial" w:cs="Arial"/>
        </w:rPr>
        <w:t>Godfroid</w:t>
      </w:r>
      <w:proofErr w:type="spellEnd"/>
      <w:r w:rsidRPr="00C913F5">
        <w:rPr>
          <w:rFonts w:ascii="Arial" w:hAnsi="Arial" w:cs="Arial"/>
        </w:rPr>
        <w:t xml:space="preserve">, 2022). </w:t>
      </w:r>
    </w:p>
    <w:p w14:paraId="4B2A5D22" w14:textId="75221D83" w:rsidR="007374B8" w:rsidRDefault="00C913F5" w:rsidP="00732C16">
      <w:pPr>
        <w:pStyle w:val="Body"/>
        <w:rPr>
          <w:rFonts w:ascii="Arial" w:hAnsi="Arial" w:cs="Arial"/>
        </w:rPr>
      </w:pPr>
      <w:r w:rsidRPr="00C913F5">
        <w:rPr>
          <w:rFonts w:ascii="Arial" w:hAnsi="Arial" w:cs="Arial"/>
        </w:rPr>
        <w:t>Regarding profitability, the study confirms that MFIs’ financial performance is highly sensitive to credit risk exposure, echoing research that links effe</w:t>
      </w:r>
      <w:r>
        <w:rPr>
          <w:rFonts w:ascii="Arial" w:hAnsi="Arial" w:cs="Arial"/>
        </w:rPr>
        <w:t xml:space="preserve">ctive risk management practices </w:t>
      </w:r>
      <w:r w:rsidRPr="00C913F5">
        <w:rPr>
          <w:rFonts w:ascii="Arial" w:hAnsi="Arial" w:cs="Arial"/>
        </w:rPr>
        <w:t>such as rigorous credit assessment, loan monitoring</w:t>
      </w:r>
      <w:r>
        <w:rPr>
          <w:rFonts w:ascii="Arial" w:hAnsi="Arial" w:cs="Arial"/>
        </w:rPr>
        <w:t xml:space="preserve">, and portfolio diversification </w:t>
      </w:r>
      <w:r w:rsidRPr="00C913F5">
        <w:rPr>
          <w:rFonts w:ascii="Arial" w:hAnsi="Arial" w:cs="Arial"/>
        </w:rPr>
        <w:t>to enhanced revenue retention and operational efficiency (</w:t>
      </w:r>
      <w:proofErr w:type="spellStart"/>
      <w:r w:rsidRPr="00C913F5">
        <w:rPr>
          <w:rFonts w:ascii="Arial" w:hAnsi="Arial" w:cs="Arial"/>
        </w:rPr>
        <w:t>Adelopo</w:t>
      </w:r>
      <w:proofErr w:type="spellEnd"/>
      <w:r w:rsidRPr="00C913F5">
        <w:rPr>
          <w:rFonts w:ascii="Arial" w:hAnsi="Arial" w:cs="Arial"/>
        </w:rPr>
        <w:t xml:space="preserve"> et al., 2018; </w:t>
      </w:r>
      <w:proofErr w:type="spellStart"/>
      <w:r w:rsidRPr="00C913F5">
        <w:rPr>
          <w:rFonts w:ascii="Arial" w:hAnsi="Arial" w:cs="Arial"/>
        </w:rPr>
        <w:t>Altavilla</w:t>
      </w:r>
      <w:proofErr w:type="spellEnd"/>
      <w:r w:rsidRPr="00C913F5">
        <w:rPr>
          <w:rFonts w:ascii="Arial" w:hAnsi="Arial" w:cs="Arial"/>
        </w:rPr>
        <w:t xml:space="preserve"> et al., 2018; Singh et al., 2021; </w:t>
      </w:r>
      <w:proofErr w:type="spellStart"/>
      <w:r w:rsidRPr="00C913F5">
        <w:rPr>
          <w:rFonts w:ascii="Arial" w:hAnsi="Arial" w:cs="Arial"/>
        </w:rPr>
        <w:t>Naili</w:t>
      </w:r>
      <w:proofErr w:type="spellEnd"/>
      <w:r w:rsidRPr="00C913F5">
        <w:rPr>
          <w:rFonts w:ascii="Arial" w:hAnsi="Arial" w:cs="Arial"/>
        </w:rPr>
        <w:t xml:space="preserve"> &amp; </w:t>
      </w:r>
      <w:proofErr w:type="spellStart"/>
      <w:r w:rsidRPr="00C913F5">
        <w:rPr>
          <w:rFonts w:ascii="Arial" w:hAnsi="Arial" w:cs="Arial"/>
        </w:rPr>
        <w:t>Lahrichi</w:t>
      </w:r>
      <w:proofErr w:type="spellEnd"/>
      <w:r w:rsidRPr="00C913F5">
        <w:rPr>
          <w:rFonts w:ascii="Arial" w:hAnsi="Arial" w:cs="Arial"/>
        </w:rPr>
        <w:t xml:space="preserve">, 2022), though the negative effect observed here is stronger than in some previous studies, likely due to heightened economic vulnerability, regulatory inconsistencies, and client financial instability in the region. In terms of sustainability, the results support prior findings that long-term institutional resilience depends on prudent </w:t>
      </w:r>
      <w:r w:rsidRPr="00C913F5">
        <w:rPr>
          <w:rFonts w:ascii="Arial" w:hAnsi="Arial" w:cs="Arial"/>
        </w:rPr>
        <w:lastRenderedPageBreak/>
        <w:t xml:space="preserve">financial management and effective mitigation of credit risk (Cull &amp; </w:t>
      </w:r>
      <w:proofErr w:type="spellStart"/>
      <w:r w:rsidRPr="00C913F5">
        <w:rPr>
          <w:rFonts w:ascii="Arial" w:hAnsi="Arial" w:cs="Arial"/>
        </w:rPr>
        <w:t>Hartarska</w:t>
      </w:r>
      <w:proofErr w:type="spellEnd"/>
      <w:r w:rsidRPr="00C913F5">
        <w:rPr>
          <w:rFonts w:ascii="Arial" w:hAnsi="Arial" w:cs="Arial"/>
        </w:rPr>
        <w:t xml:space="preserve">, 2023; </w:t>
      </w:r>
      <w:proofErr w:type="spellStart"/>
      <w:r w:rsidRPr="00C913F5">
        <w:rPr>
          <w:rFonts w:ascii="Arial" w:hAnsi="Arial" w:cs="Arial"/>
        </w:rPr>
        <w:t>Omowole</w:t>
      </w:r>
      <w:proofErr w:type="spellEnd"/>
      <w:r w:rsidRPr="00C913F5">
        <w:rPr>
          <w:rFonts w:ascii="Arial" w:hAnsi="Arial" w:cs="Arial"/>
        </w:rPr>
        <w:t xml:space="preserve"> et al., 2024; </w:t>
      </w:r>
      <w:proofErr w:type="spellStart"/>
      <w:r w:rsidRPr="00C913F5">
        <w:rPr>
          <w:rFonts w:ascii="Arial" w:hAnsi="Arial" w:cs="Arial"/>
        </w:rPr>
        <w:t>Atichasari</w:t>
      </w:r>
      <w:proofErr w:type="spellEnd"/>
      <w:r w:rsidRPr="00C913F5">
        <w:rPr>
          <w:rFonts w:ascii="Arial" w:hAnsi="Arial" w:cs="Arial"/>
        </w:rPr>
        <w:t xml:space="preserve"> et al., 2023; </w:t>
      </w:r>
      <w:proofErr w:type="spellStart"/>
      <w:r w:rsidRPr="00C913F5">
        <w:rPr>
          <w:rFonts w:ascii="Arial" w:hAnsi="Arial" w:cs="Arial"/>
        </w:rPr>
        <w:t>Tadele</w:t>
      </w:r>
      <w:proofErr w:type="spellEnd"/>
      <w:r w:rsidRPr="00C913F5">
        <w:rPr>
          <w:rFonts w:ascii="Arial" w:hAnsi="Arial" w:cs="Arial"/>
        </w:rPr>
        <w:t xml:space="preserve">, Roberts &amp; Whiting, 2022), while adding nuance by showing that poor credit risk management simultaneously undermines capital adequacy, client retention, and operational viability. </w:t>
      </w:r>
      <w:r>
        <w:rPr>
          <w:rFonts w:ascii="Arial" w:hAnsi="Arial" w:cs="Arial"/>
        </w:rPr>
        <w:t>T</w:t>
      </w:r>
      <w:r w:rsidRPr="00C913F5">
        <w:rPr>
          <w:rFonts w:ascii="Arial" w:hAnsi="Arial" w:cs="Arial"/>
        </w:rPr>
        <w:t>he study demonstrates that failure to manage credit risk effectively can jeopardize both financial performance and social outreach objectives, highlighting the necessity of a holistic approach to risk management for achieving sustainable and profitable operati</w:t>
      </w:r>
      <w:r>
        <w:rPr>
          <w:rFonts w:ascii="Arial" w:hAnsi="Arial" w:cs="Arial"/>
        </w:rPr>
        <w:t>ons in Sub-Saharan MFIs</w:t>
      </w:r>
      <w:r w:rsidR="00D824CE" w:rsidRPr="00732C16">
        <w:rPr>
          <w:rFonts w:ascii="Arial" w:hAnsi="Arial" w:cs="Arial"/>
        </w:rPr>
        <w:t xml:space="preserve">. </w:t>
      </w:r>
    </w:p>
    <w:p w14:paraId="38D31477" w14:textId="4D2C8AC0" w:rsidR="00E86F28" w:rsidRDefault="00E86F28" w:rsidP="00732C16">
      <w:pPr>
        <w:pStyle w:val="Body"/>
        <w:rPr>
          <w:rFonts w:ascii="Arial" w:hAnsi="Arial" w:cs="Arial"/>
        </w:rPr>
      </w:pPr>
      <w:r w:rsidRPr="00E86F28">
        <w:rPr>
          <w:rFonts w:ascii="Arial" w:hAnsi="Arial" w:cs="Arial"/>
          <w:b/>
        </w:rPr>
        <w:t>4.</w:t>
      </w:r>
      <w:r w:rsidRPr="00E86F28">
        <w:rPr>
          <w:rFonts w:ascii="Arial" w:hAnsi="Arial" w:cs="Arial"/>
        </w:rPr>
        <w:t xml:space="preserve"> </w:t>
      </w:r>
      <w:r w:rsidRPr="00E86F28">
        <w:rPr>
          <w:rFonts w:ascii="Arial" w:hAnsi="Arial" w:cs="Arial"/>
          <w:b/>
        </w:rPr>
        <w:t>Conclusion</w:t>
      </w:r>
    </w:p>
    <w:p w14:paraId="3691B202" w14:textId="23E6AD13" w:rsidR="00790ADA" w:rsidRPr="00732C16" w:rsidRDefault="009C2C74" w:rsidP="00732C16">
      <w:pPr>
        <w:pStyle w:val="Body"/>
        <w:rPr>
          <w:rFonts w:ascii="Arial" w:hAnsi="Arial" w:cs="Arial"/>
        </w:rPr>
      </w:pPr>
      <w:r w:rsidRPr="009C2C74">
        <w:rPr>
          <w:rFonts w:ascii="Arial" w:hAnsi="Arial" w:cs="Arial"/>
        </w:rPr>
        <w:t>The study concludes that credit risk significantly affects the profitability and sustainability of MFIs in Sub-Saharan Africa. Despite efforts to mitigate risks through policy reviews and stakeholder engagement, persistent loan defaults continue to challenge financial performance and long-term institutional viability. Both quantitative and qualitative findings confirm that effective credit risk management is essential for maintaining profitability and sustaining operations, while regional and contextual disparities highlight the need for adaptable, context-specific risk strategies.</w:t>
      </w:r>
    </w:p>
    <w:p w14:paraId="0E66D85D" w14:textId="2F747CF4" w:rsidR="00D824CE" w:rsidRPr="00732C16" w:rsidRDefault="009C2C74" w:rsidP="00732C16">
      <w:pPr>
        <w:pStyle w:val="Body"/>
        <w:rPr>
          <w:rFonts w:ascii="Arial" w:hAnsi="Arial" w:cs="Arial"/>
          <w:b/>
        </w:rPr>
      </w:pPr>
      <w:r>
        <w:rPr>
          <w:rFonts w:ascii="Arial" w:hAnsi="Arial" w:cs="Arial"/>
          <w:b/>
        </w:rPr>
        <w:t>4.Rec</w:t>
      </w:r>
      <w:r w:rsidR="00947BA4" w:rsidRPr="00732C16">
        <w:rPr>
          <w:rFonts w:ascii="Arial" w:hAnsi="Arial" w:cs="Arial"/>
          <w:b/>
        </w:rPr>
        <w:t xml:space="preserve">omendations </w:t>
      </w:r>
    </w:p>
    <w:p w14:paraId="64266A73" w14:textId="3E493B44" w:rsidR="003F1E40" w:rsidRDefault="009C2C74" w:rsidP="00732C16">
      <w:pPr>
        <w:pStyle w:val="Body"/>
        <w:rPr>
          <w:rFonts w:ascii="Arial" w:hAnsi="Arial" w:cs="Arial"/>
        </w:rPr>
      </w:pPr>
      <w:r w:rsidRPr="009C2C74">
        <w:rPr>
          <w:rFonts w:ascii="Arial" w:hAnsi="Arial" w:cs="Arial"/>
        </w:rPr>
        <w:t>Based on the study’s findings, it is recommended that MFIs in Sub-Saharan Africa strengthen their credit risk management to directly reduce loan defaults and protect profitability and sustainability. This can be achieved by enhancing credit appraisal processes with both financial and non-financial indicators, investing in staff training on risk assessment and loan monitoring, leveraging digital tools for real-time borrower tracking, and aligning all credit decisions with the institution’s risk appetite. Additionally, engaging with policymakers to improve regulatory frameworks and incorporating scenario analysis and stress testing into strategic planning will help MFIs anticipate risks, maintain operational efficiency, and ensure</w:t>
      </w:r>
      <w:r>
        <w:rPr>
          <w:rFonts w:ascii="Arial" w:hAnsi="Arial" w:cs="Arial"/>
        </w:rPr>
        <w:t xml:space="preserve"> long-term financial resilience</w:t>
      </w:r>
      <w:r w:rsidR="003F1E40" w:rsidRPr="003F1E40">
        <w:rPr>
          <w:rFonts w:ascii="Arial" w:hAnsi="Arial" w:cs="Arial"/>
        </w:rPr>
        <w:t>.</w:t>
      </w:r>
    </w:p>
    <w:p w14:paraId="0EF1132A" w14:textId="5178F70B" w:rsidR="00311E64" w:rsidRDefault="00311E64" w:rsidP="00732C16">
      <w:pPr>
        <w:pStyle w:val="Body"/>
        <w:rPr>
          <w:rFonts w:ascii="Arial" w:hAnsi="Arial" w:cs="Arial"/>
        </w:rPr>
      </w:pPr>
    </w:p>
    <w:p w14:paraId="242A463A" w14:textId="77777777" w:rsidR="00311E64" w:rsidRPr="000803FB" w:rsidRDefault="00311E64" w:rsidP="00311E64">
      <w:r w:rsidRPr="000803FB">
        <w:t>Disclaimer (Artificial intelligence)</w:t>
      </w:r>
    </w:p>
    <w:p w14:paraId="04D4F71D" w14:textId="77777777" w:rsidR="00311E64" w:rsidRPr="000803FB" w:rsidRDefault="00311E64" w:rsidP="00311E64"/>
    <w:p w14:paraId="490D1370" w14:textId="77777777" w:rsidR="00311E64" w:rsidRPr="000803FB" w:rsidRDefault="00311E64" w:rsidP="00311E64"/>
    <w:p w14:paraId="15AF9B5D" w14:textId="77777777" w:rsidR="00311E64" w:rsidRPr="000803FB" w:rsidRDefault="00311E64" w:rsidP="00311E64">
      <w:r w:rsidRPr="000803FB">
        <w:t>Author(s) hereby declare that NO generative AI technologies such as Large Language Models (</w:t>
      </w:r>
      <w:proofErr w:type="spellStart"/>
      <w:r w:rsidRPr="000803FB">
        <w:t>ChatGPT</w:t>
      </w:r>
      <w:proofErr w:type="spellEnd"/>
      <w:r w:rsidRPr="000803FB">
        <w:t xml:space="preserve">, COPILOT, etc.) and text-to-image generators have been used during the writing or editing of this manuscript. </w:t>
      </w:r>
    </w:p>
    <w:p w14:paraId="0CE7F2F0" w14:textId="77777777" w:rsidR="00311E64" w:rsidRPr="00270720" w:rsidRDefault="00311E64" w:rsidP="00311E64">
      <w:pPr>
        <w:rPr>
          <w:highlight w:val="yellow"/>
        </w:rPr>
      </w:pPr>
    </w:p>
    <w:p w14:paraId="18906B07" w14:textId="77777777" w:rsidR="00860000" w:rsidRPr="00732C16" w:rsidRDefault="00860000" w:rsidP="00732C16">
      <w:pPr>
        <w:pStyle w:val="ReferHead"/>
        <w:spacing w:after="0"/>
        <w:jc w:val="both"/>
        <w:rPr>
          <w:rFonts w:ascii="Arial" w:hAnsi="Arial" w:cs="Arial"/>
        </w:rPr>
      </w:pPr>
    </w:p>
    <w:p w14:paraId="77669C9E" w14:textId="77777777" w:rsidR="00B01FCD" w:rsidRPr="00732C16" w:rsidRDefault="00B01FCD" w:rsidP="00732C16">
      <w:pPr>
        <w:pStyle w:val="ReferHead"/>
        <w:spacing w:after="0"/>
        <w:jc w:val="both"/>
        <w:rPr>
          <w:rFonts w:ascii="Arial" w:hAnsi="Arial" w:cs="Arial"/>
        </w:rPr>
      </w:pPr>
      <w:r w:rsidRPr="00732C16">
        <w:rPr>
          <w:rFonts w:ascii="Arial" w:hAnsi="Arial" w:cs="Arial"/>
        </w:rPr>
        <w:t>References</w:t>
      </w:r>
    </w:p>
    <w:p w14:paraId="369358A1" w14:textId="77777777" w:rsidR="00790ADA" w:rsidRPr="00732C16" w:rsidRDefault="00790ADA" w:rsidP="00732C16">
      <w:pPr>
        <w:pStyle w:val="ReferHead"/>
        <w:spacing w:after="0"/>
        <w:jc w:val="both"/>
        <w:rPr>
          <w:rFonts w:ascii="Arial" w:hAnsi="Arial" w:cs="Arial"/>
        </w:rPr>
      </w:pPr>
    </w:p>
    <w:p w14:paraId="1214C86D" w14:textId="247CA8A0" w:rsidR="000803FB" w:rsidRDefault="000803FB" w:rsidP="000803FB">
      <w:pPr>
        <w:pStyle w:val="Body"/>
        <w:spacing w:after="0"/>
        <w:rPr>
          <w:rFonts w:ascii="Arial" w:hAnsi="Arial" w:cs="Arial"/>
        </w:rPr>
      </w:pPr>
      <w:proofErr w:type="spellStart"/>
      <w:r w:rsidRPr="00732C16">
        <w:rPr>
          <w:rFonts w:ascii="Arial" w:hAnsi="Arial" w:cs="Arial"/>
        </w:rPr>
        <w:t>Agbana</w:t>
      </w:r>
      <w:proofErr w:type="spellEnd"/>
      <w:r w:rsidRPr="00732C16">
        <w:rPr>
          <w:rFonts w:ascii="Arial" w:hAnsi="Arial" w:cs="Arial"/>
        </w:rPr>
        <w:t xml:space="preserve">, J., </w:t>
      </w:r>
      <w:proofErr w:type="spellStart"/>
      <w:r w:rsidRPr="00732C16">
        <w:rPr>
          <w:rFonts w:ascii="Arial" w:hAnsi="Arial" w:cs="Arial"/>
        </w:rPr>
        <w:t>Bukoye</w:t>
      </w:r>
      <w:proofErr w:type="spellEnd"/>
      <w:r w:rsidRPr="00732C16">
        <w:rPr>
          <w:rFonts w:ascii="Arial" w:hAnsi="Arial" w:cs="Arial"/>
        </w:rPr>
        <w:t>, J. A., &amp; Arinze-</w:t>
      </w:r>
      <w:proofErr w:type="spellStart"/>
      <w:r w:rsidRPr="00732C16">
        <w:rPr>
          <w:rFonts w:ascii="Arial" w:hAnsi="Arial" w:cs="Arial"/>
        </w:rPr>
        <w:t>Emefo</w:t>
      </w:r>
      <w:proofErr w:type="spellEnd"/>
      <w:r w:rsidRPr="00732C16">
        <w:rPr>
          <w:rFonts w:ascii="Arial" w:hAnsi="Arial" w:cs="Arial"/>
        </w:rPr>
        <w:t>, I. C. (2023). Impact of Credit Risk Management on the Financial Performance of Microfinance Institutions in Nigeria: A Qualitative Review. </w:t>
      </w:r>
      <w:r w:rsidRPr="00732C16">
        <w:rPr>
          <w:rFonts w:ascii="Arial" w:hAnsi="Arial" w:cs="Arial"/>
          <w:i/>
          <w:iCs/>
        </w:rPr>
        <w:t>Open Journal of Business and Management</w:t>
      </w:r>
      <w:r w:rsidRPr="00732C16">
        <w:rPr>
          <w:rFonts w:ascii="Arial" w:hAnsi="Arial" w:cs="Arial"/>
        </w:rPr>
        <w:t>, </w:t>
      </w:r>
      <w:r w:rsidRPr="00732C16">
        <w:rPr>
          <w:rFonts w:ascii="Arial" w:hAnsi="Arial" w:cs="Arial"/>
          <w:i/>
          <w:iCs/>
        </w:rPr>
        <w:t>11</w:t>
      </w:r>
      <w:r w:rsidRPr="00732C16">
        <w:rPr>
          <w:rFonts w:ascii="Arial" w:hAnsi="Arial" w:cs="Arial"/>
        </w:rPr>
        <w:t>(5), 2051-2066.</w:t>
      </w:r>
    </w:p>
    <w:p w14:paraId="5D5DBA52" w14:textId="77777777" w:rsidR="00E04378" w:rsidRPr="00732C16" w:rsidRDefault="00E04378" w:rsidP="000803FB">
      <w:pPr>
        <w:pStyle w:val="Body"/>
        <w:spacing w:after="0"/>
        <w:rPr>
          <w:rFonts w:ascii="Arial" w:hAnsi="Arial" w:cs="Arial"/>
        </w:rPr>
      </w:pPr>
    </w:p>
    <w:p w14:paraId="5F405766" w14:textId="77777777" w:rsidR="000803FB" w:rsidRDefault="000803FB" w:rsidP="000803FB">
      <w:pPr>
        <w:spacing w:after="160" w:line="259" w:lineRule="auto"/>
        <w:jc w:val="both"/>
        <w:rPr>
          <w:rFonts w:ascii="Arial" w:eastAsia="Calibri" w:hAnsi="Arial" w:cs="Arial"/>
          <w:color w:val="222222"/>
          <w:shd w:val="clear" w:color="auto" w:fill="FFFFFF"/>
        </w:rPr>
      </w:pPr>
      <w:proofErr w:type="spellStart"/>
      <w:r w:rsidRPr="000803FB">
        <w:rPr>
          <w:rFonts w:ascii="Arial" w:eastAsia="Calibri" w:hAnsi="Arial" w:cs="Arial"/>
          <w:color w:val="222222"/>
          <w:shd w:val="clear" w:color="auto" w:fill="FFFFFF"/>
        </w:rPr>
        <w:t>Annor</w:t>
      </w:r>
      <w:proofErr w:type="spellEnd"/>
      <w:r w:rsidRPr="000803FB">
        <w:rPr>
          <w:rFonts w:ascii="Arial" w:eastAsia="Calibri" w:hAnsi="Arial" w:cs="Arial"/>
          <w:color w:val="222222"/>
          <w:shd w:val="clear" w:color="auto" w:fill="FFFFFF"/>
        </w:rPr>
        <w:t>, E. S., &amp; Obeng, F. S. (2017). Impact of credit risk management on the profitability of selected commercial banks listed on the Ghana stock exchange. </w:t>
      </w:r>
      <w:r w:rsidRPr="000803FB">
        <w:rPr>
          <w:rFonts w:ascii="Arial" w:eastAsia="Calibri" w:hAnsi="Arial" w:cs="Arial"/>
          <w:i/>
          <w:iCs/>
          <w:color w:val="222222"/>
          <w:shd w:val="clear" w:color="auto" w:fill="FFFFFF"/>
        </w:rPr>
        <w:t>Journal of Economics, Management and Trade</w:t>
      </w:r>
      <w:r w:rsidRPr="000803FB">
        <w:rPr>
          <w:rFonts w:ascii="Arial" w:eastAsia="Calibri" w:hAnsi="Arial" w:cs="Arial"/>
          <w:color w:val="222222"/>
          <w:shd w:val="clear" w:color="auto" w:fill="FFFFFF"/>
        </w:rPr>
        <w:t>, </w:t>
      </w:r>
      <w:r w:rsidRPr="000803FB">
        <w:rPr>
          <w:rFonts w:ascii="Arial" w:eastAsia="Calibri" w:hAnsi="Arial" w:cs="Arial"/>
          <w:i/>
          <w:iCs/>
          <w:color w:val="222222"/>
          <w:shd w:val="clear" w:color="auto" w:fill="FFFFFF"/>
        </w:rPr>
        <w:t>20</w:t>
      </w:r>
      <w:r w:rsidRPr="000803FB">
        <w:rPr>
          <w:rFonts w:ascii="Arial" w:eastAsia="Calibri" w:hAnsi="Arial" w:cs="Arial"/>
          <w:color w:val="222222"/>
          <w:shd w:val="clear" w:color="auto" w:fill="FFFFFF"/>
        </w:rPr>
        <w:t>(2), 1-10.</w:t>
      </w:r>
    </w:p>
    <w:p w14:paraId="43578CA0" w14:textId="75AF403D" w:rsidR="000803FB" w:rsidRPr="000803FB" w:rsidRDefault="000803FB" w:rsidP="000803FB">
      <w:pPr>
        <w:spacing w:after="160" w:line="259" w:lineRule="auto"/>
        <w:jc w:val="both"/>
        <w:rPr>
          <w:rFonts w:ascii="Arial" w:eastAsia="Calibri" w:hAnsi="Arial" w:cs="Arial"/>
          <w:color w:val="222222"/>
          <w:shd w:val="clear" w:color="auto" w:fill="FFFFFF"/>
        </w:rPr>
      </w:pPr>
      <w:proofErr w:type="spellStart"/>
      <w:r w:rsidRPr="000803FB">
        <w:rPr>
          <w:rFonts w:ascii="Arial" w:eastAsia="Calibri" w:hAnsi="Arial" w:cs="Arial"/>
          <w:color w:val="222222"/>
          <w:shd w:val="clear" w:color="auto" w:fill="FFFFFF"/>
        </w:rPr>
        <w:t>Atichasari</w:t>
      </w:r>
      <w:proofErr w:type="spellEnd"/>
      <w:r w:rsidRPr="000803FB">
        <w:rPr>
          <w:rFonts w:ascii="Arial" w:eastAsia="Calibri" w:hAnsi="Arial" w:cs="Arial"/>
          <w:color w:val="222222"/>
          <w:shd w:val="clear" w:color="auto" w:fill="FFFFFF"/>
        </w:rPr>
        <w:t xml:space="preserve">, A. S., </w:t>
      </w:r>
      <w:proofErr w:type="spellStart"/>
      <w:r w:rsidRPr="000803FB">
        <w:rPr>
          <w:rFonts w:ascii="Arial" w:eastAsia="Calibri" w:hAnsi="Arial" w:cs="Arial"/>
          <w:color w:val="222222"/>
          <w:shd w:val="clear" w:color="auto" w:fill="FFFFFF"/>
        </w:rPr>
        <w:t>Ratnasari</w:t>
      </w:r>
      <w:proofErr w:type="spellEnd"/>
      <w:r w:rsidRPr="000803FB">
        <w:rPr>
          <w:rFonts w:ascii="Arial" w:eastAsia="Calibri" w:hAnsi="Arial" w:cs="Arial"/>
          <w:color w:val="222222"/>
          <w:shd w:val="clear" w:color="auto" w:fill="FFFFFF"/>
        </w:rPr>
        <w:t xml:space="preserve">, A., </w:t>
      </w:r>
      <w:proofErr w:type="spellStart"/>
      <w:r w:rsidRPr="000803FB">
        <w:rPr>
          <w:rFonts w:ascii="Arial" w:eastAsia="Calibri" w:hAnsi="Arial" w:cs="Arial"/>
          <w:color w:val="222222"/>
          <w:shd w:val="clear" w:color="auto" w:fill="FFFFFF"/>
        </w:rPr>
        <w:t>Kulsum</w:t>
      </w:r>
      <w:proofErr w:type="spellEnd"/>
      <w:r w:rsidRPr="000803FB">
        <w:rPr>
          <w:rFonts w:ascii="Arial" w:eastAsia="Calibri" w:hAnsi="Arial" w:cs="Arial"/>
          <w:color w:val="222222"/>
          <w:shd w:val="clear" w:color="auto" w:fill="FFFFFF"/>
        </w:rPr>
        <w:t xml:space="preserve">, U., </w:t>
      </w:r>
      <w:proofErr w:type="spellStart"/>
      <w:r w:rsidRPr="000803FB">
        <w:rPr>
          <w:rFonts w:ascii="Arial" w:eastAsia="Calibri" w:hAnsi="Arial" w:cs="Arial"/>
          <w:color w:val="222222"/>
          <w:shd w:val="clear" w:color="auto" w:fill="FFFFFF"/>
        </w:rPr>
        <w:t>Kahpi</w:t>
      </w:r>
      <w:proofErr w:type="spellEnd"/>
      <w:r w:rsidRPr="000803FB">
        <w:rPr>
          <w:rFonts w:ascii="Arial" w:eastAsia="Calibri" w:hAnsi="Arial" w:cs="Arial"/>
          <w:color w:val="222222"/>
          <w:shd w:val="clear" w:color="auto" w:fill="FFFFFF"/>
        </w:rPr>
        <w:t xml:space="preserve">, H. S., </w:t>
      </w:r>
      <w:proofErr w:type="spellStart"/>
      <w:r w:rsidRPr="000803FB">
        <w:rPr>
          <w:rFonts w:ascii="Arial" w:eastAsia="Calibri" w:hAnsi="Arial" w:cs="Arial"/>
          <w:color w:val="222222"/>
          <w:shd w:val="clear" w:color="auto" w:fill="FFFFFF"/>
        </w:rPr>
        <w:t>Wulandari</w:t>
      </w:r>
      <w:proofErr w:type="spellEnd"/>
      <w:r w:rsidRPr="000803FB">
        <w:rPr>
          <w:rFonts w:ascii="Arial" w:eastAsia="Calibri" w:hAnsi="Arial" w:cs="Arial"/>
          <w:color w:val="222222"/>
          <w:shd w:val="clear" w:color="auto" w:fill="FFFFFF"/>
        </w:rPr>
        <w:t xml:space="preserve">, S. S., &amp; </w:t>
      </w:r>
      <w:proofErr w:type="spellStart"/>
      <w:r w:rsidRPr="000803FB">
        <w:rPr>
          <w:rFonts w:ascii="Arial" w:eastAsia="Calibri" w:hAnsi="Arial" w:cs="Arial"/>
          <w:color w:val="222222"/>
          <w:shd w:val="clear" w:color="auto" w:fill="FFFFFF"/>
        </w:rPr>
        <w:t>Marfu</w:t>
      </w:r>
      <w:proofErr w:type="spellEnd"/>
      <w:r w:rsidRPr="000803FB">
        <w:rPr>
          <w:rFonts w:ascii="Arial" w:eastAsia="Calibri" w:hAnsi="Arial" w:cs="Arial"/>
          <w:color w:val="222222"/>
          <w:shd w:val="clear" w:color="auto" w:fill="FFFFFF"/>
        </w:rPr>
        <w:t>, A. (2023). Examining non-performing loans on corporate financial sustainability: Evidence from Indonesia. </w:t>
      </w:r>
      <w:r w:rsidRPr="000803FB">
        <w:rPr>
          <w:rFonts w:ascii="Arial" w:eastAsia="Calibri" w:hAnsi="Arial" w:cs="Arial"/>
          <w:i/>
          <w:iCs/>
          <w:color w:val="222222"/>
          <w:shd w:val="clear" w:color="auto" w:fill="FFFFFF"/>
        </w:rPr>
        <w:t>Sustainable Futures</w:t>
      </w:r>
      <w:r w:rsidRPr="000803FB">
        <w:rPr>
          <w:rFonts w:ascii="Arial" w:eastAsia="Calibri" w:hAnsi="Arial" w:cs="Arial"/>
          <w:color w:val="222222"/>
          <w:shd w:val="clear" w:color="auto" w:fill="FFFFFF"/>
        </w:rPr>
        <w:t>, </w:t>
      </w:r>
      <w:r w:rsidRPr="000803FB">
        <w:rPr>
          <w:rFonts w:ascii="Arial" w:eastAsia="Calibri" w:hAnsi="Arial" w:cs="Arial"/>
          <w:i/>
          <w:iCs/>
          <w:color w:val="222222"/>
          <w:shd w:val="clear" w:color="auto" w:fill="FFFFFF"/>
        </w:rPr>
        <w:t>6</w:t>
      </w:r>
      <w:r w:rsidRPr="000803FB">
        <w:rPr>
          <w:rFonts w:ascii="Arial" w:eastAsia="Calibri" w:hAnsi="Arial" w:cs="Arial"/>
          <w:color w:val="222222"/>
          <w:shd w:val="clear" w:color="auto" w:fill="FFFFFF"/>
        </w:rPr>
        <w:t>, 100137.</w:t>
      </w:r>
    </w:p>
    <w:p w14:paraId="10BAB8CF" w14:textId="6FC1BE78" w:rsidR="000803FB" w:rsidRDefault="000803FB" w:rsidP="000803FB">
      <w:pPr>
        <w:pStyle w:val="Body"/>
        <w:spacing w:after="0"/>
        <w:rPr>
          <w:rFonts w:ascii="Arial" w:hAnsi="Arial" w:cs="Arial"/>
        </w:rPr>
      </w:pPr>
      <w:r w:rsidRPr="00732C16">
        <w:rPr>
          <w:rFonts w:ascii="Arial" w:hAnsi="Arial" w:cs="Arial"/>
        </w:rPr>
        <w:lastRenderedPageBreak/>
        <w:t>Bekele, Y. E. (2025). Financial Inclusion, Monetary Policy Effectiveness, and Economic Growth, in Ethiopia and Sub-Saharan Africa.</w:t>
      </w:r>
    </w:p>
    <w:p w14:paraId="76B4E3E6" w14:textId="77777777" w:rsidR="00E04378" w:rsidRPr="00732C16" w:rsidRDefault="00E04378" w:rsidP="000803FB">
      <w:pPr>
        <w:pStyle w:val="Body"/>
        <w:spacing w:after="0"/>
        <w:rPr>
          <w:rFonts w:ascii="Arial" w:hAnsi="Arial" w:cs="Arial"/>
        </w:rPr>
      </w:pPr>
    </w:p>
    <w:p w14:paraId="66509924" w14:textId="77777777" w:rsidR="000803FB" w:rsidRPr="00732C16" w:rsidRDefault="000803FB" w:rsidP="000803FB">
      <w:pPr>
        <w:pStyle w:val="Body"/>
        <w:spacing w:after="0"/>
        <w:rPr>
          <w:rFonts w:ascii="Arial" w:hAnsi="Arial" w:cs="Arial"/>
        </w:rPr>
      </w:pPr>
      <w:r w:rsidRPr="00732C16">
        <w:rPr>
          <w:rFonts w:ascii="Arial" w:hAnsi="Arial" w:cs="Arial"/>
        </w:rPr>
        <w:t>Bell, E., Harley, B., &amp; Bryman, A. (2022). Business research methods. Oxford university press.</w:t>
      </w:r>
    </w:p>
    <w:p w14:paraId="3D0FDFE8" w14:textId="1497D463" w:rsidR="000803FB" w:rsidRDefault="000803FB" w:rsidP="000803FB">
      <w:pPr>
        <w:pStyle w:val="Body"/>
        <w:spacing w:after="0"/>
        <w:rPr>
          <w:rFonts w:ascii="Arial" w:hAnsi="Arial" w:cs="Arial"/>
        </w:rPr>
      </w:pPr>
      <w:proofErr w:type="spellStart"/>
      <w:r w:rsidRPr="00732C16">
        <w:rPr>
          <w:rFonts w:ascii="Arial" w:hAnsi="Arial" w:cs="Arial"/>
        </w:rPr>
        <w:t>Chepngetich</w:t>
      </w:r>
      <w:proofErr w:type="spellEnd"/>
      <w:r w:rsidRPr="00732C16">
        <w:rPr>
          <w:rFonts w:ascii="Arial" w:hAnsi="Arial" w:cs="Arial"/>
        </w:rPr>
        <w:t>, N. (2022). </w:t>
      </w:r>
      <w:r w:rsidRPr="00732C16">
        <w:rPr>
          <w:rFonts w:ascii="Arial" w:hAnsi="Arial" w:cs="Arial"/>
          <w:i/>
          <w:iCs/>
        </w:rPr>
        <w:t>Effect of Credit Risk on Profitability of Deposit Taking Microfinance Institutions in Kenya</w:t>
      </w:r>
      <w:r w:rsidRPr="00732C16">
        <w:rPr>
          <w:rFonts w:ascii="Arial" w:hAnsi="Arial" w:cs="Arial"/>
        </w:rPr>
        <w:t> (Doctoral dissertation, University of Nairobi).</w:t>
      </w:r>
    </w:p>
    <w:p w14:paraId="1FBB87C0" w14:textId="77777777" w:rsidR="00E04378" w:rsidRPr="00732C16" w:rsidRDefault="00E04378" w:rsidP="000803FB">
      <w:pPr>
        <w:pStyle w:val="Body"/>
        <w:spacing w:after="0"/>
        <w:rPr>
          <w:rFonts w:ascii="Arial" w:hAnsi="Arial" w:cs="Arial"/>
        </w:rPr>
      </w:pPr>
    </w:p>
    <w:p w14:paraId="250D9B5A" w14:textId="7853838C" w:rsidR="000803FB" w:rsidRDefault="000803FB" w:rsidP="000803FB">
      <w:pPr>
        <w:pStyle w:val="Body"/>
        <w:spacing w:after="0"/>
        <w:rPr>
          <w:rFonts w:ascii="Arial" w:hAnsi="Arial" w:cs="Arial"/>
        </w:rPr>
      </w:pPr>
      <w:r w:rsidRPr="00732C16">
        <w:rPr>
          <w:rFonts w:ascii="Arial" w:hAnsi="Arial" w:cs="Arial"/>
        </w:rPr>
        <w:t>Clarke, V., &amp; Braun, V. (2017). Thematic analysis. </w:t>
      </w:r>
      <w:r w:rsidRPr="00732C16">
        <w:rPr>
          <w:rFonts w:ascii="Arial" w:hAnsi="Arial" w:cs="Arial"/>
          <w:i/>
          <w:iCs/>
        </w:rPr>
        <w:t>The journal of positive psychology</w:t>
      </w:r>
      <w:r w:rsidRPr="00732C16">
        <w:rPr>
          <w:rFonts w:ascii="Arial" w:hAnsi="Arial" w:cs="Arial"/>
        </w:rPr>
        <w:t>, </w:t>
      </w:r>
      <w:r w:rsidRPr="00732C16">
        <w:rPr>
          <w:rFonts w:ascii="Arial" w:hAnsi="Arial" w:cs="Arial"/>
          <w:i/>
          <w:iCs/>
        </w:rPr>
        <w:t>12</w:t>
      </w:r>
      <w:r w:rsidRPr="00732C16">
        <w:rPr>
          <w:rFonts w:ascii="Arial" w:hAnsi="Arial" w:cs="Arial"/>
        </w:rPr>
        <w:t>(3), 297-298.</w:t>
      </w:r>
    </w:p>
    <w:p w14:paraId="36EA97E8" w14:textId="77777777" w:rsidR="00E04378" w:rsidRPr="00732C16" w:rsidRDefault="00E04378" w:rsidP="000803FB">
      <w:pPr>
        <w:pStyle w:val="Body"/>
        <w:spacing w:after="0"/>
        <w:rPr>
          <w:rFonts w:ascii="Arial" w:hAnsi="Arial" w:cs="Arial"/>
        </w:rPr>
      </w:pPr>
    </w:p>
    <w:p w14:paraId="160D9DE5" w14:textId="77777777" w:rsidR="000803FB" w:rsidRPr="000803FB" w:rsidRDefault="000803FB" w:rsidP="000803FB">
      <w:pPr>
        <w:spacing w:after="160" w:line="259" w:lineRule="auto"/>
        <w:jc w:val="both"/>
        <w:rPr>
          <w:rFonts w:ascii="Arial" w:eastAsia="Calibri" w:hAnsi="Arial" w:cs="Arial"/>
          <w:color w:val="222222"/>
          <w:shd w:val="clear" w:color="auto" w:fill="FFFFFF"/>
        </w:rPr>
      </w:pPr>
      <w:r w:rsidRPr="000803FB">
        <w:rPr>
          <w:rFonts w:ascii="Arial" w:eastAsia="Calibri" w:hAnsi="Arial" w:cs="Arial"/>
          <w:color w:val="222222"/>
          <w:shd w:val="clear" w:color="auto" w:fill="FFFFFF"/>
        </w:rPr>
        <w:t xml:space="preserve">Cull, R., &amp; </w:t>
      </w:r>
      <w:proofErr w:type="spellStart"/>
      <w:r w:rsidRPr="000803FB">
        <w:rPr>
          <w:rFonts w:ascii="Arial" w:eastAsia="Calibri" w:hAnsi="Arial" w:cs="Arial"/>
          <w:color w:val="222222"/>
          <w:shd w:val="clear" w:color="auto" w:fill="FFFFFF"/>
        </w:rPr>
        <w:t>Hartarska</w:t>
      </w:r>
      <w:proofErr w:type="spellEnd"/>
      <w:r w:rsidRPr="000803FB">
        <w:rPr>
          <w:rFonts w:ascii="Arial" w:eastAsia="Calibri" w:hAnsi="Arial" w:cs="Arial"/>
          <w:color w:val="222222"/>
          <w:shd w:val="clear" w:color="auto" w:fill="FFFFFF"/>
        </w:rPr>
        <w:t>, V. (2023). Overview of microfinance, financial inclusion, and development. In </w:t>
      </w:r>
      <w:r w:rsidRPr="000803FB">
        <w:rPr>
          <w:rFonts w:ascii="Arial" w:eastAsia="Calibri" w:hAnsi="Arial" w:cs="Arial"/>
          <w:i/>
          <w:iCs/>
          <w:color w:val="222222"/>
          <w:shd w:val="clear" w:color="auto" w:fill="FFFFFF"/>
        </w:rPr>
        <w:t>Handbook of microfinance, financial inclusion and development</w:t>
      </w:r>
      <w:r w:rsidRPr="000803FB">
        <w:rPr>
          <w:rFonts w:ascii="Arial" w:eastAsia="Calibri" w:hAnsi="Arial" w:cs="Arial"/>
          <w:color w:val="222222"/>
          <w:shd w:val="clear" w:color="auto" w:fill="FFFFFF"/>
        </w:rPr>
        <w:t> (pp. 2-19). Edward Elgar Publishing.</w:t>
      </w:r>
    </w:p>
    <w:p w14:paraId="236F17A2" w14:textId="60D27778" w:rsidR="000803FB" w:rsidRDefault="000803FB" w:rsidP="000803FB">
      <w:pPr>
        <w:pStyle w:val="Body"/>
        <w:spacing w:after="0"/>
        <w:rPr>
          <w:rFonts w:ascii="Arial" w:hAnsi="Arial" w:cs="Arial"/>
        </w:rPr>
      </w:pPr>
      <w:r w:rsidRPr="00732C16">
        <w:rPr>
          <w:rFonts w:ascii="Arial" w:hAnsi="Arial" w:cs="Arial"/>
        </w:rPr>
        <w:t xml:space="preserve">Dube, H., &amp; </w:t>
      </w:r>
      <w:proofErr w:type="spellStart"/>
      <w:r w:rsidRPr="00732C16">
        <w:rPr>
          <w:rFonts w:ascii="Arial" w:hAnsi="Arial" w:cs="Arial"/>
        </w:rPr>
        <w:t>Kwenda</w:t>
      </w:r>
      <w:proofErr w:type="spellEnd"/>
      <w:r w:rsidRPr="00732C16">
        <w:rPr>
          <w:rFonts w:ascii="Arial" w:hAnsi="Arial" w:cs="Arial"/>
        </w:rPr>
        <w:t>, F. (2023). Credit Risk Management and the Financial Performance of Microfinance Institutions in Southern Africa. </w:t>
      </w:r>
      <w:r w:rsidRPr="00732C16">
        <w:rPr>
          <w:rFonts w:ascii="Arial" w:hAnsi="Arial" w:cs="Arial"/>
          <w:i/>
          <w:iCs/>
        </w:rPr>
        <w:t>The Journal of Developing Areas</w:t>
      </w:r>
      <w:r w:rsidRPr="00732C16">
        <w:rPr>
          <w:rFonts w:ascii="Arial" w:hAnsi="Arial" w:cs="Arial"/>
        </w:rPr>
        <w:t>, </w:t>
      </w:r>
      <w:r w:rsidRPr="00732C16">
        <w:rPr>
          <w:rFonts w:ascii="Arial" w:hAnsi="Arial" w:cs="Arial"/>
          <w:i/>
          <w:iCs/>
        </w:rPr>
        <w:t>57</w:t>
      </w:r>
      <w:r w:rsidRPr="00732C16">
        <w:rPr>
          <w:rFonts w:ascii="Arial" w:hAnsi="Arial" w:cs="Arial"/>
        </w:rPr>
        <w:t>(2), 145-157.</w:t>
      </w:r>
    </w:p>
    <w:p w14:paraId="053E2EC8" w14:textId="77777777" w:rsidR="00E04378" w:rsidRPr="00732C16" w:rsidRDefault="00E04378" w:rsidP="000803FB">
      <w:pPr>
        <w:pStyle w:val="Body"/>
        <w:spacing w:after="0"/>
        <w:rPr>
          <w:rFonts w:ascii="Arial" w:hAnsi="Arial" w:cs="Arial"/>
        </w:rPr>
      </w:pPr>
    </w:p>
    <w:p w14:paraId="77EA7997" w14:textId="3D956F9F" w:rsidR="000803FB" w:rsidRDefault="000803FB" w:rsidP="000803FB">
      <w:pPr>
        <w:pStyle w:val="Body"/>
        <w:spacing w:after="0"/>
        <w:rPr>
          <w:rFonts w:ascii="Arial" w:hAnsi="Arial" w:cs="Arial"/>
        </w:rPr>
      </w:pPr>
      <w:r w:rsidRPr="00732C16">
        <w:rPr>
          <w:rFonts w:ascii="Arial" w:hAnsi="Arial" w:cs="Arial"/>
        </w:rPr>
        <w:t>Field, A. (2024). </w:t>
      </w:r>
      <w:r w:rsidRPr="00732C16">
        <w:rPr>
          <w:rFonts w:ascii="Arial" w:hAnsi="Arial" w:cs="Arial"/>
          <w:i/>
          <w:iCs/>
        </w:rPr>
        <w:t>Discovering statistics using IBM SPSS statistics</w:t>
      </w:r>
      <w:r w:rsidRPr="00732C16">
        <w:rPr>
          <w:rFonts w:ascii="Arial" w:hAnsi="Arial" w:cs="Arial"/>
        </w:rPr>
        <w:t>. Sage publications limited.</w:t>
      </w:r>
    </w:p>
    <w:p w14:paraId="28E7ECBF" w14:textId="77777777" w:rsidR="00E04378" w:rsidRPr="00732C16" w:rsidRDefault="00E04378" w:rsidP="000803FB">
      <w:pPr>
        <w:pStyle w:val="Body"/>
        <w:spacing w:after="0"/>
        <w:rPr>
          <w:rFonts w:ascii="Arial" w:hAnsi="Arial" w:cs="Arial"/>
        </w:rPr>
      </w:pPr>
    </w:p>
    <w:p w14:paraId="79478A97" w14:textId="647227E3" w:rsidR="000803FB" w:rsidRDefault="000803FB" w:rsidP="000803FB">
      <w:pPr>
        <w:pStyle w:val="Body"/>
        <w:spacing w:after="0"/>
        <w:rPr>
          <w:rFonts w:ascii="Arial" w:hAnsi="Arial" w:cs="Arial"/>
        </w:rPr>
      </w:pPr>
      <w:r w:rsidRPr="00732C16">
        <w:rPr>
          <w:rFonts w:ascii="Arial" w:hAnsi="Arial" w:cs="Arial"/>
        </w:rPr>
        <w:t>Harding, C. (2019). </w:t>
      </w:r>
      <w:r w:rsidRPr="00732C16">
        <w:rPr>
          <w:rFonts w:ascii="Arial" w:hAnsi="Arial" w:cs="Arial"/>
          <w:i/>
          <w:iCs/>
        </w:rPr>
        <w:t>From smartphone apps to in-person data collection: modern and cost-effective multimodal travel data collection for evidence-based planning</w:t>
      </w:r>
      <w:r w:rsidRPr="00732C16">
        <w:rPr>
          <w:rFonts w:ascii="Arial" w:hAnsi="Arial" w:cs="Arial"/>
        </w:rPr>
        <w:t>. University of Toronto (Canada).</w:t>
      </w:r>
    </w:p>
    <w:p w14:paraId="0A711AC4" w14:textId="77777777" w:rsidR="00E04378" w:rsidRPr="00732C16" w:rsidRDefault="00E04378" w:rsidP="000803FB">
      <w:pPr>
        <w:pStyle w:val="Body"/>
        <w:spacing w:after="0"/>
        <w:rPr>
          <w:rFonts w:ascii="Arial" w:hAnsi="Arial" w:cs="Arial"/>
        </w:rPr>
      </w:pPr>
    </w:p>
    <w:p w14:paraId="489CC30F" w14:textId="301C88E0" w:rsidR="000803FB" w:rsidRDefault="000803FB" w:rsidP="000803FB">
      <w:pPr>
        <w:pStyle w:val="Body"/>
        <w:spacing w:after="0"/>
        <w:rPr>
          <w:rFonts w:ascii="Arial" w:hAnsi="Arial" w:cs="Arial"/>
        </w:rPr>
      </w:pPr>
      <w:r w:rsidRPr="00732C16">
        <w:rPr>
          <w:rFonts w:ascii="Arial" w:hAnsi="Arial" w:cs="Arial"/>
        </w:rPr>
        <w:t>Hassan, K. H. U., Sheikh, S. M., &amp; Rahman, S. U. (2022). The Determinants of Non-Performing Loans (NPLs); Evidence from the Banking Sector of Pakistan. </w:t>
      </w:r>
      <w:r w:rsidRPr="00732C16">
        <w:rPr>
          <w:rFonts w:ascii="Arial" w:hAnsi="Arial" w:cs="Arial"/>
          <w:i/>
          <w:iCs/>
        </w:rPr>
        <w:t>Annals of Social Sciences and Perspective</w:t>
      </w:r>
      <w:r w:rsidRPr="00732C16">
        <w:rPr>
          <w:rFonts w:ascii="Arial" w:hAnsi="Arial" w:cs="Arial"/>
        </w:rPr>
        <w:t>, </w:t>
      </w:r>
      <w:r w:rsidRPr="00732C16">
        <w:rPr>
          <w:rFonts w:ascii="Arial" w:hAnsi="Arial" w:cs="Arial"/>
          <w:i/>
          <w:iCs/>
        </w:rPr>
        <w:t>3</w:t>
      </w:r>
      <w:r w:rsidRPr="00732C16">
        <w:rPr>
          <w:rFonts w:ascii="Arial" w:hAnsi="Arial" w:cs="Arial"/>
        </w:rPr>
        <w:t>(1), 1-22.</w:t>
      </w:r>
    </w:p>
    <w:p w14:paraId="51BBD1A4" w14:textId="77777777" w:rsidR="00E04378" w:rsidRPr="00732C16" w:rsidRDefault="00E04378" w:rsidP="000803FB">
      <w:pPr>
        <w:pStyle w:val="Body"/>
        <w:spacing w:after="0"/>
        <w:rPr>
          <w:rFonts w:ascii="Arial" w:hAnsi="Arial" w:cs="Arial"/>
        </w:rPr>
      </w:pPr>
    </w:p>
    <w:p w14:paraId="40F3E832" w14:textId="2D66595F" w:rsidR="000803FB" w:rsidRDefault="000803FB" w:rsidP="000803FB">
      <w:pPr>
        <w:pStyle w:val="Body"/>
        <w:spacing w:after="0"/>
        <w:rPr>
          <w:rFonts w:ascii="Arial" w:hAnsi="Arial" w:cs="Arial"/>
        </w:rPr>
      </w:pPr>
      <w:r w:rsidRPr="00732C16">
        <w:rPr>
          <w:rFonts w:ascii="Arial" w:hAnsi="Arial" w:cs="Arial"/>
        </w:rPr>
        <w:t xml:space="preserve">Hossain, M. I., Mia, M. A., &amp; Dalla </w:t>
      </w:r>
      <w:proofErr w:type="spellStart"/>
      <w:r w:rsidRPr="00732C16">
        <w:rPr>
          <w:rFonts w:ascii="Arial" w:hAnsi="Arial" w:cs="Arial"/>
        </w:rPr>
        <w:t>Pellegrina</w:t>
      </w:r>
      <w:proofErr w:type="spellEnd"/>
      <w:r w:rsidRPr="00732C16">
        <w:rPr>
          <w:rFonts w:ascii="Arial" w:hAnsi="Arial" w:cs="Arial"/>
        </w:rPr>
        <w:t>, L. (2024). A systematic review of gender diversity and its impact on the performance of Microfinance Institutions. </w:t>
      </w:r>
      <w:r w:rsidRPr="00732C16">
        <w:rPr>
          <w:rFonts w:ascii="Arial" w:hAnsi="Arial" w:cs="Arial"/>
          <w:i/>
          <w:iCs/>
        </w:rPr>
        <w:t>Future Business Journal</w:t>
      </w:r>
      <w:r w:rsidRPr="00732C16">
        <w:rPr>
          <w:rFonts w:ascii="Arial" w:hAnsi="Arial" w:cs="Arial"/>
        </w:rPr>
        <w:t>, </w:t>
      </w:r>
      <w:r w:rsidRPr="00732C16">
        <w:rPr>
          <w:rFonts w:ascii="Arial" w:hAnsi="Arial" w:cs="Arial"/>
          <w:i/>
          <w:iCs/>
        </w:rPr>
        <w:t>10</w:t>
      </w:r>
      <w:r w:rsidRPr="00732C16">
        <w:rPr>
          <w:rFonts w:ascii="Arial" w:hAnsi="Arial" w:cs="Arial"/>
        </w:rPr>
        <w:t>(1), 9.,</w:t>
      </w:r>
    </w:p>
    <w:p w14:paraId="4A7F4E5A" w14:textId="77777777" w:rsidR="00E04378" w:rsidRPr="00732C16" w:rsidRDefault="00E04378" w:rsidP="000803FB">
      <w:pPr>
        <w:pStyle w:val="Body"/>
        <w:spacing w:after="0"/>
        <w:rPr>
          <w:rFonts w:ascii="Arial" w:hAnsi="Arial" w:cs="Arial"/>
        </w:rPr>
      </w:pPr>
    </w:p>
    <w:p w14:paraId="681FA685" w14:textId="10EDBF6B" w:rsidR="000803FB" w:rsidRDefault="000803FB" w:rsidP="000803FB">
      <w:pPr>
        <w:pStyle w:val="Body"/>
        <w:spacing w:after="0"/>
        <w:rPr>
          <w:rFonts w:ascii="Arial" w:hAnsi="Arial" w:cs="Arial"/>
        </w:rPr>
      </w:pPr>
      <w:proofErr w:type="spellStart"/>
      <w:r w:rsidRPr="00732C16">
        <w:rPr>
          <w:rFonts w:ascii="Arial" w:hAnsi="Arial" w:cs="Arial"/>
        </w:rPr>
        <w:t>Jachi</w:t>
      </w:r>
      <w:proofErr w:type="spellEnd"/>
      <w:r w:rsidRPr="00732C16">
        <w:rPr>
          <w:rFonts w:ascii="Arial" w:hAnsi="Arial" w:cs="Arial"/>
        </w:rPr>
        <w:t xml:space="preserve">, M., </w:t>
      </w:r>
      <w:proofErr w:type="spellStart"/>
      <w:r w:rsidRPr="00732C16">
        <w:rPr>
          <w:rFonts w:ascii="Arial" w:hAnsi="Arial" w:cs="Arial"/>
        </w:rPr>
        <w:t>Satande</w:t>
      </w:r>
      <w:proofErr w:type="spellEnd"/>
      <w:r w:rsidRPr="00732C16">
        <w:rPr>
          <w:rFonts w:ascii="Arial" w:hAnsi="Arial" w:cs="Arial"/>
        </w:rPr>
        <w:t xml:space="preserve">, J. T., </w:t>
      </w:r>
      <w:proofErr w:type="spellStart"/>
      <w:r w:rsidRPr="00732C16">
        <w:rPr>
          <w:rFonts w:ascii="Arial" w:hAnsi="Arial" w:cs="Arial"/>
        </w:rPr>
        <w:t>Bhibhi</w:t>
      </w:r>
      <w:proofErr w:type="spellEnd"/>
      <w:r w:rsidRPr="00732C16">
        <w:rPr>
          <w:rFonts w:ascii="Arial" w:hAnsi="Arial" w:cs="Arial"/>
        </w:rPr>
        <w:t xml:space="preserve">, P., </w:t>
      </w:r>
      <w:proofErr w:type="spellStart"/>
      <w:r w:rsidRPr="00732C16">
        <w:rPr>
          <w:rFonts w:ascii="Arial" w:hAnsi="Arial" w:cs="Arial"/>
        </w:rPr>
        <w:t>Maganga</w:t>
      </w:r>
      <w:proofErr w:type="spellEnd"/>
      <w:r w:rsidRPr="00732C16">
        <w:rPr>
          <w:rFonts w:ascii="Arial" w:hAnsi="Arial" w:cs="Arial"/>
        </w:rPr>
        <w:t xml:space="preserve">, N., </w:t>
      </w:r>
      <w:proofErr w:type="spellStart"/>
      <w:r w:rsidRPr="00732C16">
        <w:rPr>
          <w:rFonts w:ascii="Arial" w:hAnsi="Arial" w:cs="Arial"/>
        </w:rPr>
        <w:t>Mandongwe</w:t>
      </w:r>
      <w:proofErr w:type="spellEnd"/>
      <w:r w:rsidRPr="00732C16">
        <w:rPr>
          <w:rFonts w:ascii="Arial" w:hAnsi="Arial" w:cs="Arial"/>
        </w:rPr>
        <w:t xml:space="preserve">, L., </w:t>
      </w:r>
      <w:proofErr w:type="spellStart"/>
      <w:r w:rsidRPr="00732C16">
        <w:rPr>
          <w:rFonts w:ascii="Arial" w:hAnsi="Arial" w:cs="Arial"/>
        </w:rPr>
        <w:t>Katsane</w:t>
      </w:r>
      <w:proofErr w:type="spellEnd"/>
      <w:r w:rsidRPr="00732C16">
        <w:rPr>
          <w:rFonts w:ascii="Arial" w:hAnsi="Arial" w:cs="Arial"/>
        </w:rPr>
        <w:t xml:space="preserve">, C., ... &amp; </w:t>
      </w:r>
      <w:proofErr w:type="spellStart"/>
      <w:r w:rsidRPr="00732C16">
        <w:rPr>
          <w:rFonts w:ascii="Arial" w:hAnsi="Arial" w:cs="Arial"/>
        </w:rPr>
        <w:t>Makumbe</w:t>
      </w:r>
      <w:proofErr w:type="spellEnd"/>
      <w:r w:rsidRPr="00732C16">
        <w:rPr>
          <w:rFonts w:ascii="Arial" w:hAnsi="Arial" w:cs="Arial"/>
        </w:rPr>
        <w:t>, M. (2021). Economic sustainability in the absence or near-absence of traditional risk mitigation mechanisms: an insight into credit risk and economic sustainability of microfinance institutions (MFIs) in Zimbabwe. </w:t>
      </w:r>
      <w:r w:rsidRPr="00732C16">
        <w:rPr>
          <w:rFonts w:ascii="Arial" w:hAnsi="Arial" w:cs="Arial"/>
          <w:i/>
          <w:iCs/>
        </w:rPr>
        <w:t>Journal of Contemporary Issues in Business and Government Vol</w:t>
      </w:r>
      <w:r w:rsidRPr="00732C16">
        <w:rPr>
          <w:rFonts w:ascii="Arial" w:hAnsi="Arial" w:cs="Arial"/>
        </w:rPr>
        <w:t>, </w:t>
      </w:r>
      <w:r w:rsidRPr="00732C16">
        <w:rPr>
          <w:rFonts w:ascii="Arial" w:hAnsi="Arial" w:cs="Arial"/>
          <w:i/>
          <w:iCs/>
        </w:rPr>
        <w:t>27</w:t>
      </w:r>
      <w:r w:rsidRPr="00732C16">
        <w:rPr>
          <w:rFonts w:ascii="Arial" w:hAnsi="Arial" w:cs="Arial"/>
        </w:rPr>
        <w:t>(1).</w:t>
      </w:r>
    </w:p>
    <w:p w14:paraId="0BD534DB" w14:textId="77777777" w:rsidR="00E04378" w:rsidRPr="00732C16" w:rsidRDefault="00E04378" w:rsidP="000803FB">
      <w:pPr>
        <w:pStyle w:val="Body"/>
        <w:spacing w:after="0"/>
        <w:rPr>
          <w:rFonts w:ascii="Arial" w:hAnsi="Arial" w:cs="Arial"/>
        </w:rPr>
      </w:pPr>
    </w:p>
    <w:p w14:paraId="21442CC9" w14:textId="0D5965E4" w:rsidR="000803FB" w:rsidRDefault="000803FB" w:rsidP="000803FB">
      <w:pPr>
        <w:pStyle w:val="Body"/>
        <w:spacing w:after="0"/>
        <w:rPr>
          <w:rFonts w:ascii="Arial" w:hAnsi="Arial" w:cs="Arial"/>
        </w:rPr>
      </w:pPr>
      <w:proofErr w:type="spellStart"/>
      <w:r w:rsidRPr="00732C16">
        <w:rPr>
          <w:rFonts w:ascii="Arial" w:hAnsi="Arial" w:cs="Arial"/>
        </w:rPr>
        <w:t>Kahihu</w:t>
      </w:r>
      <w:proofErr w:type="spellEnd"/>
      <w:r w:rsidRPr="00732C16">
        <w:rPr>
          <w:rFonts w:ascii="Arial" w:hAnsi="Arial" w:cs="Arial"/>
        </w:rPr>
        <w:t>, P. K. (2021). </w:t>
      </w:r>
      <w:r w:rsidRPr="00732C16">
        <w:rPr>
          <w:rFonts w:ascii="Arial" w:hAnsi="Arial" w:cs="Arial"/>
          <w:i/>
          <w:iCs/>
        </w:rPr>
        <w:t>Market Risk, Financial Leverage and Financial Performance of Microfinance Institutions in Kenya</w:t>
      </w:r>
      <w:r w:rsidRPr="00732C16">
        <w:rPr>
          <w:rFonts w:ascii="Arial" w:hAnsi="Arial" w:cs="Arial"/>
        </w:rPr>
        <w:t> (Doctoral dissertation, St. Paul's University).</w:t>
      </w:r>
    </w:p>
    <w:p w14:paraId="39A69560" w14:textId="77777777" w:rsidR="00E04378" w:rsidRPr="00732C16" w:rsidRDefault="00E04378" w:rsidP="000803FB">
      <w:pPr>
        <w:pStyle w:val="Body"/>
        <w:spacing w:after="0"/>
        <w:rPr>
          <w:rFonts w:ascii="Arial" w:hAnsi="Arial" w:cs="Arial"/>
        </w:rPr>
      </w:pPr>
    </w:p>
    <w:p w14:paraId="4F76E725" w14:textId="46BD4A88" w:rsidR="000803FB" w:rsidRDefault="000803FB" w:rsidP="000803FB">
      <w:pPr>
        <w:pStyle w:val="Body"/>
        <w:spacing w:after="0"/>
        <w:rPr>
          <w:rFonts w:ascii="Arial" w:hAnsi="Arial" w:cs="Arial"/>
        </w:rPr>
      </w:pPr>
      <w:proofErr w:type="spellStart"/>
      <w:r w:rsidRPr="00732C16">
        <w:rPr>
          <w:rFonts w:ascii="Arial" w:hAnsi="Arial" w:cs="Arial"/>
        </w:rPr>
        <w:t>Kaldorf</w:t>
      </w:r>
      <w:proofErr w:type="spellEnd"/>
      <w:r w:rsidRPr="00732C16">
        <w:rPr>
          <w:rFonts w:ascii="Arial" w:hAnsi="Arial" w:cs="Arial"/>
        </w:rPr>
        <w:t>, M. (2022). </w:t>
      </w:r>
      <w:r w:rsidRPr="00732C16">
        <w:rPr>
          <w:rFonts w:ascii="Arial" w:hAnsi="Arial" w:cs="Arial"/>
          <w:i/>
          <w:iCs/>
        </w:rPr>
        <w:t>Essays on Macroeconomics, Collateral, and Default Risk</w:t>
      </w:r>
      <w:r w:rsidRPr="00732C16">
        <w:rPr>
          <w:rFonts w:ascii="Arial" w:hAnsi="Arial" w:cs="Arial"/>
        </w:rPr>
        <w:t xml:space="preserve"> (Doctoral dissertation, Universität </w:t>
      </w:r>
      <w:proofErr w:type="spellStart"/>
      <w:r w:rsidRPr="00732C16">
        <w:rPr>
          <w:rFonts w:ascii="Arial" w:hAnsi="Arial" w:cs="Arial"/>
        </w:rPr>
        <w:t>zu</w:t>
      </w:r>
      <w:proofErr w:type="spellEnd"/>
      <w:r w:rsidRPr="00732C16">
        <w:rPr>
          <w:rFonts w:ascii="Arial" w:hAnsi="Arial" w:cs="Arial"/>
        </w:rPr>
        <w:t xml:space="preserve"> Köln).</w:t>
      </w:r>
    </w:p>
    <w:p w14:paraId="66E12842" w14:textId="77777777" w:rsidR="00E04378" w:rsidRPr="00732C16" w:rsidRDefault="00E04378" w:rsidP="000803FB">
      <w:pPr>
        <w:pStyle w:val="Body"/>
        <w:spacing w:after="0"/>
        <w:rPr>
          <w:rFonts w:ascii="Arial" w:hAnsi="Arial" w:cs="Arial"/>
        </w:rPr>
      </w:pPr>
    </w:p>
    <w:p w14:paraId="1F8E6543" w14:textId="66D2588C" w:rsidR="000803FB" w:rsidRDefault="000803FB" w:rsidP="000803FB">
      <w:pPr>
        <w:pStyle w:val="Body"/>
        <w:spacing w:after="0"/>
        <w:rPr>
          <w:rFonts w:ascii="Arial" w:hAnsi="Arial" w:cs="Arial"/>
        </w:rPr>
      </w:pPr>
      <w:proofErr w:type="spellStart"/>
      <w:r w:rsidRPr="00732C16">
        <w:rPr>
          <w:rFonts w:ascii="Arial" w:hAnsi="Arial" w:cs="Arial"/>
        </w:rPr>
        <w:t>Kanellopoulos</w:t>
      </w:r>
      <w:proofErr w:type="spellEnd"/>
      <w:r w:rsidRPr="00732C16">
        <w:rPr>
          <w:rFonts w:ascii="Arial" w:hAnsi="Arial" w:cs="Arial"/>
        </w:rPr>
        <w:t>, K. (2022). </w:t>
      </w:r>
      <w:r w:rsidRPr="00732C16">
        <w:rPr>
          <w:rFonts w:ascii="Arial" w:hAnsi="Arial" w:cs="Arial"/>
          <w:i/>
          <w:iCs/>
        </w:rPr>
        <w:t>Analysis and forecasting of asset quality, risk management and financial stability for the Greek banking system</w:t>
      </w:r>
      <w:r w:rsidRPr="00732C16">
        <w:rPr>
          <w:rFonts w:ascii="Arial" w:hAnsi="Arial" w:cs="Arial"/>
        </w:rPr>
        <w:t> (Doctoral dissertation, London Metropolitan University).</w:t>
      </w:r>
    </w:p>
    <w:p w14:paraId="2E9BD444" w14:textId="77777777" w:rsidR="00E04378" w:rsidRPr="00732C16" w:rsidRDefault="00E04378" w:rsidP="000803FB">
      <w:pPr>
        <w:pStyle w:val="Body"/>
        <w:spacing w:after="0"/>
        <w:rPr>
          <w:rFonts w:ascii="Arial" w:hAnsi="Arial" w:cs="Arial"/>
        </w:rPr>
      </w:pPr>
    </w:p>
    <w:p w14:paraId="34CF879E" w14:textId="2B2B13A4" w:rsidR="000803FB" w:rsidRDefault="000803FB" w:rsidP="000803FB">
      <w:pPr>
        <w:pStyle w:val="Body"/>
        <w:spacing w:after="0"/>
        <w:rPr>
          <w:rFonts w:ascii="Arial" w:hAnsi="Arial" w:cs="Arial"/>
        </w:rPr>
      </w:pPr>
      <w:r w:rsidRPr="00732C16">
        <w:rPr>
          <w:rFonts w:ascii="Arial" w:hAnsi="Arial" w:cs="Arial"/>
        </w:rPr>
        <w:t xml:space="preserve">Levitt, H. M., Bamberg, M., Creswell, J. W., Frost, D. M., </w:t>
      </w:r>
      <w:proofErr w:type="spellStart"/>
      <w:r w:rsidRPr="00732C16">
        <w:rPr>
          <w:rFonts w:ascii="Arial" w:hAnsi="Arial" w:cs="Arial"/>
        </w:rPr>
        <w:t>Josselson</w:t>
      </w:r>
      <w:proofErr w:type="spellEnd"/>
      <w:r w:rsidRPr="00732C16">
        <w:rPr>
          <w:rFonts w:ascii="Arial" w:hAnsi="Arial" w:cs="Arial"/>
        </w:rPr>
        <w:t>, R., &amp; Suárez-Orozco, C. (2018). Journal article reporting standards for qualitative primary, qualitative meta-analytic, and mixed methods research in psychology: The APA Publications and Communications Board task force report. </w:t>
      </w:r>
      <w:r w:rsidRPr="00732C16">
        <w:rPr>
          <w:rFonts w:ascii="Arial" w:hAnsi="Arial" w:cs="Arial"/>
          <w:i/>
          <w:iCs/>
        </w:rPr>
        <w:t>American Psychologist</w:t>
      </w:r>
      <w:r w:rsidRPr="00732C16">
        <w:rPr>
          <w:rFonts w:ascii="Arial" w:hAnsi="Arial" w:cs="Arial"/>
        </w:rPr>
        <w:t>, </w:t>
      </w:r>
      <w:r w:rsidRPr="00732C16">
        <w:rPr>
          <w:rFonts w:ascii="Arial" w:hAnsi="Arial" w:cs="Arial"/>
          <w:i/>
          <w:iCs/>
        </w:rPr>
        <w:t>73</w:t>
      </w:r>
      <w:r w:rsidRPr="00732C16">
        <w:rPr>
          <w:rFonts w:ascii="Arial" w:hAnsi="Arial" w:cs="Arial"/>
        </w:rPr>
        <w:t>(1), 26.</w:t>
      </w:r>
    </w:p>
    <w:p w14:paraId="2E9D3360" w14:textId="77777777" w:rsidR="00E04378" w:rsidRPr="00732C16" w:rsidRDefault="00E04378" w:rsidP="000803FB">
      <w:pPr>
        <w:pStyle w:val="Body"/>
        <w:spacing w:after="0"/>
        <w:rPr>
          <w:rFonts w:ascii="Arial" w:hAnsi="Arial" w:cs="Arial"/>
        </w:rPr>
      </w:pPr>
    </w:p>
    <w:p w14:paraId="18928ECB" w14:textId="5FC8B793" w:rsidR="000803FB" w:rsidRDefault="000803FB" w:rsidP="000803FB">
      <w:pPr>
        <w:pStyle w:val="Body"/>
        <w:spacing w:after="0"/>
        <w:rPr>
          <w:rFonts w:ascii="Arial" w:hAnsi="Arial" w:cs="Arial"/>
        </w:rPr>
      </w:pPr>
      <w:proofErr w:type="spellStart"/>
      <w:r w:rsidRPr="00732C16">
        <w:rPr>
          <w:rFonts w:ascii="Arial" w:hAnsi="Arial" w:cs="Arial"/>
        </w:rPr>
        <w:lastRenderedPageBreak/>
        <w:t>Magaldi</w:t>
      </w:r>
      <w:proofErr w:type="spellEnd"/>
      <w:r w:rsidRPr="00732C16">
        <w:rPr>
          <w:rFonts w:ascii="Arial" w:hAnsi="Arial" w:cs="Arial"/>
        </w:rPr>
        <w:t xml:space="preserve">, D., &amp; </w:t>
      </w:r>
      <w:proofErr w:type="spellStart"/>
      <w:r w:rsidRPr="00732C16">
        <w:rPr>
          <w:rFonts w:ascii="Arial" w:hAnsi="Arial" w:cs="Arial"/>
        </w:rPr>
        <w:t>Berler</w:t>
      </w:r>
      <w:proofErr w:type="spellEnd"/>
      <w:r w:rsidRPr="00732C16">
        <w:rPr>
          <w:rFonts w:ascii="Arial" w:hAnsi="Arial" w:cs="Arial"/>
        </w:rPr>
        <w:t>, M. (2020). Semi-structured interviews. </w:t>
      </w:r>
      <w:r w:rsidRPr="00732C16">
        <w:rPr>
          <w:rFonts w:ascii="Arial" w:hAnsi="Arial" w:cs="Arial"/>
          <w:i/>
          <w:iCs/>
        </w:rPr>
        <w:t>Encyclopedia of personality and individual differences</w:t>
      </w:r>
      <w:r w:rsidRPr="00732C16">
        <w:rPr>
          <w:rFonts w:ascii="Arial" w:hAnsi="Arial" w:cs="Arial"/>
        </w:rPr>
        <w:t>, 4825-4830.</w:t>
      </w:r>
    </w:p>
    <w:p w14:paraId="32376A1B" w14:textId="77777777" w:rsidR="00E04378" w:rsidRPr="00732C16" w:rsidRDefault="00E04378" w:rsidP="000803FB">
      <w:pPr>
        <w:pStyle w:val="Body"/>
        <w:spacing w:after="0"/>
        <w:rPr>
          <w:rFonts w:ascii="Arial" w:hAnsi="Arial" w:cs="Arial"/>
        </w:rPr>
      </w:pPr>
    </w:p>
    <w:p w14:paraId="497CC5C8" w14:textId="12EE5046" w:rsidR="000803FB" w:rsidRDefault="000803FB" w:rsidP="000803FB">
      <w:pPr>
        <w:pStyle w:val="Body"/>
        <w:spacing w:after="0"/>
        <w:rPr>
          <w:rFonts w:ascii="Arial" w:hAnsi="Arial" w:cs="Arial"/>
        </w:rPr>
      </w:pPr>
      <w:r w:rsidRPr="00C35163">
        <w:rPr>
          <w:rFonts w:ascii="Arial" w:hAnsi="Arial" w:cs="Arial"/>
          <w:lang w:val="pl-PL"/>
        </w:rPr>
        <w:t xml:space="preserve">Matos Bautista, J. J., Martinez Luna, A. B., &amp; Ninanya Carnejo, G. H. (2022). </w:t>
      </w:r>
      <w:r w:rsidRPr="00732C16">
        <w:rPr>
          <w:rFonts w:ascii="Arial" w:hAnsi="Arial" w:cs="Arial"/>
        </w:rPr>
        <w:t>An analysis of profitability, capital structure, and credit risk in the Peruvian microfinance sector.</w:t>
      </w:r>
    </w:p>
    <w:p w14:paraId="5B8A4553" w14:textId="77777777" w:rsidR="00E04378" w:rsidRPr="00732C16" w:rsidRDefault="00E04378" w:rsidP="000803FB">
      <w:pPr>
        <w:pStyle w:val="Body"/>
        <w:spacing w:after="0"/>
        <w:rPr>
          <w:rFonts w:ascii="Arial" w:hAnsi="Arial" w:cs="Arial"/>
        </w:rPr>
      </w:pPr>
    </w:p>
    <w:p w14:paraId="52BC60CC" w14:textId="62926E52" w:rsidR="000803FB" w:rsidRDefault="000803FB" w:rsidP="000803FB">
      <w:pPr>
        <w:pStyle w:val="Body"/>
        <w:spacing w:after="0"/>
        <w:rPr>
          <w:rFonts w:ascii="Arial" w:hAnsi="Arial" w:cs="Arial"/>
        </w:rPr>
      </w:pPr>
      <w:proofErr w:type="spellStart"/>
      <w:r w:rsidRPr="00732C16">
        <w:rPr>
          <w:rFonts w:ascii="Arial" w:hAnsi="Arial" w:cs="Arial"/>
        </w:rPr>
        <w:t>Munyasia</w:t>
      </w:r>
      <w:proofErr w:type="spellEnd"/>
      <w:r w:rsidRPr="00732C16">
        <w:rPr>
          <w:rFonts w:ascii="Arial" w:hAnsi="Arial" w:cs="Arial"/>
        </w:rPr>
        <w:t>, G. O. (2023). </w:t>
      </w:r>
      <w:r w:rsidRPr="00732C16">
        <w:rPr>
          <w:rFonts w:ascii="Arial" w:hAnsi="Arial" w:cs="Arial"/>
          <w:i/>
          <w:iCs/>
        </w:rPr>
        <w:t>The Effect of Credit Risk Management on the Financial Performance of Deposit Taking Microfinance Institutions in Kenya</w:t>
      </w:r>
      <w:r w:rsidRPr="00732C16">
        <w:rPr>
          <w:rFonts w:ascii="Arial" w:hAnsi="Arial" w:cs="Arial"/>
        </w:rPr>
        <w:t> (Doctoral dissertation, University of Nairobi).</w:t>
      </w:r>
    </w:p>
    <w:p w14:paraId="269F3295" w14:textId="77777777" w:rsidR="00E04378" w:rsidRPr="00732C16" w:rsidRDefault="00E04378" w:rsidP="000803FB">
      <w:pPr>
        <w:pStyle w:val="Body"/>
        <w:spacing w:after="0"/>
        <w:rPr>
          <w:rFonts w:ascii="Arial" w:hAnsi="Arial" w:cs="Arial"/>
        </w:rPr>
      </w:pPr>
    </w:p>
    <w:p w14:paraId="1FDA5577" w14:textId="44643C18" w:rsidR="000803FB" w:rsidRDefault="000803FB" w:rsidP="000803FB">
      <w:pPr>
        <w:pStyle w:val="Body"/>
        <w:spacing w:after="0"/>
        <w:rPr>
          <w:rFonts w:ascii="Arial" w:hAnsi="Arial" w:cs="Arial"/>
        </w:rPr>
      </w:pPr>
      <w:proofErr w:type="spellStart"/>
      <w:r w:rsidRPr="00732C16">
        <w:rPr>
          <w:rFonts w:ascii="Arial" w:hAnsi="Arial" w:cs="Arial"/>
        </w:rPr>
        <w:t>Mwakujonga</w:t>
      </w:r>
      <w:proofErr w:type="spellEnd"/>
      <w:r w:rsidRPr="00732C16">
        <w:rPr>
          <w:rFonts w:ascii="Arial" w:hAnsi="Arial" w:cs="Arial"/>
        </w:rPr>
        <w:t xml:space="preserve">, J., &amp; </w:t>
      </w:r>
      <w:proofErr w:type="spellStart"/>
      <w:r w:rsidRPr="00732C16">
        <w:rPr>
          <w:rFonts w:ascii="Arial" w:hAnsi="Arial" w:cs="Arial"/>
        </w:rPr>
        <w:t>Komba</w:t>
      </w:r>
      <w:proofErr w:type="spellEnd"/>
      <w:r w:rsidRPr="00732C16">
        <w:rPr>
          <w:rFonts w:ascii="Arial" w:hAnsi="Arial" w:cs="Arial"/>
        </w:rPr>
        <w:t>, C. (2024). Influence of Credit Risk Management Practices on Loan Performance: A Case of Selected Microfinance Institutions in Tanzania. </w:t>
      </w:r>
      <w:r w:rsidRPr="00732C16">
        <w:rPr>
          <w:rFonts w:ascii="Arial" w:hAnsi="Arial" w:cs="Arial"/>
          <w:i/>
          <w:iCs/>
        </w:rPr>
        <w:t>Journal of Policy and Development Studies</w:t>
      </w:r>
      <w:r w:rsidRPr="00732C16">
        <w:rPr>
          <w:rFonts w:ascii="Arial" w:hAnsi="Arial" w:cs="Arial"/>
        </w:rPr>
        <w:t>, </w:t>
      </w:r>
      <w:r w:rsidRPr="00732C16">
        <w:rPr>
          <w:rFonts w:ascii="Arial" w:hAnsi="Arial" w:cs="Arial"/>
          <w:i/>
          <w:iCs/>
        </w:rPr>
        <w:t>15</w:t>
      </w:r>
      <w:r w:rsidRPr="00732C16">
        <w:rPr>
          <w:rFonts w:ascii="Arial" w:hAnsi="Arial" w:cs="Arial"/>
        </w:rPr>
        <w:t>(2), 26-35.</w:t>
      </w:r>
    </w:p>
    <w:p w14:paraId="546246E0" w14:textId="77777777" w:rsidR="00E04378" w:rsidRPr="00732C16" w:rsidRDefault="00E04378" w:rsidP="000803FB">
      <w:pPr>
        <w:pStyle w:val="Body"/>
        <w:spacing w:after="0"/>
        <w:rPr>
          <w:rFonts w:ascii="Arial" w:hAnsi="Arial" w:cs="Arial"/>
        </w:rPr>
      </w:pPr>
    </w:p>
    <w:p w14:paraId="160D8A87" w14:textId="5945D744" w:rsidR="000803FB" w:rsidRDefault="000803FB" w:rsidP="000803FB">
      <w:pPr>
        <w:pStyle w:val="Body"/>
        <w:spacing w:after="0"/>
        <w:rPr>
          <w:rFonts w:ascii="Arial" w:hAnsi="Arial" w:cs="Arial"/>
        </w:rPr>
      </w:pPr>
      <w:proofErr w:type="spellStart"/>
      <w:r w:rsidRPr="00732C16">
        <w:rPr>
          <w:rFonts w:ascii="Arial" w:hAnsi="Arial" w:cs="Arial"/>
        </w:rPr>
        <w:t>Naz</w:t>
      </w:r>
      <w:proofErr w:type="spellEnd"/>
      <w:r w:rsidRPr="00732C16">
        <w:rPr>
          <w:rFonts w:ascii="Arial" w:hAnsi="Arial" w:cs="Arial"/>
        </w:rPr>
        <w:t>, N., Gulab, F., &amp; Aslam, M. (2022). Development of qualitative semi-structured interview guide for case study research.</w:t>
      </w:r>
    </w:p>
    <w:p w14:paraId="67602803" w14:textId="77777777" w:rsidR="00E04378" w:rsidRPr="00732C16" w:rsidRDefault="00E04378" w:rsidP="000803FB">
      <w:pPr>
        <w:pStyle w:val="Body"/>
        <w:spacing w:after="0"/>
        <w:rPr>
          <w:rFonts w:ascii="Arial" w:hAnsi="Arial" w:cs="Arial"/>
        </w:rPr>
      </w:pPr>
    </w:p>
    <w:p w14:paraId="20881DC9" w14:textId="6EEBF2E6" w:rsidR="000803FB" w:rsidRDefault="000803FB" w:rsidP="000803FB">
      <w:pPr>
        <w:pStyle w:val="Body"/>
        <w:spacing w:after="0"/>
        <w:rPr>
          <w:rFonts w:ascii="Arial" w:hAnsi="Arial" w:cs="Arial"/>
        </w:rPr>
      </w:pPr>
      <w:r w:rsidRPr="00732C16">
        <w:rPr>
          <w:rFonts w:ascii="Arial" w:hAnsi="Arial" w:cs="Arial"/>
        </w:rPr>
        <w:t>Nyirenda, N. D. (2024). </w:t>
      </w:r>
      <w:r w:rsidRPr="00732C16">
        <w:rPr>
          <w:rFonts w:ascii="Arial" w:hAnsi="Arial" w:cs="Arial"/>
          <w:i/>
          <w:iCs/>
        </w:rPr>
        <w:t>An assessment of critical success factors of microfinance institutions (MFIs) in Lusaka, Zambia</w:t>
      </w:r>
      <w:r w:rsidRPr="00732C16">
        <w:rPr>
          <w:rFonts w:ascii="Arial" w:hAnsi="Arial" w:cs="Arial"/>
        </w:rPr>
        <w:t> (Doctoral dissertation, The University of Zambia).</w:t>
      </w:r>
    </w:p>
    <w:p w14:paraId="6CD24C66" w14:textId="77777777" w:rsidR="00E04378" w:rsidRPr="00732C16" w:rsidRDefault="00E04378" w:rsidP="000803FB">
      <w:pPr>
        <w:pStyle w:val="Body"/>
        <w:spacing w:after="0"/>
        <w:rPr>
          <w:rFonts w:ascii="Arial" w:hAnsi="Arial" w:cs="Arial"/>
        </w:rPr>
      </w:pPr>
    </w:p>
    <w:p w14:paraId="20EB591A" w14:textId="5AC9E628" w:rsidR="000803FB" w:rsidRDefault="000803FB" w:rsidP="000803FB">
      <w:pPr>
        <w:pStyle w:val="Body"/>
        <w:spacing w:after="0"/>
        <w:rPr>
          <w:rFonts w:ascii="Arial" w:hAnsi="Arial" w:cs="Arial"/>
        </w:rPr>
      </w:pPr>
      <w:proofErr w:type="spellStart"/>
      <w:r w:rsidRPr="00732C16">
        <w:rPr>
          <w:rFonts w:ascii="Arial" w:hAnsi="Arial" w:cs="Arial"/>
        </w:rPr>
        <w:t>Omokhoa</w:t>
      </w:r>
      <w:proofErr w:type="spellEnd"/>
      <w:r w:rsidRPr="00732C16">
        <w:rPr>
          <w:rFonts w:ascii="Arial" w:hAnsi="Arial" w:cs="Arial"/>
        </w:rPr>
        <w:t xml:space="preserve">, H. E., </w:t>
      </w:r>
      <w:proofErr w:type="spellStart"/>
      <w:r w:rsidRPr="00732C16">
        <w:rPr>
          <w:rFonts w:ascii="Arial" w:hAnsi="Arial" w:cs="Arial"/>
        </w:rPr>
        <w:t>Odionu</w:t>
      </w:r>
      <w:proofErr w:type="spellEnd"/>
      <w:r w:rsidRPr="00732C16">
        <w:rPr>
          <w:rFonts w:ascii="Arial" w:hAnsi="Arial" w:cs="Arial"/>
        </w:rPr>
        <w:t xml:space="preserve">, C. S., Azubuike, C., &amp; </w:t>
      </w:r>
      <w:proofErr w:type="spellStart"/>
      <w:r w:rsidRPr="00732C16">
        <w:rPr>
          <w:rFonts w:ascii="Arial" w:hAnsi="Arial" w:cs="Arial"/>
        </w:rPr>
        <w:t>Sule</w:t>
      </w:r>
      <w:proofErr w:type="spellEnd"/>
      <w:r w:rsidRPr="00732C16">
        <w:rPr>
          <w:rFonts w:ascii="Arial" w:hAnsi="Arial" w:cs="Arial"/>
        </w:rPr>
        <w:t>, A. K. (2024). AI-powered fintech innovations for credit scoring, debt recovery, and financial access in microfinance and SMEs. </w:t>
      </w:r>
      <w:r w:rsidRPr="00732C16">
        <w:rPr>
          <w:rFonts w:ascii="Arial" w:hAnsi="Arial" w:cs="Arial"/>
          <w:i/>
          <w:iCs/>
        </w:rPr>
        <w:t>Gulf Journal of Advance Business Research</w:t>
      </w:r>
      <w:r w:rsidRPr="00732C16">
        <w:rPr>
          <w:rFonts w:ascii="Arial" w:hAnsi="Arial" w:cs="Arial"/>
        </w:rPr>
        <w:t>, </w:t>
      </w:r>
      <w:r w:rsidRPr="00732C16">
        <w:rPr>
          <w:rFonts w:ascii="Arial" w:hAnsi="Arial" w:cs="Arial"/>
          <w:i/>
          <w:iCs/>
        </w:rPr>
        <w:t>2</w:t>
      </w:r>
      <w:r w:rsidRPr="00732C16">
        <w:rPr>
          <w:rFonts w:ascii="Arial" w:hAnsi="Arial" w:cs="Arial"/>
        </w:rPr>
        <w:t>(6), 411-422.</w:t>
      </w:r>
    </w:p>
    <w:p w14:paraId="0E8F652D" w14:textId="77777777" w:rsidR="00E04378" w:rsidRPr="00732C16" w:rsidRDefault="00E04378" w:rsidP="000803FB">
      <w:pPr>
        <w:pStyle w:val="Body"/>
        <w:spacing w:after="0"/>
        <w:rPr>
          <w:rFonts w:ascii="Arial" w:hAnsi="Arial" w:cs="Arial"/>
        </w:rPr>
      </w:pPr>
    </w:p>
    <w:p w14:paraId="7FC5ECF2" w14:textId="77777777" w:rsidR="000803FB" w:rsidRPr="000803FB" w:rsidRDefault="000803FB" w:rsidP="000803FB">
      <w:pPr>
        <w:spacing w:after="160" w:line="259" w:lineRule="auto"/>
        <w:jc w:val="both"/>
        <w:rPr>
          <w:rFonts w:ascii="Arial" w:eastAsia="Calibri" w:hAnsi="Arial" w:cs="Arial"/>
          <w:color w:val="222222"/>
          <w:shd w:val="clear" w:color="auto" w:fill="FFFFFF"/>
        </w:rPr>
      </w:pPr>
      <w:proofErr w:type="spellStart"/>
      <w:r w:rsidRPr="000803FB">
        <w:rPr>
          <w:rFonts w:ascii="Arial" w:eastAsia="Calibri" w:hAnsi="Arial" w:cs="Arial"/>
          <w:color w:val="222222"/>
          <w:shd w:val="clear" w:color="auto" w:fill="FFFFFF"/>
        </w:rPr>
        <w:t>Omowole</w:t>
      </w:r>
      <w:proofErr w:type="spellEnd"/>
      <w:r w:rsidRPr="000803FB">
        <w:rPr>
          <w:rFonts w:ascii="Arial" w:eastAsia="Calibri" w:hAnsi="Arial" w:cs="Arial"/>
          <w:color w:val="222222"/>
          <w:shd w:val="clear" w:color="auto" w:fill="FFFFFF"/>
        </w:rPr>
        <w:t xml:space="preserve">, B. M., </w:t>
      </w:r>
      <w:proofErr w:type="spellStart"/>
      <w:r w:rsidRPr="000803FB">
        <w:rPr>
          <w:rFonts w:ascii="Arial" w:eastAsia="Calibri" w:hAnsi="Arial" w:cs="Arial"/>
          <w:color w:val="222222"/>
          <w:shd w:val="clear" w:color="auto" w:fill="FFFFFF"/>
        </w:rPr>
        <w:t>Urefe</w:t>
      </w:r>
      <w:proofErr w:type="spellEnd"/>
      <w:r w:rsidRPr="000803FB">
        <w:rPr>
          <w:rFonts w:ascii="Arial" w:eastAsia="Calibri" w:hAnsi="Arial" w:cs="Arial"/>
          <w:color w:val="222222"/>
          <w:shd w:val="clear" w:color="auto" w:fill="FFFFFF"/>
        </w:rPr>
        <w:t xml:space="preserve">, O., </w:t>
      </w:r>
      <w:proofErr w:type="spellStart"/>
      <w:r w:rsidRPr="000803FB">
        <w:rPr>
          <w:rFonts w:ascii="Arial" w:eastAsia="Calibri" w:hAnsi="Arial" w:cs="Arial"/>
          <w:color w:val="222222"/>
          <w:shd w:val="clear" w:color="auto" w:fill="FFFFFF"/>
        </w:rPr>
        <w:t>Mokogwu</w:t>
      </w:r>
      <w:proofErr w:type="spellEnd"/>
      <w:r w:rsidRPr="000803FB">
        <w:rPr>
          <w:rFonts w:ascii="Arial" w:eastAsia="Calibri" w:hAnsi="Arial" w:cs="Arial"/>
          <w:color w:val="222222"/>
          <w:shd w:val="clear" w:color="auto" w:fill="FFFFFF"/>
        </w:rPr>
        <w:t xml:space="preserve">, C., &amp; </w:t>
      </w:r>
      <w:proofErr w:type="spellStart"/>
      <w:r w:rsidRPr="000803FB">
        <w:rPr>
          <w:rFonts w:ascii="Arial" w:eastAsia="Calibri" w:hAnsi="Arial" w:cs="Arial"/>
          <w:color w:val="222222"/>
          <w:shd w:val="clear" w:color="auto" w:fill="FFFFFF"/>
        </w:rPr>
        <w:t>Ewim</w:t>
      </w:r>
      <w:proofErr w:type="spellEnd"/>
      <w:r w:rsidRPr="000803FB">
        <w:rPr>
          <w:rFonts w:ascii="Arial" w:eastAsia="Calibri" w:hAnsi="Arial" w:cs="Arial"/>
          <w:color w:val="222222"/>
          <w:shd w:val="clear" w:color="auto" w:fill="FFFFFF"/>
        </w:rPr>
        <w:t>, S. E. (2024). Strategic approaches to enhancing credit risk management in microfinance institutions. </w:t>
      </w:r>
      <w:r w:rsidRPr="000803FB">
        <w:rPr>
          <w:rFonts w:ascii="Arial" w:eastAsia="Calibri" w:hAnsi="Arial" w:cs="Arial"/>
          <w:i/>
          <w:iCs/>
          <w:color w:val="222222"/>
          <w:shd w:val="clear" w:color="auto" w:fill="FFFFFF"/>
        </w:rPr>
        <w:t>International Journal of Frontline Research in Multidisciplinary Studies</w:t>
      </w:r>
      <w:r w:rsidRPr="000803FB">
        <w:rPr>
          <w:rFonts w:ascii="Arial" w:eastAsia="Calibri" w:hAnsi="Arial" w:cs="Arial"/>
          <w:color w:val="222222"/>
          <w:shd w:val="clear" w:color="auto" w:fill="FFFFFF"/>
        </w:rPr>
        <w:t>, </w:t>
      </w:r>
      <w:r w:rsidRPr="000803FB">
        <w:rPr>
          <w:rFonts w:ascii="Arial" w:eastAsia="Calibri" w:hAnsi="Arial" w:cs="Arial"/>
          <w:i/>
          <w:iCs/>
          <w:color w:val="222222"/>
          <w:shd w:val="clear" w:color="auto" w:fill="FFFFFF"/>
        </w:rPr>
        <w:t>4</w:t>
      </w:r>
      <w:r w:rsidRPr="000803FB">
        <w:rPr>
          <w:rFonts w:ascii="Arial" w:eastAsia="Calibri" w:hAnsi="Arial" w:cs="Arial"/>
          <w:color w:val="222222"/>
          <w:shd w:val="clear" w:color="auto" w:fill="FFFFFF"/>
        </w:rPr>
        <w:t>(1), 053-062.</w:t>
      </w:r>
    </w:p>
    <w:p w14:paraId="671FEA16" w14:textId="2E291E41" w:rsidR="000803FB" w:rsidRDefault="000803FB" w:rsidP="000803FB">
      <w:pPr>
        <w:pStyle w:val="Body"/>
        <w:spacing w:after="0"/>
        <w:rPr>
          <w:rFonts w:ascii="Arial" w:hAnsi="Arial" w:cs="Arial"/>
        </w:rPr>
      </w:pPr>
      <w:proofErr w:type="spellStart"/>
      <w:r w:rsidRPr="00732C16">
        <w:rPr>
          <w:rFonts w:ascii="Arial" w:hAnsi="Arial" w:cs="Arial"/>
        </w:rPr>
        <w:t>Omowole</w:t>
      </w:r>
      <w:proofErr w:type="spellEnd"/>
      <w:r w:rsidRPr="00732C16">
        <w:rPr>
          <w:rFonts w:ascii="Arial" w:hAnsi="Arial" w:cs="Arial"/>
        </w:rPr>
        <w:t xml:space="preserve">, B. M., </w:t>
      </w:r>
      <w:proofErr w:type="spellStart"/>
      <w:r w:rsidRPr="00732C16">
        <w:rPr>
          <w:rFonts w:ascii="Arial" w:hAnsi="Arial" w:cs="Arial"/>
        </w:rPr>
        <w:t>Urefe</w:t>
      </w:r>
      <w:proofErr w:type="spellEnd"/>
      <w:r w:rsidRPr="00732C16">
        <w:rPr>
          <w:rFonts w:ascii="Arial" w:hAnsi="Arial" w:cs="Arial"/>
        </w:rPr>
        <w:t xml:space="preserve">, O., </w:t>
      </w:r>
      <w:proofErr w:type="spellStart"/>
      <w:r w:rsidRPr="00732C16">
        <w:rPr>
          <w:rFonts w:ascii="Arial" w:hAnsi="Arial" w:cs="Arial"/>
        </w:rPr>
        <w:t>Mokogwu</w:t>
      </w:r>
      <w:proofErr w:type="spellEnd"/>
      <w:r w:rsidRPr="00732C16">
        <w:rPr>
          <w:rFonts w:ascii="Arial" w:hAnsi="Arial" w:cs="Arial"/>
        </w:rPr>
        <w:t xml:space="preserve">, C., &amp; </w:t>
      </w:r>
      <w:proofErr w:type="spellStart"/>
      <w:r w:rsidRPr="00732C16">
        <w:rPr>
          <w:rFonts w:ascii="Arial" w:hAnsi="Arial" w:cs="Arial"/>
        </w:rPr>
        <w:t>Ewim</w:t>
      </w:r>
      <w:proofErr w:type="spellEnd"/>
      <w:r w:rsidRPr="00732C16">
        <w:rPr>
          <w:rFonts w:ascii="Arial" w:hAnsi="Arial" w:cs="Arial"/>
        </w:rPr>
        <w:t>, S. E. (2024). Strategic approaches to enhancing credit risk management in microfinance institutions. </w:t>
      </w:r>
      <w:r w:rsidRPr="00732C16">
        <w:rPr>
          <w:rFonts w:ascii="Arial" w:hAnsi="Arial" w:cs="Arial"/>
          <w:i/>
          <w:iCs/>
        </w:rPr>
        <w:t>International Journal of Frontline Research in Multidisciplinary Studies</w:t>
      </w:r>
      <w:r w:rsidRPr="00732C16">
        <w:rPr>
          <w:rFonts w:ascii="Arial" w:hAnsi="Arial" w:cs="Arial"/>
        </w:rPr>
        <w:t>, </w:t>
      </w:r>
      <w:r w:rsidRPr="00732C16">
        <w:rPr>
          <w:rFonts w:ascii="Arial" w:hAnsi="Arial" w:cs="Arial"/>
          <w:i/>
          <w:iCs/>
        </w:rPr>
        <w:t>4</w:t>
      </w:r>
      <w:r w:rsidRPr="00732C16">
        <w:rPr>
          <w:rFonts w:ascii="Arial" w:hAnsi="Arial" w:cs="Arial"/>
        </w:rPr>
        <w:t>(1), 053-062.</w:t>
      </w:r>
    </w:p>
    <w:p w14:paraId="7A7A7236" w14:textId="77777777" w:rsidR="00E04378" w:rsidRPr="00732C16" w:rsidRDefault="00E04378" w:rsidP="000803FB">
      <w:pPr>
        <w:pStyle w:val="Body"/>
        <w:spacing w:after="0"/>
        <w:rPr>
          <w:rFonts w:ascii="Arial" w:hAnsi="Arial" w:cs="Arial"/>
        </w:rPr>
      </w:pPr>
    </w:p>
    <w:p w14:paraId="4E6436AB" w14:textId="467C7036" w:rsidR="000803FB" w:rsidRDefault="000803FB" w:rsidP="000803FB">
      <w:pPr>
        <w:pStyle w:val="Body"/>
        <w:spacing w:after="0"/>
        <w:rPr>
          <w:rFonts w:ascii="Arial" w:hAnsi="Arial" w:cs="Arial"/>
        </w:rPr>
      </w:pPr>
      <w:proofErr w:type="spellStart"/>
      <w:r w:rsidRPr="00732C16">
        <w:rPr>
          <w:rFonts w:ascii="Arial" w:hAnsi="Arial" w:cs="Arial"/>
        </w:rPr>
        <w:t>Smolo</w:t>
      </w:r>
      <w:proofErr w:type="spellEnd"/>
      <w:r w:rsidRPr="00732C16">
        <w:rPr>
          <w:rFonts w:ascii="Arial" w:hAnsi="Arial" w:cs="Arial"/>
        </w:rPr>
        <w:t>, E. (2023). Asymmetric impact of microfinance on economic growth: Evidence from Bosnia and Herzegovina. </w:t>
      </w:r>
      <w:proofErr w:type="spellStart"/>
      <w:r w:rsidRPr="00732C16">
        <w:rPr>
          <w:rFonts w:ascii="Arial" w:hAnsi="Arial" w:cs="Arial"/>
          <w:i/>
          <w:iCs/>
        </w:rPr>
        <w:t>Heliyon</w:t>
      </w:r>
      <w:proofErr w:type="spellEnd"/>
      <w:r w:rsidRPr="00732C16">
        <w:rPr>
          <w:rFonts w:ascii="Arial" w:hAnsi="Arial" w:cs="Arial"/>
        </w:rPr>
        <w:t>, </w:t>
      </w:r>
      <w:r w:rsidRPr="00732C16">
        <w:rPr>
          <w:rFonts w:ascii="Arial" w:hAnsi="Arial" w:cs="Arial"/>
          <w:i/>
          <w:iCs/>
        </w:rPr>
        <w:t>9</w:t>
      </w:r>
      <w:r w:rsidRPr="00732C16">
        <w:rPr>
          <w:rFonts w:ascii="Arial" w:hAnsi="Arial" w:cs="Arial"/>
        </w:rPr>
        <w:t>(12).</w:t>
      </w:r>
    </w:p>
    <w:p w14:paraId="2EE9A55B" w14:textId="77777777" w:rsidR="00E04378" w:rsidRPr="00732C16" w:rsidRDefault="00E04378" w:rsidP="000803FB">
      <w:pPr>
        <w:pStyle w:val="Body"/>
        <w:spacing w:after="0"/>
        <w:rPr>
          <w:rFonts w:ascii="Arial" w:hAnsi="Arial" w:cs="Arial"/>
        </w:rPr>
      </w:pPr>
    </w:p>
    <w:p w14:paraId="75920E71" w14:textId="54795073" w:rsidR="000803FB" w:rsidRDefault="000803FB" w:rsidP="000803FB">
      <w:pPr>
        <w:pStyle w:val="Body"/>
        <w:spacing w:after="0"/>
        <w:rPr>
          <w:rFonts w:ascii="Arial" w:hAnsi="Arial" w:cs="Arial"/>
        </w:rPr>
      </w:pPr>
      <w:proofErr w:type="spellStart"/>
      <w:r w:rsidRPr="00732C16">
        <w:rPr>
          <w:rFonts w:ascii="Arial" w:hAnsi="Arial" w:cs="Arial"/>
        </w:rPr>
        <w:t>Surbakti</w:t>
      </w:r>
      <w:proofErr w:type="spellEnd"/>
      <w:r w:rsidRPr="00732C16">
        <w:rPr>
          <w:rFonts w:ascii="Arial" w:hAnsi="Arial" w:cs="Arial"/>
        </w:rPr>
        <w:t xml:space="preserve">, F. P. S., Wang, W., </w:t>
      </w:r>
      <w:proofErr w:type="spellStart"/>
      <w:r w:rsidRPr="00732C16">
        <w:rPr>
          <w:rFonts w:ascii="Arial" w:hAnsi="Arial" w:cs="Arial"/>
        </w:rPr>
        <w:t>Indulska</w:t>
      </w:r>
      <w:proofErr w:type="spellEnd"/>
      <w:r w:rsidRPr="00732C16">
        <w:rPr>
          <w:rFonts w:ascii="Arial" w:hAnsi="Arial" w:cs="Arial"/>
        </w:rPr>
        <w:t>, M., &amp; Sadiq, S. (2020). Factors influencing effective use of big data: A research framework. </w:t>
      </w:r>
      <w:r w:rsidRPr="00732C16">
        <w:rPr>
          <w:rFonts w:ascii="Arial" w:hAnsi="Arial" w:cs="Arial"/>
          <w:i/>
          <w:iCs/>
        </w:rPr>
        <w:t>Information &amp; Management</w:t>
      </w:r>
      <w:r w:rsidRPr="00732C16">
        <w:rPr>
          <w:rFonts w:ascii="Arial" w:hAnsi="Arial" w:cs="Arial"/>
        </w:rPr>
        <w:t>, </w:t>
      </w:r>
      <w:r w:rsidRPr="00732C16">
        <w:rPr>
          <w:rFonts w:ascii="Arial" w:hAnsi="Arial" w:cs="Arial"/>
          <w:i/>
          <w:iCs/>
        </w:rPr>
        <w:t>57</w:t>
      </w:r>
      <w:r w:rsidRPr="00732C16">
        <w:rPr>
          <w:rFonts w:ascii="Arial" w:hAnsi="Arial" w:cs="Arial"/>
        </w:rPr>
        <w:t>(1), 103146.</w:t>
      </w:r>
    </w:p>
    <w:p w14:paraId="4D10350D" w14:textId="77777777" w:rsidR="00E04378" w:rsidRPr="00732C16" w:rsidRDefault="00E04378" w:rsidP="000803FB">
      <w:pPr>
        <w:pStyle w:val="Body"/>
        <w:spacing w:after="0"/>
        <w:rPr>
          <w:rFonts w:ascii="Arial" w:hAnsi="Arial" w:cs="Arial"/>
        </w:rPr>
      </w:pPr>
    </w:p>
    <w:p w14:paraId="7F40FA76" w14:textId="01D0156F" w:rsidR="000803FB" w:rsidRDefault="000803FB" w:rsidP="000803FB">
      <w:pPr>
        <w:pStyle w:val="Body"/>
        <w:spacing w:after="0"/>
        <w:rPr>
          <w:rFonts w:ascii="Arial" w:hAnsi="Arial" w:cs="Arial"/>
        </w:rPr>
      </w:pPr>
      <w:proofErr w:type="spellStart"/>
      <w:r w:rsidRPr="00732C16">
        <w:rPr>
          <w:rFonts w:ascii="Arial" w:hAnsi="Arial" w:cs="Arial"/>
        </w:rPr>
        <w:t>Tadele</w:t>
      </w:r>
      <w:proofErr w:type="spellEnd"/>
      <w:r w:rsidRPr="00732C16">
        <w:rPr>
          <w:rFonts w:ascii="Arial" w:hAnsi="Arial" w:cs="Arial"/>
        </w:rPr>
        <w:t>, H. (2021). Microfinance board and default risk in sub-Saharan Africa. </w:t>
      </w:r>
      <w:r w:rsidRPr="00732C16">
        <w:rPr>
          <w:rFonts w:ascii="Arial" w:hAnsi="Arial" w:cs="Arial"/>
          <w:i/>
          <w:iCs/>
        </w:rPr>
        <w:t>African Journal of Economic and Management Studies</w:t>
      </w:r>
      <w:r w:rsidRPr="00732C16">
        <w:rPr>
          <w:rFonts w:ascii="Arial" w:hAnsi="Arial" w:cs="Arial"/>
        </w:rPr>
        <w:t>, </w:t>
      </w:r>
      <w:r w:rsidRPr="00732C16">
        <w:rPr>
          <w:rFonts w:ascii="Arial" w:hAnsi="Arial" w:cs="Arial"/>
          <w:i/>
          <w:iCs/>
        </w:rPr>
        <w:t>12</w:t>
      </w:r>
      <w:r w:rsidRPr="00732C16">
        <w:rPr>
          <w:rFonts w:ascii="Arial" w:hAnsi="Arial" w:cs="Arial"/>
        </w:rPr>
        <w:t>(1), 1-17.</w:t>
      </w:r>
    </w:p>
    <w:p w14:paraId="26D2F168" w14:textId="77777777" w:rsidR="00E04378" w:rsidRPr="00732C16" w:rsidRDefault="00E04378" w:rsidP="000803FB">
      <w:pPr>
        <w:pStyle w:val="Body"/>
        <w:spacing w:after="0"/>
        <w:rPr>
          <w:rFonts w:ascii="Arial" w:hAnsi="Arial" w:cs="Arial"/>
        </w:rPr>
      </w:pPr>
    </w:p>
    <w:p w14:paraId="7AD572FB" w14:textId="77777777" w:rsidR="000803FB" w:rsidRPr="000803FB" w:rsidRDefault="000803FB" w:rsidP="000803FB">
      <w:pPr>
        <w:spacing w:after="160" w:line="259" w:lineRule="auto"/>
        <w:jc w:val="both"/>
        <w:rPr>
          <w:rFonts w:ascii="Arial" w:eastAsia="Calibri" w:hAnsi="Arial" w:cs="Arial"/>
          <w:color w:val="222222"/>
          <w:shd w:val="clear" w:color="auto" w:fill="FFFFFF"/>
        </w:rPr>
      </w:pPr>
      <w:proofErr w:type="spellStart"/>
      <w:r w:rsidRPr="000803FB">
        <w:rPr>
          <w:rFonts w:ascii="Arial" w:eastAsia="Calibri" w:hAnsi="Arial" w:cs="Arial"/>
          <w:color w:val="222222"/>
          <w:shd w:val="clear" w:color="auto" w:fill="FFFFFF"/>
        </w:rPr>
        <w:t>Tadele</w:t>
      </w:r>
      <w:proofErr w:type="spellEnd"/>
      <w:r w:rsidRPr="000803FB">
        <w:rPr>
          <w:rFonts w:ascii="Arial" w:eastAsia="Calibri" w:hAnsi="Arial" w:cs="Arial"/>
          <w:color w:val="222222"/>
          <w:shd w:val="clear" w:color="auto" w:fill="FFFFFF"/>
        </w:rPr>
        <w:t>, H., Roberts, H., &amp; Whiting, R. (2022). Microfinance institutions' risk and governance in Sub-Saharan Africa. </w:t>
      </w:r>
      <w:r w:rsidRPr="000803FB">
        <w:rPr>
          <w:rFonts w:ascii="Arial" w:eastAsia="Calibri" w:hAnsi="Arial" w:cs="Arial"/>
          <w:i/>
          <w:iCs/>
          <w:color w:val="222222"/>
          <w:shd w:val="clear" w:color="auto" w:fill="FFFFFF"/>
        </w:rPr>
        <w:t>International Journal of Social Economics</w:t>
      </w:r>
      <w:r w:rsidRPr="000803FB">
        <w:rPr>
          <w:rFonts w:ascii="Arial" w:eastAsia="Calibri" w:hAnsi="Arial" w:cs="Arial"/>
          <w:color w:val="222222"/>
          <w:shd w:val="clear" w:color="auto" w:fill="FFFFFF"/>
        </w:rPr>
        <w:t>, </w:t>
      </w:r>
      <w:r w:rsidRPr="000803FB">
        <w:rPr>
          <w:rFonts w:ascii="Arial" w:eastAsia="Calibri" w:hAnsi="Arial" w:cs="Arial"/>
          <w:i/>
          <w:iCs/>
          <w:color w:val="222222"/>
          <w:shd w:val="clear" w:color="auto" w:fill="FFFFFF"/>
        </w:rPr>
        <w:t>49</w:t>
      </w:r>
      <w:r w:rsidRPr="000803FB">
        <w:rPr>
          <w:rFonts w:ascii="Arial" w:eastAsia="Calibri" w:hAnsi="Arial" w:cs="Arial"/>
          <w:color w:val="222222"/>
          <w:shd w:val="clear" w:color="auto" w:fill="FFFFFF"/>
        </w:rPr>
        <w:t>(3), 449-469.</w:t>
      </w:r>
    </w:p>
    <w:p w14:paraId="69A8F999" w14:textId="4880ED6D" w:rsidR="000803FB" w:rsidRDefault="000803FB" w:rsidP="000803FB">
      <w:pPr>
        <w:pStyle w:val="Body"/>
        <w:spacing w:after="0"/>
        <w:rPr>
          <w:rFonts w:ascii="Arial" w:hAnsi="Arial" w:cs="Arial"/>
        </w:rPr>
      </w:pPr>
      <w:r w:rsidRPr="00732C16">
        <w:rPr>
          <w:rFonts w:ascii="Arial" w:hAnsi="Arial" w:cs="Arial"/>
        </w:rPr>
        <w:t xml:space="preserve">Tang, J. J., </w:t>
      </w:r>
      <w:proofErr w:type="spellStart"/>
      <w:r w:rsidRPr="00732C16">
        <w:rPr>
          <w:rFonts w:ascii="Arial" w:hAnsi="Arial" w:cs="Arial"/>
        </w:rPr>
        <w:t>Quayes</w:t>
      </w:r>
      <w:proofErr w:type="spellEnd"/>
      <w:r w:rsidRPr="00732C16">
        <w:rPr>
          <w:rFonts w:ascii="Arial" w:hAnsi="Arial" w:cs="Arial"/>
        </w:rPr>
        <w:t>, S., &amp; Joseph, G. (2020). Microfinance institutions, financial intermediation and the role of deposits. </w:t>
      </w:r>
      <w:r w:rsidRPr="00732C16">
        <w:rPr>
          <w:rFonts w:ascii="Arial" w:hAnsi="Arial" w:cs="Arial"/>
          <w:i/>
          <w:iCs/>
        </w:rPr>
        <w:t>Accounting &amp; Finance</w:t>
      </w:r>
      <w:r w:rsidRPr="00732C16">
        <w:rPr>
          <w:rFonts w:ascii="Arial" w:hAnsi="Arial" w:cs="Arial"/>
        </w:rPr>
        <w:t>, </w:t>
      </w:r>
      <w:r w:rsidRPr="00732C16">
        <w:rPr>
          <w:rFonts w:ascii="Arial" w:hAnsi="Arial" w:cs="Arial"/>
          <w:i/>
          <w:iCs/>
        </w:rPr>
        <w:t>60</w:t>
      </w:r>
      <w:r w:rsidRPr="00732C16">
        <w:rPr>
          <w:rFonts w:ascii="Arial" w:hAnsi="Arial" w:cs="Arial"/>
        </w:rPr>
        <w:t>(2), 1635-1672.</w:t>
      </w:r>
    </w:p>
    <w:p w14:paraId="1521490A" w14:textId="77777777" w:rsidR="00E04378" w:rsidRPr="00732C16" w:rsidRDefault="00E04378" w:rsidP="000803FB">
      <w:pPr>
        <w:pStyle w:val="Body"/>
        <w:spacing w:after="0"/>
        <w:rPr>
          <w:rFonts w:ascii="Arial" w:hAnsi="Arial" w:cs="Arial"/>
        </w:rPr>
      </w:pPr>
    </w:p>
    <w:p w14:paraId="127C4A83" w14:textId="38FBC153" w:rsidR="000803FB" w:rsidRDefault="000803FB" w:rsidP="000803FB">
      <w:pPr>
        <w:pStyle w:val="Body"/>
        <w:spacing w:after="0"/>
        <w:rPr>
          <w:rFonts w:ascii="Arial" w:hAnsi="Arial" w:cs="Arial"/>
        </w:rPr>
      </w:pPr>
      <w:r w:rsidRPr="00732C16">
        <w:rPr>
          <w:rFonts w:ascii="Arial" w:hAnsi="Arial" w:cs="Arial"/>
        </w:rPr>
        <w:t>Williams, H. (2021). The meaning of “Phenomenology”: Qualitative and philosophical phenomenological research methods. </w:t>
      </w:r>
      <w:r w:rsidRPr="00732C16">
        <w:rPr>
          <w:rFonts w:ascii="Arial" w:hAnsi="Arial" w:cs="Arial"/>
          <w:i/>
          <w:iCs/>
        </w:rPr>
        <w:t>The Qualitative Report</w:t>
      </w:r>
      <w:r w:rsidRPr="00732C16">
        <w:rPr>
          <w:rFonts w:ascii="Arial" w:hAnsi="Arial" w:cs="Arial"/>
        </w:rPr>
        <w:t>, </w:t>
      </w:r>
      <w:r w:rsidRPr="00732C16">
        <w:rPr>
          <w:rFonts w:ascii="Arial" w:hAnsi="Arial" w:cs="Arial"/>
          <w:i/>
          <w:iCs/>
        </w:rPr>
        <w:t>26</w:t>
      </w:r>
      <w:r w:rsidRPr="00732C16">
        <w:rPr>
          <w:rFonts w:ascii="Arial" w:hAnsi="Arial" w:cs="Arial"/>
        </w:rPr>
        <w:t>(2), 366-385.</w:t>
      </w:r>
    </w:p>
    <w:p w14:paraId="2D346BF0" w14:textId="77777777" w:rsidR="00E04378" w:rsidRPr="00732C16" w:rsidRDefault="00E04378" w:rsidP="000803FB">
      <w:pPr>
        <w:pStyle w:val="Body"/>
        <w:spacing w:after="0"/>
        <w:rPr>
          <w:rFonts w:ascii="Arial" w:hAnsi="Arial" w:cs="Arial"/>
        </w:rPr>
      </w:pPr>
    </w:p>
    <w:p w14:paraId="45433498" w14:textId="4F1DA769" w:rsidR="000803FB" w:rsidRDefault="000803FB" w:rsidP="000803FB">
      <w:pPr>
        <w:pStyle w:val="Body"/>
        <w:spacing w:after="0"/>
        <w:rPr>
          <w:rFonts w:ascii="Arial" w:hAnsi="Arial" w:cs="Arial"/>
        </w:rPr>
      </w:pPr>
      <w:r w:rsidRPr="00732C16">
        <w:rPr>
          <w:rFonts w:ascii="Arial" w:hAnsi="Arial" w:cs="Arial"/>
        </w:rPr>
        <w:t xml:space="preserve">Wu, M. J., Zhao, K., &amp; </w:t>
      </w:r>
      <w:proofErr w:type="spellStart"/>
      <w:r w:rsidRPr="00732C16">
        <w:rPr>
          <w:rFonts w:ascii="Arial" w:hAnsi="Arial" w:cs="Arial"/>
        </w:rPr>
        <w:t>Fils-Aime</w:t>
      </w:r>
      <w:proofErr w:type="spellEnd"/>
      <w:r w:rsidRPr="00732C16">
        <w:rPr>
          <w:rFonts w:ascii="Arial" w:hAnsi="Arial" w:cs="Arial"/>
        </w:rPr>
        <w:t>, F. (2022). Response rates of online surveys in published research: A meta-analysis. </w:t>
      </w:r>
      <w:r w:rsidRPr="00732C16">
        <w:rPr>
          <w:rFonts w:ascii="Arial" w:hAnsi="Arial" w:cs="Arial"/>
          <w:i/>
          <w:iCs/>
        </w:rPr>
        <w:t>Computers in human behavior reports</w:t>
      </w:r>
      <w:r w:rsidRPr="00732C16">
        <w:rPr>
          <w:rFonts w:ascii="Arial" w:hAnsi="Arial" w:cs="Arial"/>
        </w:rPr>
        <w:t>, </w:t>
      </w:r>
      <w:r w:rsidRPr="00732C16">
        <w:rPr>
          <w:rFonts w:ascii="Arial" w:hAnsi="Arial" w:cs="Arial"/>
          <w:i/>
          <w:iCs/>
        </w:rPr>
        <w:t>7</w:t>
      </w:r>
      <w:r w:rsidRPr="00732C16">
        <w:rPr>
          <w:rFonts w:ascii="Arial" w:hAnsi="Arial" w:cs="Arial"/>
        </w:rPr>
        <w:t>, 100206.</w:t>
      </w:r>
    </w:p>
    <w:p w14:paraId="3FAC3D16" w14:textId="77777777" w:rsidR="00E04378" w:rsidRPr="00732C16" w:rsidRDefault="00E04378" w:rsidP="000803FB">
      <w:pPr>
        <w:pStyle w:val="Body"/>
        <w:spacing w:after="0"/>
        <w:rPr>
          <w:rFonts w:ascii="Arial" w:hAnsi="Arial" w:cs="Arial"/>
        </w:rPr>
      </w:pPr>
    </w:p>
    <w:p w14:paraId="3E457D1E" w14:textId="77777777" w:rsidR="000803FB" w:rsidRPr="00732C16" w:rsidRDefault="000803FB" w:rsidP="000803FB">
      <w:pPr>
        <w:pStyle w:val="Body"/>
        <w:spacing w:after="0"/>
        <w:rPr>
          <w:rFonts w:ascii="Arial" w:hAnsi="Arial" w:cs="Arial"/>
        </w:rPr>
      </w:pPr>
      <w:r w:rsidRPr="00732C16">
        <w:rPr>
          <w:rFonts w:ascii="Arial" w:hAnsi="Arial" w:cs="Arial"/>
        </w:rPr>
        <w:lastRenderedPageBreak/>
        <w:t>Zhang, L. (2020). An institutional approach to gender diversity and firm performance. </w:t>
      </w:r>
      <w:r w:rsidRPr="00732C16">
        <w:rPr>
          <w:rFonts w:ascii="Arial" w:hAnsi="Arial" w:cs="Arial"/>
          <w:i/>
          <w:iCs/>
        </w:rPr>
        <w:t>Organization Science</w:t>
      </w:r>
      <w:r w:rsidRPr="00732C16">
        <w:rPr>
          <w:rFonts w:ascii="Arial" w:hAnsi="Arial" w:cs="Arial"/>
        </w:rPr>
        <w:t>, </w:t>
      </w:r>
      <w:r w:rsidRPr="00732C16">
        <w:rPr>
          <w:rFonts w:ascii="Arial" w:hAnsi="Arial" w:cs="Arial"/>
          <w:i/>
          <w:iCs/>
        </w:rPr>
        <w:t>31</w:t>
      </w:r>
      <w:r w:rsidRPr="00732C16">
        <w:rPr>
          <w:rFonts w:ascii="Arial" w:hAnsi="Arial" w:cs="Arial"/>
        </w:rPr>
        <w:t>(2), 439-457.</w:t>
      </w:r>
    </w:p>
    <w:p w14:paraId="08B6771C" w14:textId="77777777" w:rsidR="00441B6F" w:rsidRPr="00732C16" w:rsidRDefault="00441B6F" w:rsidP="00732C16">
      <w:pPr>
        <w:pStyle w:val="Body"/>
        <w:spacing w:after="0"/>
        <w:jc w:val="left"/>
        <w:rPr>
          <w:rFonts w:ascii="Arial" w:hAnsi="Arial" w:cs="Arial"/>
        </w:rPr>
      </w:pPr>
    </w:p>
    <w:p w14:paraId="5B041B8D" w14:textId="77777777" w:rsidR="00B01FCD" w:rsidRPr="00732C16" w:rsidRDefault="00B01FCD" w:rsidP="00732C16">
      <w:pPr>
        <w:pStyle w:val="Reference"/>
        <w:numPr>
          <w:ilvl w:val="0"/>
          <w:numId w:val="0"/>
        </w:numPr>
        <w:spacing w:line="240" w:lineRule="auto"/>
        <w:rPr>
          <w:rFonts w:ascii="Arial" w:hAnsi="Arial" w:cs="Arial"/>
        </w:rPr>
      </w:pPr>
    </w:p>
    <w:p w14:paraId="47A1DAC5" w14:textId="77777777" w:rsidR="00B01FCD" w:rsidRPr="00732C16" w:rsidRDefault="00B01FCD" w:rsidP="00732C16">
      <w:pPr>
        <w:pStyle w:val="DefAcrHead"/>
        <w:spacing w:after="0"/>
        <w:jc w:val="both"/>
        <w:rPr>
          <w:rFonts w:ascii="Arial" w:hAnsi="Arial" w:cs="Arial"/>
        </w:rPr>
      </w:pPr>
      <w:r w:rsidRPr="00732C16">
        <w:rPr>
          <w:rFonts w:ascii="Arial" w:hAnsi="Arial" w:cs="Arial"/>
        </w:rPr>
        <w:t xml:space="preserve"> Acronyms, Abbreviations</w:t>
      </w:r>
    </w:p>
    <w:p w14:paraId="27529CA6" w14:textId="77777777" w:rsidR="00C84CD2" w:rsidRPr="00732C16" w:rsidRDefault="00C84CD2" w:rsidP="00732C16">
      <w:pPr>
        <w:pStyle w:val="Body"/>
        <w:rPr>
          <w:rFonts w:ascii="Arial" w:hAnsi="Arial" w:cs="Arial"/>
        </w:rPr>
      </w:pPr>
      <w:r w:rsidRPr="00732C16">
        <w:rPr>
          <w:rFonts w:ascii="Arial" w:hAnsi="Arial" w:cs="Arial"/>
        </w:rPr>
        <w:t>GDP – Gross Domestic Product</w:t>
      </w:r>
    </w:p>
    <w:p w14:paraId="2750410E" w14:textId="77777777" w:rsidR="00C84CD2" w:rsidRPr="00732C16" w:rsidRDefault="00C84CD2" w:rsidP="00732C16">
      <w:pPr>
        <w:pStyle w:val="Body"/>
        <w:rPr>
          <w:rFonts w:ascii="Arial" w:hAnsi="Arial" w:cs="Arial"/>
        </w:rPr>
      </w:pPr>
      <w:r w:rsidRPr="00732C16">
        <w:rPr>
          <w:rFonts w:ascii="Arial" w:hAnsi="Arial" w:cs="Arial"/>
        </w:rPr>
        <w:t>ICT – Information and Communication Technology</w:t>
      </w:r>
    </w:p>
    <w:p w14:paraId="4CDC8B21" w14:textId="77777777" w:rsidR="00C84CD2" w:rsidRPr="00732C16" w:rsidRDefault="00C84CD2" w:rsidP="00732C16">
      <w:pPr>
        <w:pStyle w:val="Body"/>
        <w:rPr>
          <w:rFonts w:ascii="Arial" w:hAnsi="Arial" w:cs="Arial"/>
        </w:rPr>
      </w:pPr>
      <w:r w:rsidRPr="00732C16">
        <w:rPr>
          <w:rFonts w:ascii="Arial" w:hAnsi="Arial" w:cs="Arial"/>
        </w:rPr>
        <w:t>MFI – Micro-Financial Institution</w:t>
      </w:r>
    </w:p>
    <w:p w14:paraId="43D2510C" w14:textId="77777777" w:rsidR="00C84CD2" w:rsidRPr="00732C16" w:rsidRDefault="00C84CD2" w:rsidP="00732C16">
      <w:pPr>
        <w:pStyle w:val="Body"/>
        <w:rPr>
          <w:rFonts w:ascii="Arial" w:hAnsi="Arial" w:cs="Arial"/>
        </w:rPr>
      </w:pPr>
      <w:r w:rsidRPr="00732C16">
        <w:rPr>
          <w:rFonts w:ascii="Arial" w:hAnsi="Arial" w:cs="Arial"/>
        </w:rPr>
        <w:t>NPL– Non-Performing Loans</w:t>
      </w:r>
    </w:p>
    <w:p w14:paraId="767C0DF3" w14:textId="77777777" w:rsidR="00C84CD2" w:rsidRPr="00732C16" w:rsidRDefault="00C84CD2" w:rsidP="00732C16">
      <w:pPr>
        <w:pStyle w:val="Body"/>
        <w:rPr>
          <w:rFonts w:ascii="Arial" w:hAnsi="Arial" w:cs="Arial"/>
        </w:rPr>
      </w:pPr>
      <w:r w:rsidRPr="00732C16">
        <w:rPr>
          <w:rFonts w:ascii="Arial" w:hAnsi="Arial" w:cs="Arial"/>
        </w:rPr>
        <w:t>ROA– Return on Assets</w:t>
      </w:r>
    </w:p>
    <w:p w14:paraId="10302641" w14:textId="77777777" w:rsidR="00C84CD2" w:rsidRPr="00732C16" w:rsidRDefault="00C84CD2" w:rsidP="00732C16">
      <w:pPr>
        <w:pStyle w:val="Body"/>
        <w:rPr>
          <w:rFonts w:ascii="Arial" w:hAnsi="Arial" w:cs="Arial"/>
        </w:rPr>
      </w:pPr>
      <w:r w:rsidRPr="00732C16">
        <w:rPr>
          <w:rFonts w:ascii="Arial" w:hAnsi="Arial" w:cs="Arial"/>
        </w:rPr>
        <w:t>ROE– Return on Equity</w:t>
      </w:r>
    </w:p>
    <w:p w14:paraId="22385293" w14:textId="77777777" w:rsidR="00C84CD2" w:rsidRPr="00732C16" w:rsidRDefault="00C84CD2" w:rsidP="00732C16">
      <w:pPr>
        <w:pStyle w:val="Body"/>
        <w:rPr>
          <w:rFonts w:ascii="Arial" w:hAnsi="Arial" w:cs="Arial"/>
        </w:rPr>
      </w:pPr>
      <w:r w:rsidRPr="00732C16">
        <w:rPr>
          <w:rFonts w:ascii="Arial" w:hAnsi="Arial" w:cs="Arial"/>
        </w:rPr>
        <w:t>SPSS – Statistical Package for the Social Sciences</w:t>
      </w:r>
    </w:p>
    <w:p w14:paraId="65C48567" w14:textId="77777777" w:rsidR="00C84CD2" w:rsidRPr="00732C16" w:rsidRDefault="00C84CD2" w:rsidP="00732C16">
      <w:pPr>
        <w:pStyle w:val="Body"/>
        <w:rPr>
          <w:rFonts w:ascii="Arial" w:hAnsi="Arial" w:cs="Arial"/>
        </w:rPr>
      </w:pPr>
      <w:r w:rsidRPr="00732C16">
        <w:rPr>
          <w:rFonts w:ascii="Arial" w:hAnsi="Arial" w:cs="Arial"/>
        </w:rPr>
        <w:t xml:space="preserve">UNDP – United Nations Development </w:t>
      </w:r>
      <w:proofErr w:type="spellStart"/>
      <w:r w:rsidRPr="00732C16">
        <w:rPr>
          <w:rFonts w:ascii="Arial" w:hAnsi="Arial" w:cs="Arial"/>
        </w:rPr>
        <w:t>Programme</w:t>
      </w:r>
      <w:proofErr w:type="spellEnd"/>
    </w:p>
    <w:p w14:paraId="3F3E9C81" w14:textId="77777777" w:rsidR="00C84CD2" w:rsidRPr="00732C16" w:rsidRDefault="00C84CD2" w:rsidP="00732C16">
      <w:pPr>
        <w:pStyle w:val="Body"/>
        <w:rPr>
          <w:rFonts w:ascii="Arial" w:hAnsi="Arial" w:cs="Arial"/>
        </w:rPr>
      </w:pPr>
    </w:p>
    <w:p w14:paraId="6006E3C4" w14:textId="77777777" w:rsidR="004D4277" w:rsidRPr="00732C16" w:rsidRDefault="004D4277" w:rsidP="00732C16">
      <w:pPr>
        <w:pStyle w:val="Appendix"/>
        <w:spacing w:after="0"/>
        <w:jc w:val="both"/>
        <w:rPr>
          <w:rFonts w:ascii="Arial" w:hAnsi="Arial" w:cs="Arial"/>
          <w:b w:val="0"/>
        </w:rPr>
        <w:sectPr w:rsidR="004D4277" w:rsidRPr="00732C16" w:rsidSect="00856F0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35CCD6B" w14:textId="77777777" w:rsidR="00C84CD2" w:rsidRPr="005B4981" w:rsidRDefault="00C84CD2" w:rsidP="005B4981">
      <w:pPr>
        <w:rPr>
          <w:rFonts w:eastAsia="Roboto"/>
          <w:b/>
          <w:lang w:eastAsia="cs-CZ"/>
        </w:rPr>
      </w:pPr>
      <w:bookmarkStart w:id="1" w:name="_Toc185535638"/>
      <w:r w:rsidRPr="005B4981">
        <w:rPr>
          <w:rFonts w:eastAsia="Roboto"/>
          <w:b/>
          <w:lang w:eastAsia="cs-CZ"/>
        </w:rPr>
        <w:t>Appendix 1: Questionnaire</w:t>
      </w:r>
      <w:bookmarkEnd w:id="1"/>
    </w:p>
    <w:p w14:paraId="1A4134FA" w14:textId="77777777" w:rsidR="00C84CD2" w:rsidRPr="00C84CD2" w:rsidRDefault="00C84CD2" w:rsidP="00732C16">
      <w:pPr>
        <w:contextualSpacing/>
        <w:jc w:val="both"/>
        <w:rPr>
          <w:rFonts w:ascii="Arial" w:eastAsia="Roboto" w:hAnsi="Arial" w:cs="Arial"/>
          <w:b/>
          <w:bCs/>
          <w:lang w:eastAsia="cs-CZ"/>
        </w:rPr>
      </w:pPr>
      <w:r w:rsidRPr="00C84CD2">
        <w:rPr>
          <w:rFonts w:ascii="Arial" w:eastAsia="Roboto" w:hAnsi="Arial" w:cs="Arial"/>
          <w:b/>
          <w:bCs/>
          <w:lang w:eastAsia="cs-CZ"/>
        </w:rPr>
        <w:t>Section A: Demographic Information</w:t>
      </w:r>
    </w:p>
    <w:p w14:paraId="529A09A6" w14:textId="77777777" w:rsidR="00C84CD2" w:rsidRPr="00C84CD2" w:rsidRDefault="00C84CD2" w:rsidP="00732C16">
      <w:pPr>
        <w:contextualSpacing/>
        <w:jc w:val="both"/>
        <w:rPr>
          <w:rFonts w:ascii="Arial" w:eastAsia="Roboto" w:hAnsi="Arial" w:cs="Arial"/>
          <w:b/>
          <w:bCs/>
          <w:lang w:val="en-ZW" w:eastAsia="cs-CZ"/>
        </w:rPr>
      </w:pPr>
      <w:r w:rsidRPr="00C84CD2">
        <w:rPr>
          <w:rFonts w:ascii="Arial" w:eastAsia="Roboto" w:hAnsi="Arial" w:cs="Arial"/>
          <w:b/>
          <w:bCs/>
          <w:lang w:val="en-ZW" w:eastAsia="cs-CZ"/>
        </w:rPr>
        <w:t>Instructions:</w:t>
      </w:r>
      <w:r w:rsidRPr="00C84CD2">
        <w:rPr>
          <w:rFonts w:ascii="Arial" w:eastAsia="Roboto" w:hAnsi="Arial" w:cs="Arial"/>
          <w:bCs/>
          <w:lang w:val="en-ZW" w:eastAsia="cs-CZ"/>
        </w:rPr>
        <w:t xml:space="preserve"> Please fill in the following with the appropriate response to questions asked. </w:t>
      </w:r>
    </w:p>
    <w:tbl>
      <w:tblPr>
        <w:tblW w:w="978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4470"/>
        <w:gridCol w:w="3600"/>
        <w:gridCol w:w="1710"/>
      </w:tblGrid>
      <w:tr w:rsidR="00C84CD2" w:rsidRPr="00C84CD2" w14:paraId="006945BE" w14:textId="77777777" w:rsidTr="00936D8B">
        <w:trPr>
          <w:trHeight w:val="248"/>
        </w:trPr>
        <w:tc>
          <w:tcPr>
            <w:tcW w:w="4470" w:type="dxa"/>
            <w:tcBorders>
              <w:top w:val="single" w:sz="24" w:space="0" w:color="auto"/>
              <w:left w:val="single" w:sz="24" w:space="0" w:color="auto"/>
              <w:bottom w:val="single" w:sz="24" w:space="0" w:color="auto"/>
              <w:right w:val="single" w:sz="24" w:space="0" w:color="auto"/>
            </w:tcBorders>
            <w:shd w:val="clear" w:color="auto" w:fill="FDE9D9"/>
          </w:tcPr>
          <w:p w14:paraId="7A71134C"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Variable</w:t>
            </w:r>
          </w:p>
        </w:tc>
        <w:tc>
          <w:tcPr>
            <w:tcW w:w="3600" w:type="dxa"/>
            <w:tcBorders>
              <w:top w:val="single" w:sz="24" w:space="0" w:color="auto"/>
              <w:left w:val="single" w:sz="24" w:space="0" w:color="auto"/>
              <w:bottom w:val="single" w:sz="24" w:space="0" w:color="auto"/>
              <w:right w:val="single" w:sz="24" w:space="0" w:color="auto"/>
            </w:tcBorders>
            <w:shd w:val="clear" w:color="auto" w:fill="FDE9D9"/>
          </w:tcPr>
          <w:p w14:paraId="5EFE3D53"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Category</w:t>
            </w:r>
          </w:p>
        </w:tc>
        <w:tc>
          <w:tcPr>
            <w:tcW w:w="1710" w:type="dxa"/>
            <w:tcBorders>
              <w:top w:val="single" w:sz="24" w:space="0" w:color="auto"/>
              <w:left w:val="single" w:sz="24" w:space="0" w:color="auto"/>
              <w:bottom w:val="single" w:sz="24" w:space="0" w:color="auto"/>
              <w:right w:val="single" w:sz="24" w:space="0" w:color="auto"/>
            </w:tcBorders>
            <w:shd w:val="clear" w:color="auto" w:fill="FDE9D9"/>
          </w:tcPr>
          <w:p w14:paraId="5A837696" w14:textId="77777777" w:rsidR="00C84CD2" w:rsidRPr="00C84CD2" w:rsidRDefault="00C84CD2" w:rsidP="00732C16">
            <w:pPr>
              <w:ind w:firstLine="720"/>
              <w:contextualSpacing/>
              <w:jc w:val="both"/>
              <w:rPr>
                <w:rFonts w:ascii="Arial" w:eastAsia="Roboto" w:hAnsi="Arial" w:cs="Arial"/>
                <w:b/>
                <w:bCs/>
                <w:lang w:val="en-ZW" w:eastAsia="cs-CZ"/>
              </w:rPr>
            </w:pPr>
            <w:r w:rsidRPr="00C84CD2">
              <w:rPr>
                <w:rFonts w:ascii="Arial" w:eastAsia="Roboto" w:hAnsi="Arial" w:cs="Arial"/>
                <w:b/>
                <w:bCs/>
                <w:lang w:val="en-ZW" w:eastAsia="cs-CZ"/>
              </w:rPr>
              <w:t>Mark</w:t>
            </w:r>
          </w:p>
        </w:tc>
      </w:tr>
      <w:tr w:rsidR="00C84CD2" w:rsidRPr="00C84CD2" w14:paraId="6D7864D4" w14:textId="77777777" w:rsidTr="00936D8B">
        <w:trPr>
          <w:trHeight w:val="378"/>
        </w:trPr>
        <w:tc>
          <w:tcPr>
            <w:tcW w:w="4470" w:type="dxa"/>
            <w:vMerge w:val="restart"/>
            <w:tcBorders>
              <w:top w:val="single" w:sz="24" w:space="0" w:color="auto"/>
              <w:left w:val="single" w:sz="24" w:space="0" w:color="auto"/>
              <w:bottom w:val="single" w:sz="24" w:space="0" w:color="auto"/>
              <w:right w:val="single" w:sz="24" w:space="0" w:color="auto"/>
            </w:tcBorders>
          </w:tcPr>
          <w:p w14:paraId="61A5370E" w14:textId="77777777" w:rsidR="00C84CD2" w:rsidRPr="00C84CD2" w:rsidRDefault="00C84CD2" w:rsidP="00732C16">
            <w:pPr>
              <w:ind w:firstLine="720"/>
              <w:contextualSpacing/>
              <w:jc w:val="both"/>
              <w:rPr>
                <w:rFonts w:ascii="Arial" w:eastAsia="Roboto" w:hAnsi="Arial" w:cs="Arial"/>
                <w:b/>
                <w:bCs/>
                <w:lang w:val="en-ZW" w:eastAsia="cs-CZ"/>
              </w:rPr>
            </w:pPr>
            <w:r w:rsidRPr="00732C16">
              <w:rPr>
                <w:rFonts w:ascii="Arial" w:eastAsia="Roboto" w:hAnsi="Arial" w:cs="Arial"/>
                <w:b/>
                <w:bCs/>
                <w:lang w:eastAsia="cs-CZ"/>
              </w:rPr>
              <w:t>1</w:t>
            </w:r>
            <w:r w:rsidRPr="00C84CD2">
              <w:rPr>
                <w:rFonts w:ascii="Arial" w:eastAsia="Roboto" w:hAnsi="Arial" w:cs="Arial"/>
                <w:b/>
                <w:bCs/>
                <w:lang w:eastAsia="cs-CZ"/>
              </w:rPr>
              <w:t>.</w:t>
            </w:r>
            <w:r w:rsidRPr="00C84CD2">
              <w:rPr>
                <w:rFonts w:ascii="Arial" w:eastAsia="Roboto" w:hAnsi="Arial" w:cs="Arial"/>
                <w:b/>
                <w:bCs/>
                <w:lang w:val="en-ZW" w:eastAsia="cs-CZ"/>
              </w:rPr>
              <w:t>Gender/Sex</w:t>
            </w:r>
          </w:p>
        </w:tc>
        <w:tc>
          <w:tcPr>
            <w:tcW w:w="3600" w:type="dxa"/>
            <w:tcBorders>
              <w:top w:val="single" w:sz="24" w:space="0" w:color="auto"/>
              <w:left w:val="single" w:sz="24" w:space="0" w:color="auto"/>
              <w:bottom w:val="single" w:sz="24" w:space="0" w:color="auto"/>
              <w:right w:val="single" w:sz="24" w:space="0" w:color="auto"/>
            </w:tcBorders>
          </w:tcPr>
          <w:p w14:paraId="1A3DF44C" w14:textId="77777777" w:rsidR="00C84CD2" w:rsidRPr="00C84CD2" w:rsidRDefault="00C84CD2" w:rsidP="00732C16">
            <w:pPr>
              <w:ind w:firstLine="720"/>
              <w:contextualSpacing/>
              <w:jc w:val="both"/>
              <w:rPr>
                <w:rFonts w:ascii="Arial" w:eastAsia="Roboto" w:hAnsi="Arial" w:cs="Arial"/>
                <w:bCs/>
                <w:lang w:val="en-ZW" w:eastAsia="cs-CZ"/>
              </w:rPr>
            </w:pPr>
            <w:r w:rsidRPr="00C84CD2">
              <w:rPr>
                <w:rFonts w:ascii="Arial" w:eastAsia="Roboto" w:hAnsi="Arial" w:cs="Arial"/>
                <w:bCs/>
                <w:lang w:val="en-ZW" w:eastAsia="cs-CZ"/>
              </w:rPr>
              <w:t>Male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55D1D229"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1E2D3973" w14:textId="77777777" w:rsidTr="00936D8B">
        <w:trPr>
          <w:trHeight w:val="247"/>
        </w:trPr>
        <w:tc>
          <w:tcPr>
            <w:tcW w:w="4470" w:type="dxa"/>
            <w:vMerge/>
            <w:tcBorders>
              <w:top w:val="single" w:sz="24" w:space="0" w:color="auto"/>
              <w:left w:val="single" w:sz="24" w:space="0" w:color="auto"/>
              <w:bottom w:val="single" w:sz="24" w:space="0" w:color="auto"/>
              <w:right w:val="single" w:sz="24" w:space="0" w:color="auto"/>
            </w:tcBorders>
            <w:vAlign w:val="center"/>
          </w:tcPr>
          <w:p w14:paraId="3EC11579"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1061918F" w14:textId="77777777" w:rsidR="00C84CD2" w:rsidRPr="00C84CD2" w:rsidRDefault="00C84CD2" w:rsidP="00732C16">
            <w:pPr>
              <w:ind w:firstLine="720"/>
              <w:contextualSpacing/>
              <w:jc w:val="both"/>
              <w:rPr>
                <w:rFonts w:ascii="Arial" w:eastAsia="Roboto" w:hAnsi="Arial" w:cs="Arial"/>
                <w:bCs/>
                <w:lang w:val="en-ZW" w:eastAsia="cs-CZ"/>
              </w:rPr>
            </w:pPr>
            <w:r w:rsidRPr="00C84CD2">
              <w:rPr>
                <w:rFonts w:ascii="Arial" w:eastAsia="Roboto" w:hAnsi="Arial" w:cs="Arial"/>
                <w:bCs/>
                <w:lang w:val="en-ZW" w:eastAsia="cs-CZ"/>
              </w:rPr>
              <w:t>Female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0A19E32F"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7C9480FF" w14:textId="77777777" w:rsidTr="00936D8B">
        <w:trPr>
          <w:trHeight w:val="99"/>
        </w:trPr>
        <w:tc>
          <w:tcPr>
            <w:tcW w:w="4470" w:type="dxa"/>
            <w:vMerge w:val="restart"/>
            <w:tcBorders>
              <w:top w:val="single" w:sz="24" w:space="0" w:color="auto"/>
              <w:left w:val="single" w:sz="24" w:space="0" w:color="auto"/>
              <w:right w:val="single" w:sz="24" w:space="0" w:color="auto"/>
            </w:tcBorders>
          </w:tcPr>
          <w:p w14:paraId="4801AD2B" w14:textId="77777777" w:rsidR="00C84CD2" w:rsidRPr="00C84CD2" w:rsidRDefault="00C84CD2" w:rsidP="00732C16">
            <w:pPr>
              <w:ind w:firstLine="720"/>
              <w:contextualSpacing/>
              <w:jc w:val="both"/>
              <w:rPr>
                <w:rFonts w:ascii="Arial" w:eastAsia="Roboto" w:hAnsi="Arial" w:cs="Arial"/>
                <w:b/>
                <w:bCs/>
                <w:lang w:val="en-ZW" w:eastAsia="cs-CZ"/>
              </w:rPr>
            </w:pPr>
            <w:r w:rsidRPr="00732C16">
              <w:rPr>
                <w:rFonts w:ascii="Arial" w:eastAsia="Roboto" w:hAnsi="Arial" w:cs="Arial"/>
                <w:b/>
                <w:bCs/>
                <w:lang w:eastAsia="cs-CZ"/>
              </w:rPr>
              <w:t>2.</w:t>
            </w:r>
            <w:r w:rsidRPr="00C84CD2">
              <w:rPr>
                <w:rFonts w:ascii="Arial" w:eastAsia="Roboto" w:hAnsi="Arial" w:cs="Arial"/>
                <w:b/>
                <w:bCs/>
                <w:lang w:val="en-ZW" w:eastAsia="cs-CZ"/>
              </w:rPr>
              <w:t>Position within the MFI</w:t>
            </w:r>
          </w:p>
        </w:tc>
        <w:tc>
          <w:tcPr>
            <w:tcW w:w="3600" w:type="dxa"/>
            <w:tcBorders>
              <w:top w:val="single" w:sz="24" w:space="0" w:color="auto"/>
              <w:left w:val="single" w:sz="24" w:space="0" w:color="auto"/>
              <w:bottom w:val="single" w:sz="24" w:space="0" w:color="auto"/>
              <w:right w:val="single" w:sz="24" w:space="0" w:color="auto"/>
            </w:tcBorders>
          </w:tcPr>
          <w:p w14:paraId="035D33E6"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Executive Management (e.g., CEO, CFO)</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299CB9E6"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0E18EB5F" w14:textId="77777777" w:rsidTr="00936D8B">
        <w:trPr>
          <w:trHeight w:val="99"/>
        </w:trPr>
        <w:tc>
          <w:tcPr>
            <w:tcW w:w="4470" w:type="dxa"/>
            <w:vMerge/>
            <w:tcBorders>
              <w:left w:val="single" w:sz="24" w:space="0" w:color="auto"/>
              <w:right w:val="single" w:sz="24" w:space="0" w:color="auto"/>
            </w:tcBorders>
            <w:vAlign w:val="center"/>
          </w:tcPr>
          <w:p w14:paraId="6825ABAC"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0837DB33"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 xml:space="preserve"> Middle Management (e.g., Department Head, Branch Manager)</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61E0F4B7"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290140AE" w14:textId="77777777" w:rsidTr="00936D8B">
        <w:trPr>
          <w:trHeight w:val="99"/>
        </w:trPr>
        <w:tc>
          <w:tcPr>
            <w:tcW w:w="4470" w:type="dxa"/>
            <w:vMerge/>
            <w:tcBorders>
              <w:left w:val="single" w:sz="24" w:space="0" w:color="auto"/>
              <w:right w:val="single" w:sz="24" w:space="0" w:color="auto"/>
            </w:tcBorders>
            <w:vAlign w:val="center"/>
          </w:tcPr>
          <w:p w14:paraId="6D0A5BA6"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416ADBBA"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Operational Staff (e.g., Loan Officer, Customer Service Representative)</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3B7C421E" w14:textId="77777777" w:rsidR="00C84CD2" w:rsidRPr="00C84CD2" w:rsidRDefault="00C84CD2" w:rsidP="00732C16">
            <w:pPr>
              <w:ind w:firstLine="720"/>
              <w:contextualSpacing/>
              <w:jc w:val="both"/>
              <w:rPr>
                <w:rFonts w:ascii="Arial" w:eastAsia="Roboto" w:hAnsi="Arial" w:cs="Arial"/>
                <w:b/>
                <w:bCs/>
                <w:lang w:val="en-ZW" w:eastAsia="cs-CZ"/>
              </w:rPr>
            </w:pPr>
          </w:p>
        </w:tc>
      </w:tr>
      <w:tr w:rsidR="00C84CD2" w:rsidRPr="00C84CD2" w14:paraId="53682612" w14:textId="77777777" w:rsidTr="00936D8B">
        <w:trPr>
          <w:trHeight w:val="99"/>
        </w:trPr>
        <w:tc>
          <w:tcPr>
            <w:tcW w:w="4470" w:type="dxa"/>
            <w:vMerge/>
            <w:tcBorders>
              <w:left w:val="single" w:sz="24" w:space="0" w:color="auto"/>
              <w:right w:val="single" w:sz="24" w:space="0" w:color="auto"/>
            </w:tcBorders>
            <w:vAlign w:val="center"/>
          </w:tcPr>
          <w:p w14:paraId="301B2D80" w14:textId="77777777" w:rsidR="00C84CD2" w:rsidRPr="00C84CD2" w:rsidRDefault="00C84CD2" w:rsidP="00732C16">
            <w:pPr>
              <w:ind w:firstLine="720"/>
              <w:contextualSpacing/>
              <w:jc w:val="both"/>
              <w:rPr>
                <w:rFonts w:ascii="Arial" w:eastAsia="Roboto" w:hAnsi="Arial" w:cs="Arial"/>
                <w:b/>
                <w:bCs/>
                <w:lang w:val="en-ZW" w:eastAsia="cs-CZ"/>
              </w:rPr>
            </w:pPr>
          </w:p>
        </w:tc>
        <w:tc>
          <w:tcPr>
            <w:tcW w:w="3600" w:type="dxa"/>
            <w:tcBorders>
              <w:top w:val="single" w:sz="24" w:space="0" w:color="auto"/>
              <w:left w:val="single" w:sz="24" w:space="0" w:color="auto"/>
              <w:bottom w:val="single" w:sz="24" w:space="0" w:color="auto"/>
              <w:right w:val="single" w:sz="24" w:space="0" w:color="auto"/>
            </w:tcBorders>
          </w:tcPr>
          <w:p w14:paraId="1DAD5C9F" w14:textId="77777777" w:rsidR="00C84CD2" w:rsidRPr="00C84CD2" w:rsidRDefault="00C84CD2" w:rsidP="00732C16">
            <w:pPr>
              <w:contextualSpacing/>
              <w:jc w:val="both"/>
              <w:rPr>
                <w:rFonts w:ascii="Arial" w:eastAsia="Roboto" w:hAnsi="Arial" w:cs="Arial"/>
                <w:bCs/>
                <w:lang w:eastAsia="cs-CZ"/>
              </w:rPr>
            </w:pPr>
            <w:r w:rsidRPr="00C84CD2">
              <w:rPr>
                <w:rFonts w:ascii="Arial" w:eastAsia="Roboto" w:hAnsi="Arial" w:cs="Arial"/>
                <w:bCs/>
                <w:lang w:eastAsia="cs-CZ"/>
              </w:rPr>
              <w:t>Support Staff (e.g., Administrative Assistant, IT Support)</w:t>
            </w:r>
          </w:p>
        </w:tc>
        <w:tc>
          <w:tcPr>
            <w:tcW w:w="1710" w:type="dxa"/>
            <w:tcBorders>
              <w:top w:val="single" w:sz="24" w:space="0" w:color="auto"/>
              <w:left w:val="single" w:sz="24" w:space="0" w:color="auto"/>
              <w:bottom w:val="single" w:sz="24" w:space="0" w:color="auto"/>
              <w:right w:val="single" w:sz="24" w:space="0" w:color="auto"/>
            </w:tcBorders>
            <w:shd w:val="clear" w:color="auto" w:fill="D6E3BC"/>
          </w:tcPr>
          <w:p w14:paraId="1EC7006D" w14:textId="77777777" w:rsidR="00C84CD2" w:rsidRPr="00C84CD2" w:rsidRDefault="00C84CD2" w:rsidP="00732C16">
            <w:pPr>
              <w:ind w:firstLine="720"/>
              <w:contextualSpacing/>
              <w:jc w:val="both"/>
              <w:rPr>
                <w:rFonts w:ascii="Arial" w:eastAsia="Roboto" w:hAnsi="Arial" w:cs="Arial"/>
                <w:b/>
                <w:bCs/>
                <w:lang w:val="en-ZW" w:eastAsia="cs-CZ"/>
              </w:rPr>
            </w:pPr>
          </w:p>
        </w:tc>
      </w:tr>
    </w:tbl>
    <w:p w14:paraId="5D895D86" w14:textId="77777777" w:rsidR="00B01FCD" w:rsidRPr="00732C16" w:rsidRDefault="00B01FCD" w:rsidP="00732C16">
      <w:pPr>
        <w:pStyle w:val="Appendix"/>
        <w:spacing w:after="0"/>
        <w:jc w:val="both"/>
        <w:rPr>
          <w:rFonts w:ascii="Arial" w:hAnsi="Arial" w:cs="Arial"/>
          <w:b w:val="0"/>
          <w:sz w:val="20"/>
        </w:rPr>
      </w:pPr>
    </w:p>
    <w:p w14:paraId="4AF7A537" w14:textId="77777777" w:rsidR="00DA3CBB" w:rsidRPr="00C84CD2" w:rsidRDefault="00DA3CBB" w:rsidP="00DA3CBB">
      <w:pPr>
        <w:pStyle w:val="Appendix"/>
        <w:spacing w:after="0"/>
        <w:jc w:val="both"/>
        <w:rPr>
          <w:rFonts w:ascii="Arial" w:hAnsi="Arial" w:cs="Arial"/>
          <w:sz w:val="20"/>
        </w:rPr>
      </w:pPr>
      <w:r w:rsidRPr="00732C16">
        <w:rPr>
          <w:rFonts w:ascii="Arial" w:hAnsi="Arial" w:cs="Arial"/>
          <w:sz w:val="20"/>
        </w:rPr>
        <w:t>Section B:</w:t>
      </w:r>
      <w:r w:rsidRPr="00732C16">
        <w:rPr>
          <w:rFonts w:ascii="Arial" w:hAnsi="Arial" w:cs="Arial"/>
          <w:b w:val="0"/>
          <w:sz w:val="20"/>
        </w:rPr>
        <w:t xml:space="preserve"> </w:t>
      </w:r>
      <w:r w:rsidRPr="00C84CD2">
        <w:rPr>
          <w:rFonts w:ascii="Arial" w:hAnsi="Arial" w:cs="Arial"/>
          <w:sz w:val="20"/>
        </w:rPr>
        <w:t xml:space="preserve">Credit Risk Assessment </w:t>
      </w:r>
    </w:p>
    <w:p w14:paraId="198A1808" w14:textId="77777777" w:rsidR="00DA3CBB" w:rsidRPr="00C84CD2" w:rsidRDefault="00DA3CBB" w:rsidP="00DA3CBB">
      <w:pPr>
        <w:contextualSpacing/>
        <w:jc w:val="both"/>
        <w:rPr>
          <w:rFonts w:ascii="Arial" w:hAnsi="Arial" w:cs="Arial"/>
        </w:rPr>
      </w:pPr>
      <w:r w:rsidRPr="00C84CD2">
        <w:rPr>
          <w:rFonts w:ascii="Arial" w:hAnsi="Arial" w:cs="Arial"/>
        </w:rPr>
        <w:t>Please indicate your level of agreement with the following statements credit risk using a scale from 1 (Strongly Disagree) to 5 (Strongly Agree):</w:t>
      </w:r>
    </w:p>
    <w:p w14:paraId="61C8B7B5" w14:textId="77777777" w:rsidR="00DA3CBB" w:rsidRPr="00C84CD2" w:rsidRDefault="00DA3CBB" w:rsidP="00DA3CBB">
      <w:pPr>
        <w:contextualSpacing/>
        <w:jc w:val="both"/>
        <w:rPr>
          <w:rFonts w:ascii="Arial" w:hAnsi="Arial" w:cs="Arial"/>
        </w:rPr>
      </w:pPr>
    </w:p>
    <w:tbl>
      <w:tblPr>
        <w:tblStyle w:val="TableGrid7"/>
        <w:tblW w:w="10790" w:type="dxa"/>
        <w:tblLook w:val="04A0" w:firstRow="1" w:lastRow="0" w:firstColumn="1" w:lastColumn="0" w:noHBand="0" w:noVBand="1"/>
      </w:tblPr>
      <w:tblGrid>
        <w:gridCol w:w="665"/>
        <w:gridCol w:w="8295"/>
        <w:gridCol w:w="366"/>
        <w:gridCol w:w="366"/>
        <w:gridCol w:w="366"/>
        <w:gridCol w:w="366"/>
        <w:gridCol w:w="366"/>
      </w:tblGrid>
      <w:tr w:rsidR="00DA3CBB" w:rsidRPr="000A6C76" w14:paraId="1A915B0A" w14:textId="77777777" w:rsidTr="00714102">
        <w:trPr>
          <w:trHeight w:val="252"/>
        </w:trPr>
        <w:tc>
          <w:tcPr>
            <w:tcW w:w="0" w:type="auto"/>
          </w:tcPr>
          <w:p w14:paraId="6C3C7B8F" w14:textId="77777777" w:rsidR="00DA3CBB" w:rsidRPr="000A6C76" w:rsidRDefault="00DA3CBB" w:rsidP="00714102">
            <w:pPr>
              <w:contextualSpacing/>
              <w:jc w:val="both"/>
              <w:rPr>
                <w:rFonts w:ascii="Arial" w:hAnsi="Arial" w:cs="Arial"/>
                <w:b/>
                <w:bCs/>
                <w:sz w:val="18"/>
                <w:szCs w:val="18"/>
              </w:rPr>
            </w:pPr>
          </w:p>
        </w:tc>
        <w:tc>
          <w:tcPr>
            <w:tcW w:w="0" w:type="auto"/>
            <w:hideMark/>
          </w:tcPr>
          <w:p w14:paraId="675D10DC" w14:textId="77777777" w:rsidR="00DA3CBB" w:rsidRPr="000A6C76" w:rsidRDefault="00DA3CBB" w:rsidP="00714102">
            <w:pPr>
              <w:contextualSpacing/>
              <w:jc w:val="both"/>
              <w:rPr>
                <w:rFonts w:ascii="Arial" w:hAnsi="Arial" w:cs="Arial"/>
                <w:b/>
                <w:bCs/>
                <w:sz w:val="18"/>
                <w:szCs w:val="18"/>
              </w:rPr>
            </w:pPr>
            <w:r w:rsidRPr="000A6C76">
              <w:rPr>
                <w:rFonts w:ascii="Arial" w:hAnsi="Arial" w:cs="Arial"/>
                <w:b/>
                <w:bCs/>
                <w:sz w:val="18"/>
                <w:szCs w:val="18"/>
              </w:rPr>
              <w:t>Statement</w:t>
            </w:r>
          </w:p>
        </w:tc>
        <w:tc>
          <w:tcPr>
            <w:tcW w:w="0" w:type="auto"/>
            <w:hideMark/>
          </w:tcPr>
          <w:p w14:paraId="785CC81F" w14:textId="77777777" w:rsidR="00DA3CBB" w:rsidRPr="000A6C76" w:rsidRDefault="00DA3CBB" w:rsidP="00714102">
            <w:pPr>
              <w:contextualSpacing/>
              <w:jc w:val="both"/>
              <w:rPr>
                <w:rFonts w:ascii="Arial" w:hAnsi="Arial" w:cs="Arial"/>
                <w:b/>
                <w:bCs/>
                <w:sz w:val="18"/>
                <w:szCs w:val="18"/>
              </w:rPr>
            </w:pPr>
            <w:r w:rsidRPr="000A6C76">
              <w:rPr>
                <w:rFonts w:ascii="Arial" w:hAnsi="Arial" w:cs="Arial"/>
                <w:b/>
                <w:bCs/>
                <w:sz w:val="18"/>
                <w:szCs w:val="18"/>
              </w:rPr>
              <w:t>1</w:t>
            </w:r>
          </w:p>
        </w:tc>
        <w:tc>
          <w:tcPr>
            <w:tcW w:w="0" w:type="auto"/>
            <w:hideMark/>
          </w:tcPr>
          <w:p w14:paraId="1A76454D" w14:textId="77777777" w:rsidR="00DA3CBB" w:rsidRPr="000A6C76" w:rsidRDefault="00DA3CBB" w:rsidP="00714102">
            <w:pPr>
              <w:contextualSpacing/>
              <w:jc w:val="both"/>
              <w:rPr>
                <w:rFonts w:ascii="Arial" w:hAnsi="Arial" w:cs="Arial"/>
                <w:b/>
                <w:bCs/>
                <w:sz w:val="18"/>
                <w:szCs w:val="18"/>
              </w:rPr>
            </w:pPr>
            <w:r w:rsidRPr="000A6C76">
              <w:rPr>
                <w:rFonts w:ascii="Arial" w:hAnsi="Arial" w:cs="Arial"/>
                <w:b/>
                <w:bCs/>
                <w:sz w:val="18"/>
                <w:szCs w:val="18"/>
              </w:rPr>
              <w:t>2</w:t>
            </w:r>
          </w:p>
        </w:tc>
        <w:tc>
          <w:tcPr>
            <w:tcW w:w="0" w:type="auto"/>
            <w:hideMark/>
          </w:tcPr>
          <w:p w14:paraId="464D4E26" w14:textId="77777777" w:rsidR="00DA3CBB" w:rsidRPr="000A6C76" w:rsidRDefault="00DA3CBB" w:rsidP="00714102">
            <w:pPr>
              <w:contextualSpacing/>
              <w:jc w:val="both"/>
              <w:rPr>
                <w:rFonts w:ascii="Arial" w:hAnsi="Arial" w:cs="Arial"/>
                <w:b/>
                <w:bCs/>
                <w:sz w:val="18"/>
                <w:szCs w:val="18"/>
              </w:rPr>
            </w:pPr>
            <w:r w:rsidRPr="000A6C76">
              <w:rPr>
                <w:rFonts w:ascii="Arial" w:hAnsi="Arial" w:cs="Arial"/>
                <w:b/>
                <w:bCs/>
                <w:sz w:val="18"/>
                <w:szCs w:val="18"/>
              </w:rPr>
              <w:t>3</w:t>
            </w:r>
          </w:p>
        </w:tc>
        <w:tc>
          <w:tcPr>
            <w:tcW w:w="0" w:type="auto"/>
            <w:hideMark/>
          </w:tcPr>
          <w:p w14:paraId="1EBBE3F8" w14:textId="77777777" w:rsidR="00DA3CBB" w:rsidRPr="000A6C76" w:rsidRDefault="00DA3CBB" w:rsidP="00714102">
            <w:pPr>
              <w:contextualSpacing/>
              <w:jc w:val="both"/>
              <w:rPr>
                <w:rFonts w:ascii="Arial" w:hAnsi="Arial" w:cs="Arial"/>
                <w:b/>
                <w:bCs/>
                <w:sz w:val="18"/>
                <w:szCs w:val="18"/>
              </w:rPr>
            </w:pPr>
            <w:r w:rsidRPr="000A6C76">
              <w:rPr>
                <w:rFonts w:ascii="Arial" w:hAnsi="Arial" w:cs="Arial"/>
                <w:b/>
                <w:bCs/>
                <w:sz w:val="18"/>
                <w:szCs w:val="18"/>
              </w:rPr>
              <w:t>4</w:t>
            </w:r>
          </w:p>
        </w:tc>
        <w:tc>
          <w:tcPr>
            <w:tcW w:w="0" w:type="auto"/>
            <w:hideMark/>
          </w:tcPr>
          <w:p w14:paraId="2925649B" w14:textId="77777777" w:rsidR="00DA3CBB" w:rsidRPr="000A6C76" w:rsidRDefault="00DA3CBB" w:rsidP="00714102">
            <w:pPr>
              <w:contextualSpacing/>
              <w:jc w:val="both"/>
              <w:rPr>
                <w:rFonts w:ascii="Arial" w:hAnsi="Arial" w:cs="Arial"/>
                <w:b/>
                <w:bCs/>
                <w:sz w:val="18"/>
                <w:szCs w:val="18"/>
              </w:rPr>
            </w:pPr>
            <w:r w:rsidRPr="000A6C76">
              <w:rPr>
                <w:rFonts w:ascii="Arial" w:hAnsi="Arial" w:cs="Arial"/>
                <w:b/>
                <w:bCs/>
                <w:sz w:val="18"/>
                <w:szCs w:val="18"/>
              </w:rPr>
              <w:t>5</w:t>
            </w:r>
          </w:p>
        </w:tc>
      </w:tr>
      <w:tr w:rsidR="00DA3CBB" w:rsidRPr="000A6C76" w14:paraId="6958A797" w14:textId="77777777" w:rsidTr="00714102">
        <w:trPr>
          <w:trHeight w:val="240"/>
        </w:trPr>
        <w:tc>
          <w:tcPr>
            <w:tcW w:w="0" w:type="auto"/>
          </w:tcPr>
          <w:p w14:paraId="555E421C"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CR1</w:t>
            </w:r>
          </w:p>
        </w:tc>
        <w:tc>
          <w:tcPr>
            <w:tcW w:w="0" w:type="auto"/>
            <w:hideMark/>
          </w:tcPr>
          <w:p w14:paraId="1C1AFDD9" w14:textId="77777777" w:rsidR="00DA3CBB" w:rsidRPr="000A6C76" w:rsidRDefault="00DA3CBB" w:rsidP="00714102">
            <w:pPr>
              <w:contextualSpacing/>
              <w:jc w:val="both"/>
              <w:rPr>
                <w:rFonts w:ascii="Arial" w:hAnsi="Arial" w:cs="Arial"/>
                <w:sz w:val="18"/>
                <w:szCs w:val="18"/>
              </w:rPr>
            </w:pPr>
            <w:r w:rsidRPr="000A6C76">
              <w:rPr>
                <w:rFonts w:ascii="Arial" w:hAnsi="Arial" w:cs="Arial"/>
                <w:sz w:val="18"/>
                <w:szCs w:val="18"/>
              </w:rPr>
              <w:t>Our MFI regularly monitors loan repayment patterns to identify potential defaults early.</w:t>
            </w:r>
          </w:p>
        </w:tc>
        <w:tc>
          <w:tcPr>
            <w:tcW w:w="0" w:type="auto"/>
            <w:hideMark/>
          </w:tcPr>
          <w:p w14:paraId="528920DB" w14:textId="77777777" w:rsidR="00DA3CBB" w:rsidRPr="000A6C76" w:rsidRDefault="00DA3CBB" w:rsidP="00714102">
            <w:pPr>
              <w:contextualSpacing/>
              <w:jc w:val="both"/>
              <w:rPr>
                <w:rFonts w:ascii="Arial" w:hAnsi="Arial" w:cs="Arial"/>
                <w:sz w:val="18"/>
                <w:szCs w:val="18"/>
              </w:rPr>
            </w:pPr>
          </w:p>
        </w:tc>
        <w:tc>
          <w:tcPr>
            <w:tcW w:w="0" w:type="auto"/>
            <w:hideMark/>
          </w:tcPr>
          <w:p w14:paraId="71BE6625" w14:textId="77777777" w:rsidR="00DA3CBB" w:rsidRPr="000A6C76" w:rsidRDefault="00DA3CBB" w:rsidP="00714102">
            <w:pPr>
              <w:contextualSpacing/>
              <w:jc w:val="both"/>
              <w:rPr>
                <w:rFonts w:ascii="Arial" w:hAnsi="Arial" w:cs="Arial"/>
                <w:sz w:val="18"/>
                <w:szCs w:val="18"/>
              </w:rPr>
            </w:pPr>
          </w:p>
        </w:tc>
        <w:tc>
          <w:tcPr>
            <w:tcW w:w="0" w:type="auto"/>
            <w:hideMark/>
          </w:tcPr>
          <w:p w14:paraId="30618B8F" w14:textId="77777777" w:rsidR="00DA3CBB" w:rsidRPr="000A6C76" w:rsidRDefault="00DA3CBB" w:rsidP="00714102">
            <w:pPr>
              <w:contextualSpacing/>
              <w:jc w:val="both"/>
              <w:rPr>
                <w:rFonts w:ascii="Arial" w:hAnsi="Arial" w:cs="Arial"/>
                <w:sz w:val="18"/>
                <w:szCs w:val="18"/>
              </w:rPr>
            </w:pPr>
          </w:p>
        </w:tc>
        <w:tc>
          <w:tcPr>
            <w:tcW w:w="0" w:type="auto"/>
            <w:hideMark/>
          </w:tcPr>
          <w:p w14:paraId="2933B901" w14:textId="77777777" w:rsidR="00DA3CBB" w:rsidRPr="000A6C76" w:rsidRDefault="00DA3CBB" w:rsidP="00714102">
            <w:pPr>
              <w:contextualSpacing/>
              <w:jc w:val="both"/>
              <w:rPr>
                <w:rFonts w:ascii="Arial" w:hAnsi="Arial" w:cs="Arial"/>
                <w:sz w:val="18"/>
                <w:szCs w:val="18"/>
              </w:rPr>
            </w:pPr>
          </w:p>
        </w:tc>
        <w:tc>
          <w:tcPr>
            <w:tcW w:w="0" w:type="auto"/>
            <w:hideMark/>
          </w:tcPr>
          <w:p w14:paraId="404D1CDA" w14:textId="77777777" w:rsidR="00DA3CBB" w:rsidRPr="000A6C76" w:rsidRDefault="00DA3CBB" w:rsidP="00714102">
            <w:pPr>
              <w:contextualSpacing/>
              <w:jc w:val="both"/>
              <w:rPr>
                <w:rFonts w:ascii="Arial" w:hAnsi="Arial" w:cs="Arial"/>
                <w:sz w:val="18"/>
                <w:szCs w:val="18"/>
              </w:rPr>
            </w:pPr>
          </w:p>
        </w:tc>
      </w:tr>
      <w:tr w:rsidR="00DA3CBB" w:rsidRPr="000A6C76" w14:paraId="1E1DD250" w14:textId="77777777" w:rsidTr="00714102">
        <w:trPr>
          <w:trHeight w:val="252"/>
        </w:trPr>
        <w:tc>
          <w:tcPr>
            <w:tcW w:w="0" w:type="auto"/>
          </w:tcPr>
          <w:p w14:paraId="0922483D"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CR2</w:t>
            </w:r>
          </w:p>
        </w:tc>
        <w:tc>
          <w:tcPr>
            <w:tcW w:w="0" w:type="auto"/>
            <w:hideMark/>
          </w:tcPr>
          <w:p w14:paraId="033A13B9" w14:textId="77777777" w:rsidR="00DA3CBB" w:rsidRPr="000A6C76" w:rsidRDefault="00DA3CBB" w:rsidP="00714102">
            <w:pPr>
              <w:contextualSpacing/>
              <w:jc w:val="both"/>
              <w:rPr>
                <w:rFonts w:ascii="Arial" w:hAnsi="Arial" w:cs="Arial"/>
                <w:sz w:val="18"/>
                <w:szCs w:val="18"/>
              </w:rPr>
            </w:pPr>
            <w:r w:rsidRPr="000A6C76">
              <w:rPr>
                <w:rFonts w:ascii="Arial" w:hAnsi="Arial" w:cs="Arial"/>
                <w:sz w:val="18"/>
                <w:szCs w:val="18"/>
              </w:rPr>
              <w:t>We maintain detailed records of borrowers’ credit history to reduce risk.</w:t>
            </w:r>
          </w:p>
        </w:tc>
        <w:tc>
          <w:tcPr>
            <w:tcW w:w="0" w:type="auto"/>
            <w:hideMark/>
          </w:tcPr>
          <w:p w14:paraId="66133F3A" w14:textId="77777777" w:rsidR="00DA3CBB" w:rsidRPr="000A6C76" w:rsidRDefault="00DA3CBB" w:rsidP="00714102">
            <w:pPr>
              <w:contextualSpacing/>
              <w:jc w:val="both"/>
              <w:rPr>
                <w:rFonts w:ascii="Arial" w:hAnsi="Arial" w:cs="Arial"/>
                <w:sz w:val="18"/>
                <w:szCs w:val="18"/>
              </w:rPr>
            </w:pPr>
          </w:p>
        </w:tc>
        <w:tc>
          <w:tcPr>
            <w:tcW w:w="0" w:type="auto"/>
            <w:hideMark/>
          </w:tcPr>
          <w:p w14:paraId="0B6D758F" w14:textId="77777777" w:rsidR="00DA3CBB" w:rsidRPr="000A6C76" w:rsidRDefault="00DA3CBB" w:rsidP="00714102">
            <w:pPr>
              <w:contextualSpacing/>
              <w:jc w:val="both"/>
              <w:rPr>
                <w:rFonts w:ascii="Arial" w:hAnsi="Arial" w:cs="Arial"/>
                <w:sz w:val="18"/>
                <w:szCs w:val="18"/>
              </w:rPr>
            </w:pPr>
          </w:p>
        </w:tc>
        <w:tc>
          <w:tcPr>
            <w:tcW w:w="0" w:type="auto"/>
            <w:hideMark/>
          </w:tcPr>
          <w:p w14:paraId="01439F22" w14:textId="77777777" w:rsidR="00DA3CBB" w:rsidRPr="000A6C76" w:rsidRDefault="00DA3CBB" w:rsidP="00714102">
            <w:pPr>
              <w:contextualSpacing/>
              <w:jc w:val="both"/>
              <w:rPr>
                <w:rFonts w:ascii="Arial" w:hAnsi="Arial" w:cs="Arial"/>
                <w:sz w:val="18"/>
                <w:szCs w:val="18"/>
              </w:rPr>
            </w:pPr>
          </w:p>
        </w:tc>
        <w:tc>
          <w:tcPr>
            <w:tcW w:w="0" w:type="auto"/>
            <w:hideMark/>
          </w:tcPr>
          <w:p w14:paraId="1A3C86F6" w14:textId="77777777" w:rsidR="00DA3CBB" w:rsidRPr="000A6C76" w:rsidRDefault="00DA3CBB" w:rsidP="00714102">
            <w:pPr>
              <w:contextualSpacing/>
              <w:jc w:val="both"/>
              <w:rPr>
                <w:rFonts w:ascii="Arial" w:hAnsi="Arial" w:cs="Arial"/>
                <w:sz w:val="18"/>
                <w:szCs w:val="18"/>
              </w:rPr>
            </w:pPr>
          </w:p>
        </w:tc>
        <w:tc>
          <w:tcPr>
            <w:tcW w:w="0" w:type="auto"/>
            <w:hideMark/>
          </w:tcPr>
          <w:p w14:paraId="1F125A45" w14:textId="77777777" w:rsidR="00DA3CBB" w:rsidRPr="000A6C76" w:rsidRDefault="00DA3CBB" w:rsidP="00714102">
            <w:pPr>
              <w:contextualSpacing/>
              <w:jc w:val="both"/>
              <w:rPr>
                <w:rFonts w:ascii="Arial" w:hAnsi="Arial" w:cs="Arial"/>
                <w:sz w:val="18"/>
                <w:szCs w:val="18"/>
              </w:rPr>
            </w:pPr>
          </w:p>
        </w:tc>
      </w:tr>
      <w:tr w:rsidR="00DA3CBB" w:rsidRPr="000A6C76" w14:paraId="27655CEF" w14:textId="77777777" w:rsidTr="00714102">
        <w:trPr>
          <w:trHeight w:val="252"/>
        </w:trPr>
        <w:tc>
          <w:tcPr>
            <w:tcW w:w="0" w:type="auto"/>
          </w:tcPr>
          <w:p w14:paraId="7919FC98"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CR3</w:t>
            </w:r>
          </w:p>
        </w:tc>
        <w:tc>
          <w:tcPr>
            <w:tcW w:w="0" w:type="auto"/>
            <w:hideMark/>
          </w:tcPr>
          <w:p w14:paraId="74FC5E3F" w14:textId="77777777" w:rsidR="00DA3CBB" w:rsidRPr="000A6C76" w:rsidRDefault="00DA3CBB" w:rsidP="00714102">
            <w:pPr>
              <w:contextualSpacing/>
              <w:jc w:val="both"/>
              <w:rPr>
                <w:rFonts w:ascii="Arial" w:hAnsi="Arial" w:cs="Arial"/>
                <w:sz w:val="18"/>
                <w:szCs w:val="18"/>
              </w:rPr>
            </w:pPr>
            <w:r w:rsidRPr="000A6C76">
              <w:rPr>
                <w:rFonts w:ascii="Arial" w:hAnsi="Arial" w:cs="Arial"/>
                <w:sz w:val="18"/>
                <w:szCs w:val="18"/>
              </w:rPr>
              <w:t>Loan loss provisions are adequate and regularly updated to mitigate financial losses.</w:t>
            </w:r>
          </w:p>
        </w:tc>
        <w:tc>
          <w:tcPr>
            <w:tcW w:w="0" w:type="auto"/>
            <w:hideMark/>
          </w:tcPr>
          <w:p w14:paraId="10B88542" w14:textId="77777777" w:rsidR="00DA3CBB" w:rsidRPr="000A6C76" w:rsidRDefault="00DA3CBB" w:rsidP="00714102">
            <w:pPr>
              <w:contextualSpacing/>
              <w:jc w:val="both"/>
              <w:rPr>
                <w:rFonts w:ascii="Arial" w:hAnsi="Arial" w:cs="Arial"/>
                <w:sz w:val="18"/>
                <w:szCs w:val="18"/>
              </w:rPr>
            </w:pPr>
          </w:p>
        </w:tc>
        <w:tc>
          <w:tcPr>
            <w:tcW w:w="0" w:type="auto"/>
            <w:hideMark/>
          </w:tcPr>
          <w:p w14:paraId="11DCFDE3" w14:textId="77777777" w:rsidR="00DA3CBB" w:rsidRPr="000A6C76" w:rsidRDefault="00DA3CBB" w:rsidP="00714102">
            <w:pPr>
              <w:contextualSpacing/>
              <w:jc w:val="both"/>
              <w:rPr>
                <w:rFonts w:ascii="Arial" w:hAnsi="Arial" w:cs="Arial"/>
                <w:sz w:val="18"/>
                <w:szCs w:val="18"/>
              </w:rPr>
            </w:pPr>
          </w:p>
        </w:tc>
        <w:tc>
          <w:tcPr>
            <w:tcW w:w="0" w:type="auto"/>
            <w:hideMark/>
          </w:tcPr>
          <w:p w14:paraId="660496D3" w14:textId="77777777" w:rsidR="00DA3CBB" w:rsidRPr="000A6C76" w:rsidRDefault="00DA3CBB" w:rsidP="00714102">
            <w:pPr>
              <w:contextualSpacing/>
              <w:jc w:val="both"/>
              <w:rPr>
                <w:rFonts w:ascii="Arial" w:hAnsi="Arial" w:cs="Arial"/>
                <w:sz w:val="18"/>
                <w:szCs w:val="18"/>
              </w:rPr>
            </w:pPr>
          </w:p>
        </w:tc>
        <w:tc>
          <w:tcPr>
            <w:tcW w:w="0" w:type="auto"/>
            <w:hideMark/>
          </w:tcPr>
          <w:p w14:paraId="591B00AE" w14:textId="77777777" w:rsidR="00DA3CBB" w:rsidRPr="000A6C76" w:rsidRDefault="00DA3CBB" w:rsidP="00714102">
            <w:pPr>
              <w:contextualSpacing/>
              <w:jc w:val="both"/>
              <w:rPr>
                <w:rFonts w:ascii="Arial" w:hAnsi="Arial" w:cs="Arial"/>
                <w:sz w:val="18"/>
                <w:szCs w:val="18"/>
              </w:rPr>
            </w:pPr>
          </w:p>
        </w:tc>
        <w:tc>
          <w:tcPr>
            <w:tcW w:w="0" w:type="auto"/>
            <w:hideMark/>
          </w:tcPr>
          <w:p w14:paraId="7BF5FFDB" w14:textId="77777777" w:rsidR="00DA3CBB" w:rsidRPr="000A6C76" w:rsidRDefault="00DA3CBB" w:rsidP="00714102">
            <w:pPr>
              <w:contextualSpacing/>
              <w:jc w:val="both"/>
              <w:rPr>
                <w:rFonts w:ascii="Arial" w:hAnsi="Arial" w:cs="Arial"/>
                <w:sz w:val="18"/>
                <w:szCs w:val="18"/>
              </w:rPr>
            </w:pPr>
          </w:p>
        </w:tc>
      </w:tr>
      <w:tr w:rsidR="00DA3CBB" w:rsidRPr="000A6C76" w14:paraId="0BD2F447" w14:textId="77777777" w:rsidTr="00714102">
        <w:trPr>
          <w:trHeight w:val="240"/>
        </w:trPr>
        <w:tc>
          <w:tcPr>
            <w:tcW w:w="0" w:type="auto"/>
          </w:tcPr>
          <w:p w14:paraId="76AB17B6"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CR4</w:t>
            </w:r>
          </w:p>
        </w:tc>
        <w:tc>
          <w:tcPr>
            <w:tcW w:w="0" w:type="auto"/>
            <w:hideMark/>
          </w:tcPr>
          <w:p w14:paraId="1CB9879F" w14:textId="77777777" w:rsidR="00DA3CBB" w:rsidRPr="000A6C76" w:rsidRDefault="00DA3CBB" w:rsidP="00714102">
            <w:pPr>
              <w:contextualSpacing/>
              <w:jc w:val="both"/>
              <w:rPr>
                <w:rFonts w:ascii="Arial" w:hAnsi="Arial" w:cs="Arial"/>
                <w:sz w:val="18"/>
                <w:szCs w:val="18"/>
              </w:rPr>
            </w:pPr>
            <w:r w:rsidRPr="000A6C76">
              <w:rPr>
                <w:rFonts w:ascii="Arial" w:hAnsi="Arial" w:cs="Arial"/>
                <w:sz w:val="18"/>
                <w:szCs w:val="18"/>
              </w:rPr>
              <w:t>Our portfolio at risk (PAR) is reviewed periodically to manage high-risk loans effectively.</w:t>
            </w:r>
          </w:p>
        </w:tc>
        <w:tc>
          <w:tcPr>
            <w:tcW w:w="0" w:type="auto"/>
            <w:hideMark/>
          </w:tcPr>
          <w:p w14:paraId="1494A4D3" w14:textId="77777777" w:rsidR="00DA3CBB" w:rsidRPr="000A6C76" w:rsidRDefault="00DA3CBB" w:rsidP="00714102">
            <w:pPr>
              <w:contextualSpacing/>
              <w:jc w:val="both"/>
              <w:rPr>
                <w:rFonts w:ascii="Arial" w:hAnsi="Arial" w:cs="Arial"/>
                <w:sz w:val="18"/>
                <w:szCs w:val="18"/>
              </w:rPr>
            </w:pPr>
          </w:p>
        </w:tc>
        <w:tc>
          <w:tcPr>
            <w:tcW w:w="0" w:type="auto"/>
            <w:hideMark/>
          </w:tcPr>
          <w:p w14:paraId="2583DFC3" w14:textId="77777777" w:rsidR="00DA3CBB" w:rsidRPr="000A6C76" w:rsidRDefault="00DA3CBB" w:rsidP="00714102">
            <w:pPr>
              <w:contextualSpacing/>
              <w:jc w:val="both"/>
              <w:rPr>
                <w:rFonts w:ascii="Arial" w:hAnsi="Arial" w:cs="Arial"/>
                <w:sz w:val="18"/>
                <w:szCs w:val="18"/>
              </w:rPr>
            </w:pPr>
          </w:p>
        </w:tc>
        <w:tc>
          <w:tcPr>
            <w:tcW w:w="0" w:type="auto"/>
            <w:hideMark/>
          </w:tcPr>
          <w:p w14:paraId="4F2BFCA7" w14:textId="77777777" w:rsidR="00DA3CBB" w:rsidRPr="000A6C76" w:rsidRDefault="00DA3CBB" w:rsidP="00714102">
            <w:pPr>
              <w:contextualSpacing/>
              <w:jc w:val="both"/>
              <w:rPr>
                <w:rFonts w:ascii="Arial" w:hAnsi="Arial" w:cs="Arial"/>
                <w:sz w:val="18"/>
                <w:szCs w:val="18"/>
              </w:rPr>
            </w:pPr>
          </w:p>
        </w:tc>
        <w:tc>
          <w:tcPr>
            <w:tcW w:w="0" w:type="auto"/>
            <w:hideMark/>
          </w:tcPr>
          <w:p w14:paraId="65887113" w14:textId="77777777" w:rsidR="00DA3CBB" w:rsidRPr="000A6C76" w:rsidRDefault="00DA3CBB" w:rsidP="00714102">
            <w:pPr>
              <w:contextualSpacing/>
              <w:jc w:val="both"/>
              <w:rPr>
                <w:rFonts w:ascii="Arial" w:hAnsi="Arial" w:cs="Arial"/>
                <w:sz w:val="18"/>
                <w:szCs w:val="18"/>
              </w:rPr>
            </w:pPr>
          </w:p>
        </w:tc>
        <w:tc>
          <w:tcPr>
            <w:tcW w:w="0" w:type="auto"/>
            <w:hideMark/>
          </w:tcPr>
          <w:p w14:paraId="3E66E103" w14:textId="77777777" w:rsidR="00DA3CBB" w:rsidRPr="000A6C76" w:rsidRDefault="00DA3CBB" w:rsidP="00714102">
            <w:pPr>
              <w:contextualSpacing/>
              <w:jc w:val="both"/>
              <w:rPr>
                <w:rFonts w:ascii="Arial" w:hAnsi="Arial" w:cs="Arial"/>
                <w:sz w:val="18"/>
                <w:szCs w:val="18"/>
              </w:rPr>
            </w:pPr>
          </w:p>
        </w:tc>
      </w:tr>
    </w:tbl>
    <w:p w14:paraId="36F20682" w14:textId="77777777" w:rsidR="00DA3CBB" w:rsidRDefault="00DA3CBB" w:rsidP="00DA3CBB">
      <w:pPr>
        <w:contextualSpacing/>
        <w:jc w:val="both"/>
        <w:rPr>
          <w:rFonts w:ascii="Arial" w:hAnsi="Arial" w:cs="Arial"/>
        </w:rPr>
      </w:pPr>
    </w:p>
    <w:p w14:paraId="7DF08456" w14:textId="77777777" w:rsidR="00DA3CBB" w:rsidRPr="000A6C76" w:rsidRDefault="00DA3CBB" w:rsidP="00DA3CBB">
      <w:pPr>
        <w:rPr>
          <w:rFonts w:ascii="Arial" w:hAnsi="Arial" w:cs="Arial"/>
          <w:b/>
        </w:rPr>
      </w:pPr>
      <w:r w:rsidRPr="000A6C76">
        <w:rPr>
          <w:rFonts w:ascii="Arial" w:hAnsi="Arial" w:cs="Arial"/>
          <w:b/>
        </w:rPr>
        <w:t>SECTION C: PROFITABILITY INDICATORS</w:t>
      </w:r>
    </w:p>
    <w:p w14:paraId="0F11D2A7" w14:textId="77777777" w:rsidR="00DA3CBB" w:rsidRDefault="00DA3CBB" w:rsidP="00DA3CBB">
      <w:pPr>
        <w:spacing w:before="100" w:beforeAutospacing="1" w:after="100" w:afterAutospacing="1"/>
        <w:rPr>
          <w:rFonts w:ascii="Arial" w:hAnsi="Arial" w:cs="Arial"/>
          <w:iCs/>
        </w:rPr>
      </w:pPr>
      <w:r w:rsidRPr="00081374">
        <w:rPr>
          <w:rFonts w:ascii="Arial" w:hAnsi="Arial" w:cs="Arial"/>
          <w:iCs/>
        </w:rPr>
        <w:lastRenderedPageBreak/>
        <w:t>Please indicate your level of agreement with the following statements credit risk using a scale from 1 (Strongly Disagree) to 5 (Strongly Agree):</w:t>
      </w:r>
    </w:p>
    <w:tbl>
      <w:tblPr>
        <w:tblStyle w:val="TableGrid7"/>
        <w:tblW w:w="10790" w:type="dxa"/>
        <w:tblLook w:val="04A0" w:firstRow="1" w:lastRow="0" w:firstColumn="1" w:lastColumn="0" w:noHBand="0" w:noVBand="1"/>
      </w:tblPr>
      <w:tblGrid>
        <w:gridCol w:w="561"/>
        <w:gridCol w:w="8199"/>
        <w:gridCol w:w="406"/>
        <w:gridCol w:w="406"/>
        <w:gridCol w:w="406"/>
        <w:gridCol w:w="406"/>
        <w:gridCol w:w="406"/>
      </w:tblGrid>
      <w:tr w:rsidR="00DA3CBB" w:rsidRPr="00081374" w14:paraId="5E83AD0E" w14:textId="77777777" w:rsidTr="00714102">
        <w:trPr>
          <w:trHeight w:val="252"/>
        </w:trPr>
        <w:tc>
          <w:tcPr>
            <w:tcW w:w="0" w:type="auto"/>
          </w:tcPr>
          <w:p w14:paraId="39CB0A70" w14:textId="77777777" w:rsidR="00DA3CBB" w:rsidRPr="00081374" w:rsidRDefault="00DA3CBB" w:rsidP="00714102">
            <w:pPr>
              <w:contextualSpacing/>
              <w:jc w:val="both"/>
              <w:rPr>
                <w:rFonts w:ascii="Arial" w:hAnsi="Arial" w:cs="Arial"/>
                <w:b/>
                <w:bCs/>
                <w:sz w:val="18"/>
                <w:szCs w:val="18"/>
              </w:rPr>
            </w:pPr>
          </w:p>
        </w:tc>
        <w:tc>
          <w:tcPr>
            <w:tcW w:w="0" w:type="auto"/>
            <w:hideMark/>
          </w:tcPr>
          <w:p w14:paraId="3D5C4640"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Statement</w:t>
            </w:r>
          </w:p>
        </w:tc>
        <w:tc>
          <w:tcPr>
            <w:tcW w:w="0" w:type="auto"/>
            <w:hideMark/>
          </w:tcPr>
          <w:p w14:paraId="17FFDDBE"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1</w:t>
            </w:r>
          </w:p>
        </w:tc>
        <w:tc>
          <w:tcPr>
            <w:tcW w:w="0" w:type="auto"/>
            <w:hideMark/>
          </w:tcPr>
          <w:p w14:paraId="4DEA895B"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2</w:t>
            </w:r>
          </w:p>
        </w:tc>
        <w:tc>
          <w:tcPr>
            <w:tcW w:w="0" w:type="auto"/>
            <w:hideMark/>
          </w:tcPr>
          <w:p w14:paraId="39A43EE7"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3</w:t>
            </w:r>
          </w:p>
        </w:tc>
        <w:tc>
          <w:tcPr>
            <w:tcW w:w="0" w:type="auto"/>
            <w:hideMark/>
          </w:tcPr>
          <w:p w14:paraId="6D0DEB66"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4</w:t>
            </w:r>
          </w:p>
        </w:tc>
        <w:tc>
          <w:tcPr>
            <w:tcW w:w="0" w:type="auto"/>
            <w:hideMark/>
          </w:tcPr>
          <w:p w14:paraId="4A0C8CD5"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5</w:t>
            </w:r>
          </w:p>
        </w:tc>
      </w:tr>
      <w:tr w:rsidR="00DA3CBB" w:rsidRPr="00081374" w14:paraId="150E7F9C" w14:textId="77777777" w:rsidTr="00714102">
        <w:trPr>
          <w:trHeight w:val="240"/>
        </w:trPr>
        <w:tc>
          <w:tcPr>
            <w:tcW w:w="0" w:type="auto"/>
          </w:tcPr>
          <w:p w14:paraId="7C92DE94"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P1</w:t>
            </w:r>
          </w:p>
        </w:tc>
        <w:tc>
          <w:tcPr>
            <w:tcW w:w="0" w:type="auto"/>
            <w:hideMark/>
          </w:tcPr>
          <w:p w14:paraId="2971D492" w14:textId="77777777" w:rsidR="00DA3CBB" w:rsidRPr="00081374" w:rsidRDefault="00DA3CBB" w:rsidP="00714102">
            <w:pPr>
              <w:contextualSpacing/>
              <w:jc w:val="both"/>
              <w:rPr>
                <w:rFonts w:ascii="Arial" w:hAnsi="Arial" w:cs="Arial"/>
                <w:sz w:val="18"/>
                <w:szCs w:val="18"/>
              </w:rPr>
            </w:pPr>
            <w:r w:rsidRPr="000A6C76">
              <w:rPr>
                <w:rFonts w:ascii="Arial" w:hAnsi="Arial" w:cs="Arial"/>
                <w:sz w:val="18"/>
                <w:szCs w:val="18"/>
              </w:rPr>
              <w:t>Our MFI consistently achieves targeted returns on assets (ROA).</w:t>
            </w:r>
          </w:p>
        </w:tc>
        <w:tc>
          <w:tcPr>
            <w:tcW w:w="0" w:type="auto"/>
            <w:hideMark/>
          </w:tcPr>
          <w:p w14:paraId="0EF4A1CF" w14:textId="77777777" w:rsidR="00DA3CBB" w:rsidRPr="00081374" w:rsidRDefault="00DA3CBB" w:rsidP="00714102">
            <w:pPr>
              <w:contextualSpacing/>
              <w:jc w:val="both"/>
              <w:rPr>
                <w:rFonts w:ascii="Arial" w:hAnsi="Arial" w:cs="Arial"/>
                <w:sz w:val="18"/>
                <w:szCs w:val="18"/>
              </w:rPr>
            </w:pPr>
          </w:p>
        </w:tc>
        <w:tc>
          <w:tcPr>
            <w:tcW w:w="0" w:type="auto"/>
            <w:hideMark/>
          </w:tcPr>
          <w:p w14:paraId="59F04196" w14:textId="77777777" w:rsidR="00DA3CBB" w:rsidRPr="00081374" w:rsidRDefault="00DA3CBB" w:rsidP="00714102">
            <w:pPr>
              <w:contextualSpacing/>
              <w:jc w:val="both"/>
              <w:rPr>
                <w:rFonts w:ascii="Arial" w:hAnsi="Arial" w:cs="Arial"/>
                <w:sz w:val="18"/>
                <w:szCs w:val="18"/>
              </w:rPr>
            </w:pPr>
          </w:p>
        </w:tc>
        <w:tc>
          <w:tcPr>
            <w:tcW w:w="0" w:type="auto"/>
            <w:hideMark/>
          </w:tcPr>
          <w:p w14:paraId="71110AF4" w14:textId="77777777" w:rsidR="00DA3CBB" w:rsidRPr="00081374" w:rsidRDefault="00DA3CBB" w:rsidP="00714102">
            <w:pPr>
              <w:contextualSpacing/>
              <w:jc w:val="both"/>
              <w:rPr>
                <w:rFonts w:ascii="Arial" w:hAnsi="Arial" w:cs="Arial"/>
                <w:sz w:val="18"/>
                <w:szCs w:val="18"/>
              </w:rPr>
            </w:pPr>
          </w:p>
        </w:tc>
        <w:tc>
          <w:tcPr>
            <w:tcW w:w="0" w:type="auto"/>
            <w:hideMark/>
          </w:tcPr>
          <w:p w14:paraId="35DE2F52" w14:textId="77777777" w:rsidR="00DA3CBB" w:rsidRPr="00081374" w:rsidRDefault="00DA3CBB" w:rsidP="00714102">
            <w:pPr>
              <w:contextualSpacing/>
              <w:jc w:val="both"/>
              <w:rPr>
                <w:rFonts w:ascii="Arial" w:hAnsi="Arial" w:cs="Arial"/>
                <w:sz w:val="18"/>
                <w:szCs w:val="18"/>
              </w:rPr>
            </w:pPr>
          </w:p>
        </w:tc>
        <w:tc>
          <w:tcPr>
            <w:tcW w:w="0" w:type="auto"/>
            <w:hideMark/>
          </w:tcPr>
          <w:p w14:paraId="27CA4039" w14:textId="77777777" w:rsidR="00DA3CBB" w:rsidRPr="00081374" w:rsidRDefault="00DA3CBB" w:rsidP="00714102">
            <w:pPr>
              <w:contextualSpacing/>
              <w:jc w:val="both"/>
              <w:rPr>
                <w:rFonts w:ascii="Arial" w:hAnsi="Arial" w:cs="Arial"/>
                <w:sz w:val="18"/>
                <w:szCs w:val="18"/>
              </w:rPr>
            </w:pPr>
          </w:p>
        </w:tc>
      </w:tr>
      <w:tr w:rsidR="00DA3CBB" w:rsidRPr="00081374" w14:paraId="44DBD624" w14:textId="77777777" w:rsidTr="00714102">
        <w:trPr>
          <w:trHeight w:val="252"/>
        </w:trPr>
        <w:tc>
          <w:tcPr>
            <w:tcW w:w="0" w:type="auto"/>
          </w:tcPr>
          <w:p w14:paraId="68424049"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P2</w:t>
            </w:r>
          </w:p>
        </w:tc>
        <w:tc>
          <w:tcPr>
            <w:tcW w:w="0" w:type="auto"/>
            <w:hideMark/>
          </w:tcPr>
          <w:p w14:paraId="50A92EB3" w14:textId="77777777" w:rsidR="00DA3CBB" w:rsidRPr="00081374" w:rsidRDefault="00DA3CBB" w:rsidP="00714102">
            <w:pPr>
              <w:contextualSpacing/>
              <w:jc w:val="both"/>
              <w:rPr>
                <w:rFonts w:ascii="Arial" w:hAnsi="Arial" w:cs="Arial"/>
                <w:sz w:val="18"/>
                <w:szCs w:val="18"/>
              </w:rPr>
            </w:pPr>
            <w:r w:rsidRPr="000A6C76">
              <w:rPr>
                <w:rFonts w:ascii="Arial" w:hAnsi="Arial" w:cs="Arial"/>
                <w:sz w:val="18"/>
                <w:szCs w:val="18"/>
              </w:rPr>
              <w:t>The return on equity (ROE) meets or exceeds industry benchmarks.</w:t>
            </w:r>
          </w:p>
        </w:tc>
        <w:tc>
          <w:tcPr>
            <w:tcW w:w="0" w:type="auto"/>
            <w:hideMark/>
          </w:tcPr>
          <w:p w14:paraId="05715E60" w14:textId="77777777" w:rsidR="00DA3CBB" w:rsidRPr="00081374" w:rsidRDefault="00DA3CBB" w:rsidP="00714102">
            <w:pPr>
              <w:contextualSpacing/>
              <w:jc w:val="both"/>
              <w:rPr>
                <w:rFonts w:ascii="Arial" w:hAnsi="Arial" w:cs="Arial"/>
                <w:sz w:val="18"/>
                <w:szCs w:val="18"/>
              </w:rPr>
            </w:pPr>
          </w:p>
        </w:tc>
        <w:tc>
          <w:tcPr>
            <w:tcW w:w="0" w:type="auto"/>
            <w:hideMark/>
          </w:tcPr>
          <w:p w14:paraId="693E3814" w14:textId="77777777" w:rsidR="00DA3CBB" w:rsidRPr="00081374" w:rsidRDefault="00DA3CBB" w:rsidP="00714102">
            <w:pPr>
              <w:contextualSpacing/>
              <w:jc w:val="both"/>
              <w:rPr>
                <w:rFonts w:ascii="Arial" w:hAnsi="Arial" w:cs="Arial"/>
                <w:sz w:val="18"/>
                <w:szCs w:val="18"/>
              </w:rPr>
            </w:pPr>
          </w:p>
        </w:tc>
        <w:tc>
          <w:tcPr>
            <w:tcW w:w="0" w:type="auto"/>
            <w:hideMark/>
          </w:tcPr>
          <w:p w14:paraId="12FA41BE" w14:textId="77777777" w:rsidR="00DA3CBB" w:rsidRPr="00081374" w:rsidRDefault="00DA3CBB" w:rsidP="00714102">
            <w:pPr>
              <w:contextualSpacing/>
              <w:jc w:val="both"/>
              <w:rPr>
                <w:rFonts w:ascii="Arial" w:hAnsi="Arial" w:cs="Arial"/>
                <w:sz w:val="18"/>
                <w:szCs w:val="18"/>
              </w:rPr>
            </w:pPr>
          </w:p>
        </w:tc>
        <w:tc>
          <w:tcPr>
            <w:tcW w:w="0" w:type="auto"/>
            <w:hideMark/>
          </w:tcPr>
          <w:p w14:paraId="25B8CDC6" w14:textId="77777777" w:rsidR="00DA3CBB" w:rsidRPr="00081374" w:rsidRDefault="00DA3CBB" w:rsidP="00714102">
            <w:pPr>
              <w:contextualSpacing/>
              <w:jc w:val="both"/>
              <w:rPr>
                <w:rFonts w:ascii="Arial" w:hAnsi="Arial" w:cs="Arial"/>
                <w:sz w:val="18"/>
                <w:szCs w:val="18"/>
              </w:rPr>
            </w:pPr>
          </w:p>
        </w:tc>
        <w:tc>
          <w:tcPr>
            <w:tcW w:w="0" w:type="auto"/>
            <w:hideMark/>
          </w:tcPr>
          <w:p w14:paraId="3DBADDCD" w14:textId="77777777" w:rsidR="00DA3CBB" w:rsidRPr="00081374" w:rsidRDefault="00DA3CBB" w:rsidP="00714102">
            <w:pPr>
              <w:contextualSpacing/>
              <w:jc w:val="both"/>
              <w:rPr>
                <w:rFonts w:ascii="Arial" w:hAnsi="Arial" w:cs="Arial"/>
                <w:sz w:val="18"/>
                <w:szCs w:val="18"/>
              </w:rPr>
            </w:pPr>
          </w:p>
        </w:tc>
      </w:tr>
      <w:tr w:rsidR="00DA3CBB" w:rsidRPr="00081374" w14:paraId="1B2141B0" w14:textId="77777777" w:rsidTr="00714102">
        <w:trPr>
          <w:trHeight w:val="252"/>
        </w:trPr>
        <w:tc>
          <w:tcPr>
            <w:tcW w:w="0" w:type="auto"/>
          </w:tcPr>
          <w:p w14:paraId="40B306A8"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P3</w:t>
            </w:r>
          </w:p>
        </w:tc>
        <w:tc>
          <w:tcPr>
            <w:tcW w:w="0" w:type="auto"/>
            <w:hideMark/>
          </w:tcPr>
          <w:p w14:paraId="2F13443B" w14:textId="77777777" w:rsidR="00DA3CBB" w:rsidRPr="00081374" w:rsidRDefault="00DA3CBB" w:rsidP="00714102">
            <w:pPr>
              <w:contextualSpacing/>
              <w:jc w:val="both"/>
              <w:rPr>
                <w:rFonts w:ascii="Arial" w:hAnsi="Arial" w:cs="Arial"/>
                <w:sz w:val="18"/>
                <w:szCs w:val="18"/>
              </w:rPr>
            </w:pPr>
            <w:r w:rsidRPr="000A6C76">
              <w:rPr>
                <w:rFonts w:ascii="Arial" w:hAnsi="Arial" w:cs="Arial"/>
                <w:sz w:val="18"/>
                <w:szCs w:val="18"/>
              </w:rPr>
              <w:t>Operational self-sufficiency is maintained without relying heavily on subsidies.</w:t>
            </w:r>
          </w:p>
        </w:tc>
        <w:tc>
          <w:tcPr>
            <w:tcW w:w="0" w:type="auto"/>
            <w:hideMark/>
          </w:tcPr>
          <w:p w14:paraId="112D662D" w14:textId="77777777" w:rsidR="00DA3CBB" w:rsidRPr="00081374" w:rsidRDefault="00DA3CBB" w:rsidP="00714102">
            <w:pPr>
              <w:contextualSpacing/>
              <w:jc w:val="both"/>
              <w:rPr>
                <w:rFonts w:ascii="Arial" w:hAnsi="Arial" w:cs="Arial"/>
                <w:sz w:val="18"/>
                <w:szCs w:val="18"/>
              </w:rPr>
            </w:pPr>
          </w:p>
        </w:tc>
        <w:tc>
          <w:tcPr>
            <w:tcW w:w="0" w:type="auto"/>
            <w:hideMark/>
          </w:tcPr>
          <w:p w14:paraId="15B57E8D" w14:textId="77777777" w:rsidR="00DA3CBB" w:rsidRPr="00081374" w:rsidRDefault="00DA3CBB" w:rsidP="00714102">
            <w:pPr>
              <w:contextualSpacing/>
              <w:jc w:val="both"/>
              <w:rPr>
                <w:rFonts w:ascii="Arial" w:hAnsi="Arial" w:cs="Arial"/>
                <w:sz w:val="18"/>
                <w:szCs w:val="18"/>
              </w:rPr>
            </w:pPr>
          </w:p>
        </w:tc>
        <w:tc>
          <w:tcPr>
            <w:tcW w:w="0" w:type="auto"/>
            <w:hideMark/>
          </w:tcPr>
          <w:p w14:paraId="6EC4B585" w14:textId="77777777" w:rsidR="00DA3CBB" w:rsidRPr="00081374" w:rsidRDefault="00DA3CBB" w:rsidP="00714102">
            <w:pPr>
              <w:contextualSpacing/>
              <w:jc w:val="both"/>
              <w:rPr>
                <w:rFonts w:ascii="Arial" w:hAnsi="Arial" w:cs="Arial"/>
                <w:sz w:val="18"/>
                <w:szCs w:val="18"/>
              </w:rPr>
            </w:pPr>
          </w:p>
        </w:tc>
        <w:tc>
          <w:tcPr>
            <w:tcW w:w="0" w:type="auto"/>
            <w:hideMark/>
          </w:tcPr>
          <w:p w14:paraId="0B74A867" w14:textId="77777777" w:rsidR="00DA3CBB" w:rsidRPr="00081374" w:rsidRDefault="00DA3CBB" w:rsidP="00714102">
            <w:pPr>
              <w:contextualSpacing/>
              <w:jc w:val="both"/>
              <w:rPr>
                <w:rFonts w:ascii="Arial" w:hAnsi="Arial" w:cs="Arial"/>
                <w:sz w:val="18"/>
                <w:szCs w:val="18"/>
              </w:rPr>
            </w:pPr>
          </w:p>
        </w:tc>
        <w:tc>
          <w:tcPr>
            <w:tcW w:w="0" w:type="auto"/>
            <w:hideMark/>
          </w:tcPr>
          <w:p w14:paraId="156D3F47" w14:textId="77777777" w:rsidR="00DA3CBB" w:rsidRPr="00081374" w:rsidRDefault="00DA3CBB" w:rsidP="00714102">
            <w:pPr>
              <w:contextualSpacing/>
              <w:jc w:val="both"/>
              <w:rPr>
                <w:rFonts w:ascii="Arial" w:hAnsi="Arial" w:cs="Arial"/>
                <w:sz w:val="18"/>
                <w:szCs w:val="18"/>
              </w:rPr>
            </w:pPr>
          </w:p>
        </w:tc>
      </w:tr>
    </w:tbl>
    <w:p w14:paraId="65E1CDEF" w14:textId="77777777" w:rsidR="00DA3CBB" w:rsidRDefault="00DA3CBB" w:rsidP="00DA3CBB">
      <w:pPr>
        <w:rPr>
          <w:rFonts w:ascii="Arial" w:hAnsi="Arial" w:cs="Arial"/>
          <w:b/>
        </w:rPr>
      </w:pPr>
    </w:p>
    <w:p w14:paraId="22A6313A" w14:textId="77777777" w:rsidR="00DA3CBB" w:rsidRPr="000A6C76" w:rsidRDefault="00DA3CBB" w:rsidP="00DA3CBB">
      <w:pPr>
        <w:rPr>
          <w:rFonts w:ascii="Arial" w:hAnsi="Arial" w:cs="Arial"/>
          <w:b/>
        </w:rPr>
      </w:pPr>
      <w:r>
        <w:rPr>
          <w:rFonts w:ascii="Arial" w:hAnsi="Arial" w:cs="Arial"/>
          <w:b/>
        </w:rPr>
        <w:t>SECTION D: SUSTAINABILITY</w:t>
      </w:r>
      <w:r w:rsidRPr="000A6C76">
        <w:rPr>
          <w:rFonts w:ascii="Arial" w:hAnsi="Arial" w:cs="Arial"/>
          <w:b/>
        </w:rPr>
        <w:t xml:space="preserve"> INDICATORS</w:t>
      </w:r>
    </w:p>
    <w:p w14:paraId="5CBB4B05" w14:textId="77777777" w:rsidR="00DA3CBB" w:rsidRDefault="00DA3CBB" w:rsidP="00DA3CBB">
      <w:pPr>
        <w:spacing w:before="100" w:beforeAutospacing="1" w:after="100" w:afterAutospacing="1"/>
        <w:rPr>
          <w:rFonts w:ascii="Arial" w:hAnsi="Arial" w:cs="Arial"/>
          <w:iCs/>
        </w:rPr>
      </w:pPr>
      <w:r w:rsidRPr="00081374">
        <w:rPr>
          <w:rFonts w:ascii="Arial" w:hAnsi="Arial" w:cs="Arial"/>
          <w:iCs/>
        </w:rPr>
        <w:t>Please indicate your level of agreement with the following statements credit risk using a scale from 1 (Strongly Disagree) to 5 (Strongly Agree):</w:t>
      </w:r>
    </w:p>
    <w:tbl>
      <w:tblPr>
        <w:tblStyle w:val="TableGrid7"/>
        <w:tblW w:w="10790" w:type="dxa"/>
        <w:tblLook w:val="04A0" w:firstRow="1" w:lastRow="0" w:firstColumn="1" w:lastColumn="0" w:noHBand="0" w:noVBand="1"/>
      </w:tblPr>
      <w:tblGrid>
        <w:gridCol w:w="474"/>
        <w:gridCol w:w="8601"/>
        <w:gridCol w:w="343"/>
        <w:gridCol w:w="343"/>
        <w:gridCol w:w="343"/>
        <w:gridCol w:w="343"/>
        <w:gridCol w:w="343"/>
      </w:tblGrid>
      <w:tr w:rsidR="00DA3CBB" w:rsidRPr="00081374" w14:paraId="74E257DB" w14:textId="77777777" w:rsidTr="00714102">
        <w:trPr>
          <w:trHeight w:val="252"/>
        </w:trPr>
        <w:tc>
          <w:tcPr>
            <w:tcW w:w="0" w:type="auto"/>
          </w:tcPr>
          <w:p w14:paraId="1839ED90" w14:textId="77777777" w:rsidR="00DA3CBB" w:rsidRPr="00081374" w:rsidRDefault="00DA3CBB" w:rsidP="00714102">
            <w:pPr>
              <w:contextualSpacing/>
              <w:jc w:val="both"/>
              <w:rPr>
                <w:rFonts w:ascii="Arial" w:hAnsi="Arial" w:cs="Arial"/>
                <w:b/>
                <w:bCs/>
                <w:sz w:val="18"/>
                <w:szCs w:val="18"/>
              </w:rPr>
            </w:pPr>
          </w:p>
        </w:tc>
        <w:tc>
          <w:tcPr>
            <w:tcW w:w="0" w:type="auto"/>
            <w:hideMark/>
          </w:tcPr>
          <w:p w14:paraId="015B72A0"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Statement</w:t>
            </w:r>
          </w:p>
        </w:tc>
        <w:tc>
          <w:tcPr>
            <w:tcW w:w="0" w:type="auto"/>
            <w:hideMark/>
          </w:tcPr>
          <w:p w14:paraId="2C491847"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1</w:t>
            </w:r>
          </w:p>
        </w:tc>
        <w:tc>
          <w:tcPr>
            <w:tcW w:w="0" w:type="auto"/>
            <w:hideMark/>
          </w:tcPr>
          <w:p w14:paraId="0B351F75"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2</w:t>
            </w:r>
          </w:p>
        </w:tc>
        <w:tc>
          <w:tcPr>
            <w:tcW w:w="0" w:type="auto"/>
            <w:hideMark/>
          </w:tcPr>
          <w:p w14:paraId="10048B4F"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3</w:t>
            </w:r>
          </w:p>
        </w:tc>
        <w:tc>
          <w:tcPr>
            <w:tcW w:w="0" w:type="auto"/>
            <w:hideMark/>
          </w:tcPr>
          <w:p w14:paraId="19610F96"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4</w:t>
            </w:r>
          </w:p>
        </w:tc>
        <w:tc>
          <w:tcPr>
            <w:tcW w:w="0" w:type="auto"/>
            <w:hideMark/>
          </w:tcPr>
          <w:p w14:paraId="3B9F99F6" w14:textId="77777777" w:rsidR="00DA3CBB" w:rsidRPr="00081374" w:rsidRDefault="00DA3CBB" w:rsidP="00714102">
            <w:pPr>
              <w:contextualSpacing/>
              <w:jc w:val="both"/>
              <w:rPr>
                <w:rFonts w:ascii="Arial" w:hAnsi="Arial" w:cs="Arial"/>
                <w:b/>
                <w:bCs/>
                <w:sz w:val="18"/>
                <w:szCs w:val="18"/>
              </w:rPr>
            </w:pPr>
            <w:r w:rsidRPr="00081374">
              <w:rPr>
                <w:rFonts w:ascii="Arial" w:hAnsi="Arial" w:cs="Arial"/>
                <w:b/>
                <w:bCs/>
                <w:sz w:val="18"/>
                <w:szCs w:val="18"/>
              </w:rPr>
              <w:t>5</w:t>
            </w:r>
          </w:p>
        </w:tc>
      </w:tr>
      <w:tr w:rsidR="00DA3CBB" w:rsidRPr="00081374" w14:paraId="7C0BE147" w14:textId="77777777" w:rsidTr="00714102">
        <w:trPr>
          <w:trHeight w:val="240"/>
        </w:trPr>
        <w:tc>
          <w:tcPr>
            <w:tcW w:w="0" w:type="auto"/>
          </w:tcPr>
          <w:p w14:paraId="2A515ADB"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S1</w:t>
            </w:r>
          </w:p>
        </w:tc>
        <w:tc>
          <w:tcPr>
            <w:tcW w:w="0" w:type="auto"/>
            <w:hideMark/>
          </w:tcPr>
          <w:p w14:paraId="0E17456D" w14:textId="77777777" w:rsidR="00DA3CBB" w:rsidRPr="00081374" w:rsidRDefault="00DA3CBB" w:rsidP="00714102">
            <w:pPr>
              <w:contextualSpacing/>
              <w:jc w:val="both"/>
              <w:rPr>
                <w:rFonts w:ascii="Arial" w:hAnsi="Arial" w:cs="Arial"/>
                <w:sz w:val="18"/>
                <w:szCs w:val="18"/>
              </w:rPr>
            </w:pPr>
            <w:r w:rsidRPr="00081374">
              <w:rPr>
                <w:rFonts w:ascii="Arial" w:hAnsi="Arial" w:cs="Arial"/>
                <w:sz w:val="18"/>
                <w:szCs w:val="18"/>
              </w:rPr>
              <w:t>Our MFI has high client retention rates over the past three years.</w:t>
            </w:r>
          </w:p>
        </w:tc>
        <w:tc>
          <w:tcPr>
            <w:tcW w:w="0" w:type="auto"/>
            <w:hideMark/>
          </w:tcPr>
          <w:p w14:paraId="2DCF0D1D" w14:textId="77777777" w:rsidR="00DA3CBB" w:rsidRPr="00081374" w:rsidRDefault="00DA3CBB" w:rsidP="00714102">
            <w:pPr>
              <w:contextualSpacing/>
              <w:jc w:val="both"/>
              <w:rPr>
                <w:rFonts w:ascii="Arial" w:hAnsi="Arial" w:cs="Arial"/>
                <w:sz w:val="18"/>
                <w:szCs w:val="18"/>
              </w:rPr>
            </w:pPr>
          </w:p>
        </w:tc>
        <w:tc>
          <w:tcPr>
            <w:tcW w:w="0" w:type="auto"/>
            <w:hideMark/>
          </w:tcPr>
          <w:p w14:paraId="7B36D2F2" w14:textId="77777777" w:rsidR="00DA3CBB" w:rsidRPr="00081374" w:rsidRDefault="00DA3CBB" w:rsidP="00714102">
            <w:pPr>
              <w:contextualSpacing/>
              <w:jc w:val="both"/>
              <w:rPr>
                <w:rFonts w:ascii="Arial" w:hAnsi="Arial" w:cs="Arial"/>
                <w:sz w:val="18"/>
                <w:szCs w:val="18"/>
              </w:rPr>
            </w:pPr>
          </w:p>
        </w:tc>
        <w:tc>
          <w:tcPr>
            <w:tcW w:w="0" w:type="auto"/>
            <w:hideMark/>
          </w:tcPr>
          <w:p w14:paraId="01477DB6" w14:textId="77777777" w:rsidR="00DA3CBB" w:rsidRPr="00081374" w:rsidRDefault="00DA3CBB" w:rsidP="00714102">
            <w:pPr>
              <w:contextualSpacing/>
              <w:jc w:val="both"/>
              <w:rPr>
                <w:rFonts w:ascii="Arial" w:hAnsi="Arial" w:cs="Arial"/>
                <w:sz w:val="18"/>
                <w:szCs w:val="18"/>
              </w:rPr>
            </w:pPr>
          </w:p>
        </w:tc>
        <w:tc>
          <w:tcPr>
            <w:tcW w:w="0" w:type="auto"/>
            <w:hideMark/>
          </w:tcPr>
          <w:p w14:paraId="2EAE62E5" w14:textId="77777777" w:rsidR="00DA3CBB" w:rsidRPr="00081374" w:rsidRDefault="00DA3CBB" w:rsidP="00714102">
            <w:pPr>
              <w:contextualSpacing/>
              <w:jc w:val="both"/>
              <w:rPr>
                <w:rFonts w:ascii="Arial" w:hAnsi="Arial" w:cs="Arial"/>
                <w:sz w:val="18"/>
                <w:szCs w:val="18"/>
              </w:rPr>
            </w:pPr>
          </w:p>
        </w:tc>
        <w:tc>
          <w:tcPr>
            <w:tcW w:w="0" w:type="auto"/>
            <w:hideMark/>
          </w:tcPr>
          <w:p w14:paraId="7314B25F" w14:textId="77777777" w:rsidR="00DA3CBB" w:rsidRPr="00081374" w:rsidRDefault="00DA3CBB" w:rsidP="00714102">
            <w:pPr>
              <w:contextualSpacing/>
              <w:jc w:val="both"/>
              <w:rPr>
                <w:rFonts w:ascii="Arial" w:hAnsi="Arial" w:cs="Arial"/>
                <w:sz w:val="18"/>
                <w:szCs w:val="18"/>
              </w:rPr>
            </w:pPr>
          </w:p>
        </w:tc>
      </w:tr>
      <w:tr w:rsidR="00DA3CBB" w:rsidRPr="00081374" w14:paraId="6F348EFC" w14:textId="77777777" w:rsidTr="00714102">
        <w:trPr>
          <w:trHeight w:val="252"/>
        </w:trPr>
        <w:tc>
          <w:tcPr>
            <w:tcW w:w="0" w:type="auto"/>
          </w:tcPr>
          <w:p w14:paraId="6ECE65A3"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S2</w:t>
            </w:r>
          </w:p>
        </w:tc>
        <w:tc>
          <w:tcPr>
            <w:tcW w:w="0" w:type="auto"/>
            <w:hideMark/>
          </w:tcPr>
          <w:p w14:paraId="7F1E205D" w14:textId="77777777" w:rsidR="00DA3CBB" w:rsidRPr="00081374" w:rsidRDefault="00DA3CBB" w:rsidP="00714102">
            <w:pPr>
              <w:contextualSpacing/>
              <w:jc w:val="both"/>
              <w:rPr>
                <w:rFonts w:ascii="Arial" w:hAnsi="Arial" w:cs="Arial"/>
                <w:sz w:val="18"/>
                <w:szCs w:val="18"/>
              </w:rPr>
            </w:pPr>
            <w:r w:rsidRPr="00081374">
              <w:rPr>
                <w:rFonts w:ascii="Arial" w:hAnsi="Arial" w:cs="Arial"/>
                <w:sz w:val="18"/>
                <w:szCs w:val="18"/>
              </w:rPr>
              <w:t>Adequate capital reserves are maintained to support long-term operations.</w:t>
            </w:r>
          </w:p>
        </w:tc>
        <w:tc>
          <w:tcPr>
            <w:tcW w:w="0" w:type="auto"/>
            <w:hideMark/>
          </w:tcPr>
          <w:p w14:paraId="41CC7D41" w14:textId="77777777" w:rsidR="00DA3CBB" w:rsidRPr="00081374" w:rsidRDefault="00DA3CBB" w:rsidP="00714102">
            <w:pPr>
              <w:contextualSpacing/>
              <w:jc w:val="both"/>
              <w:rPr>
                <w:rFonts w:ascii="Arial" w:hAnsi="Arial" w:cs="Arial"/>
                <w:sz w:val="18"/>
                <w:szCs w:val="18"/>
              </w:rPr>
            </w:pPr>
          </w:p>
        </w:tc>
        <w:tc>
          <w:tcPr>
            <w:tcW w:w="0" w:type="auto"/>
            <w:hideMark/>
          </w:tcPr>
          <w:p w14:paraId="5CEE0EFD" w14:textId="77777777" w:rsidR="00DA3CBB" w:rsidRPr="00081374" w:rsidRDefault="00DA3CBB" w:rsidP="00714102">
            <w:pPr>
              <w:contextualSpacing/>
              <w:jc w:val="both"/>
              <w:rPr>
                <w:rFonts w:ascii="Arial" w:hAnsi="Arial" w:cs="Arial"/>
                <w:sz w:val="18"/>
                <w:szCs w:val="18"/>
              </w:rPr>
            </w:pPr>
          </w:p>
        </w:tc>
        <w:tc>
          <w:tcPr>
            <w:tcW w:w="0" w:type="auto"/>
            <w:hideMark/>
          </w:tcPr>
          <w:p w14:paraId="33C1DAB9" w14:textId="77777777" w:rsidR="00DA3CBB" w:rsidRPr="00081374" w:rsidRDefault="00DA3CBB" w:rsidP="00714102">
            <w:pPr>
              <w:contextualSpacing/>
              <w:jc w:val="both"/>
              <w:rPr>
                <w:rFonts w:ascii="Arial" w:hAnsi="Arial" w:cs="Arial"/>
                <w:sz w:val="18"/>
                <w:szCs w:val="18"/>
              </w:rPr>
            </w:pPr>
          </w:p>
        </w:tc>
        <w:tc>
          <w:tcPr>
            <w:tcW w:w="0" w:type="auto"/>
            <w:hideMark/>
          </w:tcPr>
          <w:p w14:paraId="2EF0CABE" w14:textId="77777777" w:rsidR="00DA3CBB" w:rsidRPr="00081374" w:rsidRDefault="00DA3CBB" w:rsidP="00714102">
            <w:pPr>
              <w:contextualSpacing/>
              <w:jc w:val="both"/>
              <w:rPr>
                <w:rFonts w:ascii="Arial" w:hAnsi="Arial" w:cs="Arial"/>
                <w:sz w:val="18"/>
                <w:szCs w:val="18"/>
              </w:rPr>
            </w:pPr>
          </w:p>
        </w:tc>
        <w:tc>
          <w:tcPr>
            <w:tcW w:w="0" w:type="auto"/>
            <w:hideMark/>
          </w:tcPr>
          <w:p w14:paraId="669EA533" w14:textId="77777777" w:rsidR="00DA3CBB" w:rsidRPr="00081374" w:rsidRDefault="00DA3CBB" w:rsidP="00714102">
            <w:pPr>
              <w:contextualSpacing/>
              <w:jc w:val="both"/>
              <w:rPr>
                <w:rFonts w:ascii="Arial" w:hAnsi="Arial" w:cs="Arial"/>
                <w:sz w:val="18"/>
                <w:szCs w:val="18"/>
              </w:rPr>
            </w:pPr>
          </w:p>
        </w:tc>
      </w:tr>
      <w:tr w:rsidR="00DA3CBB" w:rsidRPr="00081374" w14:paraId="5ECCED39" w14:textId="77777777" w:rsidTr="00714102">
        <w:trPr>
          <w:trHeight w:val="252"/>
        </w:trPr>
        <w:tc>
          <w:tcPr>
            <w:tcW w:w="0" w:type="auto"/>
          </w:tcPr>
          <w:p w14:paraId="4E5E443F" w14:textId="77777777" w:rsidR="00DA3CBB" w:rsidRPr="00081374" w:rsidRDefault="00DA3CBB" w:rsidP="00714102">
            <w:pPr>
              <w:contextualSpacing/>
              <w:jc w:val="both"/>
              <w:rPr>
                <w:rFonts w:ascii="Arial" w:hAnsi="Arial" w:cs="Arial"/>
                <w:b/>
                <w:sz w:val="18"/>
                <w:szCs w:val="18"/>
              </w:rPr>
            </w:pPr>
            <w:r w:rsidRPr="00081374">
              <w:rPr>
                <w:rFonts w:ascii="Arial" w:hAnsi="Arial" w:cs="Arial"/>
                <w:b/>
                <w:sz w:val="18"/>
                <w:szCs w:val="18"/>
              </w:rPr>
              <w:t>S3</w:t>
            </w:r>
          </w:p>
        </w:tc>
        <w:tc>
          <w:tcPr>
            <w:tcW w:w="0" w:type="auto"/>
            <w:hideMark/>
          </w:tcPr>
          <w:p w14:paraId="116CF18B" w14:textId="77777777" w:rsidR="00DA3CBB" w:rsidRPr="00081374" w:rsidRDefault="00DA3CBB" w:rsidP="00714102">
            <w:pPr>
              <w:contextualSpacing/>
              <w:jc w:val="both"/>
              <w:rPr>
                <w:rFonts w:ascii="Arial" w:hAnsi="Arial" w:cs="Arial"/>
                <w:sz w:val="18"/>
                <w:szCs w:val="18"/>
              </w:rPr>
            </w:pPr>
            <w:r w:rsidRPr="00081374">
              <w:rPr>
                <w:rFonts w:ascii="Arial" w:hAnsi="Arial" w:cs="Arial"/>
                <w:sz w:val="18"/>
                <w:szCs w:val="18"/>
              </w:rPr>
              <w:t>Operational costs are sufficiently covered by internal revenue streams without external subsidies.</w:t>
            </w:r>
          </w:p>
        </w:tc>
        <w:tc>
          <w:tcPr>
            <w:tcW w:w="0" w:type="auto"/>
            <w:hideMark/>
          </w:tcPr>
          <w:p w14:paraId="1B7B0E02" w14:textId="77777777" w:rsidR="00DA3CBB" w:rsidRPr="00081374" w:rsidRDefault="00DA3CBB" w:rsidP="00714102">
            <w:pPr>
              <w:contextualSpacing/>
              <w:jc w:val="both"/>
              <w:rPr>
                <w:rFonts w:ascii="Arial" w:hAnsi="Arial" w:cs="Arial"/>
                <w:sz w:val="18"/>
                <w:szCs w:val="18"/>
              </w:rPr>
            </w:pPr>
          </w:p>
        </w:tc>
        <w:tc>
          <w:tcPr>
            <w:tcW w:w="0" w:type="auto"/>
            <w:hideMark/>
          </w:tcPr>
          <w:p w14:paraId="5AD51228" w14:textId="77777777" w:rsidR="00DA3CBB" w:rsidRPr="00081374" w:rsidRDefault="00DA3CBB" w:rsidP="00714102">
            <w:pPr>
              <w:contextualSpacing/>
              <w:jc w:val="both"/>
              <w:rPr>
                <w:rFonts w:ascii="Arial" w:hAnsi="Arial" w:cs="Arial"/>
                <w:sz w:val="18"/>
                <w:szCs w:val="18"/>
              </w:rPr>
            </w:pPr>
          </w:p>
        </w:tc>
        <w:tc>
          <w:tcPr>
            <w:tcW w:w="0" w:type="auto"/>
            <w:hideMark/>
          </w:tcPr>
          <w:p w14:paraId="3B26618C" w14:textId="77777777" w:rsidR="00DA3CBB" w:rsidRPr="00081374" w:rsidRDefault="00DA3CBB" w:rsidP="00714102">
            <w:pPr>
              <w:contextualSpacing/>
              <w:jc w:val="both"/>
              <w:rPr>
                <w:rFonts w:ascii="Arial" w:hAnsi="Arial" w:cs="Arial"/>
                <w:sz w:val="18"/>
                <w:szCs w:val="18"/>
              </w:rPr>
            </w:pPr>
          </w:p>
        </w:tc>
        <w:tc>
          <w:tcPr>
            <w:tcW w:w="0" w:type="auto"/>
            <w:hideMark/>
          </w:tcPr>
          <w:p w14:paraId="4A79099B" w14:textId="77777777" w:rsidR="00DA3CBB" w:rsidRPr="00081374" w:rsidRDefault="00DA3CBB" w:rsidP="00714102">
            <w:pPr>
              <w:contextualSpacing/>
              <w:jc w:val="both"/>
              <w:rPr>
                <w:rFonts w:ascii="Arial" w:hAnsi="Arial" w:cs="Arial"/>
                <w:sz w:val="18"/>
                <w:szCs w:val="18"/>
              </w:rPr>
            </w:pPr>
          </w:p>
        </w:tc>
        <w:tc>
          <w:tcPr>
            <w:tcW w:w="0" w:type="auto"/>
            <w:hideMark/>
          </w:tcPr>
          <w:p w14:paraId="20725FAB" w14:textId="77777777" w:rsidR="00DA3CBB" w:rsidRPr="00081374" w:rsidRDefault="00DA3CBB" w:rsidP="00714102">
            <w:pPr>
              <w:contextualSpacing/>
              <w:jc w:val="both"/>
              <w:rPr>
                <w:rFonts w:ascii="Arial" w:hAnsi="Arial" w:cs="Arial"/>
                <w:sz w:val="18"/>
                <w:szCs w:val="18"/>
              </w:rPr>
            </w:pPr>
          </w:p>
        </w:tc>
      </w:tr>
    </w:tbl>
    <w:p w14:paraId="4C9AD79C" w14:textId="77777777" w:rsidR="00732C16" w:rsidRDefault="00732C16" w:rsidP="00732C16">
      <w:pPr>
        <w:contextualSpacing/>
        <w:rPr>
          <w:rFonts w:ascii="Arial" w:hAnsi="Arial" w:cs="Arial"/>
          <w:b/>
        </w:rPr>
      </w:pPr>
    </w:p>
    <w:p w14:paraId="6B4E6060" w14:textId="77777777" w:rsidR="00732C16" w:rsidRDefault="00732C16" w:rsidP="00732C16">
      <w:pPr>
        <w:contextualSpacing/>
        <w:rPr>
          <w:rFonts w:ascii="Arial" w:hAnsi="Arial" w:cs="Arial"/>
          <w:b/>
        </w:rPr>
      </w:pPr>
    </w:p>
    <w:p w14:paraId="38D42183" w14:textId="77777777" w:rsidR="00C84CD2" w:rsidRPr="00732C16" w:rsidRDefault="00732C16" w:rsidP="00732C16">
      <w:pPr>
        <w:contextualSpacing/>
        <w:rPr>
          <w:rFonts w:ascii="Arial" w:hAnsi="Arial" w:cs="Arial"/>
          <w:b/>
        </w:rPr>
      </w:pPr>
      <w:r w:rsidRPr="00732C16">
        <w:rPr>
          <w:rFonts w:ascii="Arial" w:hAnsi="Arial" w:cs="Arial"/>
          <w:b/>
        </w:rPr>
        <w:t xml:space="preserve">Appendix 2: Interview Guide </w:t>
      </w:r>
    </w:p>
    <w:p w14:paraId="3D1661F3" w14:textId="77777777" w:rsidR="00732C16" w:rsidRPr="00732C16" w:rsidRDefault="00732C16" w:rsidP="00732C16">
      <w:pPr>
        <w:contextualSpacing/>
        <w:rPr>
          <w:rFonts w:ascii="Arial" w:hAnsi="Arial" w:cs="Arial"/>
        </w:rPr>
      </w:pPr>
      <w:r w:rsidRPr="00732C16">
        <w:rPr>
          <w:rFonts w:ascii="Arial" w:hAnsi="Arial" w:cs="Arial"/>
        </w:rPr>
        <w:t>1.</w:t>
      </w:r>
      <w:r w:rsidRPr="00732C16">
        <w:rPr>
          <w:rFonts w:ascii="Arial" w:hAnsi="Arial" w:cs="Arial"/>
        </w:rPr>
        <w:tab/>
        <w:t>How does your institution assess credit risk when lending to clients?</w:t>
      </w:r>
    </w:p>
    <w:p w14:paraId="1EB88C6F" w14:textId="77777777" w:rsidR="00732C16" w:rsidRPr="00732C16" w:rsidRDefault="00732C16" w:rsidP="00732C16">
      <w:pPr>
        <w:contextualSpacing/>
        <w:rPr>
          <w:rFonts w:ascii="Arial" w:hAnsi="Arial" w:cs="Arial"/>
        </w:rPr>
      </w:pPr>
      <w:r w:rsidRPr="00732C16">
        <w:rPr>
          <w:rFonts w:ascii="Arial" w:hAnsi="Arial" w:cs="Arial"/>
        </w:rPr>
        <w:t>2.</w:t>
      </w:r>
      <w:r w:rsidRPr="00732C16">
        <w:rPr>
          <w:rFonts w:ascii="Arial" w:hAnsi="Arial" w:cs="Arial"/>
        </w:rPr>
        <w:tab/>
        <w:t>What impact does credit risk have on profitability?</w:t>
      </w:r>
    </w:p>
    <w:p w14:paraId="28F03A0B" w14:textId="77777777" w:rsidR="00732C16" w:rsidRPr="00732C16" w:rsidRDefault="00732C16" w:rsidP="00732C16">
      <w:pPr>
        <w:contextualSpacing/>
        <w:rPr>
          <w:rFonts w:ascii="Arial" w:hAnsi="Arial" w:cs="Arial"/>
        </w:rPr>
      </w:pPr>
      <w:r w:rsidRPr="00732C16">
        <w:rPr>
          <w:rFonts w:ascii="Arial" w:hAnsi="Arial" w:cs="Arial"/>
        </w:rPr>
        <w:t>3.</w:t>
      </w:r>
      <w:r w:rsidRPr="00732C16">
        <w:rPr>
          <w:rFonts w:ascii="Arial" w:hAnsi="Arial" w:cs="Arial"/>
        </w:rPr>
        <w:tab/>
        <w:t>Could you share any quantitative data or trends observed over recent years?</w:t>
      </w:r>
    </w:p>
    <w:p w14:paraId="22EF88EC" w14:textId="77777777" w:rsidR="00732C16" w:rsidRPr="00732C16" w:rsidRDefault="00732C16" w:rsidP="00732C16">
      <w:pPr>
        <w:contextualSpacing/>
        <w:rPr>
          <w:rFonts w:ascii="Arial" w:hAnsi="Arial" w:cs="Arial"/>
        </w:rPr>
      </w:pPr>
      <w:r w:rsidRPr="00732C16">
        <w:rPr>
          <w:rFonts w:ascii="Arial" w:hAnsi="Arial" w:cs="Arial"/>
        </w:rPr>
        <w:t>4.</w:t>
      </w:r>
      <w:r w:rsidRPr="00732C16">
        <w:rPr>
          <w:rFonts w:ascii="Arial" w:hAnsi="Arial" w:cs="Arial"/>
        </w:rPr>
        <w:tab/>
        <w:t>In terms of sustainability, how does managing credit risk contribute to long-term viability for your institution?</w:t>
      </w:r>
    </w:p>
    <w:p w14:paraId="5A647FCD" w14:textId="77777777" w:rsidR="00732C16" w:rsidRPr="00C84CD2" w:rsidRDefault="00732C16" w:rsidP="00732C16">
      <w:pPr>
        <w:contextualSpacing/>
        <w:rPr>
          <w:rFonts w:ascii="Arial" w:hAnsi="Arial" w:cs="Arial"/>
        </w:rPr>
      </w:pPr>
      <w:r w:rsidRPr="00732C16">
        <w:rPr>
          <w:rFonts w:ascii="Arial" w:hAnsi="Arial" w:cs="Arial"/>
        </w:rPr>
        <w:t>5.</w:t>
      </w:r>
      <w:r w:rsidRPr="00732C16">
        <w:rPr>
          <w:rFonts w:ascii="Arial" w:hAnsi="Arial" w:cs="Arial"/>
        </w:rPr>
        <w:tab/>
        <w:t>Are there any specific practices or policies that have been effective in mitigating credit risk?</w:t>
      </w:r>
    </w:p>
    <w:p w14:paraId="5C87D2E8" w14:textId="77777777" w:rsidR="00C84CD2" w:rsidRPr="00732C16" w:rsidRDefault="00C84CD2" w:rsidP="00732C16">
      <w:pPr>
        <w:pStyle w:val="Appendix"/>
        <w:spacing w:after="0"/>
        <w:jc w:val="both"/>
        <w:rPr>
          <w:rFonts w:ascii="Arial" w:hAnsi="Arial" w:cs="Arial"/>
          <w:b w:val="0"/>
        </w:rPr>
      </w:pPr>
    </w:p>
    <w:sectPr w:rsidR="00C84CD2" w:rsidRPr="00732C16" w:rsidSect="00856F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9297E" w14:textId="77777777" w:rsidR="000C04C1" w:rsidRDefault="000C04C1" w:rsidP="00C37E61">
      <w:r>
        <w:separator/>
      </w:r>
    </w:p>
  </w:endnote>
  <w:endnote w:type="continuationSeparator" w:id="0">
    <w:p w14:paraId="5E2EAD78" w14:textId="77777777" w:rsidR="000C04C1" w:rsidRDefault="000C04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default"/>
    <w:sig w:usb0="E00002FF" w:usb1="5000205B" w:usb2="0000002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DED2" w14:textId="77777777" w:rsidR="00F53774" w:rsidRDefault="00F53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B363" w14:textId="77777777" w:rsidR="00F53774" w:rsidRDefault="00F53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48031" w14:textId="78A9AFD3" w:rsidR="00F53774" w:rsidRPr="002F14BE" w:rsidRDefault="00F53774" w:rsidP="002F14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9FD2" w14:textId="77777777" w:rsidR="00F53774" w:rsidRPr="00C37E61" w:rsidRDefault="00F537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10D5C" w14:textId="77777777" w:rsidR="000C04C1" w:rsidRDefault="000C04C1" w:rsidP="00C37E61">
      <w:r>
        <w:separator/>
      </w:r>
    </w:p>
  </w:footnote>
  <w:footnote w:type="continuationSeparator" w:id="0">
    <w:p w14:paraId="62C8E0D4" w14:textId="77777777" w:rsidR="000C04C1" w:rsidRDefault="000C04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19EF" w14:textId="2593BAE3" w:rsidR="00F53774" w:rsidRDefault="000C04C1">
    <w:pPr>
      <w:pStyle w:val="Header"/>
    </w:pPr>
    <w:r>
      <w:rPr>
        <w:noProof/>
      </w:rPr>
      <w:pict w14:anchorId="1B3A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C726" w14:textId="3B7878DF" w:rsidR="00F53774" w:rsidRDefault="000C04C1">
    <w:pPr>
      <w:pStyle w:val="Header"/>
    </w:pPr>
    <w:r>
      <w:rPr>
        <w:noProof/>
      </w:rPr>
      <w:pict w14:anchorId="3D95E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37CB" w14:textId="7FCE2EE9" w:rsidR="00F53774" w:rsidRPr="00296529" w:rsidRDefault="000C04C1" w:rsidP="00296529">
    <w:pPr>
      <w:ind w:left="2160"/>
      <w:jc w:val="center"/>
      <w:rPr>
        <w:rFonts w:ascii="Times New Roman" w:eastAsia="Calibri" w:hAnsi="Times New Roman"/>
        <w:i/>
        <w:sz w:val="18"/>
        <w:szCs w:val="22"/>
      </w:rPr>
    </w:pPr>
    <w:r>
      <w:rPr>
        <w:noProof/>
      </w:rPr>
      <w:pict w14:anchorId="13856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D55797" w14:textId="77777777" w:rsidR="00F53774" w:rsidRPr="00296529" w:rsidRDefault="00F5377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8E049C" w14:textId="77777777" w:rsidR="00F53774" w:rsidRPr="00296529" w:rsidRDefault="00F537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53BCD2" w14:textId="77777777" w:rsidR="00F53774" w:rsidRPr="00296529" w:rsidRDefault="00F5377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7FB08F" w14:textId="77777777" w:rsidR="00F53774" w:rsidRDefault="00F5377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A549D8" w14:textId="77777777" w:rsidR="00F53774" w:rsidRDefault="00F537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0ED2E3" w14:textId="77777777" w:rsidR="00F53774" w:rsidRDefault="00F537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FE148" w14:textId="7A9A1542" w:rsidR="00F53774" w:rsidRDefault="000C04C1">
    <w:pPr>
      <w:pStyle w:val="Header"/>
    </w:pPr>
    <w:r>
      <w:rPr>
        <w:noProof/>
      </w:rPr>
      <w:pict w14:anchorId="3752B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9129" w14:textId="7661BE85" w:rsidR="00F53774" w:rsidRDefault="000C04C1">
    <w:pPr>
      <w:pStyle w:val="Header"/>
    </w:pPr>
    <w:r>
      <w:rPr>
        <w:noProof/>
      </w:rPr>
      <w:pict w14:anchorId="5FB9C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EB59A" w14:textId="6CB49DF4" w:rsidR="00F53774" w:rsidRDefault="000C04C1">
    <w:pPr>
      <w:pStyle w:val="Header"/>
    </w:pPr>
    <w:r>
      <w:rPr>
        <w:noProof/>
      </w:rPr>
      <w:pict w14:anchorId="4D2A5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070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260369"/>
    <w:multiLevelType w:val="hybridMultilevel"/>
    <w:tmpl w:val="F45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3D55A5"/>
    <w:multiLevelType w:val="hybridMultilevel"/>
    <w:tmpl w:val="AE3E0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4543385"/>
    <w:multiLevelType w:val="hybridMultilevel"/>
    <w:tmpl w:val="679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7F3955"/>
    <w:multiLevelType w:val="multilevel"/>
    <w:tmpl w:val="5998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7"/>
  </w:num>
  <w:num w:numId="32">
    <w:abstractNumId w:val="31"/>
  </w:num>
  <w:num w:numId="33">
    <w:abstractNumId w:val="1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1C3"/>
    <w:rsid w:val="00030174"/>
    <w:rsid w:val="0004579C"/>
    <w:rsid w:val="000803FB"/>
    <w:rsid w:val="000A47FA"/>
    <w:rsid w:val="000A65D3"/>
    <w:rsid w:val="000B1E33"/>
    <w:rsid w:val="000C04C1"/>
    <w:rsid w:val="000C2ADD"/>
    <w:rsid w:val="000D689F"/>
    <w:rsid w:val="000E0B75"/>
    <w:rsid w:val="000E2EE2"/>
    <w:rsid w:val="000E7B7B"/>
    <w:rsid w:val="000E7D62"/>
    <w:rsid w:val="001023BB"/>
    <w:rsid w:val="00103357"/>
    <w:rsid w:val="00123C9F"/>
    <w:rsid w:val="00126190"/>
    <w:rsid w:val="00130F17"/>
    <w:rsid w:val="001320BF"/>
    <w:rsid w:val="001606A5"/>
    <w:rsid w:val="00163BC4"/>
    <w:rsid w:val="00191062"/>
    <w:rsid w:val="00192B72"/>
    <w:rsid w:val="001A29D8"/>
    <w:rsid w:val="001A41E1"/>
    <w:rsid w:val="001A5CAA"/>
    <w:rsid w:val="001A7861"/>
    <w:rsid w:val="001B0427"/>
    <w:rsid w:val="001D3A51"/>
    <w:rsid w:val="001E10D2"/>
    <w:rsid w:val="001E25B4"/>
    <w:rsid w:val="001E44FE"/>
    <w:rsid w:val="001E51BB"/>
    <w:rsid w:val="00200595"/>
    <w:rsid w:val="00204835"/>
    <w:rsid w:val="0023131D"/>
    <w:rsid w:val="00231920"/>
    <w:rsid w:val="0023195C"/>
    <w:rsid w:val="0024282C"/>
    <w:rsid w:val="002433A6"/>
    <w:rsid w:val="002460DC"/>
    <w:rsid w:val="00250985"/>
    <w:rsid w:val="002556F6"/>
    <w:rsid w:val="00283105"/>
    <w:rsid w:val="00284C4C"/>
    <w:rsid w:val="00287A6C"/>
    <w:rsid w:val="00287E68"/>
    <w:rsid w:val="00296529"/>
    <w:rsid w:val="002B27FB"/>
    <w:rsid w:val="002B685A"/>
    <w:rsid w:val="002C57D2"/>
    <w:rsid w:val="002E0D56"/>
    <w:rsid w:val="002F14BE"/>
    <w:rsid w:val="00300B4A"/>
    <w:rsid w:val="00311E64"/>
    <w:rsid w:val="003150CB"/>
    <w:rsid w:val="00315186"/>
    <w:rsid w:val="00321D78"/>
    <w:rsid w:val="0033343E"/>
    <w:rsid w:val="003512C2"/>
    <w:rsid w:val="00371FB6"/>
    <w:rsid w:val="003763C1"/>
    <w:rsid w:val="00376BBE"/>
    <w:rsid w:val="00383ED4"/>
    <w:rsid w:val="0039224F"/>
    <w:rsid w:val="003A43A4"/>
    <w:rsid w:val="003A7E18"/>
    <w:rsid w:val="003C4C86"/>
    <w:rsid w:val="003C6258"/>
    <w:rsid w:val="003E2904"/>
    <w:rsid w:val="003F1E40"/>
    <w:rsid w:val="003F76A9"/>
    <w:rsid w:val="00401927"/>
    <w:rsid w:val="0040717F"/>
    <w:rsid w:val="0041027F"/>
    <w:rsid w:val="00412475"/>
    <w:rsid w:val="0041476D"/>
    <w:rsid w:val="00423789"/>
    <w:rsid w:val="00440F43"/>
    <w:rsid w:val="00441B6F"/>
    <w:rsid w:val="00446221"/>
    <w:rsid w:val="00450E62"/>
    <w:rsid w:val="004520ED"/>
    <w:rsid w:val="00452DAF"/>
    <w:rsid w:val="004539DB"/>
    <w:rsid w:val="004711B0"/>
    <w:rsid w:val="00471A80"/>
    <w:rsid w:val="004878E9"/>
    <w:rsid w:val="004D0F82"/>
    <w:rsid w:val="004D305E"/>
    <w:rsid w:val="004D4277"/>
    <w:rsid w:val="00502516"/>
    <w:rsid w:val="00504B26"/>
    <w:rsid w:val="00505F06"/>
    <w:rsid w:val="00506828"/>
    <w:rsid w:val="005176B2"/>
    <w:rsid w:val="0053056E"/>
    <w:rsid w:val="00545335"/>
    <w:rsid w:val="0054562D"/>
    <w:rsid w:val="00554FDA"/>
    <w:rsid w:val="00572EEC"/>
    <w:rsid w:val="005B4981"/>
    <w:rsid w:val="005C784C"/>
    <w:rsid w:val="005D17F6"/>
    <w:rsid w:val="005E1A25"/>
    <w:rsid w:val="005E5539"/>
    <w:rsid w:val="00602BF5"/>
    <w:rsid w:val="00603715"/>
    <w:rsid w:val="00617747"/>
    <w:rsid w:val="00617FDD"/>
    <w:rsid w:val="00633614"/>
    <w:rsid w:val="00633F68"/>
    <w:rsid w:val="00636EB2"/>
    <w:rsid w:val="006375B8"/>
    <w:rsid w:val="00662890"/>
    <w:rsid w:val="0066510A"/>
    <w:rsid w:val="00673F9F"/>
    <w:rsid w:val="00686953"/>
    <w:rsid w:val="00687DEA"/>
    <w:rsid w:val="00687E67"/>
    <w:rsid w:val="00691D17"/>
    <w:rsid w:val="00692058"/>
    <w:rsid w:val="00692244"/>
    <w:rsid w:val="006967F7"/>
    <w:rsid w:val="006A250C"/>
    <w:rsid w:val="006B21D3"/>
    <w:rsid w:val="006B57D0"/>
    <w:rsid w:val="006D30FF"/>
    <w:rsid w:val="006D6940"/>
    <w:rsid w:val="006F11EC"/>
    <w:rsid w:val="0070082C"/>
    <w:rsid w:val="00715C5D"/>
    <w:rsid w:val="00732C16"/>
    <w:rsid w:val="007369E6"/>
    <w:rsid w:val="007374B8"/>
    <w:rsid w:val="00746E59"/>
    <w:rsid w:val="00754C9A"/>
    <w:rsid w:val="0075599A"/>
    <w:rsid w:val="00761D52"/>
    <w:rsid w:val="0077749E"/>
    <w:rsid w:val="00777699"/>
    <w:rsid w:val="00790ADA"/>
    <w:rsid w:val="007D2288"/>
    <w:rsid w:val="007E088F"/>
    <w:rsid w:val="007F001A"/>
    <w:rsid w:val="007F0BDB"/>
    <w:rsid w:val="007F7B32"/>
    <w:rsid w:val="00804BC2"/>
    <w:rsid w:val="00806330"/>
    <w:rsid w:val="0081431A"/>
    <w:rsid w:val="00816CFC"/>
    <w:rsid w:val="0083216F"/>
    <w:rsid w:val="00856F0E"/>
    <w:rsid w:val="00860000"/>
    <w:rsid w:val="00863BD3"/>
    <w:rsid w:val="008641ED"/>
    <w:rsid w:val="00866D66"/>
    <w:rsid w:val="008671C6"/>
    <w:rsid w:val="00875803"/>
    <w:rsid w:val="008820DA"/>
    <w:rsid w:val="008B459E"/>
    <w:rsid w:val="008E13AE"/>
    <w:rsid w:val="008E1506"/>
    <w:rsid w:val="008E710C"/>
    <w:rsid w:val="008F69D6"/>
    <w:rsid w:val="00902823"/>
    <w:rsid w:val="00915CA6"/>
    <w:rsid w:val="00927834"/>
    <w:rsid w:val="00936D8B"/>
    <w:rsid w:val="00947BA4"/>
    <w:rsid w:val="009500A6"/>
    <w:rsid w:val="00957C18"/>
    <w:rsid w:val="009659BA"/>
    <w:rsid w:val="00976267"/>
    <w:rsid w:val="00983040"/>
    <w:rsid w:val="00995B13"/>
    <w:rsid w:val="00997C2E"/>
    <w:rsid w:val="009A4A1A"/>
    <w:rsid w:val="009B3FB9"/>
    <w:rsid w:val="009C2465"/>
    <w:rsid w:val="009C2C74"/>
    <w:rsid w:val="009D35A0"/>
    <w:rsid w:val="009D7EB7"/>
    <w:rsid w:val="009E048A"/>
    <w:rsid w:val="009E08E9"/>
    <w:rsid w:val="009E3DB9"/>
    <w:rsid w:val="009E6E35"/>
    <w:rsid w:val="009F0EDA"/>
    <w:rsid w:val="009F56A3"/>
    <w:rsid w:val="00A03B96"/>
    <w:rsid w:val="00A04866"/>
    <w:rsid w:val="00A05B19"/>
    <w:rsid w:val="00A1134E"/>
    <w:rsid w:val="00A24E7E"/>
    <w:rsid w:val="00A258C3"/>
    <w:rsid w:val="00A347C0"/>
    <w:rsid w:val="00A447AE"/>
    <w:rsid w:val="00A51431"/>
    <w:rsid w:val="00A539AD"/>
    <w:rsid w:val="00A750BA"/>
    <w:rsid w:val="00A94063"/>
    <w:rsid w:val="00AA6219"/>
    <w:rsid w:val="00AA74E0"/>
    <w:rsid w:val="00AB703F"/>
    <w:rsid w:val="00AC6BB8"/>
    <w:rsid w:val="00AE008F"/>
    <w:rsid w:val="00AE3FA4"/>
    <w:rsid w:val="00AF0D4B"/>
    <w:rsid w:val="00AF3056"/>
    <w:rsid w:val="00AF789B"/>
    <w:rsid w:val="00B01FCD"/>
    <w:rsid w:val="00B13E31"/>
    <w:rsid w:val="00B1776C"/>
    <w:rsid w:val="00B20D46"/>
    <w:rsid w:val="00B37003"/>
    <w:rsid w:val="00B52583"/>
    <w:rsid w:val="00B52896"/>
    <w:rsid w:val="00B555C0"/>
    <w:rsid w:val="00B95236"/>
    <w:rsid w:val="00B96BD9"/>
    <w:rsid w:val="00BA1B01"/>
    <w:rsid w:val="00BA2641"/>
    <w:rsid w:val="00BA4BD8"/>
    <w:rsid w:val="00BA5CAD"/>
    <w:rsid w:val="00BB37AA"/>
    <w:rsid w:val="00BC53A0"/>
    <w:rsid w:val="00BE2FDF"/>
    <w:rsid w:val="00BE4788"/>
    <w:rsid w:val="00BE62AD"/>
    <w:rsid w:val="00BF121F"/>
    <w:rsid w:val="00BF1F80"/>
    <w:rsid w:val="00C04515"/>
    <w:rsid w:val="00C07559"/>
    <w:rsid w:val="00C166EF"/>
    <w:rsid w:val="00C17EB0"/>
    <w:rsid w:val="00C27F5F"/>
    <w:rsid w:val="00C307F6"/>
    <w:rsid w:val="00C30A0F"/>
    <w:rsid w:val="00C35163"/>
    <w:rsid w:val="00C37E61"/>
    <w:rsid w:val="00C42064"/>
    <w:rsid w:val="00C47575"/>
    <w:rsid w:val="00C70F1B"/>
    <w:rsid w:val="00C71A47"/>
    <w:rsid w:val="00C7464C"/>
    <w:rsid w:val="00C84CD2"/>
    <w:rsid w:val="00C85588"/>
    <w:rsid w:val="00C8567A"/>
    <w:rsid w:val="00C913F5"/>
    <w:rsid w:val="00CB6B5E"/>
    <w:rsid w:val="00CD6755"/>
    <w:rsid w:val="00CD6856"/>
    <w:rsid w:val="00CE0089"/>
    <w:rsid w:val="00CE793C"/>
    <w:rsid w:val="00CF193C"/>
    <w:rsid w:val="00D173F1"/>
    <w:rsid w:val="00D74CB0"/>
    <w:rsid w:val="00D824CE"/>
    <w:rsid w:val="00D8295D"/>
    <w:rsid w:val="00DA3CBB"/>
    <w:rsid w:val="00DB2588"/>
    <w:rsid w:val="00DC2A65"/>
    <w:rsid w:val="00DD6D1C"/>
    <w:rsid w:val="00DE15F0"/>
    <w:rsid w:val="00DE5663"/>
    <w:rsid w:val="00DE78AA"/>
    <w:rsid w:val="00DF6D8D"/>
    <w:rsid w:val="00E04378"/>
    <w:rsid w:val="00E053D0"/>
    <w:rsid w:val="00E15994"/>
    <w:rsid w:val="00E3114E"/>
    <w:rsid w:val="00E31A70"/>
    <w:rsid w:val="00E35B02"/>
    <w:rsid w:val="00E6446A"/>
    <w:rsid w:val="00E66496"/>
    <w:rsid w:val="00E66B35"/>
    <w:rsid w:val="00E66E10"/>
    <w:rsid w:val="00E759F0"/>
    <w:rsid w:val="00E769F6"/>
    <w:rsid w:val="00E8407C"/>
    <w:rsid w:val="00E84F3C"/>
    <w:rsid w:val="00E86F28"/>
    <w:rsid w:val="00E9286B"/>
    <w:rsid w:val="00EA012C"/>
    <w:rsid w:val="00EC6A55"/>
    <w:rsid w:val="00ED0288"/>
    <w:rsid w:val="00EE52CB"/>
    <w:rsid w:val="00EF15CF"/>
    <w:rsid w:val="00EF581D"/>
    <w:rsid w:val="00EF7FD8"/>
    <w:rsid w:val="00F06F59"/>
    <w:rsid w:val="00F17988"/>
    <w:rsid w:val="00F4114C"/>
    <w:rsid w:val="00F469F0"/>
    <w:rsid w:val="00F53273"/>
    <w:rsid w:val="00F53774"/>
    <w:rsid w:val="00F755E4"/>
    <w:rsid w:val="00F77D02"/>
    <w:rsid w:val="00FB3A86"/>
    <w:rsid w:val="00FB7503"/>
    <w:rsid w:val="00FC1668"/>
    <w:rsid w:val="00FD0A85"/>
    <w:rsid w:val="00FD36C8"/>
    <w:rsid w:val="00FE2844"/>
    <w:rsid w:val="00FE73AE"/>
    <w:rsid w:val="00FF0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26BF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84C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B20D46"/>
    <w:rPr>
      <w:rFonts w:ascii="Times New Roman" w:hAnsi="Times New Roman"/>
      <w:sz w:val="24"/>
      <w:szCs w:val="24"/>
    </w:rPr>
  </w:style>
  <w:style w:type="table" w:customStyle="1" w:styleId="TableGrid2">
    <w:name w:val="Table Grid2"/>
    <w:basedOn w:val="TableNormal"/>
    <w:next w:val="TableGrid"/>
    <w:uiPriority w:val="39"/>
    <w:rsid w:val="00C045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next w:val="PlainTable4"/>
    <w:uiPriority w:val="44"/>
    <w:rsid w:val="007374B8"/>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7374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semiHidden/>
    <w:rsid w:val="00C84CD2"/>
    <w:rPr>
      <w:rFonts w:asciiTheme="majorHAnsi" w:eastAsiaTheme="majorEastAsia" w:hAnsiTheme="majorHAnsi" w:cstheme="majorBidi"/>
      <w:color w:val="365F91" w:themeColor="accent1" w:themeShade="BF"/>
      <w:sz w:val="26"/>
      <w:szCs w:val="26"/>
    </w:rPr>
  </w:style>
  <w:style w:type="table" w:customStyle="1" w:styleId="TableGrid7">
    <w:name w:val="Table Grid7"/>
    <w:basedOn w:val="TableNormal"/>
    <w:next w:val="TableGrid"/>
    <w:uiPriority w:val="39"/>
    <w:rsid w:val="00C84C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15C5D"/>
    <w:pPr>
      <w:spacing w:after="200"/>
    </w:pPr>
    <w:rPr>
      <w:i/>
      <w:iCs/>
      <w:color w:val="1F497D" w:themeColor="text2"/>
      <w:sz w:val="18"/>
      <w:szCs w:val="18"/>
    </w:rPr>
  </w:style>
  <w:style w:type="paragraph" w:styleId="ListParagraph">
    <w:name w:val="List Paragraph"/>
    <w:basedOn w:val="Normal"/>
    <w:uiPriority w:val="34"/>
    <w:qFormat/>
    <w:rsid w:val="00F4114C"/>
    <w:pPr>
      <w:ind w:left="720"/>
      <w:contextualSpacing/>
    </w:pPr>
  </w:style>
  <w:style w:type="character" w:customStyle="1" w:styleId="UnresolvedMention2">
    <w:name w:val="Unresolved Mention2"/>
    <w:basedOn w:val="DefaultParagraphFont"/>
    <w:uiPriority w:val="99"/>
    <w:semiHidden/>
    <w:unhideWhenUsed/>
    <w:rsid w:val="00545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14487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7918319">
      <w:bodyDiv w:val="1"/>
      <w:marLeft w:val="0"/>
      <w:marRight w:val="0"/>
      <w:marTop w:val="0"/>
      <w:marBottom w:val="0"/>
      <w:divBdr>
        <w:top w:val="none" w:sz="0" w:space="0" w:color="auto"/>
        <w:left w:val="none" w:sz="0" w:space="0" w:color="auto"/>
        <w:bottom w:val="none" w:sz="0" w:space="0" w:color="auto"/>
        <w:right w:val="none" w:sz="0" w:space="0" w:color="auto"/>
      </w:divBdr>
    </w:div>
    <w:div w:id="771124913">
      <w:bodyDiv w:val="1"/>
      <w:marLeft w:val="0"/>
      <w:marRight w:val="0"/>
      <w:marTop w:val="0"/>
      <w:marBottom w:val="0"/>
      <w:divBdr>
        <w:top w:val="none" w:sz="0" w:space="0" w:color="auto"/>
        <w:left w:val="none" w:sz="0" w:space="0" w:color="auto"/>
        <w:bottom w:val="none" w:sz="0" w:space="0" w:color="auto"/>
        <w:right w:val="none" w:sz="0" w:space="0" w:color="auto"/>
      </w:divBdr>
    </w:div>
    <w:div w:id="927008913">
      <w:bodyDiv w:val="1"/>
      <w:marLeft w:val="0"/>
      <w:marRight w:val="0"/>
      <w:marTop w:val="0"/>
      <w:marBottom w:val="0"/>
      <w:divBdr>
        <w:top w:val="none" w:sz="0" w:space="0" w:color="auto"/>
        <w:left w:val="none" w:sz="0" w:space="0" w:color="auto"/>
        <w:bottom w:val="none" w:sz="0" w:space="0" w:color="auto"/>
        <w:right w:val="none" w:sz="0" w:space="0" w:color="auto"/>
      </w:divBdr>
    </w:div>
    <w:div w:id="942496530">
      <w:bodyDiv w:val="1"/>
      <w:marLeft w:val="0"/>
      <w:marRight w:val="0"/>
      <w:marTop w:val="0"/>
      <w:marBottom w:val="0"/>
      <w:divBdr>
        <w:top w:val="none" w:sz="0" w:space="0" w:color="auto"/>
        <w:left w:val="none" w:sz="0" w:space="0" w:color="auto"/>
        <w:bottom w:val="none" w:sz="0" w:space="0" w:color="auto"/>
        <w:right w:val="none" w:sz="0" w:space="0" w:color="auto"/>
      </w:divBdr>
    </w:div>
    <w:div w:id="9627328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900152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37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Response Rate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Questionnaire</c:v>
                </c:pt>
                <c:pt idx="1">
                  <c:v>Interviews</c:v>
                </c:pt>
              </c:strCache>
            </c:strRef>
          </c:cat>
          <c:val>
            <c:numRef>
              <c:f>Sheet1!$B$2:$B$3</c:f>
              <c:numCache>
                <c:formatCode>0%</c:formatCode>
                <c:ptCount val="2"/>
                <c:pt idx="0">
                  <c:v>0.55000000000000004</c:v>
                </c:pt>
                <c:pt idx="1">
                  <c:v>0.75</c:v>
                </c:pt>
              </c:numCache>
            </c:numRef>
          </c:val>
          <c:extLst>
            <c:ext xmlns:c16="http://schemas.microsoft.com/office/drawing/2014/chart" uri="{C3380CC4-5D6E-409C-BE32-E72D297353CC}">
              <c16:uniqueId val="{00000000-505E-4AF6-9753-0FCB62337005}"/>
            </c:ext>
          </c:extLst>
        </c:ser>
        <c:dLbls>
          <c:showLegendKey val="0"/>
          <c:showVal val="0"/>
          <c:showCatName val="0"/>
          <c:showSerName val="0"/>
          <c:showPercent val="0"/>
          <c:showBubbleSize val="0"/>
        </c:dLbls>
        <c:gapWidth val="219"/>
        <c:overlap val="-27"/>
        <c:axId val="372297312"/>
        <c:axId val="372300920"/>
      </c:barChart>
      <c:catAx>
        <c:axId val="37229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300920"/>
        <c:crosses val="autoZero"/>
        <c:auto val="1"/>
        <c:lblAlgn val="ctr"/>
        <c:lblOffset val="100"/>
        <c:noMultiLvlLbl val="0"/>
      </c:catAx>
      <c:valAx>
        <c:axId val="372300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297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2E-481A-984F-BAE0A7D13AF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2E-481A-984F-BAE0A7D13AF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Female</c:v>
                </c:pt>
                <c:pt idx="1">
                  <c:v>Male </c:v>
                </c:pt>
              </c:strCache>
            </c:strRef>
          </c:cat>
          <c:val>
            <c:numRef>
              <c:f>Sheet1!$B$2:$B$3</c:f>
              <c:numCache>
                <c:formatCode>0%</c:formatCode>
                <c:ptCount val="2"/>
                <c:pt idx="0">
                  <c:v>0.6</c:v>
                </c:pt>
                <c:pt idx="1">
                  <c:v>0.4</c:v>
                </c:pt>
              </c:numCache>
            </c:numRef>
          </c:val>
          <c:extLst>
            <c:ext xmlns:c16="http://schemas.microsoft.com/office/drawing/2014/chart" uri="{C3380CC4-5D6E-409C-BE32-E72D297353CC}">
              <c16:uniqueId val="{00000000-A461-4863-AAD6-3BDD787C040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C728E7-DE2D-432A-B586-6E8FD84A626B}">
  <we:reference id="wa200000368" version="1.0.0.0" store="en-US" storeType="OMEX"/>
  <we:alternateReferences>
    <we:reference id="WA200000368" version="1.0.0.0" store="" storeType="OMEX"/>
  </we:alternateReferences>
  <we:properties>
    <we:property name="documentId" value="&quot;53e8f30958d49c5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718AA-C3D6-4848-B3E9-173998B5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20</Pages>
  <Words>9119</Words>
  <Characters>51981</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Admin</dc:creator>
  <cp:lastModifiedBy>Editor-11</cp:lastModifiedBy>
  <cp:revision>4</cp:revision>
  <cp:lastPrinted>1999-07-06T11:00:00Z</cp:lastPrinted>
  <dcterms:created xsi:type="dcterms:W3CDTF">2025-08-18T14:29:00Z</dcterms:created>
  <dcterms:modified xsi:type="dcterms:W3CDTF">2025-08-19T06:17:00Z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5aa5c1da-4c0d-41f7-8151-aef77c680443</vt:lpwstr>
  </property>
</Properties>
</file>