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66D0" w:rsidRDefault="00F86735" w:rsidP="00F86735">
      <w:pPr>
        <w:spacing w:before="100" w:beforeAutospacing="1" w:after="100" w:afterAutospacing="1" w:line="240" w:lineRule="auto"/>
        <w:jc w:val="center"/>
        <w:outlineLvl w:val="1"/>
        <w:rPr>
          <w:rFonts w:ascii="Times New Roman" w:eastAsia="Times New Roman" w:hAnsi="Times New Roman" w:cs="Times New Roman"/>
          <w:b/>
          <w:bCs/>
          <w:kern w:val="0"/>
          <w14:ligatures w14:val="none"/>
        </w:rPr>
      </w:pPr>
      <w:r w:rsidRPr="00F86735">
        <w:rPr>
          <w:rFonts w:ascii="Times New Roman" w:eastAsia="Times New Roman" w:hAnsi="Times New Roman" w:cs="Times New Roman"/>
          <w:b/>
          <w:bCs/>
          <w:kern w:val="36"/>
          <w:lang w:val="en-GB"/>
          <w14:ligatures w14:val="none"/>
        </w:rPr>
        <w:t>Toward Golden Indonesia 2045: Policy Shifts, Governance Challenges, and Future Directions</w:t>
      </w:r>
    </w:p>
    <w:p w:rsidR="008A66D0" w:rsidRDefault="008A66D0" w:rsidP="006C1550">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p>
    <w:p w:rsidR="006C1550" w:rsidRPr="006C1550" w:rsidRDefault="006C1550" w:rsidP="006C1550">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6C1550">
        <w:rPr>
          <w:rFonts w:ascii="Times New Roman" w:eastAsia="Times New Roman" w:hAnsi="Times New Roman" w:cs="Times New Roman"/>
          <w:b/>
          <w:bCs/>
          <w:kern w:val="0"/>
          <w14:ligatures w14:val="none"/>
        </w:rPr>
        <w:t>Abstract</w:t>
      </w:r>
    </w:p>
    <w:p w:rsidR="006C1550" w:rsidRPr="006C1550" w:rsidRDefault="006C1550" w:rsidP="006C1550">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6C1550">
        <w:rPr>
          <w:rFonts w:ascii="Times New Roman" w:eastAsia="Times New Roman" w:hAnsi="Times New Roman" w:cs="Times New Roman"/>
          <w:kern w:val="0"/>
          <w14:ligatures w14:val="none"/>
        </w:rPr>
        <w:t>This study analyzes the challenges and opportunities facing Indonesia in its pursuit of the "Golden Indonesia 2045"</w:t>
      </w:r>
      <w:r w:rsidR="00341D57">
        <w:rPr>
          <w:rFonts w:ascii="Times New Roman" w:eastAsia="Times New Roman" w:hAnsi="Times New Roman" w:cs="Times New Roman"/>
          <w:kern w:val="0"/>
          <w14:ligatures w14:val="none"/>
        </w:rPr>
        <w:t xml:space="preserve"> (Indonesia Emas 2045)</w:t>
      </w:r>
      <w:r w:rsidRPr="006C1550">
        <w:rPr>
          <w:rFonts w:ascii="Times New Roman" w:eastAsia="Times New Roman" w:hAnsi="Times New Roman" w:cs="Times New Roman"/>
          <w:kern w:val="0"/>
          <w14:ligatures w14:val="none"/>
        </w:rPr>
        <w:t xml:space="preserve"> vision, particularly under the new administration's "security-focused" economic agenda. While this paradigm shift, manifested through ambitious programs such as free nutritious meals, energy and food self-sufficiency, and the establishment of a powerful new sovereign wealth fund (SWF) named Danantara, aims to bolster national resilience, it introduces profound challenges. </w:t>
      </w:r>
      <w:r w:rsidR="00875EE7" w:rsidRPr="00F07063">
        <w:rPr>
          <w:rFonts w:ascii="Times New Roman" w:eastAsia="Times New Roman" w:hAnsi="Times New Roman" w:cs="Times New Roman"/>
          <w:kern w:val="0"/>
          <w14:ligatures w14:val="none"/>
        </w:rPr>
        <w:t>This study uses a descriptive approach through qualitative methods with extensive literature review</w:t>
      </w:r>
      <w:r w:rsidR="00875EE7">
        <w:rPr>
          <w:rFonts w:ascii="Times New Roman" w:eastAsia="Times New Roman" w:hAnsi="Times New Roman" w:cs="Times New Roman"/>
          <w:kern w:val="0"/>
          <w14:ligatures w14:val="none"/>
        </w:rPr>
        <w:t>.</w:t>
      </w:r>
      <w:r w:rsidR="00875EE7" w:rsidRPr="006C1550">
        <w:rPr>
          <w:rFonts w:ascii="Times New Roman" w:eastAsia="Times New Roman" w:hAnsi="Times New Roman" w:cs="Times New Roman"/>
          <w:kern w:val="0"/>
          <w14:ligatures w14:val="none"/>
        </w:rPr>
        <w:t xml:space="preserve"> </w:t>
      </w:r>
      <w:r w:rsidRPr="006C1550">
        <w:rPr>
          <w:rFonts w:ascii="Times New Roman" w:eastAsia="Times New Roman" w:hAnsi="Times New Roman" w:cs="Times New Roman"/>
          <w:kern w:val="0"/>
          <w14:ligatures w14:val="none"/>
        </w:rPr>
        <w:t>The paper critically examines the severe fiscal pressures arising from these costly initiatives, which have forced drastic budget reallocations away from key sectors like infrastructure. Furthermore, it highlights significant governance risks associated with Danantara, whose position under direct executive control raises concerns about its independence and potential for political misuse. The study also interrogates the continued reliance on a commodity downstreaming industrial strategy, which exposes the economy to global price volatility, and the macroeconomic dilemma created by a notable divergence between strong headline GDP growth and weakening real-sector indicators. Ultimately, the paper concludes that realizing the 2045 vision is contingent upon a renewed commitment to fiscal discipline, the establishment of robust and transparent institutional governance, aggressive economic diversification away from commodities, and sustained investment in human capital.</w:t>
      </w:r>
    </w:p>
    <w:p w:rsidR="006C1550" w:rsidRPr="00AF61F2" w:rsidRDefault="00AF61F2" w:rsidP="00F07063">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Keywords: Indonesia </w:t>
      </w:r>
      <w:r w:rsidR="00341D57">
        <w:rPr>
          <w:rFonts w:ascii="Times New Roman" w:eastAsia="Times New Roman" w:hAnsi="Times New Roman" w:cs="Times New Roman"/>
          <w:kern w:val="0"/>
          <w14:ligatures w14:val="none"/>
        </w:rPr>
        <w:t>Emas</w:t>
      </w:r>
      <w:r>
        <w:rPr>
          <w:rFonts w:ascii="Times New Roman" w:eastAsia="Times New Roman" w:hAnsi="Times New Roman" w:cs="Times New Roman"/>
          <w:kern w:val="0"/>
          <w14:ligatures w14:val="none"/>
        </w:rPr>
        <w:t xml:space="preserve"> 2045, middle-income trap, sovereign wealth fund, economic policy, economic growth</w:t>
      </w:r>
    </w:p>
    <w:p w:rsidR="00F07063" w:rsidRPr="00F07063" w:rsidRDefault="00F07063" w:rsidP="00F07063">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F07063">
        <w:rPr>
          <w:rFonts w:ascii="Times New Roman" w:eastAsia="Times New Roman" w:hAnsi="Times New Roman" w:cs="Times New Roman"/>
          <w:b/>
          <w:bCs/>
          <w:kern w:val="0"/>
          <w14:ligatures w14:val="none"/>
        </w:rPr>
        <w:t>I. INTRODUCTION</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Indonesia stands at a crucial historical crossroads. The Golden Indonesia 2045</w:t>
      </w:r>
      <w:r w:rsidR="00341D57">
        <w:rPr>
          <w:rFonts w:ascii="Times New Roman" w:eastAsia="Times New Roman" w:hAnsi="Times New Roman" w:cs="Times New Roman"/>
          <w:kern w:val="0"/>
          <w14:ligatures w14:val="none"/>
        </w:rPr>
        <w:t xml:space="preserve"> (Indonesia Emas 2045)</w:t>
      </w:r>
      <w:r w:rsidRPr="00F07063">
        <w:rPr>
          <w:rFonts w:ascii="Times New Roman" w:eastAsia="Times New Roman" w:hAnsi="Times New Roman" w:cs="Times New Roman"/>
          <w:kern w:val="0"/>
          <w14:ligatures w14:val="none"/>
        </w:rPr>
        <w:t xml:space="preserve"> vision is an ambitious blueprint for transforming the nation into a developed nation with a strong, equitable, and sovereign economy. This vision not only targets Indonesia to become one of the world's five largest economic powers, but also rests on four main pillars: (1) Human Development and Mastery of Science and Technology; (2) Sustainable Economic Development; (3) Equitable Development; and (4) Strengthening National Resilience and Governance.</w:t>
      </w:r>
    </w:p>
    <w:p w:rsidR="001411DC" w:rsidRDefault="001411DC"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1411DC">
        <w:rPr>
          <w:rFonts w:ascii="Times New Roman" w:eastAsia="Times New Roman" w:hAnsi="Times New Roman" w:cs="Times New Roman"/>
          <w:kern w:val="0"/>
          <w14:ligatures w14:val="none"/>
        </w:rPr>
        <w:t xml:space="preserve">The journey toward this grand vision faces complex and interconnected internal and external challenges. Internally, Indonesia continues to struggle with structural issues such as low productivity, gaps in human resource quality, and persistent institutional challenges (Hill &amp; Negara, 2019). These issues are not new and have hampered quality growth for decades. Aswicahyono </w:t>
      </w:r>
      <w:r w:rsidRPr="001411DC">
        <w:rPr>
          <w:rFonts w:ascii="Times New Roman" w:eastAsia="Times New Roman" w:hAnsi="Times New Roman" w:cs="Times New Roman"/>
          <w:i/>
          <w:iCs/>
          <w:kern w:val="0"/>
          <w14:ligatures w14:val="none"/>
        </w:rPr>
        <w:t>et al</w:t>
      </w:r>
      <w:r w:rsidRPr="001411DC">
        <w:rPr>
          <w:rFonts w:ascii="Times New Roman" w:eastAsia="Times New Roman" w:hAnsi="Times New Roman" w:cs="Times New Roman"/>
          <w:kern w:val="0"/>
          <w14:ligatures w14:val="none"/>
        </w:rPr>
        <w:t xml:space="preserve">. (2011) highlighted the phenomenon of premature deindustrialization, where the manufacturing sector's contribution to GDP tends to decline before reaching its potential peak. This trend limits the economy's ability to absorb large numbers of workers and increase aggregate productivity. This is exacerbated by challenges in the labor market, where the transition from the </w:t>
      </w:r>
      <w:r w:rsidRPr="001411DC">
        <w:rPr>
          <w:rFonts w:ascii="Times New Roman" w:eastAsia="Times New Roman" w:hAnsi="Times New Roman" w:cs="Times New Roman"/>
          <w:kern w:val="0"/>
          <w14:ligatures w14:val="none"/>
        </w:rPr>
        <w:lastRenderedPageBreak/>
        <w:t>informal to the formal sector is slow (Manning &amp; Pratomo, 2018), thus limiting the country's ability to make significant economic leaps.</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Externally, these challenges are exacerbated by global economic uncertainty and the real risk of falling into the middle</w:t>
      </w:r>
      <w:r w:rsidRPr="00F07063">
        <w:rPr>
          <w:rFonts w:ascii="Times New Roman" w:eastAsia="Times New Roman" w:hAnsi="Times New Roman" w:cs="Times New Roman"/>
          <w:i/>
          <w:iCs/>
          <w:kern w:val="0"/>
          <w14:ligatures w14:val="none"/>
        </w:rPr>
        <w:t>-</w:t>
      </w:r>
      <w:r w:rsidRPr="00F91500">
        <w:rPr>
          <w:rFonts w:ascii="Times New Roman" w:eastAsia="Times New Roman" w:hAnsi="Times New Roman" w:cs="Times New Roman"/>
          <w:kern w:val="0"/>
          <w14:ligatures w14:val="none"/>
        </w:rPr>
        <w:t>income trap</w:t>
      </w:r>
      <w:r w:rsidRPr="00F07063">
        <w:rPr>
          <w:rFonts w:ascii="Times New Roman" w:eastAsia="Times New Roman" w:hAnsi="Times New Roman" w:cs="Times New Roman"/>
          <w:kern w:val="0"/>
          <w14:ligatures w14:val="none"/>
        </w:rPr>
        <w:t>. This trap is a phenomenon in which fast-growing developing countries stagnate before reaching developed country status, often due to a failure to transform from resource-based economies to innovation- and knowledge-based economies, as is widely observed in Latin America and some Southeast Asian countries (Eichengreen, Park, &amp; Shin, 2012). For Indonesia, this risk is particularly relevant given its economic structure, which remains dependent on commodities and a manufacturing sector that is not yet sufficiently deep and sophisticated.</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The current administration, under President Prabowo Subianto, has initiated initial steps signaling a distinctive economic policy direction, with a sharp focus on "security" in the broadest sense (Habir &amp; Negara, 2025). This paradigm goes beyond traditional military security to encompass food, energy, and social security. This shift can be seen as a strategic response to increasing global volatility, including supply chain disruptions and the food crisis that have occurred in recent years.</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Flagship programs such as free nutritious meals, accelerating food and energy self-sufficiency, and establishing a new state investment agency (Danantara) are key pillars of this economic agenda. The free nutritious meals program, for example, is framed not only as a nutritional intervention but also as a long-term investment in human capital that will underpin future national resilience. Similarly, the push for food and energy self-sufficiency is seen as a step to reduce dependence on imports and vulnerability to international price fluctuations.</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On the other hand, the scale and ambition of these policies have sparked heated debate about fiscal sustainability and their impact on macroeconomic stability. With such substantial cost estimates, fundamental questions arise about how these programs will be financed without jeopardizing the health of the state budget and the country's credit rating. Limited fiscal space, coupled with a still-low tax ratio, are key obstacles that must be overcome.</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The complexity of this situation deepens when looking at the latest economic data. Although second-quarter 2025 GDP data showed a surprising acceleration in growth to 5.12% (Sihombing, 2025), this figure emerged amidst various real economic indicators that actually showed weakness. A contraction in the manufacturing Purchasing Managers' Index (PMI), a sharp decline in cement and automotive sales, and a plunge in foreign direct investment (Shibata &amp; Hadyan, 2025) paint a less optimistic picture.</w:t>
      </w:r>
    </w:p>
    <w:p w:rsidR="00814ABF" w:rsidRDefault="00814ABF"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814ABF">
        <w:rPr>
          <w:rFonts w:ascii="Times New Roman" w:eastAsia="Times New Roman" w:hAnsi="Times New Roman" w:cs="Times New Roman"/>
          <w:kern w:val="0"/>
          <w14:ligatures w14:val="none"/>
        </w:rPr>
        <w:t>This gap between aggregate GDP data and real-sector indicators highlights the complex challenges in assessing the true health of the economy. Some analysts argue that GDP growth may be driven by a temporary surge in government spending or commodity exports boosted by anticipated tariff policies, rather than by fundamental improvements in domestic demand or private investment. This could also reflect a "two-track economy" in which commodity- and government-related sectors may thrive, while sectors serving the domestic middle class</w:t>
      </w:r>
      <w:r>
        <w:rPr>
          <w:rFonts w:ascii="Times New Roman" w:eastAsia="Times New Roman" w:hAnsi="Times New Roman" w:cs="Times New Roman"/>
          <w:kern w:val="0"/>
          <w14:ligatures w14:val="none"/>
        </w:rPr>
        <w:t xml:space="preserve"> </w:t>
      </w:r>
      <w:r w:rsidRPr="00814ABF">
        <w:rPr>
          <w:rFonts w:ascii="Times New Roman" w:eastAsia="Times New Roman" w:hAnsi="Times New Roman" w:cs="Times New Roman"/>
          <w:kern w:val="0"/>
          <w14:ligatures w14:val="none"/>
        </w:rPr>
        <w:t>whose growth is crucial (Kharas, 2010)</w:t>
      </w:r>
      <w:r>
        <w:rPr>
          <w:rFonts w:ascii="Times New Roman" w:eastAsia="Times New Roman" w:hAnsi="Times New Roman" w:cs="Times New Roman"/>
          <w:kern w:val="0"/>
          <w14:ligatures w14:val="none"/>
        </w:rPr>
        <w:t xml:space="preserve"> </w:t>
      </w:r>
      <w:r w:rsidRPr="00814ABF">
        <w:rPr>
          <w:rFonts w:ascii="Times New Roman" w:eastAsia="Times New Roman" w:hAnsi="Times New Roman" w:cs="Times New Roman"/>
          <w:kern w:val="0"/>
          <w14:ligatures w14:val="none"/>
        </w:rPr>
        <w:t>are under pressure.</w:t>
      </w:r>
    </w:p>
    <w:p w:rsidR="00814ABF" w:rsidRDefault="00814ABF"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814ABF">
        <w:rPr>
          <w:rFonts w:ascii="Times New Roman" w:eastAsia="Times New Roman" w:hAnsi="Times New Roman" w:cs="Times New Roman"/>
          <w:kern w:val="0"/>
          <w14:ligatures w14:val="none"/>
        </w:rPr>
        <w:lastRenderedPageBreak/>
        <w:t>This situation creates a significant policy dilemma for Bank Indonesia and the government. On the one hand, the weakening real sector demands monetary and fiscal stimulus to maintain economic momentum and employment. On the other hand, overly expansionary policies risk exacerbating inflationary pressures and the current account deficit, which in turn could further depress the rupiah exchange rate and erode investor confidence. Indonesia's historical experience, as analyzed by Basri (2015), shows that the country often has to undergo painful policy adjustments to restore macroeconomic stability after periods of loose policy.</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Ultimately, Indonesia faces difficult choices. Will a focus on security-based populist programs lay the foundation for sustainable growth, or will it sacrifice hard-won fiscal discipline and macroeconomic stability? Will promised institutional reforms be effective in boosting productivity and competitiveness, or will they be hampered by political interests and entrenched governance challenges? The answers to these questions will determine whether Indonesia can successfully escape the middle-income trap and realize its Golden Indonesia 2045 vision.</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Based on this, this study aims to examine in depth the challenges and opportunities facing Indonesia in realizing the Vision of Golden Indonesia 2045. The analysis will focus on the current direction of economic policy from a comparative perspective, both historically and with other countries facing similar challenges. This study uses a descriptive approach through qualitative methods with extensive literature review, to synthesize various findings from previous studies, international agency reports, and contemporary policy analysis. By critically dissecting the security-focused economic agenda, its fiscal implications, accompanying institutional reforms, and the proposed industrialization strategy, this study is expected to make a real contribution to the formulation of </w:t>
      </w:r>
      <w:r w:rsidRPr="00237367">
        <w:rPr>
          <w:rFonts w:ascii="Times New Roman" w:eastAsia="Times New Roman" w:hAnsi="Times New Roman" w:cs="Times New Roman"/>
          <w:kern w:val="0"/>
          <w14:ligatures w14:val="none"/>
        </w:rPr>
        <w:t>evidence-based policy recommendations.</w:t>
      </w:r>
      <w:r w:rsidRPr="00F07063">
        <w:rPr>
          <w:rFonts w:ascii="Times New Roman" w:eastAsia="Times New Roman" w:hAnsi="Times New Roman" w:cs="Times New Roman"/>
          <w:kern w:val="0"/>
          <w14:ligatures w14:val="none"/>
        </w:rPr>
        <w:t xml:space="preserve"> The goal is to help navigate the complexity of development challenges and direct Indonesia towards achieving its strategic targets by 2045 effectively and sustainably.</w:t>
      </w:r>
    </w:p>
    <w:p w:rsidR="00F07063" w:rsidRPr="00F07063" w:rsidRDefault="00F07063" w:rsidP="00F07063">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F07063">
        <w:rPr>
          <w:rFonts w:ascii="Times New Roman" w:eastAsia="Times New Roman" w:hAnsi="Times New Roman" w:cs="Times New Roman"/>
          <w:b/>
          <w:bCs/>
          <w:kern w:val="0"/>
          <w14:ligatures w14:val="none"/>
        </w:rPr>
        <w:t>II. LITERATURE REVIEW</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The conceptual framework for analyzing the prospects of Golden Indonesia 2045 centers on the debate about the middle</w:t>
      </w:r>
      <w:r w:rsidRPr="00F91500">
        <w:rPr>
          <w:rFonts w:ascii="Times New Roman" w:eastAsia="Times New Roman" w:hAnsi="Times New Roman" w:cs="Times New Roman"/>
          <w:kern w:val="0"/>
          <w14:ligatures w14:val="none"/>
        </w:rPr>
        <w:t>-income trap</w:t>
      </w:r>
      <w:r w:rsidRPr="00F07063">
        <w:rPr>
          <w:rFonts w:ascii="Times New Roman" w:eastAsia="Times New Roman" w:hAnsi="Times New Roman" w:cs="Times New Roman"/>
          <w:kern w:val="0"/>
          <w14:ligatures w14:val="none"/>
        </w:rPr>
        <w:t>. According to research by Eichengreen, Park, &amp; Shin (2012), countries tend to experience a sharp growth slowdown when their GDP per capita reaches a certain level, as competitive advantages based on low wages begin to erode while the ability to compete in innovation and high technology has not yet been developed. Hill and Negara (2019) place Indonesia in this context, highlighting fundamental challenges such as stagnant productivity, uneven quality of human resources, and institutional weaknesses as key barriers to making the leap to developed country status.</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Policy legacies from previous eras shape the current economic landscape. During President Joko Widodo's administration, the focus on infrastructure development and bureaucratic deregulation aimed to address some of these structural barriers. However, their effectiveness was often limited. Warburton (2019) argues that despite a clear development agenda, the results were undermined by political realities, where patronage and clientelism undermined efficient resource allocation and meritocratic policy implementation. This argument aligns with the broader thesis of Acemoglu and Robinson (2012), who argued that "extractive" political institutions hinder the formation of "inclusive" economic institutions, ultimately hindering long-term prosperity.</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lastRenderedPageBreak/>
        <w:t>Industrial policy, particularly the natural resource downstreaming strategy, has become a hallmark of Indonesia's economic approach in the last decade (Patunru, 2019). This strategy aligns with modern industrial policy theory advocated by Rodrik (2004), who argues that targeted government intervention can help address market failures and drive structural transformation. However, Rodrik also cautions that such policies require capable and disciplined government institutions to prevent policy hijacking by vested interests. The vulnerability of Indonesia's downstreaming strategy to global commodity price volatility, as seen in the case of nickel (Lakshmi &amp; Mariska, 2025), highlights the risks of policies that rely too heavily on a single sector without adequate diversification.</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Entering a new era of governance, the paradigm shift toward </w:t>
      </w:r>
      <w:r w:rsidRPr="00F07063">
        <w:rPr>
          <w:rFonts w:ascii="Times New Roman" w:eastAsia="Times New Roman" w:hAnsi="Times New Roman" w:cs="Times New Roman"/>
          <w:i/>
          <w:iCs/>
          <w:kern w:val="0"/>
          <w14:ligatures w14:val="none"/>
        </w:rPr>
        <w:t xml:space="preserve">a "security-focused economic agenda" </w:t>
      </w:r>
      <w:r w:rsidRPr="00F07063">
        <w:rPr>
          <w:rFonts w:ascii="Times New Roman" w:eastAsia="Times New Roman" w:hAnsi="Times New Roman" w:cs="Times New Roman"/>
          <w:kern w:val="0"/>
          <w14:ligatures w14:val="none"/>
        </w:rPr>
        <w:t xml:space="preserve">identified by Habir and Negara (2025) brings new dynamics. The establishment of large </w:t>
      </w:r>
      <w:r w:rsidRPr="00F07063">
        <w:rPr>
          <w:rFonts w:ascii="Times New Roman" w:eastAsia="Times New Roman" w:hAnsi="Times New Roman" w:cs="Times New Roman"/>
          <w:i/>
          <w:iCs/>
          <w:kern w:val="0"/>
          <w14:ligatures w14:val="none"/>
        </w:rPr>
        <w:t xml:space="preserve">sovereign wealth funds </w:t>
      </w:r>
      <w:r w:rsidRPr="00F07063">
        <w:rPr>
          <w:rFonts w:ascii="Times New Roman" w:eastAsia="Times New Roman" w:hAnsi="Times New Roman" w:cs="Times New Roman"/>
          <w:kern w:val="0"/>
          <w14:ligatures w14:val="none"/>
        </w:rPr>
        <w:t>(SWFs) such as Danantara is a common policy instrument used by resource-rich countries to manage revenues and finance development. However, research by Gelb, Tordo, &amp; Halland (2014) emphasizes that the success of SWFs depends heavily on strong governance pillars, particularly independence from short-term political intervention and high transparency. Concerns have been raised about Danantara's structure, which is under direct executive control (Lakshmi &amp; Mariska, 2024; Harding &amp; Lakshmi, 2025), highlighting potential governance risks that could threaten its effectiveness.</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Overall, the existing literature paints a picture of a country that continues to grapple with persistent development challenges, while experimenting with different policy models across administrations. The transition from an infrastructure-focused to a security-focused focus, on the one hand, is a response to changing global conditions, but on the other, it presents a new set of challenges related to fiscal sustainability, governance, and policy effectiveness in driving the economic transformation needed to achieve the Golden Indonesia Vision 2045.</w:t>
      </w:r>
    </w:p>
    <w:p w:rsidR="00F07063" w:rsidRPr="00F07063" w:rsidRDefault="00F07063" w:rsidP="00F07063">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F07063">
        <w:rPr>
          <w:rFonts w:ascii="Times New Roman" w:eastAsia="Times New Roman" w:hAnsi="Times New Roman" w:cs="Times New Roman"/>
          <w:b/>
          <w:bCs/>
          <w:kern w:val="0"/>
          <w14:ligatures w14:val="none"/>
        </w:rPr>
        <w:t>III. DISCUSSION</w:t>
      </w:r>
    </w:p>
    <w:p w:rsidR="00F07063" w:rsidRPr="00F07063" w:rsidRDefault="00F07063" w:rsidP="00F07063">
      <w:pPr>
        <w:spacing w:before="100" w:beforeAutospacing="1" w:after="100" w:afterAutospacing="1" w:line="240" w:lineRule="auto"/>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b/>
          <w:bCs/>
          <w:kern w:val="0"/>
          <w14:ligatures w14:val="none"/>
        </w:rPr>
        <w:t>New Directions for Economic Policy: A Security-Based Agenda</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President Prabowo Subianto's administration has explicitly shifted the focus of economic policy from an infrastructure-oriented agenda to a security-based one. This paradigm shift is not merely a change in rhetoric, but is reflected in fundamental resource allocation and program priorities. Habir &amp; Negara (2025) highlight that the draft 2025 State Budget (APBN) significantly increases military spending and programs that directly support national resilience. This approach places sovereignty and independence in vital issues such as food and energy at the core of economic strategy, a response to increasing geopolitical uncertainty and global market volatility.</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The free nutritious meal program is the most prominent manifestation of this agenda, with a dual justification. Socially, the program aims to address stunting and improve human capital from an early age, a prerequisite for long-term productivity. Strategically, a healthy and intelligent generation is seen as an asset for national resilience. According to research by Jomaa, McDonnell, &amp; Probart (2011), school meal programs globally have been shown to improve school enrollment and children's nutritional status, which are essential foundations for human resource development. However, the success of similar programs in other countries, such as </w:t>
      </w:r>
      <w:r w:rsidRPr="00F07063">
        <w:rPr>
          <w:rFonts w:ascii="Times New Roman" w:eastAsia="Times New Roman" w:hAnsi="Times New Roman" w:cs="Times New Roman"/>
          <w:i/>
          <w:iCs/>
          <w:kern w:val="0"/>
          <w14:ligatures w14:val="none"/>
        </w:rPr>
        <w:t xml:space="preserve">the Mid-Day Meal Scheme </w:t>
      </w:r>
      <w:r w:rsidRPr="00F07063">
        <w:rPr>
          <w:rFonts w:ascii="Times New Roman" w:eastAsia="Times New Roman" w:hAnsi="Times New Roman" w:cs="Times New Roman"/>
          <w:kern w:val="0"/>
          <w14:ligatures w14:val="none"/>
        </w:rPr>
        <w:lastRenderedPageBreak/>
        <w:t>in India, also highlights significant implementation challenges, such as logistics, food quality, and potential budget leaks</w:t>
      </w:r>
      <w:r w:rsidR="003D5E3E">
        <w:rPr>
          <w:rFonts w:ascii="Times New Roman" w:eastAsia="Times New Roman" w:hAnsi="Times New Roman" w:cs="Times New Roman"/>
          <w:kern w:val="0"/>
          <w14:ligatures w14:val="none"/>
        </w:rPr>
        <w:t xml:space="preserve"> (Paltasingh &amp; Bhue, 2022)</w:t>
      </w:r>
      <w:r w:rsidRPr="00F07063">
        <w:rPr>
          <w:rFonts w:ascii="Times New Roman" w:eastAsia="Times New Roman" w:hAnsi="Times New Roman" w:cs="Times New Roman"/>
          <w:kern w:val="0"/>
          <w14:ligatures w14:val="none"/>
        </w:rPr>
        <w:t>.</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Implementing this security-based agenda faces tremendous fiscal challenges. The free nutritious meal program alone is estimated to cost up to $28 billion annually (Financial Times, 2025), a staggering figure for Indonesia's state budget. This is further compounded by the need for massive investment to achieve food self-sufficiency through the </w:t>
      </w:r>
      <w:r w:rsidRPr="00F07063">
        <w:rPr>
          <w:rFonts w:ascii="Times New Roman" w:eastAsia="Times New Roman" w:hAnsi="Times New Roman" w:cs="Times New Roman"/>
          <w:i/>
          <w:iCs/>
          <w:kern w:val="0"/>
          <w14:ligatures w14:val="none"/>
        </w:rPr>
        <w:t xml:space="preserve">food estate program </w:t>
      </w:r>
      <w:r w:rsidRPr="00F07063">
        <w:rPr>
          <w:rFonts w:ascii="Times New Roman" w:eastAsia="Times New Roman" w:hAnsi="Times New Roman" w:cs="Times New Roman"/>
          <w:kern w:val="0"/>
          <w14:ligatures w14:val="none"/>
        </w:rPr>
        <w:t>and energy self-sufficiency through the biodiesel program. With the tax ratio remaining low, the only way to finance these programs in the short term is through drastic budget reallocations, effectively sacrificing other spending items.</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The most obvious consequence of this choice was sharp budget cuts in ministries oriented toward long-term investment, particularly the Ministry of Public Works (The Economist, 2025). This move signaled a shift in priorities from the development of hard physical infrastructure—the previous administration's mainstay—to programs deemed more directly relevant to public welfare and national resilience. However, this choice carries significant economic risks. A study by Alesina &amp; Ardagna (2010) shows that fiscal consolidation based on cuts in public investment spending, rather than cuts in consumer spending, tends to have a greater and more lasting negative impact on economic growth.</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Indonesia's policy choices are an anomaly compared to the strategies of neighboring countries. Vietnam and Thailand, for example, continue to prioritize infrastructure spending as a key driver of growth and competitiveness to attract foreign direct investment (FDI) and integrate more deeply into global value chains (ADB, 2017). Thus, Indonesia faces a significant gamble: whether investments in "social infrastructure" and resilience will yield superior long-term returns compared to investments in physical infrastructure, which have proven to be a driver of growth in many other developing countries.</w:t>
      </w:r>
    </w:p>
    <w:p w:rsidR="00F07063" w:rsidRPr="00F07063" w:rsidRDefault="00F07063" w:rsidP="00F07063">
      <w:pPr>
        <w:spacing w:before="100" w:beforeAutospacing="1" w:after="100" w:afterAutospacing="1" w:line="240" w:lineRule="auto"/>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b/>
          <w:bCs/>
          <w:kern w:val="0"/>
          <w14:ligatures w14:val="none"/>
        </w:rPr>
        <w:t>New Institutions and Governance Challenges: The Case of Danantara</w:t>
      </w:r>
    </w:p>
    <w:p w:rsid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One of the biggest institutional breakthroughs was the creation of </w:t>
      </w:r>
      <w:r w:rsidRPr="00F07063">
        <w:rPr>
          <w:rFonts w:ascii="Times New Roman" w:eastAsia="Times New Roman" w:hAnsi="Times New Roman" w:cs="Times New Roman"/>
          <w:i/>
          <w:iCs/>
          <w:kern w:val="0"/>
          <w14:ligatures w14:val="none"/>
        </w:rPr>
        <w:t xml:space="preserve">a sovereign wealth fund </w:t>
      </w:r>
      <w:r w:rsidRPr="00F07063">
        <w:rPr>
          <w:rFonts w:ascii="Times New Roman" w:eastAsia="Times New Roman" w:hAnsi="Times New Roman" w:cs="Times New Roman"/>
          <w:kern w:val="0"/>
          <w14:ligatures w14:val="none"/>
        </w:rPr>
        <w:t>(SWF) called Danantara, which took over the management of all state-owned enterprises (SOEs) with total assets approaching $900 billion</w:t>
      </w:r>
      <w:r w:rsidR="00B90418">
        <w:rPr>
          <w:rFonts w:ascii="Times New Roman" w:eastAsia="Times New Roman" w:hAnsi="Times New Roman" w:cs="Times New Roman"/>
          <w:kern w:val="0"/>
          <w14:ligatures w14:val="none"/>
        </w:rPr>
        <w:t xml:space="preserve"> </w:t>
      </w:r>
      <w:r w:rsidR="00B90418" w:rsidRPr="00B90418">
        <w:rPr>
          <w:rFonts w:ascii="Times New Roman" w:eastAsia="Times New Roman" w:hAnsi="Times New Roman" w:cs="Times New Roman"/>
          <w:kern w:val="0"/>
          <w14:ligatures w14:val="none"/>
        </w:rPr>
        <w:t>making it the 7th largest SWF in the world as shown in Table 3.1</w:t>
      </w:r>
      <w:r w:rsidRPr="00F07063">
        <w:rPr>
          <w:rFonts w:ascii="Times New Roman" w:eastAsia="Times New Roman" w:hAnsi="Times New Roman" w:cs="Times New Roman"/>
          <w:kern w:val="0"/>
          <w14:ligatures w14:val="none"/>
        </w:rPr>
        <w:t xml:space="preserve">. Conceptually, the creation of an SWF, which consolidates state assets into a single </w:t>
      </w:r>
      <w:r w:rsidRPr="00F07063">
        <w:rPr>
          <w:rFonts w:ascii="Times New Roman" w:eastAsia="Times New Roman" w:hAnsi="Times New Roman" w:cs="Times New Roman"/>
          <w:i/>
          <w:iCs/>
          <w:kern w:val="0"/>
          <w14:ligatures w14:val="none"/>
        </w:rPr>
        <w:t xml:space="preserve">super-holding entity </w:t>
      </w:r>
      <w:r w:rsidRPr="00F07063">
        <w:rPr>
          <w:rFonts w:ascii="Times New Roman" w:eastAsia="Times New Roman" w:hAnsi="Times New Roman" w:cs="Times New Roman"/>
          <w:kern w:val="0"/>
          <w14:ligatures w14:val="none"/>
        </w:rPr>
        <w:t>, aims to "corporatize SOEs," namely by implementing professional management practices, increasing efficiency, and unlocking the value of state assets that may have previously been underutilized. The goal is to use dividends and investment profits from this portfolio to fund national strategic projects, similar to the model adopted by Temasek in Singapore or Khazanah Nasional in Malaysia.</w:t>
      </w:r>
      <w:r w:rsidR="006F46E8">
        <w:rPr>
          <w:rFonts w:ascii="Times New Roman" w:eastAsia="Times New Roman" w:hAnsi="Times New Roman" w:cs="Times New Roman"/>
          <w:kern w:val="0"/>
          <w14:ligatures w14:val="none"/>
        </w:rPr>
        <w:t xml:space="preserve"> </w:t>
      </w:r>
      <w:r w:rsidR="00D06389" w:rsidRPr="00D06389">
        <w:rPr>
          <w:rFonts w:ascii="Times New Roman" w:eastAsia="Times New Roman" w:hAnsi="Times New Roman" w:cs="Times New Roman"/>
          <w:kern w:val="0"/>
          <w14:ligatures w14:val="none"/>
        </w:rPr>
        <w:t xml:space="preserve">Research conducted by Affuso </w:t>
      </w:r>
      <w:r w:rsidR="00D06389" w:rsidRPr="00D06389">
        <w:rPr>
          <w:rFonts w:ascii="Times New Roman" w:eastAsia="Times New Roman" w:hAnsi="Times New Roman" w:cs="Times New Roman"/>
          <w:i/>
          <w:iCs/>
          <w:kern w:val="0"/>
          <w14:ligatures w14:val="none"/>
        </w:rPr>
        <w:t>et al</w:t>
      </w:r>
      <w:r w:rsidR="00D06389" w:rsidRPr="00D06389">
        <w:rPr>
          <w:rFonts w:ascii="Times New Roman" w:eastAsia="Times New Roman" w:hAnsi="Times New Roman" w:cs="Times New Roman"/>
          <w:kern w:val="0"/>
          <w14:ligatures w14:val="none"/>
        </w:rPr>
        <w:t>., (2022) shows that SWF has a significant positive impact on economic growth.</w:t>
      </w:r>
    </w:p>
    <w:p w:rsidR="00E76948" w:rsidRPr="00E76948" w:rsidRDefault="00E76948" w:rsidP="00E76948">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Table 3.1</w:t>
      </w:r>
      <w:r>
        <w:rPr>
          <w:rFonts w:ascii="Times New Roman" w:eastAsia="Times New Roman" w:hAnsi="Times New Roman" w:cs="Times New Roman"/>
          <w:kern w:val="0"/>
          <w14:ligatures w14:val="none"/>
        </w:rPr>
        <w:t xml:space="preserve"> </w:t>
      </w:r>
      <w:r w:rsidRPr="00E76948">
        <w:rPr>
          <w:rFonts w:ascii="Times New Roman" w:eastAsia="Times New Roman" w:hAnsi="Times New Roman" w:cs="Times New Roman"/>
          <w:kern w:val="0"/>
          <w14:ligatures w14:val="none"/>
        </w:rPr>
        <w:t>Comparison of total assets of various SWFs</w:t>
      </w:r>
    </w:p>
    <w:tbl>
      <w:tblPr>
        <w:tblW w:w="8160" w:type="dxa"/>
        <w:jc w:val="center"/>
        <w:tblLook w:val="04A0" w:firstRow="1" w:lastRow="0" w:firstColumn="1" w:lastColumn="0" w:noHBand="0" w:noVBand="1"/>
      </w:tblPr>
      <w:tblGrid>
        <w:gridCol w:w="714"/>
        <w:gridCol w:w="5320"/>
        <w:gridCol w:w="2281"/>
      </w:tblGrid>
      <w:tr w:rsidR="00E76948" w:rsidRPr="00E76948" w:rsidTr="00E76948">
        <w:trPr>
          <w:trHeight w:val="320"/>
          <w:jc w:val="center"/>
        </w:trPr>
        <w:tc>
          <w:tcPr>
            <w:tcW w:w="640" w:type="dxa"/>
            <w:tcBorders>
              <w:top w:val="nil"/>
              <w:left w:val="nil"/>
              <w:bottom w:val="single" w:sz="4" w:space="0" w:color="auto"/>
              <w:right w:val="nil"/>
            </w:tcBorders>
            <w:noWrap/>
            <w:vAlign w:val="bottom"/>
            <w:hideMark/>
          </w:tcPr>
          <w:p w:rsidR="00E76948" w:rsidRPr="00E76948" w:rsidRDefault="00E76948" w:rsidP="00E76948">
            <w:pPr>
              <w:spacing w:after="0" w:line="240" w:lineRule="auto"/>
              <w:jc w:val="center"/>
              <w:rPr>
                <w:rFonts w:ascii="Calibri" w:eastAsia="Times New Roman" w:hAnsi="Calibri" w:cs="Calibri"/>
                <w:b/>
                <w:bCs/>
                <w:color w:val="000000"/>
                <w:kern w:val="0"/>
                <w:lang w:val="en-US"/>
                <w14:ligatures w14:val="none"/>
              </w:rPr>
            </w:pPr>
            <w:r w:rsidRPr="00E76948">
              <w:rPr>
                <w:rFonts w:ascii="Calibri" w:eastAsia="Times New Roman" w:hAnsi="Calibri" w:cs="Calibri"/>
                <w:b/>
                <w:bCs/>
                <w:color w:val="000000"/>
                <w:kern w:val="0"/>
                <w:lang w:val="en-US"/>
                <w14:ligatures w14:val="none"/>
              </w:rPr>
              <w:t>Rank</w:t>
            </w:r>
          </w:p>
        </w:tc>
        <w:tc>
          <w:tcPr>
            <w:tcW w:w="5320" w:type="dxa"/>
            <w:tcBorders>
              <w:top w:val="nil"/>
              <w:left w:val="nil"/>
              <w:bottom w:val="single" w:sz="4" w:space="0" w:color="auto"/>
              <w:right w:val="nil"/>
            </w:tcBorders>
            <w:noWrap/>
            <w:vAlign w:val="bottom"/>
            <w:hideMark/>
          </w:tcPr>
          <w:p w:rsidR="00E76948" w:rsidRPr="00E76948" w:rsidRDefault="00E76948" w:rsidP="00E76948">
            <w:pPr>
              <w:spacing w:after="0" w:line="240" w:lineRule="auto"/>
              <w:jc w:val="center"/>
              <w:rPr>
                <w:rFonts w:ascii="Calibri" w:eastAsia="Times New Roman" w:hAnsi="Calibri" w:cs="Calibri"/>
                <w:b/>
                <w:bCs/>
                <w:color w:val="000000"/>
                <w:kern w:val="0"/>
                <w:lang w:val="en-US"/>
                <w14:ligatures w14:val="none"/>
              </w:rPr>
            </w:pPr>
            <w:r w:rsidRPr="00E76948">
              <w:rPr>
                <w:rFonts w:ascii="Calibri" w:eastAsia="Times New Roman" w:hAnsi="Calibri" w:cs="Calibri"/>
                <w:b/>
                <w:bCs/>
                <w:color w:val="000000"/>
                <w:kern w:val="0"/>
                <w:lang w:val="en-US"/>
                <w14:ligatures w14:val="none"/>
              </w:rPr>
              <w:t>Profile</w:t>
            </w:r>
          </w:p>
        </w:tc>
        <w:tc>
          <w:tcPr>
            <w:tcW w:w="2200" w:type="dxa"/>
            <w:tcBorders>
              <w:top w:val="nil"/>
              <w:left w:val="nil"/>
              <w:bottom w:val="single" w:sz="4" w:space="0" w:color="auto"/>
              <w:right w:val="nil"/>
            </w:tcBorders>
            <w:noWrap/>
            <w:vAlign w:val="bottom"/>
            <w:hideMark/>
          </w:tcPr>
          <w:p w:rsidR="00E76948" w:rsidRPr="00E76948" w:rsidRDefault="00E76948" w:rsidP="00E76948">
            <w:pPr>
              <w:spacing w:after="0" w:line="240" w:lineRule="auto"/>
              <w:jc w:val="center"/>
              <w:rPr>
                <w:rFonts w:ascii="Calibri" w:eastAsia="Times New Roman" w:hAnsi="Calibri" w:cs="Calibri"/>
                <w:b/>
                <w:bCs/>
                <w:color w:val="000000"/>
                <w:kern w:val="0"/>
                <w:lang w:val="en-US"/>
                <w14:ligatures w14:val="none"/>
              </w:rPr>
            </w:pPr>
            <w:r w:rsidRPr="00E76948">
              <w:rPr>
                <w:rFonts w:ascii="Calibri" w:eastAsia="Times New Roman" w:hAnsi="Calibri" w:cs="Calibri"/>
                <w:b/>
                <w:bCs/>
                <w:color w:val="000000"/>
                <w:kern w:val="0"/>
                <w:lang w:val="en-US"/>
                <w14:ligatures w14:val="none"/>
              </w:rPr>
              <w:t>Total Assets</w:t>
            </w:r>
          </w:p>
        </w:tc>
      </w:tr>
      <w:tr w:rsidR="00E76948" w:rsidRPr="00E76948" w:rsidTr="00E76948">
        <w:trPr>
          <w:trHeight w:val="320"/>
          <w:jc w:val="center"/>
        </w:trPr>
        <w:tc>
          <w:tcPr>
            <w:tcW w:w="640" w:type="dxa"/>
            <w:tcBorders>
              <w:top w:val="nil"/>
              <w:left w:val="nil"/>
              <w:bottom w:val="nil"/>
              <w:right w:val="nil"/>
            </w:tcBorders>
            <w:noWrap/>
            <w:vAlign w:val="bottom"/>
            <w:hideMark/>
          </w:tcPr>
          <w:p w:rsidR="00E76948" w:rsidRPr="00E76948" w:rsidRDefault="00E76948" w:rsidP="00E76948">
            <w:pPr>
              <w:spacing w:after="0" w:line="240" w:lineRule="auto"/>
              <w:jc w:val="center"/>
              <w:rPr>
                <w:rFonts w:ascii="Calibri" w:eastAsia="Times New Roman" w:hAnsi="Calibri" w:cs="Calibri"/>
                <w:color w:val="000000"/>
                <w:kern w:val="0"/>
                <w:lang w:val="en-US"/>
                <w14:ligatures w14:val="none"/>
              </w:rPr>
            </w:pPr>
            <w:r w:rsidRPr="00E76948">
              <w:rPr>
                <w:rFonts w:ascii="Calibri" w:eastAsia="Times New Roman" w:hAnsi="Calibri" w:cs="Calibri"/>
                <w:color w:val="000000"/>
                <w:kern w:val="0"/>
                <w:lang w:val="en-US"/>
                <w14:ligatures w14:val="none"/>
              </w:rPr>
              <w:t>1</w:t>
            </w:r>
          </w:p>
        </w:tc>
        <w:tc>
          <w:tcPr>
            <w:tcW w:w="5320" w:type="dxa"/>
            <w:tcBorders>
              <w:top w:val="nil"/>
              <w:left w:val="nil"/>
              <w:bottom w:val="nil"/>
              <w:right w:val="nil"/>
            </w:tcBorders>
            <w:noWrap/>
            <w:vAlign w:val="bottom"/>
            <w:hideMark/>
          </w:tcPr>
          <w:p w:rsidR="00E76948" w:rsidRPr="00E76948" w:rsidRDefault="00E76948" w:rsidP="00E76948">
            <w:pPr>
              <w:spacing w:after="0" w:line="240" w:lineRule="auto"/>
              <w:rPr>
                <w:rFonts w:ascii="Calibri" w:eastAsia="Times New Roman" w:hAnsi="Calibri" w:cs="Calibri"/>
                <w:color w:val="000000"/>
                <w:kern w:val="0"/>
                <w:lang w:val="en-US"/>
                <w14:ligatures w14:val="none"/>
              </w:rPr>
            </w:pPr>
            <w:r w:rsidRPr="00E76948">
              <w:rPr>
                <w:rFonts w:ascii="Calibri" w:eastAsia="Times New Roman" w:hAnsi="Calibri" w:cs="Calibri"/>
                <w:color w:val="000000"/>
                <w:kern w:val="0"/>
                <w:lang w:val="en-US"/>
                <w14:ligatures w14:val="none"/>
              </w:rPr>
              <w:t>SAFE Investment Company</w:t>
            </w:r>
          </w:p>
        </w:tc>
        <w:tc>
          <w:tcPr>
            <w:tcW w:w="2200" w:type="dxa"/>
            <w:tcBorders>
              <w:top w:val="nil"/>
              <w:left w:val="nil"/>
              <w:bottom w:val="nil"/>
              <w:right w:val="nil"/>
            </w:tcBorders>
            <w:noWrap/>
            <w:vAlign w:val="bottom"/>
            <w:hideMark/>
          </w:tcPr>
          <w:p w:rsidR="00E76948" w:rsidRPr="00E76948" w:rsidRDefault="00E76948" w:rsidP="00E76948">
            <w:pPr>
              <w:spacing w:after="0" w:line="240" w:lineRule="auto"/>
              <w:rPr>
                <w:rFonts w:ascii="Calibri" w:eastAsia="Times New Roman" w:hAnsi="Calibri" w:cs="Calibri"/>
                <w:color w:val="000000"/>
                <w:kern w:val="0"/>
                <w:lang w:val="en-US"/>
                <w14:ligatures w14:val="none"/>
              </w:rPr>
            </w:pPr>
            <w:r w:rsidRPr="00E76948">
              <w:rPr>
                <w:rFonts w:ascii="Calibri" w:eastAsia="Times New Roman" w:hAnsi="Calibri" w:cs="Calibri"/>
                <w:color w:val="000000"/>
                <w:kern w:val="0"/>
                <w:lang w:val="en-US"/>
                <w14:ligatures w14:val="none"/>
              </w:rPr>
              <w:t>$10,697,800,000,000</w:t>
            </w:r>
          </w:p>
        </w:tc>
      </w:tr>
      <w:tr w:rsidR="00E76948" w:rsidRPr="00E76948" w:rsidTr="00E76948">
        <w:trPr>
          <w:trHeight w:val="320"/>
          <w:jc w:val="center"/>
        </w:trPr>
        <w:tc>
          <w:tcPr>
            <w:tcW w:w="640" w:type="dxa"/>
            <w:tcBorders>
              <w:top w:val="nil"/>
              <w:left w:val="nil"/>
              <w:bottom w:val="nil"/>
              <w:right w:val="nil"/>
            </w:tcBorders>
            <w:noWrap/>
            <w:vAlign w:val="bottom"/>
            <w:hideMark/>
          </w:tcPr>
          <w:p w:rsidR="00E76948" w:rsidRPr="00E76948" w:rsidRDefault="00E76948" w:rsidP="00E76948">
            <w:pPr>
              <w:spacing w:after="0" w:line="240" w:lineRule="auto"/>
              <w:jc w:val="center"/>
              <w:rPr>
                <w:rFonts w:ascii="Calibri" w:eastAsia="Times New Roman" w:hAnsi="Calibri" w:cs="Calibri"/>
                <w:color w:val="000000"/>
                <w:kern w:val="0"/>
                <w:lang w:val="en-US"/>
                <w14:ligatures w14:val="none"/>
              </w:rPr>
            </w:pPr>
            <w:r w:rsidRPr="00E76948">
              <w:rPr>
                <w:rFonts w:ascii="Calibri" w:eastAsia="Times New Roman" w:hAnsi="Calibri" w:cs="Calibri"/>
                <w:color w:val="000000"/>
                <w:kern w:val="0"/>
                <w:lang w:val="en-US"/>
                <w14:ligatures w14:val="none"/>
              </w:rPr>
              <w:t>2</w:t>
            </w:r>
          </w:p>
        </w:tc>
        <w:tc>
          <w:tcPr>
            <w:tcW w:w="5320" w:type="dxa"/>
            <w:tcBorders>
              <w:top w:val="nil"/>
              <w:left w:val="nil"/>
              <w:bottom w:val="nil"/>
              <w:right w:val="nil"/>
            </w:tcBorders>
            <w:noWrap/>
            <w:vAlign w:val="bottom"/>
            <w:hideMark/>
          </w:tcPr>
          <w:p w:rsidR="00E76948" w:rsidRPr="00E76948" w:rsidRDefault="00E76948" w:rsidP="00E76948">
            <w:pPr>
              <w:spacing w:after="0" w:line="240" w:lineRule="auto"/>
              <w:rPr>
                <w:rFonts w:ascii="Calibri" w:eastAsia="Times New Roman" w:hAnsi="Calibri" w:cs="Calibri"/>
                <w:color w:val="000000"/>
                <w:kern w:val="0"/>
                <w:lang w:val="en-US"/>
                <w14:ligatures w14:val="none"/>
              </w:rPr>
            </w:pPr>
            <w:r w:rsidRPr="00E76948">
              <w:rPr>
                <w:rFonts w:ascii="Calibri" w:eastAsia="Times New Roman" w:hAnsi="Calibri" w:cs="Calibri"/>
                <w:color w:val="000000"/>
                <w:kern w:val="0"/>
                <w:lang w:val="en-US"/>
                <w14:ligatures w14:val="none"/>
              </w:rPr>
              <w:t>Norway Government Pension Fund Global</w:t>
            </w:r>
          </w:p>
        </w:tc>
        <w:tc>
          <w:tcPr>
            <w:tcW w:w="2200" w:type="dxa"/>
            <w:tcBorders>
              <w:top w:val="nil"/>
              <w:left w:val="nil"/>
              <w:bottom w:val="nil"/>
              <w:right w:val="nil"/>
            </w:tcBorders>
            <w:noWrap/>
            <w:vAlign w:val="bottom"/>
            <w:hideMark/>
          </w:tcPr>
          <w:p w:rsidR="00E76948" w:rsidRPr="00E76948" w:rsidRDefault="00E76948" w:rsidP="00E76948">
            <w:pPr>
              <w:spacing w:after="0" w:line="240" w:lineRule="auto"/>
              <w:rPr>
                <w:rFonts w:ascii="Calibri" w:eastAsia="Times New Roman" w:hAnsi="Calibri" w:cs="Calibri"/>
                <w:color w:val="000000"/>
                <w:kern w:val="0"/>
                <w:lang w:val="en-US"/>
                <w14:ligatures w14:val="none"/>
              </w:rPr>
            </w:pPr>
            <w:r w:rsidRPr="00E76948">
              <w:rPr>
                <w:rFonts w:ascii="Calibri" w:eastAsia="Times New Roman" w:hAnsi="Calibri" w:cs="Calibri"/>
                <w:color w:val="000000"/>
                <w:kern w:val="0"/>
                <w:lang w:val="en-US"/>
                <w14:ligatures w14:val="none"/>
              </w:rPr>
              <w:t>$1,738,806,263,000</w:t>
            </w:r>
          </w:p>
        </w:tc>
      </w:tr>
      <w:tr w:rsidR="00E76948" w:rsidRPr="00E76948" w:rsidTr="00E76948">
        <w:trPr>
          <w:trHeight w:val="320"/>
          <w:jc w:val="center"/>
        </w:trPr>
        <w:tc>
          <w:tcPr>
            <w:tcW w:w="640" w:type="dxa"/>
            <w:tcBorders>
              <w:top w:val="nil"/>
              <w:left w:val="nil"/>
              <w:bottom w:val="nil"/>
              <w:right w:val="nil"/>
            </w:tcBorders>
            <w:noWrap/>
            <w:vAlign w:val="bottom"/>
            <w:hideMark/>
          </w:tcPr>
          <w:p w:rsidR="00E76948" w:rsidRPr="00E76948" w:rsidRDefault="00E76948" w:rsidP="00E76948">
            <w:pPr>
              <w:spacing w:after="0" w:line="240" w:lineRule="auto"/>
              <w:jc w:val="center"/>
              <w:rPr>
                <w:rFonts w:ascii="Calibri" w:eastAsia="Times New Roman" w:hAnsi="Calibri" w:cs="Calibri"/>
                <w:color w:val="000000"/>
                <w:kern w:val="0"/>
                <w:lang w:val="en-US"/>
                <w14:ligatures w14:val="none"/>
              </w:rPr>
            </w:pPr>
            <w:r w:rsidRPr="00E76948">
              <w:rPr>
                <w:rFonts w:ascii="Calibri" w:eastAsia="Times New Roman" w:hAnsi="Calibri" w:cs="Calibri"/>
                <w:color w:val="000000"/>
                <w:kern w:val="0"/>
                <w:lang w:val="en-US"/>
                <w14:ligatures w14:val="none"/>
              </w:rPr>
              <w:lastRenderedPageBreak/>
              <w:t>3</w:t>
            </w:r>
          </w:p>
        </w:tc>
        <w:tc>
          <w:tcPr>
            <w:tcW w:w="5320" w:type="dxa"/>
            <w:tcBorders>
              <w:top w:val="nil"/>
              <w:left w:val="nil"/>
              <w:bottom w:val="nil"/>
              <w:right w:val="nil"/>
            </w:tcBorders>
            <w:noWrap/>
            <w:vAlign w:val="bottom"/>
            <w:hideMark/>
          </w:tcPr>
          <w:p w:rsidR="00E76948" w:rsidRPr="00E76948" w:rsidRDefault="00E76948" w:rsidP="00E76948">
            <w:pPr>
              <w:spacing w:after="0" w:line="240" w:lineRule="auto"/>
              <w:rPr>
                <w:rFonts w:ascii="Calibri" w:eastAsia="Times New Roman" w:hAnsi="Calibri" w:cs="Calibri"/>
                <w:color w:val="000000"/>
                <w:kern w:val="0"/>
                <w:lang w:val="en-US"/>
                <w14:ligatures w14:val="none"/>
              </w:rPr>
            </w:pPr>
            <w:r w:rsidRPr="00E76948">
              <w:rPr>
                <w:rFonts w:ascii="Calibri" w:eastAsia="Times New Roman" w:hAnsi="Calibri" w:cs="Calibri"/>
                <w:color w:val="000000"/>
                <w:kern w:val="0"/>
                <w:lang w:val="en-US"/>
                <w14:ligatures w14:val="none"/>
              </w:rPr>
              <w:t>China Investment Corporation</w:t>
            </w:r>
          </w:p>
        </w:tc>
        <w:tc>
          <w:tcPr>
            <w:tcW w:w="2200" w:type="dxa"/>
            <w:tcBorders>
              <w:top w:val="nil"/>
              <w:left w:val="nil"/>
              <w:bottom w:val="nil"/>
              <w:right w:val="nil"/>
            </w:tcBorders>
            <w:noWrap/>
            <w:vAlign w:val="bottom"/>
            <w:hideMark/>
          </w:tcPr>
          <w:p w:rsidR="00E76948" w:rsidRPr="00E76948" w:rsidRDefault="00E76948" w:rsidP="00E76948">
            <w:pPr>
              <w:spacing w:after="0" w:line="240" w:lineRule="auto"/>
              <w:rPr>
                <w:rFonts w:ascii="Calibri" w:eastAsia="Times New Roman" w:hAnsi="Calibri" w:cs="Calibri"/>
                <w:color w:val="000000"/>
                <w:kern w:val="0"/>
                <w:lang w:val="en-US"/>
                <w14:ligatures w14:val="none"/>
              </w:rPr>
            </w:pPr>
            <w:r w:rsidRPr="00E76948">
              <w:rPr>
                <w:rFonts w:ascii="Calibri" w:eastAsia="Times New Roman" w:hAnsi="Calibri" w:cs="Calibri"/>
                <w:color w:val="000000"/>
                <w:kern w:val="0"/>
                <w:lang w:val="en-US"/>
                <w14:ligatures w14:val="none"/>
              </w:rPr>
              <w:t>$1,332,071,000,000</w:t>
            </w:r>
          </w:p>
        </w:tc>
      </w:tr>
      <w:tr w:rsidR="00E76948" w:rsidRPr="00E76948" w:rsidTr="00E76948">
        <w:trPr>
          <w:trHeight w:val="320"/>
          <w:jc w:val="center"/>
        </w:trPr>
        <w:tc>
          <w:tcPr>
            <w:tcW w:w="640" w:type="dxa"/>
            <w:tcBorders>
              <w:top w:val="nil"/>
              <w:left w:val="nil"/>
              <w:bottom w:val="nil"/>
              <w:right w:val="nil"/>
            </w:tcBorders>
            <w:noWrap/>
            <w:vAlign w:val="bottom"/>
            <w:hideMark/>
          </w:tcPr>
          <w:p w:rsidR="00E76948" w:rsidRPr="00E76948" w:rsidRDefault="00E76948" w:rsidP="00E76948">
            <w:pPr>
              <w:spacing w:after="0" w:line="240" w:lineRule="auto"/>
              <w:jc w:val="center"/>
              <w:rPr>
                <w:rFonts w:ascii="Calibri" w:eastAsia="Times New Roman" w:hAnsi="Calibri" w:cs="Calibri"/>
                <w:color w:val="000000"/>
                <w:kern w:val="0"/>
                <w:lang w:val="en-US"/>
                <w14:ligatures w14:val="none"/>
              </w:rPr>
            </w:pPr>
            <w:r w:rsidRPr="00E76948">
              <w:rPr>
                <w:rFonts w:ascii="Calibri" w:eastAsia="Times New Roman" w:hAnsi="Calibri" w:cs="Calibri"/>
                <w:color w:val="000000"/>
                <w:kern w:val="0"/>
                <w:lang w:val="en-US"/>
                <w14:ligatures w14:val="none"/>
              </w:rPr>
              <w:t>4</w:t>
            </w:r>
          </w:p>
        </w:tc>
        <w:tc>
          <w:tcPr>
            <w:tcW w:w="5320" w:type="dxa"/>
            <w:tcBorders>
              <w:top w:val="nil"/>
              <w:left w:val="nil"/>
              <w:bottom w:val="nil"/>
              <w:right w:val="nil"/>
            </w:tcBorders>
            <w:noWrap/>
            <w:vAlign w:val="bottom"/>
            <w:hideMark/>
          </w:tcPr>
          <w:p w:rsidR="00E76948" w:rsidRPr="00E76948" w:rsidRDefault="00E76948" w:rsidP="00E76948">
            <w:pPr>
              <w:spacing w:after="0" w:line="240" w:lineRule="auto"/>
              <w:rPr>
                <w:rFonts w:ascii="Calibri" w:eastAsia="Times New Roman" w:hAnsi="Calibri" w:cs="Calibri"/>
                <w:color w:val="000000"/>
                <w:kern w:val="0"/>
                <w:lang w:val="en-US"/>
                <w14:ligatures w14:val="none"/>
              </w:rPr>
            </w:pPr>
            <w:r w:rsidRPr="00E76948">
              <w:rPr>
                <w:rFonts w:ascii="Calibri" w:eastAsia="Times New Roman" w:hAnsi="Calibri" w:cs="Calibri"/>
                <w:color w:val="000000"/>
                <w:kern w:val="0"/>
                <w:lang w:val="en-US"/>
                <w14:ligatures w14:val="none"/>
              </w:rPr>
              <w:t>Abu Dhabi Investment Authority</w:t>
            </w:r>
          </w:p>
        </w:tc>
        <w:tc>
          <w:tcPr>
            <w:tcW w:w="2200" w:type="dxa"/>
            <w:tcBorders>
              <w:top w:val="nil"/>
              <w:left w:val="nil"/>
              <w:bottom w:val="nil"/>
              <w:right w:val="nil"/>
            </w:tcBorders>
            <w:noWrap/>
            <w:vAlign w:val="bottom"/>
            <w:hideMark/>
          </w:tcPr>
          <w:p w:rsidR="00E76948" w:rsidRPr="00E76948" w:rsidRDefault="00E76948" w:rsidP="00E76948">
            <w:pPr>
              <w:spacing w:after="0" w:line="240" w:lineRule="auto"/>
              <w:rPr>
                <w:rFonts w:ascii="Calibri" w:eastAsia="Times New Roman" w:hAnsi="Calibri" w:cs="Calibri"/>
                <w:color w:val="000000"/>
                <w:kern w:val="0"/>
                <w:lang w:val="en-US"/>
                <w14:ligatures w14:val="none"/>
              </w:rPr>
            </w:pPr>
            <w:r w:rsidRPr="00E76948">
              <w:rPr>
                <w:rFonts w:ascii="Calibri" w:eastAsia="Times New Roman" w:hAnsi="Calibri" w:cs="Calibri"/>
                <w:color w:val="000000"/>
                <w:kern w:val="0"/>
                <w:lang w:val="en-US"/>
                <w14:ligatures w14:val="none"/>
              </w:rPr>
              <w:t>$1,075,000,000,000</w:t>
            </w:r>
          </w:p>
        </w:tc>
      </w:tr>
      <w:tr w:rsidR="00E76948" w:rsidRPr="00E76948" w:rsidTr="00E76948">
        <w:trPr>
          <w:trHeight w:val="320"/>
          <w:jc w:val="center"/>
        </w:trPr>
        <w:tc>
          <w:tcPr>
            <w:tcW w:w="640" w:type="dxa"/>
            <w:tcBorders>
              <w:top w:val="nil"/>
              <w:left w:val="nil"/>
              <w:bottom w:val="nil"/>
              <w:right w:val="nil"/>
            </w:tcBorders>
            <w:noWrap/>
            <w:vAlign w:val="bottom"/>
            <w:hideMark/>
          </w:tcPr>
          <w:p w:rsidR="00E76948" w:rsidRPr="00E76948" w:rsidRDefault="00E76948" w:rsidP="00E76948">
            <w:pPr>
              <w:spacing w:after="0" w:line="240" w:lineRule="auto"/>
              <w:jc w:val="center"/>
              <w:rPr>
                <w:rFonts w:ascii="Calibri" w:eastAsia="Times New Roman" w:hAnsi="Calibri" w:cs="Calibri"/>
                <w:color w:val="000000"/>
                <w:kern w:val="0"/>
                <w:lang w:val="en-US"/>
                <w14:ligatures w14:val="none"/>
              </w:rPr>
            </w:pPr>
            <w:r w:rsidRPr="00E76948">
              <w:rPr>
                <w:rFonts w:ascii="Calibri" w:eastAsia="Times New Roman" w:hAnsi="Calibri" w:cs="Calibri"/>
                <w:color w:val="000000"/>
                <w:kern w:val="0"/>
                <w:lang w:val="en-US"/>
                <w14:ligatures w14:val="none"/>
              </w:rPr>
              <w:t>5</w:t>
            </w:r>
          </w:p>
        </w:tc>
        <w:tc>
          <w:tcPr>
            <w:tcW w:w="5320" w:type="dxa"/>
            <w:tcBorders>
              <w:top w:val="nil"/>
              <w:left w:val="nil"/>
              <w:bottom w:val="nil"/>
              <w:right w:val="nil"/>
            </w:tcBorders>
            <w:noWrap/>
            <w:vAlign w:val="bottom"/>
            <w:hideMark/>
          </w:tcPr>
          <w:p w:rsidR="00E76948" w:rsidRPr="00E76948" w:rsidRDefault="00E76948" w:rsidP="00E76948">
            <w:pPr>
              <w:spacing w:after="0" w:line="240" w:lineRule="auto"/>
              <w:rPr>
                <w:rFonts w:ascii="Calibri" w:eastAsia="Times New Roman" w:hAnsi="Calibri" w:cs="Calibri"/>
                <w:color w:val="000000"/>
                <w:kern w:val="0"/>
                <w:lang w:val="en-US"/>
                <w14:ligatures w14:val="none"/>
              </w:rPr>
            </w:pPr>
            <w:r w:rsidRPr="00E76948">
              <w:rPr>
                <w:rFonts w:ascii="Calibri" w:eastAsia="Times New Roman" w:hAnsi="Calibri" w:cs="Calibri"/>
                <w:color w:val="000000"/>
                <w:kern w:val="0"/>
                <w:lang w:val="en-US"/>
                <w14:ligatures w14:val="none"/>
              </w:rPr>
              <w:t>Kuwait Investment Authority</w:t>
            </w:r>
          </w:p>
        </w:tc>
        <w:tc>
          <w:tcPr>
            <w:tcW w:w="2200" w:type="dxa"/>
            <w:tcBorders>
              <w:top w:val="nil"/>
              <w:left w:val="nil"/>
              <w:bottom w:val="nil"/>
              <w:right w:val="nil"/>
            </w:tcBorders>
            <w:noWrap/>
            <w:vAlign w:val="bottom"/>
            <w:hideMark/>
          </w:tcPr>
          <w:p w:rsidR="00E76948" w:rsidRPr="00E76948" w:rsidRDefault="00E76948" w:rsidP="00E76948">
            <w:pPr>
              <w:spacing w:after="0" w:line="240" w:lineRule="auto"/>
              <w:rPr>
                <w:rFonts w:ascii="Calibri" w:eastAsia="Times New Roman" w:hAnsi="Calibri" w:cs="Calibri"/>
                <w:color w:val="000000"/>
                <w:kern w:val="0"/>
                <w:lang w:val="en-US"/>
                <w14:ligatures w14:val="none"/>
              </w:rPr>
            </w:pPr>
            <w:r w:rsidRPr="00E76948">
              <w:rPr>
                <w:rFonts w:ascii="Calibri" w:eastAsia="Times New Roman" w:hAnsi="Calibri" w:cs="Calibri"/>
                <w:color w:val="000000"/>
                <w:kern w:val="0"/>
                <w:lang w:val="en-US"/>
                <w14:ligatures w14:val="none"/>
              </w:rPr>
              <w:t>$1,029,000,000,000</w:t>
            </w:r>
          </w:p>
        </w:tc>
      </w:tr>
      <w:tr w:rsidR="00E76948" w:rsidRPr="00E76948" w:rsidTr="00E76948">
        <w:trPr>
          <w:trHeight w:val="320"/>
          <w:jc w:val="center"/>
        </w:trPr>
        <w:tc>
          <w:tcPr>
            <w:tcW w:w="640" w:type="dxa"/>
            <w:tcBorders>
              <w:top w:val="nil"/>
              <w:left w:val="nil"/>
              <w:bottom w:val="nil"/>
              <w:right w:val="nil"/>
            </w:tcBorders>
            <w:noWrap/>
            <w:vAlign w:val="bottom"/>
            <w:hideMark/>
          </w:tcPr>
          <w:p w:rsidR="00E76948" w:rsidRPr="00E76948" w:rsidRDefault="00E76948" w:rsidP="00E76948">
            <w:pPr>
              <w:spacing w:after="0" w:line="240" w:lineRule="auto"/>
              <w:jc w:val="center"/>
              <w:rPr>
                <w:rFonts w:ascii="Calibri" w:eastAsia="Times New Roman" w:hAnsi="Calibri" w:cs="Calibri"/>
                <w:color w:val="000000"/>
                <w:kern w:val="0"/>
                <w:lang w:val="en-US"/>
                <w14:ligatures w14:val="none"/>
              </w:rPr>
            </w:pPr>
            <w:r w:rsidRPr="00E76948">
              <w:rPr>
                <w:rFonts w:ascii="Calibri" w:eastAsia="Times New Roman" w:hAnsi="Calibri" w:cs="Calibri"/>
                <w:color w:val="000000"/>
                <w:kern w:val="0"/>
                <w:lang w:val="en-US"/>
                <w14:ligatures w14:val="none"/>
              </w:rPr>
              <w:t>6</w:t>
            </w:r>
          </w:p>
        </w:tc>
        <w:tc>
          <w:tcPr>
            <w:tcW w:w="5320" w:type="dxa"/>
            <w:tcBorders>
              <w:top w:val="nil"/>
              <w:left w:val="nil"/>
              <w:bottom w:val="nil"/>
              <w:right w:val="nil"/>
            </w:tcBorders>
            <w:noWrap/>
            <w:vAlign w:val="bottom"/>
            <w:hideMark/>
          </w:tcPr>
          <w:p w:rsidR="00E76948" w:rsidRPr="00E76948" w:rsidRDefault="00E76948" w:rsidP="00E76948">
            <w:pPr>
              <w:spacing w:after="0" w:line="240" w:lineRule="auto"/>
              <w:rPr>
                <w:rFonts w:ascii="Calibri" w:eastAsia="Times New Roman" w:hAnsi="Calibri" w:cs="Calibri"/>
                <w:color w:val="000000"/>
                <w:kern w:val="0"/>
                <w:lang w:val="en-US"/>
                <w14:ligatures w14:val="none"/>
              </w:rPr>
            </w:pPr>
            <w:r w:rsidRPr="00E76948">
              <w:rPr>
                <w:rFonts w:ascii="Calibri" w:eastAsia="Times New Roman" w:hAnsi="Calibri" w:cs="Calibri"/>
                <w:color w:val="000000"/>
                <w:kern w:val="0"/>
                <w:lang w:val="en-US"/>
                <w14:ligatures w14:val="none"/>
              </w:rPr>
              <w:t>Public Investment Fund</w:t>
            </w:r>
          </w:p>
        </w:tc>
        <w:tc>
          <w:tcPr>
            <w:tcW w:w="2200" w:type="dxa"/>
            <w:tcBorders>
              <w:top w:val="nil"/>
              <w:left w:val="nil"/>
              <w:bottom w:val="nil"/>
              <w:right w:val="nil"/>
            </w:tcBorders>
            <w:noWrap/>
            <w:vAlign w:val="bottom"/>
            <w:hideMark/>
          </w:tcPr>
          <w:p w:rsidR="00E76948" w:rsidRPr="00E76948" w:rsidRDefault="00E76948" w:rsidP="00E76948">
            <w:pPr>
              <w:spacing w:after="0" w:line="240" w:lineRule="auto"/>
              <w:rPr>
                <w:rFonts w:ascii="Calibri" w:eastAsia="Times New Roman" w:hAnsi="Calibri" w:cs="Calibri"/>
                <w:color w:val="000000"/>
                <w:kern w:val="0"/>
                <w:lang w:val="en-US"/>
                <w14:ligatures w14:val="none"/>
              </w:rPr>
            </w:pPr>
            <w:r w:rsidRPr="00E76948">
              <w:rPr>
                <w:rFonts w:ascii="Calibri" w:eastAsia="Times New Roman" w:hAnsi="Calibri" w:cs="Calibri"/>
                <w:color w:val="000000"/>
                <w:kern w:val="0"/>
                <w:lang w:val="en-US"/>
                <w14:ligatures w14:val="none"/>
              </w:rPr>
              <w:t>$941,000,000,000</w:t>
            </w:r>
          </w:p>
        </w:tc>
      </w:tr>
      <w:tr w:rsidR="00E76948" w:rsidRPr="00E76948" w:rsidTr="00E76948">
        <w:trPr>
          <w:trHeight w:val="320"/>
          <w:jc w:val="center"/>
        </w:trPr>
        <w:tc>
          <w:tcPr>
            <w:tcW w:w="640" w:type="dxa"/>
            <w:tcBorders>
              <w:top w:val="nil"/>
              <w:left w:val="nil"/>
              <w:bottom w:val="nil"/>
              <w:right w:val="nil"/>
            </w:tcBorders>
            <w:noWrap/>
            <w:vAlign w:val="bottom"/>
            <w:hideMark/>
          </w:tcPr>
          <w:p w:rsidR="00E76948" w:rsidRPr="00E76948" w:rsidRDefault="00E76948" w:rsidP="00E76948">
            <w:pPr>
              <w:spacing w:after="0" w:line="240" w:lineRule="auto"/>
              <w:jc w:val="center"/>
              <w:rPr>
                <w:rFonts w:ascii="Calibri" w:eastAsia="Times New Roman" w:hAnsi="Calibri" w:cs="Calibri"/>
                <w:color w:val="000000"/>
                <w:kern w:val="0"/>
                <w:lang w:val="en-US"/>
                <w14:ligatures w14:val="none"/>
              </w:rPr>
            </w:pPr>
            <w:r w:rsidRPr="00E76948">
              <w:rPr>
                <w:rFonts w:ascii="Calibri" w:eastAsia="Times New Roman" w:hAnsi="Calibri" w:cs="Calibri"/>
                <w:color w:val="000000"/>
                <w:kern w:val="0"/>
                <w:lang w:val="en-US"/>
                <w14:ligatures w14:val="none"/>
              </w:rPr>
              <w:t>7</w:t>
            </w:r>
          </w:p>
        </w:tc>
        <w:tc>
          <w:tcPr>
            <w:tcW w:w="5320" w:type="dxa"/>
            <w:tcBorders>
              <w:top w:val="nil"/>
              <w:left w:val="nil"/>
              <w:bottom w:val="nil"/>
              <w:right w:val="nil"/>
            </w:tcBorders>
            <w:noWrap/>
            <w:vAlign w:val="bottom"/>
            <w:hideMark/>
          </w:tcPr>
          <w:p w:rsidR="00E76948" w:rsidRPr="00E76948" w:rsidRDefault="00E76948" w:rsidP="00E76948">
            <w:pPr>
              <w:spacing w:after="0" w:line="240" w:lineRule="auto"/>
              <w:rPr>
                <w:rFonts w:ascii="Calibri" w:eastAsia="Times New Roman" w:hAnsi="Calibri" w:cs="Calibri"/>
                <w:color w:val="000000"/>
                <w:kern w:val="0"/>
                <w:lang w:val="en-US"/>
                <w14:ligatures w14:val="none"/>
              </w:rPr>
            </w:pPr>
            <w:r>
              <w:rPr>
                <w:rFonts w:ascii="Calibri" w:eastAsia="Times New Roman" w:hAnsi="Calibri" w:cs="Calibri"/>
                <w:color w:val="000000"/>
                <w:kern w:val="0"/>
                <w:lang w:val="en-US"/>
                <w14:ligatures w14:val="none"/>
              </w:rPr>
              <w:t>Danantara</w:t>
            </w:r>
          </w:p>
        </w:tc>
        <w:tc>
          <w:tcPr>
            <w:tcW w:w="2200" w:type="dxa"/>
            <w:tcBorders>
              <w:top w:val="nil"/>
              <w:left w:val="nil"/>
              <w:bottom w:val="nil"/>
              <w:right w:val="nil"/>
            </w:tcBorders>
            <w:noWrap/>
            <w:vAlign w:val="bottom"/>
            <w:hideMark/>
          </w:tcPr>
          <w:p w:rsidR="00E76948" w:rsidRPr="00E76948" w:rsidRDefault="00E76948" w:rsidP="00E76948">
            <w:pPr>
              <w:spacing w:after="0" w:line="240" w:lineRule="auto"/>
              <w:rPr>
                <w:rFonts w:ascii="Calibri" w:eastAsia="Times New Roman" w:hAnsi="Calibri" w:cs="Calibri"/>
                <w:color w:val="000000"/>
                <w:kern w:val="0"/>
                <w:lang w:val="en-US"/>
                <w14:ligatures w14:val="none"/>
              </w:rPr>
            </w:pPr>
            <w:r w:rsidRPr="00E76948">
              <w:rPr>
                <w:rFonts w:ascii="Calibri" w:eastAsia="Times New Roman" w:hAnsi="Calibri" w:cs="Calibri"/>
                <w:color w:val="000000"/>
                <w:kern w:val="0"/>
                <w:lang w:val="en-US"/>
                <w14:ligatures w14:val="none"/>
              </w:rPr>
              <w:t>$900,000,000,000</w:t>
            </w:r>
          </w:p>
        </w:tc>
      </w:tr>
      <w:tr w:rsidR="00E76948" w:rsidRPr="00E76948" w:rsidTr="00E76948">
        <w:trPr>
          <w:trHeight w:val="320"/>
          <w:jc w:val="center"/>
        </w:trPr>
        <w:tc>
          <w:tcPr>
            <w:tcW w:w="640" w:type="dxa"/>
            <w:tcBorders>
              <w:top w:val="nil"/>
              <w:left w:val="nil"/>
              <w:bottom w:val="nil"/>
              <w:right w:val="nil"/>
            </w:tcBorders>
            <w:noWrap/>
            <w:vAlign w:val="bottom"/>
            <w:hideMark/>
          </w:tcPr>
          <w:p w:rsidR="00E76948" w:rsidRPr="00E76948" w:rsidRDefault="00E76948" w:rsidP="00E76948">
            <w:pPr>
              <w:spacing w:after="0" w:line="240" w:lineRule="auto"/>
              <w:jc w:val="center"/>
              <w:rPr>
                <w:rFonts w:ascii="Calibri" w:eastAsia="Times New Roman" w:hAnsi="Calibri" w:cs="Calibri"/>
                <w:color w:val="000000"/>
                <w:kern w:val="0"/>
                <w:lang w:val="en-US"/>
                <w14:ligatures w14:val="none"/>
              </w:rPr>
            </w:pPr>
            <w:r w:rsidRPr="00E76948">
              <w:rPr>
                <w:rFonts w:ascii="Calibri" w:eastAsia="Times New Roman" w:hAnsi="Calibri" w:cs="Calibri"/>
                <w:color w:val="000000"/>
                <w:kern w:val="0"/>
                <w:lang w:val="en-US"/>
                <w14:ligatures w14:val="none"/>
              </w:rPr>
              <w:t>8</w:t>
            </w:r>
          </w:p>
        </w:tc>
        <w:tc>
          <w:tcPr>
            <w:tcW w:w="5320" w:type="dxa"/>
            <w:tcBorders>
              <w:top w:val="nil"/>
              <w:left w:val="nil"/>
              <w:bottom w:val="nil"/>
              <w:right w:val="nil"/>
            </w:tcBorders>
            <w:noWrap/>
            <w:vAlign w:val="bottom"/>
            <w:hideMark/>
          </w:tcPr>
          <w:p w:rsidR="00E76948" w:rsidRPr="00E76948" w:rsidRDefault="00E76948" w:rsidP="00E76948">
            <w:pPr>
              <w:spacing w:after="0" w:line="240" w:lineRule="auto"/>
              <w:rPr>
                <w:rFonts w:ascii="Calibri" w:eastAsia="Times New Roman" w:hAnsi="Calibri" w:cs="Calibri"/>
                <w:color w:val="000000"/>
                <w:kern w:val="0"/>
                <w:lang w:val="en-US"/>
                <w14:ligatures w14:val="none"/>
              </w:rPr>
            </w:pPr>
            <w:r w:rsidRPr="00E76948">
              <w:rPr>
                <w:rFonts w:ascii="Calibri" w:eastAsia="Times New Roman" w:hAnsi="Calibri" w:cs="Calibri"/>
                <w:color w:val="000000"/>
                <w:kern w:val="0"/>
                <w:lang w:val="en-US"/>
                <w14:ligatures w14:val="none"/>
              </w:rPr>
              <w:t>GIC Private Limited</w:t>
            </w:r>
          </w:p>
        </w:tc>
        <w:tc>
          <w:tcPr>
            <w:tcW w:w="2200" w:type="dxa"/>
            <w:tcBorders>
              <w:top w:val="nil"/>
              <w:left w:val="nil"/>
              <w:bottom w:val="nil"/>
              <w:right w:val="nil"/>
            </w:tcBorders>
            <w:noWrap/>
            <w:vAlign w:val="bottom"/>
            <w:hideMark/>
          </w:tcPr>
          <w:p w:rsidR="00E76948" w:rsidRPr="00E76948" w:rsidRDefault="00E76948" w:rsidP="00E76948">
            <w:pPr>
              <w:spacing w:after="0" w:line="240" w:lineRule="auto"/>
              <w:rPr>
                <w:rFonts w:ascii="Calibri" w:eastAsia="Times New Roman" w:hAnsi="Calibri" w:cs="Calibri"/>
                <w:color w:val="000000"/>
                <w:kern w:val="0"/>
                <w:lang w:val="en-US"/>
                <w14:ligatures w14:val="none"/>
              </w:rPr>
            </w:pPr>
            <w:r w:rsidRPr="00E76948">
              <w:rPr>
                <w:rFonts w:ascii="Calibri" w:eastAsia="Times New Roman" w:hAnsi="Calibri" w:cs="Calibri"/>
                <w:color w:val="000000"/>
                <w:kern w:val="0"/>
                <w:lang w:val="en-US"/>
                <w14:ligatures w14:val="none"/>
              </w:rPr>
              <w:t>$800,800,000,000</w:t>
            </w:r>
          </w:p>
        </w:tc>
      </w:tr>
      <w:tr w:rsidR="00E76948" w:rsidRPr="00E76948" w:rsidTr="00E76948">
        <w:trPr>
          <w:trHeight w:val="320"/>
          <w:jc w:val="center"/>
        </w:trPr>
        <w:tc>
          <w:tcPr>
            <w:tcW w:w="640" w:type="dxa"/>
            <w:tcBorders>
              <w:top w:val="nil"/>
              <w:left w:val="nil"/>
              <w:bottom w:val="nil"/>
              <w:right w:val="nil"/>
            </w:tcBorders>
            <w:noWrap/>
            <w:vAlign w:val="bottom"/>
            <w:hideMark/>
          </w:tcPr>
          <w:p w:rsidR="00E76948" w:rsidRPr="00E76948" w:rsidRDefault="00E76948" w:rsidP="00E76948">
            <w:pPr>
              <w:spacing w:after="0" w:line="240" w:lineRule="auto"/>
              <w:jc w:val="center"/>
              <w:rPr>
                <w:rFonts w:ascii="Calibri" w:eastAsia="Times New Roman" w:hAnsi="Calibri" w:cs="Calibri"/>
                <w:color w:val="000000"/>
                <w:kern w:val="0"/>
                <w:lang w:val="en-US"/>
                <w14:ligatures w14:val="none"/>
              </w:rPr>
            </w:pPr>
            <w:r w:rsidRPr="00E76948">
              <w:rPr>
                <w:rFonts w:ascii="Calibri" w:eastAsia="Times New Roman" w:hAnsi="Calibri" w:cs="Calibri"/>
                <w:color w:val="000000"/>
                <w:kern w:val="0"/>
                <w:lang w:val="en-US"/>
                <w14:ligatures w14:val="none"/>
              </w:rPr>
              <w:t>9</w:t>
            </w:r>
          </w:p>
        </w:tc>
        <w:tc>
          <w:tcPr>
            <w:tcW w:w="5320" w:type="dxa"/>
            <w:tcBorders>
              <w:top w:val="nil"/>
              <w:left w:val="nil"/>
              <w:bottom w:val="nil"/>
              <w:right w:val="nil"/>
            </w:tcBorders>
            <w:noWrap/>
            <w:vAlign w:val="bottom"/>
            <w:hideMark/>
          </w:tcPr>
          <w:p w:rsidR="00E76948" w:rsidRPr="00E76948" w:rsidRDefault="00E76948" w:rsidP="00E76948">
            <w:pPr>
              <w:spacing w:after="0" w:line="240" w:lineRule="auto"/>
              <w:rPr>
                <w:rFonts w:ascii="Calibri" w:eastAsia="Times New Roman" w:hAnsi="Calibri" w:cs="Calibri"/>
                <w:color w:val="000000"/>
                <w:kern w:val="0"/>
                <w:lang w:val="en-US"/>
                <w14:ligatures w14:val="none"/>
              </w:rPr>
            </w:pPr>
            <w:r w:rsidRPr="00E76948">
              <w:rPr>
                <w:rFonts w:ascii="Calibri" w:eastAsia="Times New Roman" w:hAnsi="Calibri" w:cs="Calibri"/>
                <w:color w:val="000000"/>
                <w:kern w:val="0"/>
                <w:lang w:val="en-US"/>
                <w14:ligatures w14:val="none"/>
              </w:rPr>
              <w:t>Qatar Investment Authority</w:t>
            </w:r>
          </w:p>
        </w:tc>
        <w:tc>
          <w:tcPr>
            <w:tcW w:w="2200" w:type="dxa"/>
            <w:tcBorders>
              <w:top w:val="nil"/>
              <w:left w:val="nil"/>
              <w:bottom w:val="nil"/>
              <w:right w:val="nil"/>
            </w:tcBorders>
            <w:noWrap/>
            <w:vAlign w:val="bottom"/>
            <w:hideMark/>
          </w:tcPr>
          <w:p w:rsidR="00E76948" w:rsidRPr="00E76948" w:rsidRDefault="00E76948" w:rsidP="00E76948">
            <w:pPr>
              <w:spacing w:after="0" w:line="240" w:lineRule="auto"/>
              <w:rPr>
                <w:rFonts w:ascii="Calibri" w:eastAsia="Times New Roman" w:hAnsi="Calibri" w:cs="Calibri"/>
                <w:color w:val="000000"/>
                <w:kern w:val="0"/>
                <w:lang w:val="en-US"/>
                <w14:ligatures w14:val="none"/>
              </w:rPr>
            </w:pPr>
            <w:r w:rsidRPr="00E76948">
              <w:rPr>
                <w:rFonts w:ascii="Calibri" w:eastAsia="Times New Roman" w:hAnsi="Calibri" w:cs="Calibri"/>
                <w:color w:val="000000"/>
                <w:kern w:val="0"/>
                <w:lang w:val="en-US"/>
                <w14:ligatures w14:val="none"/>
              </w:rPr>
              <w:t>$557,000,000,000</w:t>
            </w:r>
          </w:p>
        </w:tc>
      </w:tr>
      <w:tr w:rsidR="00E76948" w:rsidRPr="00E76948" w:rsidTr="00E76948">
        <w:trPr>
          <w:trHeight w:val="320"/>
          <w:jc w:val="center"/>
        </w:trPr>
        <w:tc>
          <w:tcPr>
            <w:tcW w:w="640" w:type="dxa"/>
            <w:tcBorders>
              <w:top w:val="nil"/>
              <w:left w:val="nil"/>
              <w:bottom w:val="single" w:sz="4" w:space="0" w:color="auto"/>
              <w:right w:val="nil"/>
            </w:tcBorders>
            <w:noWrap/>
            <w:vAlign w:val="bottom"/>
            <w:hideMark/>
          </w:tcPr>
          <w:p w:rsidR="00E76948" w:rsidRPr="00E76948" w:rsidRDefault="00E76948" w:rsidP="00E76948">
            <w:pPr>
              <w:spacing w:after="0" w:line="240" w:lineRule="auto"/>
              <w:jc w:val="center"/>
              <w:rPr>
                <w:rFonts w:ascii="Calibri" w:eastAsia="Times New Roman" w:hAnsi="Calibri" w:cs="Calibri"/>
                <w:color w:val="000000"/>
                <w:kern w:val="0"/>
                <w:lang w:val="en-US"/>
                <w14:ligatures w14:val="none"/>
              </w:rPr>
            </w:pPr>
            <w:r w:rsidRPr="00E76948">
              <w:rPr>
                <w:rFonts w:ascii="Calibri" w:eastAsia="Times New Roman" w:hAnsi="Calibri" w:cs="Calibri"/>
                <w:color w:val="000000"/>
                <w:kern w:val="0"/>
                <w:lang w:val="en-US"/>
                <w14:ligatures w14:val="none"/>
              </w:rPr>
              <w:t>10</w:t>
            </w:r>
          </w:p>
        </w:tc>
        <w:tc>
          <w:tcPr>
            <w:tcW w:w="5320" w:type="dxa"/>
            <w:tcBorders>
              <w:top w:val="nil"/>
              <w:left w:val="nil"/>
              <w:bottom w:val="single" w:sz="4" w:space="0" w:color="auto"/>
              <w:right w:val="nil"/>
            </w:tcBorders>
            <w:noWrap/>
            <w:vAlign w:val="bottom"/>
            <w:hideMark/>
          </w:tcPr>
          <w:p w:rsidR="00E76948" w:rsidRPr="00E76948" w:rsidRDefault="00E76948" w:rsidP="00E76948">
            <w:pPr>
              <w:spacing w:after="0" w:line="240" w:lineRule="auto"/>
              <w:rPr>
                <w:rFonts w:ascii="Calibri" w:eastAsia="Times New Roman" w:hAnsi="Calibri" w:cs="Calibri"/>
                <w:color w:val="000000"/>
                <w:kern w:val="0"/>
                <w:lang w:val="en-US"/>
                <w14:ligatures w14:val="none"/>
              </w:rPr>
            </w:pPr>
            <w:r w:rsidRPr="00E76948">
              <w:rPr>
                <w:rFonts w:ascii="Calibri" w:eastAsia="Times New Roman" w:hAnsi="Calibri" w:cs="Calibri"/>
                <w:color w:val="000000"/>
                <w:kern w:val="0"/>
                <w:lang w:val="en-US"/>
                <w14:ligatures w14:val="none"/>
              </w:rPr>
              <w:t>Temasek Holdings</w:t>
            </w:r>
          </w:p>
        </w:tc>
        <w:tc>
          <w:tcPr>
            <w:tcW w:w="2200" w:type="dxa"/>
            <w:tcBorders>
              <w:top w:val="nil"/>
              <w:left w:val="nil"/>
              <w:bottom w:val="single" w:sz="4" w:space="0" w:color="auto"/>
              <w:right w:val="nil"/>
            </w:tcBorders>
            <w:noWrap/>
            <w:vAlign w:val="bottom"/>
            <w:hideMark/>
          </w:tcPr>
          <w:p w:rsidR="00E76948" w:rsidRPr="00E76948" w:rsidRDefault="00E76948" w:rsidP="00E76948">
            <w:pPr>
              <w:spacing w:after="0" w:line="240" w:lineRule="auto"/>
              <w:rPr>
                <w:rFonts w:ascii="Calibri" w:eastAsia="Times New Roman" w:hAnsi="Calibri" w:cs="Calibri"/>
                <w:color w:val="000000"/>
                <w:kern w:val="0"/>
                <w:lang w:val="en-US"/>
                <w14:ligatures w14:val="none"/>
              </w:rPr>
            </w:pPr>
            <w:r w:rsidRPr="00E76948">
              <w:rPr>
                <w:rFonts w:ascii="Calibri" w:eastAsia="Times New Roman" w:hAnsi="Calibri" w:cs="Calibri"/>
                <w:color w:val="000000"/>
                <w:kern w:val="0"/>
                <w:lang w:val="en-US"/>
                <w14:ligatures w14:val="none"/>
              </w:rPr>
              <w:t>$521,043,499,900</w:t>
            </w:r>
          </w:p>
        </w:tc>
      </w:tr>
    </w:tbl>
    <w:p w:rsidR="00E76948" w:rsidRPr="006F46E8" w:rsidRDefault="00E76948" w:rsidP="00E76948">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Sumber: SWF Institute </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However, the success of </w:t>
      </w:r>
      <w:r w:rsidR="000A45A0">
        <w:rPr>
          <w:rFonts w:ascii="Times New Roman" w:eastAsia="Times New Roman" w:hAnsi="Times New Roman" w:cs="Times New Roman"/>
          <w:kern w:val="0"/>
          <w14:ligatures w14:val="none"/>
        </w:rPr>
        <w:t>Indonesian</w:t>
      </w:r>
      <w:r w:rsidRPr="00F07063">
        <w:rPr>
          <w:rFonts w:ascii="Times New Roman" w:eastAsia="Times New Roman" w:hAnsi="Times New Roman" w:cs="Times New Roman"/>
          <w:kern w:val="0"/>
          <w14:ligatures w14:val="none"/>
        </w:rPr>
        <w:t xml:space="preserve"> </w:t>
      </w:r>
      <w:r w:rsidR="000A45A0">
        <w:rPr>
          <w:rFonts w:ascii="Times New Roman" w:eastAsia="Times New Roman" w:hAnsi="Times New Roman" w:cs="Times New Roman"/>
          <w:kern w:val="0"/>
          <w14:ligatures w14:val="none"/>
        </w:rPr>
        <w:t>SWF</w:t>
      </w:r>
      <w:r w:rsidRPr="00F07063">
        <w:rPr>
          <w:rFonts w:ascii="Times New Roman" w:eastAsia="Times New Roman" w:hAnsi="Times New Roman" w:cs="Times New Roman"/>
          <w:kern w:val="0"/>
          <w14:ligatures w14:val="none"/>
        </w:rPr>
        <w:t xml:space="preserve"> depends heavily on the quality of governance. Danantara's structure, which is under the direct control of the president, raises serious concerns about its independence and potential for political interference (Lakshmi &amp; Mariska, 2024). Critics worry that without strong institutional backstops, Danantara could become a tool for short-term political goals, such as funding populist projects or providing positions to political alliances, rather than focusing on prudent long-term investment objectives. This could potentially repeat the mistakes seen in many countries where state-owned enterprises (SOEs) have become inefficient due to the conflation of commercial objectives with political ones.</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According to research on global SWFs by Gelb</w:t>
      </w:r>
      <w:r w:rsidR="006F46E8">
        <w:rPr>
          <w:rFonts w:ascii="Times New Roman" w:eastAsia="Times New Roman" w:hAnsi="Times New Roman" w:cs="Times New Roman"/>
          <w:kern w:val="0"/>
          <w14:ligatures w14:val="none"/>
        </w:rPr>
        <w:t xml:space="preserve"> </w:t>
      </w:r>
      <w:r w:rsidR="006F46E8">
        <w:rPr>
          <w:rFonts w:ascii="Times New Roman" w:eastAsia="Times New Roman" w:hAnsi="Times New Roman" w:cs="Times New Roman"/>
          <w:i/>
          <w:iCs/>
          <w:kern w:val="0"/>
          <w14:ligatures w14:val="none"/>
        </w:rPr>
        <w:t>et al</w:t>
      </w:r>
      <w:r w:rsidR="006F46E8">
        <w:rPr>
          <w:rFonts w:ascii="Times New Roman" w:eastAsia="Times New Roman" w:hAnsi="Times New Roman" w:cs="Times New Roman"/>
          <w:kern w:val="0"/>
          <w14:ligatures w14:val="none"/>
        </w:rPr>
        <w:t>.,</w:t>
      </w:r>
      <w:r w:rsidRPr="00F07063">
        <w:rPr>
          <w:rFonts w:ascii="Times New Roman" w:eastAsia="Times New Roman" w:hAnsi="Times New Roman" w:cs="Times New Roman"/>
          <w:kern w:val="0"/>
          <w14:ligatures w14:val="none"/>
        </w:rPr>
        <w:t xml:space="preserve"> (2014), the success of SWFs in promoting economic development relies heavily on strong governance pillars, including operational independence from political interference, a clear investment mandate, and a high level of transparency. These principles, known as </w:t>
      </w:r>
      <w:r w:rsidRPr="00F07063">
        <w:rPr>
          <w:rFonts w:ascii="Times New Roman" w:eastAsia="Times New Roman" w:hAnsi="Times New Roman" w:cs="Times New Roman"/>
          <w:i/>
          <w:iCs/>
          <w:kern w:val="0"/>
          <w14:ligatures w14:val="none"/>
        </w:rPr>
        <w:t xml:space="preserve">the Santiago Principles </w:t>
      </w:r>
      <w:r w:rsidRPr="00F07063">
        <w:rPr>
          <w:rFonts w:ascii="Times New Roman" w:eastAsia="Times New Roman" w:hAnsi="Times New Roman" w:cs="Times New Roman"/>
          <w:kern w:val="0"/>
          <w14:ligatures w14:val="none"/>
        </w:rPr>
        <w:t>, serve as a global benchmark for well-managed SWFs. Danantara's current structure, which lacks an independent parliamentary oversight mechanism, raises questions about the extent to which it will adhere to these international best practices. The shadow of the 1MDB scandal in Malaysia, where a state fund was massively misappropriated due to weak oversight, serves as a stark reminder of the risks involved.</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Beyond governance issues, there are significant fiscal implications. The transfer of SOE dividends—historically a significant source of Non-Tax State Revenue (PNBP)—from the state budget to Danantara will directly put pressure on the state budget. This could restrict the government's ability to finance other essential public services and potentially widen the fiscal deficit beyond the legally mandated 3% of GDP limit (Harding &amp; Lakshmi, 2025; Wu, 2024). Furthermore, if Danantara or its SOEs take on significant debt for high-risk projects and fail, it could create </w:t>
      </w:r>
      <w:r w:rsidRPr="00F07063">
        <w:rPr>
          <w:rFonts w:ascii="Times New Roman" w:eastAsia="Times New Roman" w:hAnsi="Times New Roman" w:cs="Times New Roman"/>
          <w:i/>
          <w:iCs/>
          <w:kern w:val="0"/>
          <w14:ligatures w14:val="none"/>
        </w:rPr>
        <w:t xml:space="preserve">contingent liabilities </w:t>
      </w:r>
      <w:r w:rsidRPr="00F07063">
        <w:rPr>
          <w:rFonts w:ascii="Times New Roman" w:eastAsia="Times New Roman" w:hAnsi="Times New Roman" w:cs="Times New Roman"/>
          <w:kern w:val="0"/>
          <w14:ligatures w14:val="none"/>
        </w:rPr>
        <w:t>that the state would ultimately have to cover, adding to long-term fiscal risk</w:t>
      </w:r>
      <w:r w:rsidR="003D5E3E" w:rsidRPr="003D5E3E">
        <w:rPr>
          <w:rFonts w:ascii="Times New Roman" w:eastAsia="Times New Roman" w:hAnsi="Times New Roman" w:cs="Times New Roman"/>
          <w:kern w:val="0"/>
          <w14:ligatures w14:val="none"/>
        </w:rPr>
        <w:t xml:space="preserve">. SWFs are generally established in countries that consistently experience fiscal surpluses due to their natural resource wealth, thus triggering economic stability even after the country no longer relies on revenue from its natural resources (Rios-Morales </w:t>
      </w:r>
      <w:r w:rsidR="003D5E3E" w:rsidRPr="003D5E3E">
        <w:rPr>
          <w:rFonts w:ascii="Times New Roman" w:eastAsia="Times New Roman" w:hAnsi="Times New Roman" w:cs="Times New Roman"/>
          <w:i/>
          <w:iCs/>
          <w:kern w:val="0"/>
          <w14:ligatures w14:val="none"/>
        </w:rPr>
        <w:t>et al.</w:t>
      </w:r>
      <w:r w:rsidR="003D5E3E" w:rsidRPr="003D5E3E">
        <w:rPr>
          <w:rFonts w:ascii="Times New Roman" w:eastAsia="Times New Roman" w:hAnsi="Times New Roman" w:cs="Times New Roman"/>
          <w:kern w:val="0"/>
          <w14:ligatures w14:val="none"/>
        </w:rPr>
        <w:t>, 2011).</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Ultimately, Danantara represents a double-edged sword. On the one hand, it has tremendous potential to become a powerful investment engine for Indonesia's development if managed with the highest professionalism and integrity. On the other hand, without a robust and independent governance framework, it risks becoming a source of inefficiency, fiscal risk, and </w:t>
      </w:r>
      <w:r w:rsidRPr="00F07063">
        <w:rPr>
          <w:rFonts w:ascii="Times New Roman" w:eastAsia="Times New Roman" w:hAnsi="Times New Roman" w:cs="Times New Roman"/>
          <w:kern w:val="0"/>
          <w14:ligatures w14:val="none"/>
        </w:rPr>
        <w:lastRenderedPageBreak/>
        <w:t>serious governance issues, which could hinder, rather than accelerate, Indonesia's journey toward developed nation status.</w:t>
      </w:r>
    </w:p>
    <w:p w:rsidR="00F07063" w:rsidRPr="00F07063" w:rsidRDefault="00F07063" w:rsidP="00F07063">
      <w:pPr>
        <w:spacing w:before="100" w:beforeAutospacing="1" w:after="100" w:afterAutospacing="1" w:line="240" w:lineRule="auto"/>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b/>
          <w:bCs/>
          <w:kern w:val="0"/>
          <w14:ligatures w14:val="none"/>
        </w:rPr>
        <w:t>Industrial Policy Dilemmas and Commodity Dependence</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The Indonesian government continues its policy of downstreaming natural resources as a key pillar of its industrial strategy. This policy, rooted in economic nationalism, aims to increase domestic added value, create quality jobs, and build deeper industrial supply chains, particularly in strategic sectors such as electric vehicle batteries. In theory, this move could drive a structural transformation from an economy based on raw material exports to one that produces higher-value industrial goods.</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However, this strategy places Indonesia highly vulnerable to global commodity price volatility. The recent plunge in global nickel prices has directly impacted the profitability of the domestic smelter industry, forcing some companies to reduce production and even lay off employees (Lakshmi &amp; Mariska, 2025b). This over-reliance on a few key commodities echoes the phenomenon of the "resource curse," </w:t>
      </w:r>
      <w:r w:rsidRPr="00F07063">
        <w:rPr>
          <w:rFonts w:ascii="Times New Roman" w:eastAsia="Times New Roman" w:hAnsi="Times New Roman" w:cs="Times New Roman"/>
          <w:i/>
          <w:iCs/>
          <w:kern w:val="0"/>
          <w14:ligatures w14:val="none"/>
        </w:rPr>
        <w:t xml:space="preserve">whereby </w:t>
      </w:r>
      <w:r w:rsidRPr="00F07063">
        <w:rPr>
          <w:rFonts w:ascii="Times New Roman" w:eastAsia="Times New Roman" w:hAnsi="Times New Roman" w:cs="Times New Roman"/>
          <w:kern w:val="0"/>
          <w14:ligatures w14:val="none"/>
        </w:rPr>
        <w:t>an abundance of natural resources can actually hinder long-term economic growth due to income volatility, a strengthening exchange rate that harms other sectors (</w:t>
      </w:r>
      <w:r w:rsidRPr="00237367">
        <w:rPr>
          <w:rFonts w:ascii="Times New Roman" w:eastAsia="Times New Roman" w:hAnsi="Times New Roman" w:cs="Times New Roman"/>
          <w:kern w:val="0"/>
          <w14:ligatures w14:val="none"/>
        </w:rPr>
        <w:t>Dutch disease), and</w:t>
      </w:r>
      <w:r w:rsidRPr="00F07063">
        <w:rPr>
          <w:rFonts w:ascii="Times New Roman" w:eastAsia="Times New Roman" w:hAnsi="Times New Roman" w:cs="Times New Roman"/>
          <w:kern w:val="0"/>
          <w14:ligatures w14:val="none"/>
        </w:rPr>
        <w:t xml:space="preserve"> poor governance. Classic research by Sachs &amp; Warner (1995) found a strong negative correlation between natural resource abundance and economic growth across countries, highlighting the inherent risks of this development model.</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The success of industrial policy depends not only on market intervention but also on the quality of the institutions that implement it. According to research by Rodrik (2004), industrial policy can be successful in driving economic transformation, but is highly vulnerable to failure if not supported by strong institutions to prevent </w:t>
      </w:r>
      <w:r w:rsidRPr="00F07063">
        <w:rPr>
          <w:rFonts w:ascii="Times New Roman" w:eastAsia="Times New Roman" w:hAnsi="Times New Roman" w:cs="Times New Roman"/>
          <w:i/>
          <w:iCs/>
          <w:kern w:val="0"/>
          <w14:ligatures w14:val="none"/>
        </w:rPr>
        <w:t xml:space="preserve">rent-seeking </w:t>
      </w:r>
      <w:r w:rsidRPr="00F07063">
        <w:rPr>
          <w:rFonts w:ascii="Times New Roman" w:eastAsia="Times New Roman" w:hAnsi="Times New Roman" w:cs="Times New Roman"/>
          <w:kern w:val="0"/>
          <w14:ligatures w14:val="none"/>
        </w:rPr>
        <w:t>and policy hijacking by interest groups. This presents a challenge for Indonesia, where policy consistency is often problematic.</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In the energy sector, Indonesia's ambition to transition away from coal faces a profound and complex dilemma. On the one hand, the government has set an ambitious target of achieving net-zero emissions by 2050, ahead of previous commitments. On the other hand, a key pillar of its industrial strategy, nickel downstreaming, is highly energy-intensive and dependent on cheap and abundant electricity supplies from coal-fired power plants (Financial Times, 2025a). This contradiction puts industrial development goals in direct conflict with climate commitments.</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A credible energy transition requires massive investment in renewable energy infrastructure and fundamental policy reforms, including the elimination of fossil fuel subsidies and the implementation of a carbon price. However, these measures are politically extremely difficult to implement because they can increase energy costs for industry and society. This challenge is not unique to Indonesia; many developing countries face similar trade-offs between economic development goals and climate change mitigation, as documented in IPCC reports (IPCC, 2018). Without a clear resolution to this energy dilemma, Indonesia's industrial strategy risks becoming both economically and environmentally unsustainable.</w:t>
      </w:r>
    </w:p>
    <w:p w:rsidR="00F07063" w:rsidRPr="00F07063" w:rsidRDefault="00F07063" w:rsidP="00F07063">
      <w:pPr>
        <w:spacing w:before="100" w:beforeAutospacing="1" w:after="100" w:afterAutospacing="1" w:line="240" w:lineRule="auto"/>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b/>
          <w:bCs/>
          <w:kern w:val="0"/>
          <w14:ligatures w14:val="none"/>
        </w:rPr>
        <w:t>D. Challenges to Macroeconomic Stability</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lastRenderedPageBreak/>
        <w:t>The Indonesian economy at the start of the new administration presents a complex and challenging picture, reflecting the dilemmas often faced by developing countries. On the one hand, officially reported GDP data for Q2 2025 showed a surprising growth acceleration of 5.12% (Sihombing, 2025), a figure significantly exceeding market consensus. The government attributes this achievement to a combination of resilient domestic consumption, a surge in government spending, and increased export activity ahead of the implementation of new tariffs. This figure, if sustained, would be a positive signal for the medium-term economic outlook.</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However, on the other hand, the optimistic picture of GDP data contrasts with a series of real economic indicators at the micro level that show a clear weakening trend. Indicators such as the manufacturing PMI in the contraction zone, sharp declines in automotive and cement sales, and plummeting foreign direct investment realization (Shibata &amp; Hadyan, 2025) signal a broad slowdown in economic activity. This gap raises important questions about the quality and distribution of growth: is the recorded growth concentrated in only a few specific sectors, or are there measurement issues that do not fully capture the dynamics of Indonesia's large informal economy?</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These conditions pose significant challenges to macroeconomic stability. The government itself, in an implicit acknowledgement of the underlying challenges, has revised down its GDP growth projection for the entire year of 2025 to a range of 4.7%-5% (Sihombing, 2025). This revision demonstrates that the optimism stemming from one quarter's data does not necessarily translate into a more cautious medium-term outlook. Amid this uncertainty, Bank Indonesia faces a difficult policy choice, a dilemma often referred to as </w:t>
      </w:r>
      <w:r w:rsidRPr="00237367">
        <w:rPr>
          <w:rFonts w:ascii="Times New Roman" w:eastAsia="Times New Roman" w:hAnsi="Times New Roman" w:cs="Times New Roman"/>
          <w:kern w:val="0"/>
          <w14:ligatures w14:val="none"/>
        </w:rPr>
        <w:t>a policy trade-off in economic</w:t>
      </w:r>
      <w:r w:rsidRPr="00F07063">
        <w:rPr>
          <w:rFonts w:ascii="Times New Roman" w:eastAsia="Times New Roman" w:hAnsi="Times New Roman" w:cs="Times New Roman"/>
          <w:kern w:val="0"/>
          <w14:ligatures w14:val="none"/>
        </w:rPr>
        <w:t xml:space="preserve"> literature.</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Facing real sector weakness, Bank Indonesia has taken pro-growth measures by cutting interest rates. This looser monetary policy theoretically aims to encourage investment and consumption by lowering borrowing costs. However, in the current context, this move carries significant risks. With the rupiah already under pressure due to the strengthening US dollar and global risk sentiment, monetary easing could trigger further capital outflows, further depressing the rupiah and potentially triggering imported inflation </w:t>
      </w:r>
      <w:r w:rsidRPr="00F07063">
        <w:rPr>
          <w:rFonts w:ascii="Times New Roman" w:eastAsia="Times New Roman" w:hAnsi="Times New Roman" w:cs="Times New Roman"/>
          <w:i/>
          <w:iCs/>
          <w:kern w:val="0"/>
          <w14:ligatures w14:val="none"/>
        </w:rPr>
        <w:t xml:space="preserve">. </w:t>
      </w:r>
      <w:r w:rsidRPr="00F07063">
        <w:rPr>
          <w:rFonts w:ascii="Times New Roman" w:eastAsia="Times New Roman" w:hAnsi="Times New Roman" w:cs="Times New Roman"/>
          <w:kern w:val="0"/>
          <w14:ligatures w14:val="none"/>
        </w:rPr>
        <w:t>This challenge—balancing domestic growth, exchange rate stability, and inflation control—is at the heart of the challenges faced by central banks in emerging market countries, as widely discussed in international reports (IMF, 2024).</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Ultimately, maintaining macroeconomic stability in such an environment requires very close policy coordination between fiscal (government) and monetary (Bank Indonesia) authorities. Expansive and unmeasured fiscal policy can negate the central bank's efforts to maintain stability, and vice versa. According to research by Blanchard</w:t>
      </w:r>
      <w:r w:rsidR="00237367">
        <w:rPr>
          <w:rFonts w:ascii="Times New Roman" w:eastAsia="Times New Roman" w:hAnsi="Times New Roman" w:cs="Times New Roman"/>
          <w:kern w:val="0"/>
          <w14:ligatures w14:val="none"/>
        </w:rPr>
        <w:t xml:space="preserve"> </w:t>
      </w:r>
      <w:r w:rsidR="00237367">
        <w:rPr>
          <w:rFonts w:ascii="Times New Roman" w:eastAsia="Times New Roman" w:hAnsi="Times New Roman" w:cs="Times New Roman"/>
          <w:i/>
          <w:iCs/>
          <w:kern w:val="0"/>
          <w14:ligatures w14:val="none"/>
        </w:rPr>
        <w:t xml:space="preserve">et al., </w:t>
      </w:r>
      <w:r w:rsidRPr="00F07063">
        <w:rPr>
          <w:rFonts w:ascii="Times New Roman" w:eastAsia="Times New Roman" w:hAnsi="Times New Roman" w:cs="Times New Roman"/>
          <w:kern w:val="0"/>
          <w14:ligatures w14:val="none"/>
        </w:rPr>
        <w:t>(2010), in post-crisis periods or periods of high uncertainty, an integrated macroeconomic policy framework becomes more important than ever to sustain confidence and guide market expectations. For Indonesia, the ability to demonstrate a coherent and credible policy framework will be key to navigating this challenging period and maintaining the foundation of stability necessary for long-term growth.</w:t>
      </w:r>
    </w:p>
    <w:p w:rsidR="00F07063" w:rsidRPr="00F07063" w:rsidRDefault="00F07063" w:rsidP="00F07063">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F07063">
        <w:rPr>
          <w:rFonts w:ascii="Times New Roman" w:eastAsia="Times New Roman" w:hAnsi="Times New Roman" w:cs="Times New Roman"/>
          <w:b/>
          <w:bCs/>
          <w:kern w:val="0"/>
          <w14:ligatures w14:val="none"/>
        </w:rPr>
        <w:t>IV. CONCLUSION</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lastRenderedPageBreak/>
        <w:t>Indonesia's journey toward the Golden Indonesia Vision 2045 is marked by an ambitious economic policy agenda yet fraught with fundamental challenges. The current administration has established a clear direction through a security-based agenda, but its flagship programs require significant fiscal space, forcing the government to drastically reallocate the budget amid signs of a weakening real economy.</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The establishment of Danantara as a giant SWF is a bold move, but its success depends heavily on its ability to operate professionally, transparently, and free from political interference. On the industrial policy side, reliance on a commodity-based downstream strategy leaves the economy vulnerable, while the green energy transition remains hampered by policy dilemmas. The discrepancy between positive official GDP data and negative real economic indicators poses a serious new challenge for policy formulation.</w:t>
      </w:r>
    </w:p>
    <w:p w:rsid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To achieve the Golden Indonesia 2045 target, future policy direction must focus on several key pillars. First, maintaining fiscal discipline by carefully designing populist programs. Second, strengthening institutions and governance, especially in new institutions like Danantara. Third, encouraging more aggressive economic diversification to reduce dependence on commodities. Fourth, sustainable investment in human resources through structural reforms in education and health. Without a solid foundation on these pillars, Indonesia's vision of becoming a developed nation will remain an elusive goal.</w:t>
      </w:r>
    </w:p>
    <w:p w:rsidR="00886731" w:rsidRDefault="00886731"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p>
    <w:p w:rsidR="00886731" w:rsidRPr="00237367" w:rsidRDefault="00886731" w:rsidP="00886731">
      <w:pPr>
        <w:rPr>
          <w:b/>
          <w:bCs/>
        </w:rPr>
      </w:pPr>
      <w:r w:rsidRPr="00511583">
        <w:rPr>
          <w:b/>
          <w:bCs/>
        </w:rPr>
        <w:t>Disclaimer (Artificial intelligence)</w:t>
      </w:r>
    </w:p>
    <w:p w:rsidR="00886731" w:rsidRPr="00511583" w:rsidRDefault="00886731" w:rsidP="00886731">
      <w:r w:rsidRPr="00511583">
        <w:t xml:space="preserve">Author(s) hereby declare that NO generative AI technologies such as Large Language Models (ChatGPT, COPILOT, etc.) and text-to-image generators have been used during the writing or editing of this manuscript. </w:t>
      </w:r>
    </w:p>
    <w:p w:rsidR="00886731" w:rsidRPr="00270720" w:rsidRDefault="00886731" w:rsidP="00886731">
      <w:pPr>
        <w:rPr>
          <w:highlight w:val="yellow"/>
        </w:rPr>
      </w:pPr>
    </w:p>
    <w:p w:rsidR="00886731" w:rsidRPr="00F07063" w:rsidRDefault="00886731"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p>
    <w:p w:rsidR="00F07063" w:rsidRPr="00F07063" w:rsidRDefault="00454DF7" w:rsidP="00F07063">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REFERENCE</w:t>
      </w:r>
    </w:p>
    <w:p w:rsidR="00F07063" w:rsidRDefault="00F07063"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Acemoglu, D., &amp; Robinson, J. A. (2012). </w:t>
      </w:r>
      <w:r w:rsidRPr="00F07063">
        <w:rPr>
          <w:rFonts w:ascii="Times New Roman" w:eastAsia="Times New Roman" w:hAnsi="Times New Roman" w:cs="Times New Roman"/>
          <w:i/>
          <w:iCs/>
          <w:kern w:val="0"/>
          <w14:ligatures w14:val="none"/>
        </w:rPr>
        <w:t xml:space="preserve">Why nations fail: The origins of power, prosperity, and poverty </w:t>
      </w:r>
      <w:r w:rsidRPr="00F07063">
        <w:rPr>
          <w:rFonts w:ascii="Times New Roman" w:eastAsia="Times New Roman" w:hAnsi="Times New Roman" w:cs="Times New Roman"/>
          <w:kern w:val="0"/>
          <w14:ligatures w14:val="none"/>
        </w:rPr>
        <w:t>. Crown Business.</w:t>
      </w:r>
    </w:p>
    <w:p w:rsidR="006F46E8" w:rsidRDefault="006F46E8"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r w:rsidRPr="006F46E8">
        <w:rPr>
          <w:rFonts w:ascii="Times New Roman" w:eastAsia="Times New Roman" w:hAnsi="Times New Roman" w:cs="Times New Roman"/>
          <w:kern w:val="0"/>
          <w14:ligatures w14:val="none"/>
        </w:rPr>
        <w:t>Affuso, E., Istiak, K. M., &amp; Sharland, A. (2022). Sovereign wealth funds and economic growth. </w:t>
      </w:r>
      <w:r w:rsidRPr="006F46E8">
        <w:rPr>
          <w:rFonts w:ascii="Times New Roman" w:eastAsia="Times New Roman" w:hAnsi="Times New Roman" w:cs="Times New Roman"/>
          <w:i/>
          <w:iCs/>
          <w:kern w:val="0"/>
          <w14:ligatures w14:val="none"/>
        </w:rPr>
        <w:t>Journal of Asset Management</w:t>
      </w:r>
      <w:r w:rsidRPr="006F46E8">
        <w:rPr>
          <w:rFonts w:ascii="Times New Roman" w:eastAsia="Times New Roman" w:hAnsi="Times New Roman" w:cs="Times New Roman"/>
          <w:kern w:val="0"/>
          <w14:ligatures w14:val="none"/>
        </w:rPr>
        <w:t>, </w:t>
      </w:r>
      <w:r w:rsidRPr="006F46E8">
        <w:rPr>
          <w:rFonts w:ascii="Times New Roman" w:eastAsia="Times New Roman" w:hAnsi="Times New Roman" w:cs="Times New Roman"/>
          <w:i/>
          <w:iCs/>
          <w:kern w:val="0"/>
          <w14:ligatures w14:val="none"/>
        </w:rPr>
        <w:t>23</w:t>
      </w:r>
      <w:r w:rsidRPr="006F46E8">
        <w:rPr>
          <w:rFonts w:ascii="Times New Roman" w:eastAsia="Times New Roman" w:hAnsi="Times New Roman" w:cs="Times New Roman"/>
          <w:kern w:val="0"/>
          <w14:ligatures w14:val="none"/>
        </w:rPr>
        <w:t>(3), 201.</w:t>
      </w:r>
    </w:p>
    <w:p w:rsidR="006B4BFF" w:rsidRPr="00F07063" w:rsidRDefault="006B4BFF"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r w:rsidRPr="006B4BFF">
        <w:rPr>
          <w:rFonts w:ascii="Times New Roman" w:eastAsia="Times New Roman" w:hAnsi="Times New Roman" w:cs="Times New Roman"/>
          <w:kern w:val="0"/>
          <w14:ligatures w14:val="none"/>
        </w:rPr>
        <w:t>Aswicahyono, H., Hill, H., &amp; Narjoko, D. (2013). Indonesian industrialization: a latecomer adjusting to crises. </w:t>
      </w:r>
      <w:r w:rsidRPr="006B4BFF">
        <w:rPr>
          <w:rFonts w:ascii="Times New Roman" w:eastAsia="Times New Roman" w:hAnsi="Times New Roman" w:cs="Times New Roman"/>
          <w:i/>
          <w:iCs/>
          <w:kern w:val="0"/>
          <w14:ligatures w14:val="none"/>
        </w:rPr>
        <w:t>Pathways to industrialization in the twenty-first century: New challenges and emerging paradigms</w:t>
      </w:r>
      <w:r w:rsidRPr="006B4BFF">
        <w:rPr>
          <w:rFonts w:ascii="Times New Roman" w:eastAsia="Times New Roman" w:hAnsi="Times New Roman" w:cs="Times New Roman"/>
          <w:kern w:val="0"/>
          <w14:ligatures w14:val="none"/>
        </w:rPr>
        <w:t>, 193-222.</w:t>
      </w:r>
    </w:p>
    <w:p w:rsidR="00F07063" w:rsidRPr="00F07063" w:rsidRDefault="00F07063"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ADB. (2017). </w:t>
      </w:r>
      <w:r w:rsidRPr="00F07063">
        <w:rPr>
          <w:rFonts w:ascii="Times New Roman" w:eastAsia="Times New Roman" w:hAnsi="Times New Roman" w:cs="Times New Roman"/>
          <w:i/>
          <w:iCs/>
          <w:kern w:val="0"/>
          <w14:ligatures w14:val="none"/>
        </w:rPr>
        <w:t xml:space="preserve">Meeting Asia's Infrastructure Needs </w:t>
      </w:r>
      <w:r w:rsidRPr="00F07063">
        <w:rPr>
          <w:rFonts w:ascii="Times New Roman" w:eastAsia="Times New Roman" w:hAnsi="Times New Roman" w:cs="Times New Roman"/>
          <w:kern w:val="0"/>
          <w14:ligatures w14:val="none"/>
        </w:rPr>
        <w:t>. Asian Development Bank.</w:t>
      </w:r>
    </w:p>
    <w:p w:rsidR="00F07063" w:rsidRDefault="00F07063"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lastRenderedPageBreak/>
        <w:t xml:space="preserve">Alesina, A., &amp; Ardagna, S. (2010). Large Changes in Fiscal Policy: Taxes versus Spending. </w:t>
      </w:r>
      <w:r w:rsidRPr="00F07063">
        <w:rPr>
          <w:rFonts w:ascii="Times New Roman" w:eastAsia="Times New Roman" w:hAnsi="Times New Roman" w:cs="Times New Roman"/>
          <w:i/>
          <w:iCs/>
          <w:kern w:val="0"/>
          <w14:ligatures w14:val="none"/>
        </w:rPr>
        <w:t xml:space="preserve">Tax Policy and the Economy, 24 </w:t>
      </w:r>
      <w:r w:rsidRPr="00F07063">
        <w:rPr>
          <w:rFonts w:ascii="Times New Roman" w:eastAsia="Times New Roman" w:hAnsi="Times New Roman" w:cs="Times New Roman"/>
          <w:kern w:val="0"/>
          <w14:ligatures w14:val="none"/>
        </w:rPr>
        <w:t>(1), 35-68.</w:t>
      </w:r>
    </w:p>
    <w:p w:rsidR="00814ABF" w:rsidRPr="00F07063" w:rsidRDefault="00814ABF"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r w:rsidRPr="00814ABF">
        <w:rPr>
          <w:rFonts w:ascii="Times New Roman" w:eastAsia="Times New Roman" w:hAnsi="Times New Roman" w:cs="Times New Roman"/>
          <w:kern w:val="0"/>
          <w14:ligatures w14:val="none"/>
        </w:rPr>
        <w:t>Basri, M. C. (2013). A tale of two crises: Indonesia’s political economy.</w:t>
      </w:r>
    </w:p>
    <w:p w:rsidR="00F07063" w:rsidRPr="00F07063" w:rsidRDefault="00F07063"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Blanchard, O., Dell'Ariccia, G., &amp; Mauro, P. (2010). Rethinking macroeconomic policy. </w:t>
      </w:r>
      <w:r w:rsidRPr="00F07063">
        <w:rPr>
          <w:rFonts w:ascii="Times New Roman" w:eastAsia="Times New Roman" w:hAnsi="Times New Roman" w:cs="Times New Roman"/>
          <w:i/>
          <w:iCs/>
          <w:kern w:val="0"/>
          <w14:ligatures w14:val="none"/>
        </w:rPr>
        <w:t xml:space="preserve">Journal of Money, Credit and Banking, 42 </w:t>
      </w:r>
      <w:r w:rsidRPr="00F07063">
        <w:rPr>
          <w:rFonts w:ascii="Times New Roman" w:eastAsia="Times New Roman" w:hAnsi="Times New Roman" w:cs="Times New Roman"/>
          <w:kern w:val="0"/>
          <w14:ligatures w14:val="none"/>
        </w:rPr>
        <w:t>(s1), 199-215.</w:t>
      </w:r>
    </w:p>
    <w:p w:rsidR="00F07063" w:rsidRPr="00F07063" w:rsidRDefault="00F07063"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Eichengreen, B., Park, D., &amp; Shin, K. (2012). When fast-growing economies slow down: International evidence and implications for China. </w:t>
      </w:r>
      <w:r w:rsidRPr="00F07063">
        <w:rPr>
          <w:rFonts w:ascii="Times New Roman" w:eastAsia="Times New Roman" w:hAnsi="Times New Roman" w:cs="Times New Roman"/>
          <w:i/>
          <w:iCs/>
          <w:kern w:val="0"/>
          <w14:ligatures w14:val="none"/>
        </w:rPr>
        <w:t xml:space="preserve">Asian Economic Policy Review, 7 </w:t>
      </w:r>
      <w:r w:rsidRPr="00F07063">
        <w:rPr>
          <w:rFonts w:ascii="Times New Roman" w:eastAsia="Times New Roman" w:hAnsi="Times New Roman" w:cs="Times New Roman"/>
          <w:kern w:val="0"/>
          <w14:ligatures w14:val="none"/>
        </w:rPr>
        <w:t>(1), 42-61.</w:t>
      </w:r>
    </w:p>
    <w:p w:rsidR="00F07063" w:rsidRPr="00F07063" w:rsidRDefault="00F07063"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Financial Times. 2025. 'Indonesia's ambition to quit coal hinges on policy reforms'. January 14. </w:t>
      </w:r>
      <w:hyperlink r:id="rId7" w:tooltip="null" w:history="1">
        <w:r w:rsidRPr="00F07063">
          <w:rPr>
            <w:rFonts w:ascii="Times New Roman" w:eastAsia="Times New Roman" w:hAnsi="Times New Roman" w:cs="Times New Roman"/>
            <w:color w:val="0000FF"/>
            <w:kern w:val="0"/>
            <w:u w:val="single"/>
            <w14:ligatures w14:val="none"/>
          </w:rPr>
          <w:t>https://www.ft.com/content/58e46243-7f2f-42f2-be92-5ba3b660c108</w:t>
        </w:r>
      </w:hyperlink>
    </w:p>
    <w:p w:rsidR="00F07063" w:rsidRPr="00F07063" w:rsidRDefault="00F07063"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Financial Times. 2025. 'Indonesia places a $28bn bet on free school meals'. January 15. </w:t>
      </w:r>
      <w:hyperlink r:id="rId8" w:tooltip="null" w:history="1">
        <w:r w:rsidRPr="00F07063">
          <w:rPr>
            <w:rFonts w:ascii="Times New Roman" w:eastAsia="Times New Roman" w:hAnsi="Times New Roman" w:cs="Times New Roman"/>
            <w:color w:val="0000FF"/>
            <w:kern w:val="0"/>
            <w:u w:val="single"/>
            <w14:ligatures w14:val="none"/>
          </w:rPr>
          <w:t>https://www.ft.com/content/69209b1a-37b1-437e-83b5-b52d9194d74e</w:t>
        </w:r>
      </w:hyperlink>
    </w:p>
    <w:p w:rsidR="00F07063" w:rsidRPr="00F07063" w:rsidRDefault="00F07063"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Gelb, A., Tordo, S., &amp; Halland, H. (2014). </w:t>
      </w:r>
      <w:r w:rsidRPr="00F07063">
        <w:rPr>
          <w:rFonts w:ascii="Times New Roman" w:eastAsia="Times New Roman" w:hAnsi="Times New Roman" w:cs="Times New Roman"/>
          <w:i/>
          <w:iCs/>
          <w:kern w:val="0"/>
          <w14:ligatures w14:val="none"/>
        </w:rPr>
        <w:t xml:space="preserve">Sovereign Wealth Funds and Long-Term Development Finance: Risks and Opportunities </w:t>
      </w:r>
      <w:r w:rsidRPr="00F07063">
        <w:rPr>
          <w:rFonts w:ascii="Times New Roman" w:eastAsia="Times New Roman" w:hAnsi="Times New Roman" w:cs="Times New Roman"/>
          <w:kern w:val="0"/>
          <w14:ligatures w14:val="none"/>
        </w:rPr>
        <w:t>. World Bank Publications.</w:t>
      </w:r>
    </w:p>
    <w:p w:rsidR="00F07063" w:rsidRPr="00F07063" w:rsidRDefault="00F07063"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Habir, M., &amp; Negara, S.D. (2025). Prabowo's First 100 Days and beyond as President: A Security-Focused Economic Agenda. </w:t>
      </w:r>
      <w:r w:rsidRPr="00F07063">
        <w:rPr>
          <w:rFonts w:ascii="Times New Roman" w:eastAsia="Times New Roman" w:hAnsi="Times New Roman" w:cs="Times New Roman"/>
          <w:i/>
          <w:iCs/>
          <w:kern w:val="0"/>
          <w14:ligatures w14:val="none"/>
        </w:rPr>
        <w:t xml:space="preserve">Bulletin of Indonesian Economic Studies, 61 </w:t>
      </w:r>
      <w:r w:rsidRPr="00F07063">
        <w:rPr>
          <w:rFonts w:ascii="Times New Roman" w:eastAsia="Times New Roman" w:hAnsi="Times New Roman" w:cs="Times New Roman"/>
          <w:kern w:val="0"/>
          <w14:ligatures w14:val="none"/>
        </w:rPr>
        <w:t>(1), 3-37.</w:t>
      </w:r>
    </w:p>
    <w:p w:rsidR="00F07063" w:rsidRPr="00F07063" w:rsidRDefault="00F07063"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Harding, R., &amp; Lakshmi, AA 2025. 'Indonesia's new sovereign wealth fund vows transparency 'like a public company''. </w:t>
      </w:r>
      <w:r w:rsidRPr="00F07063">
        <w:rPr>
          <w:rFonts w:ascii="Times New Roman" w:eastAsia="Times New Roman" w:hAnsi="Times New Roman" w:cs="Times New Roman"/>
          <w:i/>
          <w:iCs/>
          <w:kern w:val="0"/>
          <w14:ligatures w14:val="none"/>
        </w:rPr>
        <w:t xml:space="preserve">Financial Times </w:t>
      </w:r>
      <w:r w:rsidRPr="00F07063">
        <w:rPr>
          <w:rFonts w:ascii="Times New Roman" w:eastAsia="Times New Roman" w:hAnsi="Times New Roman" w:cs="Times New Roman"/>
          <w:kern w:val="0"/>
          <w14:ligatures w14:val="none"/>
        </w:rPr>
        <w:t xml:space="preserve">, April 1. </w:t>
      </w:r>
      <w:hyperlink r:id="rId9" w:tooltip="null" w:history="1">
        <w:r w:rsidRPr="00F07063">
          <w:rPr>
            <w:rFonts w:ascii="Times New Roman" w:eastAsia="Times New Roman" w:hAnsi="Times New Roman" w:cs="Times New Roman"/>
            <w:color w:val="0000FF"/>
            <w:kern w:val="0"/>
            <w:u w:val="single"/>
            <w14:ligatures w14:val="none"/>
          </w:rPr>
          <w:t>https://www.ft.com/content/b94313f1-7a4d-47da-acfa-aad5a2b1d2c9</w:t>
        </w:r>
      </w:hyperlink>
    </w:p>
    <w:p w:rsidR="00F07063" w:rsidRPr="00F07063" w:rsidRDefault="00F07063"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Hill, H., &amp; State, S. D. (Eds.). (2019). </w:t>
      </w:r>
      <w:r w:rsidRPr="00F07063">
        <w:rPr>
          <w:rFonts w:ascii="Times New Roman" w:eastAsia="Times New Roman" w:hAnsi="Times New Roman" w:cs="Times New Roman"/>
          <w:i/>
          <w:iCs/>
          <w:kern w:val="0"/>
          <w14:ligatures w14:val="none"/>
        </w:rPr>
        <w:t xml:space="preserve">The Indonesian Economy in Transition: Policy Challenges in the Jokowi Era and Beyond </w:t>
      </w:r>
      <w:r w:rsidRPr="00F07063">
        <w:rPr>
          <w:rFonts w:ascii="Times New Roman" w:eastAsia="Times New Roman" w:hAnsi="Times New Roman" w:cs="Times New Roman"/>
          <w:kern w:val="0"/>
          <w14:ligatures w14:val="none"/>
        </w:rPr>
        <w:t>. ISEAS - Yusof Ishak Institute.</w:t>
      </w:r>
    </w:p>
    <w:p w:rsidR="00F07063" w:rsidRPr="00F07063" w:rsidRDefault="00F07063"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IMF. (2024). </w:t>
      </w:r>
      <w:r w:rsidRPr="00F07063">
        <w:rPr>
          <w:rFonts w:ascii="Times New Roman" w:eastAsia="Times New Roman" w:hAnsi="Times New Roman" w:cs="Times New Roman"/>
          <w:i/>
          <w:iCs/>
          <w:kern w:val="0"/>
          <w14:ligatures w14:val="none"/>
        </w:rPr>
        <w:t xml:space="preserve">Regional Economic Outlook: Asia and Pacific </w:t>
      </w:r>
      <w:r w:rsidRPr="00F07063">
        <w:rPr>
          <w:rFonts w:ascii="Times New Roman" w:eastAsia="Times New Roman" w:hAnsi="Times New Roman" w:cs="Times New Roman"/>
          <w:kern w:val="0"/>
          <w14:ligatures w14:val="none"/>
        </w:rPr>
        <w:t>. International Monetary Fund.</w:t>
      </w:r>
    </w:p>
    <w:p w:rsidR="00F07063" w:rsidRDefault="00F07063"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Jomaa, L. H., McDonnell, E., &amp; Probart, C. (2011). School feeding programs in developing countries: impacts on children's health and educational outcomes. </w:t>
      </w:r>
      <w:r w:rsidRPr="00F07063">
        <w:rPr>
          <w:rFonts w:ascii="Times New Roman" w:eastAsia="Times New Roman" w:hAnsi="Times New Roman" w:cs="Times New Roman"/>
          <w:i/>
          <w:iCs/>
          <w:kern w:val="0"/>
          <w14:ligatures w14:val="none"/>
        </w:rPr>
        <w:t xml:space="preserve">Nutrition reviews, 69 </w:t>
      </w:r>
      <w:r w:rsidRPr="00F07063">
        <w:rPr>
          <w:rFonts w:ascii="Times New Roman" w:eastAsia="Times New Roman" w:hAnsi="Times New Roman" w:cs="Times New Roman"/>
          <w:kern w:val="0"/>
          <w14:ligatures w14:val="none"/>
        </w:rPr>
        <w:t>(2), 83-98.</w:t>
      </w:r>
    </w:p>
    <w:p w:rsidR="009A0E32" w:rsidRPr="00F07063" w:rsidRDefault="00814ABF"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r w:rsidRPr="00814ABF">
        <w:rPr>
          <w:rFonts w:ascii="Times New Roman" w:eastAsia="Times New Roman" w:hAnsi="Times New Roman" w:cs="Times New Roman"/>
          <w:kern w:val="0"/>
          <w14:ligatures w14:val="none"/>
        </w:rPr>
        <w:t xml:space="preserve">Kharas, H. (2010). </w:t>
      </w:r>
      <w:r w:rsidRPr="00814ABF">
        <w:rPr>
          <w:rFonts w:ascii="Times New Roman" w:eastAsia="Times New Roman" w:hAnsi="Times New Roman" w:cs="Times New Roman"/>
          <w:i/>
          <w:iCs/>
          <w:kern w:val="0"/>
          <w14:ligatures w14:val="none"/>
        </w:rPr>
        <w:t>The emerging middle class in developing countries</w:t>
      </w:r>
      <w:r w:rsidRPr="00814ABF">
        <w:rPr>
          <w:rFonts w:ascii="Times New Roman" w:eastAsia="Times New Roman" w:hAnsi="Times New Roman" w:cs="Times New Roman"/>
          <w:kern w:val="0"/>
          <w14:ligatures w14:val="none"/>
        </w:rPr>
        <w:t>. OECD Development Centre Working Papers, No. 285.</w:t>
      </w:r>
    </w:p>
    <w:p w:rsidR="00F07063" w:rsidRPr="00F07063" w:rsidRDefault="00F07063"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Lakshmi, AA, &amp; Mariska, D. 2024. 'Indonesia's plan for wealth fund controlled by president stirs concern'. </w:t>
      </w:r>
      <w:r w:rsidRPr="00F07063">
        <w:rPr>
          <w:rFonts w:ascii="Times New Roman" w:eastAsia="Times New Roman" w:hAnsi="Times New Roman" w:cs="Times New Roman"/>
          <w:i/>
          <w:iCs/>
          <w:kern w:val="0"/>
          <w14:ligatures w14:val="none"/>
        </w:rPr>
        <w:t xml:space="preserve">Financial Times </w:t>
      </w:r>
      <w:r w:rsidRPr="00F07063">
        <w:rPr>
          <w:rFonts w:ascii="Times New Roman" w:eastAsia="Times New Roman" w:hAnsi="Times New Roman" w:cs="Times New Roman"/>
          <w:kern w:val="0"/>
          <w14:ligatures w14:val="none"/>
        </w:rPr>
        <w:t xml:space="preserve">, 12 December. </w:t>
      </w:r>
      <w:hyperlink r:id="rId10" w:tooltip="null" w:history="1">
        <w:r w:rsidRPr="00F07063">
          <w:rPr>
            <w:rFonts w:ascii="Times New Roman" w:eastAsia="Times New Roman" w:hAnsi="Times New Roman" w:cs="Times New Roman"/>
            <w:color w:val="0000FF"/>
            <w:kern w:val="0"/>
            <w:u w:val="single"/>
            <w14:ligatures w14:val="none"/>
          </w:rPr>
          <w:t>https://www.ft.com/content/42fb76f5-1217-4ecc-8a6b-b2ba6044da99</w:t>
        </w:r>
      </w:hyperlink>
    </w:p>
    <w:p w:rsidR="00F07063" w:rsidRPr="00F07063" w:rsidRDefault="00F07063"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lastRenderedPageBreak/>
        <w:t xml:space="preserve">Lakshmi, AA, &amp; Mariska, D. 2025a. 'Indonesia unexpectedly cuts rates and lowers growth forecast'. </w:t>
      </w:r>
      <w:r w:rsidRPr="00F07063">
        <w:rPr>
          <w:rFonts w:ascii="Times New Roman" w:eastAsia="Times New Roman" w:hAnsi="Times New Roman" w:cs="Times New Roman"/>
          <w:i/>
          <w:iCs/>
          <w:kern w:val="0"/>
          <w14:ligatures w14:val="none"/>
        </w:rPr>
        <w:t xml:space="preserve">Financial Times </w:t>
      </w:r>
      <w:r w:rsidRPr="00F07063">
        <w:rPr>
          <w:rFonts w:ascii="Times New Roman" w:eastAsia="Times New Roman" w:hAnsi="Times New Roman" w:cs="Times New Roman"/>
          <w:kern w:val="0"/>
          <w14:ligatures w14:val="none"/>
        </w:rPr>
        <w:t xml:space="preserve">, 15 January. </w:t>
      </w:r>
      <w:hyperlink r:id="rId11" w:tooltip="null" w:history="1">
        <w:r w:rsidRPr="00F07063">
          <w:rPr>
            <w:rFonts w:ascii="Times New Roman" w:eastAsia="Times New Roman" w:hAnsi="Times New Roman" w:cs="Times New Roman"/>
            <w:color w:val="0000FF"/>
            <w:kern w:val="0"/>
            <w:u w:val="single"/>
            <w14:ligatures w14:val="none"/>
          </w:rPr>
          <w:t>https://www.ft.com/content/92785b89-e2fa-4fc5-bcb7-bb40332fec93</w:t>
        </w:r>
      </w:hyperlink>
    </w:p>
    <w:p w:rsidR="00F07063" w:rsidRDefault="00F07063" w:rsidP="00961C3B">
      <w:pPr>
        <w:spacing w:before="100" w:beforeAutospacing="1" w:after="100" w:afterAutospacing="1" w:line="240" w:lineRule="auto"/>
        <w:ind w:left="709" w:hanging="720"/>
        <w:jc w:val="both"/>
      </w:pPr>
      <w:r w:rsidRPr="00F07063">
        <w:rPr>
          <w:rFonts w:ascii="Times New Roman" w:eastAsia="Times New Roman" w:hAnsi="Times New Roman" w:cs="Times New Roman"/>
          <w:kern w:val="0"/>
          <w14:ligatures w14:val="none"/>
        </w:rPr>
        <w:t xml:space="preserve">Lakshmi, AA, &amp; Mariska, D. 2025b. 'Indonesia's big bet on nickel sours as global prices tumble'. </w:t>
      </w:r>
      <w:r w:rsidRPr="00F07063">
        <w:rPr>
          <w:rFonts w:ascii="Times New Roman" w:eastAsia="Times New Roman" w:hAnsi="Times New Roman" w:cs="Times New Roman"/>
          <w:i/>
          <w:iCs/>
          <w:kern w:val="0"/>
          <w14:ligatures w14:val="none"/>
        </w:rPr>
        <w:t xml:space="preserve">Financial Times </w:t>
      </w:r>
      <w:r w:rsidRPr="00F07063">
        <w:rPr>
          <w:rFonts w:ascii="Times New Roman" w:eastAsia="Times New Roman" w:hAnsi="Times New Roman" w:cs="Times New Roman"/>
          <w:kern w:val="0"/>
          <w14:ligatures w14:val="none"/>
        </w:rPr>
        <w:t xml:space="preserve">, July 9. </w:t>
      </w:r>
      <w:hyperlink r:id="rId12" w:tooltip="null" w:history="1">
        <w:r w:rsidRPr="00F07063">
          <w:rPr>
            <w:rFonts w:ascii="Times New Roman" w:eastAsia="Times New Roman" w:hAnsi="Times New Roman" w:cs="Times New Roman"/>
            <w:color w:val="0000FF"/>
            <w:kern w:val="0"/>
            <w:u w:val="single"/>
            <w14:ligatures w14:val="none"/>
          </w:rPr>
          <w:t>https://www.ft.com/content/db5b8de2-0a0a-4fb6-8a98-56e10b1deb71</w:t>
        </w:r>
      </w:hyperlink>
    </w:p>
    <w:p w:rsidR="00E700A4" w:rsidRDefault="00E700A4"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r w:rsidRPr="00E700A4">
        <w:rPr>
          <w:rFonts w:ascii="Times New Roman" w:eastAsia="Times New Roman" w:hAnsi="Times New Roman" w:cs="Times New Roman"/>
          <w:kern w:val="0"/>
          <w14:ligatures w14:val="none"/>
        </w:rPr>
        <w:t>Manning, C., &amp; Pratomo, D. (2018). Labour market developments in the Jokowi years. </w:t>
      </w:r>
      <w:r w:rsidRPr="00E700A4">
        <w:rPr>
          <w:rFonts w:ascii="Times New Roman" w:eastAsia="Times New Roman" w:hAnsi="Times New Roman" w:cs="Times New Roman"/>
          <w:i/>
          <w:iCs/>
          <w:kern w:val="0"/>
          <w14:ligatures w14:val="none"/>
        </w:rPr>
        <w:t>Journal of Southeast Asian Economies</w:t>
      </w:r>
      <w:r w:rsidRPr="00E700A4">
        <w:rPr>
          <w:rFonts w:ascii="Times New Roman" w:eastAsia="Times New Roman" w:hAnsi="Times New Roman" w:cs="Times New Roman"/>
          <w:kern w:val="0"/>
          <w14:ligatures w14:val="none"/>
        </w:rPr>
        <w:t>, </w:t>
      </w:r>
      <w:r w:rsidRPr="00E700A4">
        <w:rPr>
          <w:rFonts w:ascii="Times New Roman" w:eastAsia="Times New Roman" w:hAnsi="Times New Roman" w:cs="Times New Roman"/>
          <w:i/>
          <w:iCs/>
          <w:kern w:val="0"/>
          <w14:ligatures w14:val="none"/>
        </w:rPr>
        <w:t>35</w:t>
      </w:r>
      <w:r w:rsidRPr="00E700A4">
        <w:rPr>
          <w:rFonts w:ascii="Times New Roman" w:eastAsia="Times New Roman" w:hAnsi="Times New Roman" w:cs="Times New Roman"/>
          <w:kern w:val="0"/>
          <w14:ligatures w14:val="none"/>
        </w:rPr>
        <w:t>(2), 165-184.</w:t>
      </w:r>
    </w:p>
    <w:p w:rsidR="003D5E3E" w:rsidRPr="00F07063" w:rsidRDefault="003D5E3E"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r w:rsidRPr="003D5E3E">
        <w:rPr>
          <w:rFonts w:ascii="Times New Roman" w:eastAsia="Times New Roman" w:hAnsi="Times New Roman" w:cs="Times New Roman"/>
          <w:kern w:val="0"/>
          <w14:ligatures w14:val="none"/>
        </w:rPr>
        <w:t>Paltasingh, T., &amp; Bhue, P. (2022). Efficacy of mid-day meal scheme in India: challenges and policy concerns. </w:t>
      </w:r>
      <w:r w:rsidRPr="003D5E3E">
        <w:rPr>
          <w:rFonts w:ascii="Times New Roman" w:eastAsia="Times New Roman" w:hAnsi="Times New Roman" w:cs="Times New Roman"/>
          <w:i/>
          <w:iCs/>
          <w:kern w:val="0"/>
          <w14:ligatures w14:val="none"/>
        </w:rPr>
        <w:t>Indian Journal of Public Administration</w:t>
      </w:r>
      <w:r w:rsidRPr="003D5E3E">
        <w:rPr>
          <w:rFonts w:ascii="Times New Roman" w:eastAsia="Times New Roman" w:hAnsi="Times New Roman" w:cs="Times New Roman"/>
          <w:kern w:val="0"/>
          <w14:ligatures w14:val="none"/>
        </w:rPr>
        <w:t>, </w:t>
      </w:r>
      <w:r w:rsidRPr="003D5E3E">
        <w:rPr>
          <w:rFonts w:ascii="Times New Roman" w:eastAsia="Times New Roman" w:hAnsi="Times New Roman" w:cs="Times New Roman"/>
          <w:i/>
          <w:iCs/>
          <w:kern w:val="0"/>
          <w14:ligatures w14:val="none"/>
        </w:rPr>
        <w:t>68</w:t>
      </w:r>
      <w:r w:rsidRPr="003D5E3E">
        <w:rPr>
          <w:rFonts w:ascii="Times New Roman" w:eastAsia="Times New Roman" w:hAnsi="Times New Roman" w:cs="Times New Roman"/>
          <w:kern w:val="0"/>
          <w14:ligatures w14:val="none"/>
        </w:rPr>
        <w:t>(4), 610-623.</w:t>
      </w:r>
    </w:p>
    <w:p w:rsidR="00F07063" w:rsidRDefault="00F07063"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Patunru, AA (2019). Rising Economic Nationalism in Indonesia. In H. Hill &amp; SD Negara (Eds.), </w:t>
      </w:r>
      <w:r w:rsidRPr="00F07063">
        <w:rPr>
          <w:rFonts w:ascii="Times New Roman" w:eastAsia="Times New Roman" w:hAnsi="Times New Roman" w:cs="Times New Roman"/>
          <w:i/>
          <w:iCs/>
          <w:kern w:val="0"/>
          <w14:ligatures w14:val="none"/>
        </w:rPr>
        <w:t xml:space="preserve">The Indonesian Economy in Transition: Policy Challenges in the Jokowi Era and Beyond </w:t>
      </w:r>
      <w:r w:rsidRPr="00F07063">
        <w:rPr>
          <w:rFonts w:ascii="Times New Roman" w:eastAsia="Times New Roman" w:hAnsi="Times New Roman" w:cs="Times New Roman"/>
          <w:kern w:val="0"/>
          <w14:ligatures w14:val="none"/>
        </w:rPr>
        <w:t>(pp. 149-179). ISEAS - Yusof Ishak Institute.</w:t>
      </w:r>
    </w:p>
    <w:p w:rsidR="003D5E3E" w:rsidRPr="00F07063" w:rsidRDefault="003D5E3E"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r w:rsidRPr="003D5E3E">
        <w:rPr>
          <w:rFonts w:ascii="Times New Roman" w:eastAsia="Times New Roman" w:hAnsi="Times New Roman" w:cs="Times New Roman"/>
          <w:kern w:val="0"/>
          <w14:ligatures w14:val="none"/>
        </w:rPr>
        <w:t>Rios‐Morales, R., Ramady, M., &amp; Brennan, L. (2011). SWFs and the global economy: the impact of the Gulf oil producers. </w:t>
      </w:r>
      <w:r w:rsidRPr="003D5E3E">
        <w:rPr>
          <w:rFonts w:ascii="Times New Roman" w:eastAsia="Times New Roman" w:hAnsi="Times New Roman" w:cs="Times New Roman"/>
          <w:i/>
          <w:iCs/>
          <w:kern w:val="0"/>
          <w14:ligatures w14:val="none"/>
        </w:rPr>
        <w:t>EuroMed Journal of Business</w:t>
      </w:r>
      <w:r w:rsidRPr="003D5E3E">
        <w:rPr>
          <w:rFonts w:ascii="Times New Roman" w:eastAsia="Times New Roman" w:hAnsi="Times New Roman" w:cs="Times New Roman"/>
          <w:kern w:val="0"/>
          <w14:ligatures w14:val="none"/>
        </w:rPr>
        <w:t>, </w:t>
      </w:r>
      <w:r w:rsidRPr="003D5E3E">
        <w:rPr>
          <w:rFonts w:ascii="Times New Roman" w:eastAsia="Times New Roman" w:hAnsi="Times New Roman" w:cs="Times New Roman"/>
          <w:i/>
          <w:iCs/>
          <w:kern w:val="0"/>
          <w14:ligatures w14:val="none"/>
        </w:rPr>
        <w:t>6</w:t>
      </w:r>
      <w:r w:rsidRPr="003D5E3E">
        <w:rPr>
          <w:rFonts w:ascii="Times New Roman" w:eastAsia="Times New Roman" w:hAnsi="Times New Roman" w:cs="Times New Roman"/>
          <w:kern w:val="0"/>
          <w14:ligatures w14:val="none"/>
        </w:rPr>
        <w:t>(2), 206-226.</w:t>
      </w:r>
    </w:p>
    <w:p w:rsidR="00F07063" w:rsidRPr="00F07063" w:rsidRDefault="00F07063"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Rodrik, D. (2004). Industrial Policy for the Twenty-First Century. </w:t>
      </w:r>
      <w:r w:rsidRPr="00F07063">
        <w:rPr>
          <w:rFonts w:ascii="Times New Roman" w:eastAsia="Times New Roman" w:hAnsi="Times New Roman" w:cs="Times New Roman"/>
          <w:i/>
          <w:iCs/>
          <w:kern w:val="0"/>
          <w14:ligatures w14:val="none"/>
        </w:rPr>
        <w:t xml:space="preserve">CEPR Discussion Paper No. 4767 </w:t>
      </w:r>
      <w:r w:rsidRPr="00F07063">
        <w:rPr>
          <w:rFonts w:ascii="Times New Roman" w:eastAsia="Times New Roman" w:hAnsi="Times New Roman" w:cs="Times New Roman"/>
          <w:kern w:val="0"/>
          <w14:ligatures w14:val="none"/>
        </w:rPr>
        <w:t>.</w:t>
      </w:r>
    </w:p>
    <w:p w:rsidR="00F07063" w:rsidRPr="00F07063" w:rsidRDefault="00F07063"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Sachs, J. D., &amp; Warner, A. M. (1995). </w:t>
      </w:r>
      <w:r w:rsidRPr="00F07063">
        <w:rPr>
          <w:rFonts w:ascii="Times New Roman" w:eastAsia="Times New Roman" w:hAnsi="Times New Roman" w:cs="Times New Roman"/>
          <w:i/>
          <w:iCs/>
          <w:kern w:val="0"/>
          <w14:ligatures w14:val="none"/>
        </w:rPr>
        <w:t xml:space="preserve">Natural resource abundance and economic growth </w:t>
      </w:r>
      <w:r w:rsidRPr="00F07063">
        <w:rPr>
          <w:rFonts w:ascii="Times New Roman" w:eastAsia="Times New Roman" w:hAnsi="Times New Roman" w:cs="Times New Roman"/>
          <w:kern w:val="0"/>
          <w14:ligatures w14:val="none"/>
        </w:rPr>
        <w:t>. NBER Working Paper No. 5398.</w:t>
      </w:r>
    </w:p>
    <w:p w:rsidR="00F07063" w:rsidRPr="00F07063" w:rsidRDefault="00F07063"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Shibata, N., &amp; Hadyan, R. 2025. 'Economists cast doubt on Indonesia's Q2 GDP data'. </w:t>
      </w:r>
      <w:r w:rsidRPr="00F07063">
        <w:rPr>
          <w:rFonts w:ascii="Times New Roman" w:eastAsia="Times New Roman" w:hAnsi="Times New Roman" w:cs="Times New Roman"/>
          <w:i/>
          <w:iCs/>
          <w:kern w:val="0"/>
          <w14:ligatures w14:val="none"/>
        </w:rPr>
        <w:t xml:space="preserve">Nikkei Asia </w:t>
      </w:r>
      <w:r w:rsidRPr="00F07063">
        <w:rPr>
          <w:rFonts w:ascii="Times New Roman" w:eastAsia="Times New Roman" w:hAnsi="Times New Roman" w:cs="Times New Roman"/>
          <w:kern w:val="0"/>
          <w14:ligatures w14:val="none"/>
        </w:rPr>
        <w:t xml:space="preserve">, August 6. </w:t>
      </w:r>
      <w:hyperlink r:id="rId13" w:tooltip="null" w:history="1">
        <w:r w:rsidRPr="00F07063">
          <w:rPr>
            <w:rFonts w:ascii="Times New Roman" w:eastAsia="Times New Roman" w:hAnsi="Times New Roman" w:cs="Times New Roman"/>
            <w:color w:val="0000FF"/>
            <w:kern w:val="0"/>
            <w:u w:val="single"/>
            <w14:ligatures w14:val="none"/>
          </w:rPr>
          <w:t>https://asia.nikkei.com/economy/economists-cast-doubt-on-indonesia-s-q2-gdp-data</w:t>
        </w:r>
      </w:hyperlink>
    </w:p>
    <w:p w:rsidR="00F07063" w:rsidRPr="00F07063" w:rsidRDefault="00F07063"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Sihombing, G. 2025. 'Indonesian Growth Unexpectedly Accelerates Ahead of Tariffs'. </w:t>
      </w:r>
      <w:r w:rsidRPr="00F07063">
        <w:rPr>
          <w:rFonts w:ascii="Times New Roman" w:eastAsia="Times New Roman" w:hAnsi="Times New Roman" w:cs="Times New Roman"/>
          <w:i/>
          <w:iCs/>
          <w:kern w:val="0"/>
          <w14:ligatures w14:val="none"/>
        </w:rPr>
        <w:t xml:space="preserve">Bloomberg </w:t>
      </w:r>
      <w:r w:rsidRPr="00F07063">
        <w:rPr>
          <w:rFonts w:ascii="Times New Roman" w:eastAsia="Times New Roman" w:hAnsi="Times New Roman" w:cs="Times New Roman"/>
          <w:kern w:val="0"/>
          <w14:ligatures w14:val="none"/>
        </w:rPr>
        <w:t xml:space="preserve">, August 5. </w:t>
      </w:r>
      <w:hyperlink r:id="rId14" w:tooltip="null" w:history="1">
        <w:r w:rsidRPr="00F07063">
          <w:rPr>
            <w:rFonts w:ascii="Times New Roman" w:eastAsia="Times New Roman" w:hAnsi="Times New Roman" w:cs="Times New Roman"/>
            <w:color w:val="0000FF"/>
            <w:kern w:val="0"/>
            <w:u w:val="single"/>
            <w14:ligatures w14:val="none"/>
          </w:rPr>
          <w:t>https://www.bloomberg.com/news/articles/2025-08-05/indonesian-growth-unexpectedly-accelerates-ahead-of-tariff-hit</w:t>
        </w:r>
      </w:hyperlink>
    </w:p>
    <w:p w:rsidR="00F07063" w:rsidRPr="00F07063" w:rsidRDefault="00961C3B"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IPCC. (2018). </w:t>
      </w:r>
      <w:r w:rsidR="00F07063" w:rsidRPr="00F07063">
        <w:rPr>
          <w:rFonts w:ascii="Times New Roman" w:eastAsia="Times New Roman" w:hAnsi="Times New Roman" w:cs="Times New Roman"/>
          <w:i/>
          <w:iCs/>
          <w:kern w:val="0"/>
          <w14:ligatures w14:val="none"/>
        </w:rPr>
        <w:t xml:space="preserve">IPCC, 2018: Global Warming of 1.5°C. An IPCC Special Report </w:t>
      </w:r>
      <w:r w:rsidR="00F07063" w:rsidRPr="00F07063">
        <w:rPr>
          <w:rFonts w:ascii="Times New Roman" w:eastAsia="Times New Roman" w:hAnsi="Times New Roman" w:cs="Times New Roman"/>
          <w:kern w:val="0"/>
          <w14:ligatures w14:val="none"/>
        </w:rPr>
        <w:t>.</w:t>
      </w:r>
    </w:p>
    <w:p w:rsidR="00F07063" w:rsidRPr="00F07063" w:rsidRDefault="00F07063"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Sugihartono, S. 2024. 'Sustainability and Progress of the Food Estate Program in Indonesia: A New Era under President Prabowo'. </w:t>
      </w:r>
      <w:r w:rsidRPr="00F07063">
        <w:rPr>
          <w:rFonts w:ascii="Times New Roman" w:eastAsia="Times New Roman" w:hAnsi="Times New Roman" w:cs="Times New Roman"/>
          <w:i/>
          <w:iCs/>
          <w:kern w:val="0"/>
          <w14:ligatures w14:val="none"/>
        </w:rPr>
        <w:t xml:space="preserve">Modern Diplomacy </w:t>
      </w:r>
      <w:r w:rsidRPr="00F07063">
        <w:rPr>
          <w:rFonts w:ascii="Times New Roman" w:eastAsia="Times New Roman" w:hAnsi="Times New Roman" w:cs="Times New Roman"/>
          <w:kern w:val="0"/>
          <w14:ligatures w14:val="none"/>
        </w:rPr>
        <w:t xml:space="preserve">, 31 October. </w:t>
      </w:r>
      <w:hyperlink r:id="rId15" w:tooltip="null" w:history="1">
        <w:r w:rsidRPr="00F07063">
          <w:rPr>
            <w:rFonts w:ascii="Times New Roman" w:eastAsia="Times New Roman" w:hAnsi="Times New Roman" w:cs="Times New Roman"/>
            <w:color w:val="0000FF"/>
            <w:kern w:val="0"/>
            <w:u w:val="single"/>
            <w14:ligatures w14:val="none"/>
          </w:rPr>
          <w:t>https://moderndiplomacy.eu/2024/10/31/sustainability-and-progress-of-the-food-estate-program-in-indonesia-a-new-era-under-president-prabowo/</w:t>
        </w:r>
      </w:hyperlink>
    </w:p>
    <w:p w:rsidR="00F07063" w:rsidRPr="00F07063" w:rsidRDefault="00F07063"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The Economist. 2025. 'Prabowo Subianto's economic policy is weakening Indonesia'. May 15. </w:t>
      </w:r>
      <w:hyperlink r:id="rId16" w:tooltip="null" w:history="1">
        <w:r w:rsidRPr="00F07063">
          <w:rPr>
            <w:rFonts w:ascii="Times New Roman" w:eastAsia="Times New Roman" w:hAnsi="Times New Roman" w:cs="Times New Roman"/>
            <w:color w:val="0000FF"/>
            <w:kern w:val="0"/>
            <w:u w:val="single"/>
            <w14:ligatures w14:val="none"/>
          </w:rPr>
          <w:t>https://www.economist.com/asia/2025/05/15/prabowo-subiantos-economic-policy-is-weakening-indonesia</w:t>
        </w:r>
      </w:hyperlink>
    </w:p>
    <w:p w:rsidR="00F07063" w:rsidRPr="00F07063" w:rsidRDefault="00F07063"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lastRenderedPageBreak/>
        <w:t xml:space="preserve">Warburton, E. (2019). A New Developmentalism in Indonesia?. In H. Hill &amp; SD Negara (Eds.), </w:t>
      </w:r>
      <w:r w:rsidRPr="00F07063">
        <w:rPr>
          <w:rFonts w:ascii="Times New Roman" w:eastAsia="Times New Roman" w:hAnsi="Times New Roman" w:cs="Times New Roman"/>
          <w:i/>
          <w:iCs/>
          <w:kern w:val="0"/>
          <w14:ligatures w14:val="none"/>
        </w:rPr>
        <w:t xml:space="preserve">The Indonesian Economy in Transition: Policy Challenges in the Jokowi Era and Beyond </w:t>
      </w:r>
      <w:r w:rsidRPr="00F07063">
        <w:rPr>
          <w:rFonts w:ascii="Times New Roman" w:eastAsia="Times New Roman" w:hAnsi="Times New Roman" w:cs="Times New Roman"/>
          <w:kern w:val="0"/>
          <w14:ligatures w14:val="none"/>
        </w:rPr>
        <w:t>(pp. 34-56). ISEAS - Yusof Ishak Institute.</w:t>
      </w:r>
    </w:p>
    <w:p w:rsidR="00704E97" w:rsidRPr="00961C3B" w:rsidRDefault="00F07063"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Wu, E. 2024. 'Indonesia is at a crossroads'. </w:t>
      </w:r>
      <w:r w:rsidRPr="00F07063">
        <w:rPr>
          <w:rFonts w:ascii="Times New Roman" w:eastAsia="Times New Roman" w:hAnsi="Times New Roman" w:cs="Times New Roman"/>
          <w:i/>
          <w:iCs/>
          <w:kern w:val="0"/>
          <w14:ligatures w14:val="none"/>
        </w:rPr>
        <w:t xml:space="preserve">The Economist </w:t>
      </w:r>
      <w:r w:rsidRPr="00F07063">
        <w:rPr>
          <w:rFonts w:ascii="Times New Roman" w:eastAsia="Times New Roman" w:hAnsi="Times New Roman" w:cs="Times New Roman"/>
          <w:kern w:val="0"/>
          <w14:ligatures w14:val="none"/>
        </w:rPr>
        <w:t xml:space="preserve">, 20 November. </w:t>
      </w:r>
      <w:hyperlink r:id="rId17" w:tooltip="null" w:history="1">
        <w:r w:rsidRPr="00F07063">
          <w:rPr>
            <w:rFonts w:ascii="Times New Roman" w:eastAsia="Times New Roman" w:hAnsi="Times New Roman" w:cs="Times New Roman"/>
            <w:color w:val="0000FF"/>
            <w:kern w:val="0"/>
            <w:u w:val="single"/>
            <w14:ligatures w14:val="none"/>
          </w:rPr>
          <w:t>https://www.economist.com/the-world-ahead/2024/11/20/indonesia-is-at-a-crossroads</w:t>
        </w:r>
      </w:hyperlink>
    </w:p>
    <w:sectPr w:rsidR="00704E97" w:rsidRPr="00961C3B" w:rsidSect="00961C3B">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6AB6" w:rsidRDefault="001A6AB6" w:rsidP="008A66D0">
      <w:pPr>
        <w:spacing w:after="0" w:line="240" w:lineRule="auto"/>
      </w:pPr>
      <w:r>
        <w:separator/>
      </w:r>
    </w:p>
  </w:endnote>
  <w:endnote w:type="continuationSeparator" w:id="0">
    <w:p w:rsidR="001A6AB6" w:rsidRDefault="001A6AB6" w:rsidP="008A6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6D0" w:rsidRDefault="008A66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6D0" w:rsidRDefault="008A66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6D0" w:rsidRDefault="008A6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6AB6" w:rsidRDefault="001A6AB6" w:rsidP="008A66D0">
      <w:pPr>
        <w:spacing w:after="0" w:line="240" w:lineRule="auto"/>
      </w:pPr>
      <w:r>
        <w:separator/>
      </w:r>
    </w:p>
  </w:footnote>
  <w:footnote w:type="continuationSeparator" w:id="0">
    <w:p w:rsidR="001A6AB6" w:rsidRDefault="001A6AB6" w:rsidP="008A6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6D0" w:rsidRDefault="001A6A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075469" o:spid="_x0000_s1027"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6D0" w:rsidRDefault="001A6A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075470" o:spid="_x0000_s1026"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6D0" w:rsidRDefault="001A6A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075468" o:spid="_x0000_s1025"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60F45"/>
    <w:multiLevelType w:val="multilevel"/>
    <w:tmpl w:val="0C9E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2A365E"/>
    <w:multiLevelType w:val="multilevel"/>
    <w:tmpl w:val="EEAC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782578"/>
    <w:multiLevelType w:val="multilevel"/>
    <w:tmpl w:val="344C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1636339">
    <w:abstractNumId w:val="0"/>
  </w:num>
  <w:num w:numId="2" w16cid:durableId="142046621">
    <w:abstractNumId w:val="2"/>
  </w:num>
  <w:num w:numId="3" w16cid:durableId="2024475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E97"/>
    <w:rsid w:val="000A45A0"/>
    <w:rsid w:val="001411DC"/>
    <w:rsid w:val="00180DD4"/>
    <w:rsid w:val="001A6AB6"/>
    <w:rsid w:val="001F05BC"/>
    <w:rsid w:val="00213E12"/>
    <w:rsid w:val="00226569"/>
    <w:rsid w:val="00237367"/>
    <w:rsid w:val="00341D57"/>
    <w:rsid w:val="003C5ED9"/>
    <w:rsid w:val="003D5E3E"/>
    <w:rsid w:val="0040340A"/>
    <w:rsid w:val="00454DF7"/>
    <w:rsid w:val="00511583"/>
    <w:rsid w:val="00640A6E"/>
    <w:rsid w:val="006B4BFF"/>
    <w:rsid w:val="006C1550"/>
    <w:rsid w:val="006F1F5E"/>
    <w:rsid w:val="006F46E8"/>
    <w:rsid w:val="00704E97"/>
    <w:rsid w:val="00705B35"/>
    <w:rsid w:val="00814ABF"/>
    <w:rsid w:val="00875EE7"/>
    <w:rsid w:val="00886731"/>
    <w:rsid w:val="008A66D0"/>
    <w:rsid w:val="00961C3B"/>
    <w:rsid w:val="009A0E32"/>
    <w:rsid w:val="00A90DAC"/>
    <w:rsid w:val="00AF61F2"/>
    <w:rsid w:val="00B1470A"/>
    <w:rsid w:val="00B86A34"/>
    <w:rsid w:val="00B90418"/>
    <w:rsid w:val="00C41D73"/>
    <w:rsid w:val="00CC4D67"/>
    <w:rsid w:val="00D06389"/>
    <w:rsid w:val="00DB4834"/>
    <w:rsid w:val="00E700A4"/>
    <w:rsid w:val="00E76948"/>
    <w:rsid w:val="00EA5FA0"/>
    <w:rsid w:val="00EB32A8"/>
    <w:rsid w:val="00F07063"/>
    <w:rsid w:val="00F53475"/>
    <w:rsid w:val="00F86735"/>
    <w:rsid w:val="00F91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ABA5D"/>
  <w15:chartTrackingRefBased/>
  <w15:docId w15:val="{2FEEA365-268A-EC48-A5CB-4B06F442B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4E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04E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4E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4E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4E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4E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4E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4E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4E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E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04E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4E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4E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4E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4E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4E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4E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4E97"/>
    <w:rPr>
      <w:rFonts w:eastAsiaTheme="majorEastAsia" w:cstheme="majorBidi"/>
      <w:color w:val="272727" w:themeColor="text1" w:themeTint="D8"/>
    </w:rPr>
  </w:style>
  <w:style w:type="paragraph" w:styleId="Title">
    <w:name w:val="Title"/>
    <w:basedOn w:val="Normal"/>
    <w:next w:val="Normal"/>
    <w:link w:val="TitleChar"/>
    <w:uiPriority w:val="10"/>
    <w:qFormat/>
    <w:rsid w:val="00704E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4E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E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4E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4E97"/>
    <w:pPr>
      <w:spacing w:before="160"/>
      <w:jc w:val="center"/>
    </w:pPr>
    <w:rPr>
      <w:i/>
      <w:iCs/>
      <w:color w:val="404040" w:themeColor="text1" w:themeTint="BF"/>
    </w:rPr>
  </w:style>
  <w:style w:type="character" w:customStyle="1" w:styleId="QuoteChar">
    <w:name w:val="Quote Char"/>
    <w:basedOn w:val="DefaultParagraphFont"/>
    <w:link w:val="Quote"/>
    <w:uiPriority w:val="29"/>
    <w:rsid w:val="00704E97"/>
    <w:rPr>
      <w:i/>
      <w:iCs/>
      <w:color w:val="404040" w:themeColor="text1" w:themeTint="BF"/>
    </w:rPr>
  </w:style>
  <w:style w:type="paragraph" w:styleId="ListParagraph">
    <w:name w:val="List Paragraph"/>
    <w:basedOn w:val="Normal"/>
    <w:uiPriority w:val="34"/>
    <w:qFormat/>
    <w:rsid w:val="00704E97"/>
    <w:pPr>
      <w:ind w:left="720"/>
      <w:contextualSpacing/>
    </w:pPr>
  </w:style>
  <w:style w:type="character" w:styleId="IntenseEmphasis">
    <w:name w:val="Intense Emphasis"/>
    <w:basedOn w:val="DefaultParagraphFont"/>
    <w:uiPriority w:val="21"/>
    <w:qFormat/>
    <w:rsid w:val="00704E97"/>
    <w:rPr>
      <w:i/>
      <w:iCs/>
      <w:color w:val="2F5496" w:themeColor="accent1" w:themeShade="BF"/>
    </w:rPr>
  </w:style>
  <w:style w:type="paragraph" w:styleId="IntenseQuote">
    <w:name w:val="Intense Quote"/>
    <w:basedOn w:val="Normal"/>
    <w:next w:val="Normal"/>
    <w:link w:val="IntenseQuoteChar"/>
    <w:uiPriority w:val="30"/>
    <w:qFormat/>
    <w:rsid w:val="00704E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4E97"/>
    <w:rPr>
      <w:i/>
      <w:iCs/>
      <w:color w:val="2F5496" w:themeColor="accent1" w:themeShade="BF"/>
    </w:rPr>
  </w:style>
  <w:style w:type="character" w:styleId="IntenseReference">
    <w:name w:val="Intense Reference"/>
    <w:basedOn w:val="DefaultParagraphFont"/>
    <w:uiPriority w:val="32"/>
    <w:qFormat/>
    <w:rsid w:val="00704E97"/>
    <w:rPr>
      <w:b/>
      <w:bCs/>
      <w:smallCaps/>
      <w:color w:val="2F5496" w:themeColor="accent1" w:themeShade="BF"/>
      <w:spacing w:val="5"/>
    </w:rPr>
  </w:style>
  <w:style w:type="character" w:styleId="Hyperlink">
    <w:name w:val="Hyperlink"/>
    <w:basedOn w:val="DefaultParagraphFont"/>
    <w:uiPriority w:val="99"/>
    <w:unhideWhenUsed/>
    <w:rsid w:val="00DB4834"/>
    <w:rPr>
      <w:color w:val="0563C1" w:themeColor="hyperlink"/>
      <w:u w:val="single"/>
    </w:rPr>
  </w:style>
  <w:style w:type="character" w:customStyle="1" w:styleId="UnresolvedMention1">
    <w:name w:val="Unresolved Mention1"/>
    <w:basedOn w:val="DefaultParagraphFont"/>
    <w:uiPriority w:val="99"/>
    <w:semiHidden/>
    <w:unhideWhenUsed/>
    <w:rsid w:val="00DB4834"/>
    <w:rPr>
      <w:color w:val="605E5C"/>
      <w:shd w:val="clear" w:color="auto" w:fill="E1DFDD"/>
    </w:rPr>
  </w:style>
  <w:style w:type="character" w:customStyle="1" w:styleId="selected">
    <w:name w:val="selected"/>
    <w:basedOn w:val="DefaultParagraphFont"/>
    <w:rsid w:val="00DB4834"/>
  </w:style>
  <w:style w:type="paragraph" w:styleId="NormalWeb">
    <w:name w:val="Normal (Web)"/>
    <w:basedOn w:val="Normal"/>
    <w:uiPriority w:val="99"/>
    <w:semiHidden/>
    <w:unhideWhenUsed/>
    <w:rsid w:val="00DB483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link w:val="NoSpacingChar"/>
    <w:uiPriority w:val="1"/>
    <w:qFormat/>
    <w:rsid w:val="006C1550"/>
    <w:pPr>
      <w:spacing w:after="0" w:line="240" w:lineRule="auto"/>
    </w:pPr>
    <w:rPr>
      <w:rFonts w:ascii="Calibri" w:eastAsia="Calibri" w:hAnsi="Calibri" w:cs="Times New Roman"/>
      <w:kern w:val="0"/>
      <w:sz w:val="22"/>
      <w:szCs w:val="22"/>
      <w14:ligatures w14:val="none"/>
    </w:rPr>
  </w:style>
  <w:style w:type="character" w:customStyle="1" w:styleId="NoSpacingChar">
    <w:name w:val="No Spacing Char"/>
    <w:link w:val="NoSpacing"/>
    <w:uiPriority w:val="1"/>
    <w:rsid w:val="006C1550"/>
    <w:rPr>
      <w:rFonts w:ascii="Calibri" w:eastAsia="Calibri" w:hAnsi="Calibri" w:cs="Times New Roman"/>
      <w:kern w:val="0"/>
      <w:sz w:val="22"/>
      <w:szCs w:val="22"/>
      <w14:ligatures w14:val="none"/>
    </w:rPr>
  </w:style>
  <w:style w:type="paragraph" w:styleId="Header">
    <w:name w:val="header"/>
    <w:basedOn w:val="Normal"/>
    <w:link w:val="HeaderChar"/>
    <w:uiPriority w:val="99"/>
    <w:unhideWhenUsed/>
    <w:rsid w:val="008A66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6D0"/>
  </w:style>
  <w:style w:type="paragraph" w:styleId="Footer">
    <w:name w:val="footer"/>
    <w:basedOn w:val="Normal"/>
    <w:link w:val="FooterChar"/>
    <w:uiPriority w:val="99"/>
    <w:unhideWhenUsed/>
    <w:rsid w:val="008A66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6D0"/>
  </w:style>
  <w:style w:type="table" w:styleId="TableGrid">
    <w:name w:val="Table Grid"/>
    <w:basedOn w:val="TableNormal"/>
    <w:uiPriority w:val="39"/>
    <w:rsid w:val="00E76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71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t.com/content/69209b1a-37b1-437e-83b5-b52d9194d74e" TargetMode="External"/><Relationship Id="rId13" Type="http://schemas.openxmlformats.org/officeDocument/2006/relationships/hyperlink" Target="https://asia.nikkei.com/economy/economists-cast-doubt-on-indonesia-s-q2-gdp-data"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ft.com/content/58e46243-7f2f-42f2-be92-5ba3b660c108" TargetMode="External"/><Relationship Id="rId12" Type="http://schemas.openxmlformats.org/officeDocument/2006/relationships/hyperlink" Target="https://www.ft.com/content/db5b8de2-0a0a-4fb6-8a98-56e10b1deb71" TargetMode="External"/><Relationship Id="rId17" Type="http://schemas.openxmlformats.org/officeDocument/2006/relationships/hyperlink" Target="https://www.economist.com/the-world-ahead/2024/11/20/indonesia-is-at-a-crossroad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conomist.com/asia/2025/05/15/prabowo-subiantos-economic-policy-is-weakening-indonesia"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t.com/content/92785b89-e2fa-4fc5-bcb7-bb40332fec93"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moderndiplomacy.eu/2024/10/31/sustainability-and-progress-of-the-food-estate-program-in-indonesia-a-new-era-under-president-prabowo/" TargetMode="External"/><Relationship Id="rId23" Type="http://schemas.openxmlformats.org/officeDocument/2006/relationships/footer" Target="footer3.xml"/><Relationship Id="rId10" Type="http://schemas.openxmlformats.org/officeDocument/2006/relationships/hyperlink" Target="https://www.ft.com/content/42fb76f5-1217-4ecc-8a6b-b2ba6044da99"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ft.com/content/b94313f1-7a4d-47da-acfa-aad5a2b1d2c9" TargetMode="External"/><Relationship Id="rId14" Type="http://schemas.openxmlformats.org/officeDocument/2006/relationships/hyperlink" Target="https://www.bloomberg.com/news/articles/2025-08-05/indonesian-growth-unexpectedly-accelerates-ahead-of-tariff-hi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12</Pages>
  <Words>5227</Words>
  <Characters>29794</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Hedi Sasrawan</dc:creator>
  <cp:keywords/>
  <dc:description/>
  <cp:lastModifiedBy>Hedi Sasrawan</cp:lastModifiedBy>
  <cp:revision>27</cp:revision>
  <dcterms:created xsi:type="dcterms:W3CDTF">2025-08-11T03:50:00Z</dcterms:created>
  <dcterms:modified xsi:type="dcterms:W3CDTF">2025-08-13T14:27:00Z</dcterms:modified>
</cp:coreProperties>
</file>