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E26" w:rsidRDefault="00A417CB" w:rsidP="00AE051B">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ASSESSMENT OF TAX PRO-MAX INITIATIVE AND REVENUE PERFORMANCE IN NIGERIA</w:t>
      </w:r>
    </w:p>
    <w:p w:rsidR="00E45E26" w:rsidRDefault="00E45E26" w:rsidP="00AE051B">
      <w:pPr>
        <w:spacing w:after="0" w:line="480" w:lineRule="auto"/>
        <w:contextualSpacing/>
        <w:jc w:val="center"/>
        <w:rPr>
          <w:rFonts w:ascii="Times New Roman" w:hAnsi="Times New Roman" w:cs="Times New Roman"/>
          <w:sz w:val="24"/>
          <w:szCs w:val="24"/>
        </w:rPr>
      </w:pPr>
    </w:p>
    <w:p w:rsidR="00E45E26" w:rsidRDefault="00E45E26" w:rsidP="00AE051B">
      <w:pPr>
        <w:spacing w:line="480" w:lineRule="auto"/>
        <w:contextualSpacing/>
        <w:rPr>
          <w:rFonts w:ascii="Times New Roman" w:hAnsi="Times New Roman" w:cs="Times New Roman"/>
          <w:sz w:val="24"/>
          <w:szCs w:val="24"/>
        </w:rPr>
      </w:pPr>
    </w:p>
    <w:p w:rsidR="00E45E26" w:rsidRDefault="00E45E26" w:rsidP="00AE051B">
      <w:pPr>
        <w:spacing w:line="480" w:lineRule="auto"/>
        <w:contextualSpacing/>
        <w:rPr>
          <w:rFonts w:ascii="Times New Roman" w:hAnsi="Times New Roman" w:cs="Times New Roman"/>
          <w:sz w:val="24"/>
          <w:szCs w:val="24"/>
        </w:rPr>
      </w:pPr>
    </w:p>
    <w:p w:rsidR="00E45E26" w:rsidRDefault="00A417CB" w:rsidP="00AE051B">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Abstract</w:t>
      </w:r>
    </w:p>
    <w:p w:rsidR="00E45E26" w:rsidRDefault="00A417CB" w:rsidP="00AE051B">
      <w:pPr>
        <w:spacing w:line="480" w:lineRule="auto"/>
        <w:contextualSpacing/>
        <w:jc w:val="both"/>
        <w:rPr>
          <w:rFonts w:ascii="Times New Roman" w:hAnsi="Times New Roman" w:cs="Times New Roman"/>
          <w:color w:val="0E101A"/>
          <w:sz w:val="24"/>
          <w:szCs w:val="24"/>
        </w:rPr>
      </w:pPr>
      <w:r>
        <w:rPr>
          <w:rFonts w:ascii="Times New Roman" w:hAnsi="Times New Roman" w:cs="Times New Roman"/>
          <w:sz w:val="24"/>
          <w:szCs w:val="24"/>
        </w:rPr>
        <w:t>This study assessed effect of Tax Pro-Max initiative on revenue performance in Nigeria, examining both the intended objectives and actual outcomes of the policy. The research design adopted was ex-post facto. Secondary data were sourced from the quarterly reports of the Federal Inland Revenue Service beginning from 2018 to 2023, culminating to 24 quarters. The study employed regression as the technique of data analysis and descriptive statistic for comparison of means with the aid of E-Views version 12 as a tool for data analysis. The study found that Tax Pro-Max had positive effect on tax compliance and revenue performance</w:t>
      </w:r>
      <w:r>
        <w:rPr>
          <w:rFonts w:ascii="Times New Roman" w:hAnsi="Times New Roman" w:cs="Times New Roman"/>
          <w:color w:val="000000"/>
          <w:sz w:val="24"/>
          <w:szCs w:val="24"/>
        </w:rPr>
        <w:t xml:space="preserve"> in Nigeria.</w:t>
      </w:r>
      <w:r>
        <w:rPr>
          <w:rFonts w:ascii="Times New Roman" w:hAnsi="Times New Roman" w:cs="Times New Roman"/>
          <w:sz w:val="24"/>
          <w:szCs w:val="24"/>
        </w:rPr>
        <w:t xml:space="preserve"> It was therefore recommended among others that</w:t>
      </w:r>
      <w:r>
        <w:rPr>
          <w:rFonts w:ascii="Times New Roman" w:hAnsi="Times New Roman" w:cs="Times New Roman"/>
          <w:color w:val="0E101A"/>
          <w:sz w:val="24"/>
          <w:szCs w:val="24"/>
        </w:rPr>
        <w:t xml:space="preserve"> Federal Inland Revenue Service should create e-tax payment mobile application that can be installed on android phones to further simplify the self-assessment system.</w:t>
      </w:r>
    </w:p>
    <w:p w:rsidR="00E45E26" w:rsidRDefault="00E45E26" w:rsidP="00AE051B">
      <w:pPr>
        <w:spacing w:line="480" w:lineRule="auto"/>
        <w:contextualSpacing/>
        <w:jc w:val="both"/>
        <w:rPr>
          <w:rFonts w:ascii="Times New Roman" w:hAnsi="Times New Roman" w:cs="Times New Roman"/>
          <w:sz w:val="24"/>
          <w:szCs w:val="24"/>
        </w:rPr>
      </w:pP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b/>
          <w:sz w:val="24"/>
          <w:szCs w:val="24"/>
        </w:rPr>
        <w:t>Key Words:</w:t>
      </w:r>
      <w:r>
        <w:rPr>
          <w:rFonts w:ascii="Times New Roman" w:hAnsi="Times New Roman" w:cs="Times New Roman"/>
          <w:sz w:val="24"/>
          <w:szCs w:val="24"/>
        </w:rPr>
        <w:tab/>
        <w:t>Tax Pro-Max initiative, taxpayer compliance, revenue collection efficiency, Revenue Performance</w:t>
      </w:r>
    </w:p>
    <w:p w:rsidR="00E45E26" w:rsidRDefault="00E45E26" w:rsidP="00AE051B">
      <w:pPr>
        <w:spacing w:line="480" w:lineRule="auto"/>
        <w:contextualSpacing/>
        <w:jc w:val="both"/>
        <w:rPr>
          <w:rFonts w:ascii="Times New Roman" w:hAnsi="Times New Roman" w:cs="Times New Roman"/>
          <w:sz w:val="24"/>
          <w:szCs w:val="24"/>
        </w:rPr>
      </w:pPr>
    </w:p>
    <w:p w:rsidR="00E45E26" w:rsidRDefault="00A417CB" w:rsidP="00AE051B">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Introduction</w:t>
      </w:r>
    </w:p>
    <w:p w:rsidR="00E45E26" w:rsidRDefault="00A417CB" w:rsidP="00AE051B">
      <w:pPr>
        <w:spacing w:line="480" w:lineRule="auto"/>
        <w:contextualSpacing/>
        <w:jc w:val="both"/>
        <w:rPr>
          <w:rFonts w:ascii="Times New Roman" w:hAnsi="Times New Roman"/>
          <w:sz w:val="24"/>
          <w:szCs w:val="24"/>
        </w:rPr>
      </w:pPr>
      <w:r>
        <w:rPr>
          <w:rFonts w:ascii="Times New Roman" w:hAnsi="Times New Roman" w:cs="Times New Roman"/>
          <w:sz w:val="24"/>
          <w:szCs w:val="24"/>
        </w:rPr>
        <w:t>In recent years, Nigeria has faced significant challenges in optimizing her tax system to enhance revenue generation and ensure sustainable economic growth.</w:t>
      </w:r>
      <w:r w:rsidR="0025063B">
        <w:rPr>
          <w:rFonts w:ascii="Times New Roman" w:hAnsi="Times New Roman" w:cs="Times New Roman"/>
          <w:sz w:val="24"/>
          <w:szCs w:val="24"/>
        </w:rPr>
        <w:t xml:space="preserve"> According to </w:t>
      </w:r>
      <w:proofErr w:type="spellStart"/>
      <w:r w:rsidR="0025063B">
        <w:rPr>
          <w:rFonts w:ascii="Times New Roman" w:hAnsi="Times New Roman" w:cs="Times New Roman"/>
          <w:sz w:val="24"/>
          <w:szCs w:val="24"/>
        </w:rPr>
        <w:t>Ogunsanwo</w:t>
      </w:r>
      <w:proofErr w:type="spellEnd"/>
      <w:r w:rsidR="0025063B">
        <w:rPr>
          <w:rFonts w:ascii="Times New Roman" w:hAnsi="Times New Roman" w:cs="Times New Roman"/>
          <w:sz w:val="24"/>
          <w:szCs w:val="24"/>
        </w:rPr>
        <w:t xml:space="preserve"> and Ogunleye (2018), </w:t>
      </w:r>
      <w:r>
        <w:rPr>
          <w:rFonts w:ascii="Times New Roman" w:hAnsi="Times New Roman" w:cs="Times New Roman"/>
          <w:sz w:val="24"/>
          <w:szCs w:val="24"/>
        </w:rPr>
        <w:t xml:space="preserve">Nigeria’ tax revenue </w:t>
      </w:r>
      <w:r w:rsidR="00731E8A">
        <w:rPr>
          <w:rFonts w:ascii="Times New Roman" w:hAnsi="Times New Roman" w:cs="Times New Roman"/>
          <w:sz w:val="24"/>
          <w:szCs w:val="24"/>
        </w:rPr>
        <w:t>has</w:t>
      </w:r>
      <w:r>
        <w:rPr>
          <w:rFonts w:ascii="Times New Roman" w:hAnsi="Times New Roman" w:cs="Times New Roman"/>
          <w:sz w:val="24"/>
          <w:szCs w:val="24"/>
        </w:rPr>
        <w:t xml:space="preserve"> been depleting over the years</w:t>
      </w:r>
      <w:r w:rsidR="0025063B">
        <w:rPr>
          <w:rFonts w:ascii="Times New Roman" w:hAnsi="Times New Roman" w:cs="Times New Roman"/>
          <w:sz w:val="24"/>
          <w:szCs w:val="24"/>
        </w:rPr>
        <w:t xml:space="preserve"> due to inefficiency of revenue collection</w:t>
      </w:r>
      <w:r>
        <w:rPr>
          <w:rFonts w:ascii="Times New Roman" w:hAnsi="Times New Roman" w:cs="Times New Roman"/>
          <w:sz w:val="24"/>
          <w:szCs w:val="24"/>
        </w:rPr>
        <w:t xml:space="preserve">. The inefficiencies in tax collection, widespread tax </w:t>
      </w:r>
      <w:r>
        <w:rPr>
          <w:rFonts w:ascii="Times New Roman" w:hAnsi="Times New Roman" w:cs="Times New Roman"/>
          <w:sz w:val="24"/>
          <w:szCs w:val="24"/>
        </w:rPr>
        <w:lastRenderedPageBreak/>
        <w:t>evasion, and a complex tax code have historically hindered the government's ability to mobilize adequate resources for development projects and public services (</w:t>
      </w:r>
      <w:proofErr w:type="spellStart"/>
      <w:r>
        <w:rPr>
          <w:rFonts w:ascii="Times New Roman" w:hAnsi="Times New Roman" w:cs="Times New Roman"/>
          <w:sz w:val="24"/>
          <w:szCs w:val="24"/>
        </w:rPr>
        <w:t>Tivde</w:t>
      </w:r>
      <w:proofErr w:type="spellEnd"/>
      <w:r>
        <w:rPr>
          <w:rFonts w:ascii="Times New Roman" w:hAnsi="Times New Roman" w:cs="Times New Roman"/>
          <w:sz w:val="24"/>
          <w:szCs w:val="24"/>
        </w:rPr>
        <w:t xml:space="preserve">, 2024). </w:t>
      </w:r>
      <w:r>
        <w:rPr>
          <w:rStyle w:val="Strong"/>
          <w:rFonts w:ascii="Times New Roman" w:hAnsi="Times New Roman" w:cs="Times New Roman"/>
          <w:b w:val="0"/>
          <w:sz w:val="24"/>
          <w:szCs w:val="24"/>
        </w:rPr>
        <w:t>The increasing public</w:t>
      </w:r>
      <w:r>
        <w:rPr>
          <w:rStyle w:val="Strong"/>
          <w:rFonts w:ascii="Times New Roman" w:hAnsi="Times New Roman" w:cs="Times New Roman"/>
          <w:sz w:val="24"/>
          <w:szCs w:val="24"/>
        </w:rPr>
        <w:t xml:space="preserve"> </w:t>
      </w:r>
      <w:r>
        <w:rPr>
          <w:rStyle w:val="Strong"/>
          <w:rFonts w:ascii="Times New Roman" w:hAnsi="Times New Roman" w:cs="Times New Roman"/>
          <w:b w:val="0"/>
          <w:bCs w:val="0"/>
          <w:sz w:val="24"/>
          <w:szCs w:val="24"/>
        </w:rPr>
        <w:t>worry for</w:t>
      </w:r>
      <w:r>
        <w:rPr>
          <w:rFonts w:ascii="Times New Roman" w:hAnsi="Times New Roman" w:cs="Times New Roman"/>
          <w:sz w:val="24"/>
          <w:szCs w:val="24"/>
        </w:rPr>
        <w:t xml:space="preserve"> revenue inadequacies in Nigeria has brought concern of key actors in revenue generation. </w:t>
      </w:r>
      <w:r>
        <w:rPr>
          <w:rFonts w:ascii="Times New Roman" w:eastAsia="Calibri" w:hAnsi="Times New Roman"/>
          <w:sz w:val="24"/>
          <w:szCs w:val="24"/>
        </w:rPr>
        <w:t>The International Monetary Fund (IMF) presented a report on the global tax revenue collection indicating increase from 14.8% of GDP in 2005 to 15.2% of GDP in 2023, pointing out the growing importance of tax revenue in national economies. Despite this increase, tax assessment remains a significant challenge for taxpayers and tax authorities alike, due to the complexity of tax regulations, outdated tax systems, and the increasing volume of tax-related data (</w:t>
      </w:r>
      <w:r>
        <w:rPr>
          <w:rFonts w:ascii="Times New Roman" w:hAnsi="Times New Roman"/>
          <w:sz w:val="24"/>
          <w:szCs w:val="24"/>
        </w:rPr>
        <w:t xml:space="preserve">Jung, 2023). This gave rise to an urgent need to innovatively find ways to increase revenue collection for Nigeria. </w:t>
      </w:r>
    </w:p>
    <w:p w:rsidR="00E45E26" w:rsidRDefault="00A417CB" w:rsidP="00AE051B">
      <w:pPr>
        <w:spacing w:line="480" w:lineRule="auto"/>
        <w:contextualSpacing/>
        <w:jc w:val="both"/>
        <w:rPr>
          <w:rFonts w:ascii="Times New Roman" w:eastAsia="Calibri" w:hAnsi="Times New Roman"/>
          <w:sz w:val="24"/>
          <w:szCs w:val="24"/>
        </w:rPr>
      </w:pPr>
      <w:r>
        <w:rPr>
          <w:rFonts w:ascii="Times New Roman" w:hAnsi="Times New Roman"/>
          <w:sz w:val="24"/>
          <w:szCs w:val="24"/>
        </w:rPr>
        <w:t>There have been deliberate and continuous actions</w:t>
      </w:r>
      <w:r>
        <w:rPr>
          <w:rFonts w:ascii="Times New Roman" w:eastAsia="Calibri" w:hAnsi="Times New Roman"/>
          <w:sz w:val="24"/>
          <w:szCs w:val="24"/>
        </w:rPr>
        <w:t xml:space="preserve"> by various governments in Nigeria and its agencies to alter the existing tax laws and policies to positively impact on the tax administration and revenue collection process with minimal costs (</w:t>
      </w:r>
      <w:proofErr w:type="spellStart"/>
      <w:r>
        <w:rPr>
          <w:rFonts w:ascii="Times New Roman" w:eastAsia="Calibri" w:hAnsi="Times New Roman"/>
          <w:sz w:val="24"/>
          <w:szCs w:val="24"/>
        </w:rPr>
        <w:t>Udezo</w:t>
      </w:r>
      <w:proofErr w:type="spellEnd"/>
      <w:r>
        <w:rPr>
          <w:rFonts w:ascii="Times New Roman" w:eastAsia="Calibri" w:hAnsi="Times New Roman"/>
          <w:sz w:val="24"/>
          <w:szCs w:val="24"/>
        </w:rPr>
        <w:t xml:space="preserve"> &amp; </w:t>
      </w:r>
      <w:proofErr w:type="spellStart"/>
      <w:r>
        <w:rPr>
          <w:rFonts w:ascii="Times New Roman" w:eastAsia="Calibri" w:hAnsi="Times New Roman"/>
          <w:sz w:val="24"/>
          <w:szCs w:val="24"/>
        </w:rPr>
        <w:t>Onuora</w:t>
      </w:r>
      <w:proofErr w:type="spellEnd"/>
      <w:r>
        <w:rPr>
          <w:rFonts w:ascii="Times New Roman" w:eastAsia="Calibri" w:hAnsi="Times New Roman"/>
          <w:sz w:val="24"/>
          <w:szCs w:val="24"/>
        </w:rPr>
        <w:t>, 2021). A number of tax reforms have been carried out in Nigeria over the years with an ultimate goal of increasing public revenue generation. However, the contribution of tax revenue has not been encouraging, thus expectations of government are being cut short (</w:t>
      </w:r>
      <w:proofErr w:type="spellStart"/>
      <w:r>
        <w:rPr>
          <w:rFonts w:ascii="Times New Roman" w:eastAsia="Calibri" w:hAnsi="Times New Roman"/>
          <w:sz w:val="24"/>
          <w:szCs w:val="24"/>
        </w:rPr>
        <w:t>Tivde</w:t>
      </w:r>
      <w:proofErr w:type="spellEnd"/>
      <w:r>
        <w:rPr>
          <w:rFonts w:ascii="Times New Roman" w:eastAsia="Calibri" w:hAnsi="Times New Roman"/>
          <w:sz w:val="24"/>
          <w:szCs w:val="24"/>
        </w:rPr>
        <w:t>, 2024). Corruption, evasion, avoidance and tax haven indicators are strongly associated with low revenue (Attila et al., 2008).</w:t>
      </w:r>
    </w:p>
    <w:p w:rsidR="00E45E26" w:rsidRDefault="00A417CB" w:rsidP="00AE051B">
      <w:pPr>
        <w:spacing w:line="480" w:lineRule="auto"/>
        <w:contextualSpacing/>
        <w:jc w:val="both"/>
        <w:rPr>
          <w:rFonts w:ascii="Times New Roman" w:eastAsia="Calibri" w:hAnsi="Times New Roman"/>
          <w:sz w:val="24"/>
          <w:szCs w:val="24"/>
        </w:rPr>
      </w:pPr>
      <w:r>
        <w:rPr>
          <w:rFonts w:ascii="Times New Roman" w:hAnsi="Times New Roman" w:cs="Times New Roman"/>
          <w:sz w:val="24"/>
          <w:szCs w:val="24"/>
        </w:rPr>
        <w:t xml:space="preserve">In response to these challenges, the Nigerian government, through the Federal Inland Revenue Service in attempt to innovatively increase revenue performance of Nigeria introduced a digital self-assessment platform known as the Tax Pro-Max to further simplify tax administration, increase taxpayer compliance and enhance revenue collection efficiency in Nigeria. This initiative was launched as a comprehensive reform effort aimed at overhauling the existing tax framework to create a more efficient, transparent, and taxpayer-friendly system. </w:t>
      </w:r>
      <w:r>
        <w:rPr>
          <w:rFonts w:ascii="Times New Roman" w:eastAsia="Calibri" w:hAnsi="Times New Roman"/>
          <w:sz w:val="24"/>
          <w:szCs w:val="24"/>
        </w:rPr>
        <w:t xml:space="preserve">Tax Pro-Max enables seamless registration, filing, payment of taxes and </w:t>
      </w:r>
      <w:r>
        <w:rPr>
          <w:rFonts w:ascii="Times New Roman" w:eastAsia="Calibri" w:hAnsi="Times New Roman"/>
          <w:sz w:val="24"/>
          <w:szCs w:val="24"/>
        </w:rPr>
        <w:lastRenderedPageBreak/>
        <w:t>automatic credit of withholding tax as well as other credits to the taxpayer’s accounts among other features</w:t>
      </w:r>
      <w:r w:rsidR="00813036">
        <w:rPr>
          <w:rFonts w:ascii="Times New Roman" w:eastAsia="Calibri" w:hAnsi="Times New Roman"/>
          <w:sz w:val="24"/>
          <w:szCs w:val="24"/>
        </w:rPr>
        <w:t>.</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Since the implementation of the Tax Pro-Max Initiative, researchers such as </w:t>
      </w:r>
      <w:proofErr w:type="spellStart"/>
      <w:r>
        <w:rPr>
          <w:rFonts w:ascii="Times New Roman" w:hAnsi="Times New Roman" w:cs="Times New Roman"/>
          <w:sz w:val="24"/>
          <w:szCs w:val="24"/>
        </w:rPr>
        <w:t>Tivde</w:t>
      </w:r>
      <w:proofErr w:type="spellEnd"/>
      <w:r>
        <w:rPr>
          <w:rFonts w:ascii="Times New Roman" w:hAnsi="Times New Roman" w:cs="Times New Roman"/>
          <w:sz w:val="24"/>
          <w:szCs w:val="24"/>
        </w:rPr>
        <w:t xml:space="preserve"> (2024), Desi and </w:t>
      </w:r>
      <w:proofErr w:type="spellStart"/>
      <w:r>
        <w:rPr>
          <w:rFonts w:ascii="Times New Roman" w:hAnsi="Times New Roman" w:cs="Times New Roman"/>
          <w:sz w:val="24"/>
          <w:szCs w:val="24"/>
        </w:rPr>
        <w:t>Bingilar</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Obiora</w:t>
      </w:r>
      <w:proofErr w:type="spellEnd"/>
      <w:r>
        <w:rPr>
          <w:rFonts w:ascii="Times New Roman" w:hAnsi="Times New Roman" w:cs="Times New Roman"/>
          <w:sz w:val="24"/>
          <w:szCs w:val="24"/>
        </w:rPr>
        <w:t xml:space="preserve"> and Sunday (2021), have it that, there have been significant improvements in the country’s revenue performance. These improvements can be analyzed across several dimensions including growth in total tax revenue collection, increased compliance rate, and ability to track real-time data through the digital platform amongst others.</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The introduction of Tax Pro-Max has led to an increase in revenue gene</w:t>
      </w:r>
      <w:r w:rsidR="00F33A22">
        <w:rPr>
          <w:rFonts w:ascii="Times New Roman" w:hAnsi="Times New Roman" w:cs="Times New Roman"/>
          <w:sz w:val="24"/>
          <w:szCs w:val="24"/>
        </w:rPr>
        <w:t>rated from taxes</w:t>
      </w:r>
      <w:r>
        <w:rPr>
          <w:rFonts w:ascii="Times New Roman" w:hAnsi="Times New Roman" w:cs="Times New Roman"/>
          <w:sz w:val="24"/>
          <w:szCs w:val="24"/>
        </w:rPr>
        <w:t>. By simplifying the tax filing process and encouraging voluntary compliance, the government has witnessed a rise in the number of taxpayers submitting returns and paying their dues on time. Preliminary reports from the Federal Inland Revenue Service (FIRS) indicated a steady increase in tax revenue, with the digital platform reducing leakages and minimizing delays in processing payments.</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The ability to track real-time data through the digital platform has also enabled the FIRS to better identify sectors and individuals that were previously under-reported or non-compliant. As a result, the initiative has been instrumental in broadening the tax base, particularly targeting sectors in the informal economy that were historically difficult to tax.</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One of the most immediate benefits of the Tax Pro-Max Initiative has been a significant improvement in compliance rates. The ease of filing tax returns online, combined with the availability of mobile applications and automated reminders, has made tax payment more convenient for businesses and individuals. The system has reduced the administrative burden on taxpayers, allowing them to fulfill their obligations without having to physically visit tax offices. Additionally, the initiative offers incentives for timely and accurate tax submissions, </w:t>
      </w:r>
      <w:r>
        <w:rPr>
          <w:rFonts w:ascii="Times New Roman" w:hAnsi="Times New Roman" w:cs="Times New Roman"/>
          <w:sz w:val="24"/>
          <w:szCs w:val="24"/>
        </w:rPr>
        <w:lastRenderedPageBreak/>
        <w:t>further motivating taxpayers to comply. This has helped to create a culture of compliance that is expected to have long-term positive effects on Nigeria’s revenue performance.</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Prior to the implementation of Tax Pro-Max, tax evasion was a major obstacle to revenue collection in Nigeria. The lack of transparency in tax administration, coupled with inefficient enforcement mechanisms, allowed many individuals and businesses to under-report their income or avoid paying taxes altogether. The digitalization of tax processes under Tax Pro-Max has reduced opportunities for evasion by increasing transparency and accountability in tax administration.</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The Tax Pro-Max Initiative has also contributed to greater efficiency within the FIRS. The use of automation has streamlined administrative processes, reducing the time and cost of tax collection. The digital platform allows tax officials to process filings more quickly, reducing backlogs and improving response times. This, in turn, has freed up resources that can be redirected towards auditing and enforcement, further enhancing the effectiveness of tax administration.</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Tax Pro-Max is tax management software that provides an efficient and cost-effective solution to taxpayers, tax professionals, and government agencies, developed by Pro-Max Technologies Limited, to automate the tax assessment and collection process for businesses and individuals. </w:t>
      </w:r>
      <w:r>
        <w:rPr>
          <w:rFonts w:ascii="Times New Roman" w:hAnsi="Times New Roman" w:cs="Times New Roman"/>
          <w:sz w:val="24"/>
          <w:szCs w:val="24"/>
        </w:rPr>
        <w:t xml:space="preserve">Tax Pro-Max solution became the channel for filing all Naira-denominated tax returns on 7th June 2021, providing taxpayers with a more efficient and cost-effective means of </w:t>
      </w:r>
      <w:proofErr w:type="spellStart"/>
      <w:r>
        <w:rPr>
          <w:rFonts w:ascii="Times New Roman" w:hAnsi="Times New Roman" w:cs="Times New Roman"/>
          <w:sz w:val="24"/>
          <w:szCs w:val="24"/>
        </w:rPr>
        <w:t>self assessment</w:t>
      </w:r>
      <w:proofErr w:type="spellEnd"/>
      <w:r>
        <w:rPr>
          <w:rFonts w:ascii="Times New Roman" w:hAnsi="Times New Roman" w:cs="Times New Roman"/>
          <w:sz w:val="24"/>
          <w:szCs w:val="24"/>
        </w:rPr>
        <w:t>. However, it is essential to understand how effective Tax Pro-Max has been in achieving this goal.</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Tax Pro-Max Initiative has had a positive impact on Nigeria’s revenue performance, contributing to increased tax revenue, improved compliance rates, and enhanced efficiency in tax administration. By digitalizing tax processes and reducing opportunities for tax evasion, the initiative has broadened the country’s tax base and positioned the government to meet its </w:t>
      </w:r>
      <w:r>
        <w:rPr>
          <w:rFonts w:ascii="Times New Roman" w:hAnsi="Times New Roman" w:cs="Times New Roman"/>
          <w:sz w:val="24"/>
          <w:szCs w:val="24"/>
        </w:rPr>
        <w:lastRenderedPageBreak/>
        <w:t>revenue targets more effectively. However, for the initiative to achieve its full potential, ongoing efforts are needed to address challenges related to digital infrastructure, taxpayer education, and capacity building within tax administration agencies.</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This study was conducted to examine the effect of Tax Pro-Max solution on revenue performance in Nigeria, to provide valuable insights into the novel future policy decisions regarding Tax Pro-Max and revenue performance in Nigeria.</w:t>
      </w:r>
    </w:p>
    <w:p w:rsidR="00E45E26" w:rsidRDefault="00A417CB" w:rsidP="00AE051B">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Objective of the Study</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The objective of this study was to:</w:t>
      </w:r>
    </w:p>
    <w:p w:rsidR="00E45E26" w:rsidRDefault="00A417CB" w:rsidP="00AE051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examine the effect of tax pro-max initiative on revenue performance in Nigeria</w:t>
      </w:r>
    </w:p>
    <w:p w:rsidR="00E45E26" w:rsidRDefault="00A417CB" w:rsidP="00AE051B">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Hypothesis</w:t>
      </w:r>
    </w:p>
    <w:p w:rsidR="00E45E26" w:rsidRDefault="00A417CB" w:rsidP="00AE051B">
      <w:pPr>
        <w:spacing w:line="480" w:lineRule="auto"/>
        <w:ind w:left="1276" w:hanging="916"/>
        <w:contextualSpacing/>
        <w:jc w:val="both"/>
        <w:rPr>
          <w:rFonts w:ascii="Times New Roman" w:hAnsi="Times New Roman" w:cs="Times New Roman"/>
          <w:sz w:val="24"/>
          <w:szCs w:val="24"/>
        </w:rPr>
      </w:pPr>
      <w:r>
        <w:rPr>
          <w:rFonts w:ascii="Times New Roman" w:hAnsi="Times New Roman" w:cs="Times New Roman"/>
          <w:sz w:val="24"/>
          <w:szCs w:val="24"/>
        </w:rPr>
        <w:t>Ho1:</w:t>
      </w:r>
      <w:r>
        <w:rPr>
          <w:rFonts w:ascii="Times New Roman" w:hAnsi="Times New Roman" w:cs="Times New Roman"/>
          <w:sz w:val="24"/>
          <w:szCs w:val="24"/>
        </w:rPr>
        <w:tab/>
        <w:t>tax pro-max initiative has no significant influence on revenue performance in Nigeria</w:t>
      </w:r>
    </w:p>
    <w:p w:rsidR="00E45E26" w:rsidRDefault="00A417CB" w:rsidP="00AE051B">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Literature Review</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b/>
          <w:sz w:val="24"/>
          <w:szCs w:val="24"/>
        </w:rPr>
        <w:t>Concept of Revenue Performance</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Revenue performance refers to the outcome of revenue agencies’ efforts in collecting revenue for the government, measured as the total revenue collection for a period. Revenue performance is the economy, efficiency and effectiveness of revenue collection activities. It can be seen as the ability of revenue agencies to attain its goals by using resources in an efficient and effective manner. The main factors contributing to an improved revenue performance are changes in tax legislation, tax administration and minimal tax evasion (</w:t>
      </w:r>
      <w:proofErr w:type="spellStart"/>
      <w:r>
        <w:rPr>
          <w:rFonts w:ascii="Times New Roman" w:hAnsi="Times New Roman" w:cs="Times New Roman"/>
          <w:sz w:val="24"/>
          <w:szCs w:val="24"/>
        </w:rPr>
        <w:t>Morrisset</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Izquierdo</w:t>
      </w:r>
      <w:proofErr w:type="spellEnd"/>
      <w:r>
        <w:rPr>
          <w:rFonts w:ascii="Times New Roman" w:hAnsi="Times New Roman" w:cs="Times New Roman"/>
          <w:sz w:val="24"/>
          <w:szCs w:val="24"/>
        </w:rPr>
        <w:t>, 2003).</w:t>
      </w:r>
      <w:r w:rsidR="001F0DD1">
        <w:rPr>
          <w:rFonts w:ascii="Times New Roman" w:hAnsi="Times New Roman" w:cs="Times New Roman"/>
          <w:sz w:val="24"/>
          <w:szCs w:val="24"/>
        </w:rPr>
        <w:t xml:space="preserve"> </w:t>
      </w:r>
      <w:proofErr w:type="spellStart"/>
      <w:r w:rsidR="001F0DD1">
        <w:rPr>
          <w:rFonts w:ascii="Times New Roman" w:hAnsi="Times New Roman" w:cs="Times New Roman"/>
          <w:sz w:val="24"/>
          <w:szCs w:val="24"/>
        </w:rPr>
        <w:t>Oti</w:t>
      </w:r>
      <w:proofErr w:type="spellEnd"/>
      <w:r w:rsidR="001F0DD1">
        <w:rPr>
          <w:rFonts w:ascii="Times New Roman" w:hAnsi="Times New Roman" w:cs="Times New Roman"/>
          <w:sz w:val="24"/>
          <w:szCs w:val="24"/>
        </w:rPr>
        <w:t xml:space="preserve"> and </w:t>
      </w:r>
      <w:proofErr w:type="spellStart"/>
      <w:r w:rsidR="001F0DD1">
        <w:rPr>
          <w:rFonts w:ascii="Times New Roman" w:hAnsi="Times New Roman" w:cs="Times New Roman"/>
          <w:sz w:val="24"/>
          <w:szCs w:val="24"/>
        </w:rPr>
        <w:t>Odey</w:t>
      </w:r>
      <w:proofErr w:type="spellEnd"/>
      <w:r w:rsidR="001F0DD1">
        <w:rPr>
          <w:rFonts w:ascii="Times New Roman" w:hAnsi="Times New Roman" w:cs="Times New Roman"/>
          <w:sz w:val="24"/>
          <w:szCs w:val="24"/>
        </w:rPr>
        <w:t xml:space="preserve"> (2016)</w:t>
      </w:r>
      <w:r>
        <w:rPr>
          <w:rFonts w:ascii="Times New Roman" w:hAnsi="Times New Roman" w:cs="Times New Roman"/>
          <w:sz w:val="24"/>
          <w:szCs w:val="24"/>
        </w:rPr>
        <w:t xml:space="preserve"> noted that “the simple most important index to measure the performance and outcome of the recent tax reform is the improvement in revenue collection, particularly non-oil tax revenue”. Revenue collection serves as baseline for assessing the impact of the recent tax reform and restructuring of the Federal Inland Revenue Service (FIRS). Since the reform in 2004, tax revenue has been increasing on an </w:t>
      </w:r>
      <w:r>
        <w:rPr>
          <w:rFonts w:ascii="Times New Roman" w:hAnsi="Times New Roman" w:cs="Times New Roman"/>
          <w:sz w:val="24"/>
          <w:szCs w:val="24"/>
        </w:rPr>
        <w:lastRenderedPageBreak/>
        <w:t xml:space="preserve">average of 26% per annum. Today, the ratio of tax revenue to the GDP is at 7%. This however is dismal when compared with what is obtainable in emerging economies where the ratio lies between 15 and 20% </w:t>
      </w:r>
      <w:r w:rsidRPr="00215BB0">
        <w:rPr>
          <w:rFonts w:ascii="Times New Roman" w:hAnsi="Times New Roman" w:cs="Times New Roman"/>
          <w:sz w:val="24"/>
          <w:szCs w:val="24"/>
        </w:rPr>
        <w:t>(</w:t>
      </w:r>
      <w:proofErr w:type="spellStart"/>
      <w:r w:rsidRPr="00215BB0">
        <w:rPr>
          <w:rFonts w:ascii="Times New Roman" w:hAnsi="Times New Roman" w:cs="Times New Roman"/>
          <w:sz w:val="24"/>
          <w:szCs w:val="24"/>
        </w:rPr>
        <w:t>Okonjo</w:t>
      </w:r>
      <w:proofErr w:type="spellEnd"/>
      <w:r w:rsidRPr="00215BB0">
        <w:rPr>
          <w:rFonts w:ascii="Times New Roman" w:hAnsi="Times New Roman" w:cs="Times New Roman"/>
          <w:sz w:val="24"/>
          <w:szCs w:val="24"/>
        </w:rPr>
        <w:t>–</w:t>
      </w:r>
      <w:proofErr w:type="spellStart"/>
      <w:r w:rsidRPr="00215BB0">
        <w:rPr>
          <w:rFonts w:ascii="Times New Roman" w:hAnsi="Times New Roman" w:cs="Times New Roman"/>
          <w:sz w:val="24"/>
          <w:szCs w:val="24"/>
        </w:rPr>
        <w:t>Iweala</w:t>
      </w:r>
      <w:proofErr w:type="spellEnd"/>
      <w:r w:rsidRPr="00215BB0">
        <w:rPr>
          <w:rFonts w:ascii="Times New Roman" w:hAnsi="Times New Roman" w:cs="Times New Roman"/>
          <w:sz w:val="24"/>
          <w:szCs w:val="24"/>
        </w:rPr>
        <w:t>, 2012)</w:t>
      </w:r>
      <w:r>
        <w:rPr>
          <w:rFonts w:ascii="Times New Roman" w:hAnsi="Times New Roman" w:cs="Times New Roman"/>
          <w:sz w:val="24"/>
          <w:szCs w:val="24"/>
        </w:rPr>
        <w:t xml:space="preserve">. Revenue performance in any country is dependent on fiscal adjustment. </w:t>
      </w:r>
      <w:proofErr w:type="spellStart"/>
      <w:r>
        <w:rPr>
          <w:rFonts w:ascii="Times New Roman" w:hAnsi="Times New Roman" w:cs="Times New Roman"/>
          <w:sz w:val="24"/>
          <w:szCs w:val="24"/>
        </w:rPr>
        <w:t>Kusi</w:t>
      </w:r>
      <w:proofErr w:type="spellEnd"/>
      <w:r>
        <w:rPr>
          <w:rFonts w:ascii="Times New Roman" w:hAnsi="Times New Roman" w:cs="Times New Roman"/>
          <w:sz w:val="24"/>
          <w:szCs w:val="24"/>
        </w:rPr>
        <w:t xml:space="preserve"> (1998) noted that “the efficacy of any fiscal adjustment to accomplish fiscal obligations depends on the tax base or capacity relative to the expenditure requirements of the public sector. This fiscal position defining the ratio of capacity to requirements approximates the marginal benefits of public expenditures vis-à-vis marginal sacrifice of the citizenry.</w:t>
      </w:r>
    </w:p>
    <w:p w:rsidR="00E45E26" w:rsidRDefault="00A417CB" w:rsidP="00AE051B">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Tax Pro-Max</w:t>
      </w:r>
    </w:p>
    <w:p w:rsidR="00AB4600" w:rsidRDefault="00AB4600" w:rsidP="00AE051B">
      <w:pPr>
        <w:spacing w:line="480" w:lineRule="auto"/>
        <w:contextualSpacing/>
        <w:jc w:val="both"/>
        <w:rPr>
          <w:rFonts w:ascii="Times New Roman" w:hAnsi="Times New Roman" w:cs="Times New Roman"/>
          <w:sz w:val="24"/>
          <w:szCs w:val="24"/>
        </w:rPr>
      </w:pPr>
      <w:r w:rsidRPr="00AB4600">
        <w:rPr>
          <w:rFonts w:ascii="Times New Roman" w:hAnsi="Times New Roman" w:cs="Times New Roman"/>
          <w:sz w:val="24"/>
          <w:szCs w:val="24"/>
        </w:rPr>
        <w:t>Tax-Pro-Max refers to a professional-grade software or servi</w:t>
      </w:r>
      <w:r>
        <w:rPr>
          <w:rFonts w:ascii="Times New Roman" w:hAnsi="Times New Roman" w:cs="Times New Roman"/>
          <w:sz w:val="24"/>
          <w:szCs w:val="24"/>
        </w:rPr>
        <w:t xml:space="preserve">ce used for tax preparation and </w:t>
      </w:r>
      <w:r w:rsidRPr="00AB4600">
        <w:rPr>
          <w:rFonts w:ascii="Times New Roman" w:hAnsi="Times New Roman" w:cs="Times New Roman"/>
          <w:sz w:val="24"/>
          <w:szCs w:val="24"/>
        </w:rPr>
        <w:t>filing.</w:t>
      </w:r>
      <w:r>
        <w:rPr>
          <w:rFonts w:ascii="Times New Roman" w:hAnsi="Times New Roman" w:cs="Times New Roman"/>
          <w:sz w:val="24"/>
          <w:szCs w:val="24"/>
        </w:rPr>
        <w:t xml:space="preserve"> It is tax management software that provides an efficient and cost-effective solution to taxpayers, tax professionals, and government agencies, developed by Promax Technologies Limited, to automate the tax assessment and collection process for businesses and individuals </w:t>
      </w:r>
      <w:r w:rsidRPr="00426828">
        <w:rPr>
          <w:rFonts w:ascii="Times New Roman" w:hAnsi="Times New Roman" w:cs="Times New Roman"/>
          <w:sz w:val="24"/>
          <w:szCs w:val="24"/>
        </w:rPr>
        <w:t>(</w:t>
      </w:r>
      <w:proofErr w:type="spellStart"/>
      <w:r w:rsidRPr="00426828">
        <w:rPr>
          <w:rFonts w:ascii="Times New Roman" w:hAnsi="Times New Roman" w:cs="Times New Roman"/>
          <w:sz w:val="24"/>
          <w:szCs w:val="24"/>
        </w:rPr>
        <w:t>Yeye</w:t>
      </w:r>
      <w:proofErr w:type="spellEnd"/>
      <w:r w:rsidRPr="00426828">
        <w:rPr>
          <w:rFonts w:ascii="Times New Roman" w:hAnsi="Times New Roman" w:cs="Times New Roman"/>
          <w:sz w:val="24"/>
          <w:szCs w:val="24"/>
        </w:rPr>
        <w:t xml:space="preserve"> &amp; </w:t>
      </w:r>
      <w:proofErr w:type="spellStart"/>
      <w:r w:rsidRPr="00426828">
        <w:rPr>
          <w:rFonts w:ascii="Times New Roman" w:hAnsi="Times New Roman" w:cs="Times New Roman"/>
          <w:sz w:val="24"/>
          <w:szCs w:val="24"/>
        </w:rPr>
        <w:t>Ologhodo</w:t>
      </w:r>
      <w:proofErr w:type="spellEnd"/>
      <w:r w:rsidRPr="00426828">
        <w:rPr>
          <w:rFonts w:ascii="Times New Roman" w:hAnsi="Times New Roman" w:cs="Times New Roman"/>
          <w:sz w:val="24"/>
          <w:szCs w:val="24"/>
        </w:rPr>
        <w:t>, 2024)</w:t>
      </w:r>
      <w:r>
        <w:rPr>
          <w:rFonts w:ascii="Times New Roman" w:hAnsi="Times New Roman" w:cs="Times New Roman"/>
          <w:sz w:val="24"/>
          <w:szCs w:val="24"/>
        </w:rPr>
        <w:t xml:space="preserve">. </w:t>
      </w:r>
    </w:p>
    <w:p w:rsidR="00E45E26" w:rsidRDefault="00AB4600" w:rsidP="00AE051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Tax Pro-Max is the latest </w:t>
      </w:r>
      <w:r w:rsidRPr="00AB4600">
        <w:rPr>
          <w:rFonts w:ascii="Times New Roman" w:hAnsi="Times New Roman" w:cs="Times New Roman"/>
          <w:sz w:val="24"/>
          <w:szCs w:val="24"/>
        </w:rPr>
        <w:t xml:space="preserve">automated tax administration solution </w:t>
      </w:r>
      <w:r>
        <w:rPr>
          <w:rFonts w:ascii="Times New Roman" w:hAnsi="Times New Roman" w:cs="Times New Roman"/>
          <w:sz w:val="24"/>
          <w:szCs w:val="24"/>
        </w:rPr>
        <w:t xml:space="preserve">in Nigeria which is promoted by FIRS with its portal opened </w:t>
      </w:r>
      <w:r w:rsidRPr="00AB4600">
        <w:rPr>
          <w:rFonts w:ascii="Times New Roman" w:hAnsi="Times New Roman" w:cs="Times New Roman"/>
          <w:sz w:val="24"/>
          <w:szCs w:val="24"/>
        </w:rPr>
        <w:t>on 7th of June, 2021 displaying more features and capabilities</w:t>
      </w:r>
      <w:r>
        <w:rPr>
          <w:rFonts w:ascii="Times New Roman" w:hAnsi="Times New Roman" w:cs="Times New Roman"/>
          <w:sz w:val="24"/>
          <w:szCs w:val="24"/>
        </w:rPr>
        <w:t>. (</w:t>
      </w:r>
      <w:hyperlink r:id="rId7" w:history="1">
        <w:r>
          <w:rPr>
            <w:rStyle w:val="Hyperlink"/>
            <w:rFonts w:ascii="Times New Roman" w:hAnsi="Times New Roman" w:cs="Times New Roman"/>
            <w:sz w:val="24"/>
            <w:szCs w:val="24"/>
          </w:rPr>
          <w:t>http://www.taxpromax.firs.gov.ng/</w:t>
        </w:r>
      </w:hyperlink>
      <w:r>
        <w:rPr>
          <w:rFonts w:ascii="Times New Roman" w:hAnsi="Times New Roman" w:cs="Times New Roman"/>
          <w:sz w:val="24"/>
          <w:szCs w:val="24"/>
        </w:rPr>
        <w:t>).</w:t>
      </w:r>
      <w:r w:rsidRPr="00AB4600">
        <w:rPr>
          <w:rFonts w:ascii="Times New Roman" w:hAnsi="Times New Roman" w:cs="Times New Roman"/>
          <w:sz w:val="24"/>
          <w:szCs w:val="24"/>
        </w:rPr>
        <w:t xml:space="preserve"> The application was launched following the provisions of the</w:t>
      </w:r>
      <w:r>
        <w:rPr>
          <w:rFonts w:ascii="Times New Roman" w:hAnsi="Times New Roman" w:cs="Times New Roman"/>
          <w:sz w:val="24"/>
          <w:szCs w:val="24"/>
        </w:rPr>
        <w:t xml:space="preserve"> Finance Act 2020 that empowers </w:t>
      </w:r>
      <w:r w:rsidRPr="00AB4600">
        <w:rPr>
          <w:rFonts w:ascii="Times New Roman" w:hAnsi="Times New Roman" w:cs="Times New Roman"/>
          <w:sz w:val="24"/>
          <w:szCs w:val="24"/>
        </w:rPr>
        <w:t xml:space="preserve">FIRS to automate tax return filing and payment processes. It is adjudged as a one-stop online tax administration platform offering taxpayers the opportunity to </w:t>
      </w:r>
      <w:r>
        <w:rPr>
          <w:rFonts w:ascii="Times New Roman" w:hAnsi="Times New Roman" w:cs="Times New Roman"/>
          <w:sz w:val="24"/>
          <w:szCs w:val="24"/>
        </w:rPr>
        <w:t xml:space="preserve">register, file, returns, remits </w:t>
      </w:r>
      <w:r w:rsidRPr="00AB4600">
        <w:rPr>
          <w:rFonts w:ascii="Times New Roman" w:hAnsi="Times New Roman" w:cs="Times New Roman"/>
          <w:sz w:val="24"/>
          <w:szCs w:val="24"/>
        </w:rPr>
        <w:t>taxes, carry out assessments and keep track of tax obligati</w:t>
      </w:r>
      <w:r>
        <w:rPr>
          <w:rFonts w:ascii="Times New Roman" w:hAnsi="Times New Roman" w:cs="Times New Roman"/>
          <w:sz w:val="24"/>
          <w:szCs w:val="24"/>
        </w:rPr>
        <w:t xml:space="preserve">ons. Taxpayers will also manage </w:t>
      </w:r>
      <w:r w:rsidRPr="00AB4600">
        <w:rPr>
          <w:rFonts w:ascii="Times New Roman" w:hAnsi="Times New Roman" w:cs="Times New Roman"/>
          <w:sz w:val="24"/>
          <w:szCs w:val="24"/>
        </w:rPr>
        <w:t>withholding tax deductions, manage capital allowance a</w:t>
      </w:r>
      <w:r>
        <w:rPr>
          <w:rFonts w:ascii="Times New Roman" w:hAnsi="Times New Roman" w:cs="Times New Roman"/>
          <w:sz w:val="24"/>
          <w:szCs w:val="24"/>
        </w:rPr>
        <w:t xml:space="preserve">nd loss, download tax clearance </w:t>
      </w:r>
      <w:r w:rsidRPr="00AB4600">
        <w:rPr>
          <w:rFonts w:ascii="Times New Roman" w:hAnsi="Times New Roman" w:cs="Times New Roman"/>
          <w:sz w:val="24"/>
          <w:szCs w:val="24"/>
        </w:rPr>
        <w:t>certificate and communicate with the FIRS on tax issues amon</w:t>
      </w:r>
      <w:r>
        <w:rPr>
          <w:rFonts w:ascii="Times New Roman" w:hAnsi="Times New Roman" w:cs="Times New Roman"/>
          <w:sz w:val="24"/>
          <w:szCs w:val="24"/>
        </w:rPr>
        <w:t xml:space="preserve">g other services. Taxpayers can </w:t>
      </w:r>
      <w:r w:rsidRPr="00AB4600">
        <w:rPr>
          <w:rFonts w:ascii="Times New Roman" w:hAnsi="Times New Roman" w:cs="Times New Roman"/>
          <w:sz w:val="24"/>
          <w:szCs w:val="24"/>
        </w:rPr>
        <w:t>access the portal by registering which allow them get log-in de</w:t>
      </w:r>
      <w:r>
        <w:rPr>
          <w:rFonts w:ascii="Times New Roman" w:hAnsi="Times New Roman" w:cs="Times New Roman"/>
          <w:sz w:val="24"/>
          <w:szCs w:val="24"/>
        </w:rPr>
        <w:t xml:space="preserve">tails subsequently required for </w:t>
      </w:r>
      <w:r w:rsidRPr="00AB4600">
        <w:rPr>
          <w:rFonts w:ascii="Times New Roman" w:hAnsi="Times New Roman" w:cs="Times New Roman"/>
          <w:sz w:val="24"/>
          <w:szCs w:val="24"/>
        </w:rPr>
        <w:t xml:space="preserve">filing returns. These tools are </w:t>
      </w:r>
      <w:r w:rsidRPr="00AB4600">
        <w:rPr>
          <w:rFonts w:ascii="Times New Roman" w:hAnsi="Times New Roman" w:cs="Times New Roman"/>
          <w:sz w:val="24"/>
          <w:szCs w:val="24"/>
        </w:rPr>
        <w:lastRenderedPageBreak/>
        <w:t>designed to assist individuals, businesses, and tax professional</w:t>
      </w:r>
      <w:r>
        <w:rPr>
          <w:rFonts w:ascii="Times New Roman" w:hAnsi="Times New Roman" w:cs="Times New Roman"/>
          <w:sz w:val="24"/>
          <w:szCs w:val="24"/>
        </w:rPr>
        <w:t xml:space="preserve">s </w:t>
      </w:r>
      <w:r w:rsidRPr="00AB4600">
        <w:rPr>
          <w:rFonts w:ascii="Times New Roman" w:hAnsi="Times New Roman" w:cs="Times New Roman"/>
          <w:sz w:val="24"/>
          <w:szCs w:val="24"/>
        </w:rPr>
        <w:t xml:space="preserve">in managing and filing taxes accurately and efficiently. </w:t>
      </w:r>
    </w:p>
    <w:p w:rsidR="00E45E26" w:rsidRDefault="00A417CB" w:rsidP="00AE051B">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Taxpayer Compliance</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Taxpayers' compliance refers to the degree to which taxpayers fulfill their tax obligations in accordance with the tax laws of a country. In Nigeria, compliance has historically been a significant challenge due to various socio-economic, cultural, and systemic factors. Improving compliance is a critical goal for the Nigerian government as it seeks to boost its non-oil revenue sources to fund public services, infrastructure, and economic development.</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Recent reforms, such as the 2017 National Tax Policy (NTP), have focused on creating a fairer, simpler, and more efficient tax system. The government has also taken steps to streamline and harmonize taxes, particularly by encouraging the use of digital platforms for tax filing and payment. This </w:t>
      </w:r>
      <w:proofErr w:type="gramStart"/>
      <w:r>
        <w:rPr>
          <w:rFonts w:ascii="Times New Roman" w:hAnsi="Times New Roman" w:cs="Times New Roman"/>
          <w:sz w:val="24"/>
          <w:szCs w:val="24"/>
        </w:rPr>
        <w:t>lead</w:t>
      </w:r>
      <w:proofErr w:type="gramEnd"/>
      <w:r>
        <w:rPr>
          <w:rFonts w:ascii="Times New Roman" w:hAnsi="Times New Roman" w:cs="Times New Roman"/>
          <w:sz w:val="24"/>
          <w:szCs w:val="24"/>
        </w:rPr>
        <w:t xml:space="preserve"> to the introduction of VAIDS and Tax Pro-Max to boast revenue generation. VAIDS was launched by the government as a tax amnesty program, allowing Nigerians with previously undeclared income and assets to voluntarily declare and pay taxes owed without facing penalties. The scheme was aimed at increasing tax revenue and encouraging compliance.</w:t>
      </w:r>
    </w:p>
    <w:p w:rsidR="00E45E26" w:rsidRDefault="00A417CB" w:rsidP="00AE051B">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Revenue Collection Efficiency</w:t>
      </w:r>
    </w:p>
    <w:p w:rsidR="00E45E26" w:rsidRDefault="00A417CB" w:rsidP="00AE051B">
      <w:pPr>
        <w:spacing w:line="480" w:lineRule="auto"/>
        <w:jc w:val="both"/>
        <w:rPr>
          <w:rFonts w:ascii="Times New Roman" w:hAnsi="Times New Roman" w:cs="Times New Roman"/>
          <w:sz w:val="24"/>
          <w:szCs w:val="24"/>
        </w:rPr>
      </w:pPr>
      <w:r>
        <w:rPr>
          <w:rFonts w:ascii="Times New Roman" w:hAnsi="Times New Roman" w:cs="Times New Roman"/>
          <w:sz w:val="24"/>
          <w:szCs w:val="24"/>
        </w:rPr>
        <w:t>Revenue collection efficiency refers to the ability of governments or organizations to collect the maximum possible revenues in a timely, cost-effective, and equitable manner. It is a critical component of public financial management, as effective revenue collection supports economic stability, ensures the provision of public goods and services, and helps reduce fiscal deficits. Achieving revenue collection efficiency involves minimizing collection costs, reducing leakages and evasion, and maintaining a fair system that encourages compliance (</w:t>
      </w:r>
      <w:proofErr w:type="spellStart"/>
      <w:r>
        <w:rPr>
          <w:rFonts w:ascii="Times New Roman" w:hAnsi="Times New Roman" w:cs="Times New Roman"/>
          <w:sz w:val="24"/>
          <w:szCs w:val="24"/>
        </w:rPr>
        <w:t>Pîrvuț</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Ciuhureanu</w:t>
      </w:r>
      <w:proofErr w:type="spellEnd"/>
      <w:r>
        <w:rPr>
          <w:rFonts w:ascii="Times New Roman" w:hAnsi="Times New Roman" w:cs="Times New Roman"/>
          <w:sz w:val="24"/>
          <w:szCs w:val="24"/>
        </w:rPr>
        <w:t xml:space="preserve">, 2020). Efficient revenue collection systems are vital for sustaining government functions and promoting economic development. While challenges persist, </w:t>
      </w:r>
      <w:r>
        <w:rPr>
          <w:rFonts w:ascii="Times New Roman" w:hAnsi="Times New Roman" w:cs="Times New Roman"/>
          <w:sz w:val="24"/>
          <w:szCs w:val="24"/>
        </w:rPr>
        <w:lastRenderedPageBreak/>
        <w:t xml:space="preserve">adopting modern technology, streamlining processes, and fostering public trust can significantly enhance revenue collection efficiency. Countries that prioritize these strategies are better positioned to achieve fiscal sustainability and </w:t>
      </w:r>
      <w:r w:rsidR="00BF4E19">
        <w:rPr>
          <w:rFonts w:ascii="Times New Roman" w:hAnsi="Times New Roman" w:cs="Times New Roman"/>
          <w:sz w:val="24"/>
          <w:szCs w:val="24"/>
        </w:rPr>
        <w:t>socio-economic growth (IMF, 2024</w:t>
      </w:r>
      <w:r>
        <w:rPr>
          <w:rFonts w:ascii="Times New Roman" w:hAnsi="Times New Roman" w:cs="Times New Roman"/>
          <w:sz w:val="24"/>
          <w:szCs w:val="24"/>
        </w:rPr>
        <w:t>).</w:t>
      </w:r>
    </w:p>
    <w:p w:rsidR="00E45E26" w:rsidRDefault="00A417CB" w:rsidP="00AE051B">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Empirical Review</w:t>
      </w:r>
    </w:p>
    <w:p w:rsidR="00385F61" w:rsidRDefault="00385F61" w:rsidP="00AE051B">
      <w:pPr>
        <w:spacing w:line="480" w:lineRule="auto"/>
        <w:contextualSpacing/>
        <w:jc w:val="both"/>
        <w:rPr>
          <w:rFonts w:ascii="Times New Roman" w:hAnsi="Times New Roman" w:cs="Times New Roman"/>
          <w:sz w:val="24"/>
          <w:szCs w:val="24"/>
        </w:rPr>
      </w:pPr>
      <w:r w:rsidRPr="00385F61">
        <w:rPr>
          <w:rFonts w:ascii="Times New Roman" w:hAnsi="Times New Roman" w:cs="Times New Roman"/>
          <w:sz w:val="24"/>
          <w:szCs w:val="24"/>
        </w:rPr>
        <w:t xml:space="preserve">Doka et al. (2025) study investigated the moderating effect of taxpayer awareness </w:t>
      </w:r>
      <w:r>
        <w:rPr>
          <w:rFonts w:ascii="Times New Roman" w:hAnsi="Times New Roman" w:cs="Times New Roman"/>
          <w:sz w:val="24"/>
          <w:szCs w:val="24"/>
        </w:rPr>
        <w:t xml:space="preserve">on the relationship between the </w:t>
      </w:r>
      <w:r w:rsidRPr="00385F61">
        <w:rPr>
          <w:rFonts w:ascii="Times New Roman" w:hAnsi="Times New Roman" w:cs="Times New Roman"/>
          <w:sz w:val="24"/>
          <w:szCs w:val="24"/>
        </w:rPr>
        <w:t>introduction of Tax-Pro-Max and Federal Inland Revenue Se</w:t>
      </w:r>
      <w:r>
        <w:rPr>
          <w:rFonts w:ascii="Times New Roman" w:hAnsi="Times New Roman" w:cs="Times New Roman"/>
          <w:sz w:val="24"/>
          <w:szCs w:val="24"/>
        </w:rPr>
        <w:t xml:space="preserve">rvice (FIRS) tax remittances in </w:t>
      </w:r>
      <w:r w:rsidRPr="00385F61">
        <w:rPr>
          <w:rFonts w:ascii="Times New Roman" w:hAnsi="Times New Roman" w:cs="Times New Roman"/>
          <w:sz w:val="24"/>
          <w:szCs w:val="24"/>
        </w:rPr>
        <w:t>Nigeria. Tax-Pro-Max, a new tax administration system,</w:t>
      </w:r>
      <w:r>
        <w:rPr>
          <w:rFonts w:ascii="Times New Roman" w:hAnsi="Times New Roman" w:cs="Times New Roman"/>
          <w:sz w:val="24"/>
          <w:szCs w:val="24"/>
        </w:rPr>
        <w:t xml:space="preserve"> was implemented to enhance tax </w:t>
      </w:r>
      <w:r w:rsidRPr="00385F61">
        <w:rPr>
          <w:rFonts w:ascii="Times New Roman" w:hAnsi="Times New Roman" w:cs="Times New Roman"/>
          <w:sz w:val="24"/>
          <w:szCs w:val="24"/>
        </w:rPr>
        <w:t>collection and compliance. However, the effectiveness of su</w:t>
      </w:r>
      <w:r>
        <w:rPr>
          <w:rFonts w:ascii="Times New Roman" w:hAnsi="Times New Roman" w:cs="Times New Roman"/>
          <w:sz w:val="24"/>
          <w:szCs w:val="24"/>
        </w:rPr>
        <w:t xml:space="preserve">ch systems can be significantly </w:t>
      </w:r>
      <w:r w:rsidRPr="00385F61">
        <w:rPr>
          <w:rFonts w:ascii="Times New Roman" w:hAnsi="Times New Roman" w:cs="Times New Roman"/>
          <w:sz w:val="24"/>
          <w:szCs w:val="24"/>
        </w:rPr>
        <w:t xml:space="preserve">influenced by the level of taxpayer awareness. This </w:t>
      </w:r>
      <w:r>
        <w:rPr>
          <w:rFonts w:ascii="Times New Roman" w:hAnsi="Times New Roman" w:cs="Times New Roman"/>
          <w:sz w:val="24"/>
          <w:szCs w:val="24"/>
        </w:rPr>
        <w:t xml:space="preserve">research employs a mixed method </w:t>
      </w:r>
      <w:r w:rsidRPr="00385F61">
        <w:rPr>
          <w:rFonts w:ascii="Times New Roman" w:hAnsi="Times New Roman" w:cs="Times New Roman"/>
          <w:sz w:val="24"/>
          <w:szCs w:val="24"/>
        </w:rPr>
        <w:t>comprising of quantitative approach, utilizing pre- and post</w:t>
      </w:r>
      <w:r>
        <w:rPr>
          <w:rFonts w:ascii="Times New Roman" w:hAnsi="Times New Roman" w:cs="Times New Roman"/>
          <w:sz w:val="24"/>
          <w:szCs w:val="24"/>
        </w:rPr>
        <w:t xml:space="preserve">- introduction data on FIRS tax </w:t>
      </w:r>
      <w:r w:rsidRPr="00385F61">
        <w:rPr>
          <w:rFonts w:ascii="Times New Roman" w:hAnsi="Times New Roman" w:cs="Times New Roman"/>
          <w:sz w:val="24"/>
          <w:szCs w:val="24"/>
        </w:rPr>
        <w:t>remittances, and a qualitative data secured from measur</w:t>
      </w:r>
      <w:r>
        <w:rPr>
          <w:rFonts w:ascii="Times New Roman" w:hAnsi="Times New Roman" w:cs="Times New Roman"/>
          <w:sz w:val="24"/>
          <w:szCs w:val="24"/>
        </w:rPr>
        <w:t xml:space="preserve">es of taxpayer awareness levels </w:t>
      </w:r>
      <w:r w:rsidRPr="00385F61">
        <w:rPr>
          <w:rFonts w:ascii="Times New Roman" w:hAnsi="Times New Roman" w:cs="Times New Roman"/>
          <w:sz w:val="24"/>
          <w:szCs w:val="24"/>
        </w:rPr>
        <w:t>obtained through surveys. Least Square regression analysis wi</w:t>
      </w:r>
      <w:r>
        <w:rPr>
          <w:rFonts w:ascii="Times New Roman" w:hAnsi="Times New Roman" w:cs="Times New Roman"/>
          <w:sz w:val="24"/>
          <w:szCs w:val="24"/>
        </w:rPr>
        <w:t xml:space="preserve">th interaction terms is used to </w:t>
      </w:r>
      <w:r w:rsidRPr="00385F61">
        <w:rPr>
          <w:rFonts w:ascii="Times New Roman" w:hAnsi="Times New Roman" w:cs="Times New Roman"/>
          <w:sz w:val="24"/>
          <w:szCs w:val="24"/>
        </w:rPr>
        <w:t>test the hypothesis that taxpayer awareness moderates the ef</w:t>
      </w:r>
      <w:r>
        <w:rPr>
          <w:rFonts w:ascii="Times New Roman" w:hAnsi="Times New Roman" w:cs="Times New Roman"/>
          <w:sz w:val="24"/>
          <w:szCs w:val="24"/>
        </w:rPr>
        <w:t xml:space="preserve">fect of Tax-Pro-Max on FIRS tax </w:t>
      </w:r>
      <w:r w:rsidRPr="00385F61">
        <w:rPr>
          <w:rFonts w:ascii="Times New Roman" w:hAnsi="Times New Roman" w:cs="Times New Roman"/>
          <w:sz w:val="24"/>
          <w:szCs w:val="24"/>
        </w:rPr>
        <w:t>remittances. The results indicate that higher levels of taxpayer</w:t>
      </w:r>
      <w:r>
        <w:rPr>
          <w:rFonts w:ascii="Times New Roman" w:hAnsi="Times New Roman" w:cs="Times New Roman"/>
          <w:sz w:val="24"/>
          <w:szCs w:val="24"/>
        </w:rPr>
        <w:t xml:space="preserve"> awareness amplify the positive </w:t>
      </w:r>
      <w:r w:rsidRPr="00385F61">
        <w:rPr>
          <w:rFonts w:ascii="Times New Roman" w:hAnsi="Times New Roman" w:cs="Times New Roman"/>
          <w:sz w:val="24"/>
          <w:szCs w:val="24"/>
        </w:rPr>
        <w:t>effect of Tax-Pro-Max on FIRS tax remittances, suggesting that well-informed t</w:t>
      </w:r>
      <w:r>
        <w:rPr>
          <w:rFonts w:ascii="Times New Roman" w:hAnsi="Times New Roman" w:cs="Times New Roman"/>
          <w:sz w:val="24"/>
          <w:szCs w:val="24"/>
        </w:rPr>
        <w:t xml:space="preserve">axpayers are </w:t>
      </w:r>
      <w:r w:rsidRPr="00385F61">
        <w:rPr>
          <w:rFonts w:ascii="Times New Roman" w:hAnsi="Times New Roman" w:cs="Times New Roman"/>
          <w:sz w:val="24"/>
          <w:szCs w:val="24"/>
        </w:rPr>
        <w:t>more likely to comply and effectively use the new system.</w:t>
      </w:r>
    </w:p>
    <w:p w:rsidR="00385F61" w:rsidRDefault="00385F61" w:rsidP="00AE051B">
      <w:pPr>
        <w:spacing w:line="480" w:lineRule="auto"/>
        <w:contextualSpacing/>
        <w:jc w:val="both"/>
        <w:rPr>
          <w:rFonts w:ascii="Times New Roman" w:hAnsi="Times New Roman" w:cs="Times New Roman"/>
          <w:sz w:val="24"/>
          <w:szCs w:val="24"/>
        </w:rPr>
      </w:pPr>
    </w:p>
    <w:p w:rsidR="00E45E26" w:rsidRDefault="00A417CB" w:rsidP="00AE051B">
      <w:pPr>
        <w:spacing w:line="48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Tivde</w:t>
      </w:r>
      <w:proofErr w:type="spellEnd"/>
      <w:r>
        <w:rPr>
          <w:rFonts w:ascii="Times New Roman" w:hAnsi="Times New Roman" w:cs="Times New Roman"/>
          <w:sz w:val="24"/>
          <w:szCs w:val="24"/>
        </w:rPr>
        <w:t xml:space="preserve"> (2024) examined effect of e-taxation on revenue generation in Nigeria. The general research framework adopted was the ex-post facto research design. Data were sourced from the quarterly reports of the Federal Inland Revenue Service covering 40 quarters, spanning from second quarter of 2010 to first quarter of 2021 for pre- and post-electronic taxation. This study employed t-test technique as the procedure of data analysis and descriptive statistic for comparison of means with the aid of SPSS version 23 as a tool for data analysis. The study found a higher positive mean difference in pre and post e-tax collection, </w:t>
      </w:r>
      <w:r>
        <w:rPr>
          <w:rFonts w:ascii="Times New Roman" w:hAnsi="Times New Roman" w:cs="Times New Roman"/>
          <w:color w:val="000000"/>
          <w:sz w:val="24"/>
          <w:szCs w:val="24"/>
        </w:rPr>
        <w:t xml:space="preserve">implying that total tax revenue collection statistically increased after introduction of electronic taxation platform </w:t>
      </w:r>
      <w:r>
        <w:rPr>
          <w:rFonts w:ascii="Times New Roman" w:hAnsi="Times New Roman" w:cs="Times New Roman"/>
          <w:color w:val="000000"/>
          <w:sz w:val="24"/>
          <w:szCs w:val="24"/>
        </w:rPr>
        <w:lastRenderedPageBreak/>
        <w:t xml:space="preserve">in Nigeria. It was therefore concluded that </w:t>
      </w:r>
      <w:r>
        <w:rPr>
          <w:rFonts w:ascii="Times New Roman" w:hAnsi="Times New Roman" w:cs="Times New Roman"/>
          <w:sz w:val="24"/>
          <w:szCs w:val="24"/>
        </w:rPr>
        <w:t>e-taxation payment system has significant effect on Revenue Generation in Nigeria.</w:t>
      </w:r>
    </w:p>
    <w:p w:rsidR="00E56C41" w:rsidRDefault="00E56C41" w:rsidP="00AE051B">
      <w:pPr>
        <w:spacing w:line="480" w:lineRule="auto"/>
        <w:contextualSpacing/>
        <w:jc w:val="both"/>
        <w:rPr>
          <w:rFonts w:ascii="Times New Roman" w:hAnsi="Times New Roman" w:cs="Times New Roman"/>
          <w:sz w:val="24"/>
          <w:szCs w:val="24"/>
        </w:rPr>
      </w:pPr>
      <w:proofErr w:type="spellStart"/>
      <w:r w:rsidRPr="00E56C41">
        <w:rPr>
          <w:rFonts w:ascii="Times New Roman" w:hAnsi="Times New Roman" w:cs="Times New Roman"/>
          <w:sz w:val="24"/>
          <w:szCs w:val="24"/>
        </w:rPr>
        <w:t>Yeye</w:t>
      </w:r>
      <w:proofErr w:type="spellEnd"/>
      <w:r w:rsidRPr="00E56C41">
        <w:rPr>
          <w:rFonts w:ascii="Times New Roman" w:hAnsi="Times New Roman" w:cs="Times New Roman"/>
          <w:sz w:val="24"/>
          <w:szCs w:val="24"/>
        </w:rPr>
        <w:t xml:space="preserve"> and </w:t>
      </w:r>
      <w:proofErr w:type="spellStart"/>
      <w:r w:rsidRPr="00E56C41">
        <w:rPr>
          <w:rFonts w:ascii="Times New Roman" w:hAnsi="Times New Roman" w:cs="Times New Roman"/>
          <w:sz w:val="24"/>
          <w:szCs w:val="24"/>
        </w:rPr>
        <w:t>Ologhodo</w:t>
      </w:r>
      <w:proofErr w:type="spellEnd"/>
      <w:r w:rsidRPr="00E56C41">
        <w:rPr>
          <w:rFonts w:ascii="Times New Roman" w:hAnsi="Times New Roman" w:cs="Times New Roman"/>
          <w:sz w:val="24"/>
          <w:szCs w:val="24"/>
        </w:rPr>
        <w:t xml:space="preserve"> (2024) examined the implication of FIRS </w:t>
      </w:r>
      <w:proofErr w:type="spellStart"/>
      <w:r w:rsidRPr="00E56C41">
        <w:rPr>
          <w:rFonts w:ascii="Times New Roman" w:hAnsi="Times New Roman" w:cs="Times New Roman"/>
          <w:sz w:val="24"/>
          <w:szCs w:val="24"/>
        </w:rPr>
        <w:t>TaxPro</w:t>
      </w:r>
      <w:proofErr w:type="spellEnd"/>
      <w:r w:rsidRPr="00E56C41">
        <w:rPr>
          <w:rFonts w:ascii="Times New Roman" w:hAnsi="Times New Roman" w:cs="Times New Roman"/>
          <w:sz w:val="24"/>
          <w:szCs w:val="24"/>
        </w:rPr>
        <w:t xml:space="preserve"> Max in tax filing and tax payments. The study identifies the challenges experienced in using FIRS </w:t>
      </w:r>
      <w:proofErr w:type="spellStart"/>
      <w:r w:rsidRPr="00E56C41">
        <w:rPr>
          <w:rFonts w:ascii="Times New Roman" w:hAnsi="Times New Roman" w:cs="Times New Roman"/>
          <w:sz w:val="24"/>
          <w:szCs w:val="24"/>
        </w:rPr>
        <w:t>TaxPro</w:t>
      </w:r>
      <w:proofErr w:type="spellEnd"/>
      <w:r w:rsidRPr="00E56C41">
        <w:rPr>
          <w:rFonts w:ascii="Times New Roman" w:hAnsi="Times New Roman" w:cs="Times New Roman"/>
          <w:sz w:val="24"/>
          <w:szCs w:val="24"/>
        </w:rPr>
        <w:t xml:space="preserve"> Max for tax filing and payment. The study adopted a survey research design, and the population comprised of FIRS staff and SMEs in the </w:t>
      </w:r>
      <w:proofErr w:type="spellStart"/>
      <w:r w:rsidRPr="00E56C41">
        <w:rPr>
          <w:rFonts w:ascii="Times New Roman" w:hAnsi="Times New Roman" w:cs="Times New Roman"/>
          <w:sz w:val="24"/>
          <w:szCs w:val="24"/>
        </w:rPr>
        <w:t>Awka</w:t>
      </w:r>
      <w:proofErr w:type="spellEnd"/>
      <w:r w:rsidRPr="00E56C41">
        <w:rPr>
          <w:rFonts w:ascii="Times New Roman" w:hAnsi="Times New Roman" w:cs="Times New Roman"/>
          <w:sz w:val="24"/>
          <w:szCs w:val="24"/>
        </w:rPr>
        <w:t xml:space="preserve"> metropolis. The final useable questionnaire </w:t>
      </w:r>
      <w:proofErr w:type="gramStart"/>
      <w:r w:rsidRPr="00E56C41">
        <w:rPr>
          <w:rFonts w:ascii="Times New Roman" w:hAnsi="Times New Roman" w:cs="Times New Roman"/>
          <w:sz w:val="24"/>
          <w:szCs w:val="24"/>
        </w:rPr>
        <w:t>were</w:t>
      </w:r>
      <w:proofErr w:type="gramEnd"/>
      <w:r w:rsidRPr="00E56C41">
        <w:rPr>
          <w:rFonts w:ascii="Times New Roman" w:hAnsi="Times New Roman" w:cs="Times New Roman"/>
          <w:sz w:val="24"/>
          <w:szCs w:val="24"/>
        </w:rPr>
        <w:t xml:space="preserve"> from 80 respondents, which comprised 22 FIRS staff and 58 SMEs operational in </w:t>
      </w:r>
      <w:proofErr w:type="spellStart"/>
      <w:r w:rsidRPr="00E56C41">
        <w:rPr>
          <w:rFonts w:ascii="Times New Roman" w:hAnsi="Times New Roman" w:cs="Times New Roman"/>
          <w:sz w:val="24"/>
          <w:szCs w:val="24"/>
        </w:rPr>
        <w:t>Awka</w:t>
      </w:r>
      <w:proofErr w:type="spellEnd"/>
      <w:r w:rsidRPr="00E56C41">
        <w:rPr>
          <w:rFonts w:ascii="Times New Roman" w:hAnsi="Times New Roman" w:cs="Times New Roman"/>
          <w:sz w:val="24"/>
          <w:szCs w:val="24"/>
        </w:rPr>
        <w:t xml:space="preserve">. The primary data were </w:t>
      </w:r>
      <w:proofErr w:type="spellStart"/>
      <w:r w:rsidRPr="00E56C41">
        <w:rPr>
          <w:rFonts w:ascii="Times New Roman" w:hAnsi="Times New Roman" w:cs="Times New Roman"/>
          <w:sz w:val="24"/>
          <w:szCs w:val="24"/>
        </w:rPr>
        <w:t>analysed</w:t>
      </w:r>
      <w:proofErr w:type="spellEnd"/>
      <w:r w:rsidRPr="00E56C41">
        <w:rPr>
          <w:rFonts w:ascii="Times New Roman" w:hAnsi="Times New Roman" w:cs="Times New Roman"/>
          <w:sz w:val="24"/>
          <w:szCs w:val="24"/>
        </w:rPr>
        <w:t xml:space="preserve"> using the Pearson Correlation technique and the one-sample Kolmogorov-Smirnov test was employed. The analysis revealed that FIRS </w:t>
      </w:r>
      <w:proofErr w:type="spellStart"/>
      <w:r w:rsidRPr="00E56C41">
        <w:rPr>
          <w:rFonts w:ascii="Times New Roman" w:hAnsi="Times New Roman" w:cs="Times New Roman"/>
          <w:sz w:val="24"/>
          <w:szCs w:val="24"/>
        </w:rPr>
        <w:t>TaxPro</w:t>
      </w:r>
      <w:proofErr w:type="spellEnd"/>
      <w:r w:rsidRPr="00E56C41">
        <w:rPr>
          <w:rFonts w:ascii="Times New Roman" w:hAnsi="Times New Roman" w:cs="Times New Roman"/>
          <w:sz w:val="24"/>
          <w:szCs w:val="24"/>
        </w:rPr>
        <w:t xml:space="preserve"> Max has a significant effect on tax filing among taxpayers in the </w:t>
      </w:r>
      <w:proofErr w:type="spellStart"/>
      <w:r w:rsidRPr="00E56C41">
        <w:rPr>
          <w:rFonts w:ascii="Times New Roman" w:hAnsi="Times New Roman" w:cs="Times New Roman"/>
          <w:sz w:val="24"/>
          <w:szCs w:val="24"/>
        </w:rPr>
        <w:t>Awka</w:t>
      </w:r>
      <w:proofErr w:type="spellEnd"/>
      <w:r w:rsidRPr="00E56C41">
        <w:rPr>
          <w:rFonts w:ascii="Times New Roman" w:hAnsi="Times New Roman" w:cs="Times New Roman"/>
          <w:sz w:val="24"/>
          <w:szCs w:val="24"/>
        </w:rPr>
        <w:t xml:space="preserve"> metropolis; and, FIRS </w:t>
      </w:r>
      <w:proofErr w:type="spellStart"/>
      <w:r w:rsidRPr="00E56C41">
        <w:rPr>
          <w:rFonts w:ascii="Times New Roman" w:hAnsi="Times New Roman" w:cs="Times New Roman"/>
          <w:sz w:val="24"/>
          <w:szCs w:val="24"/>
        </w:rPr>
        <w:t>TaxPro</w:t>
      </w:r>
      <w:proofErr w:type="spellEnd"/>
      <w:r w:rsidRPr="00E56C41">
        <w:rPr>
          <w:rFonts w:ascii="Times New Roman" w:hAnsi="Times New Roman" w:cs="Times New Roman"/>
          <w:sz w:val="24"/>
          <w:szCs w:val="24"/>
        </w:rPr>
        <w:t xml:space="preserve"> Max has a significant effect on tax payments among taxpayers in the </w:t>
      </w:r>
      <w:proofErr w:type="spellStart"/>
      <w:r w:rsidRPr="00E56C41">
        <w:rPr>
          <w:rFonts w:ascii="Times New Roman" w:hAnsi="Times New Roman" w:cs="Times New Roman"/>
          <w:sz w:val="24"/>
          <w:szCs w:val="24"/>
        </w:rPr>
        <w:t>Awka</w:t>
      </w:r>
      <w:proofErr w:type="spellEnd"/>
      <w:r w:rsidRPr="00E56C41">
        <w:rPr>
          <w:rFonts w:ascii="Times New Roman" w:hAnsi="Times New Roman" w:cs="Times New Roman"/>
          <w:sz w:val="24"/>
          <w:szCs w:val="24"/>
        </w:rPr>
        <w:t xml:space="preserve"> metropolis</w:t>
      </w:r>
      <w:r w:rsidR="00800FC5">
        <w:rPr>
          <w:rFonts w:ascii="Times New Roman" w:hAnsi="Times New Roman" w:cs="Times New Roman"/>
          <w:sz w:val="24"/>
          <w:szCs w:val="24"/>
        </w:rPr>
        <w:t>.</w:t>
      </w:r>
    </w:p>
    <w:p w:rsidR="00800FC5" w:rsidRDefault="00800FC5" w:rsidP="00AE051B">
      <w:pPr>
        <w:spacing w:line="480" w:lineRule="auto"/>
        <w:contextualSpacing/>
        <w:jc w:val="both"/>
        <w:rPr>
          <w:rFonts w:ascii="Times New Roman" w:hAnsi="Times New Roman" w:cs="Times New Roman"/>
          <w:sz w:val="24"/>
          <w:szCs w:val="24"/>
        </w:rPr>
      </w:pPr>
      <w:proofErr w:type="spellStart"/>
      <w:r w:rsidRPr="00800FC5">
        <w:rPr>
          <w:rFonts w:ascii="Times New Roman" w:hAnsi="Times New Roman" w:cs="Times New Roman"/>
          <w:sz w:val="24"/>
          <w:szCs w:val="24"/>
        </w:rPr>
        <w:t>Agbo</w:t>
      </w:r>
      <w:proofErr w:type="spellEnd"/>
      <w:r w:rsidRPr="00800FC5">
        <w:rPr>
          <w:rFonts w:ascii="Times New Roman" w:hAnsi="Times New Roman" w:cs="Times New Roman"/>
          <w:sz w:val="24"/>
          <w:szCs w:val="24"/>
        </w:rPr>
        <w:t xml:space="preserve"> and Hubs (2024) examined the extent to which tax reforms have boosted revenue generation in Nigeria, using historical research design and with particular attention to Enugu State. It finds that, though Nigeria’s tax revenue has shown a declining trend over the past decade, tax reforms in Nigeria have had positive and significant effect on revenue generation. It recommends that governments at federal and state levels should be resilient in implementing strategic reforms.</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Desi and </w:t>
      </w:r>
      <w:proofErr w:type="spellStart"/>
      <w:r>
        <w:rPr>
          <w:rFonts w:ascii="Times New Roman" w:hAnsi="Times New Roman" w:cs="Times New Roman"/>
          <w:sz w:val="24"/>
          <w:szCs w:val="24"/>
        </w:rPr>
        <w:t>Bingilar</w:t>
      </w:r>
      <w:proofErr w:type="spellEnd"/>
      <w:r>
        <w:rPr>
          <w:rFonts w:ascii="Times New Roman" w:hAnsi="Times New Roman" w:cs="Times New Roman"/>
          <w:sz w:val="24"/>
          <w:szCs w:val="24"/>
        </w:rPr>
        <w:t xml:space="preserve"> (2023) examined effect of adoption of Tax Pro-Max FIRS Tax remittances in Nigeria. In order to determine relationship between Tax Pro-Max and FIRS Tax remittances, the study proxy Tax Pro-Max using online taxes and online filing and return. The study adopted a survey research design and data were collected using questionnaire survey administered to the staff of Federal Inland Revenue Service </w:t>
      </w:r>
      <w:proofErr w:type="spellStart"/>
      <w:r>
        <w:rPr>
          <w:rFonts w:ascii="Times New Roman" w:hAnsi="Times New Roman" w:cs="Times New Roman"/>
          <w:sz w:val="24"/>
          <w:szCs w:val="24"/>
        </w:rPr>
        <w:t>Yenegoa</w:t>
      </w:r>
      <w:proofErr w:type="spellEnd"/>
      <w:r>
        <w:rPr>
          <w:rFonts w:ascii="Times New Roman" w:hAnsi="Times New Roman" w:cs="Times New Roman"/>
          <w:sz w:val="24"/>
          <w:szCs w:val="24"/>
        </w:rPr>
        <w:t xml:space="preserve">. Using the descriptive statistics, findings of the study indicate a positive and significant relationship between Tax Pro-Max adoption for online taxes, Tax Pro-Max adoption for online tax filing </w:t>
      </w:r>
      <w:r>
        <w:rPr>
          <w:rFonts w:ascii="Times New Roman" w:hAnsi="Times New Roman" w:cs="Times New Roman"/>
          <w:sz w:val="24"/>
          <w:szCs w:val="24"/>
        </w:rPr>
        <w:lastRenderedPageBreak/>
        <w:t>and return. The study concluded that, the adoption of Tax Pro-Max enhances internally generated revenue and tax remittance by FIRS.</w:t>
      </w:r>
    </w:p>
    <w:p w:rsidR="00E45E26" w:rsidRDefault="00A417CB" w:rsidP="00AE051B">
      <w:pPr>
        <w:spacing w:line="48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Uguagu</w:t>
      </w:r>
      <w:proofErr w:type="spellEnd"/>
      <w:r>
        <w:rPr>
          <w:rFonts w:ascii="Times New Roman" w:hAnsi="Times New Roman" w:cs="Times New Roman"/>
          <w:sz w:val="24"/>
          <w:szCs w:val="24"/>
        </w:rPr>
        <w:t xml:space="preserve"> et al. (2023) examined the issue of e-taxation and improved tax compliance in Nigeria. The study adopted ex-post facto research design. Secondary data were gathered through the publications of the Federal Inland Revenue Services (FIRS), National Bureau of Statistics (NBS) and Enugu State Internal Revenue Service (ESIRS). The study revealed that e-taxation has significant positive effect on tax evasion in Nigeria. The analysis of the data also indicated higher mean value for tax revenue after the adoption of e-taxation when compared with the mean value before the adoption of the e-taxation system, indicating that e-taxation has significantly helped in stemming the tide of tax avoidance to a large extent in Nigeria.</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Sani et al. (2023) evaluated the impact of tax digitalization processes by Federal Inland Revenue Service (FIRS) and their impacts on tax collection from 2002 to 2021. Secondary data were collected from the literature and publications of the FIRS while public policy analytical framework underpins the study. Results from the study revealed that there are consistencies in efforts by the FIRS to digitalize tax administration in Nigeria even though implemented in short time intervals. Similarly, on the overall, there are increasing but fluctuating trends of tax revenue collection by FIRS 2002-2021 implying the positive impacts of the current digitalization efforts.</w:t>
      </w:r>
    </w:p>
    <w:p w:rsidR="00E45E26" w:rsidRDefault="00A417CB" w:rsidP="00AE051B">
      <w:pPr>
        <w:spacing w:line="480" w:lineRule="auto"/>
        <w:contextualSpacing/>
        <w:jc w:val="both"/>
        <w:rPr>
          <w:rFonts w:ascii="Times New Roman" w:hAnsi="Times New Roman" w:cs="Times New Roman"/>
          <w:sz w:val="24"/>
          <w:szCs w:val="24"/>
        </w:rPr>
      </w:pPr>
      <w:proofErr w:type="spellStart"/>
      <w:r w:rsidRPr="00A0401A">
        <w:rPr>
          <w:rFonts w:ascii="Times New Roman" w:hAnsi="Times New Roman" w:cs="Times New Roman"/>
          <w:sz w:val="24"/>
          <w:szCs w:val="24"/>
        </w:rPr>
        <w:t>Obiora</w:t>
      </w:r>
      <w:proofErr w:type="spellEnd"/>
      <w:r w:rsidRPr="00A0401A">
        <w:rPr>
          <w:rFonts w:ascii="Times New Roman" w:hAnsi="Times New Roman" w:cs="Times New Roman"/>
          <w:sz w:val="24"/>
          <w:szCs w:val="24"/>
        </w:rPr>
        <w:t xml:space="preserve"> and </w:t>
      </w:r>
      <w:r w:rsidR="00A0401A" w:rsidRPr="00A0401A">
        <w:rPr>
          <w:rFonts w:ascii="Times New Roman" w:hAnsi="Times New Roman" w:cs="Times New Roman"/>
          <w:sz w:val="24"/>
          <w:szCs w:val="24"/>
        </w:rPr>
        <w:t>Sunday</w:t>
      </w:r>
      <w:r w:rsidRPr="00A0401A">
        <w:rPr>
          <w:rFonts w:ascii="Times New Roman" w:hAnsi="Times New Roman" w:cs="Times New Roman"/>
          <w:sz w:val="24"/>
          <w:szCs w:val="24"/>
        </w:rPr>
        <w:t xml:space="preserve"> (2021)</w:t>
      </w:r>
      <w:r w:rsidR="00A0401A">
        <w:rPr>
          <w:rFonts w:ascii="Times New Roman" w:hAnsi="Times New Roman" w:cs="Times New Roman"/>
          <w:sz w:val="24"/>
          <w:szCs w:val="24"/>
        </w:rPr>
        <w:t xml:space="preserve"> examined</w:t>
      </w:r>
      <w:r>
        <w:rPr>
          <w:rFonts w:ascii="Times New Roman" w:hAnsi="Times New Roman" w:cs="Times New Roman"/>
          <w:sz w:val="24"/>
          <w:szCs w:val="24"/>
        </w:rPr>
        <w:t xml:space="preserve"> the effect of adoption of Tax Pro-Max on FIRS tax remittance in Nigeria. In order to determine the relationship between Tax Pro-Max and FIRS tax remittance, the study proxy Tax Pro-Max using online taxes and online returns filing. The study adopted a Survey Design and data were collected using questionnaire survey administered to the staff of Federal Inland Revenue Service (FIRS). Out of 90 copies of questionnaire administered to FIRS both at </w:t>
      </w:r>
      <w:proofErr w:type="spellStart"/>
      <w:r>
        <w:rPr>
          <w:rFonts w:ascii="Times New Roman" w:hAnsi="Times New Roman" w:cs="Times New Roman"/>
          <w:sz w:val="24"/>
          <w:szCs w:val="24"/>
        </w:rPr>
        <w:t>Awka</w:t>
      </w:r>
      <w:proofErr w:type="spellEnd"/>
      <w:r>
        <w:rPr>
          <w:rFonts w:ascii="Times New Roman" w:hAnsi="Times New Roman" w:cs="Times New Roman"/>
          <w:sz w:val="24"/>
          <w:szCs w:val="24"/>
        </w:rPr>
        <w:t xml:space="preserve"> and Onitsha respectively, 80 copies of </w:t>
      </w:r>
      <w:r>
        <w:rPr>
          <w:rFonts w:ascii="Times New Roman" w:hAnsi="Times New Roman" w:cs="Times New Roman"/>
          <w:sz w:val="24"/>
          <w:szCs w:val="24"/>
        </w:rPr>
        <w:lastRenderedPageBreak/>
        <w:t>questionnaire were retrieved and were used in the data analysis for the study. Using Friedman’s ANOVA, the findings of the study indicated a positive and significant relationship between Tax Pro-Max for online taxes, Tax Pro-Max for online returns filing and tax remittance by FIRS at 1% and 5% significant level respectively. Thus, the study concludes that the adoption of Tax Pro-Max enhances internally generated revenue and tax remittance by FIRS.</w:t>
      </w:r>
    </w:p>
    <w:p w:rsidR="00E45E26" w:rsidRDefault="00A417CB" w:rsidP="00AE051B">
      <w:pPr>
        <w:spacing w:line="48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Olurankinse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Oladeji</w:t>
      </w:r>
      <w:proofErr w:type="spellEnd"/>
      <w:r>
        <w:rPr>
          <w:rFonts w:ascii="Times New Roman" w:hAnsi="Times New Roman" w:cs="Times New Roman"/>
          <w:sz w:val="24"/>
          <w:szCs w:val="24"/>
        </w:rPr>
        <w:t xml:space="preserve"> (2018) examined </w:t>
      </w:r>
      <w:proofErr w:type="spellStart"/>
      <w:r>
        <w:rPr>
          <w:rFonts w:ascii="Times New Roman" w:hAnsi="Times New Roman" w:cs="Times New Roman"/>
          <w:sz w:val="24"/>
          <w:szCs w:val="24"/>
        </w:rPr>
        <w:t>self assessment</w:t>
      </w:r>
      <w:proofErr w:type="spellEnd"/>
      <w:r>
        <w:rPr>
          <w:rFonts w:ascii="Times New Roman" w:hAnsi="Times New Roman" w:cs="Times New Roman"/>
          <w:sz w:val="24"/>
          <w:szCs w:val="24"/>
        </w:rPr>
        <w:t>, electronic tax payment systems, and revenue generation in Nigeria. The study population comprised 30 companies listed on the Nigerian Stock Exchange. The Pearson Product Moment Correlation Coefficient statistical tool and regression analysis were used to test the hypothesis through the application of SPSS version 20.0. The results of the analysis showed a positive and a significant relationship between self-assessment and e-tax payment systems and revenue generation.</w:t>
      </w:r>
    </w:p>
    <w:p w:rsidR="00E45E26" w:rsidRDefault="00A417CB" w:rsidP="00AE051B">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Theoretical Review</w:t>
      </w:r>
    </w:p>
    <w:p w:rsidR="00E45E26" w:rsidRDefault="00A417CB" w:rsidP="00AE051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Theory of Innovation Translation </w:t>
      </w:r>
    </w:p>
    <w:p w:rsidR="00E45E26" w:rsidRDefault="00A417CB" w:rsidP="00AE051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Theory of Innovation Translation, also known as Actor-Network Theory (ANT), was primarily developed by Michel </w:t>
      </w:r>
      <w:proofErr w:type="spellStart"/>
      <w:r>
        <w:rPr>
          <w:rFonts w:ascii="Times New Roman" w:hAnsi="Times New Roman" w:cs="Times New Roman"/>
          <w:sz w:val="24"/>
          <w:szCs w:val="24"/>
        </w:rPr>
        <w:t>Callon</w:t>
      </w:r>
      <w:proofErr w:type="spellEnd"/>
      <w:r>
        <w:rPr>
          <w:rFonts w:ascii="Times New Roman" w:hAnsi="Times New Roman" w:cs="Times New Roman"/>
          <w:sz w:val="24"/>
          <w:szCs w:val="24"/>
        </w:rPr>
        <w:t xml:space="preserve">, Bruno Latour, and John Law during the late 1980s and was later modified by Arthur </w:t>
      </w:r>
      <w:proofErr w:type="spellStart"/>
      <w:r>
        <w:rPr>
          <w:rFonts w:ascii="Times New Roman" w:hAnsi="Times New Roman" w:cs="Times New Roman"/>
          <w:sz w:val="24"/>
          <w:szCs w:val="24"/>
        </w:rPr>
        <w:t>Tatnall</w:t>
      </w:r>
      <w:proofErr w:type="spellEnd"/>
      <w:r>
        <w:rPr>
          <w:rFonts w:ascii="Times New Roman" w:hAnsi="Times New Roman" w:cs="Times New Roman"/>
          <w:sz w:val="24"/>
          <w:szCs w:val="24"/>
        </w:rPr>
        <w:t xml:space="preserve"> in 1990. While ANT is not a single theory but rather a set of concepts and methods, it provides a framework for understanding how innovations are shaped and adopted through complex interactions among various actors and networks. Understanding the dynamics of actor-networks and the translation processes helps in addressing challenges, enhancing user adoption, and ensuring the long-term success of e-taxation initiatives (</w:t>
      </w:r>
      <w:proofErr w:type="spellStart"/>
      <w:r>
        <w:rPr>
          <w:rFonts w:ascii="Times New Roman" w:hAnsi="Times New Roman" w:cs="Times New Roman"/>
          <w:sz w:val="24"/>
          <w:szCs w:val="24"/>
        </w:rPr>
        <w:t>Olaoye</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Atilola</w:t>
      </w:r>
      <w:proofErr w:type="spellEnd"/>
      <w:r>
        <w:rPr>
          <w:rFonts w:ascii="Times New Roman" w:hAnsi="Times New Roman" w:cs="Times New Roman"/>
          <w:sz w:val="24"/>
          <w:szCs w:val="24"/>
        </w:rPr>
        <w:t>, 2018).</w:t>
      </w:r>
    </w:p>
    <w:p w:rsidR="00E45E26" w:rsidRDefault="00A417CB" w:rsidP="00AE051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the context of Tax Pro-Max, the Theory of Innovation Translation can be used to analyze how digital tax systems are developed, implemented, and adopted by examining the interactions among various actors (e.g., tax authorities, software developers, taxpayers, and </w:t>
      </w:r>
      <w:r>
        <w:rPr>
          <w:rFonts w:ascii="Times New Roman" w:hAnsi="Times New Roman" w:cs="Times New Roman"/>
          <w:sz w:val="24"/>
          <w:szCs w:val="24"/>
        </w:rPr>
        <w:lastRenderedPageBreak/>
        <w:t>regulatory bodies) and technological artifacts (e.g., e-filing systems, databases, security protocols).</w:t>
      </w:r>
    </w:p>
    <w:p w:rsidR="00E45E26" w:rsidRDefault="00A417CB" w:rsidP="00AE051B">
      <w:pPr>
        <w:spacing w:line="480" w:lineRule="auto"/>
        <w:jc w:val="both"/>
        <w:rPr>
          <w:rFonts w:ascii="Times New Roman" w:hAnsi="Times New Roman" w:cs="Times New Roman"/>
          <w:sz w:val="24"/>
          <w:szCs w:val="24"/>
        </w:rPr>
      </w:pPr>
      <w:r>
        <w:rPr>
          <w:rFonts w:ascii="Times New Roman" w:hAnsi="Times New Roman" w:cs="Times New Roman"/>
          <w:sz w:val="24"/>
          <w:szCs w:val="24"/>
        </w:rPr>
        <w:t>The Theory of Innovation Translation guides the successful implementation of Tax Pro-Max by aligning technological innovations with the needs and constraints of tax administration and compliance. It emphasizes adaptation, integration, and stakeholder engagement to maximize the benefits of digital transformation in taxation processes.</w:t>
      </w:r>
    </w:p>
    <w:p w:rsidR="00E45E26" w:rsidRDefault="00A417CB" w:rsidP="00AE051B">
      <w:pPr>
        <w:spacing w:before="240" w:line="480" w:lineRule="auto"/>
        <w:contextualSpacing/>
        <w:jc w:val="both"/>
        <w:rPr>
          <w:rFonts w:ascii="Times New Roman" w:hAnsi="Times New Roman" w:cs="Times New Roman"/>
          <w:sz w:val="24"/>
          <w:szCs w:val="24"/>
        </w:rPr>
      </w:pPr>
      <w:r>
        <w:rPr>
          <w:rFonts w:ascii="Times New Roman" w:hAnsi="Times New Roman" w:cs="Times New Roman"/>
          <w:b/>
          <w:sz w:val="24"/>
          <w:szCs w:val="24"/>
        </w:rPr>
        <w:t>Methodology</w:t>
      </w:r>
    </w:p>
    <w:p w:rsidR="00E45E26" w:rsidRDefault="00A417CB" w:rsidP="00AE051B">
      <w:pPr>
        <w:spacing w:line="480" w:lineRule="auto"/>
        <w:contextualSpacing/>
        <w:jc w:val="both"/>
        <w:rPr>
          <w:rFonts w:ascii="Times New Roman" w:hAnsi="Times New Roman" w:cs="Times New Roman"/>
          <w:color w:val="0E101A"/>
          <w:sz w:val="24"/>
          <w:szCs w:val="24"/>
        </w:rPr>
      </w:pPr>
      <w:r>
        <w:rPr>
          <w:rFonts w:ascii="Times New Roman" w:hAnsi="Times New Roman" w:cs="Times New Roman"/>
          <w:sz w:val="24"/>
          <w:szCs w:val="24"/>
        </w:rPr>
        <w:t xml:space="preserve">This study employed expo facto research design in assessing Tax Pro-Max initiative and Revenue performance in Nigeria. </w:t>
      </w:r>
      <w:r>
        <w:rPr>
          <w:rFonts w:ascii="Times New Roman" w:hAnsi="Times New Roman" w:cs="Times New Roman"/>
          <w:color w:val="0E101A"/>
          <w:sz w:val="24"/>
          <w:szCs w:val="24"/>
        </w:rPr>
        <w:t xml:space="preserve">An ex-post facto research design is commonly used in studies that investigate plausible cause-and-effect relationships by observing a condition and searching back in time for plausible causal factors. </w:t>
      </w:r>
    </w:p>
    <w:p w:rsidR="00E45E26" w:rsidRDefault="00A417CB" w:rsidP="00AE051B">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Instrument of Data Collection</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This study utilized secondary data, sourced from the quarterly reports of the Federal Inland Revenue Service beginning from 2018 to 2023, culminating to 24 quarters. </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b/>
          <w:sz w:val="24"/>
          <w:szCs w:val="24"/>
        </w:rPr>
        <w:t>Technique for Data Analysis and Model Specification</w:t>
      </w:r>
      <w:r>
        <w:rPr>
          <w:rFonts w:ascii="Times New Roman" w:hAnsi="Times New Roman" w:cs="Times New Roman"/>
          <w:sz w:val="24"/>
          <w:szCs w:val="24"/>
        </w:rPr>
        <w:t xml:space="preserve"> </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Regression analysis was employed as the technique of data analysis and descriptive statistic for comparison of means with the aid of E-Views version 12 as a tool for data analysis.</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b/>
          <w:sz w:val="24"/>
          <w:szCs w:val="24"/>
        </w:rPr>
        <w:t>Model Specification</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To examine the assessment of Tax Pro-Max the regression model was adopted from the work of </w:t>
      </w:r>
      <w:proofErr w:type="spellStart"/>
      <w:r>
        <w:rPr>
          <w:rFonts w:ascii="Times New Roman" w:hAnsi="Times New Roman" w:cs="Times New Roman"/>
          <w:sz w:val="24"/>
          <w:szCs w:val="24"/>
        </w:rPr>
        <w:t>Udezo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Onuora</w:t>
      </w:r>
      <w:proofErr w:type="spellEnd"/>
      <w:r>
        <w:rPr>
          <w:rFonts w:ascii="Times New Roman" w:hAnsi="Times New Roman" w:cs="Times New Roman"/>
          <w:sz w:val="24"/>
          <w:szCs w:val="24"/>
        </w:rPr>
        <w:t xml:space="preserve"> (2021) stated below:</w:t>
      </w:r>
    </w:p>
    <w:p w:rsidR="00E45E26" w:rsidRDefault="00A417CB" w:rsidP="00AE051B">
      <w:pPr>
        <w:spacing w:line="48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TFCR = ƒ</m:t>
          </m:r>
          <m:d>
            <m:dPr>
              <m:ctrlPr>
                <w:rPr>
                  <w:rFonts w:ascii="Cambria Math" w:hAnsi="Cambria Math" w:cs="Times New Roman"/>
                  <w:i/>
                  <w:sz w:val="24"/>
                  <w:szCs w:val="24"/>
                </w:rPr>
              </m:ctrlPr>
            </m:dPr>
            <m:e>
              <m:r>
                <w:rPr>
                  <w:rFonts w:ascii="Cambria Math" w:hAnsi="Cambria Math" w:cs="Times New Roman"/>
                  <w:sz w:val="24"/>
                  <w:szCs w:val="24"/>
                </w:rPr>
                <m:t>RPPT, RCIT, RVAT, RPIT</m:t>
              </m:r>
            </m:e>
          </m:d>
          <m:r>
            <w:rPr>
              <w:rFonts w:ascii="Cambria Math" w:eastAsia="Calibri" w:hAnsi="Cambria Math" w:cs="Times New Roman"/>
              <w:sz w:val="24"/>
              <w:szCs w:val="24"/>
            </w:rPr>
            <m:t>……………………………………………… … … … …</m:t>
          </m:r>
          <m:r>
            <w:rPr>
              <w:rFonts w:ascii="Cambria Math" w:hAnsi="Cambria Math" w:cs="Times New Roman"/>
              <w:sz w:val="24"/>
              <w:szCs w:val="24"/>
            </w:rPr>
            <m:t>1</m:t>
          </m:r>
        </m:oMath>
      </m:oMathPara>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model was modified to suit the variables used in this study based on specific objectives thus: </w:t>
      </w:r>
    </w:p>
    <w:p w:rsidR="00E45E26" w:rsidRDefault="00A417CB" w:rsidP="00AE051B">
      <w:pPr>
        <w:pStyle w:val="NoSpacing"/>
        <w:spacing w:before="120" w:beforeAutospacing="0" w:after="120" w:line="48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Functional form</w:t>
      </w:r>
    </w:p>
    <w:p w:rsidR="00E45E26" w:rsidRDefault="00A417CB" w:rsidP="00AE051B">
      <w:pPr>
        <w:pStyle w:val="NoSpacing"/>
        <w:spacing w:before="120" w:beforeAutospacing="0" w:after="120" w:line="480" w:lineRule="auto"/>
        <w:contextualSpacing/>
        <w:jc w:val="both"/>
        <w:rPr>
          <w:rFonts w:ascii="Times New Roman" w:eastAsia="Calibri" w:hAnsi="Times New Roman" w:cs="Times New Roman"/>
          <w:bCs/>
          <w:sz w:val="24"/>
          <w:szCs w:val="24"/>
        </w:rPr>
      </w:pPr>
      <m:oMathPara>
        <m:oMathParaPr>
          <m:jc m:val="left"/>
        </m:oMathParaPr>
        <m:oMath>
          <m:r>
            <w:rPr>
              <w:rFonts w:ascii="Cambria Math" w:hAnsi="Cambria Math" w:cs="Times New Roman"/>
              <w:sz w:val="24"/>
              <w:szCs w:val="24"/>
            </w:rPr>
            <m:t>TR = ƒ</m:t>
          </m:r>
          <m:d>
            <m:dPr>
              <m:ctrlPr>
                <w:rPr>
                  <w:rFonts w:ascii="Cambria Math" w:hAnsi="Cambria Math" w:cs="Times New Roman"/>
                  <w:i/>
                  <w:sz w:val="24"/>
                  <w:szCs w:val="24"/>
                </w:rPr>
              </m:ctrlPr>
            </m:dPr>
            <m:e>
              <m:r>
                <w:rPr>
                  <w:rFonts w:ascii="Cambria Math" w:hAnsi="Cambria Math" w:cs="Times New Roman"/>
                  <w:sz w:val="24"/>
                  <w:szCs w:val="24"/>
                </w:rPr>
                <m:t>TPI, TC, TC_TPI</m:t>
              </m:r>
            </m:e>
          </m:d>
          <m:r>
            <w:rPr>
              <w:rFonts w:ascii="Cambria Math" w:eastAsia="Calibri" w:hAnsi="Cambria Math" w:cs="Times New Roman"/>
              <w:sz w:val="24"/>
              <w:szCs w:val="24"/>
            </w:rPr>
            <m:t xml:space="preserve">………………………………………………………………………. </m:t>
          </m:r>
          <m:r>
            <w:rPr>
              <w:rFonts w:ascii="Cambria Math" w:hAnsi="Cambria Math" w:cs="Times New Roman"/>
              <w:sz w:val="24"/>
              <w:szCs w:val="24"/>
            </w:rPr>
            <m:t>2</m:t>
          </m:r>
        </m:oMath>
      </m:oMathPara>
    </w:p>
    <w:p w:rsidR="00E45E26" w:rsidRDefault="00A417CB" w:rsidP="00AE051B">
      <w:pPr>
        <w:pStyle w:val="NoSpacing"/>
        <w:spacing w:before="120" w:beforeAutospacing="0" w:after="120" w:line="48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Testable form</w:t>
      </w:r>
    </w:p>
    <w:p w:rsidR="00E45E26" w:rsidRDefault="00A417CB" w:rsidP="00AE051B">
      <w:pPr>
        <w:pStyle w:val="NoSpacing"/>
        <w:spacing w:before="120" w:beforeAutospacing="0" w:after="120" w:line="480" w:lineRule="auto"/>
        <w:contextualSpacing/>
        <w:jc w:val="both"/>
        <w:rPr>
          <w:rFonts w:ascii="Times New Roman" w:eastAsia="Calibri" w:hAnsi="Times New Roman" w:cs="Times New Roman"/>
          <w:bCs/>
          <w:sz w:val="24"/>
          <w:szCs w:val="24"/>
        </w:rPr>
      </w:pPr>
      <m:oMathPara>
        <m:oMathParaPr>
          <m:jc m:val="left"/>
        </m:oMathParaPr>
        <m:oMath>
          <m:r>
            <w:rPr>
              <w:rFonts w:ascii="Cambria Math" w:eastAsia="Calibri" w:hAnsi="Cambria Math" w:cs="Times New Roman"/>
              <w:sz w:val="24"/>
              <w:szCs w:val="24"/>
            </w:rPr>
            <m:t>TR =</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0</m:t>
              </m:r>
            </m:sub>
          </m:sSub>
          <m:r>
            <w:rPr>
              <w:rFonts w:ascii="Cambria Math" w:eastAsia="Calibri" w:hAnsi="Cambria Math" w:cs="Times New Roman"/>
              <w:sz w:val="24"/>
              <w:szCs w:val="24"/>
            </w:rPr>
            <m:t xml:space="preserve">+ </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1</m:t>
              </m:r>
            </m:sub>
          </m:sSub>
          <m:r>
            <w:rPr>
              <w:rFonts w:ascii="Cambria Math" w:eastAsia="Calibri" w:hAnsi="Cambria Math" w:cs="Times New Roman"/>
              <w:sz w:val="24"/>
              <w:szCs w:val="24"/>
            </w:rPr>
            <m:t xml:space="preserve">TPI+ </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2</m:t>
              </m:r>
            </m:sub>
          </m:sSub>
          <m:r>
            <w:rPr>
              <w:rFonts w:ascii="Cambria Math" w:eastAsia="Calibri" w:hAnsi="Cambria Math" w:cs="Times New Roman"/>
              <w:sz w:val="24"/>
              <w:szCs w:val="24"/>
            </w:rPr>
            <m:t>TC +</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3</m:t>
              </m:r>
            </m:sub>
          </m:sSub>
          <m:r>
            <w:rPr>
              <w:rFonts w:ascii="Cambria Math" w:eastAsia="Calibri" w:hAnsi="Cambria Math" w:cs="Times New Roman"/>
              <w:sz w:val="24"/>
              <w:szCs w:val="24"/>
            </w:rPr>
            <m:t>TC_TPI+ µ………………………………………………….3</m:t>
          </m:r>
        </m:oMath>
      </m:oMathPara>
    </w:p>
    <w:p w:rsidR="00E45E26" w:rsidRDefault="00A417CB" w:rsidP="00AE051B">
      <w:pPr>
        <w:pStyle w:val="NoSpacing"/>
        <w:spacing w:before="0" w:beforeAutospacing="0" w:line="48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Where:</w:t>
      </w:r>
    </w:p>
    <w:p w:rsidR="00E45E26" w:rsidRDefault="00A417CB" w:rsidP="00AE051B">
      <w:pPr>
        <w:pStyle w:val="NoSpacing"/>
        <w:spacing w:before="0" w:beforeAutospacing="0" w:line="48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TR</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t>=</w:t>
      </w:r>
      <w:r>
        <w:rPr>
          <w:rFonts w:ascii="Times New Roman" w:eastAsia="Calibri" w:hAnsi="Times New Roman" w:cs="Times New Roman"/>
          <w:bCs/>
          <w:sz w:val="24"/>
          <w:szCs w:val="24"/>
        </w:rPr>
        <w:tab/>
        <w:t>Tax Revenue (</w:t>
      </w:r>
      <w:r>
        <w:rPr>
          <w:rFonts w:ascii="Times New Roman" w:hAnsi="Times New Roman" w:cs="Times New Roman"/>
          <w:sz w:val="24"/>
          <w:szCs w:val="24"/>
        </w:rPr>
        <w:t xml:space="preserve">revenue performance) </w:t>
      </w:r>
    </w:p>
    <w:p w:rsidR="00E45E26" w:rsidRDefault="00A417CB" w:rsidP="00AE051B">
      <w:pPr>
        <w:pStyle w:val="NoSpacing"/>
        <w:spacing w:before="0" w:beforeAutospacing="0" w:line="48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TPI</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t>=</w:t>
      </w:r>
      <w:r>
        <w:rPr>
          <w:rFonts w:ascii="Times New Roman" w:eastAsia="Calibri" w:hAnsi="Times New Roman" w:cs="Times New Roman"/>
          <w:bCs/>
          <w:sz w:val="24"/>
          <w:szCs w:val="24"/>
        </w:rPr>
        <w:tab/>
        <w:t xml:space="preserve">Tax Pro-Max Initiative (the measure of revenue collection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effectiveness)</w:t>
      </w:r>
    </w:p>
    <w:p w:rsidR="00E45E26" w:rsidRDefault="00A417CB" w:rsidP="00AE051B">
      <w:pPr>
        <w:pStyle w:val="NoSpacing"/>
        <w:spacing w:before="0" w:beforeAutospacing="0" w:line="48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TC</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t>=</w:t>
      </w:r>
      <w:r>
        <w:rPr>
          <w:rFonts w:ascii="Times New Roman" w:eastAsia="Calibri" w:hAnsi="Times New Roman" w:cs="Times New Roman"/>
          <w:bCs/>
          <w:sz w:val="24"/>
          <w:szCs w:val="24"/>
        </w:rPr>
        <w:tab/>
        <w:t>Taxpayer Compliance before Tax Pro-Max Initiative</w:t>
      </w:r>
    </w:p>
    <w:p w:rsidR="00E45E26" w:rsidRDefault="00A417CB" w:rsidP="00AE051B">
      <w:pPr>
        <w:pStyle w:val="NoSpacing"/>
        <w:spacing w:before="0" w:beforeAutospacing="0" w:line="48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TC_TPI</w:t>
      </w:r>
      <w:r>
        <w:rPr>
          <w:rFonts w:ascii="Times New Roman" w:eastAsia="Calibri" w:hAnsi="Times New Roman" w:cs="Times New Roman"/>
          <w:bCs/>
          <w:sz w:val="24"/>
          <w:szCs w:val="24"/>
        </w:rPr>
        <w:tab/>
        <w:t>=</w:t>
      </w:r>
      <w:r>
        <w:rPr>
          <w:rFonts w:ascii="Times New Roman" w:eastAsia="Calibri" w:hAnsi="Times New Roman" w:cs="Times New Roman"/>
          <w:bCs/>
          <w:sz w:val="24"/>
          <w:szCs w:val="24"/>
        </w:rPr>
        <w:tab/>
        <w:t>Taxpayer Compliance after Tax Pro-Max Initiative</w:t>
      </w:r>
    </w:p>
    <w:p w:rsidR="00E45E26" w:rsidRDefault="00C607EE" w:rsidP="00AE051B">
      <w:pPr>
        <w:pStyle w:val="NoSpacing"/>
        <w:spacing w:before="0" w:beforeAutospacing="0" w:line="480" w:lineRule="auto"/>
        <w:contextualSpacing/>
        <w:jc w:val="both"/>
        <w:rPr>
          <w:rFonts w:ascii="Times New Roman" w:eastAsia="Calibri" w:hAnsi="Times New Roman" w:cs="Times New Roman"/>
          <w:sz w:val="24"/>
          <w:szCs w:val="24"/>
        </w:rPr>
      </w:pPr>
      <m:oMath>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0</m:t>
            </m:r>
          </m:sub>
        </m:sSub>
      </m:oMath>
      <w:r w:rsidR="00A417CB">
        <w:rPr>
          <w:rFonts w:ascii="Times New Roman" w:eastAsia="Calibri" w:hAnsi="Times New Roman" w:cs="Times New Roman"/>
          <w:sz w:val="24"/>
          <w:szCs w:val="24"/>
        </w:rPr>
        <w:tab/>
      </w:r>
      <w:r w:rsidR="00A417CB">
        <w:rPr>
          <w:rFonts w:ascii="Times New Roman" w:eastAsia="Calibri" w:hAnsi="Times New Roman" w:cs="Times New Roman"/>
          <w:sz w:val="24"/>
          <w:szCs w:val="24"/>
        </w:rPr>
        <w:tab/>
        <w:t xml:space="preserve">= </w:t>
      </w:r>
      <w:r w:rsidR="00A417CB">
        <w:rPr>
          <w:rFonts w:ascii="Times New Roman" w:eastAsia="Calibri" w:hAnsi="Times New Roman" w:cs="Times New Roman"/>
          <w:sz w:val="24"/>
          <w:szCs w:val="24"/>
        </w:rPr>
        <w:tab/>
        <w:t>Regression Intercept (Constant)</w:t>
      </w:r>
    </w:p>
    <w:p w:rsidR="00E45E26" w:rsidRDefault="00C607EE" w:rsidP="00AE051B">
      <w:pPr>
        <w:pStyle w:val="NoSpacing"/>
        <w:spacing w:before="0" w:beforeAutospacing="0" w:line="480" w:lineRule="auto"/>
        <w:contextualSpacing/>
        <w:jc w:val="both"/>
        <w:rPr>
          <w:rFonts w:ascii="Times New Roman" w:eastAsia="Calibri" w:hAnsi="Times New Roman" w:cs="Times New Roman"/>
          <w:sz w:val="24"/>
          <w:szCs w:val="24"/>
        </w:rPr>
      </w:pPr>
      <m:oMath>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1</m:t>
            </m:r>
          </m:sub>
        </m:sSub>
      </m:oMath>
      <w:r w:rsidR="00A417CB">
        <w:rPr>
          <w:rFonts w:ascii="Times New Roman" w:hAnsi="Times New Roman" w:cs="Times New Roman"/>
          <w:sz w:val="24"/>
          <w:szCs w:val="24"/>
          <w:vertAlign w:val="subscript"/>
        </w:rPr>
        <w:t xml:space="preserve"> </w:t>
      </w:r>
      <w:r w:rsidR="00A417CB">
        <w:rPr>
          <w:rFonts w:ascii="Times New Roman" w:hAnsi="Times New Roman" w:cs="Times New Roman"/>
          <w:sz w:val="24"/>
          <w:szCs w:val="24"/>
        </w:rPr>
        <w:t xml:space="preserve">– </w:t>
      </w:r>
      <m:oMath>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3</m:t>
            </m:r>
          </m:sub>
        </m:sSub>
      </m:oMath>
      <w:r w:rsidR="00A417CB">
        <w:rPr>
          <w:rFonts w:ascii="Times New Roman" w:hAnsi="Times New Roman" w:cs="Times New Roman"/>
          <w:sz w:val="24"/>
          <w:szCs w:val="24"/>
          <w:vertAlign w:val="subscript"/>
        </w:rPr>
        <w:tab/>
      </w:r>
      <w:r w:rsidR="00A417CB">
        <w:rPr>
          <w:rFonts w:ascii="Times New Roman" w:hAnsi="Times New Roman" w:cs="Times New Roman"/>
          <w:sz w:val="24"/>
          <w:szCs w:val="24"/>
          <w:vertAlign w:val="subscript"/>
        </w:rPr>
        <w:tab/>
        <w:t xml:space="preserve"> </w:t>
      </w:r>
      <w:r w:rsidR="00A417CB">
        <w:rPr>
          <w:rFonts w:ascii="Times New Roman" w:hAnsi="Times New Roman" w:cs="Times New Roman"/>
          <w:sz w:val="24"/>
          <w:szCs w:val="24"/>
        </w:rPr>
        <w:t>=</w:t>
      </w:r>
      <w:r w:rsidR="00A417CB">
        <w:rPr>
          <w:rFonts w:ascii="Times New Roman" w:hAnsi="Times New Roman" w:cs="Times New Roman"/>
          <w:sz w:val="24"/>
          <w:szCs w:val="24"/>
        </w:rPr>
        <w:tab/>
        <w:t>coefficients</w:t>
      </w:r>
      <w:r w:rsidR="00A417CB">
        <w:rPr>
          <w:rFonts w:ascii="Times New Roman" w:eastAsia="Calibri" w:hAnsi="Times New Roman" w:cs="Times New Roman"/>
          <w:sz w:val="24"/>
          <w:szCs w:val="24"/>
        </w:rPr>
        <w:t xml:space="preserve"> </w:t>
      </w:r>
    </w:p>
    <w:p w:rsidR="00E45E26" w:rsidRDefault="00A417CB" w:rsidP="00AE051B">
      <w:pPr>
        <w:pStyle w:val="NoSpacing"/>
        <w:spacing w:before="0" w:beforeAutospacing="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µ </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 xml:space="preserve">Error Term </w:t>
      </w:r>
    </w:p>
    <w:p w:rsidR="00E45E26" w:rsidRDefault="00A417CB" w:rsidP="00AE051B">
      <w:pPr>
        <w:pStyle w:val="NoSpacing"/>
        <w:spacing w:before="120" w:beforeAutospacing="0" w:after="12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Dummies for Tax Pro-Max Initiative = (0: Before Tax Pro-Max Initiative and 1: After Tax Pro-Max Initiative).</w:t>
      </w:r>
    </w:p>
    <w:p w:rsidR="00E45E26" w:rsidRDefault="00A417CB" w:rsidP="00AE051B">
      <w:pPr>
        <w:spacing w:line="480" w:lineRule="auto"/>
        <w:rPr>
          <w:rFonts w:ascii="Times New Roman" w:hAnsi="Times New Roman" w:cs="Times New Roman"/>
          <w:b/>
          <w:sz w:val="24"/>
          <w:szCs w:val="24"/>
        </w:rPr>
      </w:pPr>
      <w:r>
        <w:rPr>
          <w:rFonts w:ascii="Times New Roman" w:hAnsi="Times New Roman" w:cs="Times New Roman"/>
          <w:b/>
          <w:sz w:val="24"/>
          <w:szCs w:val="24"/>
        </w:rPr>
        <w:t>Table 1:</w:t>
      </w:r>
      <w:r>
        <w:rPr>
          <w:rFonts w:ascii="Times New Roman" w:hAnsi="Times New Roman" w:cs="Times New Roman"/>
          <w:b/>
          <w:sz w:val="24"/>
          <w:szCs w:val="24"/>
        </w:rPr>
        <w:tab/>
        <w:t>Measurement of Variables</w:t>
      </w:r>
    </w:p>
    <w:tbl>
      <w:tblPr>
        <w:tblStyle w:val="TableGrid"/>
        <w:tblW w:w="9924" w:type="dxa"/>
        <w:tblInd w:w="-318" w:type="dxa"/>
        <w:tblLook w:val="04A0" w:firstRow="1" w:lastRow="0" w:firstColumn="1" w:lastColumn="0" w:noHBand="0" w:noVBand="1"/>
      </w:tblPr>
      <w:tblGrid>
        <w:gridCol w:w="1526"/>
        <w:gridCol w:w="1417"/>
        <w:gridCol w:w="4996"/>
        <w:gridCol w:w="1985"/>
      </w:tblGrid>
      <w:tr w:rsidR="00E45E26">
        <w:tc>
          <w:tcPr>
            <w:tcW w:w="1526" w:type="dxa"/>
          </w:tcPr>
          <w:p w:rsidR="00E45E26" w:rsidRDefault="00A417CB" w:rsidP="00AE051B">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Variable </w:t>
            </w:r>
          </w:p>
        </w:tc>
        <w:tc>
          <w:tcPr>
            <w:tcW w:w="1417" w:type="dxa"/>
          </w:tcPr>
          <w:p w:rsidR="00E45E26" w:rsidRDefault="00A417CB" w:rsidP="00AE051B">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Type of Variable</w:t>
            </w:r>
          </w:p>
        </w:tc>
        <w:tc>
          <w:tcPr>
            <w:tcW w:w="4996" w:type="dxa"/>
          </w:tcPr>
          <w:p w:rsidR="00E45E26" w:rsidRDefault="00A417CB" w:rsidP="00AE051B">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Definition/Measurement </w:t>
            </w:r>
          </w:p>
        </w:tc>
        <w:tc>
          <w:tcPr>
            <w:tcW w:w="1985" w:type="dxa"/>
          </w:tcPr>
          <w:p w:rsidR="00E45E26" w:rsidRDefault="00A417CB" w:rsidP="00AE051B">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Sources </w:t>
            </w:r>
          </w:p>
        </w:tc>
      </w:tr>
      <w:tr w:rsidR="00E45E26">
        <w:tc>
          <w:tcPr>
            <w:tcW w:w="1526" w:type="dxa"/>
          </w:tcPr>
          <w:p w:rsidR="00E45E26" w:rsidRDefault="00A417CB" w:rsidP="00AE051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Revenue Performance</w:t>
            </w:r>
          </w:p>
        </w:tc>
        <w:tc>
          <w:tcPr>
            <w:tcW w:w="1417" w:type="dxa"/>
          </w:tcPr>
          <w:p w:rsidR="00E45E26" w:rsidRDefault="00A417CB" w:rsidP="00AE051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Dependent </w:t>
            </w:r>
          </w:p>
        </w:tc>
        <w:tc>
          <w:tcPr>
            <w:tcW w:w="4996" w:type="dxa"/>
          </w:tcPr>
          <w:p w:rsidR="00E45E26" w:rsidRDefault="00A417CB" w:rsidP="00AE051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The outcome of revenue agencies’ efforts in collecting revenue for the government, measured as the total revenue collection for a period. Quarterly revenue collection.</w:t>
            </w:r>
          </w:p>
        </w:tc>
        <w:tc>
          <w:tcPr>
            <w:tcW w:w="1985" w:type="dxa"/>
          </w:tcPr>
          <w:p w:rsidR="00E45E26" w:rsidRDefault="00A417CB" w:rsidP="00AE051B">
            <w:pPr>
              <w:pStyle w:val="ListParagraph"/>
              <w:spacing w:after="0" w:line="480" w:lineRule="auto"/>
              <w:ind w:left="0"/>
              <w:jc w:val="both"/>
              <w:rPr>
                <w:rFonts w:ascii="Times New Roman" w:hAnsi="Times New Roman" w:cs="Times New Roman"/>
                <w:sz w:val="24"/>
                <w:szCs w:val="24"/>
              </w:rPr>
            </w:pPr>
            <w:proofErr w:type="spellStart"/>
            <w:r w:rsidRPr="00EF64F3">
              <w:rPr>
                <w:rFonts w:ascii="Times New Roman" w:hAnsi="Times New Roman" w:cs="Times New Roman"/>
                <w:sz w:val="24"/>
                <w:szCs w:val="24"/>
              </w:rPr>
              <w:t>Oti</w:t>
            </w:r>
            <w:proofErr w:type="spellEnd"/>
            <w:r w:rsidRPr="00EF64F3">
              <w:rPr>
                <w:rFonts w:ascii="Times New Roman" w:hAnsi="Times New Roman" w:cs="Times New Roman"/>
                <w:sz w:val="24"/>
                <w:szCs w:val="24"/>
              </w:rPr>
              <w:t xml:space="preserve"> </w:t>
            </w:r>
            <w:r w:rsidR="00EF64F3" w:rsidRPr="00EF64F3">
              <w:rPr>
                <w:rFonts w:ascii="Times New Roman" w:hAnsi="Times New Roman" w:cs="Times New Roman"/>
                <w:sz w:val="24"/>
                <w:szCs w:val="24"/>
              </w:rPr>
              <w:t xml:space="preserve">and </w:t>
            </w:r>
            <w:proofErr w:type="spellStart"/>
            <w:r w:rsidR="00EF64F3" w:rsidRPr="00EF64F3">
              <w:rPr>
                <w:rFonts w:ascii="Times New Roman" w:hAnsi="Times New Roman" w:cs="Times New Roman"/>
                <w:sz w:val="24"/>
                <w:szCs w:val="24"/>
              </w:rPr>
              <w:t>Odey</w:t>
            </w:r>
            <w:proofErr w:type="spellEnd"/>
            <w:r w:rsidRPr="00EF64F3">
              <w:rPr>
                <w:rFonts w:ascii="Times New Roman" w:hAnsi="Times New Roman" w:cs="Times New Roman"/>
                <w:sz w:val="24"/>
                <w:szCs w:val="24"/>
              </w:rPr>
              <w:t xml:space="preserve"> (2016)</w:t>
            </w:r>
            <w:r>
              <w:rPr>
                <w:rFonts w:ascii="Times New Roman" w:hAnsi="Times New Roman" w:cs="Times New Roman"/>
                <w:sz w:val="24"/>
                <w:szCs w:val="24"/>
              </w:rPr>
              <w:t xml:space="preserve">; </w:t>
            </w:r>
            <w:proofErr w:type="spellStart"/>
            <w:r>
              <w:rPr>
                <w:rFonts w:ascii="Times New Roman" w:hAnsi="Times New Roman" w:cs="Times New Roman"/>
                <w:sz w:val="24"/>
                <w:szCs w:val="24"/>
              </w:rPr>
              <w:t>Olurankinse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Oladeji</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Olaoye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Atilola</w:t>
            </w:r>
            <w:proofErr w:type="spellEnd"/>
            <w:r>
              <w:rPr>
                <w:rFonts w:ascii="Times New Roman" w:hAnsi="Times New Roman" w:cs="Times New Roman"/>
                <w:sz w:val="24"/>
                <w:szCs w:val="24"/>
              </w:rPr>
              <w:t xml:space="preserve"> (2018)</w:t>
            </w:r>
          </w:p>
        </w:tc>
      </w:tr>
      <w:tr w:rsidR="00E45E26">
        <w:tc>
          <w:tcPr>
            <w:tcW w:w="1526" w:type="dxa"/>
          </w:tcPr>
          <w:p w:rsidR="00E45E26" w:rsidRDefault="00A417CB" w:rsidP="00AE051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Tax Pro-Max</w:t>
            </w:r>
          </w:p>
        </w:tc>
        <w:tc>
          <w:tcPr>
            <w:tcW w:w="1417" w:type="dxa"/>
          </w:tcPr>
          <w:p w:rsidR="00E45E26" w:rsidRDefault="00A417CB" w:rsidP="00AE051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Independent </w:t>
            </w:r>
          </w:p>
          <w:p w:rsidR="00E45E26" w:rsidRDefault="00A417CB" w:rsidP="00AE051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Variable </w:t>
            </w:r>
          </w:p>
        </w:tc>
        <w:tc>
          <w:tcPr>
            <w:tcW w:w="4996" w:type="dxa"/>
          </w:tcPr>
          <w:p w:rsidR="00E45E26" w:rsidRDefault="00A417CB" w:rsidP="00AE051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Tax management software that provides an efficient and cost-effective solution to taxpayers, tax professionals, and government agencies, to automate the tax assessment and collection process for businesses and individual. Its efficiency is measured through taxpayer compliance and revenue collection efficiency.</w:t>
            </w:r>
          </w:p>
        </w:tc>
        <w:tc>
          <w:tcPr>
            <w:tcW w:w="1985" w:type="dxa"/>
          </w:tcPr>
          <w:p w:rsidR="00E45E26" w:rsidRDefault="00A417CB" w:rsidP="00AE051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Peter (2023); </w:t>
            </w:r>
            <w:proofErr w:type="spellStart"/>
            <w:r>
              <w:rPr>
                <w:rFonts w:ascii="Times New Roman" w:hAnsi="Times New Roman" w:cs="Times New Roman"/>
                <w:sz w:val="24"/>
                <w:szCs w:val="24"/>
              </w:rPr>
              <w:t>Obiora</w:t>
            </w:r>
            <w:proofErr w:type="spellEnd"/>
            <w:r>
              <w:rPr>
                <w:rFonts w:ascii="Times New Roman" w:hAnsi="Times New Roman" w:cs="Times New Roman"/>
                <w:sz w:val="24"/>
                <w:szCs w:val="24"/>
              </w:rPr>
              <w:t xml:space="preserve"> and Sunday (2021)</w:t>
            </w:r>
          </w:p>
        </w:tc>
      </w:tr>
    </w:tbl>
    <w:p w:rsidR="00465A50" w:rsidRPr="00465A50" w:rsidRDefault="00465A50" w:rsidP="00AE051B">
      <w:pPr>
        <w:spacing w:line="480" w:lineRule="auto"/>
        <w:contextualSpacing/>
        <w:jc w:val="both"/>
        <w:rPr>
          <w:rFonts w:ascii="Times New Roman" w:hAnsi="Times New Roman" w:cs="Times New Roman"/>
          <w:sz w:val="24"/>
          <w:szCs w:val="24"/>
        </w:rPr>
      </w:pPr>
      <w:r w:rsidRPr="00465A50">
        <w:rPr>
          <w:rFonts w:ascii="Times New Roman" w:hAnsi="Times New Roman" w:cs="Times New Roman"/>
          <w:sz w:val="24"/>
          <w:szCs w:val="24"/>
        </w:rPr>
        <w:t>Authors’ Compilation, 2025</w:t>
      </w:r>
    </w:p>
    <w:p w:rsidR="00E45E26" w:rsidRDefault="00A417CB" w:rsidP="00AE051B">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Data Presentation and Analysis</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The results of the various statistical analyses were presented in this section below:</w:t>
      </w:r>
    </w:p>
    <w:p w:rsidR="00E45E26" w:rsidRDefault="00A417CB" w:rsidP="00AE051B">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Descriptive Statistics</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The result of the descriptive statistics here presented in the table 1 below:</w:t>
      </w:r>
    </w:p>
    <w:p w:rsidR="00E45E26" w:rsidRDefault="00A417CB" w:rsidP="00AE051B">
      <w:pPr>
        <w:spacing w:after="0" w:line="480" w:lineRule="auto"/>
        <w:contextualSpacing/>
        <w:jc w:val="both"/>
        <w:rPr>
          <w:rFonts w:ascii="Times New Roman" w:eastAsia="Times New Roman" w:hAnsi="Times New Roman" w:cs="Times New Roman"/>
          <w:sz w:val="24"/>
          <w:szCs w:val="24"/>
        </w:rPr>
      </w:pPr>
      <w:r>
        <w:rPr>
          <w:rFonts w:ascii="Times New Roman" w:hAnsi="Times New Roman" w:cs="Times New Roman"/>
          <w:b/>
          <w:sz w:val="24"/>
          <w:szCs w:val="24"/>
        </w:rPr>
        <w:t>Table 2:</w:t>
      </w:r>
      <w:r>
        <w:rPr>
          <w:rFonts w:ascii="Times New Roman" w:hAnsi="Times New Roman" w:cs="Times New Roman"/>
          <w:b/>
          <w:sz w:val="24"/>
          <w:szCs w:val="24"/>
        </w:rPr>
        <w:tab/>
        <w:t xml:space="preserve">Descriptive Statistics </w:t>
      </w:r>
    </w:p>
    <w:tbl>
      <w:tblPr>
        <w:tblW w:w="0" w:type="auto"/>
        <w:tblInd w:w="3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492"/>
        <w:gridCol w:w="1313"/>
        <w:gridCol w:w="1305"/>
        <w:gridCol w:w="1313"/>
        <w:gridCol w:w="1312"/>
        <w:gridCol w:w="1313"/>
      </w:tblGrid>
      <w:tr w:rsidR="00E45E26">
        <w:trPr>
          <w:trHeight w:val="225"/>
        </w:trPr>
        <w:tc>
          <w:tcPr>
            <w:tcW w:w="1492" w:type="dxa"/>
            <w:tcBorders>
              <w:top w:val="single" w:sz="4" w:space="0" w:color="auto"/>
              <w:left w:val="nil"/>
              <w:bottom w:val="nil"/>
              <w:right w:val="nil"/>
            </w:tcBorders>
            <w:vAlign w:val="bottom"/>
          </w:tcPr>
          <w:p w:rsidR="00E45E26" w:rsidRDefault="00E45E26"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2618" w:type="dxa"/>
            <w:gridSpan w:val="2"/>
            <w:tcBorders>
              <w:top w:val="single" w:sz="4" w:space="0" w:color="auto"/>
              <w:left w:val="nil"/>
              <w:bottom w:val="nil"/>
              <w:right w:val="single" w:sz="4" w:space="0" w:color="auto"/>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Before</w:t>
            </w:r>
          </w:p>
        </w:tc>
        <w:tc>
          <w:tcPr>
            <w:tcW w:w="2625" w:type="dxa"/>
            <w:gridSpan w:val="2"/>
            <w:tcBorders>
              <w:top w:val="single" w:sz="4" w:space="0" w:color="auto"/>
              <w:left w:val="single" w:sz="4" w:space="0" w:color="auto"/>
              <w:bottom w:val="nil"/>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After </w:t>
            </w:r>
          </w:p>
        </w:tc>
        <w:tc>
          <w:tcPr>
            <w:tcW w:w="1313" w:type="dxa"/>
            <w:vMerge w:val="restart"/>
            <w:tcBorders>
              <w:top w:val="single" w:sz="4" w:space="0" w:color="auto"/>
              <w:left w:val="nil"/>
              <w:bottom w:val="single" w:sz="4" w:space="0" w:color="auto"/>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TPI</w:t>
            </w:r>
          </w:p>
        </w:tc>
      </w:tr>
      <w:tr w:rsidR="00E45E26">
        <w:trPr>
          <w:trHeight w:val="225"/>
        </w:trPr>
        <w:tc>
          <w:tcPr>
            <w:tcW w:w="1492" w:type="dxa"/>
            <w:tcBorders>
              <w:top w:val="nil"/>
              <w:left w:val="nil"/>
              <w:bottom w:val="single" w:sz="4" w:space="0" w:color="auto"/>
              <w:right w:val="nil"/>
            </w:tcBorders>
            <w:vAlign w:val="bottom"/>
          </w:tcPr>
          <w:p w:rsidR="00E45E26" w:rsidRDefault="00E45E26"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3" w:type="dxa"/>
            <w:tcBorders>
              <w:top w:val="nil"/>
              <w:left w:val="nil"/>
              <w:bottom w:val="single" w:sz="4" w:space="0" w:color="auto"/>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TR</w:t>
            </w:r>
          </w:p>
        </w:tc>
        <w:tc>
          <w:tcPr>
            <w:tcW w:w="1305" w:type="dxa"/>
            <w:tcBorders>
              <w:top w:val="nil"/>
              <w:left w:val="nil"/>
              <w:bottom w:val="single" w:sz="4" w:space="0" w:color="auto"/>
              <w:right w:val="single" w:sz="4" w:space="0" w:color="auto"/>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TC</w:t>
            </w:r>
          </w:p>
        </w:tc>
        <w:tc>
          <w:tcPr>
            <w:tcW w:w="1313" w:type="dxa"/>
            <w:tcBorders>
              <w:top w:val="nil"/>
              <w:left w:val="single" w:sz="4" w:space="0" w:color="auto"/>
              <w:bottom w:val="single" w:sz="4" w:space="0" w:color="auto"/>
              <w:right w:val="nil"/>
            </w:tcBorders>
            <w:vAlign w:val="bottom"/>
          </w:tcPr>
          <w:p w:rsidR="00E45E26" w:rsidRDefault="00A417CB" w:rsidP="00AE051B">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TR_</w:t>
            </w:r>
            <w:r>
              <w:rPr>
                <w:rFonts w:ascii="Times New Roman" w:eastAsia="Calibri" w:hAnsi="Times New Roman" w:cs="Times New Roman"/>
                <w:bCs/>
                <w:sz w:val="24"/>
                <w:szCs w:val="24"/>
              </w:rPr>
              <w:t>TPI</w:t>
            </w:r>
          </w:p>
        </w:tc>
        <w:tc>
          <w:tcPr>
            <w:tcW w:w="1312" w:type="dxa"/>
            <w:tcBorders>
              <w:top w:val="nil"/>
              <w:left w:val="nil"/>
              <w:bottom w:val="single" w:sz="4" w:space="0" w:color="auto"/>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eastAsia="Calibri" w:hAnsi="Times New Roman" w:cs="Times New Roman"/>
                <w:bCs/>
                <w:sz w:val="24"/>
                <w:szCs w:val="24"/>
              </w:rPr>
              <w:t>TC</w:t>
            </w:r>
            <w:r>
              <w:rPr>
                <w:rFonts w:ascii="Times New Roman" w:hAnsi="Times New Roman" w:cs="Times New Roman"/>
                <w:color w:val="000000"/>
                <w:sz w:val="24"/>
                <w:szCs w:val="24"/>
                <w:lang w:val="en-GB"/>
              </w:rPr>
              <w:t>_TPI</w:t>
            </w:r>
          </w:p>
        </w:tc>
        <w:tc>
          <w:tcPr>
            <w:tcW w:w="1313" w:type="dxa"/>
            <w:vMerge/>
            <w:tcBorders>
              <w:top w:val="single" w:sz="4" w:space="0" w:color="auto"/>
              <w:left w:val="nil"/>
              <w:bottom w:val="single" w:sz="4" w:space="0" w:color="auto"/>
              <w:right w:val="nil"/>
            </w:tcBorders>
            <w:vAlign w:val="center"/>
          </w:tcPr>
          <w:p w:rsidR="00E45E26" w:rsidRDefault="00E45E26" w:rsidP="00AE051B">
            <w:pPr>
              <w:spacing w:after="0" w:line="480" w:lineRule="auto"/>
              <w:ind w:right="-180"/>
              <w:contextualSpacing/>
              <w:jc w:val="both"/>
              <w:rPr>
                <w:rFonts w:ascii="Times New Roman" w:hAnsi="Times New Roman" w:cs="Times New Roman"/>
                <w:color w:val="000000"/>
                <w:sz w:val="24"/>
                <w:szCs w:val="24"/>
                <w:lang w:val="en-GB"/>
              </w:rPr>
            </w:pPr>
          </w:p>
        </w:tc>
      </w:tr>
      <w:tr w:rsidR="00E45E26">
        <w:trPr>
          <w:trHeight w:val="225"/>
        </w:trPr>
        <w:tc>
          <w:tcPr>
            <w:tcW w:w="1492" w:type="dxa"/>
            <w:tcBorders>
              <w:top w:val="single" w:sz="4" w:space="0" w:color="auto"/>
              <w:left w:val="nil"/>
              <w:bottom w:val="nil"/>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Mean</w:t>
            </w:r>
          </w:p>
        </w:tc>
        <w:tc>
          <w:tcPr>
            <w:tcW w:w="1313" w:type="dxa"/>
            <w:tcBorders>
              <w:top w:val="single" w:sz="4" w:space="0" w:color="auto"/>
              <w:left w:val="nil"/>
              <w:bottom w:val="nil"/>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13.09540</w:t>
            </w:r>
          </w:p>
        </w:tc>
        <w:tc>
          <w:tcPr>
            <w:tcW w:w="1305" w:type="dxa"/>
            <w:tcBorders>
              <w:top w:val="single" w:sz="4" w:space="0" w:color="auto"/>
              <w:left w:val="nil"/>
              <w:bottom w:val="nil"/>
              <w:right w:val="single" w:sz="4" w:space="0" w:color="auto"/>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15.46292</w:t>
            </w:r>
          </w:p>
        </w:tc>
        <w:tc>
          <w:tcPr>
            <w:tcW w:w="1313" w:type="dxa"/>
            <w:tcBorders>
              <w:top w:val="single" w:sz="4" w:space="0" w:color="auto"/>
              <w:left w:val="single" w:sz="4" w:space="0" w:color="auto"/>
              <w:bottom w:val="nil"/>
              <w:right w:val="nil"/>
            </w:tcBorders>
            <w:vAlign w:val="bottom"/>
          </w:tcPr>
          <w:p w:rsidR="00E45E26" w:rsidRDefault="00A417CB" w:rsidP="00AE051B">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14.97234</w:t>
            </w:r>
          </w:p>
        </w:tc>
        <w:tc>
          <w:tcPr>
            <w:tcW w:w="1312" w:type="dxa"/>
            <w:tcBorders>
              <w:top w:val="single" w:sz="4" w:space="0" w:color="auto"/>
              <w:left w:val="nil"/>
              <w:bottom w:val="nil"/>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17.56126</w:t>
            </w:r>
          </w:p>
        </w:tc>
        <w:tc>
          <w:tcPr>
            <w:tcW w:w="1313" w:type="dxa"/>
            <w:tcBorders>
              <w:top w:val="single" w:sz="4" w:space="0" w:color="auto"/>
              <w:left w:val="nil"/>
              <w:bottom w:val="nil"/>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0.880000</w:t>
            </w:r>
          </w:p>
        </w:tc>
      </w:tr>
      <w:tr w:rsidR="00E45E26">
        <w:trPr>
          <w:trHeight w:val="225"/>
        </w:trPr>
        <w:tc>
          <w:tcPr>
            <w:tcW w:w="1492" w:type="dxa"/>
            <w:tcBorders>
              <w:top w:val="nil"/>
              <w:left w:val="nil"/>
              <w:bottom w:val="nil"/>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Median</w:t>
            </w:r>
          </w:p>
        </w:tc>
        <w:tc>
          <w:tcPr>
            <w:tcW w:w="1313" w:type="dxa"/>
            <w:tcBorders>
              <w:top w:val="nil"/>
              <w:left w:val="nil"/>
              <w:bottom w:val="nil"/>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13.23000</w:t>
            </w:r>
          </w:p>
        </w:tc>
        <w:tc>
          <w:tcPr>
            <w:tcW w:w="1305" w:type="dxa"/>
            <w:tcBorders>
              <w:top w:val="nil"/>
              <w:left w:val="nil"/>
              <w:bottom w:val="nil"/>
              <w:right w:val="single" w:sz="4" w:space="0" w:color="auto"/>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15.64703</w:t>
            </w:r>
          </w:p>
        </w:tc>
        <w:tc>
          <w:tcPr>
            <w:tcW w:w="1313" w:type="dxa"/>
            <w:tcBorders>
              <w:top w:val="nil"/>
              <w:left w:val="single" w:sz="4" w:space="0" w:color="auto"/>
              <w:bottom w:val="nil"/>
              <w:right w:val="nil"/>
            </w:tcBorders>
            <w:vAlign w:val="bottom"/>
          </w:tcPr>
          <w:p w:rsidR="00E45E26" w:rsidRDefault="00A417CB" w:rsidP="00AE051B">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10.80000</w:t>
            </w:r>
          </w:p>
        </w:tc>
        <w:tc>
          <w:tcPr>
            <w:tcW w:w="1312" w:type="dxa"/>
            <w:tcBorders>
              <w:top w:val="nil"/>
              <w:left w:val="nil"/>
              <w:bottom w:val="nil"/>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15.53428</w:t>
            </w:r>
          </w:p>
        </w:tc>
        <w:tc>
          <w:tcPr>
            <w:tcW w:w="1313" w:type="dxa"/>
            <w:tcBorders>
              <w:top w:val="nil"/>
              <w:left w:val="nil"/>
              <w:bottom w:val="nil"/>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1.000000</w:t>
            </w:r>
          </w:p>
        </w:tc>
      </w:tr>
      <w:tr w:rsidR="00E45E26">
        <w:trPr>
          <w:trHeight w:val="225"/>
        </w:trPr>
        <w:tc>
          <w:tcPr>
            <w:tcW w:w="1492" w:type="dxa"/>
            <w:tcBorders>
              <w:top w:val="nil"/>
              <w:left w:val="nil"/>
              <w:bottom w:val="nil"/>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Maximum </w:t>
            </w:r>
          </w:p>
        </w:tc>
        <w:tc>
          <w:tcPr>
            <w:tcW w:w="1313" w:type="dxa"/>
            <w:tcBorders>
              <w:top w:val="nil"/>
              <w:left w:val="nil"/>
              <w:bottom w:val="nil"/>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43.80000</w:t>
            </w:r>
          </w:p>
        </w:tc>
        <w:tc>
          <w:tcPr>
            <w:tcW w:w="1305" w:type="dxa"/>
            <w:tcBorders>
              <w:top w:val="nil"/>
              <w:left w:val="nil"/>
              <w:bottom w:val="nil"/>
              <w:right w:val="single" w:sz="4" w:space="0" w:color="auto"/>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22.43452</w:t>
            </w:r>
          </w:p>
        </w:tc>
        <w:tc>
          <w:tcPr>
            <w:tcW w:w="1313" w:type="dxa"/>
            <w:tcBorders>
              <w:top w:val="nil"/>
              <w:left w:val="single" w:sz="4" w:space="0" w:color="auto"/>
              <w:bottom w:val="nil"/>
              <w:right w:val="nil"/>
            </w:tcBorders>
            <w:vAlign w:val="bottom"/>
          </w:tcPr>
          <w:p w:rsidR="00E45E26" w:rsidRDefault="00A417CB" w:rsidP="00AE051B">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23.80000</w:t>
            </w:r>
          </w:p>
        </w:tc>
        <w:tc>
          <w:tcPr>
            <w:tcW w:w="1312" w:type="dxa"/>
            <w:tcBorders>
              <w:top w:val="nil"/>
              <w:left w:val="nil"/>
              <w:bottom w:val="nil"/>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22.43452</w:t>
            </w:r>
          </w:p>
        </w:tc>
        <w:tc>
          <w:tcPr>
            <w:tcW w:w="1313" w:type="dxa"/>
            <w:tcBorders>
              <w:top w:val="nil"/>
              <w:left w:val="nil"/>
              <w:bottom w:val="nil"/>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1.000000</w:t>
            </w:r>
          </w:p>
        </w:tc>
      </w:tr>
      <w:tr w:rsidR="00E45E26">
        <w:trPr>
          <w:trHeight w:val="225"/>
        </w:trPr>
        <w:tc>
          <w:tcPr>
            <w:tcW w:w="1492" w:type="dxa"/>
            <w:tcBorders>
              <w:top w:val="nil"/>
              <w:left w:val="nil"/>
              <w:bottom w:val="nil"/>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Minimum</w:t>
            </w:r>
          </w:p>
        </w:tc>
        <w:tc>
          <w:tcPr>
            <w:tcW w:w="1313" w:type="dxa"/>
            <w:tcBorders>
              <w:top w:val="nil"/>
              <w:left w:val="nil"/>
              <w:bottom w:val="nil"/>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9.200000</w:t>
            </w:r>
          </w:p>
        </w:tc>
        <w:tc>
          <w:tcPr>
            <w:tcW w:w="1305" w:type="dxa"/>
            <w:tcBorders>
              <w:top w:val="nil"/>
              <w:left w:val="nil"/>
              <w:bottom w:val="nil"/>
              <w:right w:val="single" w:sz="4" w:space="0" w:color="auto"/>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13.96994</w:t>
            </w:r>
          </w:p>
        </w:tc>
        <w:tc>
          <w:tcPr>
            <w:tcW w:w="1313" w:type="dxa"/>
            <w:tcBorders>
              <w:top w:val="nil"/>
              <w:left w:val="single" w:sz="4" w:space="0" w:color="auto"/>
              <w:bottom w:val="nil"/>
              <w:right w:val="nil"/>
            </w:tcBorders>
            <w:vAlign w:val="bottom"/>
          </w:tcPr>
          <w:p w:rsidR="00E45E26" w:rsidRDefault="00A417CB" w:rsidP="00AE051B">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0.000000</w:t>
            </w:r>
          </w:p>
        </w:tc>
        <w:tc>
          <w:tcPr>
            <w:tcW w:w="1312" w:type="dxa"/>
            <w:tcBorders>
              <w:top w:val="nil"/>
              <w:left w:val="nil"/>
              <w:bottom w:val="nil"/>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0.000000</w:t>
            </w:r>
          </w:p>
        </w:tc>
        <w:tc>
          <w:tcPr>
            <w:tcW w:w="1313" w:type="dxa"/>
            <w:tcBorders>
              <w:top w:val="nil"/>
              <w:left w:val="nil"/>
              <w:bottom w:val="nil"/>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0.000000</w:t>
            </w:r>
          </w:p>
        </w:tc>
      </w:tr>
      <w:tr w:rsidR="00E45E26">
        <w:trPr>
          <w:trHeight w:val="225"/>
        </w:trPr>
        <w:tc>
          <w:tcPr>
            <w:tcW w:w="1492" w:type="dxa"/>
            <w:tcBorders>
              <w:top w:val="nil"/>
              <w:left w:val="nil"/>
              <w:bottom w:val="nil"/>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Std. Dev.</w:t>
            </w:r>
          </w:p>
        </w:tc>
        <w:tc>
          <w:tcPr>
            <w:tcW w:w="1313" w:type="dxa"/>
            <w:tcBorders>
              <w:top w:val="nil"/>
              <w:left w:val="nil"/>
              <w:bottom w:val="nil"/>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10.98361</w:t>
            </w:r>
          </w:p>
        </w:tc>
        <w:tc>
          <w:tcPr>
            <w:tcW w:w="1305" w:type="dxa"/>
            <w:tcBorders>
              <w:top w:val="nil"/>
              <w:left w:val="nil"/>
              <w:bottom w:val="nil"/>
              <w:right w:val="single" w:sz="4" w:space="0" w:color="auto"/>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2.863970</w:t>
            </w:r>
          </w:p>
        </w:tc>
        <w:tc>
          <w:tcPr>
            <w:tcW w:w="1313" w:type="dxa"/>
            <w:tcBorders>
              <w:top w:val="nil"/>
              <w:left w:val="single" w:sz="4" w:space="0" w:color="auto"/>
              <w:bottom w:val="nil"/>
              <w:right w:val="nil"/>
            </w:tcBorders>
            <w:vAlign w:val="bottom"/>
          </w:tcPr>
          <w:p w:rsidR="00E45E26" w:rsidRDefault="00A417CB" w:rsidP="00AE051B">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10.22404</w:t>
            </w:r>
          </w:p>
        </w:tc>
        <w:tc>
          <w:tcPr>
            <w:tcW w:w="1312" w:type="dxa"/>
            <w:tcBorders>
              <w:top w:val="nil"/>
              <w:left w:val="nil"/>
              <w:bottom w:val="nil"/>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6.367669</w:t>
            </w:r>
          </w:p>
        </w:tc>
        <w:tc>
          <w:tcPr>
            <w:tcW w:w="1313" w:type="dxa"/>
            <w:tcBorders>
              <w:top w:val="nil"/>
              <w:left w:val="nil"/>
              <w:bottom w:val="nil"/>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0.328261</w:t>
            </w:r>
          </w:p>
        </w:tc>
      </w:tr>
      <w:tr w:rsidR="00E45E26">
        <w:trPr>
          <w:trHeight w:val="225"/>
        </w:trPr>
        <w:tc>
          <w:tcPr>
            <w:tcW w:w="1492" w:type="dxa"/>
            <w:tcBorders>
              <w:top w:val="nil"/>
              <w:left w:val="nil"/>
              <w:bottom w:val="nil"/>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Skewness</w:t>
            </w:r>
          </w:p>
        </w:tc>
        <w:tc>
          <w:tcPr>
            <w:tcW w:w="1313" w:type="dxa"/>
            <w:tcBorders>
              <w:top w:val="nil"/>
              <w:left w:val="nil"/>
              <w:bottom w:val="nil"/>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0.378721</w:t>
            </w:r>
          </w:p>
        </w:tc>
        <w:tc>
          <w:tcPr>
            <w:tcW w:w="1305" w:type="dxa"/>
            <w:tcBorders>
              <w:top w:val="nil"/>
              <w:left w:val="nil"/>
              <w:bottom w:val="nil"/>
              <w:right w:val="single" w:sz="4" w:space="0" w:color="auto"/>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0.502345</w:t>
            </w:r>
          </w:p>
        </w:tc>
        <w:tc>
          <w:tcPr>
            <w:tcW w:w="1313" w:type="dxa"/>
            <w:tcBorders>
              <w:top w:val="nil"/>
              <w:left w:val="single" w:sz="4" w:space="0" w:color="auto"/>
              <w:bottom w:val="nil"/>
              <w:right w:val="nil"/>
            </w:tcBorders>
            <w:vAlign w:val="bottom"/>
          </w:tcPr>
          <w:p w:rsidR="00E45E26" w:rsidRDefault="00A417CB" w:rsidP="00AE051B">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0.535585</w:t>
            </w:r>
          </w:p>
        </w:tc>
        <w:tc>
          <w:tcPr>
            <w:tcW w:w="1312" w:type="dxa"/>
            <w:tcBorders>
              <w:top w:val="nil"/>
              <w:left w:val="nil"/>
              <w:bottom w:val="nil"/>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-1.512362</w:t>
            </w:r>
          </w:p>
        </w:tc>
        <w:tc>
          <w:tcPr>
            <w:tcW w:w="1313" w:type="dxa"/>
            <w:tcBorders>
              <w:top w:val="nil"/>
              <w:left w:val="nil"/>
              <w:bottom w:val="nil"/>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-2.338738</w:t>
            </w:r>
          </w:p>
        </w:tc>
      </w:tr>
      <w:tr w:rsidR="00E45E26">
        <w:trPr>
          <w:trHeight w:val="225"/>
        </w:trPr>
        <w:tc>
          <w:tcPr>
            <w:tcW w:w="1492" w:type="dxa"/>
            <w:tcBorders>
              <w:top w:val="nil"/>
              <w:left w:val="nil"/>
              <w:bottom w:val="nil"/>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Kurtosis</w:t>
            </w:r>
          </w:p>
        </w:tc>
        <w:tc>
          <w:tcPr>
            <w:tcW w:w="1313" w:type="dxa"/>
            <w:tcBorders>
              <w:top w:val="nil"/>
              <w:left w:val="nil"/>
              <w:bottom w:val="nil"/>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3.327176</w:t>
            </w:r>
          </w:p>
        </w:tc>
        <w:tc>
          <w:tcPr>
            <w:tcW w:w="1305" w:type="dxa"/>
            <w:tcBorders>
              <w:top w:val="nil"/>
              <w:left w:val="nil"/>
              <w:bottom w:val="nil"/>
              <w:right w:val="single" w:sz="4" w:space="0" w:color="auto"/>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1.467618</w:t>
            </w:r>
          </w:p>
        </w:tc>
        <w:tc>
          <w:tcPr>
            <w:tcW w:w="1313" w:type="dxa"/>
            <w:tcBorders>
              <w:top w:val="nil"/>
              <w:left w:val="single" w:sz="4" w:space="0" w:color="auto"/>
              <w:bottom w:val="nil"/>
              <w:right w:val="nil"/>
            </w:tcBorders>
            <w:vAlign w:val="bottom"/>
          </w:tcPr>
          <w:p w:rsidR="00E45E26" w:rsidRDefault="00A417CB" w:rsidP="00AE051B">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3.053010</w:t>
            </w:r>
          </w:p>
        </w:tc>
        <w:tc>
          <w:tcPr>
            <w:tcW w:w="1312" w:type="dxa"/>
            <w:tcBorders>
              <w:top w:val="nil"/>
              <w:left w:val="nil"/>
              <w:bottom w:val="nil"/>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4.592319</w:t>
            </w:r>
          </w:p>
        </w:tc>
        <w:tc>
          <w:tcPr>
            <w:tcW w:w="1313" w:type="dxa"/>
            <w:tcBorders>
              <w:top w:val="nil"/>
              <w:left w:val="nil"/>
              <w:bottom w:val="nil"/>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6.469697</w:t>
            </w:r>
          </w:p>
        </w:tc>
      </w:tr>
      <w:tr w:rsidR="00E45E26">
        <w:trPr>
          <w:trHeight w:val="225"/>
        </w:trPr>
        <w:tc>
          <w:tcPr>
            <w:tcW w:w="1492" w:type="dxa"/>
            <w:tcBorders>
              <w:top w:val="nil"/>
              <w:left w:val="nil"/>
              <w:bottom w:val="nil"/>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w:t>
            </w:r>
            <w:proofErr w:type="spellStart"/>
            <w:r>
              <w:rPr>
                <w:rFonts w:ascii="Times New Roman" w:hAnsi="Times New Roman" w:cs="Times New Roman"/>
                <w:color w:val="000000"/>
                <w:sz w:val="24"/>
                <w:szCs w:val="24"/>
                <w:lang w:val="en-GB"/>
              </w:rPr>
              <w:t>Jarque-Bera</w:t>
            </w:r>
            <w:proofErr w:type="spellEnd"/>
          </w:p>
        </w:tc>
        <w:tc>
          <w:tcPr>
            <w:tcW w:w="1313" w:type="dxa"/>
            <w:tcBorders>
              <w:top w:val="nil"/>
              <w:left w:val="nil"/>
              <w:bottom w:val="nil"/>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1.418256</w:t>
            </w:r>
          </w:p>
        </w:tc>
        <w:tc>
          <w:tcPr>
            <w:tcW w:w="1305" w:type="dxa"/>
            <w:tcBorders>
              <w:top w:val="nil"/>
              <w:left w:val="nil"/>
              <w:bottom w:val="nil"/>
              <w:right w:val="single" w:sz="4" w:space="0" w:color="auto"/>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6.994994</w:t>
            </w:r>
          </w:p>
        </w:tc>
        <w:tc>
          <w:tcPr>
            <w:tcW w:w="1313" w:type="dxa"/>
            <w:tcBorders>
              <w:top w:val="nil"/>
              <w:left w:val="single" w:sz="4" w:space="0" w:color="auto"/>
              <w:bottom w:val="nil"/>
              <w:right w:val="nil"/>
            </w:tcBorders>
            <w:vAlign w:val="bottom"/>
          </w:tcPr>
          <w:p w:rsidR="00E45E26" w:rsidRDefault="00A417CB" w:rsidP="00AE051B">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2.396278</w:t>
            </w:r>
          </w:p>
        </w:tc>
        <w:tc>
          <w:tcPr>
            <w:tcW w:w="1312" w:type="dxa"/>
            <w:tcBorders>
              <w:top w:val="nil"/>
              <w:left w:val="nil"/>
              <w:bottom w:val="nil"/>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24.34256</w:t>
            </w:r>
          </w:p>
        </w:tc>
        <w:tc>
          <w:tcPr>
            <w:tcW w:w="1313" w:type="dxa"/>
            <w:tcBorders>
              <w:top w:val="nil"/>
              <w:left w:val="nil"/>
              <w:bottom w:val="nil"/>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70.66164</w:t>
            </w:r>
          </w:p>
        </w:tc>
      </w:tr>
      <w:tr w:rsidR="00E45E26">
        <w:trPr>
          <w:trHeight w:val="225"/>
        </w:trPr>
        <w:tc>
          <w:tcPr>
            <w:tcW w:w="1492" w:type="dxa"/>
            <w:tcBorders>
              <w:top w:val="nil"/>
              <w:left w:val="nil"/>
              <w:bottom w:val="nil"/>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Probability</w:t>
            </w:r>
          </w:p>
        </w:tc>
        <w:tc>
          <w:tcPr>
            <w:tcW w:w="1313" w:type="dxa"/>
            <w:tcBorders>
              <w:top w:val="nil"/>
              <w:left w:val="nil"/>
              <w:bottom w:val="nil"/>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0.492073</w:t>
            </w:r>
          </w:p>
        </w:tc>
        <w:tc>
          <w:tcPr>
            <w:tcW w:w="1305" w:type="dxa"/>
            <w:tcBorders>
              <w:top w:val="nil"/>
              <w:left w:val="nil"/>
              <w:bottom w:val="nil"/>
              <w:right w:val="single" w:sz="4" w:space="0" w:color="auto"/>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0.030273</w:t>
            </w:r>
          </w:p>
        </w:tc>
        <w:tc>
          <w:tcPr>
            <w:tcW w:w="1313" w:type="dxa"/>
            <w:tcBorders>
              <w:top w:val="nil"/>
              <w:left w:val="single" w:sz="4" w:space="0" w:color="auto"/>
              <w:bottom w:val="nil"/>
              <w:right w:val="nil"/>
            </w:tcBorders>
            <w:vAlign w:val="bottom"/>
          </w:tcPr>
          <w:p w:rsidR="00E45E26" w:rsidRDefault="00A417CB" w:rsidP="00AE051B">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0.301755</w:t>
            </w:r>
          </w:p>
        </w:tc>
        <w:tc>
          <w:tcPr>
            <w:tcW w:w="1312" w:type="dxa"/>
            <w:tcBorders>
              <w:top w:val="nil"/>
              <w:left w:val="nil"/>
              <w:bottom w:val="nil"/>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0.000005</w:t>
            </w:r>
          </w:p>
        </w:tc>
        <w:tc>
          <w:tcPr>
            <w:tcW w:w="1313" w:type="dxa"/>
            <w:tcBorders>
              <w:top w:val="nil"/>
              <w:left w:val="nil"/>
              <w:bottom w:val="nil"/>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0.000000</w:t>
            </w:r>
          </w:p>
        </w:tc>
      </w:tr>
      <w:tr w:rsidR="00E45E26">
        <w:trPr>
          <w:trHeight w:val="225"/>
        </w:trPr>
        <w:tc>
          <w:tcPr>
            <w:tcW w:w="1492" w:type="dxa"/>
            <w:tcBorders>
              <w:top w:val="nil"/>
              <w:left w:val="nil"/>
              <w:bottom w:val="nil"/>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Sum</w:t>
            </w:r>
          </w:p>
        </w:tc>
        <w:tc>
          <w:tcPr>
            <w:tcW w:w="1313" w:type="dxa"/>
            <w:tcBorders>
              <w:top w:val="nil"/>
              <w:left w:val="nil"/>
              <w:bottom w:val="nil"/>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748.6170</w:t>
            </w:r>
          </w:p>
        </w:tc>
        <w:tc>
          <w:tcPr>
            <w:tcW w:w="1305" w:type="dxa"/>
            <w:tcBorders>
              <w:top w:val="nil"/>
              <w:left w:val="nil"/>
              <w:bottom w:val="nil"/>
              <w:right w:val="single" w:sz="4" w:space="0" w:color="auto"/>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878.0628</w:t>
            </w:r>
          </w:p>
        </w:tc>
        <w:tc>
          <w:tcPr>
            <w:tcW w:w="1313" w:type="dxa"/>
            <w:tcBorders>
              <w:top w:val="nil"/>
              <w:left w:val="single" w:sz="4" w:space="0" w:color="auto"/>
              <w:bottom w:val="nil"/>
              <w:right w:val="nil"/>
            </w:tcBorders>
            <w:vAlign w:val="bottom"/>
          </w:tcPr>
          <w:p w:rsidR="00E45E26" w:rsidRDefault="00A417CB" w:rsidP="00AE051B">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654.7700</w:t>
            </w:r>
          </w:p>
        </w:tc>
        <w:tc>
          <w:tcPr>
            <w:tcW w:w="1312" w:type="dxa"/>
            <w:tcBorders>
              <w:top w:val="nil"/>
              <w:left w:val="nil"/>
              <w:bottom w:val="nil"/>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773.1461</w:t>
            </w:r>
          </w:p>
        </w:tc>
        <w:tc>
          <w:tcPr>
            <w:tcW w:w="1313" w:type="dxa"/>
            <w:tcBorders>
              <w:top w:val="nil"/>
              <w:left w:val="nil"/>
              <w:bottom w:val="nil"/>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44.00000</w:t>
            </w:r>
          </w:p>
        </w:tc>
      </w:tr>
      <w:tr w:rsidR="00E45E26">
        <w:trPr>
          <w:trHeight w:val="225"/>
        </w:trPr>
        <w:tc>
          <w:tcPr>
            <w:tcW w:w="1492" w:type="dxa"/>
            <w:tcBorders>
              <w:top w:val="nil"/>
              <w:left w:val="nil"/>
              <w:bottom w:val="nil"/>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lastRenderedPageBreak/>
              <w:t> Sum Sq. Dev.</w:t>
            </w:r>
          </w:p>
        </w:tc>
        <w:tc>
          <w:tcPr>
            <w:tcW w:w="1313" w:type="dxa"/>
            <w:tcBorders>
              <w:top w:val="nil"/>
              <w:left w:val="nil"/>
              <w:bottom w:val="nil"/>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5122.023</w:t>
            </w:r>
          </w:p>
        </w:tc>
        <w:tc>
          <w:tcPr>
            <w:tcW w:w="1305" w:type="dxa"/>
            <w:tcBorders>
              <w:top w:val="nil"/>
              <w:left w:val="nil"/>
              <w:bottom w:val="nil"/>
              <w:right w:val="single" w:sz="4" w:space="0" w:color="auto"/>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401.9138</w:t>
            </w:r>
          </w:p>
        </w:tc>
        <w:tc>
          <w:tcPr>
            <w:tcW w:w="1313" w:type="dxa"/>
            <w:tcBorders>
              <w:top w:val="nil"/>
              <w:left w:val="single" w:sz="4" w:space="0" w:color="auto"/>
              <w:bottom w:val="nil"/>
              <w:right w:val="nil"/>
            </w:tcBorders>
            <w:vAlign w:val="bottom"/>
          </w:tcPr>
          <w:p w:rsidR="00E45E26" w:rsidRDefault="00A417CB" w:rsidP="00AE051B">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5911.349</w:t>
            </w:r>
          </w:p>
        </w:tc>
        <w:tc>
          <w:tcPr>
            <w:tcW w:w="1312" w:type="dxa"/>
            <w:tcBorders>
              <w:top w:val="nil"/>
              <w:left w:val="nil"/>
              <w:bottom w:val="nil"/>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1986.813</w:t>
            </w:r>
          </w:p>
        </w:tc>
        <w:tc>
          <w:tcPr>
            <w:tcW w:w="1313" w:type="dxa"/>
            <w:tcBorders>
              <w:top w:val="nil"/>
              <w:left w:val="nil"/>
              <w:bottom w:val="nil"/>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5.280000</w:t>
            </w:r>
          </w:p>
        </w:tc>
      </w:tr>
      <w:tr w:rsidR="00E45E26">
        <w:trPr>
          <w:trHeight w:val="225"/>
        </w:trPr>
        <w:tc>
          <w:tcPr>
            <w:tcW w:w="1492" w:type="dxa"/>
            <w:tcBorders>
              <w:top w:val="nil"/>
              <w:left w:val="nil"/>
              <w:bottom w:val="single" w:sz="4" w:space="0" w:color="auto"/>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Observations</w:t>
            </w:r>
          </w:p>
        </w:tc>
        <w:tc>
          <w:tcPr>
            <w:tcW w:w="1313" w:type="dxa"/>
            <w:tcBorders>
              <w:top w:val="nil"/>
              <w:left w:val="nil"/>
              <w:bottom w:val="single" w:sz="4" w:space="0" w:color="auto"/>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24</w:t>
            </w:r>
          </w:p>
        </w:tc>
        <w:tc>
          <w:tcPr>
            <w:tcW w:w="1305" w:type="dxa"/>
            <w:tcBorders>
              <w:top w:val="nil"/>
              <w:left w:val="nil"/>
              <w:bottom w:val="single" w:sz="4" w:space="0" w:color="auto"/>
              <w:right w:val="single" w:sz="4" w:space="0" w:color="auto"/>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24</w:t>
            </w:r>
          </w:p>
        </w:tc>
        <w:tc>
          <w:tcPr>
            <w:tcW w:w="1313" w:type="dxa"/>
            <w:tcBorders>
              <w:top w:val="nil"/>
              <w:left w:val="single" w:sz="4" w:space="0" w:color="auto"/>
              <w:bottom w:val="single" w:sz="4" w:space="0" w:color="auto"/>
              <w:right w:val="nil"/>
            </w:tcBorders>
            <w:vAlign w:val="bottom"/>
          </w:tcPr>
          <w:p w:rsidR="00E45E26" w:rsidRDefault="00A417CB" w:rsidP="00AE051B">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24</w:t>
            </w:r>
          </w:p>
        </w:tc>
        <w:tc>
          <w:tcPr>
            <w:tcW w:w="1312" w:type="dxa"/>
            <w:tcBorders>
              <w:top w:val="nil"/>
              <w:left w:val="nil"/>
              <w:bottom w:val="single" w:sz="4" w:space="0" w:color="auto"/>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24</w:t>
            </w:r>
          </w:p>
        </w:tc>
        <w:tc>
          <w:tcPr>
            <w:tcW w:w="1313" w:type="dxa"/>
            <w:tcBorders>
              <w:top w:val="nil"/>
              <w:left w:val="nil"/>
              <w:bottom w:val="single" w:sz="4" w:space="0" w:color="auto"/>
              <w:right w:val="nil"/>
            </w:tcBorders>
            <w:vAlign w:val="bottom"/>
          </w:tcPr>
          <w:p w:rsidR="00E45E26" w:rsidRDefault="00A417CB" w:rsidP="00AE051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24</w:t>
            </w:r>
          </w:p>
        </w:tc>
      </w:tr>
    </w:tbl>
    <w:p w:rsidR="00E45E26" w:rsidRDefault="00A417CB" w:rsidP="00AE051B">
      <w:pPr>
        <w:spacing w:line="480" w:lineRule="auto"/>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Source: </w:t>
      </w:r>
      <w:r>
        <w:rPr>
          <w:rFonts w:ascii="Times New Roman" w:hAnsi="Times New Roman" w:cs="Times New Roman"/>
          <w:bCs/>
          <w:i/>
          <w:iCs/>
          <w:sz w:val="20"/>
          <w:szCs w:val="20"/>
        </w:rPr>
        <w:t>Authors’ Computations, 2024 from E-views 12</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table above revealed that, the mean value of Total Revenue (TR) collection before Tax Pro-Max Initiative (TPI) was </w:t>
      </w:r>
      <w:r>
        <w:rPr>
          <w:rFonts w:ascii="Times New Roman" w:hAnsi="Times New Roman" w:cs="Times New Roman"/>
          <w:color w:val="000000"/>
          <w:sz w:val="24"/>
          <w:szCs w:val="24"/>
          <w:lang w:val="en-GB"/>
        </w:rPr>
        <w:t>13.09540</w:t>
      </w:r>
      <w:r>
        <w:rPr>
          <w:rFonts w:ascii="Times New Roman" w:hAnsi="Times New Roman" w:cs="Times New Roman"/>
          <w:sz w:val="24"/>
          <w:szCs w:val="24"/>
        </w:rPr>
        <w:t xml:space="preserve"> which ranges from 9.200000 to 43.80000 with standard deviation of 10.22404 compared to mean value of </w:t>
      </w:r>
      <w:r>
        <w:rPr>
          <w:rFonts w:ascii="Times New Roman" w:hAnsi="Times New Roman" w:cs="Times New Roman"/>
          <w:color w:val="000000"/>
          <w:sz w:val="24"/>
          <w:szCs w:val="24"/>
          <w:lang w:val="en-GB"/>
        </w:rPr>
        <w:t xml:space="preserve">14.97234 </w:t>
      </w:r>
      <w:r>
        <w:rPr>
          <w:rFonts w:ascii="Times New Roman" w:hAnsi="Times New Roman" w:cs="Times New Roman"/>
          <w:sz w:val="24"/>
          <w:szCs w:val="24"/>
        </w:rPr>
        <w:t xml:space="preserve">for TR after Tax Pro-Max Initiative (TPI) which ranges from 0.000000 to 23.80000 with standard deviation of </w:t>
      </w:r>
      <w:r>
        <w:rPr>
          <w:rFonts w:ascii="Times New Roman" w:hAnsi="Times New Roman" w:cs="Times New Roman"/>
          <w:color w:val="000000"/>
          <w:sz w:val="24"/>
          <w:szCs w:val="24"/>
          <w:lang w:val="en-GB"/>
        </w:rPr>
        <w:t>10.22404</w:t>
      </w:r>
      <w:r>
        <w:rPr>
          <w:rFonts w:ascii="Times New Roman" w:hAnsi="Times New Roman" w:cs="Times New Roman"/>
          <w:sz w:val="24"/>
          <w:szCs w:val="24"/>
        </w:rPr>
        <w:t xml:space="preserve">. This implies that Total Revenue collection in Nigeria increases after Tax Pro-Max Initiative. The mean value of Taxpayer Compliance (TC) before Tax Pro-Max Initiative was 15.46292 which ranges from 13.96994 to 22.43452 while the mean value of Taxpayer Compliance (TC) after Tax Pro-Max Initiative was </w:t>
      </w:r>
      <w:r>
        <w:rPr>
          <w:rFonts w:ascii="Times New Roman" w:hAnsi="Times New Roman" w:cs="Times New Roman"/>
          <w:color w:val="000000"/>
          <w:sz w:val="24"/>
          <w:szCs w:val="24"/>
          <w:lang w:val="en-GB"/>
        </w:rPr>
        <w:t>17.56126</w:t>
      </w:r>
      <w:r>
        <w:rPr>
          <w:rFonts w:ascii="Times New Roman" w:hAnsi="Times New Roman" w:cs="Times New Roman"/>
          <w:sz w:val="24"/>
          <w:szCs w:val="24"/>
        </w:rPr>
        <w:t xml:space="preserve"> which ranges from 0.000000 to 22.43452. It can be deduced that both total revenue and taxpayer compliance in Nigeria within the period under study increases slightly after-Tax Pro-Max Initiative.</w:t>
      </w:r>
    </w:p>
    <w:p w:rsidR="00E45E26" w:rsidRDefault="00A417CB" w:rsidP="00AE051B">
      <w:pPr>
        <w:spacing w:after="0" w:line="480" w:lineRule="auto"/>
        <w:contextualSpacing/>
        <w:jc w:val="both"/>
        <w:rPr>
          <w:rFonts w:ascii="Times New Roman" w:hAnsi="Times New Roman" w:cs="Times New Roman"/>
          <w:sz w:val="24"/>
          <w:szCs w:val="24"/>
        </w:rPr>
      </w:pPr>
      <w:r>
        <w:rPr>
          <w:rFonts w:ascii="Times New Roman" w:hAnsi="Times New Roman" w:cs="Times New Roman"/>
          <w:b/>
          <w:bCs/>
          <w:sz w:val="24"/>
          <w:szCs w:val="24"/>
        </w:rPr>
        <w:t>Correlation Analysis</w:t>
      </w:r>
    </w:p>
    <w:p w:rsidR="00E45E26" w:rsidRDefault="00A417CB" w:rsidP="00AE051B">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Table 3:</w:t>
      </w:r>
      <w:r>
        <w:rPr>
          <w:rFonts w:ascii="Times New Roman" w:hAnsi="Times New Roman" w:cs="Times New Roman"/>
          <w:b/>
          <w:sz w:val="24"/>
          <w:szCs w:val="24"/>
        </w:rPr>
        <w:tab/>
        <w:t xml:space="preserve">Correlation Coefficient </w:t>
      </w:r>
    </w:p>
    <w:tbl>
      <w:tblPr>
        <w:tblW w:w="0" w:type="auto"/>
        <w:tblInd w:w="30" w:type="dxa"/>
        <w:tblLayout w:type="fixed"/>
        <w:tblCellMar>
          <w:left w:w="0" w:type="dxa"/>
          <w:right w:w="0" w:type="dxa"/>
        </w:tblCellMar>
        <w:tblLook w:val="04A0" w:firstRow="1" w:lastRow="0" w:firstColumn="1" w:lastColumn="0" w:noHBand="0" w:noVBand="1"/>
      </w:tblPr>
      <w:tblGrid>
        <w:gridCol w:w="1807"/>
        <w:gridCol w:w="1313"/>
        <w:gridCol w:w="1312"/>
        <w:gridCol w:w="1312"/>
        <w:gridCol w:w="1313"/>
        <w:gridCol w:w="1312"/>
      </w:tblGrid>
      <w:tr w:rsidR="00E45E26">
        <w:trPr>
          <w:trHeight w:val="225"/>
        </w:trPr>
        <w:tc>
          <w:tcPr>
            <w:tcW w:w="1807" w:type="dxa"/>
            <w:tcBorders>
              <w:top w:val="single" w:sz="4" w:space="0" w:color="auto"/>
              <w:left w:val="nil"/>
              <w:bottom w:val="single" w:sz="6" w:space="0" w:color="auto"/>
              <w:right w:val="single" w:sz="6" w:space="0" w:color="auto"/>
            </w:tcBorders>
            <w:vAlign w:val="bottom"/>
          </w:tcPr>
          <w:p w:rsidR="00E45E26" w:rsidRDefault="00E45E26"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3" w:type="dxa"/>
            <w:tcBorders>
              <w:top w:val="single" w:sz="4" w:space="0" w:color="auto"/>
              <w:left w:val="single" w:sz="6" w:space="0" w:color="auto"/>
              <w:bottom w:val="single" w:sz="6" w:space="0" w:color="auto"/>
              <w:right w:val="nil"/>
            </w:tcBorders>
            <w:vAlign w:val="bottom"/>
          </w:tcPr>
          <w:p w:rsidR="00E45E26" w:rsidRDefault="00A417CB"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TR</w:t>
            </w:r>
          </w:p>
        </w:tc>
        <w:tc>
          <w:tcPr>
            <w:tcW w:w="1312" w:type="dxa"/>
            <w:tcBorders>
              <w:top w:val="single" w:sz="4" w:space="0" w:color="auto"/>
              <w:left w:val="nil"/>
              <w:bottom w:val="single" w:sz="6" w:space="0" w:color="auto"/>
              <w:right w:val="nil"/>
            </w:tcBorders>
          </w:tcPr>
          <w:p w:rsidR="00E45E26" w:rsidRDefault="00A417CB"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TC</w:t>
            </w:r>
          </w:p>
        </w:tc>
        <w:tc>
          <w:tcPr>
            <w:tcW w:w="1312" w:type="dxa"/>
            <w:tcBorders>
              <w:top w:val="single" w:sz="4" w:space="0" w:color="auto"/>
              <w:left w:val="nil"/>
              <w:bottom w:val="single" w:sz="6" w:space="0" w:color="auto"/>
              <w:right w:val="nil"/>
            </w:tcBorders>
            <w:vAlign w:val="bottom"/>
          </w:tcPr>
          <w:p w:rsidR="00E45E26" w:rsidRDefault="00A417CB"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TPI</w:t>
            </w:r>
          </w:p>
        </w:tc>
        <w:tc>
          <w:tcPr>
            <w:tcW w:w="1313" w:type="dxa"/>
            <w:tcBorders>
              <w:top w:val="single" w:sz="4" w:space="0" w:color="auto"/>
              <w:left w:val="nil"/>
              <w:bottom w:val="single" w:sz="6" w:space="0" w:color="auto"/>
              <w:right w:val="nil"/>
            </w:tcBorders>
            <w:vAlign w:val="bottom"/>
          </w:tcPr>
          <w:p w:rsidR="00E45E26" w:rsidRDefault="00A417CB"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TC_ TPI</w:t>
            </w:r>
          </w:p>
        </w:tc>
        <w:tc>
          <w:tcPr>
            <w:tcW w:w="1312" w:type="dxa"/>
            <w:tcBorders>
              <w:top w:val="single" w:sz="4" w:space="0" w:color="auto"/>
              <w:left w:val="nil"/>
              <w:bottom w:val="single" w:sz="6" w:space="0" w:color="auto"/>
              <w:right w:val="nil"/>
            </w:tcBorders>
            <w:vAlign w:val="bottom"/>
          </w:tcPr>
          <w:p w:rsidR="00E45E26" w:rsidRDefault="00A417CB"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TR_TPI</w:t>
            </w:r>
          </w:p>
        </w:tc>
      </w:tr>
      <w:tr w:rsidR="00E45E26">
        <w:trPr>
          <w:trHeight w:val="225"/>
        </w:trPr>
        <w:tc>
          <w:tcPr>
            <w:tcW w:w="1807" w:type="dxa"/>
            <w:tcBorders>
              <w:top w:val="single" w:sz="6" w:space="0" w:color="auto"/>
              <w:left w:val="nil"/>
              <w:right w:val="single" w:sz="4" w:space="0" w:color="auto"/>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TR</w:t>
            </w:r>
          </w:p>
        </w:tc>
        <w:tc>
          <w:tcPr>
            <w:tcW w:w="1313" w:type="dxa"/>
            <w:tcBorders>
              <w:top w:val="single" w:sz="6" w:space="0" w:color="auto"/>
              <w:left w:val="single" w:sz="4" w:space="0" w:color="auto"/>
              <w:right w:val="nil"/>
            </w:tcBorders>
            <w:vAlign w:val="bottom"/>
          </w:tcPr>
          <w:p w:rsidR="00E45E26" w:rsidRDefault="00A417CB"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1.000000</w:t>
            </w:r>
          </w:p>
        </w:tc>
        <w:tc>
          <w:tcPr>
            <w:tcW w:w="1312" w:type="dxa"/>
            <w:tcBorders>
              <w:top w:val="single" w:sz="6" w:space="0" w:color="auto"/>
              <w:left w:val="nil"/>
              <w:right w:val="nil"/>
            </w:tcBorders>
          </w:tcPr>
          <w:p w:rsidR="00E45E26" w:rsidRDefault="00E45E26"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c>
          <w:tcPr>
            <w:tcW w:w="1312" w:type="dxa"/>
            <w:tcBorders>
              <w:top w:val="single" w:sz="6" w:space="0" w:color="auto"/>
              <w:left w:val="nil"/>
              <w:right w:val="nil"/>
            </w:tcBorders>
            <w:vAlign w:val="bottom"/>
          </w:tcPr>
          <w:p w:rsidR="00E45E26" w:rsidRDefault="00E45E26"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c>
          <w:tcPr>
            <w:tcW w:w="1313" w:type="dxa"/>
            <w:tcBorders>
              <w:top w:val="single" w:sz="6" w:space="0" w:color="auto"/>
              <w:left w:val="nil"/>
              <w:right w:val="nil"/>
            </w:tcBorders>
            <w:vAlign w:val="bottom"/>
          </w:tcPr>
          <w:p w:rsidR="00E45E26" w:rsidRDefault="00E45E26"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c>
          <w:tcPr>
            <w:tcW w:w="1312" w:type="dxa"/>
            <w:tcBorders>
              <w:top w:val="single" w:sz="6" w:space="0" w:color="auto"/>
              <w:left w:val="nil"/>
              <w:right w:val="nil"/>
            </w:tcBorders>
            <w:vAlign w:val="bottom"/>
          </w:tcPr>
          <w:p w:rsidR="00E45E26" w:rsidRDefault="00E45E26"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r>
      <w:tr w:rsidR="00E45E26">
        <w:trPr>
          <w:trHeight w:val="225"/>
        </w:trPr>
        <w:tc>
          <w:tcPr>
            <w:tcW w:w="1807" w:type="dxa"/>
            <w:tcBorders>
              <w:left w:val="nil"/>
              <w:bottom w:val="nil"/>
              <w:right w:val="single" w:sz="4" w:space="0" w:color="auto"/>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TC</w:t>
            </w:r>
          </w:p>
        </w:tc>
        <w:tc>
          <w:tcPr>
            <w:tcW w:w="1313" w:type="dxa"/>
            <w:tcBorders>
              <w:left w:val="single" w:sz="4" w:space="0" w:color="auto"/>
              <w:bottom w:val="nil"/>
            </w:tcBorders>
            <w:vAlign w:val="bottom"/>
          </w:tcPr>
          <w:p w:rsidR="00E45E26" w:rsidRDefault="00A417CB"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0.362523</w:t>
            </w:r>
          </w:p>
        </w:tc>
        <w:tc>
          <w:tcPr>
            <w:tcW w:w="1312" w:type="dxa"/>
            <w:tcBorders>
              <w:bottom w:val="nil"/>
            </w:tcBorders>
          </w:tcPr>
          <w:p w:rsidR="00E45E26" w:rsidRDefault="00A417CB"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1.000000</w:t>
            </w:r>
          </w:p>
        </w:tc>
        <w:tc>
          <w:tcPr>
            <w:tcW w:w="1312" w:type="dxa"/>
            <w:tcBorders>
              <w:bottom w:val="nil"/>
            </w:tcBorders>
            <w:vAlign w:val="bottom"/>
          </w:tcPr>
          <w:p w:rsidR="00E45E26" w:rsidRDefault="00E45E26"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c>
          <w:tcPr>
            <w:tcW w:w="1313" w:type="dxa"/>
            <w:tcBorders>
              <w:bottom w:val="nil"/>
            </w:tcBorders>
            <w:vAlign w:val="bottom"/>
          </w:tcPr>
          <w:p w:rsidR="00E45E26" w:rsidRDefault="00E45E26"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c>
          <w:tcPr>
            <w:tcW w:w="1312" w:type="dxa"/>
            <w:tcBorders>
              <w:bottom w:val="nil"/>
              <w:right w:val="nil"/>
            </w:tcBorders>
            <w:vAlign w:val="bottom"/>
          </w:tcPr>
          <w:p w:rsidR="00E45E26" w:rsidRDefault="00E45E26"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r>
      <w:tr w:rsidR="00E45E26">
        <w:trPr>
          <w:trHeight w:val="225"/>
        </w:trPr>
        <w:tc>
          <w:tcPr>
            <w:tcW w:w="1807" w:type="dxa"/>
            <w:tcBorders>
              <w:top w:val="nil"/>
              <w:left w:val="nil"/>
              <w:bottom w:val="nil"/>
              <w:right w:val="single" w:sz="4" w:space="0" w:color="auto"/>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TPI</w:t>
            </w:r>
          </w:p>
        </w:tc>
        <w:tc>
          <w:tcPr>
            <w:tcW w:w="1313" w:type="dxa"/>
            <w:tcBorders>
              <w:top w:val="nil"/>
              <w:left w:val="single" w:sz="4" w:space="0" w:color="auto"/>
              <w:bottom w:val="nil"/>
              <w:right w:val="nil"/>
            </w:tcBorders>
            <w:vAlign w:val="bottom"/>
          </w:tcPr>
          <w:p w:rsidR="00E45E26" w:rsidRDefault="00A417CB"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0.254169</w:t>
            </w:r>
          </w:p>
        </w:tc>
        <w:tc>
          <w:tcPr>
            <w:tcW w:w="1312" w:type="dxa"/>
          </w:tcPr>
          <w:p w:rsidR="00E45E26" w:rsidRDefault="00A417CB"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0.412340</w:t>
            </w:r>
          </w:p>
        </w:tc>
        <w:tc>
          <w:tcPr>
            <w:tcW w:w="1312" w:type="dxa"/>
            <w:vAlign w:val="bottom"/>
          </w:tcPr>
          <w:p w:rsidR="00E45E26" w:rsidRDefault="00A417CB"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1.000000</w:t>
            </w:r>
          </w:p>
        </w:tc>
        <w:tc>
          <w:tcPr>
            <w:tcW w:w="1313" w:type="dxa"/>
            <w:vAlign w:val="bottom"/>
          </w:tcPr>
          <w:p w:rsidR="00E45E26" w:rsidRDefault="00E45E26"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c>
          <w:tcPr>
            <w:tcW w:w="1312" w:type="dxa"/>
            <w:vAlign w:val="bottom"/>
          </w:tcPr>
          <w:p w:rsidR="00E45E26" w:rsidRDefault="00E45E26"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r>
      <w:tr w:rsidR="00E45E26">
        <w:trPr>
          <w:trHeight w:val="225"/>
        </w:trPr>
        <w:tc>
          <w:tcPr>
            <w:tcW w:w="1807" w:type="dxa"/>
            <w:tcBorders>
              <w:top w:val="nil"/>
              <w:left w:val="nil"/>
              <w:bottom w:val="nil"/>
              <w:right w:val="single" w:sz="6" w:space="0" w:color="auto"/>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TC_ TPI</w:t>
            </w:r>
          </w:p>
        </w:tc>
        <w:tc>
          <w:tcPr>
            <w:tcW w:w="1313" w:type="dxa"/>
            <w:tcBorders>
              <w:top w:val="nil"/>
              <w:left w:val="single" w:sz="6" w:space="0" w:color="auto"/>
              <w:bottom w:val="nil"/>
              <w:right w:val="nil"/>
            </w:tcBorders>
            <w:vAlign w:val="bottom"/>
          </w:tcPr>
          <w:p w:rsidR="00E45E26" w:rsidRDefault="00A417CB"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0.850948</w:t>
            </w:r>
          </w:p>
        </w:tc>
        <w:tc>
          <w:tcPr>
            <w:tcW w:w="1312" w:type="dxa"/>
          </w:tcPr>
          <w:p w:rsidR="00E45E26" w:rsidRDefault="00A417CB"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0.576253</w:t>
            </w:r>
          </w:p>
        </w:tc>
        <w:tc>
          <w:tcPr>
            <w:tcW w:w="1312" w:type="dxa"/>
            <w:vAlign w:val="bottom"/>
          </w:tcPr>
          <w:p w:rsidR="00E45E26" w:rsidRDefault="00A417CB"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0.239844</w:t>
            </w:r>
          </w:p>
        </w:tc>
        <w:tc>
          <w:tcPr>
            <w:tcW w:w="1313" w:type="dxa"/>
            <w:vAlign w:val="bottom"/>
          </w:tcPr>
          <w:p w:rsidR="00E45E26" w:rsidRDefault="00A417CB"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1.000000</w:t>
            </w:r>
          </w:p>
        </w:tc>
        <w:tc>
          <w:tcPr>
            <w:tcW w:w="1312" w:type="dxa"/>
            <w:vAlign w:val="bottom"/>
          </w:tcPr>
          <w:p w:rsidR="00E45E26" w:rsidRDefault="00E45E26"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r>
      <w:tr w:rsidR="00E45E26">
        <w:trPr>
          <w:trHeight w:val="225"/>
        </w:trPr>
        <w:tc>
          <w:tcPr>
            <w:tcW w:w="1807" w:type="dxa"/>
            <w:tcBorders>
              <w:top w:val="nil"/>
              <w:left w:val="nil"/>
              <w:bottom w:val="nil"/>
              <w:right w:val="single" w:sz="6" w:space="0" w:color="auto"/>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TR_TPI</w:t>
            </w:r>
          </w:p>
        </w:tc>
        <w:tc>
          <w:tcPr>
            <w:tcW w:w="1313" w:type="dxa"/>
            <w:tcBorders>
              <w:top w:val="nil"/>
              <w:left w:val="single" w:sz="6" w:space="0" w:color="auto"/>
              <w:bottom w:val="nil"/>
              <w:right w:val="nil"/>
            </w:tcBorders>
            <w:vAlign w:val="bottom"/>
          </w:tcPr>
          <w:p w:rsidR="00E45E26" w:rsidRDefault="00A417CB"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0.491681</w:t>
            </w:r>
          </w:p>
        </w:tc>
        <w:tc>
          <w:tcPr>
            <w:tcW w:w="1312" w:type="dxa"/>
          </w:tcPr>
          <w:p w:rsidR="00E45E26" w:rsidRDefault="00A417CB"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0.498752</w:t>
            </w:r>
          </w:p>
        </w:tc>
        <w:tc>
          <w:tcPr>
            <w:tcW w:w="1312" w:type="dxa"/>
            <w:vAlign w:val="bottom"/>
          </w:tcPr>
          <w:p w:rsidR="00E45E26" w:rsidRDefault="00A417CB"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0.407892</w:t>
            </w:r>
          </w:p>
        </w:tc>
        <w:tc>
          <w:tcPr>
            <w:tcW w:w="1313" w:type="dxa"/>
            <w:vAlign w:val="bottom"/>
          </w:tcPr>
          <w:p w:rsidR="00E45E26" w:rsidRDefault="00A417CB"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0.508779</w:t>
            </w:r>
          </w:p>
        </w:tc>
        <w:tc>
          <w:tcPr>
            <w:tcW w:w="1312" w:type="dxa"/>
            <w:vAlign w:val="bottom"/>
          </w:tcPr>
          <w:p w:rsidR="00E45E26" w:rsidRDefault="00A417CB" w:rsidP="00AE051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1.000000</w:t>
            </w:r>
          </w:p>
        </w:tc>
      </w:tr>
      <w:tr w:rsidR="00E45E26">
        <w:trPr>
          <w:trHeight w:hRule="exact" w:val="90"/>
        </w:trPr>
        <w:tc>
          <w:tcPr>
            <w:tcW w:w="1807" w:type="dxa"/>
            <w:tcBorders>
              <w:top w:val="nil"/>
              <w:left w:val="nil"/>
              <w:bottom w:val="double" w:sz="6" w:space="0" w:color="auto"/>
              <w:right w:val="nil"/>
            </w:tcBorders>
            <w:vAlign w:val="bottom"/>
          </w:tcPr>
          <w:p w:rsidR="00E45E26" w:rsidRDefault="00E45E26"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3" w:type="dxa"/>
            <w:tcBorders>
              <w:top w:val="nil"/>
              <w:left w:val="nil"/>
              <w:bottom w:val="double" w:sz="6" w:space="0" w:color="auto"/>
              <w:right w:val="nil"/>
            </w:tcBorders>
            <w:vAlign w:val="bottom"/>
          </w:tcPr>
          <w:p w:rsidR="00E45E26" w:rsidRDefault="00E45E26"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2" w:type="dxa"/>
            <w:tcBorders>
              <w:top w:val="nil"/>
              <w:left w:val="nil"/>
              <w:bottom w:val="double" w:sz="6" w:space="0" w:color="auto"/>
              <w:right w:val="nil"/>
            </w:tcBorders>
          </w:tcPr>
          <w:p w:rsidR="00E45E26" w:rsidRDefault="00E45E26"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2" w:type="dxa"/>
            <w:tcBorders>
              <w:top w:val="nil"/>
              <w:left w:val="nil"/>
              <w:bottom w:val="double" w:sz="6" w:space="0" w:color="auto"/>
              <w:right w:val="nil"/>
            </w:tcBorders>
            <w:vAlign w:val="bottom"/>
          </w:tcPr>
          <w:p w:rsidR="00E45E26" w:rsidRDefault="00E45E26"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3" w:type="dxa"/>
            <w:tcBorders>
              <w:top w:val="nil"/>
              <w:left w:val="nil"/>
              <w:bottom w:val="double" w:sz="6" w:space="0" w:color="auto"/>
              <w:right w:val="nil"/>
            </w:tcBorders>
            <w:vAlign w:val="bottom"/>
          </w:tcPr>
          <w:p w:rsidR="00E45E26" w:rsidRDefault="00E45E26"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2" w:type="dxa"/>
            <w:tcBorders>
              <w:top w:val="nil"/>
              <w:left w:val="nil"/>
              <w:bottom w:val="double" w:sz="6" w:space="0" w:color="auto"/>
              <w:right w:val="nil"/>
            </w:tcBorders>
            <w:vAlign w:val="bottom"/>
          </w:tcPr>
          <w:p w:rsidR="00E45E26" w:rsidRDefault="00E45E26"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r>
      <w:tr w:rsidR="00E45E26">
        <w:trPr>
          <w:trHeight w:hRule="exact" w:val="135"/>
        </w:trPr>
        <w:tc>
          <w:tcPr>
            <w:tcW w:w="1807" w:type="dxa"/>
            <w:vAlign w:val="bottom"/>
          </w:tcPr>
          <w:p w:rsidR="00E45E26" w:rsidRDefault="00E45E26"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3" w:type="dxa"/>
            <w:vAlign w:val="bottom"/>
          </w:tcPr>
          <w:p w:rsidR="00E45E26" w:rsidRDefault="00E45E26"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2" w:type="dxa"/>
          </w:tcPr>
          <w:p w:rsidR="00E45E26" w:rsidRDefault="00E45E26"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2" w:type="dxa"/>
            <w:vAlign w:val="bottom"/>
          </w:tcPr>
          <w:p w:rsidR="00E45E26" w:rsidRDefault="00E45E26"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3" w:type="dxa"/>
            <w:vAlign w:val="bottom"/>
          </w:tcPr>
          <w:p w:rsidR="00E45E26" w:rsidRDefault="00E45E26"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2" w:type="dxa"/>
            <w:vAlign w:val="bottom"/>
          </w:tcPr>
          <w:p w:rsidR="00E45E26" w:rsidRDefault="00E45E26"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r>
    </w:tbl>
    <w:p w:rsidR="00E45E26" w:rsidRDefault="00A417CB" w:rsidP="00AE051B">
      <w:pPr>
        <w:spacing w:line="480" w:lineRule="auto"/>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Source: </w:t>
      </w:r>
      <w:r>
        <w:rPr>
          <w:rFonts w:ascii="Times New Roman" w:hAnsi="Times New Roman" w:cs="Times New Roman"/>
          <w:bCs/>
          <w:i/>
          <w:iCs/>
          <w:sz w:val="20"/>
          <w:szCs w:val="20"/>
        </w:rPr>
        <w:t>Authors’ Computations, 2024 from E-views 12</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Table 3 presents the correlation results of the relationships between the Tax Pro-Max Initiative, taxpayer compliance, and revenue performance in Nigeria. The results show that a moderate positive correlation (0.3625) between tax revenue (TR) and taxpayer compliance </w:t>
      </w:r>
      <w:r>
        <w:rPr>
          <w:rFonts w:ascii="Times New Roman" w:hAnsi="Times New Roman" w:cs="Times New Roman"/>
          <w:sz w:val="24"/>
          <w:szCs w:val="24"/>
        </w:rPr>
        <w:lastRenderedPageBreak/>
        <w:t>before the initiative (TC) suggests that compliance contributed to revenue collection even before its implementation. However, a stronger positive correlation (0.8509) between TR and taxpayer compliance after the initiative (TC_TPI) highlights the significant improvement in compliance due to the initiative, reflecting its effectiveness in boosting revenue performance. While the direct relationship between the initiative (TPI) and tax revenue (0.2542) is weak, indicating a limited immediate impact, its combined effect with taxpayer compliance and other factors (TR_TPI) shows a moderate positive influence (0.4917). Additionally, the moderate relationship between compliance before and after the initiative (0.5763) suggests a continuity of behavior, with the initiative further enhancing compliance levels. The findings emphasize that while the Tax Pro-Max Initiative has a notable role in improving taxpayer compliance and revenue performance, its effectiveness is more pronounced when coupled with broader compliance strategies and supportive measures.</w:t>
      </w:r>
    </w:p>
    <w:p w:rsidR="00E45E26" w:rsidRDefault="00A417CB" w:rsidP="00AE051B">
      <w:pPr>
        <w:spacing w:after="0" w:line="480" w:lineRule="auto"/>
        <w:ind w:right="-15"/>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Regression Analysis </w:t>
      </w:r>
    </w:p>
    <w:p w:rsidR="00E45E26" w:rsidRDefault="00A417CB" w:rsidP="00AE051B">
      <w:pPr>
        <w:spacing w:after="0" w:line="480" w:lineRule="auto"/>
        <w:ind w:right="-15"/>
        <w:contextualSpacing/>
        <w:jc w:val="both"/>
        <w:rPr>
          <w:rFonts w:ascii="Times New Roman" w:hAnsi="Times New Roman" w:cs="Times New Roman"/>
          <w:b/>
          <w:bCs/>
          <w:sz w:val="24"/>
          <w:szCs w:val="24"/>
        </w:rPr>
      </w:pPr>
      <w:r>
        <w:rPr>
          <w:rFonts w:ascii="Times New Roman" w:hAnsi="Times New Roman" w:cs="Times New Roman"/>
          <w:b/>
          <w:sz w:val="24"/>
          <w:szCs w:val="24"/>
        </w:rPr>
        <w:t>Table 4:</w:t>
      </w:r>
      <w:r>
        <w:rPr>
          <w:rFonts w:ascii="Times New Roman" w:hAnsi="Times New Roman" w:cs="Times New Roman"/>
          <w:b/>
          <w:sz w:val="24"/>
          <w:szCs w:val="24"/>
        </w:rPr>
        <w:tab/>
        <w:t xml:space="preserve">Regression Model </w:t>
      </w:r>
    </w:p>
    <w:tbl>
      <w:tblPr>
        <w:tblW w:w="0" w:type="auto"/>
        <w:tblInd w:w="30" w:type="dxa"/>
        <w:tblLayout w:type="fixed"/>
        <w:tblCellMar>
          <w:left w:w="0" w:type="dxa"/>
          <w:right w:w="0" w:type="dxa"/>
        </w:tblCellMar>
        <w:tblLook w:val="04A0" w:firstRow="1" w:lastRow="0" w:firstColumn="1" w:lastColumn="0" w:noHBand="0" w:noVBand="1"/>
      </w:tblPr>
      <w:tblGrid>
        <w:gridCol w:w="2380"/>
        <w:gridCol w:w="1781"/>
        <w:gridCol w:w="1701"/>
        <w:gridCol w:w="1597"/>
        <w:gridCol w:w="1665"/>
      </w:tblGrid>
      <w:tr w:rsidR="00E45E26">
        <w:trPr>
          <w:trHeight w:hRule="exact" w:val="135"/>
        </w:trPr>
        <w:tc>
          <w:tcPr>
            <w:tcW w:w="2380" w:type="dxa"/>
            <w:tcBorders>
              <w:top w:val="nil"/>
              <w:left w:val="nil"/>
              <w:bottom w:val="single" w:sz="4" w:space="0" w:color="auto"/>
              <w:right w:val="nil"/>
            </w:tcBorders>
            <w:vAlign w:val="bottom"/>
          </w:tcPr>
          <w:p w:rsidR="00E45E26" w:rsidRDefault="00E45E26"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781" w:type="dxa"/>
            <w:tcBorders>
              <w:top w:val="nil"/>
              <w:left w:val="nil"/>
              <w:bottom w:val="single" w:sz="4" w:space="0" w:color="auto"/>
              <w:right w:val="nil"/>
            </w:tcBorders>
            <w:vAlign w:val="bottom"/>
          </w:tcPr>
          <w:p w:rsidR="00E45E26" w:rsidRDefault="00E45E26"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701" w:type="dxa"/>
            <w:tcBorders>
              <w:top w:val="nil"/>
              <w:left w:val="nil"/>
              <w:bottom w:val="single" w:sz="4" w:space="0" w:color="auto"/>
              <w:right w:val="nil"/>
            </w:tcBorders>
            <w:vAlign w:val="bottom"/>
          </w:tcPr>
          <w:p w:rsidR="00E45E26" w:rsidRDefault="00E45E26"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597" w:type="dxa"/>
            <w:tcBorders>
              <w:top w:val="nil"/>
              <w:left w:val="nil"/>
              <w:bottom w:val="single" w:sz="4" w:space="0" w:color="auto"/>
              <w:right w:val="nil"/>
            </w:tcBorders>
            <w:vAlign w:val="bottom"/>
          </w:tcPr>
          <w:p w:rsidR="00E45E26" w:rsidRDefault="00E45E26"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665" w:type="dxa"/>
            <w:tcBorders>
              <w:top w:val="nil"/>
              <w:left w:val="nil"/>
              <w:bottom w:val="single" w:sz="4" w:space="0" w:color="auto"/>
              <w:right w:val="nil"/>
            </w:tcBorders>
            <w:vAlign w:val="bottom"/>
          </w:tcPr>
          <w:p w:rsidR="00E45E26" w:rsidRDefault="00E45E26"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r>
      <w:tr w:rsidR="00E45E26">
        <w:trPr>
          <w:trHeight w:val="225"/>
        </w:trPr>
        <w:tc>
          <w:tcPr>
            <w:tcW w:w="2380" w:type="dxa"/>
            <w:tcBorders>
              <w:top w:val="single" w:sz="4" w:space="0" w:color="auto"/>
              <w:left w:val="nil"/>
              <w:bottom w:val="single" w:sz="4" w:space="0" w:color="auto"/>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Variable</w:t>
            </w:r>
          </w:p>
        </w:tc>
        <w:tc>
          <w:tcPr>
            <w:tcW w:w="1781" w:type="dxa"/>
            <w:tcBorders>
              <w:top w:val="single" w:sz="4" w:space="0" w:color="auto"/>
              <w:left w:val="nil"/>
              <w:bottom w:val="single" w:sz="4" w:space="0" w:color="auto"/>
              <w:right w:val="nil"/>
            </w:tcBorders>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Coefficient</w:t>
            </w:r>
          </w:p>
        </w:tc>
        <w:tc>
          <w:tcPr>
            <w:tcW w:w="1701" w:type="dxa"/>
            <w:tcBorders>
              <w:top w:val="single" w:sz="4" w:space="0" w:color="auto"/>
              <w:left w:val="nil"/>
              <w:bottom w:val="single" w:sz="4" w:space="0" w:color="auto"/>
              <w:right w:val="nil"/>
            </w:tcBorders>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Std. Error</w:t>
            </w:r>
          </w:p>
        </w:tc>
        <w:tc>
          <w:tcPr>
            <w:tcW w:w="1597" w:type="dxa"/>
            <w:tcBorders>
              <w:top w:val="single" w:sz="4" w:space="0" w:color="auto"/>
              <w:left w:val="nil"/>
              <w:bottom w:val="single" w:sz="4" w:space="0" w:color="auto"/>
              <w:right w:val="nil"/>
            </w:tcBorders>
            <w:vAlign w:val="bottom"/>
          </w:tcPr>
          <w:p w:rsidR="00E45E26" w:rsidRDefault="00A417CB" w:rsidP="00AE051B">
            <w:pPr>
              <w:autoSpaceDE w:val="0"/>
              <w:autoSpaceDN w:val="0"/>
              <w:adjustRightInd w:val="0"/>
              <w:spacing w:after="0" w:line="480" w:lineRule="auto"/>
              <w:ind w:right="10"/>
              <w:contextualSpacing/>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w:t>
            </w:r>
          </w:p>
        </w:tc>
        <w:tc>
          <w:tcPr>
            <w:tcW w:w="1665" w:type="dxa"/>
            <w:tcBorders>
              <w:top w:val="single" w:sz="4" w:space="0" w:color="auto"/>
              <w:left w:val="nil"/>
              <w:bottom w:val="single" w:sz="4" w:space="0" w:color="auto"/>
              <w:right w:val="nil"/>
            </w:tcBorders>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P value  </w:t>
            </w:r>
          </w:p>
        </w:tc>
      </w:tr>
      <w:tr w:rsidR="00E45E26">
        <w:trPr>
          <w:trHeight w:val="225"/>
        </w:trPr>
        <w:tc>
          <w:tcPr>
            <w:tcW w:w="2380" w:type="dxa"/>
            <w:tcBorders>
              <w:top w:val="single" w:sz="4" w:space="0" w:color="auto"/>
              <w:left w:val="nil"/>
              <w:bottom w:val="nil"/>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C</w:t>
            </w:r>
          </w:p>
        </w:tc>
        <w:tc>
          <w:tcPr>
            <w:tcW w:w="1781" w:type="dxa"/>
            <w:tcBorders>
              <w:top w:val="single" w:sz="4" w:space="0" w:color="auto"/>
              <w:left w:val="nil"/>
              <w:bottom w:val="nil"/>
              <w:right w:val="nil"/>
            </w:tcBorders>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18.48614</w:t>
            </w:r>
          </w:p>
        </w:tc>
        <w:tc>
          <w:tcPr>
            <w:tcW w:w="1701" w:type="dxa"/>
            <w:tcBorders>
              <w:top w:val="single" w:sz="4" w:space="0" w:color="auto"/>
              <w:left w:val="nil"/>
              <w:bottom w:val="nil"/>
              <w:right w:val="nil"/>
            </w:tcBorders>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28.04587</w:t>
            </w:r>
          </w:p>
        </w:tc>
        <w:tc>
          <w:tcPr>
            <w:tcW w:w="1597" w:type="dxa"/>
            <w:tcBorders>
              <w:top w:val="single" w:sz="4" w:space="0" w:color="auto"/>
              <w:left w:val="nil"/>
              <w:bottom w:val="nil"/>
              <w:right w:val="nil"/>
            </w:tcBorders>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0.659139</w:t>
            </w:r>
          </w:p>
        </w:tc>
        <w:tc>
          <w:tcPr>
            <w:tcW w:w="1665" w:type="dxa"/>
            <w:tcBorders>
              <w:top w:val="single" w:sz="4" w:space="0" w:color="auto"/>
              <w:left w:val="nil"/>
              <w:bottom w:val="nil"/>
              <w:right w:val="nil"/>
            </w:tcBorders>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0.5139</w:t>
            </w:r>
          </w:p>
        </w:tc>
      </w:tr>
      <w:tr w:rsidR="00E45E26">
        <w:trPr>
          <w:trHeight w:val="225"/>
        </w:trPr>
        <w:tc>
          <w:tcPr>
            <w:tcW w:w="2380" w:type="dxa"/>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TPI</w:t>
            </w:r>
          </w:p>
        </w:tc>
        <w:tc>
          <w:tcPr>
            <w:tcW w:w="1781" w:type="dxa"/>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5.766176</w:t>
            </w:r>
          </w:p>
        </w:tc>
        <w:tc>
          <w:tcPr>
            <w:tcW w:w="1701" w:type="dxa"/>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2.270610</w:t>
            </w:r>
          </w:p>
        </w:tc>
        <w:tc>
          <w:tcPr>
            <w:tcW w:w="1597" w:type="dxa"/>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2.539483</w:t>
            </w:r>
          </w:p>
        </w:tc>
        <w:tc>
          <w:tcPr>
            <w:tcW w:w="1665" w:type="dxa"/>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0.0441</w:t>
            </w:r>
          </w:p>
        </w:tc>
      </w:tr>
      <w:tr w:rsidR="00E45E26">
        <w:trPr>
          <w:trHeight w:val="225"/>
        </w:trPr>
        <w:tc>
          <w:tcPr>
            <w:tcW w:w="2380" w:type="dxa"/>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TC</w:t>
            </w:r>
          </w:p>
        </w:tc>
        <w:tc>
          <w:tcPr>
            <w:tcW w:w="1781" w:type="dxa"/>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0.839171</w:t>
            </w:r>
          </w:p>
        </w:tc>
        <w:tc>
          <w:tcPr>
            <w:tcW w:w="1701" w:type="dxa"/>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0.255480</w:t>
            </w:r>
          </w:p>
        </w:tc>
        <w:tc>
          <w:tcPr>
            <w:tcW w:w="1597" w:type="dxa"/>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3.284683</w:t>
            </w:r>
          </w:p>
        </w:tc>
        <w:tc>
          <w:tcPr>
            <w:tcW w:w="1665" w:type="dxa"/>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0.0100</w:t>
            </w:r>
          </w:p>
        </w:tc>
      </w:tr>
      <w:tr w:rsidR="00E45E26">
        <w:trPr>
          <w:trHeight w:val="225"/>
        </w:trPr>
        <w:tc>
          <w:tcPr>
            <w:tcW w:w="2380" w:type="dxa"/>
            <w:tcBorders>
              <w:top w:val="nil"/>
              <w:left w:val="nil"/>
              <w:bottom w:val="single" w:sz="4" w:space="0" w:color="auto"/>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TC_TPI</w:t>
            </w:r>
          </w:p>
        </w:tc>
        <w:tc>
          <w:tcPr>
            <w:tcW w:w="1781" w:type="dxa"/>
            <w:tcBorders>
              <w:top w:val="nil"/>
              <w:left w:val="nil"/>
              <w:bottom w:val="single" w:sz="4" w:space="0" w:color="auto"/>
              <w:right w:val="nil"/>
            </w:tcBorders>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1.904141</w:t>
            </w:r>
          </w:p>
        </w:tc>
        <w:tc>
          <w:tcPr>
            <w:tcW w:w="1701" w:type="dxa"/>
            <w:tcBorders>
              <w:top w:val="nil"/>
              <w:left w:val="nil"/>
              <w:bottom w:val="single" w:sz="4" w:space="0" w:color="auto"/>
              <w:right w:val="nil"/>
            </w:tcBorders>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0.451910</w:t>
            </w:r>
          </w:p>
        </w:tc>
        <w:tc>
          <w:tcPr>
            <w:tcW w:w="1597" w:type="dxa"/>
            <w:tcBorders>
              <w:top w:val="nil"/>
              <w:left w:val="nil"/>
              <w:bottom w:val="single" w:sz="4" w:space="0" w:color="auto"/>
              <w:right w:val="nil"/>
            </w:tcBorders>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4.213540</w:t>
            </w:r>
          </w:p>
        </w:tc>
        <w:tc>
          <w:tcPr>
            <w:tcW w:w="1665" w:type="dxa"/>
            <w:tcBorders>
              <w:top w:val="nil"/>
              <w:left w:val="nil"/>
              <w:bottom w:val="single" w:sz="4" w:space="0" w:color="auto"/>
              <w:right w:val="nil"/>
            </w:tcBorders>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0.0074</w:t>
            </w:r>
          </w:p>
        </w:tc>
      </w:tr>
      <w:tr w:rsidR="00E45E26">
        <w:trPr>
          <w:trHeight w:val="225"/>
        </w:trPr>
        <w:tc>
          <w:tcPr>
            <w:tcW w:w="2380" w:type="dxa"/>
            <w:tcBorders>
              <w:top w:val="single" w:sz="4" w:space="0" w:color="auto"/>
              <w:left w:val="nil"/>
              <w:bottom w:val="nil"/>
              <w:right w:val="nil"/>
            </w:tcBorders>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R</w:t>
            </w:r>
            <w:r>
              <w:rPr>
                <w:rFonts w:ascii="Times New Roman" w:hAnsi="Times New Roman" w:cs="Times New Roman"/>
                <w:color w:val="000000"/>
                <w:sz w:val="24"/>
                <w:szCs w:val="24"/>
                <w:vertAlign w:val="superscript"/>
                <w:lang w:val="en-GB"/>
              </w:rPr>
              <w:t>2</w:t>
            </w:r>
          </w:p>
        </w:tc>
        <w:tc>
          <w:tcPr>
            <w:tcW w:w="1781" w:type="dxa"/>
            <w:tcBorders>
              <w:top w:val="single" w:sz="4" w:space="0" w:color="auto"/>
              <w:left w:val="nil"/>
              <w:bottom w:val="nil"/>
              <w:right w:val="nil"/>
            </w:tcBorders>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0.808348</w:t>
            </w:r>
          </w:p>
        </w:tc>
        <w:tc>
          <w:tcPr>
            <w:tcW w:w="3298" w:type="dxa"/>
            <w:gridSpan w:val="2"/>
            <w:tcBorders>
              <w:top w:val="single" w:sz="4" w:space="0" w:color="auto"/>
              <w:left w:val="nil"/>
              <w:bottom w:val="nil"/>
              <w:right w:val="nil"/>
            </w:tcBorders>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Mean dependent var</w:t>
            </w:r>
          </w:p>
        </w:tc>
        <w:tc>
          <w:tcPr>
            <w:tcW w:w="1665" w:type="dxa"/>
            <w:tcBorders>
              <w:top w:val="single" w:sz="4" w:space="0" w:color="auto"/>
              <w:left w:val="nil"/>
              <w:bottom w:val="nil"/>
              <w:right w:val="nil"/>
            </w:tcBorders>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14.97234</w:t>
            </w:r>
          </w:p>
        </w:tc>
      </w:tr>
      <w:tr w:rsidR="00E45E26">
        <w:trPr>
          <w:trHeight w:val="225"/>
        </w:trPr>
        <w:tc>
          <w:tcPr>
            <w:tcW w:w="2380" w:type="dxa"/>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Adjusted R-squared</w:t>
            </w:r>
          </w:p>
        </w:tc>
        <w:tc>
          <w:tcPr>
            <w:tcW w:w="1781" w:type="dxa"/>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0.748404</w:t>
            </w:r>
          </w:p>
        </w:tc>
        <w:tc>
          <w:tcPr>
            <w:tcW w:w="3298" w:type="dxa"/>
            <w:gridSpan w:val="2"/>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S.D. dependent var</w:t>
            </w:r>
          </w:p>
        </w:tc>
        <w:tc>
          <w:tcPr>
            <w:tcW w:w="1665" w:type="dxa"/>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10.22404</w:t>
            </w:r>
          </w:p>
        </w:tc>
      </w:tr>
      <w:tr w:rsidR="00E45E26">
        <w:trPr>
          <w:trHeight w:val="225"/>
        </w:trPr>
        <w:tc>
          <w:tcPr>
            <w:tcW w:w="2380" w:type="dxa"/>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S.E. of regression</w:t>
            </w:r>
          </w:p>
        </w:tc>
        <w:tc>
          <w:tcPr>
            <w:tcW w:w="1781" w:type="dxa"/>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10.46856</w:t>
            </w:r>
          </w:p>
        </w:tc>
        <w:tc>
          <w:tcPr>
            <w:tcW w:w="3298" w:type="dxa"/>
            <w:gridSpan w:val="2"/>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AIC</w:t>
            </w:r>
          </w:p>
        </w:tc>
        <w:tc>
          <w:tcPr>
            <w:tcW w:w="1665" w:type="dxa"/>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7.753525</w:t>
            </w:r>
          </w:p>
        </w:tc>
      </w:tr>
      <w:tr w:rsidR="00E45E26">
        <w:trPr>
          <w:trHeight w:val="225"/>
        </w:trPr>
        <w:tc>
          <w:tcPr>
            <w:tcW w:w="2380" w:type="dxa"/>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F</w:t>
            </w:r>
          </w:p>
        </w:tc>
        <w:tc>
          <w:tcPr>
            <w:tcW w:w="1781" w:type="dxa"/>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23.81477</w:t>
            </w:r>
          </w:p>
        </w:tc>
        <w:tc>
          <w:tcPr>
            <w:tcW w:w="3298" w:type="dxa"/>
            <w:gridSpan w:val="2"/>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Durbin-Watson</w:t>
            </w:r>
          </w:p>
        </w:tc>
        <w:tc>
          <w:tcPr>
            <w:tcW w:w="1665" w:type="dxa"/>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1.854997</w:t>
            </w:r>
          </w:p>
        </w:tc>
      </w:tr>
      <w:tr w:rsidR="00E45E26">
        <w:trPr>
          <w:trHeight w:val="225"/>
        </w:trPr>
        <w:tc>
          <w:tcPr>
            <w:tcW w:w="2380" w:type="dxa"/>
            <w:vAlign w:val="bottom"/>
          </w:tcPr>
          <w:p w:rsidR="00E45E26" w:rsidRDefault="00A417CB"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P value</w:t>
            </w:r>
          </w:p>
        </w:tc>
        <w:tc>
          <w:tcPr>
            <w:tcW w:w="1781" w:type="dxa"/>
            <w:vAlign w:val="bottom"/>
          </w:tcPr>
          <w:p w:rsidR="00E45E26" w:rsidRDefault="00A417CB"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0.000243</w:t>
            </w:r>
          </w:p>
        </w:tc>
        <w:tc>
          <w:tcPr>
            <w:tcW w:w="1701" w:type="dxa"/>
            <w:vAlign w:val="bottom"/>
          </w:tcPr>
          <w:p w:rsidR="00E45E26" w:rsidRDefault="00E45E26"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p>
        </w:tc>
        <w:tc>
          <w:tcPr>
            <w:tcW w:w="1597" w:type="dxa"/>
            <w:vAlign w:val="bottom"/>
          </w:tcPr>
          <w:p w:rsidR="00E45E26" w:rsidRDefault="00E45E26"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p>
        </w:tc>
        <w:tc>
          <w:tcPr>
            <w:tcW w:w="1665" w:type="dxa"/>
            <w:vAlign w:val="bottom"/>
          </w:tcPr>
          <w:p w:rsidR="00E45E26" w:rsidRDefault="00E45E26" w:rsidP="00AE05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p>
        </w:tc>
      </w:tr>
      <w:tr w:rsidR="00E45E26">
        <w:trPr>
          <w:trHeight w:hRule="exact" w:val="90"/>
        </w:trPr>
        <w:tc>
          <w:tcPr>
            <w:tcW w:w="2380" w:type="dxa"/>
            <w:tcBorders>
              <w:top w:val="nil"/>
              <w:left w:val="nil"/>
              <w:bottom w:val="double" w:sz="6" w:space="0" w:color="auto"/>
              <w:right w:val="nil"/>
            </w:tcBorders>
            <w:vAlign w:val="bottom"/>
          </w:tcPr>
          <w:p w:rsidR="00E45E26" w:rsidRDefault="00E45E26"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781" w:type="dxa"/>
            <w:tcBorders>
              <w:top w:val="nil"/>
              <w:left w:val="nil"/>
              <w:bottom w:val="double" w:sz="6" w:space="0" w:color="auto"/>
              <w:right w:val="nil"/>
            </w:tcBorders>
            <w:vAlign w:val="bottom"/>
          </w:tcPr>
          <w:p w:rsidR="00E45E26" w:rsidRDefault="00E45E26"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701" w:type="dxa"/>
            <w:tcBorders>
              <w:top w:val="nil"/>
              <w:left w:val="nil"/>
              <w:bottom w:val="double" w:sz="6" w:space="0" w:color="auto"/>
              <w:right w:val="nil"/>
            </w:tcBorders>
            <w:vAlign w:val="bottom"/>
          </w:tcPr>
          <w:p w:rsidR="00E45E26" w:rsidRDefault="00E45E26"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597" w:type="dxa"/>
            <w:tcBorders>
              <w:top w:val="nil"/>
              <w:left w:val="nil"/>
              <w:bottom w:val="double" w:sz="6" w:space="0" w:color="auto"/>
              <w:right w:val="nil"/>
            </w:tcBorders>
            <w:vAlign w:val="bottom"/>
          </w:tcPr>
          <w:p w:rsidR="00E45E26" w:rsidRDefault="00E45E26"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665" w:type="dxa"/>
            <w:tcBorders>
              <w:top w:val="nil"/>
              <w:left w:val="nil"/>
              <w:bottom w:val="double" w:sz="6" w:space="0" w:color="auto"/>
              <w:right w:val="nil"/>
            </w:tcBorders>
            <w:vAlign w:val="bottom"/>
          </w:tcPr>
          <w:p w:rsidR="00E45E26" w:rsidRDefault="00E45E26" w:rsidP="00AE051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r>
    </w:tbl>
    <w:p w:rsidR="00E45E26" w:rsidRDefault="00A417CB" w:rsidP="00AE051B">
      <w:pPr>
        <w:spacing w:line="480" w:lineRule="auto"/>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Source: </w:t>
      </w:r>
      <w:r>
        <w:rPr>
          <w:rFonts w:ascii="Times New Roman" w:hAnsi="Times New Roman" w:cs="Times New Roman"/>
          <w:bCs/>
          <w:i/>
          <w:iCs/>
          <w:sz w:val="20"/>
          <w:szCs w:val="20"/>
        </w:rPr>
        <w:t>Authors’ Computations, 2024 from E-views 12</w:t>
      </w:r>
    </w:p>
    <w:p w:rsidR="00E45E26" w:rsidRDefault="00A417CB" w:rsidP="00AE051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4 revealed the result of panel regression model for estimating the effect of Tax Pro-Max Initiative on Total Revenue in Nigeria. The results showed that the coefficient of determination was 0.808348, meaning that TPI and TC accounted for about 80.8 per cent of variation in total revenue collected in Nigeria while the remaining percentage of variation could be attributed to other variables not in the model. The adjusted R-square of 0.748404 indicates that the predictive power of the estimated model was very high. Hence, the explanatory variables under study are good predictors. The F-statistics of 23.81477 and its probability of 0.000243 is an indication that overall model is statistically significant. Hence, TPI and TC have a significant contribution on total revenue collection in Nigeria. However, the coefficient of TPI was 5.766176 and is significant at 5 per cent, meaning that a unit increase in 5.7661765.766176 TPI increase the TR by 5.766176. Also, the coefficient of TC before TPI was 0.839171 and is significant, meaning that a unit increase in TC before TPI brings about 0.839171 increase in total revenue collected in Nigeria. Lastly, the coefficient of TC_TPI was 1.904141, meaning that a unit increase in taxpayer compliance after tax pro-max initiative will lead to 1.904141 increase in total revenue in Nigeria. Judging by the coefficient of taxpayer compliance before (0.839171) and after (1.904141) tax pro-max initiative, it can be deduced that tax pro-max initiative has really improved the total revenue generation in Nigeria within the period under study. This is in line with the study of </w:t>
      </w:r>
      <w:proofErr w:type="spellStart"/>
      <w:r>
        <w:rPr>
          <w:rFonts w:ascii="Times New Roman" w:hAnsi="Times New Roman" w:cs="Times New Roman"/>
          <w:sz w:val="24"/>
          <w:szCs w:val="24"/>
        </w:rPr>
        <w:t>Tivde</w:t>
      </w:r>
      <w:proofErr w:type="spellEnd"/>
      <w:r>
        <w:rPr>
          <w:rFonts w:ascii="Times New Roman" w:hAnsi="Times New Roman" w:cs="Times New Roman"/>
          <w:sz w:val="24"/>
          <w:szCs w:val="24"/>
        </w:rPr>
        <w:t xml:space="preserve"> (2024), </w:t>
      </w:r>
      <w:proofErr w:type="spellStart"/>
      <w:r w:rsidRPr="00697FFE">
        <w:rPr>
          <w:rFonts w:ascii="Times New Roman" w:hAnsi="Times New Roman" w:cs="Times New Roman"/>
          <w:sz w:val="24"/>
          <w:szCs w:val="24"/>
        </w:rPr>
        <w:t>Aobiora</w:t>
      </w:r>
      <w:proofErr w:type="spellEnd"/>
      <w:r w:rsidRPr="00697FFE">
        <w:rPr>
          <w:rFonts w:ascii="Times New Roman" w:hAnsi="Times New Roman" w:cs="Times New Roman"/>
          <w:sz w:val="24"/>
          <w:szCs w:val="24"/>
        </w:rPr>
        <w:t xml:space="preserve"> and </w:t>
      </w:r>
      <w:r w:rsidR="00697FFE" w:rsidRPr="00697FFE">
        <w:rPr>
          <w:rFonts w:ascii="Times New Roman" w:hAnsi="Times New Roman" w:cs="Times New Roman"/>
          <w:sz w:val="24"/>
          <w:szCs w:val="24"/>
        </w:rPr>
        <w:t>Sunday</w:t>
      </w:r>
      <w:r w:rsidRPr="00697FFE">
        <w:rPr>
          <w:rFonts w:ascii="Times New Roman" w:hAnsi="Times New Roman" w:cs="Times New Roman"/>
          <w:sz w:val="24"/>
          <w:szCs w:val="24"/>
        </w:rPr>
        <w:t xml:space="preserve"> (2021)</w:t>
      </w:r>
      <w:r>
        <w:rPr>
          <w:rFonts w:ascii="Times New Roman" w:hAnsi="Times New Roman" w:cs="Times New Roman"/>
          <w:sz w:val="24"/>
          <w:szCs w:val="24"/>
        </w:rPr>
        <w:t xml:space="preserve">, and Desi and </w:t>
      </w:r>
      <w:proofErr w:type="spellStart"/>
      <w:r>
        <w:rPr>
          <w:rFonts w:ascii="Times New Roman" w:hAnsi="Times New Roman" w:cs="Times New Roman"/>
          <w:sz w:val="24"/>
          <w:szCs w:val="24"/>
        </w:rPr>
        <w:t>Bingilar</w:t>
      </w:r>
      <w:proofErr w:type="spellEnd"/>
      <w:r>
        <w:rPr>
          <w:rFonts w:ascii="Times New Roman" w:hAnsi="Times New Roman" w:cs="Times New Roman"/>
          <w:sz w:val="24"/>
          <w:szCs w:val="24"/>
        </w:rPr>
        <w:t xml:space="preserve"> (2023)</w:t>
      </w:r>
    </w:p>
    <w:p w:rsidR="00E45E26" w:rsidRDefault="00A417CB" w:rsidP="00AE051B">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Conclusion and Recommendations</w:t>
      </w:r>
    </w:p>
    <w:p w:rsidR="00E45E26" w:rsidRDefault="00A417CB" w:rsidP="00AE051B">
      <w:pPr>
        <w:spacing w:line="480" w:lineRule="auto"/>
        <w:contextualSpacing/>
        <w:jc w:val="both"/>
        <w:rPr>
          <w:rFonts w:ascii="Times New Roman" w:hAnsi="Times New Roman" w:cs="Times New Roman"/>
          <w:sz w:val="24"/>
          <w:szCs w:val="24"/>
        </w:rPr>
      </w:pPr>
      <w:r>
        <w:rPr>
          <w:rStyle w:val="Strong"/>
          <w:rFonts w:ascii="Times New Roman" w:hAnsi="Times New Roman" w:cs="Times New Roman"/>
          <w:b w:val="0"/>
          <w:sz w:val="24"/>
          <w:szCs w:val="24"/>
        </w:rPr>
        <w:t>This paper assessed tax pro-max initiative and revenue performance in Nigeria</w:t>
      </w:r>
      <w:r>
        <w:rPr>
          <w:rFonts w:ascii="Times New Roman" w:hAnsi="Times New Roman" w:cs="Times New Roman"/>
          <w:sz w:val="24"/>
          <w:szCs w:val="24"/>
        </w:rPr>
        <w:t>, examining both the intended objectives and actual outcomes of the policy</w:t>
      </w:r>
      <w:r>
        <w:rPr>
          <w:rStyle w:val="Strong"/>
          <w:rFonts w:ascii="Times New Roman" w:hAnsi="Times New Roman" w:cs="Times New Roman"/>
          <w:b w:val="0"/>
          <w:sz w:val="24"/>
          <w:szCs w:val="24"/>
        </w:rPr>
        <w:t xml:space="preserve">. The increasing public </w:t>
      </w:r>
      <w:r>
        <w:rPr>
          <w:rStyle w:val="Strong"/>
          <w:rFonts w:ascii="Times New Roman" w:hAnsi="Times New Roman" w:cs="Times New Roman"/>
          <w:b w:val="0"/>
          <w:bCs w:val="0"/>
          <w:sz w:val="24"/>
          <w:szCs w:val="24"/>
        </w:rPr>
        <w:t>worry for</w:t>
      </w:r>
      <w:r>
        <w:rPr>
          <w:rFonts w:ascii="Times New Roman" w:hAnsi="Times New Roman" w:cs="Times New Roman"/>
          <w:sz w:val="24"/>
          <w:szCs w:val="24"/>
        </w:rPr>
        <w:t xml:space="preserve"> revenue inadequacies in Nigeria has brought concern of key actors in revenue generation. The Federal Inland Revenue Service introduced Tax Pro-Max to simplify tax administration, increase taxpayer compliance and enhance revenue collection efficiency in Nigeria.  The </w:t>
      </w:r>
      <w:r>
        <w:rPr>
          <w:rFonts w:ascii="Times New Roman" w:hAnsi="Times New Roman" w:cs="Times New Roman"/>
          <w:sz w:val="24"/>
          <w:szCs w:val="24"/>
        </w:rPr>
        <w:lastRenderedPageBreak/>
        <w:t xml:space="preserve">study concluded that tax pro-max initiative has really improved the total revenue generation in Nigeria within the period under study. </w:t>
      </w:r>
    </w:p>
    <w:p w:rsidR="00E45E26" w:rsidRDefault="00A417CB" w:rsidP="00AE051B">
      <w:pPr>
        <w:spacing w:line="480" w:lineRule="auto"/>
        <w:contextualSpacing/>
        <w:jc w:val="both"/>
        <w:rPr>
          <w:rFonts w:ascii="Times New Roman" w:hAnsi="Times New Roman" w:cs="Times New Roman"/>
          <w:color w:val="0E101A"/>
          <w:sz w:val="24"/>
          <w:szCs w:val="24"/>
        </w:rPr>
      </w:pPr>
      <w:r>
        <w:rPr>
          <w:rFonts w:ascii="Times New Roman" w:hAnsi="Times New Roman" w:cs="Times New Roman"/>
          <w:sz w:val="24"/>
          <w:szCs w:val="24"/>
        </w:rPr>
        <w:t xml:space="preserve">Based on the findings, it was recommended that, </w:t>
      </w:r>
      <w:r>
        <w:rPr>
          <w:rFonts w:ascii="Times New Roman" w:hAnsi="Times New Roman" w:cs="Times New Roman"/>
          <w:color w:val="0E101A"/>
          <w:sz w:val="24"/>
          <w:szCs w:val="24"/>
        </w:rPr>
        <w:t>Federal Inland Revenue Service should create e-tax payment mobile application that can be installed on android phones to further simplify the self-assessment system and taxpayer compliance.</w:t>
      </w:r>
    </w:p>
    <w:p w:rsidR="00E45E26" w:rsidRDefault="00A417CB" w:rsidP="00AE051B">
      <w:pPr>
        <w:spacing w:line="480" w:lineRule="auto"/>
        <w:contextualSpacing/>
        <w:jc w:val="both"/>
        <w:rPr>
          <w:rFonts w:ascii="Times New Roman" w:hAnsi="Times New Roman" w:cs="Times New Roman"/>
          <w:b/>
          <w:color w:val="FF0000"/>
          <w:sz w:val="24"/>
          <w:szCs w:val="24"/>
        </w:rPr>
      </w:pPr>
      <w:r>
        <w:rPr>
          <w:rFonts w:ascii="Times New Roman" w:hAnsi="Times New Roman" w:cs="Times New Roman"/>
          <w:b/>
          <w:color w:val="FF0000"/>
          <w:sz w:val="24"/>
          <w:szCs w:val="24"/>
        </w:rPr>
        <w:t>COMPETING INTERESTS DISCLAIMER:</w:t>
      </w:r>
    </w:p>
    <w:p w:rsidR="00E45E26" w:rsidRDefault="00A417CB" w:rsidP="00AE051B">
      <w:pPr>
        <w:spacing w:line="480" w:lineRule="auto"/>
        <w:contextualSpacing/>
        <w:jc w:val="both"/>
        <w:rPr>
          <w:rFonts w:ascii="Times New Roman" w:hAnsi="Times New Roman" w:cs="Times New Roman"/>
          <w:color w:val="0E101A"/>
          <w:sz w:val="24"/>
          <w:szCs w:val="24"/>
        </w:rPr>
      </w:pPr>
      <w:r>
        <w:rPr>
          <w:rFonts w:ascii="Times New Roman" w:hAnsi="Times New Roman" w:cs="Times New Roman"/>
          <w:color w:val="0E101A"/>
          <w:sz w:val="24"/>
          <w:szCs w:val="24"/>
        </w:rPr>
        <w:t>Authors have declared that they have no known competing financial interests OR non-financial interests OR personal relationships that could have appeared to influence the work reported in this paper.</w:t>
      </w:r>
    </w:p>
    <w:p w:rsidR="00E45E26" w:rsidRDefault="00E45E26" w:rsidP="00AE051B">
      <w:pPr>
        <w:spacing w:line="480" w:lineRule="auto"/>
        <w:contextualSpacing/>
        <w:jc w:val="both"/>
        <w:rPr>
          <w:rFonts w:ascii="Times New Roman" w:hAnsi="Times New Roman" w:cs="Times New Roman"/>
          <w:b/>
          <w:color w:val="0E101A"/>
          <w:sz w:val="24"/>
          <w:szCs w:val="24"/>
        </w:rPr>
      </w:pPr>
    </w:p>
    <w:p w:rsidR="00E45E26" w:rsidRDefault="00E45E26" w:rsidP="00AE051B">
      <w:pPr>
        <w:spacing w:line="480" w:lineRule="auto"/>
        <w:contextualSpacing/>
        <w:jc w:val="both"/>
        <w:rPr>
          <w:rFonts w:ascii="Times New Roman" w:hAnsi="Times New Roman" w:cs="Times New Roman"/>
          <w:b/>
          <w:color w:val="0E101A"/>
          <w:sz w:val="24"/>
          <w:szCs w:val="24"/>
        </w:rPr>
      </w:pPr>
    </w:p>
    <w:p w:rsidR="00E45E26" w:rsidRDefault="00A417CB" w:rsidP="00AE051B">
      <w:pPr>
        <w:spacing w:line="480" w:lineRule="auto"/>
        <w:contextualSpacing/>
        <w:jc w:val="both"/>
        <w:rPr>
          <w:rFonts w:ascii="Times New Roman" w:hAnsi="Times New Roman" w:cs="Times New Roman"/>
          <w:b/>
          <w:color w:val="0E101A"/>
          <w:sz w:val="24"/>
          <w:szCs w:val="24"/>
        </w:rPr>
      </w:pPr>
      <w:r>
        <w:rPr>
          <w:rFonts w:ascii="Times New Roman" w:hAnsi="Times New Roman" w:cs="Times New Roman"/>
          <w:b/>
          <w:color w:val="0E101A"/>
          <w:sz w:val="24"/>
          <w:szCs w:val="24"/>
        </w:rPr>
        <w:t>References</w:t>
      </w:r>
    </w:p>
    <w:p w:rsidR="00E45E26" w:rsidRDefault="00A417CB" w:rsidP="00AE051B">
      <w:pPr>
        <w:spacing w:line="480" w:lineRule="auto"/>
        <w:ind w:left="720" w:hanging="720"/>
        <w:contextualSpacing/>
        <w:jc w:val="both"/>
        <w:rPr>
          <w:rFonts w:ascii="Times New Roman" w:eastAsia="Calibri" w:hAnsi="Times New Roman"/>
          <w:sz w:val="24"/>
          <w:szCs w:val="24"/>
        </w:rPr>
      </w:pPr>
      <w:proofErr w:type="spellStart"/>
      <w:r>
        <w:rPr>
          <w:rFonts w:ascii="Times New Roman" w:eastAsia="Calibri" w:hAnsi="Times New Roman"/>
          <w:sz w:val="24"/>
          <w:szCs w:val="24"/>
        </w:rPr>
        <w:t>Attali</w:t>
      </w:r>
      <w:proofErr w:type="spellEnd"/>
      <w:r>
        <w:rPr>
          <w:rFonts w:ascii="Times New Roman" w:eastAsia="Calibri" w:hAnsi="Times New Roman"/>
          <w:sz w:val="24"/>
          <w:szCs w:val="24"/>
        </w:rPr>
        <w:t xml:space="preserve">, J. G., </w:t>
      </w:r>
      <w:proofErr w:type="spellStart"/>
      <w:r>
        <w:rPr>
          <w:rFonts w:ascii="Times New Roman" w:eastAsia="Calibri" w:hAnsi="Times New Roman"/>
          <w:sz w:val="24"/>
          <w:szCs w:val="24"/>
        </w:rPr>
        <w:t>Chambsa</w:t>
      </w:r>
      <w:proofErr w:type="spellEnd"/>
      <w:r>
        <w:rPr>
          <w:rFonts w:ascii="Times New Roman" w:eastAsia="Calibri" w:hAnsi="Times New Roman"/>
          <w:sz w:val="24"/>
          <w:szCs w:val="24"/>
        </w:rPr>
        <w:t xml:space="preserve">, G., &amp; Combes, J. L. (2008). Corruption et Mobilization des </w:t>
      </w:r>
      <w:proofErr w:type="spellStart"/>
      <w:r>
        <w:rPr>
          <w:rFonts w:ascii="Times New Roman" w:eastAsia="Calibri" w:hAnsi="Times New Roman"/>
          <w:sz w:val="24"/>
          <w:szCs w:val="24"/>
        </w:rPr>
        <w:t>recetesPubliques</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UneAnalyse</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Économétrique</w:t>
      </w:r>
      <w:proofErr w:type="spellEnd"/>
      <w:r>
        <w:rPr>
          <w:rFonts w:ascii="Times New Roman" w:eastAsia="Calibri" w:hAnsi="Times New Roman"/>
          <w:sz w:val="24"/>
          <w:szCs w:val="24"/>
        </w:rPr>
        <w:t xml:space="preserve">. </w:t>
      </w:r>
      <w:r>
        <w:rPr>
          <w:rFonts w:ascii="Times New Roman" w:eastAsia="Calibri" w:hAnsi="Times New Roman"/>
          <w:i/>
          <w:sz w:val="24"/>
          <w:szCs w:val="24"/>
        </w:rPr>
        <w:t xml:space="preserve">Recherché </w:t>
      </w:r>
      <w:proofErr w:type="spellStart"/>
      <w:r>
        <w:rPr>
          <w:rFonts w:ascii="Times New Roman" w:eastAsia="Calibri" w:hAnsi="Times New Roman"/>
          <w:i/>
          <w:sz w:val="24"/>
          <w:szCs w:val="24"/>
        </w:rPr>
        <w:t>Economique</w:t>
      </w:r>
      <w:proofErr w:type="spellEnd"/>
      <w:r>
        <w:rPr>
          <w:rFonts w:ascii="Times New Roman" w:eastAsia="Calibri" w:hAnsi="Times New Roman"/>
          <w:i/>
          <w:sz w:val="24"/>
          <w:szCs w:val="24"/>
        </w:rPr>
        <w:t xml:space="preserve"> de Louvain</w:t>
      </w:r>
      <w:r>
        <w:rPr>
          <w:rFonts w:ascii="Times New Roman" w:eastAsia="Calibri" w:hAnsi="Times New Roman"/>
          <w:sz w:val="24"/>
          <w:szCs w:val="24"/>
        </w:rPr>
        <w:t>, 17(3), 203-221.</w:t>
      </w:r>
    </w:p>
    <w:p w:rsidR="00E45E26" w:rsidRDefault="00A417CB" w:rsidP="00AE051B">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Desi, P.E.A., &amp; </w:t>
      </w:r>
      <w:proofErr w:type="spellStart"/>
      <w:r>
        <w:rPr>
          <w:rFonts w:ascii="Times New Roman" w:hAnsi="Times New Roman" w:cs="Times New Roman"/>
          <w:sz w:val="24"/>
          <w:szCs w:val="24"/>
        </w:rPr>
        <w:t>Bingilar</w:t>
      </w:r>
      <w:proofErr w:type="spellEnd"/>
      <w:r>
        <w:rPr>
          <w:rFonts w:ascii="Times New Roman" w:hAnsi="Times New Roman" w:cs="Times New Roman"/>
          <w:sz w:val="24"/>
          <w:szCs w:val="24"/>
        </w:rPr>
        <w:t xml:space="preserve">, P.F. (2023). Effect of tax pro-max adoption on Federal Inland Revenue Service remittance. </w:t>
      </w:r>
      <w:r>
        <w:rPr>
          <w:rFonts w:ascii="Times New Roman" w:hAnsi="Times New Roman" w:cs="Times New Roman"/>
          <w:i/>
          <w:sz w:val="24"/>
          <w:szCs w:val="24"/>
        </w:rPr>
        <w:t>International Journal of Accounting, Economics and Management,</w:t>
      </w:r>
      <w:r>
        <w:rPr>
          <w:rFonts w:ascii="Times New Roman" w:hAnsi="Times New Roman" w:cs="Times New Roman"/>
          <w:sz w:val="24"/>
          <w:szCs w:val="24"/>
        </w:rPr>
        <w:t xml:space="preserve"> 8(2), 90-99.</w:t>
      </w:r>
    </w:p>
    <w:p w:rsidR="00E90F1F" w:rsidRDefault="00960DD3" w:rsidP="00AE051B">
      <w:pPr>
        <w:spacing w:line="480" w:lineRule="auto"/>
        <w:ind w:left="720" w:hanging="720"/>
        <w:contextualSpacing/>
        <w:jc w:val="both"/>
        <w:rPr>
          <w:rFonts w:ascii="Times New Roman" w:hAnsi="Times New Roman" w:cs="Times New Roman"/>
          <w:sz w:val="24"/>
          <w:szCs w:val="24"/>
        </w:rPr>
      </w:pPr>
      <w:r w:rsidRPr="00960DD3">
        <w:rPr>
          <w:rFonts w:ascii="Times New Roman" w:hAnsi="Times New Roman" w:cs="Times New Roman"/>
          <w:sz w:val="24"/>
          <w:szCs w:val="24"/>
        </w:rPr>
        <w:t xml:space="preserve">Doka, L.S., </w:t>
      </w:r>
      <w:proofErr w:type="spellStart"/>
      <w:r w:rsidRPr="00960DD3">
        <w:rPr>
          <w:rFonts w:ascii="Times New Roman" w:hAnsi="Times New Roman" w:cs="Times New Roman"/>
          <w:sz w:val="24"/>
          <w:szCs w:val="24"/>
        </w:rPr>
        <w:t>Eleng</w:t>
      </w:r>
      <w:proofErr w:type="spellEnd"/>
      <w:r w:rsidRPr="00960DD3">
        <w:rPr>
          <w:rFonts w:ascii="Times New Roman" w:hAnsi="Times New Roman" w:cs="Times New Roman"/>
          <w:sz w:val="24"/>
          <w:szCs w:val="24"/>
        </w:rPr>
        <w:t>, M. M., &amp; Sam-</w:t>
      </w:r>
      <w:proofErr w:type="spellStart"/>
      <w:r w:rsidRPr="00960DD3">
        <w:rPr>
          <w:rFonts w:ascii="Times New Roman" w:hAnsi="Times New Roman" w:cs="Times New Roman"/>
          <w:sz w:val="24"/>
          <w:szCs w:val="24"/>
        </w:rPr>
        <w:t>Aleng</w:t>
      </w:r>
      <w:proofErr w:type="spellEnd"/>
      <w:r w:rsidRPr="00960DD3">
        <w:rPr>
          <w:rFonts w:ascii="Times New Roman" w:hAnsi="Times New Roman" w:cs="Times New Roman"/>
          <w:sz w:val="24"/>
          <w:szCs w:val="24"/>
        </w:rPr>
        <w:t>, M. (2025). Moderating effect of tax-payers awareness on tax-pro-max</w:t>
      </w:r>
      <w:r>
        <w:rPr>
          <w:rFonts w:ascii="Times New Roman" w:hAnsi="Times New Roman" w:cs="Times New Roman"/>
          <w:sz w:val="24"/>
          <w:szCs w:val="24"/>
        </w:rPr>
        <w:t xml:space="preserve"> </w:t>
      </w:r>
      <w:r w:rsidRPr="00960DD3">
        <w:rPr>
          <w:rFonts w:ascii="Times New Roman" w:hAnsi="Times New Roman" w:cs="Times New Roman"/>
          <w:sz w:val="24"/>
          <w:szCs w:val="24"/>
        </w:rPr>
        <w:t xml:space="preserve">introduction and firs tax remittances in Nigeria. </w:t>
      </w:r>
      <w:r w:rsidRPr="00960DD3">
        <w:rPr>
          <w:rFonts w:ascii="Times New Roman" w:hAnsi="Times New Roman" w:cs="Times New Roman"/>
          <w:i/>
          <w:sz w:val="24"/>
          <w:szCs w:val="24"/>
        </w:rPr>
        <w:t>Journal of Accounting and Financial Management,</w:t>
      </w:r>
      <w:r>
        <w:rPr>
          <w:rFonts w:ascii="Times New Roman" w:hAnsi="Times New Roman" w:cs="Times New Roman"/>
          <w:sz w:val="24"/>
          <w:szCs w:val="24"/>
        </w:rPr>
        <w:t xml:space="preserve"> </w:t>
      </w:r>
      <w:r w:rsidRPr="00960DD3">
        <w:rPr>
          <w:rFonts w:ascii="Times New Roman" w:hAnsi="Times New Roman" w:cs="Times New Roman"/>
          <w:sz w:val="24"/>
          <w:szCs w:val="24"/>
        </w:rPr>
        <w:t xml:space="preserve">11(2), 268 </w:t>
      </w:r>
      <w:r w:rsidR="00E90F1F">
        <w:rPr>
          <w:rFonts w:ascii="Times New Roman" w:hAnsi="Times New Roman" w:cs="Times New Roman"/>
          <w:sz w:val="24"/>
          <w:szCs w:val="24"/>
        </w:rPr>
        <w:t>–</w:t>
      </w:r>
      <w:r w:rsidRPr="00960DD3">
        <w:rPr>
          <w:rFonts w:ascii="Times New Roman" w:hAnsi="Times New Roman" w:cs="Times New Roman"/>
          <w:sz w:val="24"/>
          <w:szCs w:val="24"/>
        </w:rPr>
        <w:t xml:space="preserve"> 287</w:t>
      </w:r>
      <w:r w:rsidR="00E90F1F">
        <w:rPr>
          <w:rFonts w:ascii="Times New Roman" w:hAnsi="Times New Roman" w:cs="Times New Roman"/>
          <w:sz w:val="24"/>
          <w:szCs w:val="24"/>
        </w:rPr>
        <w:t xml:space="preserve"> </w:t>
      </w:r>
      <w:r w:rsidR="00E90F1F" w:rsidRPr="00E90F1F">
        <w:rPr>
          <w:rFonts w:ascii="Times New Roman" w:hAnsi="Times New Roman" w:cs="Times New Roman"/>
          <w:sz w:val="24"/>
          <w:szCs w:val="24"/>
        </w:rPr>
        <w:t>DO</w:t>
      </w:r>
      <w:r w:rsidR="00E90F1F">
        <w:rPr>
          <w:rFonts w:ascii="Times New Roman" w:hAnsi="Times New Roman" w:cs="Times New Roman"/>
          <w:sz w:val="24"/>
          <w:szCs w:val="24"/>
        </w:rPr>
        <w:t xml:space="preserve">I </w:t>
      </w:r>
      <w:r w:rsidR="00E90F1F" w:rsidRPr="00E90F1F">
        <w:rPr>
          <w:rFonts w:ascii="Times New Roman" w:hAnsi="Times New Roman" w:cs="Times New Roman"/>
          <w:sz w:val="24"/>
          <w:szCs w:val="24"/>
        </w:rPr>
        <w:t>https://doi.org/10.56201/jafm.vol.11.no2.2025.pg268.287</w:t>
      </w:r>
    </w:p>
    <w:p w:rsidR="00E45E26" w:rsidRDefault="00A417CB" w:rsidP="00AE051B">
      <w:pPr>
        <w:spacing w:line="480" w:lineRule="auto"/>
        <w:contextualSpacing/>
        <w:jc w:val="both"/>
        <w:rPr>
          <w:rFonts w:ascii="Times New Roman" w:eastAsia="Calibri" w:hAnsi="Times New Roman"/>
          <w:sz w:val="24"/>
          <w:szCs w:val="24"/>
        </w:rPr>
      </w:pPr>
      <w:r>
        <w:rPr>
          <w:rFonts w:ascii="Times New Roman" w:eastAsia="Calibri" w:hAnsi="Times New Roman"/>
          <w:sz w:val="24"/>
          <w:szCs w:val="24"/>
        </w:rPr>
        <w:t xml:space="preserve">FIRS (2021). Public notice introduction of FIRS tax administration solution tax pro-max. www.firs.gov.ng </w:t>
      </w:r>
    </w:p>
    <w:p w:rsidR="00E45E26" w:rsidRDefault="00A417CB" w:rsidP="00AE051B">
      <w:pPr>
        <w:spacing w:line="480" w:lineRule="auto"/>
        <w:ind w:left="720" w:hanging="720"/>
        <w:contextualSpacing/>
        <w:jc w:val="both"/>
        <w:rPr>
          <w:rFonts w:ascii="Times New Roman" w:hAnsi="Times New Roman" w:cs="Times New Roman"/>
          <w:sz w:val="24"/>
          <w:szCs w:val="24"/>
        </w:rPr>
      </w:pPr>
      <w:r w:rsidRPr="00C607EE">
        <w:rPr>
          <w:rFonts w:ascii="Times New Roman" w:hAnsi="Times New Roman" w:cs="Times New Roman"/>
          <w:sz w:val="24"/>
          <w:szCs w:val="24"/>
          <w:highlight w:val="yellow"/>
        </w:rPr>
        <w:lastRenderedPageBreak/>
        <w:t>Federal Inland Revenue Service (FIRS). (2024). Tax Pro-Max Initiative: Strategic Overview and Implementation Plan. Abuja, Nigeria.</w:t>
      </w:r>
      <w:bookmarkStart w:id="0" w:name="_GoBack"/>
      <w:bookmarkEnd w:id="0"/>
    </w:p>
    <w:p w:rsidR="00857A6C" w:rsidRDefault="00A417CB" w:rsidP="00AE051B">
      <w:pPr>
        <w:spacing w:line="480" w:lineRule="auto"/>
        <w:ind w:left="720" w:hanging="720"/>
        <w:contextualSpacing/>
        <w:jc w:val="both"/>
        <w:rPr>
          <w:rFonts w:ascii="Times New Roman" w:hAnsi="Times New Roman"/>
          <w:sz w:val="24"/>
          <w:szCs w:val="24"/>
        </w:rPr>
      </w:pPr>
      <w:r>
        <w:rPr>
          <w:rFonts w:ascii="Times New Roman" w:hAnsi="Times New Roman"/>
          <w:sz w:val="24"/>
          <w:szCs w:val="24"/>
        </w:rPr>
        <w:t>IMF (2019). Corporate</w:t>
      </w:r>
      <w:r>
        <w:rPr>
          <w:rFonts w:ascii="Times New Roman" w:hAnsi="Times New Roman"/>
          <w:b/>
          <w:bCs/>
          <w:sz w:val="24"/>
          <w:szCs w:val="24"/>
        </w:rPr>
        <w:t xml:space="preserve"> </w:t>
      </w:r>
      <w:r>
        <w:rPr>
          <w:rFonts w:ascii="Times New Roman" w:hAnsi="Times New Roman"/>
          <w:sz w:val="24"/>
          <w:szCs w:val="24"/>
        </w:rPr>
        <w:t>Taxation</w:t>
      </w:r>
      <w:r>
        <w:rPr>
          <w:rFonts w:ascii="Times New Roman" w:hAnsi="Times New Roman"/>
          <w:b/>
          <w:bCs/>
          <w:sz w:val="24"/>
          <w:szCs w:val="24"/>
        </w:rPr>
        <w:t xml:space="preserve"> </w:t>
      </w:r>
      <w:r>
        <w:rPr>
          <w:rFonts w:ascii="Times New Roman" w:hAnsi="Times New Roman"/>
          <w:sz w:val="24"/>
          <w:szCs w:val="24"/>
        </w:rPr>
        <w:t xml:space="preserve">in the Global Economy. Policy Paper No. </w:t>
      </w:r>
      <w:r>
        <w:rPr>
          <w:rFonts w:ascii="Times New Roman" w:hAnsi="Times New Roman"/>
          <w:sz w:val="24"/>
          <w:szCs w:val="24"/>
        </w:rPr>
        <w:tab/>
        <w:t xml:space="preserve">2019/007. </w:t>
      </w:r>
      <w:hyperlink r:id="rId8" w:history="1">
        <w:r>
          <w:rPr>
            <w:rStyle w:val="16"/>
            <w:rFonts w:ascii="Times New Roman" w:hAnsi="Times New Roman"/>
            <w:sz w:val="24"/>
            <w:szCs w:val="24"/>
          </w:rPr>
          <w:t>https://www.imf.org/en/Publications/Policy-</w:t>
        </w:r>
      </w:hyperlink>
      <w:r>
        <w:rPr>
          <w:rFonts w:ascii="Times New Roman" w:hAnsi="Times New Roman"/>
          <w:sz w:val="24"/>
          <w:szCs w:val="24"/>
        </w:rPr>
        <w:tab/>
        <w:t>Papers/Issues/2019/03/08/Corporate-Taxation-in-the-Global-Economy-46650</w:t>
      </w:r>
      <w:r w:rsidR="00857A6C">
        <w:rPr>
          <w:rFonts w:ascii="Times New Roman" w:hAnsi="Times New Roman"/>
          <w:sz w:val="24"/>
          <w:szCs w:val="24"/>
        </w:rPr>
        <w:t>.</w:t>
      </w:r>
    </w:p>
    <w:p w:rsidR="00E45E26" w:rsidRPr="00857A6C" w:rsidRDefault="00857A6C" w:rsidP="00AE051B">
      <w:pPr>
        <w:spacing w:line="480" w:lineRule="auto"/>
        <w:ind w:left="720" w:hanging="720"/>
        <w:contextualSpacing/>
        <w:jc w:val="both"/>
        <w:rPr>
          <w:rFonts w:ascii="Times New Roman" w:hAnsi="Times New Roman"/>
          <w:sz w:val="24"/>
          <w:szCs w:val="24"/>
        </w:rPr>
      </w:pPr>
      <w:r w:rsidRPr="00857A6C">
        <w:rPr>
          <w:rFonts w:ascii="Times New Roman" w:hAnsi="Times New Roman" w:cs="Times New Roman"/>
          <w:sz w:val="24"/>
          <w:szCs w:val="24"/>
        </w:rPr>
        <w:t>International Monetary Fund. African Dept. (2024). Tax Revenue Mobilization. IMF Staff Country Reports, 2024(300), A003. Retrieved Aug 15, 2025, from https://doi.org/10.5089/9798400291227.002.A003</w:t>
      </w:r>
    </w:p>
    <w:p w:rsidR="00E45E26" w:rsidRDefault="00A417CB" w:rsidP="00AE051B">
      <w:pPr>
        <w:spacing w:line="480" w:lineRule="auto"/>
        <w:ind w:left="720" w:hanging="720"/>
        <w:contextualSpacing/>
        <w:jc w:val="both"/>
        <w:rPr>
          <w:rFonts w:ascii="Times New Roman" w:hAnsi="Times New Roman"/>
          <w:sz w:val="24"/>
          <w:szCs w:val="24"/>
        </w:rPr>
      </w:pPr>
      <w:r>
        <w:rPr>
          <w:rFonts w:ascii="Times New Roman" w:hAnsi="Times New Roman"/>
          <w:sz w:val="24"/>
          <w:szCs w:val="24"/>
        </w:rPr>
        <w:t xml:space="preserve">Jung, I.I. (2023). Nigeria’s Tax Revenue Mobilization: Lesson from Successful Revenue Reforms Episode. </w:t>
      </w:r>
      <w:r>
        <w:rPr>
          <w:rFonts w:ascii="Times New Roman" w:hAnsi="Times New Roman"/>
          <w:i/>
          <w:sz w:val="24"/>
          <w:szCs w:val="24"/>
        </w:rPr>
        <w:t>IMF Selected Issues Paper</w:t>
      </w:r>
      <w:r>
        <w:rPr>
          <w:rFonts w:ascii="Times New Roman" w:hAnsi="Times New Roman"/>
          <w:sz w:val="24"/>
          <w:szCs w:val="24"/>
        </w:rPr>
        <w:t>, 019(3), 19-37. DOI: https://doi.org/10.5089/9798400234989.018</w:t>
      </w:r>
    </w:p>
    <w:p w:rsidR="00E45E26" w:rsidRDefault="00A417CB" w:rsidP="00AE051B">
      <w:pPr>
        <w:spacing w:line="48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Kusi</w:t>
      </w:r>
      <w:proofErr w:type="spellEnd"/>
      <w:r>
        <w:rPr>
          <w:rFonts w:ascii="Times New Roman" w:hAnsi="Times New Roman" w:cs="Times New Roman"/>
          <w:sz w:val="24"/>
          <w:szCs w:val="24"/>
        </w:rPr>
        <w:t>, N. K. (1998). Tax reform and revenue productivity in Ghana. Research paper&amp; 74, African Economic Research Consortium.</w:t>
      </w:r>
    </w:p>
    <w:p w:rsidR="00E45E26" w:rsidRDefault="00A417CB" w:rsidP="00AE051B">
      <w:pPr>
        <w:spacing w:line="48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Morisset</w:t>
      </w:r>
      <w:proofErr w:type="spellEnd"/>
      <w:r>
        <w:rPr>
          <w:rFonts w:ascii="Times New Roman" w:hAnsi="Times New Roman" w:cs="Times New Roman"/>
          <w:sz w:val="24"/>
          <w:szCs w:val="24"/>
        </w:rPr>
        <w:t xml:space="preserve">, J., &amp; </w:t>
      </w:r>
      <w:proofErr w:type="spellStart"/>
      <w:r>
        <w:rPr>
          <w:rFonts w:ascii="Times New Roman" w:hAnsi="Times New Roman" w:cs="Times New Roman"/>
          <w:sz w:val="24"/>
          <w:szCs w:val="24"/>
        </w:rPr>
        <w:t>Izquierdo</w:t>
      </w:r>
      <w:proofErr w:type="spellEnd"/>
      <w:r>
        <w:rPr>
          <w:rFonts w:ascii="Times New Roman" w:hAnsi="Times New Roman" w:cs="Times New Roman"/>
          <w:sz w:val="24"/>
          <w:szCs w:val="24"/>
        </w:rPr>
        <w:t xml:space="preserve">, A. (2003). Effects of tax reform on Argentina's revenues. </w:t>
      </w:r>
      <w:r>
        <w:rPr>
          <w:rFonts w:ascii="Times New Roman" w:hAnsi="Times New Roman" w:cs="Times New Roman"/>
          <w:i/>
          <w:sz w:val="24"/>
          <w:szCs w:val="24"/>
        </w:rPr>
        <w:t>World Bank Policy Research Working Paper,</w:t>
      </w:r>
      <w:r>
        <w:rPr>
          <w:rFonts w:ascii="Times New Roman" w:hAnsi="Times New Roman" w:cs="Times New Roman"/>
          <w:sz w:val="24"/>
          <w:szCs w:val="24"/>
        </w:rPr>
        <w:t xml:space="preserve"> WPS 1192.</w:t>
      </w:r>
    </w:p>
    <w:p w:rsidR="00E45E26" w:rsidRDefault="00A417CB" w:rsidP="00AE051B">
      <w:pPr>
        <w:spacing w:line="48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Obiora</w:t>
      </w:r>
      <w:proofErr w:type="spellEnd"/>
      <w:r>
        <w:rPr>
          <w:rFonts w:ascii="Times New Roman" w:hAnsi="Times New Roman" w:cs="Times New Roman"/>
          <w:sz w:val="24"/>
          <w:szCs w:val="24"/>
        </w:rPr>
        <w:t xml:space="preserve">, F., &amp; Sunday, D. (2021). Effect of adoption of tax pro-max on FIRS tax remittance in Nigeria. </w:t>
      </w:r>
      <w:r>
        <w:rPr>
          <w:rFonts w:ascii="Times New Roman" w:hAnsi="Times New Roman" w:cs="Times New Roman"/>
          <w:i/>
          <w:sz w:val="24"/>
          <w:szCs w:val="24"/>
        </w:rPr>
        <w:t>International Journal of Trend in Scientific Research and Development (IJTSRD),</w:t>
      </w:r>
      <w:r>
        <w:rPr>
          <w:rFonts w:ascii="Times New Roman" w:hAnsi="Times New Roman" w:cs="Times New Roman"/>
          <w:sz w:val="24"/>
          <w:szCs w:val="24"/>
        </w:rPr>
        <w:t xml:space="preserve"> 6(1), 1348 – 1355.</w:t>
      </w:r>
    </w:p>
    <w:p w:rsidR="00215BB0" w:rsidRDefault="00215BB0" w:rsidP="00AE051B">
      <w:pPr>
        <w:spacing w:line="480" w:lineRule="auto"/>
        <w:ind w:left="720" w:hanging="720"/>
        <w:contextualSpacing/>
        <w:jc w:val="both"/>
        <w:rPr>
          <w:rFonts w:ascii="Times New Roman" w:hAnsi="Times New Roman" w:cs="Times New Roman"/>
          <w:sz w:val="24"/>
          <w:szCs w:val="24"/>
        </w:rPr>
      </w:pPr>
      <w:proofErr w:type="spellStart"/>
      <w:r w:rsidRPr="00215BB0">
        <w:rPr>
          <w:rFonts w:ascii="Times New Roman" w:hAnsi="Times New Roman" w:cs="Times New Roman"/>
          <w:sz w:val="24"/>
          <w:szCs w:val="24"/>
        </w:rPr>
        <w:t>Okonjo-Iweala</w:t>
      </w:r>
      <w:proofErr w:type="spellEnd"/>
      <w:r w:rsidRPr="00215BB0">
        <w:rPr>
          <w:rFonts w:ascii="Times New Roman" w:hAnsi="Times New Roman" w:cs="Times New Roman"/>
          <w:sz w:val="24"/>
          <w:szCs w:val="24"/>
        </w:rPr>
        <w:t xml:space="preserve">, N. (2012). Reforming the </w:t>
      </w:r>
      <w:proofErr w:type="spellStart"/>
      <w:r w:rsidRPr="00215BB0">
        <w:rPr>
          <w:rFonts w:ascii="Times New Roman" w:hAnsi="Times New Roman" w:cs="Times New Roman"/>
          <w:sz w:val="24"/>
          <w:szCs w:val="24"/>
        </w:rPr>
        <w:t>Unreformable</w:t>
      </w:r>
      <w:proofErr w:type="spellEnd"/>
      <w:r w:rsidRPr="00215BB0">
        <w:rPr>
          <w:rFonts w:ascii="Times New Roman" w:hAnsi="Times New Roman" w:cs="Times New Roman"/>
          <w:sz w:val="24"/>
          <w:szCs w:val="24"/>
        </w:rPr>
        <w:t>: Lessons from Nigeria. The MIT Press. http://www.jstor.org/stable/j.ctt5hhhj0</w:t>
      </w:r>
    </w:p>
    <w:p w:rsidR="00E45E26" w:rsidRDefault="00A417CB" w:rsidP="00AE051B">
      <w:pPr>
        <w:spacing w:line="48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Olaoye</w:t>
      </w:r>
      <w:proofErr w:type="spellEnd"/>
      <w:r>
        <w:rPr>
          <w:rFonts w:ascii="Times New Roman" w:hAnsi="Times New Roman" w:cs="Times New Roman"/>
          <w:sz w:val="24"/>
          <w:szCs w:val="24"/>
        </w:rPr>
        <w:t xml:space="preserve">, C.O., &amp; </w:t>
      </w:r>
      <w:proofErr w:type="spellStart"/>
      <w:r>
        <w:rPr>
          <w:rFonts w:ascii="Times New Roman" w:hAnsi="Times New Roman" w:cs="Times New Roman"/>
          <w:sz w:val="24"/>
          <w:szCs w:val="24"/>
        </w:rPr>
        <w:t>Atilola</w:t>
      </w:r>
      <w:proofErr w:type="spellEnd"/>
      <w:r>
        <w:rPr>
          <w:rFonts w:ascii="Times New Roman" w:hAnsi="Times New Roman" w:cs="Times New Roman"/>
          <w:sz w:val="24"/>
          <w:szCs w:val="24"/>
        </w:rPr>
        <w:t xml:space="preserve">, O.O. (2018). Effect of e-tax payment on revenue generation in Nigeria. </w:t>
      </w:r>
      <w:r>
        <w:rPr>
          <w:rFonts w:ascii="Times New Roman" w:hAnsi="Times New Roman" w:cs="Times New Roman"/>
          <w:i/>
          <w:sz w:val="24"/>
          <w:szCs w:val="24"/>
        </w:rPr>
        <w:t>Journal of Accounting, Business and Finance Research</w:t>
      </w:r>
      <w:r>
        <w:rPr>
          <w:rFonts w:ascii="Times New Roman" w:hAnsi="Times New Roman" w:cs="Times New Roman"/>
          <w:sz w:val="24"/>
          <w:szCs w:val="24"/>
        </w:rPr>
        <w:t>, 4(2), 56-65</w:t>
      </w:r>
    </w:p>
    <w:p w:rsidR="00E45E26" w:rsidRDefault="00A417CB" w:rsidP="00AE051B">
      <w:pPr>
        <w:spacing w:line="480" w:lineRule="auto"/>
        <w:ind w:left="720" w:hanging="720"/>
        <w:contextualSpacing/>
        <w:jc w:val="both"/>
        <w:rPr>
          <w:rFonts w:ascii="Times New Roman" w:hAnsi="Times New Roman" w:cs="Times New Roman"/>
          <w:sz w:val="24"/>
          <w:szCs w:val="24"/>
          <w:highlight w:val="yellow"/>
        </w:rPr>
      </w:pPr>
      <w:proofErr w:type="spellStart"/>
      <w:r>
        <w:rPr>
          <w:rFonts w:ascii="Times New Roman" w:hAnsi="Times New Roman" w:cs="Times New Roman"/>
          <w:sz w:val="24"/>
          <w:szCs w:val="24"/>
        </w:rPr>
        <w:t>Olurankinse</w:t>
      </w:r>
      <w:proofErr w:type="spellEnd"/>
      <w:r>
        <w:rPr>
          <w:rFonts w:ascii="Times New Roman" w:hAnsi="Times New Roman" w:cs="Times New Roman"/>
          <w:sz w:val="24"/>
          <w:szCs w:val="24"/>
        </w:rPr>
        <w:t xml:space="preserve">, F., &amp; </w:t>
      </w:r>
      <w:proofErr w:type="spellStart"/>
      <w:r>
        <w:rPr>
          <w:rFonts w:ascii="Times New Roman" w:hAnsi="Times New Roman" w:cs="Times New Roman"/>
          <w:sz w:val="24"/>
          <w:szCs w:val="24"/>
        </w:rPr>
        <w:t>Oladeji</w:t>
      </w:r>
      <w:proofErr w:type="spellEnd"/>
      <w:r>
        <w:rPr>
          <w:rFonts w:ascii="Times New Roman" w:hAnsi="Times New Roman" w:cs="Times New Roman"/>
          <w:sz w:val="24"/>
          <w:szCs w:val="24"/>
        </w:rPr>
        <w:t xml:space="preserve">, O. E. (2018). Self-assessment, electronic-taxation payment system and revenue generation in Nigeria. </w:t>
      </w:r>
      <w:r>
        <w:rPr>
          <w:rFonts w:ascii="Times New Roman" w:hAnsi="Times New Roman" w:cs="Times New Roman"/>
          <w:i/>
          <w:sz w:val="24"/>
          <w:szCs w:val="24"/>
        </w:rPr>
        <w:t>Accounting and Taxation Review</w:t>
      </w:r>
      <w:r>
        <w:rPr>
          <w:rFonts w:ascii="Times New Roman" w:hAnsi="Times New Roman" w:cs="Times New Roman"/>
          <w:sz w:val="24"/>
          <w:szCs w:val="24"/>
        </w:rPr>
        <w:t>, 2(1), 39–55.</w:t>
      </w:r>
    </w:p>
    <w:p w:rsidR="00E45E26" w:rsidRDefault="00A417CB" w:rsidP="00AE051B">
      <w:pPr>
        <w:spacing w:line="48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Ogunsanwo</w:t>
      </w:r>
      <w:proofErr w:type="spellEnd"/>
      <w:r>
        <w:rPr>
          <w:rFonts w:ascii="Times New Roman" w:hAnsi="Times New Roman" w:cs="Times New Roman"/>
          <w:sz w:val="24"/>
          <w:szCs w:val="24"/>
        </w:rPr>
        <w:t xml:space="preserve">, O. F., &amp; Ogunleye, J. (2018). Effects of Taxation as an Alternative to the Dwindling Oil Revenue in Nigeria. </w:t>
      </w:r>
      <w:r>
        <w:rPr>
          <w:rFonts w:ascii="Times New Roman" w:hAnsi="Times New Roman" w:cs="Times New Roman"/>
          <w:i/>
          <w:sz w:val="24"/>
          <w:szCs w:val="24"/>
        </w:rPr>
        <w:t>Cross-Cultural Communication</w:t>
      </w:r>
      <w:r>
        <w:rPr>
          <w:rFonts w:ascii="Times New Roman" w:hAnsi="Times New Roman" w:cs="Times New Roman"/>
          <w:sz w:val="24"/>
          <w:szCs w:val="24"/>
        </w:rPr>
        <w:t>, 14(4), 60-68</w:t>
      </w:r>
    </w:p>
    <w:p w:rsidR="00E45E26" w:rsidRDefault="00A417CB" w:rsidP="00AE051B">
      <w:pPr>
        <w:spacing w:line="48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Oti</w:t>
      </w:r>
      <w:proofErr w:type="spellEnd"/>
      <w:r>
        <w:rPr>
          <w:rFonts w:ascii="Times New Roman" w:hAnsi="Times New Roman" w:cs="Times New Roman"/>
          <w:sz w:val="24"/>
          <w:szCs w:val="24"/>
        </w:rPr>
        <w:t xml:space="preserve">, P. A., &amp; </w:t>
      </w:r>
      <w:proofErr w:type="spellStart"/>
      <w:r>
        <w:rPr>
          <w:rFonts w:ascii="Times New Roman" w:hAnsi="Times New Roman" w:cs="Times New Roman"/>
          <w:sz w:val="24"/>
          <w:szCs w:val="24"/>
        </w:rPr>
        <w:t>Odey</w:t>
      </w:r>
      <w:proofErr w:type="spellEnd"/>
      <w:r>
        <w:rPr>
          <w:rFonts w:ascii="Times New Roman" w:hAnsi="Times New Roman" w:cs="Times New Roman"/>
          <w:sz w:val="24"/>
          <w:szCs w:val="24"/>
        </w:rPr>
        <w:t xml:space="preserve">, F. I. (2016). Tax reforms and revenue trend in Nigeria: The dyadic interact. </w:t>
      </w:r>
      <w:r>
        <w:rPr>
          <w:rFonts w:ascii="Times New Roman" w:hAnsi="Times New Roman" w:cs="Times New Roman"/>
          <w:i/>
          <w:sz w:val="24"/>
          <w:szCs w:val="24"/>
        </w:rPr>
        <w:t>Research Journal of Finance and Accounting,</w:t>
      </w:r>
      <w:r>
        <w:rPr>
          <w:rFonts w:ascii="Times New Roman" w:hAnsi="Times New Roman" w:cs="Times New Roman"/>
          <w:sz w:val="24"/>
          <w:szCs w:val="24"/>
        </w:rPr>
        <w:t xml:space="preserve"> 7(19), 84 - 92</w:t>
      </w:r>
    </w:p>
    <w:p w:rsidR="00E45E26" w:rsidRDefault="00A417CB" w:rsidP="00AE051B">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Peter, P. (2023). Assessing the impact of tax pro-max on tax revenue and collection efficiency in Nigeria. </w:t>
      </w:r>
      <w:r>
        <w:rPr>
          <w:rFonts w:ascii="Times New Roman" w:hAnsi="Times New Roman" w:cs="Times New Roman"/>
          <w:i/>
          <w:sz w:val="24"/>
          <w:szCs w:val="24"/>
        </w:rPr>
        <w:t>Journal of Taxation and Economic Development, Chartered Institute of Taxation of Nigeria,</w:t>
      </w:r>
      <w:r>
        <w:rPr>
          <w:rFonts w:ascii="Times New Roman" w:hAnsi="Times New Roman" w:cs="Times New Roman"/>
          <w:sz w:val="24"/>
          <w:szCs w:val="24"/>
        </w:rPr>
        <w:t xml:space="preserve"> 22(2), 70-84</w:t>
      </w:r>
    </w:p>
    <w:p w:rsidR="00E45E26" w:rsidRDefault="00A417CB" w:rsidP="00AE051B">
      <w:pPr>
        <w:spacing w:line="48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Pîrvuț</w:t>
      </w:r>
      <w:proofErr w:type="spellEnd"/>
      <w:r>
        <w:rPr>
          <w:rFonts w:ascii="Times New Roman" w:hAnsi="Times New Roman" w:cs="Times New Roman"/>
          <w:sz w:val="24"/>
          <w:szCs w:val="24"/>
        </w:rPr>
        <w:t xml:space="preserve">, V., &amp; </w:t>
      </w:r>
      <w:proofErr w:type="spellStart"/>
      <w:r>
        <w:rPr>
          <w:rFonts w:ascii="Times New Roman" w:hAnsi="Times New Roman" w:cs="Times New Roman"/>
          <w:sz w:val="24"/>
          <w:szCs w:val="24"/>
        </w:rPr>
        <w:t>Ciuhureanu</w:t>
      </w:r>
      <w:proofErr w:type="spellEnd"/>
      <w:r>
        <w:rPr>
          <w:rFonts w:ascii="Times New Roman" w:hAnsi="Times New Roman" w:cs="Times New Roman"/>
          <w:sz w:val="24"/>
          <w:szCs w:val="24"/>
        </w:rPr>
        <w:t xml:space="preserve">, A.T. (2020). Measures for increasing the efficiency in the collection of the revenues of the consolidated general budget. </w:t>
      </w:r>
      <w:r>
        <w:rPr>
          <w:rFonts w:ascii="Times New Roman" w:hAnsi="Times New Roman" w:cs="Times New Roman"/>
          <w:i/>
          <w:sz w:val="24"/>
          <w:szCs w:val="24"/>
        </w:rPr>
        <w:t>International Conference Knowledge-Based Organization,</w:t>
      </w:r>
      <w:r>
        <w:rPr>
          <w:rFonts w:ascii="Times New Roman" w:hAnsi="Times New Roman" w:cs="Times New Roman"/>
          <w:sz w:val="24"/>
          <w:szCs w:val="24"/>
        </w:rPr>
        <w:t xml:space="preserve"> XXVI (2), 77-81</w:t>
      </w:r>
    </w:p>
    <w:p w:rsidR="00E45E26" w:rsidRDefault="00A417CB" w:rsidP="00AE051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Sani, D.M., Abdulsalam, M., Yusuf, I.K. Muhammad, M.S., Adam, A.D., &amp; </w:t>
      </w:r>
      <w:proofErr w:type="spellStart"/>
      <w:r>
        <w:rPr>
          <w:rFonts w:ascii="Times New Roman" w:hAnsi="Times New Roman" w:cs="Times New Roman"/>
          <w:sz w:val="24"/>
          <w:szCs w:val="24"/>
        </w:rPr>
        <w:t>Sulaiman</w:t>
      </w:r>
      <w:proofErr w:type="spellEnd"/>
      <w:r>
        <w:rPr>
          <w:rFonts w:ascii="Times New Roman" w:hAnsi="Times New Roman" w:cs="Times New Roman"/>
          <w:sz w:val="24"/>
          <w:szCs w:val="24"/>
        </w:rPr>
        <w:t xml:space="preserve">, B.A. (2023). An evaluation of tax digitalization efforts by Federal Inland Revenue Service and their impacts on tax collection 2002-2021. </w:t>
      </w:r>
      <w:r>
        <w:rPr>
          <w:rFonts w:ascii="Times New Roman" w:hAnsi="Times New Roman" w:cs="Times New Roman"/>
          <w:i/>
          <w:sz w:val="24"/>
          <w:szCs w:val="24"/>
        </w:rPr>
        <w:t>Journal of Accounting and Taxation,</w:t>
      </w:r>
      <w:r>
        <w:rPr>
          <w:rFonts w:ascii="Times New Roman" w:hAnsi="Times New Roman" w:cs="Times New Roman"/>
          <w:sz w:val="24"/>
          <w:szCs w:val="24"/>
        </w:rPr>
        <w:t xml:space="preserve"> 3(2), 105-122.</w:t>
      </w:r>
    </w:p>
    <w:p w:rsidR="00E45E26" w:rsidRDefault="00A417CB" w:rsidP="00AE051B">
      <w:pPr>
        <w:spacing w:line="48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Tivde</w:t>
      </w:r>
      <w:proofErr w:type="spellEnd"/>
      <w:r>
        <w:rPr>
          <w:rFonts w:ascii="Times New Roman" w:hAnsi="Times New Roman" w:cs="Times New Roman"/>
          <w:sz w:val="24"/>
          <w:szCs w:val="24"/>
        </w:rPr>
        <w:t xml:space="preserve">, J.K. (2024). Leveraging e-taxation for enhanced revenue generation in Nigeria. </w:t>
      </w:r>
      <w:r>
        <w:rPr>
          <w:rFonts w:ascii="Times New Roman" w:hAnsi="Times New Roman" w:cs="Times New Roman"/>
          <w:i/>
          <w:sz w:val="24"/>
          <w:szCs w:val="24"/>
        </w:rPr>
        <w:t>International Journal of Research and Innovation in Social Science</w:t>
      </w:r>
      <w:r>
        <w:rPr>
          <w:rFonts w:ascii="Times New Roman" w:hAnsi="Times New Roman" w:cs="Times New Roman"/>
          <w:sz w:val="24"/>
          <w:szCs w:val="24"/>
        </w:rPr>
        <w:t>, VIII(IX), 661-670.</w:t>
      </w:r>
      <w:r>
        <w:t xml:space="preserve"> </w:t>
      </w:r>
      <w:r>
        <w:rPr>
          <w:rFonts w:ascii="Times New Roman" w:hAnsi="Times New Roman" w:cs="Times New Roman"/>
          <w:sz w:val="24"/>
          <w:szCs w:val="24"/>
        </w:rPr>
        <w:t>DOI:10.47772/IJRISS.2024.809059</w:t>
      </w:r>
    </w:p>
    <w:p w:rsidR="00E45E26" w:rsidRDefault="00A417CB" w:rsidP="00AE051B">
      <w:pPr>
        <w:spacing w:line="480" w:lineRule="auto"/>
        <w:ind w:left="720" w:hanging="720"/>
        <w:contextualSpacing/>
        <w:jc w:val="both"/>
        <w:rPr>
          <w:rFonts w:ascii="Times New Roman" w:eastAsia="Calibri" w:hAnsi="Times New Roman"/>
          <w:sz w:val="24"/>
          <w:szCs w:val="24"/>
        </w:rPr>
      </w:pPr>
      <w:proofErr w:type="spellStart"/>
      <w:r>
        <w:rPr>
          <w:rFonts w:ascii="Times New Roman" w:eastAsia="Calibri" w:hAnsi="Times New Roman"/>
          <w:sz w:val="24"/>
          <w:szCs w:val="24"/>
        </w:rPr>
        <w:t>Udezo</w:t>
      </w:r>
      <w:proofErr w:type="spellEnd"/>
      <w:r>
        <w:rPr>
          <w:rFonts w:ascii="Times New Roman" w:eastAsia="Calibri" w:hAnsi="Times New Roman"/>
          <w:sz w:val="24"/>
          <w:szCs w:val="24"/>
        </w:rPr>
        <w:t xml:space="preserve">, N.O., &amp; </w:t>
      </w:r>
      <w:proofErr w:type="spellStart"/>
      <w:r>
        <w:rPr>
          <w:rFonts w:ascii="Times New Roman" w:eastAsia="Calibri" w:hAnsi="Times New Roman"/>
          <w:sz w:val="24"/>
          <w:szCs w:val="24"/>
        </w:rPr>
        <w:t>Onuora</w:t>
      </w:r>
      <w:proofErr w:type="spellEnd"/>
      <w:r>
        <w:rPr>
          <w:rFonts w:ascii="Times New Roman" w:eastAsia="Calibri" w:hAnsi="Times New Roman"/>
          <w:sz w:val="24"/>
          <w:szCs w:val="24"/>
        </w:rPr>
        <w:t xml:space="preserve">, J.K.J. (2021). Effect of tax reforms on revenue performance in Nigeria. </w:t>
      </w:r>
      <w:r>
        <w:rPr>
          <w:rFonts w:ascii="Times New Roman" w:eastAsia="Calibri" w:hAnsi="Times New Roman"/>
          <w:i/>
          <w:sz w:val="24"/>
          <w:szCs w:val="24"/>
        </w:rPr>
        <w:t>International Journal of Innovative Finance and Economics Research</w:t>
      </w:r>
      <w:r>
        <w:rPr>
          <w:rFonts w:ascii="Times New Roman" w:eastAsia="Calibri" w:hAnsi="Times New Roman"/>
          <w:sz w:val="24"/>
          <w:szCs w:val="24"/>
        </w:rPr>
        <w:t>, 9(1), 118-130</w:t>
      </w:r>
    </w:p>
    <w:p w:rsidR="00E45E26" w:rsidRDefault="00A417CB" w:rsidP="00AE051B">
      <w:pPr>
        <w:spacing w:line="48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Uguagu</w:t>
      </w:r>
      <w:proofErr w:type="spellEnd"/>
      <w:r>
        <w:rPr>
          <w:rFonts w:ascii="Times New Roman" w:hAnsi="Times New Roman" w:cs="Times New Roman"/>
          <w:sz w:val="24"/>
          <w:szCs w:val="24"/>
        </w:rPr>
        <w:t xml:space="preserve">, N.G., </w:t>
      </w:r>
      <w:proofErr w:type="spellStart"/>
      <w:r>
        <w:rPr>
          <w:rFonts w:ascii="Times New Roman" w:hAnsi="Times New Roman" w:cs="Times New Roman"/>
          <w:sz w:val="24"/>
          <w:szCs w:val="24"/>
        </w:rPr>
        <w:t>Asomba</w:t>
      </w:r>
      <w:proofErr w:type="spellEnd"/>
      <w:r>
        <w:rPr>
          <w:rFonts w:ascii="Times New Roman" w:hAnsi="Times New Roman" w:cs="Times New Roman"/>
          <w:sz w:val="24"/>
          <w:szCs w:val="24"/>
        </w:rPr>
        <w:t xml:space="preserve">, I.U., &amp; Kalu, I.O. (2023). E-taxation and tax compliance in Nigeria: </w:t>
      </w:r>
      <w:proofErr w:type="spellStart"/>
      <w:r>
        <w:rPr>
          <w:rFonts w:ascii="Times New Roman" w:hAnsi="Times New Roman" w:cs="Times New Roman"/>
          <w:sz w:val="24"/>
          <w:szCs w:val="24"/>
        </w:rPr>
        <w:t>Periscoping</w:t>
      </w:r>
      <w:proofErr w:type="spellEnd"/>
      <w:r>
        <w:rPr>
          <w:rFonts w:ascii="Times New Roman" w:hAnsi="Times New Roman" w:cs="Times New Roman"/>
          <w:sz w:val="24"/>
          <w:szCs w:val="24"/>
        </w:rPr>
        <w:t xml:space="preserve"> change perspectives. </w:t>
      </w:r>
      <w:r>
        <w:rPr>
          <w:rFonts w:ascii="Times New Roman" w:hAnsi="Times New Roman" w:cs="Times New Roman"/>
          <w:i/>
          <w:sz w:val="24"/>
          <w:szCs w:val="24"/>
        </w:rPr>
        <w:t>NG-Journal of Social Development,</w:t>
      </w:r>
      <w:r>
        <w:rPr>
          <w:rFonts w:ascii="Times New Roman" w:hAnsi="Times New Roman" w:cs="Times New Roman"/>
          <w:sz w:val="24"/>
          <w:szCs w:val="24"/>
        </w:rPr>
        <w:t xml:space="preserve"> 12(1), 29-41. DOI: </w:t>
      </w:r>
      <w:hyperlink r:id="rId9" w:history="1">
        <w:r w:rsidR="0051246E" w:rsidRPr="008C3FAF">
          <w:rPr>
            <w:rStyle w:val="Hyperlink"/>
            <w:rFonts w:ascii="Times New Roman" w:hAnsi="Times New Roman" w:cs="Times New Roman"/>
            <w:sz w:val="24"/>
            <w:szCs w:val="24"/>
          </w:rPr>
          <w:t>https://dx.doi.org/10.4314/ngjsd.v12i1.3</w:t>
        </w:r>
      </w:hyperlink>
    </w:p>
    <w:p w:rsidR="0051246E" w:rsidRDefault="0051246E" w:rsidP="00AE051B">
      <w:pPr>
        <w:spacing w:line="480" w:lineRule="auto"/>
        <w:ind w:left="720" w:hanging="720"/>
        <w:contextualSpacing/>
        <w:jc w:val="both"/>
        <w:rPr>
          <w:rFonts w:ascii="Times New Roman" w:eastAsia="Calibri" w:hAnsi="Times New Roman"/>
          <w:sz w:val="24"/>
          <w:szCs w:val="24"/>
        </w:rPr>
      </w:pPr>
      <w:proofErr w:type="spellStart"/>
      <w:r w:rsidRPr="0051246E">
        <w:rPr>
          <w:rFonts w:ascii="Times New Roman" w:eastAsia="Calibri" w:hAnsi="Times New Roman"/>
          <w:sz w:val="24"/>
          <w:szCs w:val="24"/>
        </w:rPr>
        <w:lastRenderedPageBreak/>
        <w:t>Yeye</w:t>
      </w:r>
      <w:proofErr w:type="spellEnd"/>
      <w:r w:rsidRPr="0051246E">
        <w:rPr>
          <w:rFonts w:ascii="Times New Roman" w:eastAsia="Calibri" w:hAnsi="Times New Roman"/>
          <w:sz w:val="24"/>
          <w:szCs w:val="24"/>
        </w:rPr>
        <w:t xml:space="preserve">, O., &amp; </w:t>
      </w:r>
      <w:proofErr w:type="spellStart"/>
      <w:r w:rsidRPr="0051246E">
        <w:rPr>
          <w:rFonts w:ascii="Times New Roman" w:eastAsia="Calibri" w:hAnsi="Times New Roman"/>
          <w:sz w:val="24"/>
          <w:szCs w:val="24"/>
        </w:rPr>
        <w:t>Ologhodo</w:t>
      </w:r>
      <w:proofErr w:type="spellEnd"/>
      <w:r w:rsidRPr="0051246E">
        <w:rPr>
          <w:rFonts w:ascii="Times New Roman" w:eastAsia="Calibri" w:hAnsi="Times New Roman"/>
          <w:sz w:val="24"/>
          <w:szCs w:val="24"/>
        </w:rPr>
        <w:t xml:space="preserve">, J.C. (2024). Federal Inland Revenue Service (FIRS) </w:t>
      </w:r>
      <w:proofErr w:type="spellStart"/>
      <w:r w:rsidRPr="0051246E">
        <w:rPr>
          <w:rFonts w:ascii="Times New Roman" w:eastAsia="Calibri" w:hAnsi="Times New Roman"/>
          <w:sz w:val="24"/>
          <w:szCs w:val="24"/>
        </w:rPr>
        <w:t>taxpro</w:t>
      </w:r>
      <w:proofErr w:type="spellEnd"/>
      <w:r w:rsidRPr="0051246E">
        <w:rPr>
          <w:rFonts w:ascii="Times New Roman" w:eastAsia="Calibri" w:hAnsi="Times New Roman"/>
          <w:sz w:val="24"/>
          <w:szCs w:val="24"/>
        </w:rPr>
        <w:t xml:space="preserve"> max and tax revenue collection: Perception of FIRS staff and SMES in </w:t>
      </w:r>
      <w:proofErr w:type="spellStart"/>
      <w:r w:rsidRPr="0051246E">
        <w:rPr>
          <w:rFonts w:ascii="Times New Roman" w:eastAsia="Calibri" w:hAnsi="Times New Roman"/>
          <w:sz w:val="24"/>
          <w:szCs w:val="24"/>
        </w:rPr>
        <w:t>Awka</w:t>
      </w:r>
      <w:proofErr w:type="spellEnd"/>
      <w:r w:rsidRPr="0051246E">
        <w:rPr>
          <w:rFonts w:ascii="Times New Roman" w:eastAsia="Calibri" w:hAnsi="Times New Roman"/>
          <w:sz w:val="24"/>
          <w:szCs w:val="24"/>
        </w:rPr>
        <w:t xml:space="preserve">, Anambra State. </w:t>
      </w:r>
      <w:r w:rsidRPr="0051246E">
        <w:rPr>
          <w:rFonts w:ascii="Times New Roman" w:eastAsia="Calibri" w:hAnsi="Times New Roman"/>
          <w:i/>
          <w:sz w:val="24"/>
          <w:szCs w:val="24"/>
        </w:rPr>
        <w:t>Journal of the Management Sciences</w:t>
      </w:r>
      <w:r w:rsidRPr="0051246E">
        <w:rPr>
          <w:rFonts w:ascii="Times New Roman" w:eastAsia="Calibri" w:hAnsi="Times New Roman"/>
          <w:sz w:val="24"/>
          <w:szCs w:val="24"/>
        </w:rPr>
        <w:t>, 61(9), 35 - 55</w:t>
      </w:r>
    </w:p>
    <w:sectPr w:rsidR="0051246E">
      <w:footerReference w:type="default" r:id="rId10"/>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393" w:rsidRDefault="00103393">
      <w:pPr>
        <w:spacing w:line="240" w:lineRule="auto"/>
      </w:pPr>
      <w:r>
        <w:separator/>
      </w:r>
    </w:p>
  </w:endnote>
  <w:endnote w:type="continuationSeparator" w:id="0">
    <w:p w:rsidR="00103393" w:rsidRDefault="00103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Sylfaen"/>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4360"/>
      <w:docPartObj>
        <w:docPartGallery w:val="AutoText"/>
      </w:docPartObj>
    </w:sdtPr>
    <w:sdtEndPr/>
    <w:sdtContent>
      <w:p w:rsidR="00E45E26" w:rsidRDefault="00A417CB">
        <w:pPr>
          <w:pStyle w:val="Footer"/>
          <w:jc w:val="center"/>
        </w:pPr>
        <w:r>
          <w:fldChar w:fldCharType="begin"/>
        </w:r>
        <w:r>
          <w:instrText xml:space="preserve"> PAGE   \* MERGEFORMAT </w:instrText>
        </w:r>
        <w:r>
          <w:fldChar w:fldCharType="separate"/>
        </w:r>
        <w:r w:rsidR="00DA3DCA">
          <w:rPr>
            <w:noProof/>
          </w:rPr>
          <w:t>21</w:t>
        </w:r>
        <w:r>
          <w:fldChar w:fldCharType="end"/>
        </w:r>
      </w:p>
    </w:sdtContent>
  </w:sdt>
  <w:p w:rsidR="00E45E26" w:rsidRDefault="00E45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393" w:rsidRDefault="00103393">
      <w:pPr>
        <w:spacing w:after="0"/>
      </w:pPr>
      <w:r>
        <w:separator/>
      </w:r>
    </w:p>
  </w:footnote>
  <w:footnote w:type="continuationSeparator" w:id="0">
    <w:p w:rsidR="00103393" w:rsidRDefault="001033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E26FE"/>
    <w:multiLevelType w:val="multilevel"/>
    <w:tmpl w:val="405E26F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11E0"/>
    <w:rsid w:val="00026F86"/>
    <w:rsid w:val="0003246D"/>
    <w:rsid w:val="00040FF8"/>
    <w:rsid w:val="0005040A"/>
    <w:rsid w:val="0006247D"/>
    <w:rsid w:val="00062572"/>
    <w:rsid w:val="000677F7"/>
    <w:rsid w:val="000721D9"/>
    <w:rsid w:val="000734C9"/>
    <w:rsid w:val="000735ED"/>
    <w:rsid w:val="000738D0"/>
    <w:rsid w:val="00075605"/>
    <w:rsid w:val="000806DD"/>
    <w:rsid w:val="00084424"/>
    <w:rsid w:val="00091556"/>
    <w:rsid w:val="000A0AF3"/>
    <w:rsid w:val="000C0CB5"/>
    <w:rsid w:val="000C5199"/>
    <w:rsid w:val="000D4992"/>
    <w:rsid w:val="000E1BB0"/>
    <w:rsid w:val="000F260C"/>
    <w:rsid w:val="000F3B94"/>
    <w:rsid w:val="001022D5"/>
    <w:rsid w:val="00103393"/>
    <w:rsid w:val="00103F24"/>
    <w:rsid w:val="00104B85"/>
    <w:rsid w:val="00105AC7"/>
    <w:rsid w:val="00107988"/>
    <w:rsid w:val="001128B0"/>
    <w:rsid w:val="001167C7"/>
    <w:rsid w:val="00124565"/>
    <w:rsid w:val="0012584F"/>
    <w:rsid w:val="001312E4"/>
    <w:rsid w:val="00134077"/>
    <w:rsid w:val="001400D6"/>
    <w:rsid w:val="00140EDC"/>
    <w:rsid w:val="00141818"/>
    <w:rsid w:val="00145766"/>
    <w:rsid w:val="0015563B"/>
    <w:rsid w:val="00165271"/>
    <w:rsid w:val="001800D1"/>
    <w:rsid w:val="0019191A"/>
    <w:rsid w:val="001A2B85"/>
    <w:rsid w:val="001E285C"/>
    <w:rsid w:val="001F0DD1"/>
    <w:rsid w:val="00201593"/>
    <w:rsid w:val="002055CD"/>
    <w:rsid w:val="00215BB0"/>
    <w:rsid w:val="0021637C"/>
    <w:rsid w:val="0022733A"/>
    <w:rsid w:val="00232B8B"/>
    <w:rsid w:val="00233627"/>
    <w:rsid w:val="00247665"/>
    <w:rsid w:val="0025063B"/>
    <w:rsid w:val="002506CF"/>
    <w:rsid w:val="00261C19"/>
    <w:rsid w:val="00293E86"/>
    <w:rsid w:val="00296365"/>
    <w:rsid w:val="002C79EC"/>
    <w:rsid w:val="002D152E"/>
    <w:rsid w:val="002E1E02"/>
    <w:rsid w:val="002F095B"/>
    <w:rsid w:val="002F416B"/>
    <w:rsid w:val="002F4E09"/>
    <w:rsid w:val="003005B2"/>
    <w:rsid w:val="0030061C"/>
    <w:rsid w:val="00304ED4"/>
    <w:rsid w:val="00316C10"/>
    <w:rsid w:val="0032110C"/>
    <w:rsid w:val="00322506"/>
    <w:rsid w:val="003259D8"/>
    <w:rsid w:val="00326262"/>
    <w:rsid w:val="0034111D"/>
    <w:rsid w:val="003447D8"/>
    <w:rsid w:val="0035459D"/>
    <w:rsid w:val="00385F61"/>
    <w:rsid w:val="003A62EA"/>
    <w:rsid w:val="003B3B9B"/>
    <w:rsid w:val="003B5C11"/>
    <w:rsid w:val="003C7D67"/>
    <w:rsid w:val="003E56A2"/>
    <w:rsid w:val="0040161D"/>
    <w:rsid w:val="00412BD4"/>
    <w:rsid w:val="00426828"/>
    <w:rsid w:val="0043179D"/>
    <w:rsid w:val="004317C9"/>
    <w:rsid w:val="004318B9"/>
    <w:rsid w:val="00436413"/>
    <w:rsid w:val="004450F9"/>
    <w:rsid w:val="00454886"/>
    <w:rsid w:val="00465A50"/>
    <w:rsid w:val="00466A8C"/>
    <w:rsid w:val="004765AC"/>
    <w:rsid w:val="0048063E"/>
    <w:rsid w:val="004862E2"/>
    <w:rsid w:val="00493AA6"/>
    <w:rsid w:val="004A11E0"/>
    <w:rsid w:val="004A33A9"/>
    <w:rsid w:val="004B2DAE"/>
    <w:rsid w:val="004B48CC"/>
    <w:rsid w:val="004B5EA4"/>
    <w:rsid w:val="004C45E8"/>
    <w:rsid w:val="004D2BC2"/>
    <w:rsid w:val="004D5F61"/>
    <w:rsid w:val="004F0B2A"/>
    <w:rsid w:val="004F574A"/>
    <w:rsid w:val="0050407A"/>
    <w:rsid w:val="0051246E"/>
    <w:rsid w:val="00514C6E"/>
    <w:rsid w:val="00530EE0"/>
    <w:rsid w:val="0054090A"/>
    <w:rsid w:val="005549C8"/>
    <w:rsid w:val="00556F28"/>
    <w:rsid w:val="005639BD"/>
    <w:rsid w:val="00571609"/>
    <w:rsid w:val="005751E4"/>
    <w:rsid w:val="0057635D"/>
    <w:rsid w:val="0057679F"/>
    <w:rsid w:val="00582F65"/>
    <w:rsid w:val="00594E86"/>
    <w:rsid w:val="005B3EA1"/>
    <w:rsid w:val="005C5AB9"/>
    <w:rsid w:val="005C7183"/>
    <w:rsid w:val="005E3EBD"/>
    <w:rsid w:val="005F2789"/>
    <w:rsid w:val="005F79B3"/>
    <w:rsid w:val="006067D5"/>
    <w:rsid w:val="00624BE6"/>
    <w:rsid w:val="00627367"/>
    <w:rsid w:val="00627A38"/>
    <w:rsid w:val="00631AAB"/>
    <w:rsid w:val="006537F5"/>
    <w:rsid w:val="0066222F"/>
    <w:rsid w:val="00697FFE"/>
    <w:rsid w:val="006A2C67"/>
    <w:rsid w:val="006A68C8"/>
    <w:rsid w:val="006D4CF5"/>
    <w:rsid w:val="006E1867"/>
    <w:rsid w:val="006F7ADC"/>
    <w:rsid w:val="00702CF9"/>
    <w:rsid w:val="00720079"/>
    <w:rsid w:val="00731E8A"/>
    <w:rsid w:val="00736B29"/>
    <w:rsid w:val="00751947"/>
    <w:rsid w:val="00760605"/>
    <w:rsid w:val="00765290"/>
    <w:rsid w:val="007653CF"/>
    <w:rsid w:val="007705C3"/>
    <w:rsid w:val="00772CE2"/>
    <w:rsid w:val="00777F8D"/>
    <w:rsid w:val="00796771"/>
    <w:rsid w:val="007A442E"/>
    <w:rsid w:val="007B314A"/>
    <w:rsid w:val="007B4CFB"/>
    <w:rsid w:val="007C034C"/>
    <w:rsid w:val="007C0B4E"/>
    <w:rsid w:val="007C0C4E"/>
    <w:rsid w:val="007D4A53"/>
    <w:rsid w:val="007F01E4"/>
    <w:rsid w:val="007F06D6"/>
    <w:rsid w:val="007F22D3"/>
    <w:rsid w:val="00800FC5"/>
    <w:rsid w:val="00813036"/>
    <w:rsid w:val="00815C81"/>
    <w:rsid w:val="008175F9"/>
    <w:rsid w:val="00817C02"/>
    <w:rsid w:val="00824E99"/>
    <w:rsid w:val="0084742E"/>
    <w:rsid w:val="00857A6C"/>
    <w:rsid w:val="0087400A"/>
    <w:rsid w:val="00875F2A"/>
    <w:rsid w:val="00880CBE"/>
    <w:rsid w:val="00884A45"/>
    <w:rsid w:val="00887670"/>
    <w:rsid w:val="00893457"/>
    <w:rsid w:val="008A18F0"/>
    <w:rsid w:val="008C33CB"/>
    <w:rsid w:val="00900441"/>
    <w:rsid w:val="009031E5"/>
    <w:rsid w:val="00906CD3"/>
    <w:rsid w:val="00910E6D"/>
    <w:rsid w:val="009147A7"/>
    <w:rsid w:val="00916FCF"/>
    <w:rsid w:val="00924B65"/>
    <w:rsid w:val="0093026C"/>
    <w:rsid w:val="00933C15"/>
    <w:rsid w:val="00950722"/>
    <w:rsid w:val="00960DD3"/>
    <w:rsid w:val="00961C44"/>
    <w:rsid w:val="00975047"/>
    <w:rsid w:val="009806AD"/>
    <w:rsid w:val="0099039E"/>
    <w:rsid w:val="0099062D"/>
    <w:rsid w:val="009A6002"/>
    <w:rsid w:val="009A7414"/>
    <w:rsid w:val="009A7C32"/>
    <w:rsid w:val="009B24E1"/>
    <w:rsid w:val="009C6277"/>
    <w:rsid w:val="009C7AAD"/>
    <w:rsid w:val="009F02C8"/>
    <w:rsid w:val="00A0401A"/>
    <w:rsid w:val="00A23D6F"/>
    <w:rsid w:val="00A242D4"/>
    <w:rsid w:val="00A2634D"/>
    <w:rsid w:val="00A31166"/>
    <w:rsid w:val="00A36F8B"/>
    <w:rsid w:val="00A417CB"/>
    <w:rsid w:val="00A51FAD"/>
    <w:rsid w:val="00A52E6E"/>
    <w:rsid w:val="00A56BC4"/>
    <w:rsid w:val="00A629FB"/>
    <w:rsid w:val="00A62C5B"/>
    <w:rsid w:val="00A8185D"/>
    <w:rsid w:val="00A8253B"/>
    <w:rsid w:val="00A90CE3"/>
    <w:rsid w:val="00A9468B"/>
    <w:rsid w:val="00A958F8"/>
    <w:rsid w:val="00A9682C"/>
    <w:rsid w:val="00AA2106"/>
    <w:rsid w:val="00AA48B7"/>
    <w:rsid w:val="00AB4600"/>
    <w:rsid w:val="00AB4EAB"/>
    <w:rsid w:val="00AB627F"/>
    <w:rsid w:val="00AB6F1F"/>
    <w:rsid w:val="00AE051B"/>
    <w:rsid w:val="00B17D62"/>
    <w:rsid w:val="00B23607"/>
    <w:rsid w:val="00B4565A"/>
    <w:rsid w:val="00B521E0"/>
    <w:rsid w:val="00B76765"/>
    <w:rsid w:val="00B979D0"/>
    <w:rsid w:val="00BB3BF5"/>
    <w:rsid w:val="00BC06A4"/>
    <w:rsid w:val="00BC09A0"/>
    <w:rsid w:val="00BC0C8A"/>
    <w:rsid w:val="00BD5E0A"/>
    <w:rsid w:val="00BE3C2D"/>
    <w:rsid w:val="00BF4E19"/>
    <w:rsid w:val="00BF4EDB"/>
    <w:rsid w:val="00C0127B"/>
    <w:rsid w:val="00C01857"/>
    <w:rsid w:val="00C11022"/>
    <w:rsid w:val="00C128E6"/>
    <w:rsid w:val="00C23BE0"/>
    <w:rsid w:val="00C31E23"/>
    <w:rsid w:val="00C46130"/>
    <w:rsid w:val="00C50448"/>
    <w:rsid w:val="00C607EE"/>
    <w:rsid w:val="00C615EC"/>
    <w:rsid w:val="00C70042"/>
    <w:rsid w:val="00C71538"/>
    <w:rsid w:val="00C86067"/>
    <w:rsid w:val="00CB2747"/>
    <w:rsid w:val="00CB5C52"/>
    <w:rsid w:val="00CC5036"/>
    <w:rsid w:val="00CC53FD"/>
    <w:rsid w:val="00CC5720"/>
    <w:rsid w:val="00CF0D06"/>
    <w:rsid w:val="00D36A66"/>
    <w:rsid w:val="00D40AF0"/>
    <w:rsid w:val="00D54395"/>
    <w:rsid w:val="00D55868"/>
    <w:rsid w:val="00D66783"/>
    <w:rsid w:val="00D72C3C"/>
    <w:rsid w:val="00D74A95"/>
    <w:rsid w:val="00D76431"/>
    <w:rsid w:val="00D83454"/>
    <w:rsid w:val="00D84138"/>
    <w:rsid w:val="00D84C61"/>
    <w:rsid w:val="00D961AB"/>
    <w:rsid w:val="00D97ECA"/>
    <w:rsid w:val="00DA3943"/>
    <w:rsid w:val="00DA3DCA"/>
    <w:rsid w:val="00DB1170"/>
    <w:rsid w:val="00DB3CEE"/>
    <w:rsid w:val="00DC4461"/>
    <w:rsid w:val="00DC5E7B"/>
    <w:rsid w:val="00DE594B"/>
    <w:rsid w:val="00DF09F0"/>
    <w:rsid w:val="00E00B07"/>
    <w:rsid w:val="00E13A7F"/>
    <w:rsid w:val="00E30485"/>
    <w:rsid w:val="00E33A17"/>
    <w:rsid w:val="00E401F7"/>
    <w:rsid w:val="00E427F0"/>
    <w:rsid w:val="00E43A8C"/>
    <w:rsid w:val="00E45E26"/>
    <w:rsid w:val="00E56C41"/>
    <w:rsid w:val="00E63095"/>
    <w:rsid w:val="00E66535"/>
    <w:rsid w:val="00E67B27"/>
    <w:rsid w:val="00E75A17"/>
    <w:rsid w:val="00E7755C"/>
    <w:rsid w:val="00E77708"/>
    <w:rsid w:val="00E90F1F"/>
    <w:rsid w:val="00EA4C76"/>
    <w:rsid w:val="00EB7280"/>
    <w:rsid w:val="00EC1CEE"/>
    <w:rsid w:val="00ED0207"/>
    <w:rsid w:val="00ED4A82"/>
    <w:rsid w:val="00EE18C3"/>
    <w:rsid w:val="00EF4506"/>
    <w:rsid w:val="00EF64F3"/>
    <w:rsid w:val="00F11D53"/>
    <w:rsid w:val="00F124B0"/>
    <w:rsid w:val="00F16054"/>
    <w:rsid w:val="00F2326B"/>
    <w:rsid w:val="00F33A22"/>
    <w:rsid w:val="00F4012F"/>
    <w:rsid w:val="00F4106D"/>
    <w:rsid w:val="00F42135"/>
    <w:rsid w:val="00F66367"/>
    <w:rsid w:val="00F81276"/>
    <w:rsid w:val="00F869D4"/>
    <w:rsid w:val="00F92C51"/>
    <w:rsid w:val="00F94576"/>
    <w:rsid w:val="00F960A3"/>
    <w:rsid w:val="00FA1FE9"/>
    <w:rsid w:val="00FA4A50"/>
    <w:rsid w:val="00FA6E20"/>
    <w:rsid w:val="00FC2859"/>
    <w:rsid w:val="00FE2AC8"/>
    <w:rsid w:val="00FF6139"/>
    <w:rsid w:val="1E33353B"/>
    <w:rsid w:val="4CA9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33C32D-E509-4A58-88B8-B44AE8A2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rPr>
      <w:rFonts w:ascii="Calibri" w:hAnsi="Calibri" w:cs="Calibri" w:hint="default"/>
      <w:b/>
      <w:bCs/>
    </w:rPr>
  </w:style>
  <w:style w:type="paragraph" w:styleId="ListParagraph">
    <w:name w:val="List Paragraph"/>
    <w:basedOn w:val="Normal"/>
    <w:uiPriority w:val="34"/>
    <w:qFormat/>
    <w:pPr>
      <w:ind w:left="720"/>
      <w:contextualSpacing/>
    </w:pPr>
  </w:style>
  <w:style w:type="paragraph" w:styleId="NoSpacing">
    <w:name w:val="No Spacing"/>
    <w:basedOn w:val="Normal"/>
    <w:uiPriority w:val="99"/>
    <w:qFormat/>
    <w:pPr>
      <w:suppressAutoHyphens/>
      <w:spacing w:before="100" w:beforeAutospacing="1" w:after="0" w:line="240" w:lineRule="auto"/>
    </w:pPr>
    <w:rPr>
      <w:rFonts w:ascii="Calibri" w:eastAsia="Times New Roman" w:hAnsi="Calibri" w:cs="DejaVu Sans"/>
    </w:r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16">
    <w:name w:val="16"/>
    <w:basedOn w:val="DefaultParagraphFont"/>
    <w:rPr>
      <w:rFonts w:ascii="Calibri" w:hAnsi="Calibri" w:cs="Calibri"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mf.org/en/Publications/Policy-" TargetMode="External"/><Relationship Id="rId3" Type="http://schemas.openxmlformats.org/officeDocument/2006/relationships/settings" Target="settings.xml"/><Relationship Id="rId7" Type="http://schemas.openxmlformats.org/officeDocument/2006/relationships/hyperlink" Target="http://www.taxpromax.firs.gov.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x.doi.org/10.4314/ngjsd.v12i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959</TotalTime>
  <Pages>21</Pages>
  <Words>5328</Words>
  <Characters>30375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KOBBWARE SOLUTIONS</dc:creator>
  <cp:lastModifiedBy>SDI PC New 16</cp:lastModifiedBy>
  <cp:revision>258</cp:revision>
  <dcterms:created xsi:type="dcterms:W3CDTF">2024-08-29T02:45:00Z</dcterms:created>
  <dcterms:modified xsi:type="dcterms:W3CDTF">2025-08-18T11:55:00Z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57B9556426074C01AD4524049495CACF_12</vt:lpwstr>
  </property>
</Properties>
</file>