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9454D" w14:textId="2A5C77A7" w:rsidR="00A122F1" w:rsidRDefault="004F4AE5" w:rsidP="00712B20">
      <w:pPr>
        <w:spacing w:line="480" w:lineRule="auto"/>
        <w:jc w:val="center"/>
        <w:rPr>
          <w:rFonts w:ascii="Times New Roman" w:hAnsi="Times New Roman" w:cs="Times New Roman"/>
          <w:b/>
          <w:bCs/>
        </w:rPr>
      </w:pPr>
      <w:r w:rsidRPr="00E633D7">
        <w:rPr>
          <w:rFonts w:ascii="Times New Roman" w:hAnsi="Times New Roman" w:cs="Times New Roman"/>
          <w:b/>
          <w:bCs/>
        </w:rPr>
        <w:t>Effect</w:t>
      </w:r>
      <w:r w:rsidR="00680775" w:rsidRPr="00680775">
        <w:rPr>
          <w:rFonts w:ascii="Times New Roman" w:hAnsi="Times New Roman" w:cs="Times New Roman"/>
          <w:b/>
          <w:bCs/>
        </w:rPr>
        <w:t>s</w:t>
      </w:r>
      <w:r w:rsidRPr="00E633D7">
        <w:rPr>
          <w:rFonts w:ascii="Times New Roman" w:hAnsi="Times New Roman" w:cs="Times New Roman"/>
          <w:b/>
          <w:bCs/>
        </w:rPr>
        <w:t xml:space="preserve"> of Gendered Education Investment on Economic Growth in Nigeria</w:t>
      </w:r>
    </w:p>
    <w:p w14:paraId="77123514" w14:textId="026710B9" w:rsidR="004F4AE5" w:rsidRDefault="004F4AE5" w:rsidP="004F4AE5">
      <w:pPr>
        <w:spacing w:after="0" w:line="480" w:lineRule="auto"/>
        <w:jc w:val="center"/>
        <w:rPr>
          <w:rFonts w:ascii="Times New Roman" w:hAnsi="Times New Roman" w:cs="Times New Roman"/>
          <w:b/>
          <w:bCs/>
        </w:rPr>
      </w:pPr>
      <w:r>
        <w:rPr>
          <w:rFonts w:ascii="Times New Roman" w:hAnsi="Times New Roman" w:cs="Times New Roman"/>
          <w:b/>
          <w:bCs/>
        </w:rPr>
        <w:t>Abstract</w:t>
      </w:r>
    </w:p>
    <w:p w14:paraId="108B408C" w14:textId="307643D5" w:rsidR="004F4AE5" w:rsidRPr="008F508F" w:rsidRDefault="00131F3A" w:rsidP="004F4AE5">
      <w:pPr>
        <w:spacing w:line="240" w:lineRule="auto"/>
        <w:jc w:val="both"/>
        <w:rPr>
          <w:rFonts w:ascii="Times New Roman" w:hAnsi="Times New Roman" w:cs="Times New Roman"/>
          <w:i/>
          <w:iCs/>
          <w:sz w:val="20"/>
          <w:szCs w:val="20"/>
        </w:rPr>
      </w:pPr>
      <w:r w:rsidRPr="00131F3A">
        <w:rPr>
          <w:rFonts w:ascii="Times New Roman" w:hAnsi="Times New Roman" w:cs="Times New Roman"/>
          <w:i/>
          <w:iCs/>
          <w:sz w:val="20"/>
          <w:szCs w:val="20"/>
        </w:rPr>
        <w:t>There has been an ongoing debate in economic literature on the role of gendered education investment in economic growth. This study investigates the effects of gendered investment in education on economic growth in Nigeria. The specific objectives are to examine the combined effects of female secondary school enrolment, government recurrent expenditure on education, and the Gender Parity Index (GPI) for primary school enrolment on Nigeria’s real GDP per capita. Annual data from 1990 to 2023 on government recurrent expenditure on education was obtained from the Central Bank of Nigeria Statistical Bulletin, while data on real GDP per capita, female secondary school enrolment, and the GPI for primary school enrolment were sourced from the World Development Indicators. Real GDP per capita was used as the dependent variable, while the independent variables comprised government recurrent expenditure on education, female secondary school enrolment, and the GPI for primary school enrolment. The autoregressive distributed lag (ARDL) model was employed as the estimation technique. The ARDL long-run results indicate that both government recurrent expenditure on education and female secondary school enrolment have a positive and statistically significant effect on real GDP per capita. Conversely, the GPI for primary school enrolment has a negative and statistically significant long-run effect on real GDP per capita. In light of these findings, the study recommends, among other measures, that the Nigerian government should institutionalise a long-term education financing framework, prioritising consistent, accountable, and outcome-driven investments to ensure that educational expenditure translates into sustainable economic growth. Additionally, government policies should focus on removing socio-economic barriers to girls’ education by providing scholarships, enforcing anti-child marriage laws, and expanding school networks in rural areas to maximise labour force participation and productivity.</w:t>
      </w:r>
    </w:p>
    <w:p w14:paraId="68188FAE" w14:textId="5E342990" w:rsidR="004F4AE5" w:rsidRPr="008F508F" w:rsidRDefault="004F4AE5" w:rsidP="004F4AE5">
      <w:pPr>
        <w:spacing w:line="240" w:lineRule="auto"/>
        <w:jc w:val="both"/>
        <w:rPr>
          <w:rFonts w:ascii="Times New Roman" w:hAnsi="Times New Roman" w:cs="Times New Roman"/>
          <w:i/>
          <w:iCs/>
          <w:sz w:val="20"/>
          <w:szCs w:val="20"/>
        </w:rPr>
      </w:pPr>
      <w:r w:rsidRPr="008F508F">
        <w:rPr>
          <w:rFonts w:ascii="Times New Roman" w:hAnsi="Times New Roman" w:cs="Times New Roman"/>
          <w:b/>
          <w:bCs/>
          <w:i/>
          <w:iCs/>
          <w:sz w:val="20"/>
          <w:szCs w:val="20"/>
        </w:rPr>
        <w:t xml:space="preserve">Keywords: </w:t>
      </w:r>
      <w:r w:rsidRPr="008F508F">
        <w:rPr>
          <w:rFonts w:ascii="Times New Roman" w:hAnsi="Times New Roman" w:cs="Times New Roman"/>
          <w:i/>
          <w:iCs/>
          <w:sz w:val="20"/>
          <w:szCs w:val="20"/>
        </w:rPr>
        <w:t xml:space="preserve">Real GDP </w:t>
      </w:r>
      <w:r w:rsidR="00BB00E9">
        <w:rPr>
          <w:rFonts w:ascii="Times New Roman" w:hAnsi="Times New Roman" w:cs="Times New Roman"/>
          <w:i/>
          <w:iCs/>
          <w:sz w:val="20"/>
          <w:szCs w:val="20"/>
        </w:rPr>
        <w:t>P</w:t>
      </w:r>
      <w:r w:rsidRPr="008F508F">
        <w:rPr>
          <w:rFonts w:ascii="Times New Roman" w:hAnsi="Times New Roman" w:cs="Times New Roman"/>
          <w:i/>
          <w:iCs/>
          <w:sz w:val="20"/>
          <w:szCs w:val="20"/>
        </w:rPr>
        <w:t>er</w:t>
      </w:r>
      <w:r w:rsidR="00C72033">
        <w:rPr>
          <w:rFonts w:ascii="Times New Roman" w:hAnsi="Times New Roman" w:cs="Times New Roman"/>
          <w:i/>
          <w:iCs/>
          <w:sz w:val="20"/>
          <w:szCs w:val="20"/>
        </w:rPr>
        <w:t xml:space="preserve"> </w:t>
      </w:r>
      <w:r w:rsidR="00BB00E9">
        <w:rPr>
          <w:rFonts w:ascii="Times New Roman" w:hAnsi="Times New Roman" w:cs="Times New Roman"/>
          <w:i/>
          <w:iCs/>
          <w:sz w:val="20"/>
          <w:szCs w:val="20"/>
        </w:rPr>
        <w:t>C</w:t>
      </w:r>
      <w:r w:rsidRPr="008F508F">
        <w:rPr>
          <w:rFonts w:ascii="Times New Roman" w:hAnsi="Times New Roman" w:cs="Times New Roman"/>
          <w:i/>
          <w:iCs/>
          <w:sz w:val="20"/>
          <w:szCs w:val="20"/>
        </w:rPr>
        <w:t>apita, Gender Parity Index (GPI), female secondary school enrolment, Gendered Education Investment,</w:t>
      </w:r>
      <w:r w:rsidR="00BB00E9">
        <w:rPr>
          <w:rFonts w:ascii="Times New Roman" w:hAnsi="Times New Roman" w:cs="Times New Roman"/>
          <w:i/>
          <w:iCs/>
          <w:sz w:val="20"/>
          <w:szCs w:val="20"/>
        </w:rPr>
        <w:t xml:space="preserve"> ARDL, </w:t>
      </w:r>
    </w:p>
    <w:p w14:paraId="62E90534" w14:textId="77777777" w:rsidR="00832003" w:rsidRDefault="00832003" w:rsidP="004F4AE5">
      <w:pPr>
        <w:spacing w:line="240" w:lineRule="auto"/>
        <w:jc w:val="both"/>
        <w:rPr>
          <w:rFonts w:ascii="Times New Roman" w:hAnsi="Times New Roman" w:cs="Times New Roman"/>
          <w:sz w:val="20"/>
          <w:szCs w:val="20"/>
        </w:rPr>
      </w:pPr>
    </w:p>
    <w:p w14:paraId="3FE172BE" w14:textId="35CE2AE4" w:rsidR="00203A14" w:rsidRDefault="00203A14" w:rsidP="00203A14">
      <w:pPr>
        <w:spacing w:line="480" w:lineRule="auto"/>
        <w:jc w:val="both"/>
        <w:rPr>
          <w:rFonts w:ascii="Times New Roman" w:hAnsi="Times New Roman" w:cs="Times New Roman"/>
          <w:b/>
          <w:bCs/>
        </w:rPr>
      </w:pPr>
      <w:bookmarkStart w:id="0" w:name="_Hlk173400252"/>
      <w:r>
        <w:rPr>
          <w:rFonts w:ascii="Times New Roman" w:hAnsi="Times New Roman" w:cs="Times New Roman"/>
          <w:b/>
          <w:bCs/>
        </w:rPr>
        <w:t>1</w:t>
      </w:r>
      <w:r w:rsidR="00915CBD">
        <w:rPr>
          <w:rFonts w:ascii="Times New Roman" w:hAnsi="Times New Roman" w:cs="Times New Roman"/>
          <w:b/>
          <w:bCs/>
        </w:rPr>
        <w:t xml:space="preserve">. </w:t>
      </w:r>
      <w:r>
        <w:rPr>
          <w:rFonts w:ascii="Times New Roman" w:hAnsi="Times New Roman" w:cs="Times New Roman"/>
          <w:b/>
          <w:bCs/>
        </w:rPr>
        <w:t>Introduction</w:t>
      </w:r>
    </w:p>
    <w:p w14:paraId="570B5A8C" w14:textId="77777777" w:rsidR="00813B03" w:rsidRPr="00813B03" w:rsidRDefault="00813B03" w:rsidP="00813B03">
      <w:pPr>
        <w:spacing w:line="480" w:lineRule="auto"/>
        <w:ind w:right="90"/>
        <w:jc w:val="both"/>
        <w:rPr>
          <w:rFonts w:ascii="Times New Roman" w:eastAsia="Times New Roman" w:hAnsi="Times New Roman" w:cs="Times New Roman"/>
        </w:rPr>
      </w:pPr>
      <w:r w:rsidRPr="00813B03">
        <w:rPr>
          <w:rFonts w:ascii="Times New Roman" w:eastAsia="Times New Roman" w:hAnsi="Times New Roman" w:cs="Times New Roman"/>
        </w:rPr>
        <w:t>Education is a cornerstone of economic growth and inclusive development, with female inclusion recognised as a strategic driver in low- and middle-income countries. According to Jorgenson and Fraumeni [1], human capital accumulation through education investment is central to long-term growth. In Nigeria, gender disparities in education persist, with 2021 literacy rates at 53% for females versus 74% for males [World Bank, 2]. This disparity is even more pronounced in Northern Nigeria, where early marriage, gender discrimination, poverty, and religious beliefs are major barriers to girls' enrolment and retention in schools [3, 4]. Moreover, the Gender Parity Index (GPI) for primary school enrolment stood at 1.01 in 2019, indicating a substantial gender imbalance in favour of boys [5]. This gap restricts the pipeline of female human capital into the economy and impedes inclusive development.</w:t>
      </w:r>
    </w:p>
    <w:p w14:paraId="699DA1D2" w14:textId="77777777" w:rsidR="00813B03" w:rsidRPr="00813B03" w:rsidRDefault="00813B03" w:rsidP="00813B03">
      <w:pPr>
        <w:spacing w:line="480" w:lineRule="auto"/>
        <w:ind w:right="90"/>
        <w:jc w:val="both"/>
        <w:rPr>
          <w:rFonts w:ascii="Times New Roman" w:eastAsia="Times New Roman" w:hAnsi="Times New Roman" w:cs="Times New Roman"/>
        </w:rPr>
      </w:pPr>
      <w:r w:rsidRPr="00813B03">
        <w:rPr>
          <w:rFonts w:ascii="Times New Roman" w:eastAsia="Times New Roman" w:hAnsi="Times New Roman" w:cs="Times New Roman"/>
        </w:rPr>
        <w:lastRenderedPageBreak/>
        <w:t xml:space="preserve">Government expenditure on education in Nigeria remains consistently below international benchmarks. While the United Nations Educational, Scientific and Cultural Organisation (UNESCO) recommends allocating at least 15 to 20% of national budgets to education, Nigeria allocated only 4.31% in 2022 [6]. This underinvestment disproportionately limits female educational outcomes. Research consistently shows that increasing gender equality in education leads to higher GDP per capita [7, 8, 9, 10]. For example, a 1% increase in female-to-male attainment ratios can boost GDP per capita by 0.848% in developing Asian nations [8]. </w:t>
      </w:r>
      <w:proofErr w:type="spellStart"/>
      <w:r w:rsidRPr="00813B03">
        <w:rPr>
          <w:rFonts w:ascii="Times New Roman" w:eastAsia="Times New Roman" w:hAnsi="Times New Roman" w:cs="Times New Roman"/>
        </w:rPr>
        <w:t>Sehar</w:t>
      </w:r>
      <w:proofErr w:type="spellEnd"/>
      <w:r w:rsidRPr="00813B03">
        <w:rPr>
          <w:rFonts w:ascii="Times New Roman" w:eastAsia="Times New Roman" w:hAnsi="Times New Roman" w:cs="Times New Roman"/>
        </w:rPr>
        <w:t xml:space="preserve"> et al. [11] empirically demonstrated that increasing female education contributes significantly to GDP per capita.</w:t>
      </w:r>
    </w:p>
    <w:p w14:paraId="5F55E3E2" w14:textId="77777777" w:rsidR="00813B03" w:rsidRPr="00813B03" w:rsidRDefault="00813B03" w:rsidP="00813B03">
      <w:pPr>
        <w:spacing w:line="480" w:lineRule="auto"/>
        <w:ind w:right="90"/>
        <w:jc w:val="both"/>
        <w:rPr>
          <w:rFonts w:ascii="Times New Roman" w:eastAsia="Times New Roman" w:hAnsi="Times New Roman" w:cs="Times New Roman"/>
        </w:rPr>
      </w:pPr>
      <w:r w:rsidRPr="00813B03">
        <w:rPr>
          <w:rFonts w:ascii="Times New Roman" w:eastAsia="Times New Roman" w:hAnsi="Times New Roman" w:cs="Times New Roman"/>
        </w:rPr>
        <w:t>Despite decades of development planning, Nigeria continues to face chronic underperformance in human capital indices driven significantly by gender disparities in education. The disconnection between gendered educational investment and macroeconomic outcomes suggests structural inefficiencies and policy neglect. Between 2015 and 2023, GDP per capita grew by only 0.7% annually [12], while the country ranked 164 out of 193 countries on the Human Development Index, with female education outcomes contributing to this dismal ranking [13]. One major issue is the persistently low female secondary school enrolment, which stunts long-term labour force readiness and innovation capacity. Studies have shown that countries with more equitable education systems achieve higher long-run economic growth [14]. In Nigeria, structural barriers such as poverty, early marriage, and insecurity continue to prevent girls from transitioning from primary to secondary education, resulting in over 7.6 million out-of-school girls as of the mid-2022 report [15]. According to Mohammed and Alhassan [16], regional disparities are more pronounced in 15 northern states that recorded below-average GPI, compared to near parity in the South.</w:t>
      </w:r>
    </w:p>
    <w:p w14:paraId="7A3E376E" w14:textId="7A9C6AE7" w:rsidR="00203A14" w:rsidRPr="00813B03" w:rsidRDefault="00813B03" w:rsidP="00FF4A32">
      <w:pPr>
        <w:spacing w:line="480" w:lineRule="auto"/>
        <w:ind w:right="90"/>
        <w:jc w:val="both"/>
        <w:rPr>
          <w:rFonts w:ascii="Times New Roman" w:eastAsia="Times New Roman" w:hAnsi="Times New Roman" w:cs="Times New Roman"/>
        </w:rPr>
      </w:pPr>
      <w:r w:rsidRPr="00813B03">
        <w:rPr>
          <w:rFonts w:ascii="Times New Roman" w:eastAsia="Times New Roman" w:hAnsi="Times New Roman" w:cs="Times New Roman"/>
        </w:rPr>
        <w:t xml:space="preserve">Additionally, government spending on education has not only failed to meet global recommendations but has also shown weak targeting toward bridging gender disparities. </w:t>
      </w:r>
      <w:proofErr w:type="spellStart"/>
      <w:r w:rsidRPr="00813B03">
        <w:rPr>
          <w:rFonts w:ascii="Times New Roman" w:eastAsia="Times New Roman" w:hAnsi="Times New Roman" w:cs="Times New Roman"/>
        </w:rPr>
        <w:lastRenderedPageBreak/>
        <w:t>Wodon</w:t>
      </w:r>
      <w:proofErr w:type="spellEnd"/>
      <w:r w:rsidRPr="00813B03">
        <w:rPr>
          <w:rFonts w:ascii="Times New Roman" w:eastAsia="Times New Roman" w:hAnsi="Times New Roman" w:cs="Times New Roman"/>
        </w:rPr>
        <w:t xml:space="preserve"> et al. [17] assert that such fiscal misalignment not only depresses access to quality education but also undermines the productivity potential of the economy, particularly when female cohorts are undereducated and underemployed.</w:t>
      </w:r>
      <w:r>
        <w:rPr>
          <w:rFonts w:ascii="Times New Roman" w:eastAsia="Times New Roman" w:hAnsi="Times New Roman" w:cs="Times New Roman"/>
        </w:rPr>
        <w:t xml:space="preserve"> </w:t>
      </w:r>
      <w:r w:rsidRPr="00813B03">
        <w:rPr>
          <w:rFonts w:ascii="Times New Roman" w:eastAsia="Times New Roman" w:hAnsi="Times New Roman" w:cs="Times New Roman"/>
        </w:rPr>
        <w:t xml:space="preserve">Existing empirical literature rarely models the combined effects of female secondary enrolment, education expenditure, and GPI on Nigeria’s economic growth. This study fills that gap by estimating their effects on real GDP </w:t>
      </w:r>
      <w:r w:rsidRPr="00F225AC">
        <w:rPr>
          <w:rFonts w:ascii="Times New Roman" w:eastAsia="Times New Roman" w:hAnsi="Times New Roman" w:cs="Times New Roman"/>
          <w:i/>
          <w:iCs/>
        </w:rPr>
        <w:t>per capita</w:t>
      </w:r>
      <w:r w:rsidRPr="00813B03">
        <w:rPr>
          <w:rFonts w:ascii="Times New Roman" w:eastAsia="Times New Roman" w:hAnsi="Times New Roman" w:cs="Times New Roman"/>
        </w:rPr>
        <w:t>, contributing to policies that can break poverty cycles, raise productivity, and foster inclusive growth</w:t>
      </w:r>
      <w:r w:rsidR="00203A14" w:rsidRPr="00E82A5D">
        <w:rPr>
          <w:rFonts w:ascii="Times New Roman" w:hAnsi="Times New Roman" w:cs="Times New Roman"/>
        </w:rPr>
        <w:t>.</w:t>
      </w:r>
    </w:p>
    <w:p w14:paraId="46FCB63F" w14:textId="20D3D925" w:rsidR="00832003" w:rsidRPr="00A614CB" w:rsidRDefault="00832003" w:rsidP="00832003">
      <w:pPr>
        <w:spacing w:after="0" w:line="480" w:lineRule="auto"/>
        <w:jc w:val="both"/>
        <w:rPr>
          <w:rFonts w:ascii="Times New Roman" w:hAnsi="Times New Roman" w:cs="Times New Roman"/>
          <w:b/>
          <w:bCs/>
        </w:rPr>
      </w:pPr>
      <w:r w:rsidRPr="00A614CB">
        <w:rPr>
          <w:rFonts w:ascii="Times New Roman" w:hAnsi="Times New Roman" w:cs="Times New Roman"/>
          <w:b/>
          <w:bCs/>
        </w:rPr>
        <w:t>2. Literature Review</w:t>
      </w:r>
    </w:p>
    <w:bookmarkEnd w:id="0"/>
    <w:p w14:paraId="67E8716A" w14:textId="77777777" w:rsidR="00832003" w:rsidRDefault="00832003" w:rsidP="00832003">
      <w:pPr>
        <w:spacing w:line="480" w:lineRule="auto"/>
        <w:jc w:val="both"/>
        <w:rPr>
          <w:rFonts w:ascii="Times New Roman" w:hAnsi="Times New Roman" w:cs="Times New Roman"/>
          <w:b/>
          <w:bCs/>
        </w:rPr>
      </w:pPr>
      <w:r w:rsidRPr="00982BB2">
        <w:rPr>
          <w:rFonts w:ascii="Times New Roman" w:hAnsi="Times New Roman" w:cs="Times New Roman"/>
          <w:b/>
          <w:bCs/>
        </w:rPr>
        <w:t>Theoretical Framework</w:t>
      </w:r>
    </w:p>
    <w:p w14:paraId="548A53E0" w14:textId="77777777" w:rsidR="00A309C1" w:rsidRPr="00A309C1" w:rsidRDefault="00A309C1" w:rsidP="00A309C1">
      <w:pPr>
        <w:spacing w:line="480" w:lineRule="auto"/>
        <w:jc w:val="both"/>
        <w:rPr>
          <w:rFonts w:ascii="Times New Roman" w:hAnsi="Times New Roman" w:cs="Times New Roman"/>
        </w:rPr>
      </w:pPr>
      <w:r w:rsidRPr="00A309C1">
        <w:rPr>
          <w:rFonts w:ascii="Times New Roman" w:hAnsi="Times New Roman" w:cs="Times New Roman"/>
        </w:rPr>
        <w:t>The theoretical foundation of this study is grounded in human capital theory, endogenous growth theory, and Sen’s capability approach, all of which offer distinct yet complementary lenses through which the relationship between gendered education investment and economic growth can be understood.</w:t>
      </w:r>
    </w:p>
    <w:p w14:paraId="59C0895F" w14:textId="77777777" w:rsidR="00A309C1" w:rsidRPr="00A309C1" w:rsidRDefault="00A309C1" w:rsidP="00A309C1">
      <w:pPr>
        <w:spacing w:line="480" w:lineRule="auto"/>
        <w:jc w:val="both"/>
        <w:rPr>
          <w:rFonts w:ascii="Times New Roman" w:hAnsi="Times New Roman" w:cs="Times New Roman"/>
        </w:rPr>
      </w:pPr>
      <w:r w:rsidRPr="00A309C1">
        <w:rPr>
          <w:rFonts w:ascii="Times New Roman" w:hAnsi="Times New Roman" w:cs="Times New Roman"/>
        </w:rPr>
        <w:t xml:space="preserve">Human Capital Theory, developed by Becker [18] and expanded by Mincer [19], posits that education is a form of investment that enhances individual productivity and national output. This theory asserts that individuals, when provided with education and training, accumulate knowledge and skills that increase their future earnings and efficiency. In the context of gendered education, investing in female secondary school enrolment yields both direct economic benefits and social returns, such as reduced fertility rates, improved child health, and expanded labour force participation [20]. Moreover, government expenditure on education reflects the state's commitment to building a productive workforce. When such expenditures are strategically targeted toward reducing gender disparities, they contribute to a more balanced and efficient allocation of human resources, which in turn raises national productivity and real income levels. The Gender Parity Index (GPI) in primary education further complements this </w:t>
      </w:r>
      <w:r w:rsidRPr="00A309C1">
        <w:rPr>
          <w:rFonts w:ascii="Times New Roman" w:hAnsi="Times New Roman" w:cs="Times New Roman"/>
        </w:rPr>
        <w:lastRenderedPageBreak/>
        <w:t>framework, serving as a proxy for the equitable distribution of foundational learning opportunities.</w:t>
      </w:r>
    </w:p>
    <w:p w14:paraId="4A62E8EA" w14:textId="77777777" w:rsidR="00A309C1" w:rsidRPr="00A309C1" w:rsidRDefault="00A309C1" w:rsidP="00A309C1">
      <w:pPr>
        <w:spacing w:line="480" w:lineRule="auto"/>
        <w:jc w:val="both"/>
        <w:rPr>
          <w:rFonts w:ascii="Times New Roman" w:hAnsi="Times New Roman" w:cs="Times New Roman"/>
        </w:rPr>
      </w:pPr>
      <w:r w:rsidRPr="00A309C1">
        <w:rPr>
          <w:rFonts w:ascii="Times New Roman" w:hAnsi="Times New Roman" w:cs="Times New Roman"/>
        </w:rPr>
        <w:t>Building on the human capital perspective, endogenous growth theory offers a more dynamic explanation of how education contributes to long-run economic performance. As articulated by Romer [21] and Lucas [22], endogenous growth models emphasise that the accumulation of knowledge and human capital, particularly through education, is a primary driver of technological advancement and innovation within an economy. These models argue that public policies, such as increased government expenditure on education, can have sustained effects on growth by fostering environments that promote learning, innovation, and skill development. Importantly, when such policies are inclusive by ensuring equitable access to girls and boys, they create a more diversified and resilient base of human capital. Female secondary education plays a particularly critical role in this framework, as it equips women with the competencies needed to participate in high-value-added sectors of the economy. The presence of a near-equal GPI in primary education is a necessary condition for these benefits to materialise at later educational stages. When gender disparities persist, a significant portion of the population is excluded from the knowledge economy, thereby reducing the nation’s growth potential.</w:t>
      </w:r>
    </w:p>
    <w:p w14:paraId="5C563B5A" w14:textId="6057C505" w:rsidR="00832003" w:rsidRPr="00C12F42" w:rsidRDefault="00A309C1" w:rsidP="00832003">
      <w:pPr>
        <w:spacing w:line="480" w:lineRule="auto"/>
        <w:jc w:val="both"/>
        <w:rPr>
          <w:rFonts w:ascii="Times New Roman" w:hAnsi="Times New Roman" w:cs="Times New Roman"/>
        </w:rPr>
      </w:pPr>
      <w:r w:rsidRPr="00A309C1">
        <w:rPr>
          <w:rFonts w:ascii="Times New Roman" w:hAnsi="Times New Roman" w:cs="Times New Roman"/>
        </w:rPr>
        <w:t xml:space="preserve">Complementing these economic models is the capability approach advanced by Amartya Sen [23], which expands the concept of development beyond income metrics to include human freedom, agency, and opportunity. Sen argues that true development occurs when individuals have the capabilities to live lives they value, and education is central to expanding those capabilities. In this context, gendered education investment is not only a tool for income generation but also a pathway to empowerment and social justice. When girls are denied access to education, particularly at the primary and secondary levels, their ability to participate meaningfully in economic and civic life is severely constrained. The Gender Parity Index for primary enrolment is therefore an early indicator of whether development is inclusive and </w:t>
      </w:r>
      <w:r w:rsidRPr="00A309C1">
        <w:rPr>
          <w:rFonts w:ascii="Times New Roman" w:hAnsi="Times New Roman" w:cs="Times New Roman"/>
        </w:rPr>
        <w:lastRenderedPageBreak/>
        <w:t>equitable. Public spending that prioritises gender parity in education, especially in nations with historically low female enrolment, can unlock latent human capabilities and fuel sustained, broad-based economic growth.</w:t>
      </w:r>
    </w:p>
    <w:p w14:paraId="732FD26B" w14:textId="2F50FCBE" w:rsidR="00832003" w:rsidRPr="00A27D69" w:rsidRDefault="00832003" w:rsidP="00832003">
      <w:pPr>
        <w:spacing w:line="480" w:lineRule="auto"/>
        <w:jc w:val="both"/>
        <w:rPr>
          <w:rFonts w:ascii="Times New Roman" w:hAnsi="Times New Roman" w:cs="Times New Roman"/>
          <w:b/>
        </w:rPr>
      </w:pPr>
      <w:r w:rsidRPr="00A27D69">
        <w:rPr>
          <w:rFonts w:ascii="Times New Roman" w:hAnsi="Times New Roman" w:cs="Times New Roman"/>
          <w:b/>
        </w:rPr>
        <w:t>Empirical Review</w:t>
      </w:r>
    </w:p>
    <w:p w14:paraId="0CA85433" w14:textId="4459460B" w:rsidR="00832003" w:rsidRPr="00B40FA4" w:rsidRDefault="00832003" w:rsidP="00832003">
      <w:pPr>
        <w:spacing w:line="480" w:lineRule="auto"/>
        <w:jc w:val="both"/>
        <w:rPr>
          <w:rFonts w:ascii="Times New Roman" w:hAnsi="Times New Roman" w:cs="Times New Roman"/>
          <w:bCs/>
        </w:rPr>
      </w:pPr>
      <w:proofErr w:type="spellStart"/>
      <w:r w:rsidRPr="0036533C">
        <w:rPr>
          <w:rFonts w:ascii="Times New Roman" w:hAnsi="Times New Roman" w:cs="Times New Roman"/>
          <w:bCs/>
        </w:rPr>
        <w:t>Kocevska</w:t>
      </w:r>
      <w:proofErr w:type="spellEnd"/>
      <w:r w:rsidRPr="0036533C">
        <w:rPr>
          <w:rFonts w:ascii="Times New Roman" w:hAnsi="Times New Roman" w:cs="Times New Roman"/>
          <w:bCs/>
        </w:rPr>
        <w:t xml:space="preserve"> </w:t>
      </w:r>
      <w:r w:rsidR="00F87276">
        <w:rPr>
          <w:rFonts w:ascii="Times New Roman" w:hAnsi="Times New Roman" w:cs="Times New Roman"/>
          <w:bCs/>
        </w:rPr>
        <w:t>[24]</w:t>
      </w:r>
      <w:r w:rsidRPr="0036533C">
        <w:rPr>
          <w:rFonts w:ascii="Times New Roman" w:hAnsi="Times New Roman" w:cs="Times New Roman"/>
          <w:bCs/>
        </w:rPr>
        <w:t xml:space="preserve"> </w:t>
      </w:r>
      <w:r w:rsidRPr="003A4CD1">
        <w:rPr>
          <w:rFonts w:ascii="Times New Roman" w:hAnsi="Times New Roman" w:cs="Times New Roman"/>
          <w:bCs/>
        </w:rPr>
        <w:t xml:space="preserve">investigated the impact of public education investment on GDP </w:t>
      </w:r>
      <w:r w:rsidRPr="00A37005">
        <w:rPr>
          <w:rFonts w:ascii="Times New Roman" w:hAnsi="Times New Roman" w:cs="Times New Roman"/>
          <w:bCs/>
          <w:i/>
          <w:iCs/>
        </w:rPr>
        <w:t>per capita</w:t>
      </w:r>
      <w:r w:rsidRPr="003A4CD1">
        <w:rPr>
          <w:rFonts w:ascii="Times New Roman" w:hAnsi="Times New Roman" w:cs="Times New Roman"/>
          <w:bCs/>
        </w:rPr>
        <w:t xml:space="preserve"> in North Macedonia from 1991 to 2020</w:t>
      </w:r>
      <w:r w:rsidRPr="0036533C">
        <w:rPr>
          <w:rFonts w:ascii="Times New Roman" w:hAnsi="Times New Roman" w:cs="Times New Roman"/>
          <w:bCs/>
        </w:rPr>
        <w:t xml:space="preserve">. </w:t>
      </w:r>
      <w:r w:rsidRPr="009C615C">
        <w:rPr>
          <w:rFonts w:ascii="Times New Roman" w:hAnsi="Times New Roman" w:cs="Times New Roman"/>
          <w:bCs/>
        </w:rPr>
        <w:t xml:space="preserve">The study found significant results using empirical </w:t>
      </w:r>
      <w:r>
        <w:rPr>
          <w:rFonts w:ascii="Times New Roman" w:hAnsi="Times New Roman" w:cs="Times New Roman"/>
          <w:bCs/>
        </w:rPr>
        <w:t>comput</w:t>
      </w:r>
      <w:r w:rsidRPr="0036533C">
        <w:rPr>
          <w:rFonts w:ascii="Times New Roman" w:hAnsi="Times New Roman" w:cs="Times New Roman"/>
          <w:bCs/>
        </w:rPr>
        <w:t xml:space="preserve">ations, the study produced salient findings. </w:t>
      </w:r>
      <w:r w:rsidRPr="009C615C">
        <w:rPr>
          <w:rFonts w:ascii="Times New Roman" w:hAnsi="Times New Roman" w:cs="Times New Roman"/>
          <w:bCs/>
        </w:rPr>
        <w:t>In the short run, public spending on education had a negative and significant relationship with GDP per capita. In the long run, the relationship remained negative, though statistically insignificant. Based on these findings, the study concluded that</w:t>
      </w:r>
      <w:r w:rsidRPr="0036533C">
        <w:rPr>
          <w:rFonts w:ascii="Times New Roman" w:hAnsi="Times New Roman" w:cs="Times New Roman"/>
          <w:bCs/>
        </w:rPr>
        <w:t xml:space="preserve"> policy interventions in the financing of the education sector were necessary to transform educational expenditures into productive human capital and thereby enhance national economic development</w:t>
      </w:r>
      <w:r w:rsidRPr="00B40FA4">
        <w:rPr>
          <w:rFonts w:ascii="Times New Roman" w:hAnsi="Times New Roman" w:cs="Times New Roman"/>
          <w:bCs/>
        </w:rPr>
        <w:t>.</w:t>
      </w:r>
    </w:p>
    <w:p w14:paraId="30B2EFC9" w14:textId="76F2CABA" w:rsidR="00832003" w:rsidRPr="00B40FA4" w:rsidRDefault="00DD603E" w:rsidP="00832003">
      <w:pPr>
        <w:spacing w:line="480" w:lineRule="auto"/>
        <w:jc w:val="both"/>
        <w:rPr>
          <w:rFonts w:ascii="Times New Roman" w:hAnsi="Times New Roman" w:cs="Times New Roman"/>
          <w:bCs/>
        </w:rPr>
      </w:pPr>
      <w:r>
        <w:rPr>
          <w:rFonts w:ascii="Times New Roman" w:hAnsi="Times New Roman" w:cs="Times New Roman"/>
          <w:bCs/>
        </w:rPr>
        <w:t>Christopher</w:t>
      </w:r>
      <w:r w:rsidR="00832003" w:rsidRPr="00354232">
        <w:rPr>
          <w:rFonts w:ascii="Times New Roman" w:hAnsi="Times New Roman" w:cs="Times New Roman"/>
          <w:bCs/>
        </w:rPr>
        <w:t xml:space="preserve"> et al. </w:t>
      </w:r>
      <w:r w:rsidR="007848F3">
        <w:rPr>
          <w:rFonts w:ascii="Times New Roman" w:hAnsi="Times New Roman" w:cs="Times New Roman"/>
          <w:bCs/>
        </w:rPr>
        <w:t>[25]</w:t>
      </w:r>
      <w:r w:rsidR="00832003" w:rsidRPr="00354232">
        <w:rPr>
          <w:rFonts w:ascii="Times New Roman" w:hAnsi="Times New Roman" w:cs="Times New Roman"/>
          <w:bCs/>
        </w:rPr>
        <w:t xml:space="preserve"> studied the </w:t>
      </w:r>
      <w:r w:rsidR="007571C1">
        <w:rPr>
          <w:rFonts w:ascii="Times New Roman" w:hAnsi="Times New Roman" w:cs="Times New Roman"/>
          <w:bCs/>
        </w:rPr>
        <w:t>i</w:t>
      </w:r>
      <w:r w:rsidR="00B84749" w:rsidRPr="00B84749">
        <w:rPr>
          <w:rFonts w:ascii="Times New Roman" w:hAnsi="Times New Roman" w:cs="Times New Roman"/>
          <w:bCs/>
        </w:rPr>
        <w:t xml:space="preserve">mpact of Government Spending in Education and Health on Nigeria’s </w:t>
      </w:r>
      <w:r w:rsidR="00676F4C" w:rsidRPr="00B84749">
        <w:rPr>
          <w:rFonts w:ascii="Times New Roman" w:hAnsi="Times New Roman" w:cs="Times New Roman"/>
          <w:bCs/>
        </w:rPr>
        <w:t xml:space="preserve">economic growth </w:t>
      </w:r>
      <w:r w:rsidR="00832003" w:rsidRPr="00354232">
        <w:rPr>
          <w:rFonts w:ascii="Times New Roman" w:hAnsi="Times New Roman" w:cs="Times New Roman"/>
          <w:bCs/>
        </w:rPr>
        <w:t>between 19</w:t>
      </w:r>
      <w:r w:rsidR="00676F4C">
        <w:rPr>
          <w:rFonts w:ascii="Times New Roman" w:hAnsi="Times New Roman" w:cs="Times New Roman"/>
          <w:bCs/>
        </w:rPr>
        <w:t>86</w:t>
      </w:r>
      <w:r w:rsidR="00832003" w:rsidRPr="00354232">
        <w:rPr>
          <w:rFonts w:ascii="Times New Roman" w:hAnsi="Times New Roman" w:cs="Times New Roman"/>
          <w:bCs/>
        </w:rPr>
        <w:t xml:space="preserve"> and 20</w:t>
      </w:r>
      <w:r w:rsidR="00676F4C">
        <w:rPr>
          <w:rFonts w:ascii="Times New Roman" w:hAnsi="Times New Roman" w:cs="Times New Roman"/>
          <w:bCs/>
        </w:rPr>
        <w:t>23</w:t>
      </w:r>
      <w:r w:rsidR="007B6545">
        <w:rPr>
          <w:rFonts w:ascii="Times New Roman" w:hAnsi="Times New Roman" w:cs="Times New Roman"/>
          <w:bCs/>
        </w:rPr>
        <w:t xml:space="preserve">, </w:t>
      </w:r>
      <w:r w:rsidR="00676F4C" w:rsidRPr="00676F4C">
        <w:rPr>
          <w:rFonts w:ascii="Times New Roman" w:hAnsi="Times New Roman" w:cs="Times New Roman"/>
          <w:bCs/>
        </w:rPr>
        <w:t>using time series data and the Autoregressive Distributed Lag (ARDL) model. The study reveal</w:t>
      </w:r>
      <w:r w:rsidR="00E4702A">
        <w:rPr>
          <w:rFonts w:ascii="Times New Roman" w:hAnsi="Times New Roman" w:cs="Times New Roman"/>
          <w:bCs/>
        </w:rPr>
        <w:t>ed</w:t>
      </w:r>
      <w:r w:rsidR="00676F4C" w:rsidRPr="00676F4C">
        <w:rPr>
          <w:rFonts w:ascii="Times New Roman" w:hAnsi="Times New Roman" w:cs="Times New Roman"/>
          <w:bCs/>
        </w:rPr>
        <w:t xml:space="preserve"> that past GDP </w:t>
      </w:r>
      <w:r w:rsidR="00676F4C" w:rsidRPr="00CA5E47">
        <w:rPr>
          <w:rFonts w:ascii="Times New Roman" w:hAnsi="Times New Roman" w:cs="Times New Roman"/>
          <w:bCs/>
          <w:i/>
          <w:iCs/>
        </w:rPr>
        <w:t>per capita</w:t>
      </w:r>
      <w:r w:rsidR="00676F4C" w:rsidRPr="00676F4C">
        <w:rPr>
          <w:rFonts w:ascii="Times New Roman" w:hAnsi="Times New Roman" w:cs="Times New Roman"/>
          <w:bCs/>
        </w:rPr>
        <w:t xml:space="preserve"> significantly influences current output, indicating growth momentum. Government capital education expenditure (GCEEX) </w:t>
      </w:r>
      <w:r w:rsidR="00686C84">
        <w:rPr>
          <w:rFonts w:ascii="Times New Roman" w:hAnsi="Times New Roman" w:cs="Times New Roman"/>
          <w:bCs/>
        </w:rPr>
        <w:t>showed</w:t>
      </w:r>
      <w:r w:rsidR="00676F4C" w:rsidRPr="00676F4C">
        <w:rPr>
          <w:rFonts w:ascii="Times New Roman" w:hAnsi="Times New Roman" w:cs="Times New Roman"/>
          <w:bCs/>
        </w:rPr>
        <w:t xml:space="preserve"> a complex relationship, with short-term spending slightly negative but becoming positive in the long term. Capital health expenditure (GCHEX) contributes positively, while recurrent education expenditure significantly boosts GDP per capita in both short and long terms. Recurrent health expenditure, on the other hand, negatively impact</w:t>
      </w:r>
      <w:r w:rsidR="00686C84">
        <w:rPr>
          <w:rFonts w:ascii="Times New Roman" w:hAnsi="Times New Roman" w:cs="Times New Roman"/>
          <w:bCs/>
        </w:rPr>
        <w:t>ed</w:t>
      </w:r>
      <w:r w:rsidR="00676F4C" w:rsidRPr="00676F4C">
        <w:rPr>
          <w:rFonts w:ascii="Times New Roman" w:hAnsi="Times New Roman" w:cs="Times New Roman"/>
          <w:bCs/>
        </w:rPr>
        <w:t xml:space="preserve"> GDP </w:t>
      </w:r>
      <w:r w:rsidR="00676F4C" w:rsidRPr="00D25520">
        <w:rPr>
          <w:rFonts w:ascii="Times New Roman" w:hAnsi="Times New Roman" w:cs="Times New Roman"/>
          <w:bCs/>
          <w:i/>
          <w:iCs/>
        </w:rPr>
        <w:t>per capita</w:t>
      </w:r>
      <w:r w:rsidR="00676F4C" w:rsidRPr="00676F4C">
        <w:rPr>
          <w:rFonts w:ascii="Times New Roman" w:hAnsi="Times New Roman" w:cs="Times New Roman"/>
          <w:bCs/>
        </w:rPr>
        <w:t xml:space="preserve"> due to inefficiencies or crowding-out effects on private investment.</w:t>
      </w:r>
    </w:p>
    <w:p w14:paraId="5BA5C1E4" w14:textId="70426773" w:rsidR="00832003" w:rsidRPr="00B40FA4" w:rsidRDefault="00832003" w:rsidP="00832003">
      <w:pPr>
        <w:spacing w:line="480" w:lineRule="auto"/>
        <w:jc w:val="both"/>
        <w:rPr>
          <w:rFonts w:ascii="Times New Roman" w:hAnsi="Times New Roman" w:cs="Times New Roman"/>
          <w:bCs/>
        </w:rPr>
      </w:pPr>
      <w:r>
        <w:rPr>
          <w:rFonts w:ascii="Times New Roman" w:hAnsi="Times New Roman" w:cs="Times New Roman"/>
          <w:bCs/>
        </w:rPr>
        <w:t xml:space="preserve">Using </w:t>
      </w:r>
      <w:r w:rsidRPr="00B602C7">
        <w:rPr>
          <w:rFonts w:ascii="Times New Roman" w:hAnsi="Times New Roman" w:cs="Times New Roman"/>
          <w:bCs/>
        </w:rPr>
        <w:t>a system-generalized method of moments (SGMM) estimator to examine panel data from 35 Sub-Saharan African countries spanning 1980–2008</w:t>
      </w:r>
      <w:r>
        <w:rPr>
          <w:rFonts w:ascii="Times New Roman" w:hAnsi="Times New Roman" w:cs="Times New Roman"/>
          <w:bCs/>
        </w:rPr>
        <w:t xml:space="preserve">, </w:t>
      </w:r>
      <w:proofErr w:type="spellStart"/>
      <w:r w:rsidRPr="00B602C7">
        <w:rPr>
          <w:rFonts w:ascii="Times New Roman" w:hAnsi="Times New Roman" w:cs="Times New Roman"/>
          <w:bCs/>
        </w:rPr>
        <w:t>Ogundari</w:t>
      </w:r>
      <w:proofErr w:type="spellEnd"/>
      <w:r w:rsidRPr="00B602C7">
        <w:rPr>
          <w:rFonts w:ascii="Times New Roman" w:hAnsi="Times New Roman" w:cs="Times New Roman"/>
          <w:bCs/>
        </w:rPr>
        <w:t xml:space="preserve"> and </w:t>
      </w:r>
      <w:proofErr w:type="spellStart"/>
      <w:r w:rsidRPr="00B602C7">
        <w:rPr>
          <w:rFonts w:ascii="Times New Roman" w:hAnsi="Times New Roman" w:cs="Times New Roman"/>
          <w:bCs/>
        </w:rPr>
        <w:t>Awokuse</w:t>
      </w:r>
      <w:proofErr w:type="spellEnd"/>
      <w:r w:rsidRPr="00B602C7">
        <w:rPr>
          <w:rFonts w:ascii="Times New Roman" w:hAnsi="Times New Roman" w:cs="Times New Roman"/>
          <w:bCs/>
        </w:rPr>
        <w:t xml:space="preserve"> </w:t>
      </w:r>
      <w:r w:rsidR="00F2160A">
        <w:rPr>
          <w:rFonts w:ascii="Times New Roman" w:hAnsi="Times New Roman" w:cs="Times New Roman"/>
          <w:bCs/>
        </w:rPr>
        <w:t>[26]</w:t>
      </w:r>
      <w:r w:rsidRPr="00B602C7">
        <w:rPr>
          <w:rFonts w:ascii="Times New Roman" w:hAnsi="Times New Roman" w:cs="Times New Roman"/>
          <w:bCs/>
        </w:rPr>
        <w:t xml:space="preserve"> employed two proxies for human capital: health and education. The results </w:t>
      </w:r>
      <w:r>
        <w:rPr>
          <w:rFonts w:ascii="Times New Roman" w:hAnsi="Times New Roman" w:cs="Times New Roman"/>
          <w:bCs/>
        </w:rPr>
        <w:t>showed</w:t>
      </w:r>
      <w:r w:rsidRPr="00B602C7">
        <w:rPr>
          <w:rFonts w:ascii="Times New Roman" w:hAnsi="Times New Roman" w:cs="Times New Roman"/>
          <w:bCs/>
        </w:rPr>
        <w:t xml:space="preserve"> that both </w:t>
      </w:r>
      <w:r w:rsidRPr="00B602C7">
        <w:rPr>
          <w:rFonts w:ascii="Times New Roman" w:hAnsi="Times New Roman" w:cs="Times New Roman"/>
          <w:bCs/>
        </w:rPr>
        <w:lastRenderedPageBreak/>
        <w:t>variables positively influenced economic growth, with health having a more pronounced effect. Furthermore, while government expenditure on education contributed positively to growth, the effect was not statistically significant</w:t>
      </w:r>
      <w:r w:rsidRPr="00B40FA4">
        <w:rPr>
          <w:rFonts w:ascii="Times New Roman" w:hAnsi="Times New Roman" w:cs="Times New Roman"/>
          <w:bCs/>
        </w:rPr>
        <w:t>.</w:t>
      </w:r>
    </w:p>
    <w:p w14:paraId="010C39CC" w14:textId="518A6CC1" w:rsidR="00832003" w:rsidRPr="00B40FA4" w:rsidRDefault="00832003" w:rsidP="00832003">
      <w:pPr>
        <w:spacing w:line="480" w:lineRule="auto"/>
        <w:jc w:val="both"/>
        <w:rPr>
          <w:rFonts w:ascii="Times New Roman" w:hAnsi="Times New Roman" w:cs="Times New Roman"/>
          <w:bCs/>
        </w:rPr>
      </w:pPr>
      <w:r w:rsidRPr="006E7BA4">
        <w:rPr>
          <w:rFonts w:ascii="Times New Roman" w:hAnsi="Times New Roman" w:cs="Times New Roman"/>
          <w:bCs/>
        </w:rPr>
        <w:t xml:space="preserve">Using 237 estimates from 29 initial studies, Churchill et al. </w:t>
      </w:r>
      <w:r w:rsidR="00882C9E">
        <w:rPr>
          <w:rFonts w:ascii="Times New Roman" w:hAnsi="Times New Roman" w:cs="Times New Roman"/>
          <w:bCs/>
        </w:rPr>
        <w:t>[27]</w:t>
      </w:r>
      <w:r w:rsidRPr="006E7BA4">
        <w:rPr>
          <w:rFonts w:ascii="Times New Roman" w:hAnsi="Times New Roman" w:cs="Times New Roman"/>
          <w:bCs/>
        </w:rPr>
        <w:t xml:space="preserve"> performed a hierarchical meta-regression analysis to assess the connection between economic growth and government expenditures on education. According to the findings, education spending has a positive effect on growth in industrialised nations. On the other hand, the correlation was statistically insignificant for LDCs</w:t>
      </w:r>
      <w:r w:rsidRPr="003B465A">
        <w:rPr>
          <w:rFonts w:ascii="Times New Roman" w:hAnsi="Times New Roman" w:cs="Times New Roman"/>
          <w:bCs/>
        </w:rPr>
        <w:t xml:space="preserve">. The study further explored heterogeneity across findings and identified that variations in econometric methods, publication attributes, and data features accounted for differences in outcomes. </w:t>
      </w:r>
      <w:r w:rsidRPr="006E7BA4">
        <w:rPr>
          <w:rFonts w:ascii="Times New Roman" w:hAnsi="Times New Roman" w:cs="Times New Roman"/>
          <w:bCs/>
        </w:rPr>
        <w:t>Interestingly, no indication of publication bias was found</w:t>
      </w:r>
      <w:r w:rsidRPr="00B40FA4">
        <w:rPr>
          <w:rFonts w:ascii="Times New Roman" w:hAnsi="Times New Roman" w:cs="Times New Roman"/>
          <w:bCs/>
        </w:rPr>
        <w:t>.</w:t>
      </w:r>
    </w:p>
    <w:p w14:paraId="4D120526" w14:textId="358511D8" w:rsidR="00832003" w:rsidRPr="00B40FA4" w:rsidRDefault="00832003" w:rsidP="00832003">
      <w:pPr>
        <w:spacing w:line="480" w:lineRule="auto"/>
        <w:jc w:val="both"/>
        <w:rPr>
          <w:rFonts w:ascii="Times New Roman" w:hAnsi="Times New Roman" w:cs="Times New Roman"/>
          <w:bCs/>
        </w:rPr>
      </w:pPr>
      <w:proofErr w:type="spellStart"/>
      <w:r w:rsidRPr="00BE6FDC">
        <w:rPr>
          <w:rFonts w:ascii="Times New Roman" w:hAnsi="Times New Roman" w:cs="Times New Roman"/>
          <w:bCs/>
        </w:rPr>
        <w:t>Kouton</w:t>
      </w:r>
      <w:proofErr w:type="spellEnd"/>
      <w:r w:rsidRPr="00BE6FDC">
        <w:rPr>
          <w:rFonts w:ascii="Times New Roman" w:hAnsi="Times New Roman" w:cs="Times New Roman"/>
          <w:bCs/>
        </w:rPr>
        <w:t xml:space="preserve"> </w:t>
      </w:r>
      <w:r w:rsidR="00465F3D">
        <w:rPr>
          <w:rFonts w:ascii="Times New Roman" w:hAnsi="Times New Roman" w:cs="Times New Roman"/>
          <w:bCs/>
        </w:rPr>
        <w:t>[28]</w:t>
      </w:r>
      <w:r w:rsidRPr="00BE6FDC">
        <w:rPr>
          <w:rFonts w:ascii="Times New Roman" w:hAnsi="Times New Roman" w:cs="Times New Roman"/>
          <w:bCs/>
        </w:rPr>
        <w:t xml:space="preserve"> explored the long-term relationship between Côte d'Ivoire's economic growth and government spending on education from 1970 to 2015. The results showed that education investment has a long-term, statistically significant negative impact on economic growth. On the other hand, albeit statistically insignificant, the short-term relationship was positive. Additionally, a unidirectional causal relationship between economic growth and education spending was demonstrated</w:t>
      </w:r>
      <w:r w:rsidRPr="00B40FA4">
        <w:rPr>
          <w:rFonts w:ascii="Times New Roman" w:hAnsi="Times New Roman" w:cs="Times New Roman"/>
          <w:bCs/>
        </w:rPr>
        <w:t>.</w:t>
      </w:r>
    </w:p>
    <w:p w14:paraId="475C6BEE" w14:textId="29E87986" w:rsidR="00832003" w:rsidRPr="00B40FA4" w:rsidRDefault="00832003" w:rsidP="00832003">
      <w:pPr>
        <w:spacing w:line="480" w:lineRule="auto"/>
        <w:jc w:val="both"/>
        <w:rPr>
          <w:rFonts w:ascii="Times New Roman" w:hAnsi="Times New Roman" w:cs="Times New Roman"/>
          <w:bCs/>
        </w:rPr>
      </w:pPr>
      <w:proofErr w:type="spellStart"/>
      <w:r w:rsidRPr="006E050D">
        <w:rPr>
          <w:rFonts w:ascii="Times New Roman" w:hAnsi="Times New Roman" w:cs="Times New Roman"/>
          <w:bCs/>
        </w:rPr>
        <w:t>Sehar</w:t>
      </w:r>
      <w:proofErr w:type="spellEnd"/>
      <w:r w:rsidRPr="006E050D">
        <w:rPr>
          <w:rFonts w:ascii="Times New Roman" w:hAnsi="Times New Roman" w:cs="Times New Roman"/>
          <w:bCs/>
        </w:rPr>
        <w:t xml:space="preserve"> et al. </w:t>
      </w:r>
      <w:r w:rsidR="00465F3D">
        <w:rPr>
          <w:rFonts w:ascii="Times New Roman" w:hAnsi="Times New Roman" w:cs="Times New Roman"/>
          <w:bCs/>
        </w:rPr>
        <w:t>[11]</w:t>
      </w:r>
      <w:r w:rsidRPr="006E050D">
        <w:rPr>
          <w:rFonts w:ascii="Times New Roman" w:hAnsi="Times New Roman" w:cs="Times New Roman"/>
          <w:bCs/>
        </w:rPr>
        <w:t xml:space="preserve"> used World Development Indicators panel data from 2000 to 2023 to examine the impact of gender equality on economic growth. The study examined major gender-related factors such as female labour force participation, secondary school enrolment, and women's representation in national parliaments</w:t>
      </w:r>
      <w:r>
        <w:rPr>
          <w:rFonts w:ascii="Times New Roman" w:hAnsi="Times New Roman" w:cs="Times New Roman"/>
          <w:bCs/>
        </w:rPr>
        <w:t xml:space="preserve">, </w:t>
      </w:r>
      <w:r w:rsidRPr="0043273E">
        <w:rPr>
          <w:rFonts w:ascii="Times New Roman" w:hAnsi="Times New Roman" w:cs="Times New Roman"/>
          <w:bCs/>
        </w:rPr>
        <w:t xml:space="preserve">while controlling for gross capital formation. </w:t>
      </w:r>
      <w:r w:rsidRPr="006E050D">
        <w:rPr>
          <w:rFonts w:ascii="Times New Roman" w:hAnsi="Times New Roman" w:cs="Times New Roman"/>
          <w:bCs/>
        </w:rPr>
        <w:t>The results showed that female secondary education was the most influential</w:t>
      </w:r>
      <w:r>
        <w:rPr>
          <w:rFonts w:ascii="Times New Roman" w:hAnsi="Times New Roman" w:cs="Times New Roman"/>
          <w:bCs/>
        </w:rPr>
        <w:t xml:space="preserve"> </w:t>
      </w:r>
      <w:r w:rsidRPr="0043273E">
        <w:rPr>
          <w:rFonts w:ascii="Times New Roman" w:hAnsi="Times New Roman" w:cs="Times New Roman"/>
          <w:bCs/>
        </w:rPr>
        <w:t xml:space="preserve">factor, where a 1% increase was associated with a $269 rise in GDP </w:t>
      </w:r>
      <w:r w:rsidRPr="00BF6348">
        <w:rPr>
          <w:rFonts w:ascii="Times New Roman" w:hAnsi="Times New Roman" w:cs="Times New Roman"/>
          <w:bCs/>
          <w:i/>
          <w:iCs/>
        </w:rPr>
        <w:t>per capita</w:t>
      </w:r>
      <w:r w:rsidRPr="0043273E">
        <w:rPr>
          <w:rFonts w:ascii="Times New Roman" w:hAnsi="Times New Roman" w:cs="Times New Roman"/>
          <w:bCs/>
        </w:rPr>
        <w:t xml:space="preserve">. </w:t>
      </w:r>
      <w:r w:rsidRPr="00B068D0">
        <w:rPr>
          <w:rFonts w:ascii="Times New Roman" w:hAnsi="Times New Roman" w:cs="Times New Roman"/>
          <w:bCs/>
        </w:rPr>
        <w:t xml:space="preserve">Although female labour force participation and political representation had positive coefficients, the effects were statistically insignificant, </w:t>
      </w:r>
      <w:r w:rsidRPr="00B068D0">
        <w:rPr>
          <w:rFonts w:ascii="Times New Roman" w:hAnsi="Times New Roman" w:cs="Times New Roman"/>
          <w:bCs/>
        </w:rPr>
        <w:lastRenderedPageBreak/>
        <w:t>pointing to underlying structural constraints</w:t>
      </w:r>
      <w:r w:rsidRPr="0043273E">
        <w:rPr>
          <w:rFonts w:ascii="Times New Roman" w:hAnsi="Times New Roman" w:cs="Times New Roman"/>
          <w:bCs/>
        </w:rPr>
        <w:t>. Gross capital formation remained a robust and positive driver of economic growth</w:t>
      </w:r>
      <w:r w:rsidRPr="00B40FA4">
        <w:rPr>
          <w:rFonts w:ascii="Times New Roman" w:hAnsi="Times New Roman" w:cs="Times New Roman"/>
          <w:bCs/>
        </w:rPr>
        <w:t>.</w:t>
      </w:r>
    </w:p>
    <w:p w14:paraId="3FA568B2" w14:textId="41A47E06" w:rsidR="00832003" w:rsidRPr="00B40FA4" w:rsidRDefault="00832003" w:rsidP="00832003">
      <w:pPr>
        <w:spacing w:line="480" w:lineRule="auto"/>
        <w:jc w:val="both"/>
        <w:rPr>
          <w:rFonts w:ascii="Times New Roman" w:hAnsi="Times New Roman" w:cs="Times New Roman"/>
        </w:rPr>
      </w:pPr>
      <w:bookmarkStart w:id="1" w:name="_Hlk204296658"/>
      <w:r w:rsidRPr="00130A1E">
        <w:rPr>
          <w:rFonts w:ascii="Times New Roman" w:hAnsi="Times New Roman" w:cs="Times New Roman"/>
        </w:rPr>
        <w:t xml:space="preserve">Keller </w:t>
      </w:r>
      <w:r w:rsidR="00337BDF">
        <w:rPr>
          <w:rFonts w:ascii="Times New Roman" w:hAnsi="Times New Roman" w:cs="Times New Roman"/>
        </w:rPr>
        <w:t>[29]</w:t>
      </w:r>
      <w:r w:rsidRPr="00130A1E">
        <w:rPr>
          <w:rFonts w:ascii="Times New Roman" w:hAnsi="Times New Roman" w:cs="Times New Roman"/>
        </w:rPr>
        <w:t xml:space="preserve"> used global panel data regressions to investigate the effects of female and male enrolment rates in primary, secondary, and higher education on GDP </w:t>
      </w:r>
      <w:r w:rsidRPr="009934B9">
        <w:rPr>
          <w:rFonts w:ascii="Times New Roman" w:hAnsi="Times New Roman" w:cs="Times New Roman"/>
          <w:i/>
          <w:iCs/>
        </w:rPr>
        <w:t>per capita</w:t>
      </w:r>
      <w:r w:rsidRPr="00130A1E">
        <w:rPr>
          <w:rFonts w:ascii="Times New Roman" w:hAnsi="Times New Roman" w:cs="Times New Roman"/>
        </w:rPr>
        <w:t>. The study also looked at how the gender parity index (GPI) affected different levels of schooling. The results were highly statistically significant, typically at the 1% level.</w:t>
      </w:r>
      <w:r>
        <w:rPr>
          <w:rFonts w:ascii="Times New Roman" w:hAnsi="Times New Roman" w:cs="Times New Roman"/>
        </w:rPr>
        <w:t xml:space="preserve"> </w:t>
      </w:r>
      <w:r w:rsidRPr="00200C1C">
        <w:rPr>
          <w:rFonts w:ascii="Times New Roman" w:hAnsi="Times New Roman" w:cs="Times New Roman"/>
        </w:rPr>
        <w:t>Female enrolment was linked to a variety of economic and social benefits, including lower fertility and infant mortality rates, decreased poverty and inequality, and increased trade openness, investment (both domestic and international), R&amp;D spending, savings rates, and political rights</w:t>
      </w:r>
      <w:r w:rsidRPr="00B40FA4">
        <w:rPr>
          <w:rFonts w:ascii="Times New Roman" w:hAnsi="Times New Roman" w:cs="Times New Roman"/>
        </w:rPr>
        <w:t>.</w:t>
      </w:r>
    </w:p>
    <w:p w14:paraId="47AE4955" w14:textId="31858F33" w:rsidR="00832003" w:rsidRPr="00B40FA4" w:rsidRDefault="00215C78" w:rsidP="00832003">
      <w:pPr>
        <w:spacing w:line="480" w:lineRule="auto"/>
        <w:jc w:val="both"/>
        <w:rPr>
          <w:rFonts w:ascii="Times New Roman" w:hAnsi="Times New Roman" w:cs="Times New Roman"/>
        </w:rPr>
      </w:pPr>
      <w:r>
        <w:rPr>
          <w:rFonts w:ascii="Times New Roman" w:hAnsi="Times New Roman" w:cs="Times New Roman"/>
        </w:rPr>
        <w:t>Fe</w:t>
      </w:r>
      <w:r w:rsidR="00832003" w:rsidRPr="004A3DB0">
        <w:rPr>
          <w:rFonts w:ascii="Times New Roman" w:hAnsi="Times New Roman" w:cs="Times New Roman"/>
        </w:rPr>
        <w:t xml:space="preserve"> </w:t>
      </w:r>
      <w:r>
        <w:rPr>
          <w:rFonts w:ascii="Times New Roman" w:hAnsi="Times New Roman" w:cs="Times New Roman"/>
        </w:rPr>
        <w:t>[30]</w:t>
      </w:r>
      <w:r w:rsidR="009015BA">
        <w:rPr>
          <w:rFonts w:ascii="Times New Roman" w:hAnsi="Times New Roman" w:cs="Times New Roman"/>
        </w:rPr>
        <w:t xml:space="preserve"> </w:t>
      </w:r>
      <w:r w:rsidR="00832003" w:rsidRPr="004A3DB0">
        <w:rPr>
          <w:rFonts w:ascii="Times New Roman" w:hAnsi="Times New Roman" w:cs="Times New Roman"/>
        </w:rPr>
        <w:t xml:space="preserve">used panel data to examine gender parity in education and its impact on per capita income in 13 West African countries. </w:t>
      </w:r>
      <w:r w:rsidR="00832003" w:rsidRPr="00EB3120">
        <w:rPr>
          <w:rFonts w:ascii="Times New Roman" w:hAnsi="Times New Roman" w:cs="Times New Roman"/>
        </w:rPr>
        <w:t xml:space="preserve">The study focused on secondary and </w:t>
      </w:r>
      <w:r w:rsidR="00832003">
        <w:rPr>
          <w:rFonts w:ascii="Times New Roman" w:hAnsi="Times New Roman" w:cs="Times New Roman"/>
        </w:rPr>
        <w:t>university</w:t>
      </w:r>
      <w:r w:rsidR="00832003" w:rsidRPr="00EB3120">
        <w:rPr>
          <w:rFonts w:ascii="Times New Roman" w:hAnsi="Times New Roman" w:cs="Times New Roman"/>
        </w:rPr>
        <w:t xml:space="preserve"> education and found persistent educational inequality, typically </w:t>
      </w:r>
      <w:proofErr w:type="spellStart"/>
      <w:r w:rsidR="00832003" w:rsidRPr="00EB3120">
        <w:rPr>
          <w:rFonts w:ascii="Times New Roman" w:hAnsi="Times New Roman" w:cs="Times New Roman"/>
        </w:rPr>
        <w:t>favoring</w:t>
      </w:r>
      <w:proofErr w:type="spellEnd"/>
      <w:r w:rsidR="00832003" w:rsidRPr="00EB3120">
        <w:rPr>
          <w:rFonts w:ascii="Times New Roman" w:hAnsi="Times New Roman" w:cs="Times New Roman"/>
        </w:rPr>
        <w:t xml:space="preserve"> boys, with the exception of Cabo Verde. </w:t>
      </w:r>
      <w:r w:rsidR="00832003" w:rsidRPr="004A3DB0">
        <w:rPr>
          <w:rFonts w:ascii="Times New Roman" w:hAnsi="Times New Roman" w:cs="Times New Roman"/>
        </w:rPr>
        <w:t xml:space="preserve">The findings suggested that eliminating gender gaps at both educational levels has a beneficial effect on GDP </w:t>
      </w:r>
      <w:r w:rsidR="00832003" w:rsidRPr="009F0C31">
        <w:rPr>
          <w:rFonts w:ascii="Times New Roman" w:hAnsi="Times New Roman" w:cs="Times New Roman"/>
          <w:i/>
          <w:iCs/>
        </w:rPr>
        <w:t>per capita</w:t>
      </w:r>
      <w:r w:rsidR="00832003" w:rsidRPr="004A3DB0">
        <w:rPr>
          <w:rFonts w:ascii="Times New Roman" w:hAnsi="Times New Roman" w:cs="Times New Roman"/>
        </w:rPr>
        <w:t xml:space="preserve"> across the region</w:t>
      </w:r>
      <w:r w:rsidR="00832003" w:rsidRPr="00B40FA4">
        <w:rPr>
          <w:rFonts w:ascii="Times New Roman" w:hAnsi="Times New Roman" w:cs="Times New Roman"/>
        </w:rPr>
        <w:t>.</w:t>
      </w:r>
    </w:p>
    <w:p w14:paraId="04402576" w14:textId="0B1080C5" w:rsidR="00832003" w:rsidRDefault="00832003" w:rsidP="00832003">
      <w:pPr>
        <w:spacing w:line="480" w:lineRule="auto"/>
        <w:jc w:val="both"/>
        <w:rPr>
          <w:rFonts w:ascii="Times New Roman" w:hAnsi="Times New Roman" w:cs="Times New Roman"/>
        </w:rPr>
      </w:pPr>
      <w:r w:rsidRPr="0024621A">
        <w:rPr>
          <w:rFonts w:ascii="Times New Roman" w:hAnsi="Times New Roman" w:cs="Times New Roman"/>
        </w:rPr>
        <w:t xml:space="preserve">From 1980 to 2014, </w:t>
      </w:r>
      <w:proofErr w:type="spellStart"/>
      <w:r w:rsidRPr="0024621A">
        <w:rPr>
          <w:rFonts w:ascii="Times New Roman" w:hAnsi="Times New Roman" w:cs="Times New Roman"/>
        </w:rPr>
        <w:t>Assoumou</w:t>
      </w:r>
      <w:proofErr w:type="spellEnd"/>
      <w:r w:rsidRPr="0024621A">
        <w:rPr>
          <w:rFonts w:ascii="Times New Roman" w:hAnsi="Times New Roman" w:cs="Times New Roman"/>
        </w:rPr>
        <w:t xml:space="preserve">-Ella </w:t>
      </w:r>
      <w:r w:rsidR="009015BA">
        <w:rPr>
          <w:rFonts w:ascii="Times New Roman" w:hAnsi="Times New Roman" w:cs="Times New Roman"/>
        </w:rPr>
        <w:t>[10]</w:t>
      </w:r>
      <w:r w:rsidRPr="0024621A">
        <w:rPr>
          <w:rFonts w:ascii="Times New Roman" w:hAnsi="Times New Roman" w:cs="Times New Roman"/>
        </w:rPr>
        <w:t xml:space="preserve"> examined the direct and indirect effects of gender disparity in schooling on GDP per capita in CEMAC nations. </w:t>
      </w:r>
      <w:r w:rsidRPr="00A31707">
        <w:rPr>
          <w:rFonts w:ascii="Times New Roman" w:hAnsi="Times New Roman" w:cs="Times New Roman"/>
        </w:rPr>
        <w:t xml:space="preserve">Utilizing instrumental variable (IV) estimation </w:t>
      </w:r>
      <w:r w:rsidRPr="0024621A">
        <w:rPr>
          <w:rFonts w:ascii="Times New Roman" w:hAnsi="Times New Roman" w:cs="Times New Roman"/>
        </w:rPr>
        <w:t>in conjunction with</w:t>
      </w:r>
      <w:r w:rsidRPr="00A31707">
        <w:rPr>
          <w:rFonts w:ascii="Times New Roman" w:hAnsi="Times New Roman" w:cs="Times New Roman"/>
        </w:rPr>
        <w:t xml:space="preserve"> the </w:t>
      </w:r>
      <w:r w:rsidRPr="0024621A">
        <w:rPr>
          <w:rFonts w:ascii="Times New Roman" w:hAnsi="Times New Roman" w:cs="Times New Roman"/>
        </w:rPr>
        <w:t xml:space="preserve">Blundell and Bond's (1998) system-GMM estimator, found that increases in gender equality at the primary-secondary and tertiary levels considerably increased GDP </w:t>
      </w:r>
      <w:r w:rsidRPr="001D6CC8">
        <w:rPr>
          <w:rFonts w:ascii="Times New Roman" w:hAnsi="Times New Roman" w:cs="Times New Roman"/>
          <w:i/>
          <w:iCs/>
        </w:rPr>
        <w:t>per capita</w:t>
      </w:r>
      <w:r w:rsidRPr="0024621A">
        <w:rPr>
          <w:rFonts w:ascii="Times New Roman" w:hAnsi="Times New Roman" w:cs="Times New Roman"/>
        </w:rPr>
        <w:t xml:space="preserve">. </w:t>
      </w:r>
      <w:r>
        <w:rPr>
          <w:rFonts w:ascii="Times New Roman" w:hAnsi="Times New Roman" w:cs="Times New Roman"/>
        </w:rPr>
        <w:t>This</w:t>
      </w:r>
      <w:r w:rsidRPr="00A31707">
        <w:rPr>
          <w:rFonts w:ascii="Times New Roman" w:hAnsi="Times New Roman" w:cs="Times New Roman"/>
        </w:rPr>
        <w:t xml:space="preserve"> highlight</w:t>
      </w:r>
      <w:r>
        <w:rPr>
          <w:rFonts w:ascii="Times New Roman" w:hAnsi="Times New Roman" w:cs="Times New Roman"/>
        </w:rPr>
        <w:t>s</w:t>
      </w:r>
      <w:r w:rsidRPr="00A31707">
        <w:rPr>
          <w:rFonts w:ascii="Times New Roman" w:hAnsi="Times New Roman" w:cs="Times New Roman"/>
        </w:rPr>
        <w:t xml:space="preserve"> the critical role of equitable educational access in fostering economic development</w:t>
      </w:r>
      <w:r w:rsidRPr="00A27D69">
        <w:rPr>
          <w:rFonts w:ascii="Times New Roman" w:hAnsi="Times New Roman" w:cs="Times New Roman"/>
        </w:rPr>
        <w:t>.</w:t>
      </w:r>
    </w:p>
    <w:p w14:paraId="2BE9E2B4" w14:textId="719DA30B" w:rsidR="00832003" w:rsidRPr="00291330" w:rsidRDefault="00832003" w:rsidP="00832003">
      <w:pPr>
        <w:spacing w:line="480" w:lineRule="auto"/>
        <w:jc w:val="both"/>
        <w:rPr>
          <w:rFonts w:ascii="Times New Roman" w:hAnsi="Times New Roman" w:cs="Times New Roman"/>
        </w:rPr>
      </w:pPr>
      <w:r w:rsidRPr="00C45297">
        <w:rPr>
          <w:rFonts w:ascii="Times New Roman" w:hAnsi="Times New Roman" w:cs="Times New Roman"/>
        </w:rPr>
        <w:t xml:space="preserve">Carter et al. </w:t>
      </w:r>
      <w:r w:rsidR="00DC61A0">
        <w:rPr>
          <w:rFonts w:ascii="Times New Roman" w:hAnsi="Times New Roman" w:cs="Times New Roman"/>
        </w:rPr>
        <w:t>[31]</w:t>
      </w:r>
      <w:r w:rsidRPr="00C45297">
        <w:rPr>
          <w:rFonts w:ascii="Times New Roman" w:hAnsi="Times New Roman" w:cs="Times New Roman"/>
        </w:rPr>
        <w:t xml:space="preserve"> presented empirical evidence on the relationship between government expenditure components and Barbados' economic growth. They used Dynamic Ordinary Least Squares (DOLS) and the Unrestricted Error Correction Model (UECM) to analyse time series data from 1976 to 2011</w:t>
      </w:r>
      <w:r w:rsidRPr="00291330">
        <w:rPr>
          <w:rFonts w:ascii="Times New Roman" w:hAnsi="Times New Roman" w:cs="Times New Roman"/>
        </w:rPr>
        <w:t xml:space="preserve">. Their results indicated that total government </w:t>
      </w:r>
      <w:r>
        <w:rPr>
          <w:rFonts w:ascii="Times New Roman" w:hAnsi="Times New Roman" w:cs="Times New Roman"/>
        </w:rPr>
        <w:t>expenditure</w:t>
      </w:r>
      <w:r w:rsidRPr="00291330">
        <w:rPr>
          <w:rFonts w:ascii="Times New Roman" w:hAnsi="Times New Roman" w:cs="Times New Roman"/>
        </w:rPr>
        <w:t xml:space="preserve"> </w:t>
      </w:r>
      <w:r>
        <w:rPr>
          <w:rFonts w:ascii="Times New Roman" w:hAnsi="Times New Roman" w:cs="Times New Roman"/>
        </w:rPr>
        <w:t>had</w:t>
      </w:r>
      <w:r w:rsidRPr="00291330">
        <w:rPr>
          <w:rFonts w:ascii="Times New Roman" w:hAnsi="Times New Roman" w:cs="Times New Roman"/>
        </w:rPr>
        <w:t xml:space="preserve"> a </w:t>
      </w:r>
      <w:r w:rsidRPr="00291330">
        <w:rPr>
          <w:rFonts w:ascii="Times New Roman" w:hAnsi="Times New Roman" w:cs="Times New Roman"/>
        </w:rPr>
        <w:lastRenderedPageBreak/>
        <w:t xml:space="preserve">contractionary </w:t>
      </w:r>
      <w:r>
        <w:rPr>
          <w:rFonts w:ascii="Times New Roman" w:hAnsi="Times New Roman" w:cs="Times New Roman"/>
        </w:rPr>
        <w:t>influence</w:t>
      </w:r>
      <w:r w:rsidRPr="00291330">
        <w:rPr>
          <w:rFonts w:ascii="Times New Roman" w:hAnsi="Times New Roman" w:cs="Times New Roman"/>
        </w:rPr>
        <w:t xml:space="preserve"> on economic growth, particularly in the short run, with a more </w:t>
      </w:r>
      <w:r>
        <w:rPr>
          <w:rFonts w:ascii="Times New Roman" w:hAnsi="Times New Roman" w:cs="Times New Roman"/>
        </w:rPr>
        <w:t>muted</w:t>
      </w:r>
      <w:r w:rsidRPr="00291330">
        <w:rPr>
          <w:rFonts w:ascii="Times New Roman" w:hAnsi="Times New Roman" w:cs="Times New Roman"/>
        </w:rPr>
        <w:t xml:space="preserve"> impact </w:t>
      </w:r>
      <w:r>
        <w:rPr>
          <w:rFonts w:ascii="Times New Roman" w:hAnsi="Times New Roman" w:cs="Times New Roman"/>
        </w:rPr>
        <w:t xml:space="preserve">in </w:t>
      </w:r>
      <w:r w:rsidRPr="00291330">
        <w:rPr>
          <w:rFonts w:ascii="Times New Roman" w:hAnsi="Times New Roman" w:cs="Times New Roman"/>
        </w:rPr>
        <w:t xml:space="preserve">the long </w:t>
      </w:r>
      <w:r>
        <w:rPr>
          <w:rFonts w:ascii="Times New Roman" w:hAnsi="Times New Roman" w:cs="Times New Roman"/>
        </w:rPr>
        <w:t>run</w:t>
      </w:r>
      <w:r w:rsidRPr="00291330">
        <w:rPr>
          <w:rFonts w:ascii="Times New Roman" w:hAnsi="Times New Roman" w:cs="Times New Roman"/>
        </w:rPr>
        <w:t xml:space="preserve">. More specifically, while </w:t>
      </w:r>
      <w:r w:rsidRPr="00C45297">
        <w:rPr>
          <w:rFonts w:ascii="Times New Roman" w:hAnsi="Times New Roman" w:cs="Times New Roman"/>
        </w:rPr>
        <w:t>government spending on health and social security had little or no effect on per capita economic growth, government spending on education had a consistently significant and negative impact on growth in both the short and long run</w:t>
      </w:r>
      <w:r w:rsidRPr="00291330">
        <w:rPr>
          <w:rFonts w:ascii="Times New Roman" w:hAnsi="Times New Roman" w:cs="Times New Roman"/>
        </w:rPr>
        <w:t>.</w:t>
      </w:r>
    </w:p>
    <w:p w14:paraId="46AAEE21" w14:textId="583EFBDE" w:rsidR="00832003" w:rsidRPr="00A27D69" w:rsidRDefault="00832003" w:rsidP="00832003">
      <w:pPr>
        <w:spacing w:line="480" w:lineRule="auto"/>
        <w:jc w:val="both"/>
        <w:rPr>
          <w:rFonts w:ascii="Times New Roman" w:hAnsi="Times New Roman" w:cs="Times New Roman"/>
        </w:rPr>
      </w:pPr>
      <w:proofErr w:type="spellStart"/>
      <w:r w:rsidRPr="008E7854">
        <w:rPr>
          <w:rFonts w:ascii="Times New Roman" w:hAnsi="Times New Roman" w:cs="Times New Roman"/>
        </w:rPr>
        <w:t>Duwal</w:t>
      </w:r>
      <w:proofErr w:type="spellEnd"/>
      <w:r w:rsidRPr="008E7854">
        <w:rPr>
          <w:rFonts w:ascii="Times New Roman" w:hAnsi="Times New Roman" w:cs="Times New Roman"/>
        </w:rPr>
        <w:t xml:space="preserve"> and </w:t>
      </w:r>
      <w:proofErr w:type="spellStart"/>
      <w:r w:rsidRPr="008E7854">
        <w:rPr>
          <w:rFonts w:ascii="Times New Roman" w:hAnsi="Times New Roman" w:cs="Times New Roman"/>
        </w:rPr>
        <w:t>Suwal</w:t>
      </w:r>
      <w:proofErr w:type="spellEnd"/>
      <w:r w:rsidRPr="008E7854">
        <w:rPr>
          <w:rFonts w:ascii="Times New Roman" w:hAnsi="Times New Roman" w:cs="Times New Roman"/>
        </w:rPr>
        <w:t xml:space="preserve"> </w:t>
      </w:r>
      <w:r w:rsidR="001B6BE2">
        <w:rPr>
          <w:rFonts w:ascii="Times New Roman" w:hAnsi="Times New Roman" w:cs="Times New Roman"/>
        </w:rPr>
        <w:t>[32]</w:t>
      </w:r>
      <w:r w:rsidRPr="008E7854">
        <w:rPr>
          <w:rFonts w:ascii="Times New Roman" w:hAnsi="Times New Roman" w:cs="Times New Roman"/>
        </w:rPr>
        <w:t xml:space="preserve"> investigated the relationship between educational attainment, government spending on education, and economic growth in Nepal from 1990 to 2022. They used the Autoregressive Distributed Lag (ARDL) model and the Error Correction Model (ECM) to examine both long-run and short-run dynamics</w:t>
      </w:r>
      <w:r w:rsidRPr="00291330">
        <w:rPr>
          <w:rFonts w:ascii="Times New Roman" w:hAnsi="Times New Roman" w:cs="Times New Roman"/>
        </w:rPr>
        <w:t>.</w:t>
      </w:r>
      <w:r>
        <w:rPr>
          <w:rFonts w:ascii="Times New Roman" w:hAnsi="Times New Roman" w:cs="Times New Roman"/>
        </w:rPr>
        <w:t xml:space="preserve"> </w:t>
      </w:r>
      <w:r w:rsidRPr="008E7854">
        <w:rPr>
          <w:rFonts w:ascii="Times New Roman" w:hAnsi="Times New Roman" w:cs="Times New Roman"/>
        </w:rPr>
        <w:t>Their findings demonstrated that the educational index, gross capital formation, and population size all had a favourable and significant long-term impact on economic growth. Conversely, government spending on education, domestic loans to the private sector, and trade liberalisation all had negative and statistically negligible effects on long-run growth.</w:t>
      </w:r>
      <w:r>
        <w:rPr>
          <w:rFonts w:ascii="Times New Roman" w:hAnsi="Times New Roman" w:cs="Times New Roman"/>
        </w:rPr>
        <w:t xml:space="preserve"> </w:t>
      </w:r>
      <w:r w:rsidRPr="008E7854">
        <w:rPr>
          <w:rFonts w:ascii="Times New Roman" w:hAnsi="Times New Roman" w:cs="Times New Roman"/>
        </w:rPr>
        <w:t>In the short term, the educational index had a negative and considerable impact on economic growth.</w:t>
      </w:r>
    </w:p>
    <w:bookmarkEnd w:id="1"/>
    <w:p w14:paraId="267E408E" w14:textId="77777777" w:rsidR="00832003" w:rsidRPr="00A614CB" w:rsidRDefault="00832003" w:rsidP="00832003">
      <w:pPr>
        <w:spacing w:line="480" w:lineRule="auto"/>
        <w:jc w:val="both"/>
        <w:rPr>
          <w:rFonts w:ascii="Times New Roman" w:hAnsi="Times New Roman" w:cs="Times New Roman"/>
          <w:b/>
          <w:bCs/>
        </w:rPr>
      </w:pPr>
      <w:r w:rsidRPr="00A614CB">
        <w:rPr>
          <w:rFonts w:ascii="Times New Roman" w:hAnsi="Times New Roman" w:cs="Times New Roman"/>
          <w:b/>
          <w:bCs/>
        </w:rPr>
        <w:t xml:space="preserve">3. </w:t>
      </w:r>
      <w:bookmarkStart w:id="2" w:name="_Hlk175062999"/>
      <w:r w:rsidRPr="00A614CB">
        <w:rPr>
          <w:rFonts w:ascii="Times New Roman" w:hAnsi="Times New Roman" w:cs="Times New Roman"/>
          <w:b/>
          <w:bCs/>
        </w:rPr>
        <w:t>Methodology</w:t>
      </w:r>
    </w:p>
    <w:p w14:paraId="340EB830" w14:textId="5B9CC41E" w:rsidR="00832003" w:rsidRPr="00BB0EDC" w:rsidRDefault="00532413" w:rsidP="00532413">
      <w:pPr>
        <w:spacing w:line="480" w:lineRule="auto"/>
        <w:jc w:val="both"/>
        <w:rPr>
          <w:rFonts w:ascii="Times New Roman" w:eastAsia="Calibri" w:hAnsi="Times New Roman" w:cs="Times New Roman"/>
          <w:bCs/>
        </w:rPr>
      </w:pPr>
      <w:r w:rsidRPr="00532413">
        <w:rPr>
          <w:rFonts w:ascii="Times New Roman" w:eastAsia="Calibri" w:hAnsi="Times New Roman" w:cs="Times New Roman"/>
          <w:bCs/>
        </w:rPr>
        <w:t xml:space="preserve">This study adopts an ex-post facto research design. Annual data for the period 1990 to 2023 on government recurrent expenditure on education were obtained from the Central Bank of Nigeria Statistical Bulletin. Data on real GDP </w:t>
      </w:r>
      <w:r w:rsidRPr="009C355F">
        <w:rPr>
          <w:rFonts w:ascii="Times New Roman" w:eastAsia="Calibri" w:hAnsi="Times New Roman" w:cs="Times New Roman"/>
          <w:bCs/>
          <w:i/>
          <w:iCs/>
        </w:rPr>
        <w:t>per capita</w:t>
      </w:r>
      <w:r w:rsidRPr="00532413">
        <w:rPr>
          <w:rFonts w:ascii="Times New Roman" w:eastAsia="Calibri" w:hAnsi="Times New Roman" w:cs="Times New Roman"/>
          <w:bCs/>
        </w:rPr>
        <w:t>, female secondary school enrolment, and the Gender Parity Index (GPI) for primary school enrolment were sourced from the World Development Indicators.</w:t>
      </w:r>
      <w:r w:rsidR="0025188B">
        <w:rPr>
          <w:rFonts w:ascii="Times New Roman" w:eastAsia="Calibri" w:hAnsi="Times New Roman" w:cs="Times New Roman"/>
          <w:bCs/>
        </w:rPr>
        <w:t xml:space="preserve"> </w:t>
      </w:r>
      <w:r w:rsidRPr="00532413">
        <w:rPr>
          <w:rFonts w:ascii="Times New Roman" w:eastAsia="Calibri" w:hAnsi="Times New Roman" w:cs="Times New Roman"/>
          <w:bCs/>
        </w:rPr>
        <w:t xml:space="preserve">The dependent variable is real GDP </w:t>
      </w:r>
      <w:r w:rsidRPr="00E017EA">
        <w:rPr>
          <w:rFonts w:ascii="Times New Roman" w:eastAsia="Calibri" w:hAnsi="Times New Roman" w:cs="Times New Roman"/>
          <w:bCs/>
          <w:i/>
          <w:iCs/>
        </w:rPr>
        <w:t>per capita</w:t>
      </w:r>
      <w:r w:rsidRPr="00532413">
        <w:rPr>
          <w:rFonts w:ascii="Times New Roman" w:eastAsia="Calibri" w:hAnsi="Times New Roman" w:cs="Times New Roman"/>
          <w:bCs/>
        </w:rPr>
        <w:t>, measured in constant 2015 US dollars. The independent variables comprise government recurrent expenditure on education, female secondary school enrolment (gross percentage), and the GPI for primary school enrolment (gross percentage).</w:t>
      </w:r>
      <w:r w:rsidR="00E017EA">
        <w:rPr>
          <w:rFonts w:ascii="Times New Roman" w:eastAsia="Calibri" w:hAnsi="Times New Roman" w:cs="Times New Roman"/>
          <w:bCs/>
        </w:rPr>
        <w:t xml:space="preserve"> </w:t>
      </w:r>
      <w:r w:rsidRPr="00532413">
        <w:rPr>
          <w:rFonts w:ascii="Times New Roman" w:eastAsia="Calibri" w:hAnsi="Times New Roman" w:cs="Times New Roman"/>
          <w:bCs/>
        </w:rPr>
        <w:t>The model specification is grounded in the human capital theory, which underpins the analytical framework and guides the empirical estimation process</w:t>
      </w:r>
      <w:r w:rsidR="00832003">
        <w:rPr>
          <w:rFonts w:ascii="Times New Roman" w:hAnsi="Times New Roman" w:cs="Times New Roman"/>
        </w:rPr>
        <w:t>.</w:t>
      </w:r>
    </w:p>
    <w:p w14:paraId="33BCD14B" w14:textId="24D29B54" w:rsidR="00832003" w:rsidRPr="002803FD" w:rsidRDefault="00FD3910" w:rsidP="00832003">
      <w:pPr>
        <w:spacing w:line="480" w:lineRule="auto"/>
        <w:ind w:right="90"/>
        <w:jc w:val="both"/>
        <w:rPr>
          <w:rFonts w:ascii="Times New Roman" w:hAnsi="Times New Roman" w:cs="Times New Roman"/>
          <w:b/>
          <w:bCs/>
        </w:rPr>
      </w:pPr>
      <w:r>
        <w:rPr>
          <w:rFonts w:ascii="Times New Roman" w:hAnsi="Times New Roman" w:cs="Times New Roman"/>
          <w:b/>
          <w:bCs/>
        </w:rPr>
        <w:lastRenderedPageBreak/>
        <w:t>F</w:t>
      </w:r>
      <w:r w:rsidR="00832003" w:rsidRPr="002803FD">
        <w:rPr>
          <w:rFonts w:ascii="Times New Roman" w:hAnsi="Times New Roman" w:cs="Times New Roman"/>
          <w:b/>
          <w:bCs/>
        </w:rPr>
        <w:t xml:space="preserve">unctional </w:t>
      </w:r>
      <w:r>
        <w:rPr>
          <w:rFonts w:ascii="Times New Roman" w:hAnsi="Times New Roman" w:cs="Times New Roman"/>
          <w:b/>
          <w:bCs/>
        </w:rPr>
        <w:t>F</w:t>
      </w:r>
      <w:r w:rsidR="00832003" w:rsidRPr="002803FD">
        <w:rPr>
          <w:rFonts w:ascii="Times New Roman" w:hAnsi="Times New Roman" w:cs="Times New Roman"/>
          <w:b/>
          <w:bCs/>
        </w:rPr>
        <w:t>orm</w:t>
      </w:r>
      <w:r>
        <w:rPr>
          <w:rFonts w:ascii="Times New Roman" w:hAnsi="Times New Roman" w:cs="Times New Roman"/>
          <w:b/>
          <w:bCs/>
        </w:rPr>
        <w:t xml:space="preserve"> of the Model</w:t>
      </w:r>
      <w:r w:rsidR="00832003" w:rsidRPr="002803FD">
        <w:rPr>
          <w:rFonts w:ascii="Times New Roman" w:hAnsi="Times New Roman" w:cs="Times New Roman"/>
          <w:b/>
          <w:bCs/>
        </w:rPr>
        <w:t>:</w:t>
      </w:r>
    </w:p>
    <w:p w14:paraId="6DB60B80" w14:textId="6E7AC619" w:rsidR="00832003" w:rsidRDefault="00832003" w:rsidP="00832003">
      <w:pPr>
        <w:spacing w:line="480" w:lineRule="auto"/>
        <w:ind w:right="90"/>
        <w:jc w:val="both"/>
        <w:rPr>
          <w:rFonts w:ascii="Times New Roman" w:hAnsi="Times New Roman" w:cs="Times New Roman"/>
        </w:rPr>
      </w:pPr>
      <w:r w:rsidRPr="00520F2F">
        <w:rPr>
          <w:rFonts w:ascii="Times New Roman" w:hAnsi="Times New Roman" w:cs="Times New Roman"/>
        </w:rPr>
        <w:t>GDPPC</w:t>
      </w:r>
      <m:oMath>
        <m:r>
          <m:rPr>
            <m:sty m:val="p"/>
          </m:rPr>
          <w:rPr>
            <w:rFonts w:ascii="Cambria Math" w:hAnsi="Cambria Math" w:cs="Times New Roman"/>
          </w:rPr>
          <m:t xml:space="preserve"> </m:t>
        </m:r>
      </m:oMath>
      <w:r w:rsidRPr="00520F2F">
        <w:rPr>
          <w:rFonts w:ascii="Times New Roman" w:hAnsi="Times New Roman" w:cs="Times New Roman"/>
        </w:rPr>
        <w:t xml:space="preserve">= </w:t>
      </w:r>
      <w:proofErr w:type="gramStart"/>
      <w:r w:rsidRPr="00520F2F">
        <w:rPr>
          <w:rFonts w:ascii="Times New Roman" w:hAnsi="Times New Roman" w:cs="Times New Roman"/>
          <w:i/>
          <w:iCs/>
        </w:rPr>
        <w:t>f</w:t>
      </w:r>
      <w:r w:rsidRPr="00520F2F">
        <w:rPr>
          <w:rFonts w:ascii="Times New Roman" w:hAnsi="Times New Roman" w:cs="Times New Roman"/>
        </w:rPr>
        <w:t>(</w:t>
      </w:r>
      <w:proofErr w:type="gramEnd"/>
      <w:r w:rsidR="00475CD9">
        <w:rPr>
          <w:rFonts w:ascii="Times New Roman" w:hAnsi="Times New Roman" w:cs="Times New Roman"/>
        </w:rPr>
        <w:t>G</w:t>
      </w:r>
      <w:r w:rsidRPr="00520F2F">
        <w:rPr>
          <w:rFonts w:ascii="Times New Roman" w:hAnsi="Times New Roman" w:cs="Times New Roman"/>
        </w:rPr>
        <w:t xml:space="preserve">EDU​, </w:t>
      </w:r>
      <w:r w:rsidRPr="00447773">
        <w:rPr>
          <w:rFonts w:ascii="Times New Roman" w:hAnsi="Times New Roman" w:cs="Times New Roman"/>
        </w:rPr>
        <w:t>FSE, GPI)</w:t>
      </w:r>
      <w:r w:rsidRPr="0044777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72B5D">
        <w:rPr>
          <w:rFonts w:ascii="Times New Roman" w:hAnsi="Times New Roman" w:cs="Times New Roman"/>
        </w:rPr>
        <w:t>1</w:t>
      </w:r>
    </w:p>
    <w:p w14:paraId="7BE424DC" w14:textId="646E09AF" w:rsidR="00832003" w:rsidRPr="00453999" w:rsidRDefault="00E412FA" w:rsidP="00832003">
      <w:pPr>
        <w:spacing w:line="480" w:lineRule="auto"/>
        <w:ind w:right="90"/>
        <w:jc w:val="both"/>
        <w:rPr>
          <w:rFonts w:ascii="Times New Roman" w:hAnsi="Times New Roman" w:cs="Times New Roman"/>
          <w:b/>
          <w:bCs/>
        </w:rPr>
      </w:pPr>
      <w:r>
        <w:rPr>
          <w:rFonts w:ascii="Times New Roman" w:hAnsi="Times New Roman" w:cs="Times New Roman"/>
          <w:b/>
          <w:bCs/>
        </w:rPr>
        <w:t>E</w:t>
      </w:r>
      <w:r w:rsidR="00832003" w:rsidRPr="00453999">
        <w:rPr>
          <w:rFonts w:ascii="Times New Roman" w:hAnsi="Times New Roman" w:cs="Times New Roman"/>
          <w:b/>
          <w:bCs/>
        </w:rPr>
        <w:t xml:space="preserve">conometric </w:t>
      </w:r>
      <w:r>
        <w:rPr>
          <w:rFonts w:ascii="Times New Roman" w:hAnsi="Times New Roman" w:cs="Times New Roman"/>
          <w:b/>
          <w:bCs/>
        </w:rPr>
        <w:t>F</w:t>
      </w:r>
      <w:r w:rsidR="00832003" w:rsidRPr="00453999">
        <w:rPr>
          <w:rFonts w:ascii="Times New Roman" w:hAnsi="Times New Roman" w:cs="Times New Roman"/>
          <w:b/>
          <w:bCs/>
        </w:rPr>
        <w:t>orm</w:t>
      </w:r>
      <w:r>
        <w:rPr>
          <w:rFonts w:ascii="Times New Roman" w:hAnsi="Times New Roman" w:cs="Times New Roman"/>
          <w:b/>
          <w:bCs/>
        </w:rPr>
        <w:t xml:space="preserve"> of the Model</w:t>
      </w:r>
      <w:r w:rsidR="00832003" w:rsidRPr="00453999">
        <w:rPr>
          <w:rFonts w:ascii="Times New Roman" w:hAnsi="Times New Roman" w:cs="Times New Roman"/>
          <w:b/>
          <w:bCs/>
        </w:rPr>
        <w:t>:</w:t>
      </w:r>
    </w:p>
    <w:p w14:paraId="7A66F365" w14:textId="2E6E1E65" w:rsidR="00832003" w:rsidRDefault="00832003" w:rsidP="00832003">
      <w:pPr>
        <w:spacing w:line="480" w:lineRule="auto"/>
        <w:ind w:right="90"/>
        <w:jc w:val="both"/>
        <w:rPr>
          <w:rFonts w:eastAsia="Calibri"/>
        </w:rPr>
      </w:pPr>
      <w:r w:rsidRPr="00DC5A2D">
        <w:rPr>
          <w:rFonts w:ascii="Times New Roman" w:hAnsi="Times New Roman" w:cs="Times New Roman"/>
          <w:iCs/>
        </w:rPr>
        <w:t>GDPPC</w:t>
      </w:r>
      <m:oMath>
        <m:r>
          <m:rPr>
            <m:sty m:val="p"/>
          </m:rPr>
          <w:rPr>
            <w:rFonts w:ascii="Cambria Math" w:hAnsi="Cambria Math" w:cs="Times New Roman"/>
          </w:rPr>
          <m:t>ₜ</m:t>
        </m:r>
      </m:oMath>
      <w:r w:rsidRPr="00DC5A2D">
        <w:rPr>
          <w:rFonts w:ascii="Times New Roman" w:hAnsi="Times New Roman" w:cs="Times New Roman"/>
          <w:iCs/>
        </w:rPr>
        <w:t xml:space="preserve"> = </w:t>
      </w:r>
      <m:oMath>
        <m:r>
          <m:rPr>
            <m:sty m:val="p"/>
          </m:rPr>
          <w:rPr>
            <w:rFonts w:ascii="Cambria Math" w:hAnsi="Cambria Math" w:cs="Times New Roman"/>
          </w:rPr>
          <m:t>α₀+ α₁ GEDUₜ+α₂FSEₜ+α₃GPIₜ+εₜ</m:t>
        </m:r>
      </m:oMath>
      <w:r w:rsidRPr="00A614CB">
        <w:rPr>
          <w:rStyle w:val="a"/>
          <w:rFonts w:eastAsia="Calibri"/>
        </w:rPr>
        <w:tab/>
      </w:r>
      <w:r>
        <w:rPr>
          <w:rStyle w:val="a"/>
          <w:rFonts w:eastAsia="Calibri"/>
        </w:rPr>
        <w:tab/>
      </w:r>
      <w:r w:rsidR="00DA58EB">
        <w:rPr>
          <w:rStyle w:val="a"/>
          <w:rFonts w:eastAsia="Calibri"/>
        </w:rPr>
        <w:tab/>
      </w:r>
      <w:r w:rsidR="00DA58EB">
        <w:rPr>
          <w:rStyle w:val="a"/>
          <w:rFonts w:eastAsia="Calibri"/>
        </w:rPr>
        <w:tab/>
      </w:r>
      <w:r w:rsidR="00C62170">
        <w:rPr>
          <w:rStyle w:val="a"/>
          <w:rFonts w:eastAsia="Calibri"/>
        </w:rPr>
        <w:tab/>
      </w:r>
      <w:r>
        <w:rPr>
          <w:rStyle w:val="a"/>
          <w:rFonts w:eastAsia="Calibri"/>
        </w:rPr>
        <w:t>2</w:t>
      </w:r>
      <w:bookmarkEnd w:id="2"/>
      <m:oMath>
        <m:r>
          <m:rPr>
            <m:sty m:val="p"/>
          </m:rPr>
          <w:rPr>
            <w:rFonts w:ascii="Cambria Math" w:hAnsi="Cambria Math" w:cs="Times New Roman"/>
          </w:rPr>
          <m:t xml:space="preserve"> </m:t>
        </m:r>
      </m:oMath>
    </w:p>
    <w:p w14:paraId="47741DE1" w14:textId="32C7746D" w:rsidR="00E412FA" w:rsidRDefault="00E412FA" w:rsidP="00832003">
      <w:pPr>
        <w:spacing w:line="480" w:lineRule="auto"/>
        <w:ind w:right="90"/>
        <w:jc w:val="both"/>
        <w:rPr>
          <w:rFonts w:ascii="Times New Roman" w:hAnsi="Times New Roman" w:cs="Times New Roman"/>
        </w:rPr>
      </w:pPr>
      <w:r>
        <w:rPr>
          <w:rFonts w:ascii="Times New Roman" w:hAnsi="Times New Roman" w:cs="Times New Roman"/>
        </w:rPr>
        <w:t>Where:</w:t>
      </w:r>
    </w:p>
    <w:p w14:paraId="077FAF88" w14:textId="28C26413" w:rsidR="00E412FA" w:rsidRDefault="00E412FA" w:rsidP="00E412FA">
      <w:pPr>
        <w:spacing w:line="360" w:lineRule="auto"/>
        <w:rPr>
          <w:rFonts w:ascii="Times New Roman" w:hAnsi="Times New Roman" w:cs="Times New Roman"/>
        </w:rPr>
      </w:pPr>
      <w:r w:rsidRPr="00B176C7">
        <w:rPr>
          <w:rFonts w:ascii="Times New Roman" w:hAnsi="Times New Roman" w:cs="Times New Roman"/>
        </w:rPr>
        <w:t>GDPPC</w:t>
      </w:r>
      <m:oMath>
        <m:r>
          <m:rPr>
            <m:sty m:val="p"/>
          </m:rPr>
          <w:rPr>
            <w:rFonts w:ascii="Cambria Math" w:hAnsi="Cambria Math" w:cs="Times New Roman"/>
          </w:rPr>
          <m:t>ₜ</m:t>
        </m:r>
      </m:oMath>
      <w:r w:rsidRPr="00B176C7">
        <w:rPr>
          <w:rFonts w:ascii="Times New Roman" w:hAnsi="Times New Roman" w:cs="Times New Roman"/>
        </w:rPr>
        <w:t>​</w:t>
      </w:r>
      <m:oMath>
        <m:r>
          <m:rPr>
            <m:sty m:val="p"/>
          </m:rPr>
          <w:rPr>
            <w:rFonts w:ascii="Cambria Math" w:hAnsi="Cambria Math" w:cs="Times New Roman"/>
          </w:rPr>
          <m:t>:</m:t>
        </m:r>
      </m:oMath>
      <w:r w:rsidRPr="00B176C7">
        <w:rPr>
          <w:rFonts w:ascii="Times New Roman" w:hAnsi="Times New Roman" w:cs="Times New Roman"/>
        </w:rPr>
        <w:t xml:space="preserve"> </w:t>
      </w:r>
      <w:r w:rsidR="00C62170">
        <w:rPr>
          <w:rFonts w:ascii="Times New Roman" w:hAnsi="Times New Roman" w:cs="Times New Roman"/>
        </w:rPr>
        <w:t>R</w:t>
      </w:r>
      <w:r w:rsidR="00533500">
        <w:rPr>
          <w:rFonts w:ascii="Times New Roman" w:hAnsi="Times New Roman" w:cs="Times New Roman"/>
        </w:rPr>
        <w:t xml:space="preserve">eal </w:t>
      </w:r>
      <w:r w:rsidRPr="00B176C7">
        <w:rPr>
          <w:rFonts w:ascii="Times New Roman" w:hAnsi="Times New Roman" w:cs="Times New Roman"/>
        </w:rPr>
        <w:t xml:space="preserve">GDP </w:t>
      </w:r>
      <w:r w:rsidRPr="00FF3136">
        <w:rPr>
          <w:rFonts w:ascii="Times New Roman" w:hAnsi="Times New Roman" w:cs="Times New Roman"/>
          <w:i/>
          <w:iCs/>
        </w:rPr>
        <w:t>per capita</w:t>
      </w:r>
      <w:r w:rsidRPr="00B176C7">
        <w:rPr>
          <w:rFonts w:ascii="Times New Roman" w:hAnsi="Times New Roman" w:cs="Times New Roman"/>
        </w:rPr>
        <w:t xml:space="preserve"> (constant 2015 US$)</w:t>
      </w:r>
    </w:p>
    <w:p w14:paraId="487DB5F8" w14:textId="5BB05876" w:rsidR="00E412FA" w:rsidRDefault="00E412FA" w:rsidP="00E412FA">
      <w:pPr>
        <w:spacing w:line="360" w:lineRule="auto"/>
        <w:rPr>
          <w:rFonts w:ascii="Times New Roman" w:hAnsi="Times New Roman" w:cs="Times New Roman"/>
        </w:rPr>
      </w:pPr>
      <w:r>
        <w:rPr>
          <w:rFonts w:ascii="Times New Roman" w:hAnsi="Times New Roman" w:cs="Times New Roman"/>
        </w:rPr>
        <w:t>G</w:t>
      </w:r>
      <w:r w:rsidRPr="00B176C7">
        <w:rPr>
          <w:rFonts w:ascii="Times New Roman" w:hAnsi="Times New Roman" w:cs="Times New Roman"/>
        </w:rPr>
        <w:t>EDU</w:t>
      </w:r>
      <m:oMath>
        <m:r>
          <m:rPr>
            <m:sty m:val="p"/>
          </m:rPr>
          <w:rPr>
            <w:rFonts w:ascii="Cambria Math" w:hAnsi="Cambria Math" w:cs="Times New Roman"/>
          </w:rPr>
          <m:t>ₜ</m:t>
        </m:r>
      </m:oMath>
      <w:r w:rsidRPr="00B176C7">
        <w:rPr>
          <w:rFonts w:ascii="Times New Roman" w:hAnsi="Times New Roman" w:cs="Times New Roman"/>
        </w:rPr>
        <w:t>​</w:t>
      </w:r>
      <m:oMath>
        <m:r>
          <m:rPr>
            <m:sty m:val="p"/>
          </m:rPr>
          <w:rPr>
            <w:rFonts w:ascii="Cambria Math" w:hAnsi="Cambria Math" w:cs="Times New Roman"/>
          </w:rPr>
          <m:t>:</m:t>
        </m:r>
      </m:oMath>
      <w:r w:rsidRPr="00B176C7">
        <w:rPr>
          <w:rFonts w:ascii="Times New Roman" w:hAnsi="Times New Roman" w:cs="Times New Roman"/>
        </w:rPr>
        <w:t xml:space="preserve"> </w:t>
      </w:r>
      <w:r w:rsidR="00FB3A61">
        <w:rPr>
          <w:rFonts w:ascii="Times New Roman" w:hAnsi="Times New Roman" w:cs="Times New Roman"/>
        </w:rPr>
        <w:t>g</w:t>
      </w:r>
      <w:r>
        <w:rPr>
          <w:rFonts w:ascii="Times New Roman" w:hAnsi="Times New Roman" w:cs="Times New Roman"/>
        </w:rPr>
        <w:t xml:space="preserve">overnment </w:t>
      </w:r>
      <w:r w:rsidR="00495754">
        <w:rPr>
          <w:rFonts w:ascii="Times New Roman" w:hAnsi="Times New Roman" w:cs="Times New Roman"/>
        </w:rPr>
        <w:t xml:space="preserve">recurrent </w:t>
      </w:r>
      <w:r>
        <w:rPr>
          <w:rFonts w:ascii="Times New Roman" w:hAnsi="Times New Roman" w:cs="Times New Roman"/>
        </w:rPr>
        <w:t>expenditure on</w:t>
      </w:r>
      <w:r w:rsidRPr="00B176C7">
        <w:rPr>
          <w:rFonts w:ascii="Times New Roman" w:hAnsi="Times New Roman" w:cs="Times New Roman"/>
        </w:rPr>
        <w:t xml:space="preserve"> education (% of GDP)</w:t>
      </w:r>
    </w:p>
    <w:p w14:paraId="19BAC276" w14:textId="77777777" w:rsidR="00E412FA" w:rsidRDefault="00E412FA" w:rsidP="00E412FA">
      <w:pPr>
        <w:spacing w:line="360" w:lineRule="auto"/>
        <w:rPr>
          <w:rFonts w:ascii="Times New Roman" w:hAnsi="Times New Roman" w:cs="Times New Roman"/>
        </w:rPr>
      </w:pPr>
      <w:r>
        <w:rPr>
          <w:rFonts w:ascii="Times New Roman" w:hAnsi="Times New Roman" w:cs="Times New Roman"/>
        </w:rPr>
        <w:t>F</w:t>
      </w:r>
      <w:r w:rsidRPr="00B176C7">
        <w:rPr>
          <w:rFonts w:ascii="Times New Roman" w:hAnsi="Times New Roman" w:cs="Times New Roman"/>
        </w:rPr>
        <w:t>SE</w:t>
      </w:r>
      <m:oMath>
        <m:r>
          <m:rPr>
            <m:sty m:val="p"/>
          </m:rPr>
          <w:rPr>
            <w:rFonts w:ascii="Cambria Math" w:hAnsi="Cambria Math" w:cs="Times New Roman"/>
          </w:rPr>
          <m:t>ₜ</m:t>
        </m:r>
      </m:oMath>
      <w:r w:rsidRPr="00B176C7">
        <w:rPr>
          <w:rFonts w:ascii="Times New Roman" w:hAnsi="Times New Roman" w:cs="Times New Roman"/>
        </w:rPr>
        <w:t>​</w:t>
      </w:r>
      <m:oMath>
        <m:r>
          <m:rPr>
            <m:sty m:val="p"/>
          </m:rPr>
          <w:rPr>
            <w:rFonts w:ascii="Cambria Math" w:hAnsi="Cambria Math" w:cs="Times New Roman"/>
          </w:rPr>
          <m:t>:</m:t>
        </m:r>
      </m:oMath>
      <w:r w:rsidRPr="00B176C7">
        <w:rPr>
          <w:rFonts w:ascii="Times New Roman" w:hAnsi="Times New Roman" w:cs="Times New Roman"/>
        </w:rPr>
        <w:t xml:space="preserve"> Female secondary school enrolment (% gross)</w:t>
      </w:r>
    </w:p>
    <w:p w14:paraId="5269918E" w14:textId="3C78CB23" w:rsidR="00244795" w:rsidRDefault="00E412FA" w:rsidP="00E412FA">
      <w:pPr>
        <w:spacing w:line="360" w:lineRule="auto"/>
        <w:rPr>
          <w:rFonts w:ascii="Times New Roman" w:hAnsi="Times New Roman" w:cs="Times New Roman"/>
        </w:rPr>
      </w:pPr>
      <w:r>
        <w:rPr>
          <w:rFonts w:ascii="Times New Roman" w:hAnsi="Times New Roman" w:cs="Times New Roman"/>
        </w:rPr>
        <w:t>GPI</w:t>
      </w:r>
      <m:oMath>
        <m:r>
          <m:rPr>
            <m:sty m:val="p"/>
          </m:rPr>
          <w:rPr>
            <w:rFonts w:ascii="Cambria Math" w:hAnsi="Cambria Math" w:cs="Times New Roman"/>
          </w:rPr>
          <m:t xml:space="preserve">ₜ: </m:t>
        </m:r>
      </m:oMath>
      <w:r w:rsidR="00244795" w:rsidRPr="007F7B5E">
        <w:rPr>
          <w:rFonts w:ascii="Times New Roman" w:hAnsi="Times New Roman" w:cs="Times New Roman"/>
        </w:rPr>
        <w:t>Gender Parity Index (GPI) for primary school enrolment</w:t>
      </w:r>
      <w:r w:rsidR="00244795">
        <w:rPr>
          <w:rFonts w:ascii="Times New Roman" w:hAnsi="Times New Roman" w:cs="Times New Roman"/>
        </w:rPr>
        <w:t xml:space="preserve"> (% gross)</w:t>
      </w:r>
    </w:p>
    <w:p w14:paraId="6D8F8F02" w14:textId="5A2FADAF" w:rsidR="00E412FA" w:rsidRDefault="00E412FA" w:rsidP="00832003">
      <w:pPr>
        <w:spacing w:line="360" w:lineRule="auto"/>
        <w:rPr>
          <w:rFonts w:ascii="Times New Roman" w:hAnsi="Times New Roman" w:cs="Times New Roman"/>
        </w:rPr>
      </w:pPr>
      <w:r>
        <w:rPr>
          <w:rFonts w:ascii="Times New Roman" w:hAnsi="Times New Roman" w:cs="Times New Roman"/>
        </w:rPr>
        <w:t>a</w:t>
      </w:r>
      <w:r w:rsidRPr="00B176C7">
        <w:rPr>
          <w:rFonts w:ascii="Times New Roman" w:hAnsi="Times New Roman" w:cs="Times New Roman"/>
          <w:vertAlign w:val="subscript"/>
        </w:rPr>
        <w:t>0</w:t>
      </w:r>
      <w:r>
        <w:rPr>
          <w:rFonts w:ascii="Times New Roman" w:hAnsi="Times New Roman" w:cs="Times New Roman"/>
          <w:vertAlign w:val="subscript"/>
        </w:rPr>
        <w:t xml:space="preserve"> </w:t>
      </w:r>
      <w:r>
        <w:rPr>
          <w:rFonts w:ascii="Times New Roman" w:hAnsi="Times New Roman" w:cs="Times New Roman"/>
        </w:rPr>
        <w:t>= intercept term</w:t>
      </w:r>
      <w:r w:rsidR="00872F5B">
        <w:rPr>
          <w:rFonts w:ascii="Times New Roman" w:hAnsi="Times New Roman" w:cs="Times New Roman"/>
        </w:rPr>
        <w:t>;</w:t>
      </w:r>
      <w:r>
        <w:rPr>
          <w:rFonts w:ascii="Times New Roman" w:hAnsi="Times New Roman" w:cs="Times New Roman"/>
        </w:rPr>
        <w:t xml:space="preserve"> </w:t>
      </w:r>
      <w:r w:rsidRPr="00B176C7">
        <w:rPr>
          <w:rFonts w:ascii="Times New Roman" w:hAnsi="Times New Roman" w:cs="Times New Roman"/>
        </w:rPr>
        <w:t>α</w:t>
      </w:r>
      <w:r w:rsidRPr="00B176C7">
        <w:rPr>
          <w:rFonts w:ascii="Times New Roman" w:hAnsi="Times New Roman" w:cs="Times New Roman"/>
          <w:vertAlign w:val="subscript"/>
        </w:rPr>
        <w:t>1</w:t>
      </w:r>
      <w:r w:rsidRPr="00B176C7">
        <w:rPr>
          <w:rFonts w:ascii="Times New Roman" w:hAnsi="Times New Roman" w:cs="Times New Roman"/>
        </w:rPr>
        <w:t xml:space="preserve"> </w:t>
      </w:r>
      <w:r>
        <w:rPr>
          <w:rFonts w:ascii="Times New Roman" w:hAnsi="Times New Roman" w:cs="Times New Roman"/>
        </w:rPr>
        <w:t xml:space="preserve">to </w:t>
      </w:r>
      <w:r w:rsidRPr="00B176C7">
        <w:rPr>
          <w:rFonts w:ascii="Times New Roman" w:hAnsi="Times New Roman" w:cs="Times New Roman"/>
        </w:rPr>
        <w:t>α</w:t>
      </w:r>
      <w:r>
        <w:rPr>
          <w:rFonts w:ascii="Times New Roman" w:hAnsi="Times New Roman" w:cs="Times New Roman"/>
          <w:vertAlign w:val="subscript"/>
        </w:rPr>
        <w:t>3</w:t>
      </w:r>
      <w:r w:rsidRPr="00B176C7">
        <w:rPr>
          <w:rFonts w:ascii="Times New Roman" w:hAnsi="Times New Roman" w:cs="Times New Roman"/>
        </w:rPr>
        <w:t>​</w:t>
      </w:r>
      <w:r>
        <w:rPr>
          <w:rFonts w:ascii="Times New Roman" w:hAnsi="Times New Roman" w:cs="Times New Roman"/>
        </w:rPr>
        <w:t xml:space="preserve"> =</w:t>
      </w:r>
      <w:r w:rsidRPr="00B176C7">
        <w:rPr>
          <w:rFonts w:ascii="Times New Roman" w:hAnsi="Times New Roman" w:cs="Times New Roman"/>
        </w:rPr>
        <w:t xml:space="preserve"> </w:t>
      </w:r>
      <w:r w:rsidR="00872F5B">
        <w:rPr>
          <w:rFonts w:ascii="Times New Roman" w:hAnsi="Times New Roman" w:cs="Times New Roman"/>
        </w:rPr>
        <w:t>p</w:t>
      </w:r>
      <w:r w:rsidRPr="00B176C7">
        <w:rPr>
          <w:rFonts w:ascii="Times New Roman" w:hAnsi="Times New Roman" w:cs="Times New Roman"/>
        </w:rPr>
        <w:t>artial regression coefficients</w:t>
      </w:r>
      <w:r w:rsidR="00872F5B">
        <w:rPr>
          <w:rFonts w:ascii="Times New Roman" w:hAnsi="Times New Roman" w:cs="Times New Roman"/>
        </w:rPr>
        <w:t>;</w:t>
      </w:r>
      <w:r>
        <w:rPr>
          <w:rFonts w:ascii="Times New Roman" w:hAnsi="Times New Roman" w:cs="Times New Roman"/>
        </w:rPr>
        <w:t xml:space="preserve"> </w:t>
      </w:r>
      <w:r w:rsidRPr="00B176C7">
        <w:rPr>
          <w:rFonts w:ascii="Times New Roman" w:hAnsi="Times New Roman" w:cs="Times New Roman"/>
        </w:rPr>
        <w:t>εₜ</w:t>
      </w:r>
      <w:r>
        <w:rPr>
          <w:rFonts w:ascii="Times New Roman" w:hAnsi="Times New Roman" w:cs="Times New Roman"/>
        </w:rPr>
        <w:t xml:space="preserve"> = </w:t>
      </w:r>
      <w:r w:rsidR="00872F5B">
        <w:rPr>
          <w:rFonts w:ascii="Times New Roman" w:hAnsi="Times New Roman" w:cs="Times New Roman"/>
        </w:rPr>
        <w:t>s</w:t>
      </w:r>
      <w:r w:rsidRPr="00404FBA">
        <w:rPr>
          <w:rFonts w:ascii="Times New Roman" w:hAnsi="Times New Roman" w:cs="Times New Roman"/>
        </w:rPr>
        <w:t>tochastic error term</w:t>
      </w:r>
      <w:r>
        <w:rPr>
          <w:rFonts w:ascii="Times New Roman" w:hAnsi="Times New Roman" w:cs="Times New Roman"/>
        </w:rPr>
        <w:t>.</w:t>
      </w:r>
      <w:r w:rsidR="00B6354F">
        <w:rPr>
          <w:rFonts w:ascii="Times New Roman" w:hAnsi="Times New Roman" w:cs="Times New Roman"/>
        </w:rPr>
        <w:t xml:space="preserve"> t = time.</w:t>
      </w:r>
      <w:r w:rsidR="002B0329">
        <w:rPr>
          <w:rFonts w:ascii="Times New Roman" w:hAnsi="Times New Roman" w:cs="Times New Roman"/>
        </w:rPr>
        <w:t xml:space="preserve"> </w:t>
      </w:r>
    </w:p>
    <w:p w14:paraId="5BF1F40B" w14:textId="651386D5" w:rsidR="002B0329" w:rsidRPr="00C72C1B" w:rsidRDefault="002B0329" w:rsidP="00832003">
      <w:pPr>
        <w:spacing w:line="360" w:lineRule="auto"/>
        <w:rPr>
          <w:rFonts w:ascii="Times New Roman" w:hAnsi="Times New Roman" w:cs="Times New Roman"/>
        </w:rPr>
      </w:pPr>
      <w:r>
        <w:rPr>
          <w:rFonts w:ascii="Times New Roman" w:hAnsi="Times New Roman" w:cs="Times New Roman"/>
        </w:rPr>
        <w:t xml:space="preserve">Note: GDPPC and GEDU variable is </w:t>
      </w:r>
      <w:r w:rsidRPr="00C34C5B">
        <w:rPr>
          <w:rFonts w:ascii="Times New Roman" w:hAnsi="Times New Roman" w:cs="Times New Roman"/>
        </w:rPr>
        <w:t>log-transformed to address scale differences and ensure linearity in the model estimation</w:t>
      </w:r>
      <w:r>
        <w:rPr>
          <w:rFonts w:ascii="Times New Roman" w:hAnsi="Times New Roman" w:cs="Times New Roman"/>
        </w:rPr>
        <w:t>.</w:t>
      </w:r>
    </w:p>
    <w:p w14:paraId="5A94640C" w14:textId="3C42E673" w:rsidR="00832003" w:rsidRDefault="00832003" w:rsidP="00832003">
      <w:pPr>
        <w:spacing w:line="360" w:lineRule="auto"/>
        <w:rPr>
          <w:rFonts w:ascii="Times New Roman" w:hAnsi="Times New Roman" w:cs="Times New Roman"/>
          <w:b/>
          <w:bCs/>
        </w:rPr>
      </w:pPr>
      <w:r w:rsidRPr="008235B1">
        <w:rPr>
          <w:rFonts w:ascii="Times New Roman" w:hAnsi="Times New Roman" w:cs="Times New Roman"/>
          <w:b/>
          <w:bCs/>
        </w:rPr>
        <w:t xml:space="preserve">ARDL </w:t>
      </w:r>
      <w:r w:rsidR="00E412FA">
        <w:rPr>
          <w:rFonts w:ascii="Times New Roman" w:hAnsi="Times New Roman" w:cs="Times New Roman"/>
          <w:b/>
          <w:bCs/>
        </w:rPr>
        <w:t>Model S</w:t>
      </w:r>
      <w:r w:rsidRPr="008235B1">
        <w:rPr>
          <w:rFonts w:ascii="Times New Roman" w:hAnsi="Times New Roman" w:cs="Times New Roman"/>
          <w:b/>
          <w:bCs/>
        </w:rPr>
        <w:t>pecification:</w:t>
      </w:r>
    </w:p>
    <w:p w14:paraId="1362C2AF" w14:textId="17DD9FD2" w:rsidR="003C4D11" w:rsidRPr="00D5402D" w:rsidRDefault="00832003" w:rsidP="00D5402D">
      <w:pPr>
        <w:spacing w:after="0" w:line="240" w:lineRule="auto"/>
        <w:rPr>
          <w:rFonts w:ascii="Cambria Math" w:hAnsi="Cambria Math" w:cs="Times New Roman"/>
          <w:sz w:val="22"/>
          <w:szCs w:val="22"/>
          <w:oMath/>
        </w:rPr>
      </w:pPr>
      <m:oMath>
        <m:r>
          <m:rPr>
            <m:sty m:val="p"/>
          </m:rPr>
          <w:rPr>
            <w:rFonts w:ascii="Cambria Math" w:hAnsi="Cambria Math" w:cs="Times New Roman"/>
          </w:rPr>
          <m:t>△GDPPCₜ=β₀+</m:t>
        </m:r>
        <m:nary>
          <m:naryPr>
            <m:chr m:val="∑"/>
            <m:limLoc m:val="undOvr"/>
            <m:ctrlPr>
              <w:rPr>
                <w:rFonts w:ascii="Cambria Math" w:hAnsi="Cambria Math" w:cs="Times New Roman"/>
                <w:bCs/>
                <w:iCs/>
              </w:rPr>
            </m:ctrlPr>
          </m:naryPr>
          <m:sub>
            <m:r>
              <m:rPr>
                <m:sty m:val="p"/>
              </m:rPr>
              <w:rPr>
                <w:rFonts w:ascii="Cambria Math" w:hAnsi="Cambria Math" w:cs="Times New Roman"/>
              </w:rPr>
              <m:t>i=1</m:t>
            </m:r>
          </m:sub>
          <m:sup>
            <m:r>
              <m:rPr>
                <m:sty m:val="p"/>
              </m:rPr>
              <w:rPr>
                <w:rFonts w:ascii="Cambria Math" w:hAnsi="Cambria Math" w:cs="Times New Roman"/>
              </w:rPr>
              <m:t>P</m:t>
            </m:r>
          </m:sup>
          <m:e>
            <m:r>
              <m:rPr>
                <m:sty m:val="p"/>
              </m:rPr>
              <w:rPr>
                <w:rStyle w:val="mord"/>
                <w:rFonts w:ascii="Cambria Math" w:hAnsi="Cambria Math"/>
              </w:rPr>
              <m:t>ϕ</m:t>
            </m:r>
            <m:r>
              <m:rPr>
                <m:sty m:val="p"/>
              </m:rPr>
              <w:rPr>
                <w:rFonts w:ascii="Cambria Math" w:hAnsi="Cambria Math" w:cs="Times New Roman"/>
              </w:rPr>
              <m:t>ᵢ</m:t>
            </m:r>
            <m:r>
              <m:rPr>
                <m:sty m:val="p"/>
              </m:rPr>
              <w:rPr>
                <w:rStyle w:val="vlist-s"/>
                <w:rFonts w:ascii="Cambria Math" w:hAnsi="Cambria Math"/>
              </w:rPr>
              <m:t>​</m:t>
            </m:r>
          </m:e>
        </m:nary>
        <m:r>
          <m:rPr>
            <m:sty m:val="p"/>
          </m:rPr>
          <w:rPr>
            <w:rFonts w:ascii="Cambria Math" w:hAnsi="Cambria Math" w:cs="Times New Roman"/>
          </w:rPr>
          <m:t>△GDPPCₜ₋ᵢ +</m:t>
        </m:r>
        <m:nary>
          <m:naryPr>
            <m:chr m:val="∑"/>
            <m:limLoc m:val="undOvr"/>
            <m:ctrlPr>
              <w:rPr>
                <w:rFonts w:ascii="Cambria Math" w:hAnsi="Cambria Math" w:cs="Times New Roman"/>
                <w:bCs/>
                <w:iCs/>
              </w:rPr>
            </m:ctrlPr>
          </m:naryPr>
          <m:sub>
            <m:r>
              <m:rPr>
                <m:sty m:val="p"/>
              </m:rPr>
              <w:rPr>
                <w:rFonts w:ascii="Cambria Math" w:hAnsi="Cambria Math" w:cs="Times New Roman"/>
              </w:rPr>
              <m:t>i=1</m:t>
            </m:r>
          </m:sub>
          <m:sup>
            <m:r>
              <m:rPr>
                <m:sty m:val="p"/>
              </m:rPr>
              <w:rPr>
                <w:rFonts w:ascii="Cambria Math" w:hAnsi="Cambria Math" w:cs="Times New Roman"/>
              </w:rPr>
              <m:t>q</m:t>
            </m:r>
          </m:sup>
          <m:e>
            <m:r>
              <m:rPr>
                <m:sty m:val="p"/>
              </m:rPr>
              <w:rPr>
                <w:rStyle w:val="mord"/>
                <w:rFonts w:ascii="Cambria Math" w:hAnsi="Cambria Math"/>
              </w:rPr>
              <m:t>θ</m:t>
            </m:r>
            <m:r>
              <m:rPr>
                <m:sty m:val="p"/>
              </m:rPr>
              <w:rPr>
                <w:rFonts w:ascii="Cambria Math" w:hAnsi="Cambria Math" w:cs="Times New Roman"/>
              </w:rPr>
              <m:t>₁</m:t>
            </m:r>
            <m:r>
              <m:rPr>
                <m:sty m:val="p"/>
              </m:rPr>
              <w:rPr>
                <w:rStyle w:val="vlist-s"/>
                <w:rFonts w:ascii="Cambria Math" w:hAnsi="Cambria Math"/>
              </w:rPr>
              <m:t>​</m:t>
            </m:r>
          </m:e>
        </m:nary>
        <m:r>
          <m:rPr>
            <m:sty m:val="p"/>
          </m:rPr>
          <w:rPr>
            <w:rFonts w:ascii="Cambria Math" w:hAnsi="Cambria Math" w:cs="Times New Roman"/>
          </w:rPr>
          <m:t xml:space="preserve">△GEDUₜ₋ᵢ+ </m:t>
        </m:r>
        <m:nary>
          <m:naryPr>
            <m:chr m:val="∑"/>
            <m:limLoc m:val="undOvr"/>
            <m:ctrlPr>
              <w:rPr>
                <w:rFonts w:ascii="Cambria Math" w:hAnsi="Cambria Math" w:cs="Times New Roman"/>
                <w:bCs/>
                <w:iCs/>
              </w:rPr>
            </m:ctrlPr>
          </m:naryPr>
          <m:sub>
            <m:r>
              <m:rPr>
                <m:sty m:val="p"/>
              </m:rPr>
              <w:rPr>
                <w:rFonts w:ascii="Cambria Math" w:hAnsi="Cambria Math" w:cs="Times New Roman"/>
              </w:rPr>
              <m:t>i=1</m:t>
            </m:r>
          </m:sub>
          <m:sup>
            <m:r>
              <m:rPr>
                <m:sty m:val="p"/>
              </m:rPr>
              <w:rPr>
                <w:rFonts w:ascii="Cambria Math" w:hAnsi="Cambria Math" w:cs="Times New Roman"/>
              </w:rPr>
              <m:t>q</m:t>
            </m:r>
          </m:sup>
          <m:e>
            <m:r>
              <m:rPr>
                <m:sty m:val="p"/>
              </m:rPr>
              <w:rPr>
                <w:rStyle w:val="mord"/>
                <w:rFonts w:ascii="Cambria Math" w:hAnsi="Cambria Math"/>
              </w:rPr>
              <m:t>θ</m:t>
            </m:r>
            <m:r>
              <m:rPr>
                <m:sty m:val="p"/>
              </m:rPr>
              <w:rPr>
                <w:rFonts w:ascii="Cambria Math" w:hAnsi="Cambria Math" w:cs="Times New Roman"/>
              </w:rPr>
              <m:t>₁</m:t>
            </m:r>
            <m:r>
              <m:rPr>
                <m:sty m:val="p"/>
              </m:rPr>
              <w:rPr>
                <w:rStyle w:val="vlist-s"/>
                <w:rFonts w:ascii="Cambria Math" w:hAnsi="Cambria Math"/>
              </w:rPr>
              <m:t>​</m:t>
            </m:r>
          </m:e>
        </m:nary>
        <m:r>
          <m:rPr>
            <m:sty m:val="p"/>
          </m:rPr>
          <w:rPr>
            <w:rFonts w:ascii="Cambria Math" w:hAnsi="Cambria Math" w:cs="Times New Roman"/>
          </w:rPr>
          <m:t>△</m:t>
        </m:r>
        <m:r>
          <m:rPr>
            <m:sty m:val="p"/>
          </m:rPr>
          <w:rPr>
            <w:rFonts w:ascii="Cambria Math" w:hAnsi="Cambria Math"/>
          </w:rPr>
          <m:t>FSE</m:t>
        </m:r>
        <m:r>
          <m:rPr>
            <m:sty m:val="p"/>
          </m:rPr>
          <w:rPr>
            <w:rFonts w:ascii="Cambria Math" w:hAnsi="Cambria Math" w:cs="Times New Roman"/>
          </w:rPr>
          <m:t xml:space="preserve">ₜ₋ᵢ + </m:t>
        </m:r>
        <m:nary>
          <m:naryPr>
            <m:chr m:val="∑"/>
            <m:limLoc m:val="undOvr"/>
            <m:ctrlPr>
              <w:rPr>
                <w:rFonts w:ascii="Cambria Math" w:hAnsi="Cambria Math" w:cs="Times New Roman"/>
                <w:bCs/>
                <w:iCs/>
              </w:rPr>
            </m:ctrlPr>
          </m:naryPr>
          <m:sub>
            <m:r>
              <m:rPr>
                <m:sty m:val="p"/>
              </m:rPr>
              <w:rPr>
                <w:rFonts w:ascii="Cambria Math" w:hAnsi="Cambria Math" w:cs="Times New Roman"/>
              </w:rPr>
              <m:t>i=1</m:t>
            </m:r>
          </m:sub>
          <m:sup>
            <m:r>
              <m:rPr>
                <m:sty m:val="p"/>
              </m:rPr>
              <w:rPr>
                <w:rFonts w:ascii="Cambria Math" w:hAnsi="Cambria Math" w:cs="Times New Roman"/>
              </w:rPr>
              <m:t>q</m:t>
            </m:r>
          </m:sup>
          <m:e>
            <m:r>
              <m:rPr>
                <m:sty m:val="p"/>
              </m:rPr>
              <w:rPr>
                <w:rStyle w:val="mord"/>
                <w:rFonts w:ascii="Cambria Math" w:hAnsi="Cambria Math"/>
              </w:rPr>
              <m:t>ϕ</m:t>
            </m:r>
            <m:r>
              <m:rPr>
                <m:sty m:val="p"/>
              </m:rPr>
              <w:rPr>
                <w:rFonts w:ascii="Cambria Math" w:hAnsi="Cambria Math" w:cs="Times New Roman"/>
              </w:rPr>
              <m:t>ᵢ</m:t>
            </m:r>
            <m:r>
              <m:rPr>
                <m:sty m:val="p"/>
              </m:rPr>
              <w:rPr>
                <w:rStyle w:val="vlist-s"/>
                <w:rFonts w:ascii="Cambria Math" w:hAnsi="Cambria Math"/>
              </w:rPr>
              <m:t>​</m:t>
            </m:r>
          </m:e>
        </m:nary>
        <m:r>
          <m:rPr>
            <m:sty m:val="p"/>
          </m:rPr>
          <w:rPr>
            <w:rFonts w:ascii="Cambria Math" w:hAnsi="Cambria Math" w:cs="Times New Roman"/>
          </w:rPr>
          <m:t xml:space="preserve">△GPIₜ₋ᵢ+ λ₁GDPPCₜ₋₁+ λ₂GEDUₜ₋₁+ λ₃FTEₜ₋₁ + λ₄GPIₜ₋₁ +µₜ </m:t>
        </m:r>
      </m:oMath>
      <w:r w:rsidR="00017990">
        <w:rPr>
          <w:rFonts w:ascii="Times New Roman" w:hAnsi="Times New Roman" w:cs="Times New Roman"/>
        </w:rPr>
        <w:tab/>
      </w:r>
      <w:r w:rsidR="00EA50AB">
        <w:rPr>
          <w:rFonts w:ascii="Times New Roman" w:hAnsi="Times New Roman" w:cs="Times New Roman"/>
        </w:rPr>
        <w:t>3</w:t>
      </w:r>
      <w:r w:rsidR="00017990">
        <w:rPr>
          <w:rFonts w:ascii="Times New Roman" w:hAnsi="Times New Roman" w:cs="Times New Roman"/>
        </w:rPr>
        <w:tab/>
      </w:r>
      <w:r w:rsidR="00017990">
        <w:rPr>
          <w:rFonts w:ascii="Times New Roman" w:hAnsi="Times New Roman" w:cs="Times New Roman"/>
        </w:rPr>
        <w:tab/>
      </w:r>
      <w:r w:rsidR="00017990">
        <w:rPr>
          <w:rFonts w:ascii="Times New Roman" w:hAnsi="Times New Roman" w:cs="Times New Roman"/>
        </w:rPr>
        <w:tab/>
      </w:r>
      <w:r w:rsidR="00017990">
        <w:rPr>
          <w:rFonts w:ascii="Times New Roman" w:hAnsi="Times New Roman" w:cs="Times New Roman"/>
        </w:rPr>
        <w:tab/>
      </w:r>
      <w:r w:rsidR="00017990">
        <w:rPr>
          <w:rFonts w:ascii="Times New Roman" w:hAnsi="Times New Roman" w:cs="Times New Roman"/>
        </w:rPr>
        <w:tab/>
      </w:r>
      <w:r w:rsidR="00017990">
        <w:rPr>
          <w:rFonts w:ascii="Times New Roman" w:hAnsi="Times New Roman" w:cs="Times New Roman"/>
        </w:rPr>
        <w:tab/>
      </w:r>
      <w:r w:rsidR="00017990">
        <w:rPr>
          <w:rFonts w:ascii="Times New Roman" w:hAnsi="Times New Roman" w:cs="Times New Roman"/>
        </w:rPr>
        <w:tab/>
      </w:r>
      <w:r w:rsidR="00017990">
        <w:rPr>
          <w:rFonts w:ascii="Times New Roman" w:hAnsi="Times New Roman" w:cs="Times New Roman"/>
        </w:rPr>
        <w:tab/>
      </w:r>
      <w:r w:rsidR="00AE5007">
        <w:rPr>
          <w:rFonts w:ascii="Times New Roman" w:hAnsi="Times New Roman" w:cs="Times New Roman"/>
        </w:rPr>
        <w:tab/>
      </w:r>
      <w:r w:rsidR="00AE5007">
        <w:rPr>
          <w:rFonts w:ascii="Times New Roman" w:hAnsi="Times New Roman" w:cs="Times New Roman"/>
        </w:rPr>
        <w:tab/>
      </w:r>
      <w:r w:rsidR="00AE5007">
        <w:rPr>
          <w:rFonts w:ascii="Times New Roman" w:hAnsi="Times New Roman" w:cs="Times New Roman"/>
        </w:rPr>
        <w:tab/>
      </w:r>
      <w:r w:rsidR="00017990">
        <w:rPr>
          <w:rFonts w:ascii="Times New Roman" w:hAnsi="Times New Roman" w:cs="Times New Roman"/>
        </w:rPr>
        <w:t>3</w:t>
      </w:r>
    </w:p>
    <w:p w14:paraId="67F35F12" w14:textId="3ED1D846" w:rsidR="00832003" w:rsidRDefault="00832003" w:rsidP="003C4D11">
      <w:pPr>
        <w:spacing w:line="480" w:lineRule="auto"/>
        <w:rPr>
          <w:rFonts w:ascii="Times New Roman" w:hAnsi="Times New Roman" w:cs="Times New Roman"/>
        </w:rPr>
      </w:pPr>
      <w:r w:rsidRPr="00AB73A6">
        <w:rPr>
          <w:rFonts w:ascii="Times New Roman" w:hAnsi="Times New Roman" w:cs="Times New Roman"/>
        </w:rPr>
        <w:t>Where:</w:t>
      </w:r>
    </w:p>
    <w:p w14:paraId="406204C4" w14:textId="02B04151" w:rsidR="00AA376E" w:rsidRDefault="00832003" w:rsidP="003C4D11">
      <w:pPr>
        <w:spacing w:line="480" w:lineRule="auto"/>
        <w:jc w:val="both"/>
        <w:rPr>
          <w:rFonts w:ascii="Times New Roman" w:hAnsi="Times New Roman" w:cs="Times New Roman"/>
        </w:rPr>
      </w:pPr>
      <m:oMath>
        <m:r>
          <m:rPr>
            <m:sty m:val="p"/>
          </m:rPr>
          <w:rPr>
            <w:rFonts w:ascii="Cambria Math" w:hAnsi="Cambria Math" w:cs="Times New Roman"/>
          </w:rPr>
          <m:t>△</m:t>
        </m:r>
      </m:oMath>
      <w:r w:rsidRPr="00AB73A6">
        <w:rPr>
          <w:rFonts w:ascii="Times New Roman" w:hAnsi="Times New Roman" w:cs="Times New Roman"/>
          <w:bCs/>
          <w:iCs/>
        </w:rPr>
        <w:t xml:space="preserve"> </w:t>
      </w:r>
      <w:r w:rsidR="00234671">
        <w:rPr>
          <w:rFonts w:ascii="Times New Roman" w:hAnsi="Times New Roman" w:cs="Times New Roman"/>
          <w:bCs/>
          <w:iCs/>
        </w:rPr>
        <w:t xml:space="preserve">= </w:t>
      </w:r>
      <w:r w:rsidRPr="00AB73A6">
        <w:rPr>
          <w:rFonts w:ascii="Times New Roman" w:hAnsi="Times New Roman" w:cs="Times New Roman"/>
          <w:bCs/>
          <w:iCs/>
        </w:rPr>
        <w:t>denotes first difference (short-run d</w:t>
      </w:r>
      <w:r>
        <w:rPr>
          <w:rFonts w:ascii="Times New Roman" w:hAnsi="Times New Roman" w:cs="Times New Roman"/>
          <w:bCs/>
          <w:iCs/>
        </w:rPr>
        <w:t>y</w:t>
      </w:r>
      <w:r w:rsidRPr="00AB73A6">
        <w:rPr>
          <w:rFonts w:ascii="Times New Roman" w:hAnsi="Times New Roman" w:cs="Times New Roman"/>
          <w:bCs/>
          <w:iCs/>
        </w:rPr>
        <w:t>namics)</w:t>
      </w:r>
      <w:r w:rsidR="00561DBD">
        <w:rPr>
          <w:rFonts w:ascii="Times New Roman" w:hAnsi="Times New Roman" w:cs="Times New Roman"/>
          <w:bCs/>
          <w:iCs/>
        </w:rPr>
        <w:t>;</w:t>
      </w:r>
      <w:r w:rsidR="00A27668">
        <w:rPr>
          <w:rFonts w:ascii="Times New Roman" w:hAnsi="Times New Roman" w:cs="Times New Roman"/>
          <w:bCs/>
          <w:iCs/>
        </w:rPr>
        <w:t xml:space="preserve"> </w:t>
      </w:r>
      <m:oMath>
        <m:r>
          <m:rPr>
            <m:sty m:val="p"/>
          </m:rPr>
          <w:rPr>
            <w:rStyle w:val="mord"/>
            <w:rFonts w:ascii="Cambria Math" w:hAnsi="Cambria Math"/>
          </w:rPr>
          <m:t>ϕ</m:t>
        </m:r>
        <m:r>
          <m:rPr>
            <m:sty m:val="p"/>
          </m:rPr>
          <w:rPr>
            <w:rFonts w:ascii="Cambria Math" w:hAnsi="Cambria Math" w:cs="Times New Roman"/>
          </w:rPr>
          <m:t>ᵢ</m:t>
        </m:r>
      </m:oMath>
      <w:r w:rsidR="00EF3BC2">
        <w:rPr>
          <w:rFonts w:ascii="Times New Roman" w:hAnsi="Times New Roman" w:cs="Times New Roman"/>
          <w:iCs/>
        </w:rPr>
        <w:t>,</w:t>
      </w:r>
      <w:r w:rsidRPr="00230F34">
        <w:rPr>
          <w:rStyle w:val="mord"/>
          <w:rFonts w:ascii="Cambria Math" w:hAnsi="Cambria Math"/>
          <w:iCs/>
        </w:rPr>
        <w:t xml:space="preserve"> </w:t>
      </w:r>
      <m:oMath>
        <m:r>
          <m:rPr>
            <m:sty m:val="p"/>
          </m:rPr>
          <w:rPr>
            <w:rStyle w:val="mord"/>
            <w:rFonts w:ascii="Cambria Math" w:hAnsi="Cambria Math"/>
          </w:rPr>
          <m:t>θ</m:t>
        </m:r>
        <m:r>
          <m:rPr>
            <m:sty m:val="p"/>
          </m:rPr>
          <w:rPr>
            <w:rFonts w:ascii="Cambria Math" w:hAnsi="Cambria Math" w:cs="Times New Roman"/>
          </w:rPr>
          <m:t>₁</m:t>
        </m:r>
      </m:oMath>
      <w:r>
        <w:rPr>
          <w:rFonts w:ascii="Cambria Math" w:hAnsi="Cambria Math"/>
          <w:bCs/>
          <w:iCs/>
        </w:rPr>
        <w:t xml:space="preserve"> </w:t>
      </w:r>
      <w:r w:rsidR="00EF3BC2">
        <w:rPr>
          <w:rFonts w:ascii="Cambria Math" w:hAnsi="Cambria Math"/>
          <w:bCs/>
          <w:iCs/>
        </w:rPr>
        <w:t>= s</w:t>
      </w:r>
      <w:r w:rsidR="004F1E7F" w:rsidRPr="004F1E7F">
        <w:rPr>
          <w:rFonts w:ascii="Cambria Math" w:hAnsi="Cambria Math"/>
          <w:bCs/>
          <w:iCs/>
        </w:rPr>
        <w:t>hort-run coefficients</w:t>
      </w:r>
      <w:r w:rsidR="00561DBD">
        <w:rPr>
          <w:rFonts w:ascii="Cambria Math" w:hAnsi="Cambria Math"/>
          <w:bCs/>
          <w:iCs/>
        </w:rPr>
        <w:t>;</w:t>
      </w:r>
      <w:r w:rsidR="00A27668">
        <w:rPr>
          <w:rFonts w:ascii="Times New Roman" w:hAnsi="Times New Roman" w:cs="Times New Roman"/>
          <w:bCs/>
          <w:iCs/>
        </w:rPr>
        <w:t xml:space="preserve"> </w:t>
      </w:r>
      <m:oMath>
        <m:r>
          <m:rPr>
            <m:sty m:val="p"/>
          </m:rPr>
          <w:rPr>
            <w:rFonts w:ascii="Cambria Math" w:hAnsi="Cambria Math" w:cs="Times New Roman"/>
          </w:rPr>
          <m:t>λ₁-λ₄</m:t>
        </m:r>
      </m:oMath>
      <w:r w:rsidR="00B176C7">
        <w:rPr>
          <w:rFonts w:ascii="Times New Roman" w:hAnsi="Times New Roman" w:cs="Times New Roman"/>
          <w:bCs/>
          <w:iCs/>
        </w:rPr>
        <w:t>,</w:t>
      </w:r>
      <w:r>
        <w:rPr>
          <w:rFonts w:ascii="Times New Roman" w:hAnsi="Times New Roman" w:cs="Times New Roman"/>
          <w:bCs/>
          <w:iCs/>
        </w:rPr>
        <w:t xml:space="preserve"> </w:t>
      </w:r>
      <w:r w:rsidR="00EF3BC2">
        <w:rPr>
          <w:rFonts w:ascii="Times New Roman" w:hAnsi="Times New Roman" w:cs="Times New Roman"/>
          <w:bCs/>
          <w:iCs/>
        </w:rPr>
        <w:t>l</w:t>
      </w:r>
      <w:r w:rsidR="00B176C7" w:rsidRPr="00B176C7">
        <w:rPr>
          <w:rFonts w:ascii="Times New Roman" w:hAnsi="Times New Roman" w:cs="Times New Roman"/>
          <w:bCs/>
          <w:iCs/>
        </w:rPr>
        <w:t>ong-run</w:t>
      </w:r>
      <w:r w:rsidR="00EF3BC2">
        <w:rPr>
          <w:rFonts w:ascii="Times New Roman" w:hAnsi="Times New Roman" w:cs="Times New Roman"/>
          <w:bCs/>
          <w:iCs/>
        </w:rPr>
        <w:t xml:space="preserve"> </w:t>
      </w:r>
      <w:r w:rsidR="00B176C7" w:rsidRPr="00B176C7">
        <w:rPr>
          <w:rFonts w:ascii="Times New Roman" w:hAnsi="Times New Roman" w:cs="Times New Roman"/>
          <w:bCs/>
          <w:iCs/>
        </w:rPr>
        <w:t>coefficients</w:t>
      </w:r>
      <w:r w:rsidR="00561DBD">
        <w:rPr>
          <w:rFonts w:ascii="Times New Roman" w:hAnsi="Times New Roman" w:cs="Times New Roman"/>
          <w:bCs/>
          <w:iCs/>
        </w:rPr>
        <w:t>;</w:t>
      </w:r>
      <w:r w:rsidR="00A27668">
        <w:rPr>
          <w:rFonts w:ascii="Times New Roman" w:hAnsi="Times New Roman" w:cs="Times New Roman"/>
          <w:bCs/>
          <w:iCs/>
        </w:rPr>
        <w:t xml:space="preserve"> </w:t>
      </w:r>
      <m:oMath>
        <m:r>
          <m:rPr>
            <m:sty m:val="p"/>
          </m:rPr>
          <w:rPr>
            <w:rFonts w:ascii="Cambria Math" w:hAnsi="Cambria Math" w:cs="Times New Roman"/>
          </w:rPr>
          <m:t>µₜ=white noise error term</m:t>
        </m:r>
      </m:oMath>
      <w:r w:rsidR="007E1FBD">
        <w:rPr>
          <w:rFonts w:ascii="Times New Roman" w:hAnsi="Times New Roman" w:cs="Times New Roman"/>
        </w:rPr>
        <w:t>.</w:t>
      </w:r>
    </w:p>
    <w:p w14:paraId="7DF8486E" w14:textId="1CFB9BED" w:rsidR="00832003" w:rsidRPr="00E62946" w:rsidRDefault="00832003" w:rsidP="00832003">
      <w:pPr>
        <w:spacing w:line="360" w:lineRule="auto"/>
        <w:rPr>
          <w:rFonts w:ascii="Times New Roman" w:hAnsi="Times New Roman" w:cs="Times New Roman"/>
        </w:rPr>
      </w:pPr>
      <w:r w:rsidRPr="00864BEA">
        <w:rPr>
          <w:rFonts w:ascii="Times New Roman" w:hAnsi="Times New Roman" w:cs="Times New Roman"/>
          <w:b/>
        </w:rPr>
        <w:t xml:space="preserve">A </w:t>
      </w:r>
      <w:r w:rsidR="00CF4EAF">
        <w:rPr>
          <w:rFonts w:ascii="Times New Roman" w:hAnsi="Times New Roman" w:cs="Times New Roman"/>
          <w:b/>
        </w:rPr>
        <w:t>P</w:t>
      </w:r>
      <w:r w:rsidRPr="00864BEA">
        <w:rPr>
          <w:rFonts w:ascii="Times New Roman" w:hAnsi="Times New Roman" w:cs="Times New Roman"/>
          <w:b/>
        </w:rPr>
        <w:t>riori Expectation</w:t>
      </w:r>
    </w:p>
    <w:p w14:paraId="03F9F285" w14:textId="5EA4EF25" w:rsidR="00AE5007" w:rsidRDefault="00832003" w:rsidP="0043638C">
      <w:pPr>
        <w:spacing w:line="360" w:lineRule="auto"/>
        <w:ind w:right="90"/>
        <w:jc w:val="both"/>
        <w:rPr>
          <w:rFonts w:ascii="Times New Roman" w:hAnsi="Times New Roman" w:cs="Times New Roman"/>
        </w:rPr>
      </w:pPr>
      <w:r w:rsidRPr="00A614CB">
        <w:rPr>
          <w:rFonts w:ascii="Times New Roman" w:hAnsi="Times New Roman" w:cs="Times New Roman"/>
        </w:rPr>
        <w:t xml:space="preserve">Based on </w:t>
      </w:r>
      <w:r>
        <w:rPr>
          <w:rFonts w:ascii="Times New Roman" w:hAnsi="Times New Roman" w:cs="Times New Roman"/>
        </w:rPr>
        <w:t>the</w:t>
      </w:r>
      <w:r w:rsidRPr="00A614CB">
        <w:rPr>
          <w:rFonts w:ascii="Times New Roman" w:hAnsi="Times New Roman" w:cs="Times New Roman"/>
        </w:rPr>
        <w:t xml:space="preserve"> theor</w:t>
      </w:r>
      <w:r>
        <w:rPr>
          <w:rFonts w:ascii="Times New Roman" w:hAnsi="Times New Roman" w:cs="Times New Roman"/>
        </w:rPr>
        <w:t>ies</w:t>
      </w:r>
      <w:r w:rsidRPr="00A614CB">
        <w:rPr>
          <w:rFonts w:ascii="Times New Roman" w:hAnsi="Times New Roman" w:cs="Times New Roman"/>
        </w:rPr>
        <w:t xml:space="preserve">, it is anticipated that the </w:t>
      </w:r>
      <m:oMath>
        <m:r>
          <m:rPr>
            <m:sty m:val="p"/>
          </m:rPr>
          <w:rPr>
            <w:rStyle w:val="mord"/>
            <w:rFonts w:ascii="Cambria Math" w:hAnsi="Cambria Math"/>
          </w:rPr>
          <m:t xml:space="preserve">θ and </m:t>
        </m:r>
        <m:r>
          <m:rPr>
            <m:sty m:val="p"/>
          </m:rPr>
          <w:rPr>
            <w:rFonts w:ascii="Cambria Math" w:hAnsi="Cambria Math" w:cs="Times New Roman"/>
          </w:rPr>
          <m:t>λ coefficients</m:t>
        </m:r>
      </m:oMath>
      <w:r w:rsidRPr="00A614CB">
        <w:rPr>
          <w:rFonts w:ascii="Times New Roman" w:hAnsi="Times New Roman" w:cs="Times New Roman"/>
        </w:rPr>
        <w:t xml:space="preserve"> will be positive.</w:t>
      </w:r>
    </w:p>
    <w:p w14:paraId="512D9776" w14:textId="77777777" w:rsidR="00974A67" w:rsidRDefault="00974A67" w:rsidP="00832003">
      <w:pPr>
        <w:tabs>
          <w:tab w:val="left" w:pos="2169"/>
        </w:tabs>
        <w:spacing w:line="360" w:lineRule="auto"/>
        <w:jc w:val="both"/>
        <w:rPr>
          <w:rFonts w:ascii="Times New Roman" w:hAnsi="Times New Roman" w:cs="Times New Roman"/>
          <w:b/>
          <w:bCs/>
        </w:rPr>
      </w:pPr>
    </w:p>
    <w:p w14:paraId="0EE363D4" w14:textId="77777777" w:rsidR="00974A67" w:rsidRDefault="00974A67" w:rsidP="00832003">
      <w:pPr>
        <w:tabs>
          <w:tab w:val="left" w:pos="2169"/>
        </w:tabs>
        <w:spacing w:line="360" w:lineRule="auto"/>
        <w:jc w:val="both"/>
        <w:rPr>
          <w:rFonts w:ascii="Times New Roman" w:hAnsi="Times New Roman" w:cs="Times New Roman"/>
          <w:b/>
          <w:bCs/>
        </w:rPr>
      </w:pPr>
    </w:p>
    <w:p w14:paraId="40A323F1" w14:textId="5D1878E9" w:rsidR="00832003" w:rsidRDefault="00832003" w:rsidP="00832003">
      <w:pPr>
        <w:tabs>
          <w:tab w:val="left" w:pos="2169"/>
        </w:tabs>
        <w:spacing w:line="360" w:lineRule="auto"/>
        <w:jc w:val="both"/>
        <w:rPr>
          <w:rFonts w:ascii="Times New Roman" w:hAnsi="Times New Roman" w:cs="Times New Roman"/>
          <w:b/>
          <w:bCs/>
        </w:rPr>
      </w:pPr>
      <w:r w:rsidRPr="00A614CB">
        <w:rPr>
          <w:rFonts w:ascii="Times New Roman" w:hAnsi="Times New Roman" w:cs="Times New Roman"/>
          <w:b/>
          <w:bCs/>
        </w:rPr>
        <w:lastRenderedPageBreak/>
        <w:t>4. Results and Discussion</w:t>
      </w:r>
    </w:p>
    <w:p w14:paraId="4DA6A5EC" w14:textId="7A0C2FFA" w:rsidR="00832003" w:rsidRPr="00E13813" w:rsidRDefault="00BD52CC" w:rsidP="00832003">
      <w:pPr>
        <w:spacing w:after="0" w:line="480" w:lineRule="auto"/>
        <w:ind w:right="90"/>
        <w:jc w:val="both"/>
        <w:rPr>
          <w:rFonts w:ascii="Times New Roman" w:hAnsi="Times New Roman" w:cs="Times New Roman"/>
          <w:b/>
        </w:rPr>
      </w:pPr>
      <w:r>
        <w:rPr>
          <w:rFonts w:ascii="Times New Roman" w:hAnsi="Times New Roman" w:cs="Times New Roman"/>
          <w:b/>
        </w:rPr>
        <w:t xml:space="preserve">4.1 </w:t>
      </w:r>
      <w:r w:rsidR="00832003" w:rsidRPr="00E13813">
        <w:rPr>
          <w:rFonts w:ascii="Times New Roman" w:hAnsi="Times New Roman" w:cs="Times New Roman"/>
          <w:b/>
        </w:rPr>
        <w:t xml:space="preserve">Descriptive Statistics </w:t>
      </w:r>
    </w:p>
    <w:p w14:paraId="61AB4B7F" w14:textId="7199531F" w:rsidR="008548E6" w:rsidRDefault="008548E6" w:rsidP="0043638C">
      <w:pPr>
        <w:tabs>
          <w:tab w:val="left" w:pos="2169"/>
        </w:tabs>
        <w:spacing w:line="480" w:lineRule="auto"/>
        <w:jc w:val="both"/>
        <w:rPr>
          <w:rFonts w:ascii="Times New Roman" w:hAnsi="Times New Roman" w:cs="Times New Roman"/>
        </w:rPr>
      </w:pPr>
      <w:r w:rsidRPr="008548E6">
        <w:rPr>
          <w:rFonts w:ascii="Times New Roman" w:hAnsi="Times New Roman" w:cs="Times New Roman"/>
        </w:rPr>
        <w:t xml:space="preserve">The descriptive statistics presented in Table 1 provide a comprehensive overview of the distributional properties of the variables across the study period. Real GDP </w:t>
      </w:r>
      <w:r w:rsidRPr="00BA0F1E">
        <w:rPr>
          <w:rFonts w:ascii="Times New Roman" w:hAnsi="Times New Roman" w:cs="Times New Roman"/>
          <w:i/>
          <w:iCs/>
        </w:rPr>
        <w:t>per capita</w:t>
      </w:r>
      <w:r w:rsidRPr="008548E6">
        <w:rPr>
          <w:rFonts w:ascii="Times New Roman" w:hAnsi="Times New Roman" w:cs="Times New Roman"/>
        </w:rPr>
        <w:t xml:space="preserve"> (GDPPC) exhibited an average annual growth rate of 7.56%, with a relatively narrow range from a minimum of 7.24% to a maximum of 7.86%. This suggests that Nigeria’s real </w:t>
      </w:r>
      <w:r w:rsidRPr="002B526D">
        <w:rPr>
          <w:rFonts w:ascii="Times New Roman" w:hAnsi="Times New Roman" w:cs="Times New Roman"/>
          <w:i/>
          <w:iCs/>
        </w:rPr>
        <w:t>per capita</w:t>
      </w:r>
      <w:r w:rsidRPr="008548E6">
        <w:rPr>
          <w:rFonts w:ascii="Times New Roman" w:hAnsi="Times New Roman" w:cs="Times New Roman"/>
        </w:rPr>
        <w:t xml:space="preserve"> income experienced only modest fluctuations throughout the observed timeframe. Government recurrent expenditure on education (GEDU) recorded a mean coverage rate of 4.34%, with values ranging from a high of 6.62% to a concerning low of –1.24%, indicating episodes of budgetary contraction in the sector. Female secondary school enrolment (FSE) averaged 32.76%, with values spanning 21.32% to 52.23%, reflecting considerable variation in access over time. Meanwhile, the Gender Parity Index (GPI) for primary school enrolment maintained a mean of 0.89, with values fluctuating within a relatively narrow band of 0.79 to 1.01, indicating progress towards parity, albeit with some volatility. The standard deviations across all variables are lower than their respective means, signalling low dispersion and suggesting that these time series were relatively stable over the study period. Finally, the probability values associated with the </w:t>
      </w:r>
      <w:proofErr w:type="spellStart"/>
      <w:r w:rsidRPr="008548E6">
        <w:rPr>
          <w:rFonts w:ascii="Times New Roman" w:hAnsi="Times New Roman" w:cs="Times New Roman"/>
        </w:rPr>
        <w:t>Jarque</w:t>
      </w:r>
      <w:proofErr w:type="spellEnd"/>
      <w:r w:rsidRPr="008548E6">
        <w:rPr>
          <w:rFonts w:ascii="Times New Roman" w:hAnsi="Times New Roman" w:cs="Times New Roman"/>
        </w:rPr>
        <w:t>–</w:t>
      </w:r>
      <w:proofErr w:type="spellStart"/>
      <w:r w:rsidRPr="008548E6">
        <w:rPr>
          <w:rFonts w:ascii="Times New Roman" w:hAnsi="Times New Roman" w:cs="Times New Roman"/>
        </w:rPr>
        <w:t>Bera</w:t>
      </w:r>
      <w:proofErr w:type="spellEnd"/>
      <w:r w:rsidRPr="008548E6">
        <w:rPr>
          <w:rFonts w:ascii="Times New Roman" w:hAnsi="Times New Roman" w:cs="Times New Roman"/>
        </w:rPr>
        <w:t xml:space="preserve"> statistics indicate that all variables are normally distributed at the 5% level of significance, affirming the suitability of parametric methods for the subsequent econometric analysis.</w:t>
      </w:r>
    </w:p>
    <w:p w14:paraId="3FFA8FBF" w14:textId="5AB8E65D" w:rsidR="00832003" w:rsidRDefault="00832003" w:rsidP="00832003">
      <w:pPr>
        <w:spacing w:after="0" w:line="240" w:lineRule="auto"/>
        <w:ind w:right="90"/>
        <w:jc w:val="both"/>
        <w:rPr>
          <w:rFonts w:ascii="Times New Roman" w:hAnsi="Times New Roman" w:cs="Times New Roman"/>
          <w:b/>
        </w:rPr>
      </w:pPr>
      <w:r>
        <w:rPr>
          <w:rFonts w:ascii="Times New Roman" w:hAnsi="Times New Roman" w:cs="Times New Roman"/>
          <w:b/>
        </w:rPr>
        <w:t>T</w:t>
      </w:r>
      <w:r w:rsidRPr="00E13813">
        <w:rPr>
          <w:rFonts w:ascii="Times New Roman" w:hAnsi="Times New Roman" w:cs="Times New Roman"/>
          <w:b/>
        </w:rPr>
        <w:t xml:space="preserve">able </w:t>
      </w:r>
      <w:r>
        <w:rPr>
          <w:rFonts w:ascii="Times New Roman" w:hAnsi="Times New Roman" w:cs="Times New Roman"/>
          <w:b/>
        </w:rPr>
        <w:t>1</w:t>
      </w:r>
      <w:r w:rsidRPr="00E13813">
        <w:rPr>
          <w:rFonts w:ascii="Times New Roman" w:hAnsi="Times New Roman" w:cs="Times New Roman"/>
          <w:b/>
        </w:rPr>
        <w:t>: Summary of descriptive Statistics for the variables</w:t>
      </w:r>
    </w:p>
    <w:tbl>
      <w:tblPr>
        <w:tblW w:w="0" w:type="auto"/>
        <w:tblInd w:w="3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492"/>
        <w:gridCol w:w="1313"/>
        <w:gridCol w:w="1312"/>
        <w:gridCol w:w="1313"/>
        <w:gridCol w:w="1312"/>
      </w:tblGrid>
      <w:tr w:rsidR="00832003" w14:paraId="62C56229" w14:textId="77777777" w:rsidTr="00B82BF5">
        <w:trPr>
          <w:trHeight w:val="225"/>
        </w:trPr>
        <w:tc>
          <w:tcPr>
            <w:tcW w:w="1492" w:type="dxa"/>
            <w:tcBorders>
              <w:top w:val="single" w:sz="4" w:space="0" w:color="auto"/>
              <w:bottom w:val="single" w:sz="4" w:space="0" w:color="auto"/>
            </w:tcBorders>
            <w:vAlign w:val="bottom"/>
          </w:tcPr>
          <w:p w14:paraId="0A695CA5"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313" w:type="dxa"/>
            <w:tcBorders>
              <w:top w:val="single" w:sz="4" w:space="0" w:color="auto"/>
              <w:bottom w:val="single" w:sz="4" w:space="0" w:color="auto"/>
            </w:tcBorders>
            <w:vAlign w:val="bottom"/>
          </w:tcPr>
          <w:p w14:paraId="0713D9A5"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GDPPC</w:t>
            </w:r>
          </w:p>
        </w:tc>
        <w:tc>
          <w:tcPr>
            <w:tcW w:w="1312" w:type="dxa"/>
            <w:tcBorders>
              <w:top w:val="single" w:sz="4" w:space="0" w:color="auto"/>
              <w:bottom w:val="single" w:sz="4" w:space="0" w:color="auto"/>
            </w:tcBorders>
            <w:vAlign w:val="bottom"/>
          </w:tcPr>
          <w:p w14:paraId="1F914F28"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GEDU</w:t>
            </w:r>
          </w:p>
        </w:tc>
        <w:tc>
          <w:tcPr>
            <w:tcW w:w="1313" w:type="dxa"/>
            <w:tcBorders>
              <w:top w:val="single" w:sz="4" w:space="0" w:color="auto"/>
              <w:bottom w:val="single" w:sz="4" w:space="0" w:color="auto"/>
            </w:tcBorders>
            <w:vAlign w:val="bottom"/>
          </w:tcPr>
          <w:p w14:paraId="24967E8F"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FSE</w:t>
            </w:r>
          </w:p>
        </w:tc>
        <w:tc>
          <w:tcPr>
            <w:tcW w:w="1312" w:type="dxa"/>
            <w:tcBorders>
              <w:top w:val="single" w:sz="4" w:space="0" w:color="auto"/>
              <w:bottom w:val="single" w:sz="4" w:space="0" w:color="auto"/>
            </w:tcBorders>
            <w:vAlign w:val="bottom"/>
          </w:tcPr>
          <w:p w14:paraId="3C82034C"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GPI</w:t>
            </w:r>
          </w:p>
        </w:tc>
      </w:tr>
      <w:tr w:rsidR="00832003" w14:paraId="254A13D2" w14:textId="77777777" w:rsidTr="00B82BF5">
        <w:trPr>
          <w:trHeight w:val="225"/>
        </w:trPr>
        <w:tc>
          <w:tcPr>
            <w:tcW w:w="1492" w:type="dxa"/>
            <w:tcBorders>
              <w:top w:val="single" w:sz="4" w:space="0" w:color="auto"/>
            </w:tcBorders>
            <w:vAlign w:val="bottom"/>
          </w:tcPr>
          <w:p w14:paraId="495399C8" w14:textId="77777777" w:rsidR="00832003" w:rsidRDefault="00832003" w:rsidP="00B82BF5">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 Mean</w:t>
            </w:r>
          </w:p>
        </w:tc>
        <w:tc>
          <w:tcPr>
            <w:tcW w:w="1313" w:type="dxa"/>
            <w:tcBorders>
              <w:top w:val="single" w:sz="4" w:space="0" w:color="auto"/>
            </w:tcBorders>
            <w:vAlign w:val="bottom"/>
          </w:tcPr>
          <w:p w14:paraId="273F7429"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7.559864</w:t>
            </w:r>
          </w:p>
        </w:tc>
        <w:tc>
          <w:tcPr>
            <w:tcW w:w="1312" w:type="dxa"/>
            <w:tcBorders>
              <w:top w:val="single" w:sz="4" w:space="0" w:color="auto"/>
            </w:tcBorders>
            <w:vAlign w:val="bottom"/>
          </w:tcPr>
          <w:p w14:paraId="48580EF4"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4.340677</w:t>
            </w:r>
          </w:p>
        </w:tc>
        <w:tc>
          <w:tcPr>
            <w:tcW w:w="1313" w:type="dxa"/>
            <w:tcBorders>
              <w:top w:val="single" w:sz="4" w:space="0" w:color="auto"/>
            </w:tcBorders>
            <w:vAlign w:val="bottom"/>
          </w:tcPr>
          <w:p w14:paraId="75427A1C"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32.76088</w:t>
            </w:r>
          </w:p>
        </w:tc>
        <w:tc>
          <w:tcPr>
            <w:tcW w:w="1312" w:type="dxa"/>
            <w:tcBorders>
              <w:top w:val="single" w:sz="4" w:space="0" w:color="auto"/>
            </w:tcBorders>
            <w:vAlign w:val="bottom"/>
          </w:tcPr>
          <w:p w14:paraId="12536B5A"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0.893824</w:t>
            </w:r>
          </w:p>
        </w:tc>
      </w:tr>
      <w:tr w:rsidR="00832003" w14:paraId="3D44CD1F" w14:textId="77777777" w:rsidTr="00B82BF5">
        <w:trPr>
          <w:trHeight w:val="225"/>
        </w:trPr>
        <w:tc>
          <w:tcPr>
            <w:tcW w:w="1492" w:type="dxa"/>
            <w:vAlign w:val="bottom"/>
          </w:tcPr>
          <w:p w14:paraId="25E714A4" w14:textId="77777777" w:rsidR="00832003" w:rsidRDefault="00832003" w:rsidP="00B82BF5">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 Median</w:t>
            </w:r>
          </w:p>
        </w:tc>
        <w:tc>
          <w:tcPr>
            <w:tcW w:w="1313" w:type="dxa"/>
            <w:vAlign w:val="bottom"/>
          </w:tcPr>
          <w:p w14:paraId="2D0F97A5"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7.593209</w:t>
            </w:r>
          </w:p>
        </w:tc>
        <w:tc>
          <w:tcPr>
            <w:tcW w:w="1312" w:type="dxa"/>
            <w:vAlign w:val="bottom"/>
          </w:tcPr>
          <w:p w14:paraId="4A395408"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4.850074</w:t>
            </w:r>
          </w:p>
        </w:tc>
        <w:tc>
          <w:tcPr>
            <w:tcW w:w="1313" w:type="dxa"/>
            <w:vAlign w:val="bottom"/>
          </w:tcPr>
          <w:p w14:paraId="14598E80"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31.38500</w:t>
            </w:r>
          </w:p>
        </w:tc>
        <w:tc>
          <w:tcPr>
            <w:tcW w:w="1312" w:type="dxa"/>
            <w:vAlign w:val="bottom"/>
          </w:tcPr>
          <w:p w14:paraId="4ABC84F0"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0.870000</w:t>
            </w:r>
          </w:p>
        </w:tc>
      </w:tr>
      <w:tr w:rsidR="00832003" w14:paraId="6504069C" w14:textId="77777777" w:rsidTr="00B82BF5">
        <w:trPr>
          <w:trHeight w:val="225"/>
        </w:trPr>
        <w:tc>
          <w:tcPr>
            <w:tcW w:w="1492" w:type="dxa"/>
            <w:vAlign w:val="bottom"/>
          </w:tcPr>
          <w:p w14:paraId="137DE140" w14:textId="77777777" w:rsidR="00832003" w:rsidRDefault="00832003" w:rsidP="00B82BF5">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 Maximum</w:t>
            </w:r>
          </w:p>
        </w:tc>
        <w:tc>
          <w:tcPr>
            <w:tcW w:w="1313" w:type="dxa"/>
            <w:vAlign w:val="bottom"/>
          </w:tcPr>
          <w:p w14:paraId="5F37168F"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7.857763</w:t>
            </w:r>
          </w:p>
        </w:tc>
        <w:tc>
          <w:tcPr>
            <w:tcW w:w="1312" w:type="dxa"/>
            <w:vAlign w:val="bottom"/>
          </w:tcPr>
          <w:p w14:paraId="5F6962A2"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6.624039</w:t>
            </w:r>
          </w:p>
        </w:tc>
        <w:tc>
          <w:tcPr>
            <w:tcW w:w="1313" w:type="dxa"/>
            <w:vAlign w:val="bottom"/>
          </w:tcPr>
          <w:p w14:paraId="68F9D643"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52.23000</w:t>
            </w:r>
          </w:p>
        </w:tc>
        <w:tc>
          <w:tcPr>
            <w:tcW w:w="1312" w:type="dxa"/>
            <w:vAlign w:val="bottom"/>
          </w:tcPr>
          <w:p w14:paraId="539DBA61"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1.010000</w:t>
            </w:r>
          </w:p>
        </w:tc>
      </w:tr>
      <w:tr w:rsidR="00832003" w14:paraId="04B1DB58" w14:textId="77777777" w:rsidTr="00B82BF5">
        <w:trPr>
          <w:trHeight w:val="225"/>
        </w:trPr>
        <w:tc>
          <w:tcPr>
            <w:tcW w:w="1492" w:type="dxa"/>
            <w:vAlign w:val="bottom"/>
          </w:tcPr>
          <w:p w14:paraId="667E73AC" w14:textId="77777777" w:rsidR="00832003" w:rsidRDefault="00832003" w:rsidP="00B82BF5">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 Minimum</w:t>
            </w:r>
          </w:p>
        </w:tc>
        <w:tc>
          <w:tcPr>
            <w:tcW w:w="1313" w:type="dxa"/>
            <w:vAlign w:val="bottom"/>
          </w:tcPr>
          <w:p w14:paraId="1C2887FF"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7.237397</w:t>
            </w:r>
          </w:p>
        </w:tc>
        <w:tc>
          <w:tcPr>
            <w:tcW w:w="1312" w:type="dxa"/>
            <w:vAlign w:val="bottom"/>
          </w:tcPr>
          <w:p w14:paraId="59F5F470"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-1.237874</w:t>
            </w:r>
          </w:p>
        </w:tc>
        <w:tc>
          <w:tcPr>
            <w:tcW w:w="1313" w:type="dxa"/>
            <w:vAlign w:val="bottom"/>
          </w:tcPr>
          <w:p w14:paraId="4BAF4C5F"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21.32000</w:t>
            </w:r>
          </w:p>
        </w:tc>
        <w:tc>
          <w:tcPr>
            <w:tcW w:w="1312" w:type="dxa"/>
            <w:vAlign w:val="bottom"/>
          </w:tcPr>
          <w:p w14:paraId="1F11B0A1"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0.790000</w:t>
            </w:r>
          </w:p>
        </w:tc>
      </w:tr>
      <w:tr w:rsidR="00832003" w14:paraId="3507EB6E" w14:textId="77777777" w:rsidTr="00B82BF5">
        <w:trPr>
          <w:trHeight w:val="225"/>
        </w:trPr>
        <w:tc>
          <w:tcPr>
            <w:tcW w:w="1492" w:type="dxa"/>
            <w:vAlign w:val="bottom"/>
          </w:tcPr>
          <w:p w14:paraId="3638840E" w14:textId="77777777" w:rsidR="00832003" w:rsidRDefault="00832003" w:rsidP="00B82BF5">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 Std. Dev.</w:t>
            </w:r>
          </w:p>
        </w:tc>
        <w:tc>
          <w:tcPr>
            <w:tcW w:w="1313" w:type="dxa"/>
            <w:vAlign w:val="bottom"/>
          </w:tcPr>
          <w:p w14:paraId="312ED2B2"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0.232508</w:t>
            </w:r>
          </w:p>
        </w:tc>
        <w:tc>
          <w:tcPr>
            <w:tcW w:w="1312" w:type="dxa"/>
            <w:vAlign w:val="bottom"/>
          </w:tcPr>
          <w:p w14:paraId="6C55C6AF"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1.981637</w:t>
            </w:r>
          </w:p>
        </w:tc>
        <w:tc>
          <w:tcPr>
            <w:tcW w:w="1313" w:type="dxa"/>
            <w:vAlign w:val="bottom"/>
          </w:tcPr>
          <w:p w14:paraId="31B4277A"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10.25876</w:t>
            </w:r>
          </w:p>
        </w:tc>
        <w:tc>
          <w:tcPr>
            <w:tcW w:w="1312" w:type="dxa"/>
            <w:vAlign w:val="bottom"/>
          </w:tcPr>
          <w:p w14:paraId="675B4F8E"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0.074305</w:t>
            </w:r>
          </w:p>
        </w:tc>
      </w:tr>
      <w:tr w:rsidR="00832003" w14:paraId="08B2C650" w14:textId="77777777" w:rsidTr="00B82BF5">
        <w:trPr>
          <w:trHeight w:val="225"/>
        </w:trPr>
        <w:tc>
          <w:tcPr>
            <w:tcW w:w="1492" w:type="dxa"/>
            <w:vAlign w:val="bottom"/>
          </w:tcPr>
          <w:p w14:paraId="0BDFA392" w14:textId="77777777" w:rsidR="00832003" w:rsidRDefault="00832003" w:rsidP="00B82BF5">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 Skewness</w:t>
            </w:r>
          </w:p>
        </w:tc>
        <w:tc>
          <w:tcPr>
            <w:tcW w:w="1313" w:type="dxa"/>
            <w:vAlign w:val="bottom"/>
          </w:tcPr>
          <w:p w14:paraId="1D92CBE4"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-0.166151</w:t>
            </w:r>
          </w:p>
        </w:tc>
        <w:tc>
          <w:tcPr>
            <w:tcW w:w="1312" w:type="dxa"/>
            <w:vAlign w:val="bottom"/>
          </w:tcPr>
          <w:p w14:paraId="23A4B7FB"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-0.989533</w:t>
            </w:r>
          </w:p>
        </w:tc>
        <w:tc>
          <w:tcPr>
            <w:tcW w:w="1313" w:type="dxa"/>
            <w:vAlign w:val="bottom"/>
          </w:tcPr>
          <w:p w14:paraId="0132DCF9"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0.215673</w:t>
            </w:r>
          </w:p>
        </w:tc>
        <w:tc>
          <w:tcPr>
            <w:tcW w:w="1312" w:type="dxa"/>
            <w:vAlign w:val="bottom"/>
          </w:tcPr>
          <w:p w14:paraId="1753E632"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0.343012</w:t>
            </w:r>
          </w:p>
        </w:tc>
      </w:tr>
      <w:tr w:rsidR="00832003" w14:paraId="7312C30B" w14:textId="77777777" w:rsidTr="00B82BF5">
        <w:trPr>
          <w:trHeight w:val="225"/>
        </w:trPr>
        <w:tc>
          <w:tcPr>
            <w:tcW w:w="1492" w:type="dxa"/>
            <w:vAlign w:val="bottom"/>
          </w:tcPr>
          <w:p w14:paraId="4D6EA83E" w14:textId="77777777" w:rsidR="00832003" w:rsidRDefault="00832003" w:rsidP="00B82BF5">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 Kurtosis</w:t>
            </w:r>
          </w:p>
        </w:tc>
        <w:tc>
          <w:tcPr>
            <w:tcW w:w="1313" w:type="dxa"/>
            <w:vAlign w:val="bottom"/>
          </w:tcPr>
          <w:p w14:paraId="2939250F"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1.349076</w:t>
            </w:r>
          </w:p>
        </w:tc>
        <w:tc>
          <w:tcPr>
            <w:tcW w:w="1312" w:type="dxa"/>
            <w:vAlign w:val="bottom"/>
          </w:tcPr>
          <w:p w14:paraId="104F7A08"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3.352476</w:t>
            </w:r>
          </w:p>
        </w:tc>
        <w:tc>
          <w:tcPr>
            <w:tcW w:w="1313" w:type="dxa"/>
            <w:vAlign w:val="bottom"/>
          </w:tcPr>
          <w:p w14:paraId="5409469E"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1.528359</w:t>
            </w:r>
          </w:p>
        </w:tc>
        <w:tc>
          <w:tcPr>
            <w:tcW w:w="1312" w:type="dxa"/>
            <w:vAlign w:val="bottom"/>
          </w:tcPr>
          <w:p w14:paraId="02E700B5"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1.663184</w:t>
            </w:r>
          </w:p>
        </w:tc>
      </w:tr>
      <w:tr w:rsidR="00832003" w14:paraId="15F1954C" w14:textId="77777777" w:rsidTr="00B82BF5">
        <w:trPr>
          <w:trHeight w:val="225"/>
        </w:trPr>
        <w:tc>
          <w:tcPr>
            <w:tcW w:w="1492" w:type="dxa"/>
            <w:vAlign w:val="bottom"/>
          </w:tcPr>
          <w:p w14:paraId="31D16C0B"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313" w:type="dxa"/>
            <w:vAlign w:val="bottom"/>
          </w:tcPr>
          <w:p w14:paraId="4A2AB3E4"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312" w:type="dxa"/>
            <w:vAlign w:val="bottom"/>
          </w:tcPr>
          <w:p w14:paraId="6344201F"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313" w:type="dxa"/>
            <w:vAlign w:val="bottom"/>
          </w:tcPr>
          <w:p w14:paraId="47912D7D"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312" w:type="dxa"/>
            <w:vAlign w:val="bottom"/>
          </w:tcPr>
          <w:p w14:paraId="278AE14A"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r>
      <w:tr w:rsidR="00832003" w14:paraId="218FED2A" w14:textId="77777777" w:rsidTr="00B82BF5">
        <w:trPr>
          <w:trHeight w:val="225"/>
        </w:trPr>
        <w:tc>
          <w:tcPr>
            <w:tcW w:w="1492" w:type="dxa"/>
            <w:vAlign w:val="bottom"/>
          </w:tcPr>
          <w:p w14:paraId="6FF94E09" w14:textId="77777777" w:rsidR="00832003" w:rsidRDefault="00832003" w:rsidP="00B82BF5">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 </w:t>
            </w:r>
            <w:proofErr w:type="spellStart"/>
            <w:r>
              <w:rPr>
                <w:rFonts w:ascii="Arial" w:hAnsi="Arial" w:cs="Arial"/>
                <w:color w:val="000000"/>
                <w:kern w:val="0"/>
                <w:sz w:val="18"/>
                <w:szCs w:val="18"/>
              </w:rPr>
              <w:t>Jarque-Bera</w:t>
            </w:r>
            <w:proofErr w:type="spellEnd"/>
          </w:p>
        </w:tc>
        <w:tc>
          <w:tcPr>
            <w:tcW w:w="1313" w:type="dxa"/>
            <w:vAlign w:val="bottom"/>
          </w:tcPr>
          <w:p w14:paraId="4A33AFC5"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4.017633</w:t>
            </w:r>
          </w:p>
        </w:tc>
        <w:tc>
          <w:tcPr>
            <w:tcW w:w="1312" w:type="dxa"/>
            <w:vAlign w:val="bottom"/>
          </w:tcPr>
          <w:p w14:paraId="3BEB0630"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5.724668</w:t>
            </w:r>
          </w:p>
        </w:tc>
        <w:tc>
          <w:tcPr>
            <w:tcW w:w="1313" w:type="dxa"/>
            <w:vAlign w:val="bottom"/>
          </w:tcPr>
          <w:p w14:paraId="42592F50"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3.331699</w:t>
            </w:r>
          </w:p>
        </w:tc>
        <w:tc>
          <w:tcPr>
            <w:tcW w:w="1312" w:type="dxa"/>
            <w:vAlign w:val="bottom"/>
          </w:tcPr>
          <w:p w14:paraId="7278DBAA"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3.198417</w:t>
            </w:r>
          </w:p>
        </w:tc>
      </w:tr>
      <w:tr w:rsidR="00832003" w14:paraId="4AE74EF7" w14:textId="77777777" w:rsidTr="00B82BF5">
        <w:trPr>
          <w:trHeight w:val="225"/>
        </w:trPr>
        <w:tc>
          <w:tcPr>
            <w:tcW w:w="1492" w:type="dxa"/>
            <w:vAlign w:val="bottom"/>
          </w:tcPr>
          <w:p w14:paraId="298A2705" w14:textId="77777777" w:rsidR="00832003" w:rsidRDefault="00832003" w:rsidP="00B82BF5">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 Probability</w:t>
            </w:r>
          </w:p>
        </w:tc>
        <w:tc>
          <w:tcPr>
            <w:tcW w:w="1313" w:type="dxa"/>
            <w:vAlign w:val="bottom"/>
          </w:tcPr>
          <w:p w14:paraId="3407BE96"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0.134147</w:t>
            </w:r>
          </w:p>
        </w:tc>
        <w:tc>
          <w:tcPr>
            <w:tcW w:w="1312" w:type="dxa"/>
            <w:vAlign w:val="bottom"/>
          </w:tcPr>
          <w:p w14:paraId="28275D2E"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0.057135</w:t>
            </w:r>
          </w:p>
        </w:tc>
        <w:tc>
          <w:tcPr>
            <w:tcW w:w="1313" w:type="dxa"/>
            <w:vAlign w:val="bottom"/>
          </w:tcPr>
          <w:p w14:paraId="092E7BA4"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0.189030</w:t>
            </w:r>
          </w:p>
        </w:tc>
        <w:tc>
          <w:tcPr>
            <w:tcW w:w="1312" w:type="dxa"/>
            <w:vAlign w:val="bottom"/>
          </w:tcPr>
          <w:p w14:paraId="5749F275"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0.202056</w:t>
            </w:r>
          </w:p>
        </w:tc>
      </w:tr>
      <w:tr w:rsidR="00832003" w14:paraId="07FF50A3" w14:textId="77777777" w:rsidTr="00B82BF5">
        <w:trPr>
          <w:trHeight w:val="225"/>
        </w:trPr>
        <w:tc>
          <w:tcPr>
            <w:tcW w:w="1492" w:type="dxa"/>
            <w:vAlign w:val="bottom"/>
          </w:tcPr>
          <w:p w14:paraId="26CD391E"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313" w:type="dxa"/>
            <w:vAlign w:val="bottom"/>
          </w:tcPr>
          <w:p w14:paraId="2A14F024"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312" w:type="dxa"/>
            <w:vAlign w:val="bottom"/>
          </w:tcPr>
          <w:p w14:paraId="004D706C"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313" w:type="dxa"/>
            <w:vAlign w:val="bottom"/>
          </w:tcPr>
          <w:p w14:paraId="35DE7C75"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312" w:type="dxa"/>
            <w:vAlign w:val="bottom"/>
          </w:tcPr>
          <w:p w14:paraId="33596834"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r>
      <w:tr w:rsidR="00832003" w14:paraId="2024867B" w14:textId="77777777" w:rsidTr="00B82BF5">
        <w:trPr>
          <w:trHeight w:val="225"/>
        </w:trPr>
        <w:tc>
          <w:tcPr>
            <w:tcW w:w="1492" w:type="dxa"/>
            <w:vAlign w:val="bottom"/>
          </w:tcPr>
          <w:p w14:paraId="68C5241A" w14:textId="77777777" w:rsidR="00832003" w:rsidRDefault="00832003" w:rsidP="00B82BF5">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 Sum</w:t>
            </w:r>
          </w:p>
        </w:tc>
        <w:tc>
          <w:tcPr>
            <w:tcW w:w="1313" w:type="dxa"/>
            <w:vAlign w:val="bottom"/>
          </w:tcPr>
          <w:p w14:paraId="6E06DDB2"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257.0354</w:t>
            </w:r>
          </w:p>
        </w:tc>
        <w:tc>
          <w:tcPr>
            <w:tcW w:w="1312" w:type="dxa"/>
            <w:vAlign w:val="bottom"/>
          </w:tcPr>
          <w:p w14:paraId="1873F738"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147.5830</w:t>
            </w:r>
          </w:p>
        </w:tc>
        <w:tc>
          <w:tcPr>
            <w:tcW w:w="1313" w:type="dxa"/>
            <w:vAlign w:val="bottom"/>
          </w:tcPr>
          <w:p w14:paraId="33DFD512"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1113.870</w:t>
            </w:r>
          </w:p>
        </w:tc>
        <w:tc>
          <w:tcPr>
            <w:tcW w:w="1312" w:type="dxa"/>
            <w:vAlign w:val="bottom"/>
          </w:tcPr>
          <w:p w14:paraId="2CFDD015"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30.39000</w:t>
            </w:r>
          </w:p>
        </w:tc>
      </w:tr>
      <w:tr w:rsidR="00832003" w14:paraId="7B94786D" w14:textId="77777777" w:rsidTr="00B82BF5">
        <w:trPr>
          <w:trHeight w:val="225"/>
        </w:trPr>
        <w:tc>
          <w:tcPr>
            <w:tcW w:w="1492" w:type="dxa"/>
            <w:vAlign w:val="bottom"/>
          </w:tcPr>
          <w:p w14:paraId="3447CFC9" w14:textId="77777777" w:rsidR="00832003" w:rsidRDefault="00832003" w:rsidP="00B82BF5">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lastRenderedPageBreak/>
              <w:t> Sum Sq. Dev.</w:t>
            </w:r>
          </w:p>
        </w:tc>
        <w:tc>
          <w:tcPr>
            <w:tcW w:w="1313" w:type="dxa"/>
            <w:vAlign w:val="bottom"/>
          </w:tcPr>
          <w:p w14:paraId="41FB2737"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1.783980</w:t>
            </w:r>
          </w:p>
        </w:tc>
        <w:tc>
          <w:tcPr>
            <w:tcW w:w="1312" w:type="dxa"/>
            <w:vAlign w:val="bottom"/>
          </w:tcPr>
          <w:p w14:paraId="5B1C309C"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129.5872</w:t>
            </w:r>
          </w:p>
        </w:tc>
        <w:tc>
          <w:tcPr>
            <w:tcW w:w="1313" w:type="dxa"/>
            <w:vAlign w:val="bottom"/>
          </w:tcPr>
          <w:p w14:paraId="6381C363"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3472.992</w:t>
            </w:r>
          </w:p>
        </w:tc>
        <w:tc>
          <w:tcPr>
            <w:tcW w:w="1312" w:type="dxa"/>
            <w:vAlign w:val="bottom"/>
          </w:tcPr>
          <w:p w14:paraId="04318A54"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0.182203</w:t>
            </w:r>
          </w:p>
        </w:tc>
      </w:tr>
      <w:tr w:rsidR="00832003" w14:paraId="0407617A" w14:textId="77777777" w:rsidTr="00B82BF5">
        <w:trPr>
          <w:trHeight w:val="225"/>
        </w:trPr>
        <w:tc>
          <w:tcPr>
            <w:tcW w:w="1492" w:type="dxa"/>
            <w:vAlign w:val="bottom"/>
          </w:tcPr>
          <w:p w14:paraId="09DCEB7B"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313" w:type="dxa"/>
            <w:vAlign w:val="bottom"/>
          </w:tcPr>
          <w:p w14:paraId="7B428726"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312" w:type="dxa"/>
            <w:vAlign w:val="bottom"/>
          </w:tcPr>
          <w:p w14:paraId="4247C938"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313" w:type="dxa"/>
            <w:vAlign w:val="bottom"/>
          </w:tcPr>
          <w:p w14:paraId="56FF5278"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312" w:type="dxa"/>
            <w:vAlign w:val="bottom"/>
          </w:tcPr>
          <w:p w14:paraId="1C0B995E"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r>
      <w:tr w:rsidR="00832003" w14:paraId="7BA1CBBD" w14:textId="77777777" w:rsidTr="00B82BF5">
        <w:trPr>
          <w:trHeight w:val="225"/>
        </w:trPr>
        <w:tc>
          <w:tcPr>
            <w:tcW w:w="1492" w:type="dxa"/>
            <w:vAlign w:val="bottom"/>
          </w:tcPr>
          <w:p w14:paraId="2A332CE2" w14:textId="77777777" w:rsidR="00832003" w:rsidRDefault="00832003" w:rsidP="00B82BF5">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 Observations</w:t>
            </w:r>
          </w:p>
        </w:tc>
        <w:tc>
          <w:tcPr>
            <w:tcW w:w="1313" w:type="dxa"/>
            <w:vAlign w:val="bottom"/>
          </w:tcPr>
          <w:p w14:paraId="084DB059"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34</w:t>
            </w:r>
          </w:p>
        </w:tc>
        <w:tc>
          <w:tcPr>
            <w:tcW w:w="1312" w:type="dxa"/>
            <w:vAlign w:val="bottom"/>
          </w:tcPr>
          <w:p w14:paraId="2772FC6F"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34</w:t>
            </w:r>
          </w:p>
        </w:tc>
        <w:tc>
          <w:tcPr>
            <w:tcW w:w="1313" w:type="dxa"/>
            <w:vAlign w:val="bottom"/>
          </w:tcPr>
          <w:p w14:paraId="014AE759"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34</w:t>
            </w:r>
          </w:p>
        </w:tc>
        <w:tc>
          <w:tcPr>
            <w:tcW w:w="1312" w:type="dxa"/>
            <w:vAlign w:val="bottom"/>
          </w:tcPr>
          <w:p w14:paraId="3199FD93"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 34</w:t>
            </w:r>
          </w:p>
        </w:tc>
      </w:tr>
    </w:tbl>
    <w:p w14:paraId="7251FFA8" w14:textId="4B1C1C9E" w:rsidR="0070185B" w:rsidRPr="008548E6" w:rsidRDefault="00832003" w:rsidP="008548E6">
      <w:pPr>
        <w:spacing w:line="480" w:lineRule="auto"/>
        <w:jc w:val="both"/>
        <w:rPr>
          <w:rFonts w:ascii="Times New Roman" w:hAnsi="Times New Roman" w:cs="Times New Roman"/>
          <w:i/>
          <w:iCs/>
          <w:sz w:val="20"/>
          <w:szCs w:val="20"/>
        </w:rPr>
      </w:pPr>
      <w:r w:rsidRPr="005A3AEB">
        <w:rPr>
          <w:rFonts w:ascii="Times New Roman" w:hAnsi="Times New Roman" w:cs="Times New Roman"/>
          <w:sz w:val="20"/>
          <w:szCs w:val="20"/>
        </w:rPr>
        <w:t>Source:</w:t>
      </w:r>
      <w:r w:rsidRPr="005A3AEB">
        <w:rPr>
          <w:rFonts w:ascii="Times New Roman" w:hAnsi="Times New Roman" w:cs="Times New Roman"/>
          <w:i/>
          <w:iCs/>
          <w:sz w:val="20"/>
          <w:szCs w:val="20"/>
        </w:rPr>
        <w:t xml:space="preserve"> </w:t>
      </w:r>
      <w:r>
        <w:rPr>
          <w:rFonts w:ascii="Times New Roman" w:hAnsi="Times New Roman" w:cs="Times New Roman"/>
          <w:i/>
          <w:iCs/>
          <w:sz w:val="20"/>
          <w:szCs w:val="20"/>
        </w:rPr>
        <w:t>Researcher</w:t>
      </w:r>
      <w:r w:rsidRPr="005A3AEB">
        <w:rPr>
          <w:rFonts w:ascii="Times New Roman" w:hAnsi="Times New Roman" w:cs="Times New Roman"/>
          <w:i/>
          <w:iCs/>
          <w:sz w:val="20"/>
          <w:szCs w:val="20"/>
        </w:rPr>
        <w:t>’s computation using E-views 12</w:t>
      </w:r>
      <w:r>
        <w:rPr>
          <w:rFonts w:ascii="Times New Roman" w:hAnsi="Times New Roman" w:cs="Times New Roman"/>
          <w:i/>
          <w:iCs/>
          <w:sz w:val="20"/>
          <w:szCs w:val="20"/>
        </w:rPr>
        <w:t>.</w:t>
      </w:r>
    </w:p>
    <w:p w14:paraId="46FCC21E" w14:textId="01CEB713" w:rsidR="00832003" w:rsidRDefault="00C34EC7" w:rsidP="00AD107E">
      <w:pPr>
        <w:tabs>
          <w:tab w:val="left" w:pos="2169"/>
        </w:tabs>
        <w:spacing w:line="480" w:lineRule="auto"/>
        <w:jc w:val="both"/>
        <w:rPr>
          <w:rFonts w:ascii="Times New Roman" w:hAnsi="Times New Roman" w:cs="Times New Roman"/>
          <w:b/>
          <w:bCs/>
        </w:rPr>
      </w:pPr>
      <w:r>
        <w:rPr>
          <w:rFonts w:ascii="Times New Roman" w:hAnsi="Times New Roman" w:cs="Times New Roman"/>
          <w:b/>
          <w:bCs/>
        </w:rPr>
        <w:t xml:space="preserve">4.2 </w:t>
      </w:r>
      <w:r w:rsidR="00832003">
        <w:rPr>
          <w:rFonts w:ascii="Times New Roman" w:hAnsi="Times New Roman" w:cs="Times New Roman"/>
          <w:b/>
          <w:bCs/>
        </w:rPr>
        <w:t>Unit Root Test</w:t>
      </w:r>
    </w:p>
    <w:p w14:paraId="69AFC925" w14:textId="64085402" w:rsidR="00832003" w:rsidRDefault="00832003" w:rsidP="00AD107E">
      <w:pPr>
        <w:tabs>
          <w:tab w:val="left" w:pos="2169"/>
        </w:tabs>
        <w:spacing w:line="480" w:lineRule="auto"/>
        <w:jc w:val="both"/>
        <w:rPr>
          <w:rFonts w:ascii="Times New Roman" w:hAnsi="Times New Roman" w:cs="Times New Roman"/>
        </w:rPr>
      </w:pPr>
      <w:r w:rsidRPr="002458D3">
        <w:rPr>
          <w:rFonts w:ascii="Times New Roman" w:hAnsi="Times New Roman" w:cs="Times New Roman"/>
        </w:rPr>
        <w:t xml:space="preserve">To mitigate the risk of spurious regression results, the second stage of our empirical analysis involved testing the stationarity properties of the time series variables. The test specification included an individual intercept, and we employed the Augmented Dickey-Fuller (ADF) </w:t>
      </w:r>
      <w:r w:rsidR="00644962">
        <w:rPr>
          <w:rFonts w:ascii="Times New Roman" w:hAnsi="Times New Roman" w:cs="Times New Roman"/>
        </w:rPr>
        <w:t xml:space="preserve">test </w:t>
      </w:r>
      <w:r w:rsidRPr="002458D3">
        <w:rPr>
          <w:rFonts w:ascii="Times New Roman" w:hAnsi="Times New Roman" w:cs="Times New Roman"/>
        </w:rPr>
        <w:t>method, under the null hypothesis that each series possesses a unit root</w:t>
      </w:r>
      <w:r>
        <w:rPr>
          <w:rFonts w:ascii="Times New Roman" w:hAnsi="Times New Roman" w:cs="Times New Roman"/>
        </w:rPr>
        <w:t xml:space="preserve"> (</w:t>
      </w:r>
      <w:r w:rsidRPr="002458D3">
        <w:rPr>
          <w:rFonts w:ascii="Times New Roman" w:hAnsi="Times New Roman" w:cs="Times New Roman"/>
        </w:rPr>
        <w:t>i.e., is non-stationary</w:t>
      </w:r>
      <w:r>
        <w:rPr>
          <w:rFonts w:ascii="Times New Roman" w:hAnsi="Times New Roman" w:cs="Times New Roman"/>
        </w:rPr>
        <w:t>)</w:t>
      </w:r>
      <w:r w:rsidRPr="00E36E0A">
        <w:rPr>
          <w:rFonts w:ascii="Times New Roman" w:hAnsi="Times New Roman" w:cs="Times New Roman"/>
        </w:rPr>
        <w:t>.</w:t>
      </w:r>
    </w:p>
    <w:p w14:paraId="37CD0C9D" w14:textId="508E7A9C" w:rsidR="0023407D" w:rsidRPr="00E960C3" w:rsidRDefault="0023407D" w:rsidP="0023407D">
      <w:pPr>
        <w:spacing w:line="480" w:lineRule="auto"/>
        <w:ind w:right="90"/>
        <w:jc w:val="both"/>
        <w:rPr>
          <w:rFonts w:ascii="Times New Roman" w:hAnsi="Times New Roman" w:cs="Times New Roman"/>
        </w:rPr>
      </w:pPr>
      <w:r w:rsidRPr="00E960C3">
        <w:rPr>
          <w:rFonts w:ascii="Times New Roman" w:hAnsi="Times New Roman" w:cs="Times New Roman"/>
        </w:rPr>
        <w:t xml:space="preserve">The outcomes of the unit root test, presented in Table 2, reveal that only government </w:t>
      </w:r>
      <w:r w:rsidR="004C0878">
        <w:rPr>
          <w:rFonts w:ascii="Times New Roman" w:hAnsi="Times New Roman" w:cs="Times New Roman"/>
        </w:rPr>
        <w:t xml:space="preserve">recurrent </w:t>
      </w:r>
      <w:r w:rsidRPr="00E960C3">
        <w:rPr>
          <w:rFonts w:ascii="Times New Roman" w:hAnsi="Times New Roman" w:cs="Times New Roman"/>
        </w:rPr>
        <w:t xml:space="preserve">expenditure on education (GEDU) is stationary in its level form. The ADF test statistic for GEDU is -6.137666, which exceeds the 5% critical value in absolute terms, implying that the null hypothesis of a unit root is rejected at conventional significance levels. Thus, GEDU is integrated of order zero, </w:t>
      </w:r>
      <w:proofErr w:type="gramStart"/>
      <w:r w:rsidRPr="00E960C3">
        <w:rPr>
          <w:rFonts w:ascii="Times New Roman" w:hAnsi="Times New Roman" w:cs="Times New Roman"/>
        </w:rPr>
        <w:t>I(</w:t>
      </w:r>
      <w:proofErr w:type="gramEnd"/>
      <w:r w:rsidRPr="00E960C3">
        <w:rPr>
          <w:rFonts w:ascii="Times New Roman" w:hAnsi="Times New Roman" w:cs="Times New Roman"/>
        </w:rPr>
        <w:t>0), and does not require differencing to attain stationarity.</w:t>
      </w:r>
    </w:p>
    <w:p w14:paraId="5069B5D5" w14:textId="77777777" w:rsidR="0023407D" w:rsidRPr="00E960C3" w:rsidRDefault="0023407D" w:rsidP="0023407D">
      <w:pPr>
        <w:spacing w:line="480" w:lineRule="auto"/>
        <w:ind w:right="90"/>
        <w:jc w:val="both"/>
        <w:rPr>
          <w:rFonts w:ascii="Times New Roman" w:hAnsi="Times New Roman" w:cs="Times New Roman"/>
        </w:rPr>
      </w:pPr>
      <w:r w:rsidRPr="00E960C3">
        <w:rPr>
          <w:rFonts w:ascii="Times New Roman" w:hAnsi="Times New Roman" w:cs="Times New Roman"/>
        </w:rPr>
        <w:t>In contrast, the remaining variables</w:t>
      </w:r>
      <w:r>
        <w:rPr>
          <w:rFonts w:ascii="Times New Roman" w:hAnsi="Times New Roman" w:cs="Times New Roman"/>
        </w:rPr>
        <w:t xml:space="preserve">: </w:t>
      </w:r>
      <w:r w:rsidRPr="00E960C3">
        <w:rPr>
          <w:rFonts w:ascii="Times New Roman" w:hAnsi="Times New Roman" w:cs="Times New Roman"/>
        </w:rPr>
        <w:t xml:space="preserve">real GDP </w:t>
      </w:r>
      <w:r w:rsidRPr="00650FD1">
        <w:rPr>
          <w:rFonts w:ascii="Times New Roman" w:hAnsi="Times New Roman" w:cs="Times New Roman"/>
          <w:i/>
          <w:iCs/>
        </w:rPr>
        <w:t>per capita</w:t>
      </w:r>
      <w:r w:rsidRPr="00E960C3">
        <w:rPr>
          <w:rFonts w:ascii="Times New Roman" w:hAnsi="Times New Roman" w:cs="Times New Roman"/>
        </w:rPr>
        <w:t xml:space="preserve"> (GDPPC), female secondary school enrolment (FSE), and the Gender Parity Index (GPI) for primary school enrolment</w:t>
      </w:r>
      <w:r>
        <w:rPr>
          <w:rFonts w:ascii="Times New Roman" w:hAnsi="Times New Roman" w:cs="Times New Roman"/>
        </w:rPr>
        <w:t xml:space="preserve"> </w:t>
      </w:r>
      <w:r w:rsidRPr="00E960C3">
        <w:rPr>
          <w:rFonts w:ascii="Times New Roman" w:hAnsi="Times New Roman" w:cs="Times New Roman"/>
        </w:rPr>
        <w:t xml:space="preserve">were found to be non-stationary at levels but stationary after first differencing. Specifically, their ADF test statistics are -3.055924, -6.840476, and -5.192283, respectively, all exceeding the 5% critical threshold in magnitude at first difference. These findings suggest that GDPPC, FSE, and GPI are integrated of order one, </w:t>
      </w:r>
      <w:proofErr w:type="gramStart"/>
      <w:r w:rsidRPr="00E960C3">
        <w:rPr>
          <w:rFonts w:ascii="Times New Roman" w:hAnsi="Times New Roman" w:cs="Times New Roman"/>
        </w:rPr>
        <w:t>I(</w:t>
      </w:r>
      <w:proofErr w:type="gramEnd"/>
      <w:r w:rsidRPr="00E960C3">
        <w:rPr>
          <w:rFonts w:ascii="Times New Roman" w:hAnsi="Times New Roman" w:cs="Times New Roman"/>
        </w:rPr>
        <w:t>1), and thus contain a unit root in levels but become stationary in their differenced forms.</w:t>
      </w:r>
    </w:p>
    <w:p w14:paraId="474999A8" w14:textId="5F8B7748" w:rsidR="00D666C9" w:rsidRPr="00EE1DEC" w:rsidRDefault="0023407D" w:rsidP="0023407D">
      <w:pPr>
        <w:spacing w:line="480" w:lineRule="auto"/>
        <w:ind w:right="90"/>
        <w:jc w:val="both"/>
        <w:rPr>
          <w:rFonts w:ascii="Times New Roman" w:hAnsi="Times New Roman" w:cs="Times New Roman"/>
        </w:rPr>
      </w:pPr>
      <w:r w:rsidRPr="00E960C3">
        <w:rPr>
          <w:rFonts w:ascii="Times New Roman" w:hAnsi="Times New Roman" w:cs="Times New Roman"/>
        </w:rPr>
        <w:t xml:space="preserve">Given this mixture of </w:t>
      </w:r>
      <w:proofErr w:type="gramStart"/>
      <w:r w:rsidRPr="00E960C3">
        <w:rPr>
          <w:rFonts w:ascii="Times New Roman" w:hAnsi="Times New Roman" w:cs="Times New Roman"/>
        </w:rPr>
        <w:t>I(</w:t>
      </w:r>
      <w:proofErr w:type="gramEnd"/>
      <w:r w:rsidRPr="00E960C3">
        <w:rPr>
          <w:rFonts w:ascii="Times New Roman" w:hAnsi="Times New Roman" w:cs="Times New Roman"/>
        </w:rPr>
        <w:t xml:space="preserve">0) and I(1) variables, it is appropriate to proceed with a </w:t>
      </w:r>
      <w:r w:rsidR="0038726E" w:rsidRPr="00E960C3">
        <w:rPr>
          <w:rFonts w:ascii="Times New Roman" w:hAnsi="Times New Roman" w:cs="Times New Roman"/>
        </w:rPr>
        <w:t>bound</w:t>
      </w:r>
      <w:r w:rsidRPr="00E960C3">
        <w:rPr>
          <w:rFonts w:ascii="Times New Roman" w:hAnsi="Times New Roman" w:cs="Times New Roman"/>
        </w:rPr>
        <w:t xml:space="preserve"> testing approach to examine the existence of a long-run equilibrium relationship among the variables, in line with the methodology outlined by </w:t>
      </w:r>
      <w:proofErr w:type="spellStart"/>
      <w:r w:rsidRPr="00E960C3">
        <w:rPr>
          <w:rFonts w:ascii="Times New Roman" w:hAnsi="Times New Roman" w:cs="Times New Roman"/>
        </w:rPr>
        <w:t>Aninwagu</w:t>
      </w:r>
      <w:proofErr w:type="spellEnd"/>
      <w:r w:rsidRPr="00E960C3">
        <w:rPr>
          <w:rFonts w:ascii="Times New Roman" w:hAnsi="Times New Roman" w:cs="Times New Roman"/>
        </w:rPr>
        <w:t xml:space="preserve"> and Momodu </w:t>
      </w:r>
      <w:r w:rsidR="004D055D">
        <w:rPr>
          <w:rFonts w:ascii="Times New Roman" w:hAnsi="Times New Roman" w:cs="Times New Roman"/>
        </w:rPr>
        <w:t>[33]</w:t>
      </w:r>
      <w:r w:rsidR="00924576">
        <w:rPr>
          <w:rFonts w:ascii="Times New Roman" w:hAnsi="Times New Roman" w:cs="Times New Roman"/>
        </w:rPr>
        <w:t>.</w:t>
      </w:r>
    </w:p>
    <w:p w14:paraId="17C47EE3" w14:textId="77777777" w:rsidR="00832003" w:rsidRPr="0082633E" w:rsidRDefault="00832003" w:rsidP="00832003">
      <w:pPr>
        <w:spacing w:line="360" w:lineRule="auto"/>
        <w:jc w:val="both"/>
        <w:rPr>
          <w:rFonts w:ascii="Times New Roman" w:hAnsi="Times New Roman" w:cs="Times New Roman"/>
          <w:b/>
          <w:bCs/>
        </w:rPr>
      </w:pPr>
      <w:r w:rsidRPr="00A614CB">
        <w:rPr>
          <w:rFonts w:ascii="Times New Roman" w:hAnsi="Times New Roman" w:cs="Times New Roman"/>
          <w:b/>
          <w:bCs/>
        </w:rPr>
        <w:t xml:space="preserve">Table </w:t>
      </w:r>
      <w:r>
        <w:rPr>
          <w:rFonts w:ascii="Times New Roman" w:hAnsi="Times New Roman" w:cs="Times New Roman"/>
          <w:b/>
          <w:bCs/>
        </w:rPr>
        <w:t>2</w:t>
      </w:r>
      <w:r w:rsidRPr="00A614CB">
        <w:rPr>
          <w:rFonts w:ascii="Times New Roman" w:hAnsi="Times New Roman" w:cs="Times New Roman"/>
          <w:b/>
          <w:bCs/>
        </w:rPr>
        <w:t>: ADF Unit Root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1985"/>
        <w:gridCol w:w="2136"/>
        <w:gridCol w:w="2412"/>
      </w:tblGrid>
      <w:tr w:rsidR="00832003" w14:paraId="5A3965F4" w14:textId="77777777" w:rsidTr="00B82BF5">
        <w:trPr>
          <w:trHeight w:val="553"/>
          <w:jc w:val="center"/>
        </w:trPr>
        <w:tc>
          <w:tcPr>
            <w:tcW w:w="2405" w:type="dxa"/>
            <w:tcBorders>
              <w:bottom w:val="nil"/>
            </w:tcBorders>
          </w:tcPr>
          <w:p w14:paraId="68449A43" w14:textId="77777777" w:rsidR="00832003" w:rsidRPr="00A45B40" w:rsidRDefault="00832003" w:rsidP="00B82BF5">
            <w:pPr>
              <w:spacing w:line="240" w:lineRule="auto"/>
              <w:ind w:right="90"/>
              <w:jc w:val="both"/>
              <w:rPr>
                <w:rFonts w:ascii="Times New Roman" w:hAnsi="Times New Roman" w:cs="Times New Roman"/>
                <w:b/>
                <w:bCs/>
              </w:rPr>
            </w:pPr>
            <w:r w:rsidRPr="00A45B40">
              <w:rPr>
                <w:rFonts w:ascii="Times New Roman" w:hAnsi="Times New Roman" w:cs="Times New Roman"/>
                <w:b/>
                <w:bCs/>
              </w:rPr>
              <w:lastRenderedPageBreak/>
              <w:t>Variables</w:t>
            </w:r>
          </w:p>
        </w:tc>
        <w:tc>
          <w:tcPr>
            <w:tcW w:w="4121" w:type="dxa"/>
            <w:gridSpan w:val="2"/>
          </w:tcPr>
          <w:p w14:paraId="2ADEE757" w14:textId="77777777" w:rsidR="00832003" w:rsidRPr="00CD18F3" w:rsidRDefault="00832003" w:rsidP="00B82BF5">
            <w:pPr>
              <w:spacing w:line="240" w:lineRule="auto"/>
              <w:ind w:right="90"/>
              <w:jc w:val="center"/>
              <w:rPr>
                <w:rFonts w:ascii="Times New Roman" w:hAnsi="Times New Roman" w:cs="Times New Roman"/>
                <w:b/>
                <w:bCs/>
              </w:rPr>
            </w:pPr>
            <w:r w:rsidRPr="00CD18F3">
              <w:rPr>
                <w:rFonts w:ascii="Times New Roman" w:hAnsi="Times New Roman" w:cs="Times New Roman"/>
                <w:b/>
                <w:bCs/>
              </w:rPr>
              <w:t>ADF (SIC)</w:t>
            </w:r>
          </w:p>
        </w:tc>
        <w:tc>
          <w:tcPr>
            <w:tcW w:w="2412" w:type="dxa"/>
          </w:tcPr>
          <w:p w14:paraId="445DB6C4" w14:textId="77777777" w:rsidR="00832003" w:rsidRPr="00CD18F3" w:rsidRDefault="00832003" w:rsidP="00B82BF5">
            <w:pPr>
              <w:spacing w:line="240" w:lineRule="auto"/>
              <w:ind w:right="90"/>
              <w:jc w:val="both"/>
              <w:rPr>
                <w:rFonts w:ascii="Times New Roman" w:hAnsi="Times New Roman" w:cs="Times New Roman"/>
                <w:b/>
                <w:bCs/>
              </w:rPr>
            </w:pPr>
            <w:r w:rsidRPr="00CD18F3">
              <w:rPr>
                <w:rFonts w:ascii="Times New Roman" w:hAnsi="Times New Roman" w:cs="Times New Roman"/>
                <w:b/>
                <w:bCs/>
              </w:rPr>
              <w:t xml:space="preserve">Order of Integration </w:t>
            </w:r>
          </w:p>
        </w:tc>
      </w:tr>
      <w:tr w:rsidR="00832003" w14:paraId="3C55A092" w14:textId="77777777" w:rsidTr="00B82BF5">
        <w:trPr>
          <w:trHeight w:val="262"/>
          <w:jc w:val="center"/>
        </w:trPr>
        <w:tc>
          <w:tcPr>
            <w:tcW w:w="2405" w:type="dxa"/>
            <w:tcBorders>
              <w:top w:val="nil"/>
            </w:tcBorders>
          </w:tcPr>
          <w:p w14:paraId="670918EE" w14:textId="77777777" w:rsidR="00832003" w:rsidRPr="00A45B40" w:rsidRDefault="00832003" w:rsidP="00B82BF5">
            <w:pPr>
              <w:spacing w:line="240" w:lineRule="auto"/>
              <w:ind w:right="90"/>
              <w:jc w:val="both"/>
              <w:rPr>
                <w:rFonts w:ascii="Times New Roman" w:hAnsi="Times New Roman" w:cs="Times New Roman"/>
                <w:b/>
                <w:bCs/>
              </w:rPr>
            </w:pPr>
          </w:p>
        </w:tc>
        <w:tc>
          <w:tcPr>
            <w:tcW w:w="1985" w:type="dxa"/>
          </w:tcPr>
          <w:p w14:paraId="630E53C0" w14:textId="77777777" w:rsidR="00832003" w:rsidRDefault="00832003" w:rsidP="00B82BF5">
            <w:pPr>
              <w:spacing w:line="240" w:lineRule="auto"/>
              <w:ind w:right="90"/>
              <w:jc w:val="both"/>
              <w:rPr>
                <w:rFonts w:ascii="Times New Roman" w:hAnsi="Times New Roman" w:cs="Times New Roman"/>
              </w:rPr>
            </w:pPr>
            <w:r>
              <w:rPr>
                <w:rFonts w:ascii="Times New Roman" w:hAnsi="Times New Roman" w:cs="Times New Roman"/>
              </w:rPr>
              <w:t>Level</w:t>
            </w:r>
          </w:p>
        </w:tc>
        <w:tc>
          <w:tcPr>
            <w:tcW w:w="2136" w:type="dxa"/>
          </w:tcPr>
          <w:p w14:paraId="37AFDF2B" w14:textId="77777777" w:rsidR="00832003" w:rsidRDefault="00832003" w:rsidP="00B82BF5">
            <w:pPr>
              <w:spacing w:line="240" w:lineRule="auto"/>
              <w:ind w:right="90"/>
              <w:jc w:val="both"/>
              <w:rPr>
                <w:rFonts w:ascii="Times New Roman" w:hAnsi="Times New Roman" w:cs="Times New Roman"/>
              </w:rPr>
            </w:pPr>
            <w:r>
              <w:rPr>
                <w:rFonts w:ascii="Times New Roman" w:hAnsi="Times New Roman" w:cs="Times New Roman"/>
              </w:rPr>
              <w:t>First Difference</w:t>
            </w:r>
          </w:p>
        </w:tc>
        <w:tc>
          <w:tcPr>
            <w:tcW w:w="2412" w:type="dxa"/>
          </w:tcPr>
          <w:p w14:paraId="7111361B" w14:textId="77777777" w:rsidR="00832003" w:rsidRDefault="00832003" w:rsidP="00B82BF5">
            <w:pPr>
              <w:spacing w:line="240" w:lineRule="auto"/>
              <w:ind w:right="90"/>
              <w:jc w:val="both"/>
              <w:rPr>
                <w:rFonts w:ascii="Times New Roman" w:hAnsi="Times New Roman" w:cs="Times New Roman"/>
              </w:rPr>
            </w:pPr>
          </w:p>
        </w:tc>
      </w:tr>
      <w:tr w:rsidR="00832003" w14:paraId="56DA76F0" w14:textId="77777777" w:rsidTr="00B82BF5">
        <w:trPr>
          <w:trHeight w:val="411"/>
          <w:jc w:val="center"/>
        </w:trPr>
        <w:tc>
          <w:tcPr>
            <w:tcW w:w="2405" w:type="dxa"/>
          </w:tcPr>
          <w:p w14:paraId="3BFDD722" w14:textId="77777777" w:rsidR="00832003" w:rsidRPr="00A45B40" w:rsidRDefault="00832003" w:rsidP="00B82BF5">
            <w:pPr>
              <w:spacing w:line="240" w:lineRule="auto"/>
              <w:ind w:right="90"/>
              <w:jc w:val="both"/>
              <w:rPr>
                <w:rFonts w:ascii="Times New Roman" w:hAnsi="Times New Roman" w:cs="Times New Roman"/>
                <w:b/>
                <w:bCs/>
              </w:rPr>
            </w:pPr>
            <w:r w:rsidRPr="00C82217">
              <w:rPr>
                <w:rFonts w:ascii="Arial" w:hAnsi="Arial" w:cs="Arial"/>
                <w:sz w:val="20"/>
                <w:szCs w:val="20"/>
              </w:rPr>
              <w:t>GDPPC</w:t>
            </w:r>
          </w:p>
        </w:tc>
        <w:tc>
          <w:tcPr>
            <w:tcW w:w="1985" w:type="dxa"/>
            <w:vAlign w:val="bottom"/>
          </w:tcPr>
          <w:p w14:paraId="143301E1" w14:textId="77777777" w:rsidR="00832003" w:rsidRDefault="00832003" w:rsidP="00B82BF5">
            <w:pPr>
              <w:spacing w:line="240" w:lineRule="auto"/>
              <w:ind w:right="90"/>
              <w:jc w:val="both"/>
              <w:rPr>
                <w:rFonts w:ascii="Times New Roman" w:hAnsi="Times New Roman" w:cs="Times New Roman"/>
              </w:rPr>
            </w:pPr>
            <w:r w:rsidRPr="00C82217">
              <w:rPr>
                <w:rFonts w:ascii="Arial" w:hAnsi="Arial" w:cs="Arial"/>
                <w:sz w:val="20"/>
                <w:szCs w:val="20"/>
              </w:rPr>
              <w:t>-0.890977</w:t>
            </w:r>
          </w:p>
        </w:tc>
        <w:tc>
          <w:tcPr>
            <w:tcW w:w="2136" w:type="dxa"/>
          </w:tcPr>
          <w:p w14:paraId="03DBD601" w14:textId="77777777" w:rsidR="00832003" w:rsidRDefault="00832003" w:rsidP="00B82BF5">
            <w:pPr>
              <w:spacing w:line="240" w:lineRule="auto"/>
              <w:ind w:right="90"/>
              <w:jc w:val="both"/>
              <w:rPr>
                <w:rFonts w:ascii="Times New Roman" w:hAnsi="Times New Roman" w:cs="Times New Roman"/>
              </w:rPr>
            </w:pPr>
            <w:r w:rsidRPr="00C82217">
              <w:rPr>
                <w:rFonts w:ascii="Arial" w:hAnsi="Arial" w:cs="Arial"/>
                <w:sz w:val="20"/>
                <w:szCs w:val="20"/>
              </w:rPr>
              <w:t>-3.055924</w:t>
            </w:r>
          </w:p>
        </w:tc>
        <w:tc>
          <w:tcPr>
            <w:tcW w:w="2412" w:type="dxa"/>
          </w:tcPr>
          <w:p w14:paraId="23AD9FDC" w14:textId="77777777" w:rsidR="00832003" w:rsidRDefault="00832003" w:rsidP="00B82BF5">
            <w:pPr>
              <w:spacing w:line="240" w:lineRule="auto"/>
              <w:ind w:right="90"/>
              <w:jc w:val="both"/>
              <w:rPr>
                <w:rFonts w:ascii="Times New Roman" w:hAnsi="Times New Roman" w:cs="Times New Roman"/>
              </w:rPr>
            </w:pPr>
            <w:r w:rsidRPr="00C82217">
              <w:rPr>
                <w:rFonts w:ascii="Arial" w:hAnsi="Arial" w:cs="Arial"/>
                <w:sz w:val="20"/>
                <w:szCs w:val="20"/>
              </w:rPr>
              <w:t>1(1)</w:t>
            </w:r>
          </w:p>
        </w:tc>
      </w:tr>
      <w:tr w:rsidR="00832003" w14:paraId="5B84DCD8" w14:textId="77777777" w:rsidTr="00B82BF5">
        <w:trPr>
          <w:trHeight w:val="403"/>
          <w:jc w:val="center"/>
        </w:trPr>
        <w:tc>
          <w:tcPr>
            <w:tcW w:w="2405" w:type="dxa"/>
          </w:tcPr>
          <w:p w14:paraId="1611C1FC" w14:textId="77777777" w:rsidR="00832003" w:rsidRPr="00A45B40" w:rsidRDefault="00832003" w:rsidP="00B82BF5">
            <w:pPr>
              <w:spacing w:line="240" w:lineRule="auto"/>
              <w:ind w:right="90"/>
              <w:jc w:val="both"/>
              <w:rPr>
                <w:rFonts w:ascii="Times New Roman" w:hAnsi="Times New Roman" w:cs="Times New Roman"/>
                <w:b/>
                <w:bCs/>
              </w:rPr>
            </w:pPr>
            <w:r w:rsidRPr="00C82217">
              <w:rPr>
                <w:rFonts w:ascii="Arial" w:hAnsi="Arial" w:cs="Arial"/>
                <w:sz w:val="20"/>
                <w:szCs w:val="20"/>
              </w:rPr>
              <w:t>FSE</w:t>
            </w:r>
          </w:p>
        </w:tc>
        <w:tc>
          <w:tcPr>
            <w:tcW w:w="1985" w:type="dxa"/>
          </w:tcPr>
          <w:p w14:paraId="424BB07F" w14:textId="77777777" w:rsidR="00832003" w:rsidRDefault="00832003" w:rsidP="00B82BF5">
            <w:pPr>
              <w:spacing w:line="240" w:lineRule="auto"/>
              <w:ind w:right="90"/>
              <w:jc w:val="both"/>
              <w:rPr>
                <w:rFonts w:ascii="Times New Roman" w:hAnsi="Times New Roman" w:cs="Times New Roman"/>
              </w:rPr>
            </w:pPr>
            <w:r w:rsidRPr="00C82217">
              <w:rPr>
                <w:rFonts w:ascii="Arial" w:hAnsi="Arial" w:cs="Arial"/>
                <w:sz w:val="20"/>
                <w:szCs w:val="20"/>
              </w:rPr>
              <w:t>-0.662196</w:t>
            </w:r>
          </w:p>
        </w:tc>
        <w:tc>
          <w:tcPr>
            <w:tcW w:w="2136" w:type="dxa"/>
          </w:tcPr>
          <w:p w14:paraId="6CBECAB5" w14:textId="77777777" w:rsidR="00832003" w:rsidRDefault="00832003" w:rsidP="00B82BF5">
            <w:pPr>
              <w:spacing w:line="240" w:lineRule="auto"/>
              <w:ind w:right="90"/>
              <w:jc w:val="both"/>
              <w:rPr>
                <w:rFonts w:ascii="Times New Roman" w:hAnsi="Times New Roman" w:cs="Times New Roman"/>
              </w:rPr>
            </w:pPr>
            <w:r w:rsidRPr="00C82217">
              <w:rPr>
                <w:rFonts w:ascii="Arial" w:hAnsi="Arial" w:cs="Arial"/>
                <w:sz w:val="20"/>
                <w:szCs w:val="20"/>
              </w:rPr>
              <w:t>-6.840476</w:t>
            </w:r>
          </w:p>
        </w:tc>
        <w:tc>
          <w:tcPr>
            <w:tcW w:w="2412" w:type="dxa"/>
          </w:tcPr>
          <w:p w14:paraId="6E736209" w14:textId="77777777" w:rsidR="00832003" w:rsidRDefault="00832003" w:rsidP="00B82BF5">
            <w:pPr>
              <w:spacing w:line="240" w:lineRule="auto"/>
              <w:ind w:right="90"/>
              <w:jc w:val="both"/>
              <w:rPr>
                <w:rFonts w:ascii="Times New Roman" w:hAnsi="Times New Roman" w:cs="Times New Roman"/>
              </w:rPr>
            </w:pPr>
            <w:r w:rsidRPr="00C82217">
              <w:rPr>
                <w:rFonts w:ascii="Arial" w:hAnsi="Arial" w:cs="Arial"/>
                <w:sz w:val="20"/>
                <w:szCs w:val="20"/>
              </w:rPr>
              <w:t>1(1)</w:t>
            </w:r>
          </w:p>
        </w:tc>
      </w:tr>
      <w:tr w:rsidR="00832003" w14:paraId="0D7A21A7" w14:textId="77777777" w:rsidTr="00B82BF5">
        <w:trPr>
          <w:trHeight w:val="280"/>
          <w:jc w:val="center"/>
        </w:trPr>
        <w:tc>
          <w:tcPr>
            <w:tcW w:w="2405" w:type="dxa"/>
          </w:tcPr>
          <w:p w14:paraId="131921C3" w14:textId="77777777" w:rsidR="00832003" w:rsidRPr="00A45B40" w:rsidRDefault="00832003" w:rsidP="00B82BF5">
            <w:pPr>
              <w:spacing w:line="240" w:lineRule="auto"/>
              <w:ind w:right="90"/>
              <w:jc w:val="both"/>
              <w:rPr>
                <w:rFonts w:ascii="Times New Roman" w:hAnsi="Times New Roman" w:cs="Times New Roman"/>
                <w:b/>
                <w:bCs/>
              </w:rPr>
            </w:pPr>
            <w:r w:rsidRPr="00C82217">
              <w:rPr>
                <w:rFonts w:ascii="Arial" w:hAnsi="Arial" w:cs="Arial"/>
                <w:sz w:val="20"/>
                <w:szCs w:val="20"/>
              </w:rPr>
              <w:t>GEDU</w:t>
            </w:r>
          </w:p>
        </w:tc>
        <w:tc>
          <w:tcPr>
            <w:tcW w:w="1985" w:type="dxa"/>
          </w:tcPr>
          <w:p w14:paraId="463100C5" w14:textId="77777777" w:rsidR="00832003" w:rsidRDefault="00832003" w:rsidP="00B82BF5">
            <w:pPr>
              <w:spacing w:line="240" w:lineRule="auto"/>
              <w:ind w:right="90"/>
              <w:jc w:val="both"/>
              <w:rPr>
                <w:rFonts w:ascii="Times New Roman" w:hAnsi="Times New Roman" w:cs="Times New Roman"/>
              </w:rPr>
            </w:pPr>
            <w:r w:rsidRPr="00C82217">
              <w:rPr>
                <w:rFonts w:ascii="Arial" w:hAnsi="Arial" w:cs="Arial"/>
                <w:sz w:val="20"/>
                <w:szCs w:val="20"/>
              </w:rPr>
              <w:t>-6.137666</w:t>
            </w:r>
          </w:p>
        </w:tc>
        <w:tc>
          <w:tcPr>
            <w:tcW w:w="2136" w:type="dxa"/>
          </w:tcPr>
          <w:p w14:paraId="60F7519E" w14:textId="77777777" w:rsidR="00832003" w:rsidRDefault="00832003" w:rsidP="00B82BF5">
            <w:pPr>
              <w:spacing w:line="240" w:lineRule="auto"/>
              <w:ind w:right="90"/>
              <w:jc w:val="both"/>
              <w:rPr>
                <w:rFonts w:ascii="Times New Roman" w:hAnsi="Times New Roman" w:cs="Times New Roman"/>
              </w:rPr>
            </w:pPr>
            <w:r w:rsidRPr="00C82217">
              <w:rPr>
                <w:rFonts w:ascii="Arial" w:hAnsi="Arial" w:cs="Arial"/>
                <w:sz w:val="20"/>
                <w:szCs w:val="20"/>
              </w:rPr>
              <w:t>NA</w:t>
            </w:r>
          </w:p>
        </w:tc>
        <w:tc>
          <w:tcPr>
            <w:tcW w:w="2412" w:type="dxa"/>
          </w:tcPr>
          <w:p w14:paraId="0B030241" w14:textId="77777777" w:rsidR="00832003" w:rsidRDefault="00832003" w:rsidP="00B82BF5">
            <w:pPr>
              <w:spacing w:line="240" w:lineRule="auto"/>
              <w:ind w:right="90"/>
              <w:jc w:val="both"/>
              <w:rPr>
                <w:rFonts w:ascii="Times New Roman" w:hAnsi="Times New Roman" w:cs="Times New Roman"/>
              </w:rPr>
            </w:pPr>
            <w:r w:rsidRPr="00C82217">
              <w:rPr>
                <w:rFonts w:ascii="Arial" w:hAnsi="Arial" w:cs="Arial"/>
                <w:sz w:val="20"/>
                <w:szCs w:val="20"/>
              </w:rPr>
              <w:t>1(0)</w:t>
            </w:r>
          </w:p>
        </w:tc>
      </w:tr>
      <w:tr w:rsidR="00832003" w14:paraId="0D6D8ED5" w14:textId="77777777" w:rsidTr="00B82BF5">
        <w:trPr>
          <w:trHeight w:val="315"/>
          <w:jc w:val="center"/>
        </w:trPr>
        <w:tc>
          <w:tcPr>
            <w:tcW w:w="2405" w:type="dxa"/>
          </w:tcPr>
          <w:p w14:paraId="2169B353" w14:textId="77777777" w:rsidR="00832003" w:rsidRPr="00A45B40" w:rsidRDefault="00832003" w:rsidP="00B82BF5">
            <w:pPr>
              <w:spacing w:line="240" w:lineRule="auto"/>
              <w:ind w:right="90"/>
              <w:jc w:val="both"/>
              <w:rPr>
                <w:rFonts w:ascii="Times New Roman" w:hAnsi="Times New Roman" w:cs="Times New Roman"/>
                <w:b/>
                <w:bCs/>
              </w:rPr>
            </w:pPr>
            <w:r w:rsidRPr="00C82217">
              <w:rPr>
                <w:rFonts w:ascii="Arial" w:hAnsi="Arial" w:cs="Arial"/>
                <w:sz w:val="20"/>
                <w:szCs w:val="20"/>
              </w:rPr>
              <w:t>GPI</w:t>
            </w:r>
          </w:p>
        </w:tc>
        <w:tc>
          <w:tcPr>
            <w:tcW w:w="1985" w:type="dxa"/>
          </w:tcPr>
          <w:p w14:paraId="6F113EB5" w14:textId="77777777" w:rsidR="00832003" w:rsidRDefault="00832003" w:rsidP="00B82BF5">
            <w:pPr>
              <w:spacing w:line="240" w:lineRule="auto"/>
              <w:ind w:right="90"/>
              <w:jc w:val="both"/>
              <w:rPr>
                <w:rFonts w:ascii="Times New Roman" w:hAnsi="Times New Roman" w:cs="Times New Roman"/>
              </w:rPr>
            </w:pPr>
            <w:r w:rsidRPr="00C82217">
              <w:rPr>
                <w:rFonts w:ascii="Arial" w:hAnsi="Arial" w:cs="Arial"/>
                <w:sz w:val="20"/>
                <w:szCs w:val="20"/>
              </w:rPr>
              <w:t>-0.585743</w:t>
            </w:r>
          </w:p>
        </w:tc>
        <w:tc>
          <w:tcPr>
            <w:tcW w:w="2136" w:type="dxa"/>
          </w:tcPr>
          <w:p w14:paraId="039F9181" w14:textId="77777777" w:rsidR="00832003" w:rsidRDefault="00832003" w:rsidP="00B82BF5">
            <w:pPr>
              <w:spacing w:line="240" w:lineRule="auto"/>
              <w:ind w:right="90"/>
              <w:jc w:val="both"/>
              <w:rPr>
                <w:rFonts w:ascii="Times New Roman" w:hAnsi="Times New Roman" w:cs="Times New Roman"/>
              </w:rPr>
            </w:pPr>
            <w:r w:rsidRPr="00C82217">
              <w:rPr>
                <w:rFonts w:ascii="Arial" w:hAnsi="Arial" w:cs="Arial"/>
                <w:sz w:val="20"/>
                <w:szCs w:val="20"/>
              </w:rPr>
              <w:t>-5.192283</w:t>
            </w:r>
          </w:p>
        </w:tc>
        <w:tc>
          <w:tcPr>
            <w:tcW w:w="2412" w:type="dxa"/>
          </w:tcPr>
          <w:p w14:paraId="1B9DBD22" w14:textId="77777777" w:rsidR="00832003" w:rsidRDefault="00832003" w:rsidP="00B82BF5">
            <w:pPr>
              <w:spacing w:line="240" w:lineRule="auto"/>
              <w:ind w:right="90"/>
              <w:jc w:val="both"/>
              <w:rPr>
                <w:rFonts w:ascii="Times New Roman" w:hAnsi="Times New Roman" w:cs="Times New Roman"/>
              </w:rPr>
            </w:pPr>
            <w:r w:rsidRPr="00C82217">
              <w:rPr>
                <w:rFonts w:ascii="Arial" w:hAnsi="Arial" w:cs="Arial"/>
                <w:sz w:val="20"/>
                <w:szCs w:val="20"/>
              </w:rPr>
              <w:t>1(1)</w:t>
            </w:r>
          </w:p>
        </w:tc>
      </w:tr>
    </w:tbl>
    <w:p w14:paraId="3F0D2DD0" w14:textId="77777777" w:rsidR="00832003" w:rsidRPr="00864BEA" w:rsidRDefault="00832003" w:rsidP="00832003">
      <w:pPr>
        <w:spacing w:after="0" w:line="240" w:lineRule="auto"/>
        <w:ind w:right="90"/>
        <w:jc w:val="both"/>
        <w:rPr>
          <w:rFonts w:ascii="Times New Roman" w:hAnsi="Times New Roman"/>
          <w:i/>
          <w:sz w:val="20"/>
        </w:rPr>
      </w:pPr>
      <w:r w:rsidRPr="00864BEA">
        <w:rPr>
          <w:rFonts w:ascii="Times New Roman" w:hAnsi="Times New Roman"/>
          <w:i/>
          <w:sz w:val="20"/>
        </w:rPr>
        <w:t xml:space="preserve">Source: Researcher’s computation </w:t>
      </w:r>
      <w:r>
        <w:rPr>
          <w:rFonts w:ascii="Times New Roman" w:hAnsi="Times New Roman"/>
          <w:i/>
          <w:sz w:val="20"/>
        </w:rPr>
        <w:t>using</w:t>
      </w:r>
      <w:r w:rsidRPr="00864BEA">
        <w:rPr>
          <w:rFonts w:ascii="Times New Roman" w:hAnsi="Times New Roman"/>
          <w:i/>
          <w:sz w:val="20"/>
        </w:rPr>
        <w:t xml:space="preserve"> </w:t>
      </w:r>
      <w:proofErr w:type="spellStart"/>
      <w:r w:rsidRPr="00864BEA">
        <w:rPr>
          <w:rFonts w:ascii="Times New Roman" w:hAnsi="Times New Roman"/>
          <w:i/>
          <w:sz w:val="20"/>
        </w:rPr>
        <w:t>Eviews</w:t>
      </w:r>
      <w:proofErr w:type="spellEnd"/>
      <w:r w:rsidRPr="00864BEA">
        <w:rPr>
          <w:rFonts w:ascii="Times New Roman" w:hAnsi="Times New Roman"/>
          <w:i/>
          <w:sz w:val="20"/>
        </w:rPr>
        <w:t xml:space="preserve"> </w:t>
      </w:r>
      <w:r>
        <w:rPr>
          <w:rFonts w:ascii="Times New Roman" w:hAnsi="Times New Roman"/>
          <w:i/>
          <w:sz w:val="20"/>
        </w:rPr>
        <w:t>12</w:t>
      </w:r>
    </w:p>
    <w:p w14:paraId="4FC2DA1A" w14:textId="30DDF7B2" w:rsidR="00832003" w:rsidRPr="001524D8" w:rsidRDefault="00832003" w:rsidP="001524D8">
      <w:pPr>
        <w:spacing w:after="0" w:line="480" w:lineRule="auto"/>
        <w:ind w:right="90"/>
        <w:jc w:val="both"/>
        <w:rPr>
          <w:rFonts w:ascii="Times New Roman" w:hAnsi="Times New Roman" w:cs="Times New Roman"/>
          <w:sz w:val="20"/>
          <w:szCs w:val="20"/>
        </w:rPr>
      </w:pPr>
      <w:r w:rsidRPr="00D51382">
        <w:rPr>
          <w:rFonts w:ascii="Times New Roman" w:hAnsi="Times New Roman" w:cs="Times New Roman"/>
          <w:sz w:val="20"/>
          <w:szCs w:val="20"/>
        </w:rPr>
        <w:t xml:space="preserve">Note: </w:t>
      </w:r>
      <w:r>
        <w:rPr>
          <w:rFonts w:ascii="Times New Roman" w:hAnsi="Times New Roman" w:cs="Times New Roman"/>
          <w:sz w:val="20"/>
          <w:szCs w:val="20"/>
        </w:rPr>
        <w:t>The study used a</w:t>
      </w:r>
      <w:r w:rsidRPr="00D51382">
        <w:rPr>
          <w:rFonts w:ascii="Times New Roman" w:hAnsi="Times New Roman" w:cs="Times New Roman"/>
          <w:sz w:val="20"/>
          <w:szCs w:val="20"/>
        </w:rPr>
        <w:t xml:space="preserve"> 5% level of significance, NA sign indicates that the variable is stationary at level.</w:t>
      </w:r>
    </w:p>
    <w:p w14:paraId="5A83EED1" w14:textId="1BCBB715" w:rsidR="00832003" w:rsidRPr="00A614CB" w:rsidRDefault="00CD3862" w:rsidP="00832003">
      <w:pPr>
        <w:spacing w:after="0" w:line="480" w:lineRule="auto"/>
        <w:ind w:right="90"/>
        <w:jc w:val="both"/>
        <w:rPr>
          <w:rFonts w:ascii="Times New Roman" w:hAnsi="Times New Roman" w:cs="Times New Roman"/>
          <w:b/>
        </w:rPr>
      </w:pPr>
      <w:r>
        <w:rPr>
          <w:rFonts w:ascii="Times New Roman" w:hAnsi="Times New Roman" w:cs="Times New Roman"/>
          <w:b/>
          <w:bCs/>
        </w:rPr>
        <w:t xml:space="preserve">4.3 </w:t>
      </w:r>
      <w:r w:rsidR="00832003" w:rsidRPr="00A614CB">
        <w:rPr>
          <w:rFonts w:ascii="Times New Roman" w:hAnsi="Times New Roman" w:cs="Times New Roman"/>
          <w:b/>
        </w:rPr>
        <w:t>Cointegration Test Resul</w:t>
      </w:r>
      <w:r w:rsidR="004B2C19">
        <w:rPr>
          <w:rFonts w:ascii="Times New Roman" w:hAnsi="Times New Roman" w:cs="Times New Roman"/>
          <w:b/>
        </w:rPr>
        <w:t>t</w:t>
      </w:r>
    </w:p>
    <w:p w14:paraId="126DAD15" w14:textId="21C451C1" w:rsidR="00832003" w:rsidRDefault="001524D8" w:rsidP="00E63796">
      <w:pPr>
        <w:spacing w:line="480" w:lineRule="auto"/>
        <w:ind w:right="90"/>
        <w:jc w:val="both"/>
        <w:rPr>
          <w:rFonts w:ascii="Times New Roman" w:hAnsi="Times New Roman" w:cs="Times New Roman"/>
        </w:rPr>
      </w:pPr>
      <w:r>
        <w:rPr>
          <w:rFonts w:ascii="Times New Roman" w:hAnsi="Times New Roman" w:cs="Times New Roman"/>
        </w:rPr>
        <w:t>T</w:t>
      </w:r>
      <w:r w:rsidR="00832003" w:rsidRPr="00562241">
        <w:rPr>
          <w:rFonts w:ascii="Times New Roman" w:hAnsi="Times New Roman" w:cs="Times New Roman"/>
        </w:rPr>
        <w:t>he Autoregressive Distributed Lag (ARDL) bounds testing approach was employed to investigate the existence of a long-run equilibrium relationship between the dependent and independent variables.</w:t>
      </w:r>
    </w:p>
    <w:p w14:paraId="7C5452E5" w14:textId="72B78433" w:rsidR="00F574F6" w:rsidRPr="00562241" w:rsidRDefault="0012063C" w:rsidP="00E63796">
      <w:pPr>
        <w:spacing w:line="480" w:lineRule="auto"/>
        <w:ind w:right="90"/>
        <w:jc w:val="both"/>
        <w:rPr>
          <w:rFonts w:ascii="Times New Roman" w:hAnsi="Times New Roman" w:cs="Times New Roman"/>
        </w:rPr>
      </w:pPr>
      <w:r w:rsidRPr="007D056C">
        <w:rPr>
          <w:rFonts w:ascii="Times New Roman" w:hAnsi="Times New Roman" w:cs="Times New Roman"/>
        </w:rPr>
        <w:t>As reported in Table 3, the calculated F-statistic from the bounds test is 12.58254. This value exceeds the upper critical bound (</w:t>
      </w:r>
      <w:proofErr w:type="gramStart"/>
      <w:r w:rsidRPr="007D056C">
        <w:rPr>
          <w:rFonts w:ascii="Times New Roman" w:hAnsi="Times New Roman" w:cs="Times New Roman"/>
        </w:rPr>
        <w:t>I(</w:t>
      </w:r>
      <w:proofErr w:type="gramEnd"/>
      <w:r w:rsidRPr="007D056C">
        <w:rPr>
          <w:rFonts w:ascii="Times New Roman" w:hAnsi="Times New Roman" w:cs="Times New Roman"/>
        </w:rPr>
        <w:t>1)) at the 5% significance level, thereby providing robust statistical evidence against the null hypothesis of no cointegration. Accordingly, we conclude that a stable long-run relationship exists among the variables in the model</w:t>
      </w:r>
      <w:r w:rsidRPr="00A93645">
        <w:rPr>
          <w:rFonts w:ascii="Times New Roman" w:hAnsi="Times New Roman" w:cs="Times New Roman"/>
        </w:rPr>
        <w:t>.</w:t>
      </w:r>
    </w:p>
    <w:p w14:paraId="1495BA5A" w14:textId="35EF23F0" w:rsidR="00832003" w:rsidRPr="00501B3A" w:rsidRDefault="00832003" w:rsidP="00832003">
      <w:pPr>
        <w:spacing w:after="0" w:line="360" w:lineRule="auto"/>
        <w:ind w:right="90"/>
        <w:jc w:val="both"/>
        <w:rPr>
          <w:rFonts w:ascii="Times New Roman" w:hAnsi="Times New Roman" w:cs="Times New Roman"/>
          <w:b/>
        </w:rPr>
      </w:pPr>
      <w:r w:rsidRPr="00A614CB">
        <w:rPr>
          <w:rFonts w:ascii="Times New Roman" w:hAnsi="Times New Roman" w:cs="Times New Roman"/>
          <w:b/>
        </w:rPr>
        <w:t xml:space="preserve">Table </w:t>
      </w:r>
      <w:r>
        <w:rPr>
          <w:rFonts w:ascii="Times New Roman" w:hAnsi="Times New Roman" w:cs="Times New Roman"/>
          <w:b/>
        </w:rPr>
        <w:t>3</w:t>
      </w:r>
      <w:r w:rsidRPr="00A614CB">
        <w:rPr>
          <w:rFonts w:ascii="Times New Roman" w:hAnsi="Times New Roman" w:cs="Times New Roman"/>
          <w:b/>
        </w:rPr>
        <w:t>: Bounds Cointegration Test</w:t>
      </w:r>
      <w:r w:rsidR="004B2C19">
        <w:rPr>
          <w:rFonts w:ascii="Times New Roman" w:hAnsi="Times New Roman" w:cs="Times New Roman"/>
          <w:b/>
        </w:rPr>
        <w:t xml:space="preserve"> Result</w:t>
      </w:r>
      <w:r w:rsidR="0056568D">
        <w:rPr>
          <w:rFonts w:ascii="Times New Roman" w:hAnsi="Times New Roman" w:cs="Times New Roman"/>
          <w:b/>
        </w:rPr>
        <w:t>s</w:t>
      </w:r>
    </w:p>
    <w:tbl>
      <w:tblPr>
        <w:tblStyle w:val="TableGrid"/>
        <w:tblW w:w="0" w:type="auto"/>
        <w:tblLook w:val="04A0" w:firstRow="1" w:lastRow="0" w:firstColumn="1" w:lastColumn="0" w:noHBand="0" w:noVBand="1"/>
      </w:tblPr>
      <w:tblGrid>
        <w:gridCol w:w="1147"/>
        <w:gridCol w:w="736"/>
        <w:gridCol w:w="1130"/>
        <w:gridCol w:w="1054"/>
        <w:gridCol w:w="1054"/>
        <w:gridCol w:w="1054"/>
        <w:gridCol w:w="947"/>
        <w:gridCol w:w="947"/>
        <w:gridCol w:w="947"/>
      </w:tblGrid>
      <w:tr w:rsidR="00832003" w14:paraId="4B313796" w14:textId="77777777" w:rsidTr="00B82BF5">
        <w:tc>
          <w:tcPr>
            <w:tcW w:w="1170" w:type="dxa"/>
          </w:tcPr>
          <w:p w14:paraId="4F1AB941" w14:textId="77777777" w:rsidR="00832003" w:rsidRDefault="00832003" w:rsidP="00B82BF5">
            <w:pPr>
              <w:ind w:right="90"/>
              <w:jc w:val="both"/>
              <w:rPr>
                <w:rFonts w:ascii="Times New Roman" w:hAnsi="Times New Roman" w:cs="Times New Roman"/>
                <w:iCs/>
              </w:rPr>
            </w:pPr>
          </w:p>
        </w:tc>
        <w:tc>
          <w:tcPr>
            <w:tcW w:w="830" w:type="dxa"/>
          </w:tcPr>
          <w:p w14:paraId="4F41D30C" w14:textId="77777777" w:rsidR="00832003" w:rsidRDefault="00832003" w:rsidP="00B82BF5">
            <w:pPr>
              <w:ind w:right="90"/>
              <w:jc w:val="both"/>
              <w:rPr>
                <w:rFonts w:ascii="Times New Roman" w:hAnsi="Times New Roman" w:cs="Times New Roman"/>
                <w:iCs/>
              </w:rPr>
            </w:pPr>
          </w:p>
        </w:tc>
        <w:tc>
          <w:tcPr>
            <w:tcW w:w="1157" w:type="dxa"/>
          </w:tcPr>
          <w:p w14:paraId="2B4A446F" w14:textId="77777777" w:rsidR="00832003" w:rsidRDefault="00832003" w:rsidP="00B82BF5">
            <w:pPr>
              <w:ind w:right="90"/>
              <w:jc w:val="both"/>
              <w:rPr>
                <w:rFonts w:ascii="Times New Roman" w:hAnsi="Times New Roman" w:cs="Times New Roman"/>
                <w:iCs/>
              </w:rPr>
            </w:pPr>
          </w:p>
        </w:tc>
        <w:tc>
          <w:tcPr>
            <w:tcW w:w="1094" w:type="dxa"/>
            <w:tcBorders>
              <w:right w:val="nil"/>
            </w:tcBorders>
          </w:tcPr>
          <w:p w14:paraId="5B301E54" w14:textId="77777777" w:rsidR="00832003" w:rsidRDefault="00832003" w:rsidP="00B82BF5">
            <w:pPr>
              <w:ind w:right="90"/>
              <w:jc w:val="center"/>
              <w:rPr>
                <w:rFonts w:ascii="Times New Roman" w:hAnsi="Times New Roman" w:cs="Times New Roman"/>
                <w:iCs/>
              </w:rPr>
            </w:pPr>
            <w:r>
              <w:rPr>
                <w:rFonts w:ascii="Times New Roman" w:hAnsi="Times New Roman" w:cs="Times New Roman"/>
                <w:iCs/>
              </w:rPr>
              <w:t>10%</w:t>
            </w:r>
          </w:p>
        </w:tc>
        <w:tc>
          <w:tcPr>
            <w:tcW w:w="1094" w:type="dxa"/>
            <w:tcBorders>
              <w:left w:val="nil"/>
            </w:tcBorders>
          </w:tcPr>
          <w:p w14:paraId="60086BB5" w14:textId="77777777" w:rsidR="00832003" w:rsidRDefault="00832003" w:rsidP="00B82BF5">
            <w:pPr>
              <w:ind w:right="90"/>
              <w:jc w:val="both"/>
              <w:rPr>
                <w:rFonts w:ascii="Times New Roman" w:hAnsi="Times New Roman" w:cs="Times New Roman"/>
                <w:iCs/>
              </w:rPr>
            </w:pPr>
          </w:p>
        </w:tc>
        <w:tc>
          <w:tcPr>
            <w:tcW w:w="1094" w:type="dxa"/>
            <w:tcBorders>
              <w:right w:val="nil"/>
            </w:tcBorders>
          </w:tcPr>
          <w:p w14:paraId="3E18EDDF" w14:textId="77777777" w:rsidR="00832003" w:rsidRDefault="00832003" w:rsidP="00B82BF5">
            <w:pPr>
              <w:ind w:right="90"/>
              <w:jc w:val="center"/>
              <w:rPr>
                <w:rFonts w:ascii="Times New Roman" w:hAnsi="Times New Roman" w:cs="Times New Roman"/>
                <w:iCs/>
              </w:rPr>
            </w:pPr>
            <w:r>
              <w:rPr>
                <w:rFonts w:ascii="Times New Roman" w:hAnsi="Times New Roman" w:cs="Times New Roman"/>
                <w:iCs/>
              </w:rPr>
              <w:t>5%</w:t>
            </w:r>
          </w:p>
        </w:tc>
        <w:tc>
          <w:tcPr>
            <w:tcW w:w="683" w:type="dxa"/>
            <w:tcBorders>
              <w:left w:val="nil"/>
            </w:tcBorders>
          </w:tcPr>
          <w:p w14:paraId="5D6A6C29" w14:textId="77777777" w:rsidR="00832003" w:rsidRDefault="00832003" w:rsidP="00B82BF5">
            <w:pPr>
              <w:ind w:right="90"/>
              <w:jc w:val="both"/>
              <w:rPr>
                <w:rFonts w:ascii="Times New Roman" w:hAnsi="Times New Roman" w:cs="Times New Roman"/>
                <w:iCs/>
              </w:rPr>
            </w:pPr>
          </w:p>
        </w:tc>
        <w:tc>
          <w:tcPr>
            <w:tcW w:w="947" w:type="dxa"/>
            <w:tcBorders>
              <w:right w:val="nil"/>
            </w:tcBorders>
          </w:tcPr>
          <w:p w14:paraId="56C44D2A" w14:textId="77777777" w:rsidR="00832003" w:rsidRDefault="00832003" w:rsidP="00B82BF5">
            <w:pPr>
              <w:ind w:right="90"/>
              <w:jc w:val="center"/>
              <w:rPr>
                <w:rFonts w:ascii="Times New Roman" w:hAnsi="Times New Roman" w:cs="Times New Roman"/>
                <w:iCs/>
              </w:rPr>
            </w:pPr>
            <w:r>
              <w:rPr>
                <w:rFonts w:ascii="Times New Roman" w:hAnsi="Times New Roman" w:cs="Times New Roman"/>
                <w:iCs/>
              </w:rPr>
              <w:t>1%</w:t>
            </w:r>
          </w:p>
        </w:tc>
        <w:tc>
          <w:tcPr>
            <w:tcW w:w="947" w:type="dxa"/>
            <w:tcBorders>
              <w:left w:val="nil"/>
            </w:tcBorders>
          </w:tcPr>
          <w:p w14:paraId="43D13028" w14:textId="77777777" w:rsidR="00832003" w:rsidRDefault="00832003" w:rsidP="00B82BF5">
            <w:pPr>
              <w:ind w:right="90"/>
              <w:jc w:val="both"/>
              <w:rPr>
                <w:rFonts w:ascii="Times New Roman" w:hAnsi="Times New Roman" w:cs="Times New Roman"/>
                <w:iCs/>
              </w:rPr>
            </w:pPr>
          </w:p>
        </w:tc>
      </w:tr>
      <w:tr w:rsidR="00832003" w14:paraId="1009254D" w14:textId="77777777" w:rsidTr="00B82BF5">
        <w:tc>
          <w:tcPr>
            <w:tcW w:w="1170" w:type="dxa"/>
          </w:tcPr>
          <w:p w14:paraId="3A2E5327" w14:textId="77777777" w:rsidR="00832003" w:rsidRDefault="00832003" w:rsidP="00B82BF5">
            <w:pPr>
              <w:ind w:right="90"/>
              <w:jc w:val="both"/>
              <w:rPr>
                <w:rFonts w:ascii="Times New Roman" w:hAnsi="Times New Roman" w:cs="Times New Roman"/>
                <w:iCs/>
              </w:rPr>
            </w:pPr>
            <w:r>
              <w:rPr>
                <w:rFonts w:ascii="Times New Roman" w:hAnsi="Times New Roman" w:cs="Times New Roman"/>
                <w:iCs/>
              </w:rPr>
              <w:t>Model</w:t>
            </w:r>
          </w:p>
        </w:tc>
        <w:tc>
          <w:tcPr>
            <w:tcW w:w="830" w:type="dxa"/>
          </w:tcPr>
          <w:p w14:paraId="1E38DAF5" w14:textId="77777777" w:rsidR="00832003" w:rsidRDefault="00832003" w:rsidP="00B82BF5">
            <w:pPr>
              <w:ind w:right="90"/>
              <w:jc w:val="both"/>
              <w:rPr>
                <w:rFonts w:ascii="Times New Roman" w:hAnsi="Times New Roman" w:cs="Times New Roman"/>
                <w:iCs/>
              </w:rPr>
            </w:pPr>
            <w:r>
              <w:rPr>
                <w:rFonts w:ascii="Times New Roman" w:hAnsi="Times New Roman" w:cs="Times New Roman"/>
                <w:iCs/>
              </w:rPr>
              <w:t>K</w:t>
            </w:r>
          </w:p>
        </w:tc>
        <w:tc>
          <w:tcPr>
            <w:tcW w:w="1157" w:type="dxa"/>
          </w:tcPr>
          <w:p w14:paraId="0634B00A" w14:textId="77777777" w:rsidR="00832003" w:rsidRDefault="00832003" w:rsidP="00B82BF5">
            <w:pPr>
              <w:ind w:right="90"/>
              <w:jc w:val="both"/>
              <w:rPr>
                <w:rFonts w:ascii="Times New Roman" w:hAnsi="Times New Roman" w:cs="Times New Roman"/>
                <w:iCs/>
              </w:rPr>
            </w:pPr>
            <w:r>
              <w:rPr>
                <w:rFonts w:ascii="Times New Roman" w:hAnsi="Times New Roman" w:cs="Times New Roman"/>
                <w:iCs/>
              </w:rPr>
              <w:t>F-stat</w:t>
            </w:r>
          </w:p>
        </w:tc>
        <w:tc>
          <w:tcPr>
            <w:tcW w:w="1094" w:type="dxa"/>
          </w:tcPr>
          <w:p w14:paraId="2E522A9A" w14:textId="77777777" w:rsidR="00832003" w:rsidRDefault="00832003" w:rsidP="00B82BF5">
            <w:pPr>
              <w:ind w:right="90"/>
              <w:jc w:val="both"/>
              <w:rPr>
                <w:rFonts w:ascii="Times New Roman" w:hAnsi="Times New Roman" w:cs="Times New Roman"/>
                <w:iCs/>
              </w:rPr>
            </w:pPr>
            <w:r>
              <w:rPr>
                <w:rFonts w:ascii="Times New Roman" w:hAnsi="Times New Roman" w:cs="Times New Roman"/>
                <w:iCs/>
              </w:rPr>
              <w:t>Lower Bound</w:t>
            </w:r>
          </w:p>
        </w:tc>
        <w:tc>
          <w:tcPr>
            <w:tcW w:w="1094" w:type="dxa"/>
          </w:tcPr>
          <w:p w14:paraId="21392DEA" w14:textId="77777777" w:rsidR="00832003" w:rsidRDefault="00832003" w:rsidP="00B82BF5">
            <w:pPr>
              <w:ind w:right="90"/>
              <w:jc w:val="both"/>
              <w:rPr>
                <w:rFonts w:ascii="Times New Roman" w:hAnsi="Times New Roman" w:cs="Times New Roman"/>
                <w:iCs/>
              </w:rPr>
            </w:pPr>
            <w:r>
              <w:rPr>
                <w:rFonts w:ascii="Times New Roman" w:hAnsi="Times New Roman" w:cs="Times New Roman"/>
                <w:iCs/>
              </w:rPr>
              <w:t>Upper Bound</w:t>
            </w:r>
          </w:p>
        </w:tc>
        <w:tc>
          <w:tcPr>
            <w:tcW w:w="1094" w:type="dxa"/>
          </w:tcPr>
          <w:p w14:paraId="29A326ED" w14:textId="77777777" w:rsidR="00832003" w:rsidRDefault="00832003" w:rsidP="00B82BF5">
            <w:pPr>
              <w:ind w:right="90"/>
              <w:jc w:val="both"/>
              <w:rPr>
                <w:rFonts w:ascii="Times New Roman" w:hAnsi="Times New Roman" w:cs="Times New Roman"/>
                <w:iCs/>
              </w:rPr>
            </w:pPr>
            <w:r>
              <w:rPr>
                <w:rFonts w:ascii="Times New Roman" w:hAnsi="Times New Roman" w:cs="Times New Roman"/>
                <w:iCs/>
              </w:rPr>
              <w:t>Lower Bound</w:t>
            </w:r>
          </w:p>
        </w:tc>
        <w:tc>
          <w:tcPr>
            <w:tcW w:w="683" w:type="dxa"/>
          </w:tcPr>
          <w:p w14:paraId="73191F6C" w14:textId="77777777" w:rsidR="00832003" w:rsidRDefault="00832003" w:rsidP="00B82BF5">
            <w:pPr>
              <w:ind w:right="90"/>
              <w:jc w:val="both"/>
              <w:rPr>
                <w:rFonts w:ascii="Times New Roman" w:hAnsi="Times New Roman" w:cs="Times New Roman"/>
                <w:iCs/>
              </w:rPr>
            </w:pPr>
            <w:r>
              <w:rPr>
                <w:rFonts w:ascii="Times New Roman" w:hAnsi="Times New Roman" w:cs="Times New Roman"/>
                <w:iCs/>
              </w:rPr>
              <w:t>Upper Bound</w:t>
            </w:r>
          </w:p>
        </w:tc>
        <w:tc>
          <w:tcPr>
            <w:tcW w:w="947" w:type="dxa"/>
          </w:tcPr>
          <w:p w14:paraId="25D75D75" w14:textId="77777777" w:rsidR="00832003" w:rsidRDefault="00832003" w:rsidP="00B82BF5">
            <w:pPr>
              <w:ind w:right="90"/>
              <w:jc w:val="both"/>
              <w:rPr>
                <w:rFonts w:ascii="Times New Roman" w:hAnsi="Times New Roman" w:cs="Times New Roman"/>
                <w:iCs/>
              </w:rPr>
            </w:pPr>
            <w:r>
              <w:rPr>
                <w:rFonts w:ascii="Times New Roman" w:hAnsi="Times New Roman" w:cs="Times New Roman"/>
                <w:iCs/>
              </w:rPr>
              <w:t>Lower Bound</w:t>
            </w:r>
          </w:p>
        </w:tc>
        <w:tc>
          <w:tcPr>
            <w:tcW w:w="947" w:type="dxa"/>
          </w:tcPr>
          <w:p w14:paraId="522928A5" w14:textId="77777777" w:rsidR="00832003" w:rsidRDefault="00832003" w:rsidP="00B82BF5">
            <w:pPr>
              <w:ind w:right="90"/>
              <w:jc w:val="both"/>
              <w:rPr>
                <w:rFonts w:ascii="Times New Roman" w:hAnsi="Times New Roman" w:cs="Times New Roman"/>
                <w:iCs/>
              </w:rPr>
            </w:pPr>
            <w:r>
              <w:rPr>
                <w:rFonts w:ascii="Times New Roman" w:hAnsi="Times New Roman" w:cs="Times New Roman"/>
                <w:iCs/>
              </w:rPr>
              <w:t>Upper Bound</w:t>
            </w:r>
          </w:p>
        </w:tc>
      </w:tr>
      <w:tr w:rsidR="00832003" w14:paraId="6B9F29E5" w14:textId="77777777" w:rsidTr="00B82BF5">
        <w:tc>
          <w:tcPr>
            <w:tcW w:w="1170" w:type="dxa"/>
          </w:tcPr>
          <w:p w14:paraId="49E8A8E7" w14:textId="77777777" w:rsidR="00832003" w:rsidRDefault="00832003" w:rsidP="00B82BF5">
            <w:pPr>
              <w:ind w:right="90"/>
              <w:jc w:val="both"/>
              <w:rPr>
                <w:rFonts w:ascii="Times New Roman" w:hAnsi="Times New Roman" w:cs="Times New Roman"/>
                <w:iCs/>
              </w:rPr>
            </w:pPr>
            <w:r>
              <w:rPr>
                <w:rFonts w:ascii="Times New Roman" w:hAnsi="Times New Roman" w:cs="Times New Roman"/>
                <w:iCs/>
              </w:rPr>
              <w:t>GDPPC</w:t>
            </w:r>
          </w:p>
        </w:tc>
        <w:tc>
          <w:tcPr>
            <w:tcW w:w="830" w:type="dxa"/>
          </w:tcPr>
          <w:p w14:paraId="7DA48D04" w14:textId="77777777" w:rsidR="00832003" w:rsidRDefault="00832003" w:rsidP="00B82BF5">
            <w:pPr>
              <w:ind w:right="90"/>
              <w:jc w:val="both"/>
              <w:rPr>
                <w:rFonts w:ascii="Times New Roman" w:hAnsi="Times New Roman" w:cs="Times New Roman"/>
                <w:iCs/>
              </w:rPr>
            </w:pPr>
            <w:r>
              <w:rPr>
                <w:rFonts w:ascii="Times New Roman" w:hAnsi="Times New Roman" w:cs="Times New Roman"/>
                <w:iCs/>
              </w:rPr>
              <w:t>3</w:t>
            </w:r>
          </w:p>
        </w:tc>
        <w:tc>
          <w:tcPr>
            <w:tcW w:w="1157" w:type="dxa"/>
          </w:tcPr>
          <w:p w14:paraId="2CC2D042" w14:textId="77777777" w:rsidR="00832003" w:rsidRDefault="00832003" w:rsidP="00B82BF5">
            <w:pPr>
              <w:ind w:right="90"/>
              <w:jc w:val="both"/>
              <w:rPr>
                <w:rFonts w:ascii="Times New Roman" w:hAnsi="Times New Roman" w:cs="Times New Roman"/>
                <w:iCs/>
              </w:rPr>
            </w:pPr>
            <w:r>
              <w:rPr>
                <w:rFonts w:ascii="Arial" w:hAnsi="Arial" w:cs="Arial"/>
                <w:color w:val="000000"/>
                <w:kern w:val="0"/>
                <w:sz w:val="18"/>
                <w:szCs w:val="18"/>
              </w:rPr>
              <w:t>12.58254</w:t>
            </w:r>
          </w:p>
        </w:tc>
        <w:tc>
          <w:tcPr>
            <w:tcW w:w="1094" w:type="dxa"/>
          </w:tcPr>
          <w:p w14:paraId="48BC4CEB" w14:textId="77777777" w:rsidR="00832003" w:rsidRDefault="00832003" w:rsidP="00B82BF5">
            <w:pPr>
              <w:ind w:right="90"/>
              <w:jc w:val="both"/>
              <w:rPr>
                <w:rFonts w:ascii="Times New Roman" w:hAnsi="Times New Roman" w:cs="Times New Roman"/>
                <w:iCs/>
              </w:rPr>
            </w:pPr>
            <w:r>
              <w:rPr>
                <w:rFonts w:ascii="Times New Roman" w:hAnsi="Times New Roman" w:cs="Times New Roman"/>
                <w:iCs/>
              </w:rPr>
              <w:t>2.37</w:t>
            </w:r>
          </w:p>
        </w:tc>
        <w:tc>
          <w:tcPr>
            <w:tcW w:w="1094" w:type="dxa"/>
          </w:tcPr>
          <w:p w14:paraId="7ADF9E25" w14:textId="77777777" w:rsidR="00832003" w:rsidRDefault="00832003" w:rsidP="00B82BF5">
            <w:pPr>
              <w:ind w:right="90"/>
              <w:jc w:val="both"/>
              <w:rPr>
                <w:rFonts w:ascii="Times New Roman" w:hAnsi="Times New Roman" w:cs="Times New Roman"/>
                <w:iCs/>
              </w:rPr>
            </w:pPr>
            <w:r>
              <w:rPr>
                <w:rFonts w:ascii="Times New Roman" w:hAnsi="Times New Roman" w:cs="Times New Roman"/>
                <w:iCs/>
              </w:rPr>
              <w:t>3.2</w:t>
            </w:r>
          </w:p>
        </w:tc>
        <w:tc>
          <w:tcPr>
            <w:tcW w:w="1094" w:type="dxa"/>
          </w:tcPr>
          <w:p w14:paraId="6FC2FC48" w14:textId="77777777" w:rsidR="00832003" w:rsidRDefault="00832003" w:rsidP="00B82BF5">
            <w:pPr>
              <w:ind w:right="90"/>
              <w:jc w:val="both"/>
              <w:rPr>
                <w:rFonts w:ascii="Times New Roman" w:hAnsi="Times New Roman" w:cs="Times New Roman"/>
                <w:iCs/>
              </w:rPr>
            </w:pPr>
            <w:r>
              <w:rPr>
                <w:rFonts w:ascii="Times New Roman" w:hAnsi="Times New Roman" w:cs="Times New Roman"/>
                <w:iCs/>
              </w:rPr>
              <w:t>2.79</w:t>
            </w:r>
          </w:p>
        </w:tc>
        <w:tc>
          <w:tcPr>
            <w:tcW w:w="683" w:type="dxa"/>
          </w:tcPr>
          <w:p w14:paraId="26554653" w14:textId="77777777" w:rsidR="00832003" w:rsidRDefault="00832003" w:rsidP="00B82BF5">
            <w:pPr>
              <w:ind w:right="90"/>
              <w:jc w:val="both"/>
              <w:rPr>
                <w:rFonts w:ascii="Times New Roman" w:hAnsi="Times New Roman" w:cs="Times New Roman"/>
                <w:iCs/>
              </w:rPr>
            </w:pPr>
            <w:r>
              <w:rPr>
                <w:rFonts w:ascii="Times New Roman" w:hAnsi="Times New Roman" w:cs="Times New Roman"/>
                <w:iCs/>
              </w:rPr>
              <w:t>3.67</w:t>
            </w:r>
          </w:p>
        </w:tc>
        <w:tc>
          <w:tcPr>
            <w:tcW w:w="947" w:type="dxa"/>
          </w:tcPr>
          <w:p w14:paraId="3077B4D8" w14:textId="77777777" w:rsidR="00832003" w:rsidRDefault="00832003" w:rsidP="00B82BF5">
            <w:pPr>
              <w:ind w:right="90"/>
              <w:jc w:val="both"/>
              <w:rPr>
                <w:rFonts w:ascii="Times New Roman" w:hAnsi="Times New Roman" w:cs="Times New Roman"/>
                <w:iCs/>
              </w:rPr>
            </w:pPr>
            <w:r>
              <w:rPr>
                <w:rFonts w:ascii="Times New Roman" w:hAnsi="Times New Roman" w:cs="Times New Roman"/>
                <w:iCs/>
              </w:rPr>
              <w:t>3.65</w:t>
            </w:r>
          </w:p>
        </w:tc>
        <w:tc>
          <w:tcPr>
            <w:tcW w:w="947" w:type="dxa"/>
          </w:tcPr>
          <w:p w14:paraId="7B61A260" w14:textId="77777777" w:rsidR="00832003" w:rsidRDefault="00832003" w:rsidP="00B82BF5">
            <w:pPr>
              <w:ind w:right="90"/>
              <w:jc w:val="both"/>
              <w:rPr>
                <w:rFonts w:ascii="Times New Roman" w:hAnsi="Times New Roman" w:cs="Times New Roman"/>
                <w:iCs/>
              </w:rPr>
            </w:pPr>
            <w:r>
              <w:rPr>
                <w:rFonts w:ascii="Times New Roman" w:hAnsi="Times New Roman" w:cs="Times New Roman"/>
                <w:iCs/>
              </w:rPr>
              <w:t>4.66</w:t>
            </w:r>
          </w:p>
        </w:tc>
      </w:tr>
    </w:tbl>
    <w:p w14:paraId="54171B1E" w14:textId="77777777" w:rsidR="00832003" w:rsidRPr="00501B3A" w:rsidRDefault="00832003" w:rsidP="00832003">
      <w:pPr>
        <w:spacing w:after="0" w:line="240" w:lineRule="auto"/>
        <w:ind w:right="90"/>
        <w:jc w:val="both"/>
        <w:rPr>
          <w:rFonts w:ascii="Times New Roman" w:hAnsi="Times New Roman" w:cs="Times New Roman"/>
          <w:i/>
          <w:sz w:val="20"/>
        </w:rPr>
      </w:pPr>
      <w:r w:rsidRPr="00A614CB">
        <w:rPr>
          <w:rFonts w:ascii="Times New Roman" w:hAnsi="Times New Roman" w:cs="Times New Roman"/>
          <w:i/>
          <w:sz w:val="20"/>
        </w:rPr>
        <w:t xml:space="preserve">Source: Authors computations </w:t>
      </w:r>
      <w:r>
        <w:rPr>
          <w:rFonts w:ascii="Times New Roman" w:hAnsi="Times New Roman" w:cs="Times New Roman"/>
          <w:i/>
          <w:sz w:val="20"/>
        </w:rPr>
        <w:t>using</w:t>
      </w:r>
      <w:r w:rsidRPr="00A614CB">
        <w:rPr>
          <w:rFonts w:ascii="Times New Roman" w:hAnsi="Times New Roman" w:cs="Times New Roman"/>
          <w:i/>
          <w:sz w:val="20"/>
        </w:rPr>
        <w:t xml:space="preserve"> </w:t>
      </w:r>
      <w:proofErr w:type="spellStart"/>
      <w:r w:rsidRPr="00A614CB">
        <w:rPr>
          <w:rFonts w:ascii="Times New Roman" w:hAnsi="Times New Roman" w:cs="Times New Roman"/>
          <w:i/>
          <w:sz w:val="20"/>
        </w:rPr>
        <w:t>Eviews</w:t>
      </w:r>
      <w:proofErr w:type="spellEnd"/>
      <w:r w:rsidRPr="00A614CB">
        <w:rPr>
          <w:rFonts w:ascii="Times New Roman" w:hAnsi="Times New Roman" w:cs="Times New Roman"/>
          <w:i/>
          <w:sz w:val="20"/>
        </w:rPr>
        <w:t xml:space="preserve"> 1</w:t>
      </w:r>
      <w:r>
        <w:rPr>
          <w:rFonts w:ascii="Times New Roman" w:hAnsi="Times New Roman" w:cs="Times New Roman"/>
          <w:i/>
          <w:sz w:val="20"/>
        </w:rPr>
        <w:t>2</w:t>
      </w:r>
    </w:p>
    <w:p w14:paraId="061E5D4C" w14:textId="72A3D838" w:rsidR="00301B7A" w:rsidRPr="004F5A50" w:rsidRDefault="00832003" w:rsidP="00832003">
      <w:pPr>
        <w:spacing w:line="480" w:lineRule="auto"/>
        <w:ind w:right="90"/>
        <w:jc w:val="both"/>
        <w:rPr>
          <w:rFonts w:ascii="Times New Roman" w:hAnsi="Times New Roman" w:cs="Times New Roman"/>
          <w:bCs/>
          <w:sz w:val="20"/>
          <w:szCs w:val="20"/>
        </w:rPr>
      </w:pPr>
      <w:r w:rsidRPr="00501B3A">
        <w:rPr>
          <w:rFonts w:ascii="Times New Roman" w:hAnsi="Times New Roman" w:cs="Times New Roman"/>
          <w:bCs/>
          <w:sz w:val="20"/>
          <w:szCs w:val="20"/>
        </w:rPr>
        <w:t>Note: K denotes number of independent variables</w:t>
      </w:r>
    </w:p>
    <w:p w14:paraId="17A17C37" w14:textId="57D3DE9B" w:rsidR="00F459A3" w:rsidRDefault="006360EE" w:rsidP="00CD2062">
      <w:pPr>
        <w:spacing w:after="0" w:line="480" w:lineRule="auto"/>
        <w:ind w:right="90"/>
        <w:jc w:val="both"/>
        <w:rPr>
          <w:rFonts w:ascii="Times New Roman" w:hAnsi="Times New Roman" w:cs="Times New Roman"/>
        </w:rPr>
      </w:pPr>
      <w:r>
        <w:rPr>
          <w:rFonts w:ascii="Times New Roman" w:hAnsi="Times New Roman" w:cs="Times New Roman"/>
          <w:b/>
          <w:bCs/>
        </w:rPr>
        <w:t>4.</w:t>
      </w:r>
      <w:r w:rsidR="00016E65">
        <w:rPr>
          <w:rFonts w:ascii="Times New Roman" w:hAnsi="Times New Roman" w:cs="Times New Roman"/>
          <w:b/>
          <w:bCs/>
        </w:rPr>
        <w:t>4</w:t>
      </w:r>
      <w:r w:rsidR="00C6555A">
        <w:rPr>
          <w:rFonts w:ascii="Times New Roman" w:hAnsi="Times New Roman" w:cs="Times New Roman"/>
          <w:b/>
          <w:bCs/>
        </w:rPr>
        <w:t xml:space="preserve"> Model Estimation</w:t>
      </w:r>
    </w:p>
    <w:p w14:paraId="78824ED0" w14:textId="6BA9AF3A" w:rsidR="005B577F" w:rsidRDefault="005B577F" w:rsidP="005B577F">
      <w:pPr>
        <w:spacing w:after="200" w:line="480" w:lineRule="auto"/>
        <w:ind w:right="90"/>
        <w:jc w:val="both"/>
        <w:rPr>
          <w:rFonts w:ascii="Times New Roman" w:hAnsi="Times New Roman" w:cs="Times New Roman"/>
        </w:rPr>
      </w:pPr>
      <w:r w:rsidRPr="007F7B5E">
        <w:rPr>
          <w:rFonts w:ascii="Times New Roman" w:hAnsi="Times New Roman" w:cs="Times New Roman"/>
        </w:rPr>
        <w:t xml:space="preserve">The ARDL model analysis presented in Table 4 examines both the short-run and long-run </w:t>
      </w:r>
      <w:r w:rsidR="00992316">
        <w:rPr>
          <w:rFonts w:ascii="Times New Roman" w:hAnsi="Times New Roman" w:cs="Times New Roman"/>
        </w:rPr>
        <w:t>results</w:t>
      </w:r>
      <w:r w:rsidRPr="007F7B5E">
        <w:rPr>
          <w:rFonts w:ascii="Times New Roman" w:hAnsi="Times New Roman" w:cs="Times New Roman"/>
        </w:rPr>
        <w:t xml:space="preserve"> of real GDP </w:t>
      </w:r>
      <w:r w:rsidRPr="00FA4EB3">
        <w:rPr>
          <w:rFonts w:ascii="Times New Roman" w:hAnsi="Times New Roman" w:cs="Times New Roman"/>
          <w:i/>
          <w:iCs/>
        </w:rPr>
        <w:t>per capita</w:t>
      </w:r>
      <w:r w:rsidRPr="007F7B5E">
        <w:rPr>
          <w:rFonts w:ascii="Times New Roman" w:hAnsi="Times New Roman" w:cs="Times New Roman"/>
        </w:rPr>
        <w:t xml:space="preserve"> (GDPPC) in Nigeria, as influenced by </w:t>
      </w:r>
      <w:bookmarkStart w:id="3" w:name="_Hlk204481150"/>
      <w:r w:rsidRPr="007F7B5E">
        <w:rPr>
          <w:rFonts w:ascii="Times New Roman" w:hAnsi="Times New Roman" w:cs="Times New Roman"/>
        </w:rPr>
        <w:t xml:space="preserve">government </w:t>
      </w:r>
      <w:r w:rsidR="00263BEF">
        <w:rPr>
          <w:rFonts w:ascii="Times New Roman" w:hAnsi="Times New Roman" w:cs="Times New Roman"/>
        </w:rPr>
        <w:t xml:space="preserve">recurrent </w:t>
      </w:r>
      <w:r w:rsidRPr="007F7B5E">
        <w:rPr>
          <w:rFonts w:ascii="Times New Roman" w:hAnsi="Times New Roman" w:cs="Times New Roman"/>
        </w:rPr>
        <w:t>expenditure on education (GEDU), female secondary school enrolment (FSE), and the Gender Parity Index (GPI) for primary school enrolment</w:t>
      </w:r>
      <w:bookmarkEnd w:id="3"/>
      <w:r w:rsidRPr="00652CBF">
        <w:rPr>
          <w:rFonts w:ascii="Times New Roman" w:hAnsi="Times New Roman" w:cs="Times New Roman"/>
        </w:rPr>
        <w:t>.</w:t>
      </w:r>
    </w:p>
    <w:p w14:paraId="63FF1E52" w14:textId="77777777" w:rsidR="00C05A01" w:rsidRDefault="005B577F" w:rsidP="00C05A01">
      <w:pPr>
        <w:spacing w:after="200" w:line="480" w:lineRule="auto"/>
        <w:ind w:right="90"/>
        <w:jc w:val="both"/>
        <w:rPr>
          <w:rFonts w:ascii="Times New Roman" w:hAnsi="Times New Roman" w:cs="Times New Roman"/>
        </w:rPr>
      </w:pPr>
      <w:r w:rsidRPr="00297779">
        <w:rPr>
          <w:rFonts w:ascii="Times New Roman" w:hAnsi="Times New Roman" w:cs="Times New Roman"/>
        </w:rPr>
        <w:lastRenderedPageBreak/>
        <w:t xml:space="preserve">In the short run, the coefficient estimate for </w:t>
      </w:r>
      <w:bookmarkStart w:id="4" w:name="_Hlk204481410"/>
      <w:r w:rsidRPr="00297779">
        <w:rPr>
          <w:rFonts w:ascii="Times New Roman" w:hAnsi="Times New Roman" w:cs="Times New Roman"/>
        </w:rPr>
        <w:t xml:space="preserve">government </w:t>
      </w:r>
      <w:r w:rsidR="00113802">
        <w:rPr>
          <w:rFonts w:ascii="Times New Roman" w:hAnsi="Times New Roman" w:cs="Times New Roman"/>
        </w:rPr>
        <w:t>recurrent</w:t>
      </w:r>
      <w:r w:rsidR="00113802" w:rsidRPr="00297779">
        <w:rPr>
          <w:rFonts w:ascii="Times New Roman" w:hAnsi="Times New Roman" w:cs="Times New Roman"/>
        </w:rPr>
        <w:t xml:space="preserve"> </w:t>
      </w:r>
      <w:r w:rsidRPr="00297779">
        <w:rPr>
          <w:rFonts w:ascii="Times New Roman" w:hAnsi="Times New Roman" w:cs="Times New Roman"/>
        </w:rPr>
        <w:t xml:space="preserve">expenditure on education </w:t>
      </w:r>
      <w:bookmarkEnd w:id="4"/>
      <w:r w:rsidRPr="00297779">
        <w:rPr>
          <w:rFonts w:ascii="Times New Roman" w:hAnsi="Times New Roman" w:cs="Times New Roman"/>
        </w:rPr>
        <w:t xml:space="preserve">in the immediate year </w:t>
      </w:r>
      <w:r w:rsidR="00992316">
        <w:rPr>
          <w:rFonts w:ascii="Times New Roman" w:hAnsi="Times New Roman" w:cs="Times New Roman"/>
        </w:rPr>
        <w:t>is</w:t>
      </w:r>
      <w:r w:rsidRPr="00297779">
        <w:rPr>
          <w:rFonts w:ascii="Times New Roman" w:hAnsi="Times New Roman" w:cs="Times New Roman"/>
        </w:rPr>
        <w:t xml:space="preserve"> negative and statistically insignificant</w:t>
      </w:r>
      <w:r w:rsidR="006176B1">
        <w:rPr>
          <w:rFonts w:ascii="Times New Roman" w:hAnsi="Times New Roman" w:cs="Times New Roman"/>
        </w:rPr>
        <w:t xml:space="preserve">, </w:t>
      </w:r>
      <w:r w:rsidR="006176B1" w:rsidRPr="006176B1">
        <w:rPr>
          <w:rFonts w:ascii="Times New Roman" w:hAnsi="Times New Roman" w:cs="Times New Roman"/>
        </w:rPr>
        <w:t xml:space="preserve">suggesting that a 1% increase in </w:t>
      </w:r>
      <w:r w:rsidR="006176B1" w:rsidRPr="00297779">
        <w:rPr>
          <w:rFonts w:ascii="Times New Roman" w:hAnsi="Times New Roman" w:cs="Times New Roman"/>
        </w:rPr>
        <w:t xml:space="preserve">government </w:t>
      </w:r>
      <w:r w:rsidR="006176B1">
        <w:rPr>
          <w:rFonts w:ascii="Times New Roman" w:hAnsi="Times New Roman" w:cs="Times New Roman"/>
        </w:rPr>
        <w:t xml:space="preserve">recurrent </w:t>
      </w:r>
      <w:r w:rsidR="006176B1" w:rsidRPr="00297779">
        <w:rPr>
          <w:rFonts w:ascii="Times New Roman" w:hAnsi="Times New Roman" w:cs="Times New Roman"/>
        </w:rPr>
        <w:t xml:space="preserve">expenditure on education </w:t>
      </w:r>
      <w:r w:rsidR="006176B1" w:rsidRPr="006176B1">
        <w:rPr>
          <w:rFonts w:ascii="Times New Roman" w:hAnsi="Times New Roman" w:cs="Times New Roman"/>
        </w:rPr>
        <w:t xml:space="preserve">is associated with only a </w:t>
      </w:r>
      <w:r w:rsidR="006176B1">
        <w:rPr>
          <w:rFonts w:ascii="Times New Roman" w:hAnsi="Times New Roman" w:cs="Times New Roman"/>
        </w:rPr>
        <w:t>-</w:t>
      </w:r>
      <w:r w:rsidR="006176B1" w:rsidRPr="006176B1">
        <w:rPr>
          <w:rFonts w:ascii="Times New Roman" w:hAnsi="Times New Roman" w:cs="Times New Roman"/>
        </w:rPr>
        <w:t>0.007% change</w:t>
      </w:r>
      <w:r w:rsidRPr="00297779">
        <w:rPr>
          <w:rFonts w:ascii="Times New Roman" w:hAnsi="Times New Roman" w:cs="Times New Roman"/>
        </w:rPr>
        <w:t xml:space="preserve"> </w:t>
      </w:r>
      <w:r>
        <w:rPr>
          <w:rFonts w:ascii="Times New Roman" w:hAnsi="Times New Roman" w:cs="Times New Roman"/>
        </w:rPr>
        <w:t xml:space="preserve">in </w:t>
      </w:r>
      <w:r w:rsidRPr="00297779">
        <w:rPr>
          <w:rFonts w:ascii="Times New Roman" w:hAnsi="Times New Roman" w:cs="Times New Roman"/>
        </w:rPr>
        <w:t xml:space="preserve">real GDP </w:t>
      </w:r>
      <w:r w:rsidRPr="00A52BCD">
        <w:rPr>
          <w:rFonts w:ascii="Times New Roman" w:hAnsi="Times New Roman" w:cs="Times New Roman"/>
          <w:i/>
          <w:iCs/>
        </w:rPr>
        <w:t>per capita</w:t>
      </w:r>
      <w:r w:rsidRPr="00297779">
        <w:rPr>
          <w:rFonts w:ascii="Times New Roman" w:hAnsi="Times New Roman" w:cs="Times New Roman"/>
        </w:rPr>
        <w:t>.</w:t>
      </w:r>
      <w:r w:rsidR="003B2E7B">
        <w:rPr>
          <w:rFonts w:ascii="Times New Roman" w:hAnsi="Times New Roman" w:cs="Times New Roman"/>
        </w:rPr>
        <w:t xml:space="preserve"> </w:t>
      </w:r>
      <w:r w:rsidR="003B2E7B" w:rsidRPr="003B2E7B">
        <w:rPr>
          <w:rFonts w:ascii="Times New Roman" w:hAnsi="Times New Roman" w:cs="Times New Roman"/>
        </w:rPr>
        <w:t>This negligible and non-significant impact may reflect gestation lags in the productivity-enhancing effects of educational spending, as capital and human capital accumulation require time to materialise.</w:t>
      </w:r>
      <w:r w:rsidRPr="00297779">
        <w:rPr>
          <w:rFonts w:ascii="Times New Roman" w:hAnsi="Times New Roman" w:cs="Times New Roman"/>
        </w:rPr>
        <w:t xml:space="preserve"> However, at lag </w:t>
      </w:r>
      <w:r w:rsidR="00F15B2C">
        <w:rPr>
          <w:rFonts w:ascii="Times New Roman" w:hAnsi="Times New Roman" w:cs="Times New Roman"/>
        </w:rPr>
        <w:t>one</w:t>
      </w:r>
      <w:r w:rsidRPr="00297779">
        <w:rPr>
          <w:rFonts w:ascii="Times New Roman" w:hAnsi="Times New Roman" w:cs="Times New Roman"/>
        </w:rPr>
        <w:t xml:space="preserve"> and lag </w:t>
      </w:r>
      <w:r w:rsidR="00F15B2C">
        <w:rPr>
          <w:rFonts w:ascii="Times New Roman" w:hAnsi="Times New Roman" w:cs="Times New Roman"/>
        </w:rPr>
        <w:t>two</w:t>
      </w:r>
      <w:r w:rsidRPr="00297779">
        <w:rPr>
          <w:rFonts w:ascii="Times New Roman" w:hAnsi="Times New Roman" w:cs="Times New Roman"/>
        </w:rPr>
        <w:t xml:space="preserve">, </w:t>
      </w:r>
      <w:r w:rsidR="00490347" w:rsidRPr="00490347">
        <w:rPr>
          <w:rFonts w:ascii="Times New Roman" w:hAnsi="Times New Roman" w:cs="Times New Roman"/>
        </w:rPr>
        <w:t xml:space="preserve">the coefficients remain negative but become statistically significant, with a 1% increase in expenditure leading to a </w:t>
      </w:r>
      <w:r w:rsidR="009B3987">
        <w:rPr>
          <w:rFonts w:ascii="Times New Roman" w:hAnsi="Times New Roman" w:cs="Times New Roman"/>
        </w:rPr>
        <w:t>-</w:t>
      </w:r>
      <w:r w:rsidR="00490347" w:rsidRPr="00490347">
        <w:rPr>
          <w:rFonts w:ascii="Times New Roman" w:hAnsi="Times New Roman" w:cs="Times New Roman"/>
        </w:rPr>
        <w:t xml:space="preserve">0.609% and </w:t>
      </w:r>
      <w:r w:rsidR="009B3987">
        <w:rPr>
          <w:rFonts w:ascii="Times New Roman" w:hAnsi="Times New Roman" w:cs="Times New Roman"/>
        </w:rPr>
        <w:t>-</w:t>
      </w:r>
      <w:r w:rsidR="00490347" w:rsidRPr="00490347">
        <w:rPr>
          <w:rFonts w:ascii="Times New Roman" w:hAnsi="Times New Roman" w:cs="Times New Roman"/>
        </w:rPr>
        <w:t xml:space="preserve">0.269% change </w:t>
      </w:r>
      <w:r w:rsidR="009A3FDA" w:rsidRPr="009A3FDA">
        <w:rPr>
          <w:rFonts w:ascii="Times New Roman" w:hAnsi="Times New Roman" w:cs="Times New Roman"/>
        </w:rPr>
        <w:t xml:space="preserve">in real GDP </w:t>
      </w:r>
      <w:r w:rsidR="009A3FDA" w:rsidRPr="009A3FDA">
        <w:rPr>
          <w:rFonts w:ascii="Times New Roman" w:hAnsi="Times New Roman" w:cs="Times New Roman"/>
          <w:i/>
          <w:iCs/>
        </w:rPr>
        <w:t>per capita,</w:t>
      </w:r>
      <w:r w:rsidR="009A3FDA" w:rsidRPr="009A3FDA">
        <w:rPr>
          <w:rFonts w:ascii="Times New Roman" w:hAnsi="Times New Roman" w:cs="Times New Roman"/>
        </w:rPr>
        <w:t xml:space="preserve"> respectively.</w:t>
      </w:r>
      <w:r w:rsidR="009A3FDA">
        <w:rPr>
          <w:rFonts w:ascii="Times New Roman" w:hAnsi="Times New Roman" w:cs="Times New Roman"/>
        </w:rPr>
        <w:t xml:space="preserve"> </w:t>
      </w:r>
      <w:r w:rsidR="00E22B2C" w:rsidRPr="00E22B2C">
        <w:rPr>
          <w:rFonts w:ascii="Times New Roman" w:hAnsi="Times New Roman" w:cs="Times New Roman"/>
        </w:rPr>
        <w:t xml:space="preserve">This </w:t>
      </w:r>
      <w:r w:rsidR="00E22B2C">
        <w:rPr>
          <w:rFonts w:ascii="Times New Roman" w:hAnsi="Times New Roman" w:cs="Times New Roman"/>
        </w:rPr>
        <w:t>finding</w:t>
      </w:r>
      <w:r w:rsidR="00E22B2C" w:rsidRPr="00E22B2C">
        <w:rPr>
          <w:rFonts w:ascii="Times New Roman" w:hAnsi="Times New Roman" w:cs="Times New Roman"/>
        </w:rPr>
        <w:t xml:space="preserve">, consistent with the findings of </w:t>
      </w:r>
      <w:proofErr w:type="spellStart"/>
      <w:r w:rsidR="00E22B2C" w:rsidRPr="00E22B2C">
        <w:rPr>
          <w:rFonts w:ascii="Times New Roman" w:hAnsi="Times New Roman" w:cs="Times New Roman"/>
        </w:rPr>
        <w:t>Kocevska</w:t>
      </w:r>
      <w:proofErr w:type="spellEnd"/>
      <w:r w:rsidR="00E22B2C" w:rsidRPr="00E22B2C">
        <w:rPr>
          <w:rFonts w:ascii="Times New Roman" w:hAnsi="Times New Roman" w:cs="Times New Roman"/>
        </w:rPr>
        <w:t xml:space="preserve"> [24], may indicate short-term adjustment costs or inefficiencies in expenditure allocation. </w:t>
      </w:r>
      <w:r w:rsidRPr="00297779">
        <w:rPr>
          <w:rFonts w:ascii="Times New Roman" w:hAnsi="Times New Roman" w:cs="Times New Roman"/>
        </w:rPr>
        <w:t xml:space="preserve">In contrast, the long-run </w:t>
      </w:r>
      <w:r w:rsidR="003D74C6">
        <w:rPr>
          <w:rFonts w:ascii="Times New Roman" w:hAnsi="Times New Roman" w:cs="Times New Roman"/>
        </w:rPr>
        <w:t xml:space="preserve">estimated </w:t>
      </w:r>
      <w:r w:rsidRPr="00297779">
        <w:rPr>
          <w:rFonts w:ascii="Times New Roman" w:hAnsi="Times New Roman" w:cs="Times New Roman"/>
        </w:rPr>
        <w:t xml:space="preserve">coefficient </w:t>
      </w:r>
      <w:bookmarkStart w:id="5" w:name="_Hlk204481501"/>
      <w:r w:rsidR="003D74C6">
        <w:rPr>
          <w:rFonts w:ascii="Times New Roman" w:hAnsi="Times New Roman" w:cs="Times New Roman"/>
        </w:rPr>
        <w:t>turns</w:t>
      </w:r>
      <w:r w:rsidRPr="00297779">
        <w:rPr>
          <w:rFonts w:ascii="Times New Roman" w:hAnsi="Times New Roman" w:cs="Times New Roman"/>
        </w:rPr>
        <w:t xml:space="preserve"> positive and statistically significant</w:t>
      </w:r>
      <w:bookmarkEnd w:id="5"/>
      <w:r w:rsidRPr="00297779">
        <w:rPr>
          <w:rFonts w:ascii="Times New Roman" w:hAnsi="Times New Roman" w:cs="Times New Roman"/>
        </w:rPr>
        <w:t xml:space="preserve">, where a </w:t>
      </w:r>
      <w:r>
        <w:rPr>
          <w:rFonts w:ascii="Times New Roman" w:hAnsi="Times New Roman" w:cs="Times New Roman"/>
        </w:rPr>
        <w:t>1</w:t>
      </w:r>
      <w:r w:rsidR="006B4F79">
        <w:rPr>
          <w:rFonts w:ascii="Times New Roman" w:hAnsi="Times New Roman" w:cs="Times New Roman"/>
        </w:rPr>
        <w:t>%</w:t>
      </w:r>
      <w:r>
        <w:rPr>
          <w:rFonts w:ascii="Times New Roman" w:hAnsi="Times New Roman" w:cs="Times New Roman"/>
        </w:rPr>
        <w:t xml:space="preserve"> </w:t>
      </w:r>
      <w:r w:rsidRPr="00297779">
        <w:rPr>
          <w:rFonts w:ascii="Times New Roman" w:hAnsi="Times New Roman" w:cs="Times New Roman"/>
        </w:rPr>
        <w:t xml:space="preserve">increase in government </w:t>
      </w:r>
      <w:r w:rsidR="004079B8">
        <w:rPr>
          <w:rFonts w:ascii="Times New Roman" w:hAnsi="Times New Roman" w:cs="Times New Roman"/>
        </w:rPr>
        <w:t xml:space="preserve">recurrent </w:t>
      </w:r>
      <w:r w:rsidRPr="00297779">
        <w:rPr>
          <w:rFonts w:ascii="Times New Roman" w:hAnsi="Times New Roman" w:cs="Times New Roman"/>
        </w:rPr>
        <w:t>expenditure on education corresponds to a 0.133</w:t>
      </w:r>
      <w:r w:rsidR="00D77993">
        <w:rPr>
          <w:rFonts w:ascii="Times New Roman" w:hAnsi="Times New Roman" w:cs="Times New Roman"/>
        </w:rPr>
        <w:t>%</w:t>
      </w:r>
      <w:r w:rsidRPr="00297779">
        <w:rPr>
          <w:rFonts w:ascii="Times New Roman" w:hAnsi="Times New Roman" w:cs="Times New Roman"/>
        </w:rPr>
        <w:t xml:space="preserve"> increase in real GDP </w:t>
      </w:r>
      <w:r w:rsidRPr="004079B8">
        <w:rPr>
          <w:rFonts w:ascii="Times New Roman" w:hAnsi="Times New Roman" w:cs="Times New Roman"/>
          <w:i/>
          <w:iCs/>
        </w:rPr>
        <w:t>per capita.</w:t>
      </w:r>
      <w:r w:rsidRPr="006162FB">
        <w:rPr>
          <w:rFonts w:ascii="Times New Roman" w:hAnsi="Times New Roman" w:cs="Times New Roman"/>
        </w:rPr>
        <w:t xml:space="preserve"> </w:t>
      </w:r>
      <w:r w:rsidR="00C05A01" w:rsidRPr="00C05A01">
        <w:rPr>
          <w:rFonts w:ascii="Times New Roman" w:hAnsi="Times New Roman" w:cs="Times New Roman"/>
        </w:rPr>
        <w:t>This is in line with the study’s a priori expectations and corroborates the results of</w:t>
      </w:r>
      <w:r w:rsidR="00C05A01">
        <w:rPr>
          <w:rFonts w:ascii="Times New Roman" w:hAnsi="Times New Roman" w:cs="Times New Roman"/>
        </w:rPr>
        <w:t xml:space="preserve"> Christopher </w:t>
      </w:r>
      <w:r w:rsidR="00C05A01" w:rsidRPr="00B84749">
        <w:rPr>
          <w:rFonts w:ascii="Times New Roman" w:hAnsi="Times New Roman" w:cs="Times New Roman"/>
          <w:i/>
          <w:iCs/>
        </w:rPr>
        <w:t>et al</w:t>
      </w:r>
      <w:r w:rsidR="00C05A01">
        <w:rPr>
          <w:rFonts w:ascii="Times New Roman" w:hAnsi="Times New Roman" w:cs="Times New Roman"/>
        </w:rPr>
        <w:t xml:space="preserve">., [25], </w:t>
      </w:r>
      <w:r w:rsidR="00C05A01" w:rsidRPr="00C05A01">
        <w:rPr>
          <w:rFonts w:ascii="Times New Roman" w:hAnsi="Times New Roman" w:cs="Times New Roman"/>
        </w:rPr>
        <w:t>though it diverges from earlier evidence reported in [26, 32]. The contrast between short-run and long-run results underscores the temporal asymmetries inherent in human capital investment returns, where immediate disruptions give way to sustained growth effects over time.</w:t>
      </w:r>
    </w:p>
    <w:p w14:paraId="0C507FEC" w14:textId="20933F79" w:rsidR="005B577F" w:rsidRPr="00C05A01" w:rsidRDefault="00E9459B" w:rsidP="00C05A01">
      <w:pPr>
        <w:spacing w:after="200" w:line="480" w:lineRule="auto"/>
        <w:ind w:right="90"/>
        <w:jc w:val="both"/>
        <w:rPr>
          <w:rFonts w:ascii="Times New Roman" w:hAnsi="Times New Roman" w:cs="Times New Roman"/>
        </w:rPr>
      </w:pPr>
      <w:r>
        <w:rPr>
          <w:rFonts w:ascii="Times New Roman" w:eastAsia="Calibri" w:hAnsi="Times New Roman"/>
        </w:rPr>
        <w:t>For</w:t>
      </w:r>
      <w:r w:rsidR="005B577F" w:rsidRPr="00C223ED">
        <w:rPr>
          <w:rFonts w:ascii="Times New Roman" w:eastAsia="Calibri" w:hAnsi="Times New Roman"/>
        </w:rPr>
        <w:t xml:space="preserve"> </w:t>
      </w:r>
      <w:bookmarkStart w:id="6" w:name="_Hlk204481580"/>
      <w:r w:rsidR="005B577F" w:rsidRPr="00C223ED">
        <w:rPr>
          <w:rFonts w:ascii="Times New Roman" w:eastAsia="Calibri" w:hAnsi="Times New Roman"/>
        </w:rPr>
        <w:t>female secondary school enrolment</w:t>
      </w:r>
      <w:bookmarkEnd w:id="6"/>
      <w:r w:rsidR="005B577F" w:rsidRPr="00692278">
        <w:rPr>
          <w:rFonts w:ascii="Times New Roman" w:eastAsia="Calibri" w:hAnsi="Times New Roman"/>
        </w:rPr>
        <w:t>,</w:t>
      </w:r>
      <w:r w:rsidR="005B577F">
        <w:rPr>
          <w:rFonts w:ascii="Times New Roman" w:eastAsia="Calibri" w:hAnsi="Times New Roman"/>
        </w:rPr>
        <w:t xml:space="preserve"> </w:t>
      </w:r>
      <w:r w:rsidR="005B577F" w:rsidRPr="00C223ED">
        <w:rPr>
          <w:rFonts w:ascii="Times New Roman" w:eastAsia="Calibri" w:hAnsi="Times New Roman"/>
        </w:rPr>
        <w:t xml:space="preserve">the short-run coefficient is positive and statistically significant, indicating that a </w:t>
      </w:r>
      <w:r w:rsidR="005B577F">
        <w:rPr>
          <w:rFonts w:ascii="Times New Roman" w:eastAsia="Calibri" w:hAnsi="Times New Roman"/>
        </w:rPr>
        <w:t>one unit</w:t>
      </w:r>
      <w:r w:rsidR="005B577F" w:rsidRPr="00C223ED">
        <w:rPr>
          <w:rFonts w:ascii="Times New Roman" w:eastAsia="Calibri" w:hAnsi="Times New Roman"/>
        </w:rPr>
        <w:t xml:space="preserve"> increase in female secondary school enrolment </w:t>
      </w:r>
      <w:r w:rsidR="00EF043C" w:rsidRPr="00EF043C">
        <w:rPr>
          <w:rFonts w:ascii="Times New Roman" w:eastAsia="Calibri" w:hAnsi="Times New Roman"/>
        </w:rPr>
        <w:t>is associated with a 0.002% rise</w:t>
      </w:r>
      <w:r w:rsidR="00EF043C">
        <w:rPr>
          <w:rFonts w:ascii="Times New Roman" w:eastAsia="Calibri" w:hAnsi="Times New Roman"/>
        </w:rPr>
        <w:t xml:space="preserve"> </w:t>
      </w:r>
      <w:r w:rsidR="005B577F" w:rsidRPr="00C223ED">
        <w:rPr>
          <w:rFonts w:ascii="Times New Roman" w:eastAsia="Calibri" w:hAnsi="Times New Roman"/>
        </w:rPr>
        <w:t xml:space="preserve">in real GDP </w:t>
      </w:r>
      <w:r w:rsidR="005B577F" w:rsidRPr="00F06AB5">
        <w:rPr>
          <w:rFonts w:ascii="Times New Roman" w:eastAsia="Calibri" w:hAnsi="Times New Roman"/>
          <w:i/>
          <w:iCs/>
        </w:rPr>
        <w:t>per capita</w:t>
      </w:r>
      <w:r w:rsidR="005B577F" w:rsidRPr="00C223ED">
        <w:rPr>
          <w:rFonts w:ascii="Times New Roman" w:eastAsia="Calibri" w:hAnsi="Times New Roman"/>
        </w:rPr>
        <w:t xml:space="preserve">. </w:t>
      </w:r>
      <w:r w:rsidR="006376B2" w:rsidRPr="006376B2">
        <w:rPr>
          <w:rFonts w:ascii="Times New Roman" w:eastAsia="Calibri" w:hAnsi="Times New Roman"/>
        </w:rPr>
        <w:t xml:space="preserve">This result suggests that enhanced female participation at the secondary education level may quickly translate into productivity gains, potentially via improved labour market participation or the broader </w:t>
      </w:r>
      <w:proofErr w:type="spellStart"/>
      <w:r w:rsidR="006376B2" w:rsidRPr="006376B2">
        <w:rPr>
          <w:rFonts w:ascii="Times New Roman" w:eastAsia="Calibri" w:hAnsi="Times New Roman"/>
        </w:rPr>
        <w:t>spillovers</w:t>
      </w:r>
      <w:proofErr w:type="spellEnd"/>
      <w:r w:rsidR="006376B2" w:rsidRPr="006376B2">
        <w:rPr>
          <w:rFonts w:ascii="Times New Roman" w:eastAsia="Calibri" w:hAnsi="Times New Roman"/>
        </w:rPr>
        <w:t xml:space="preserve"> of gender-inclusive human capital formation</w:t>
      </w:r>
      <w:r w:rsidR="005B577F" w:rsidRPr="00692278">
        <w:rPr>
          <w:rFonts w:ascii="Times New Roman" w:eastAsia="Calibri" w:hAnsi="Times New Roman"/>
        </w:rPr>
        <w:t xml:space="preserve">. </w:t>
      </w:r>
      <w:r w:rsidR="005B577F" w:rsidRPr="00C223ED">
        <w:rPr>
          <w:rFonts w:ascii="Times New Roman" w:eastAsia="Calibri" w:hAnsi="Times New Roman"/>
        </w:rPr>
        <w:t>In the long run</w:t>
      </w:r>
      <w:r w:rsidR="00C97DDB">
        <w:rPr>
          <w:rFonts w:ascii="Times New Roman" w:eastAsia="Calibri" w:hAnsi="Times New Roman"/>
        </w:rPr>
        <w:t>,</w:t>
      </w:r>
      <w:r w:rsidR="00C97DDB" w:rsidRPr="00C97DDB">
        <w:t xml:space="preserve"> </w:t>
      </w:r>
      <w:r w:rsidR="00C97DDB" w:rsidRPr="00C97DDB">
        <w:rPr>
          <w:rFonts w:ascii="Times New Roman" w:eastAsia="Calibri" w:hAnsi="Times New Roman"/>
        </w:rPr>
        <w:t>the effect remains positive and statistically significant</w:t>
      </w:r>
      <w:r w:rsidR="005B577F" w:rsidRPr="00C223ED">
        <w:rPr>
          <w:rFonts w:ascii="Times New Roman" w:eastAsia="Calibri" w:hAnsi="Times New Roman"/>
        </w:rPr>
        <w:t xml:space="preserve">, with a </w:t>
      </w:r>
      <w:r w:rsidR="005B577F">
        <w:rPr>
          <w:rFonts w:ascii="Times New Roman" w:eastAsia="Calibri" w:hAnsi="Times New Roman"/>
        </w:rPr>
        <w:t xml:space="preserve">one unit </w:t>
      </w:r>
      <w:r w:rsidR="005B577F" w:rsidRPr="00C223ED">
        <w:rPr>
          <w:rFonts w:ascii="Times New Roman" w:eastAsia="Calibri" w:hAnsi="Times New Roman"/>
        </w:rPr>
        <w:t>increase in female secondary school enrolment associated with a 0.026</w:t>
      </w:r>
      <w:r w:rsidR="00E20130">
        <w:rPr>
          <w:rFonts w:ascii="Times New Roman" w:eastAsia="Calibri" w:hAnsi="Times New Roman"/>
        </w:rPr>
        <w:t>%</w:t>
      </w:r>
      <w:r w:rsidR="005B577F">
        <w:rPr>
          <w:rFonts w:ascii="Times New Roman" w:eastAsia="Calibri" w:hAnsi="Times New Roman"/>
        </w:rPr>
        <w:t xml:space="preserve"> </w:t>
      </w:r>
      <w:r w:rsidR="005B577F">
        <w:rPr>
          <w:rFonts w:ascii="Times New Roman" w:hAnsi="Times New Roman" w:cs="Times New Roman"/>
        </w:rPr>
        <w:t>increase</w:t>
      </w:r>
      <w:r w:rsidR="005B577F" w:rsidRPr="00C223ED">
        <w:rPr>
          <w:rFonts w:ascii="Times New Roman" w:eastAsia="Calibri" w:hAnsi="Times New Roman"/>
        </w:rPr>
        <w:t xml:space="preserve"> in real GDP </w:t>
      </w:r>
      <w:r w:rsidR="005B577F" w:rsidRPr="0088671C">
        <w:rPr>
          <w:rFonts w:ascii="Times New Roman" w:eastAsia="Calibri" w:hAnsi="Times New Roman"/>
          <w:i/>
          <w:iCs/>
        </w:rPr>
        <w:t>per capita.</w:t>
      </w:r>
      <w:r w:rsidR="005B577F" w:rsidRPr="00692278">
        <w:rPr>
          <w:rFonts w:ascii="Times New Roman" w:eastAsia="Calibri" w:hAnsi="Times New Roman"/>
        </w:rPr>
        <w:t xml:space="preserve"> </w:t>
      </w:r>
      <w:r w:rsidR="00BB34C0" w:rsidRPr="00BB34C0">
        <w:rPr>
          <w:rFonts w:ascii="Times New Roman" w:eastAsia="Calibri" w:hAnsi="Times New Roman"/>
        </w:rPr>
        <w:t xml:space="preserve">These results align with human capital theory and the empirical findings of </w:t>
      </w:r>
      <w:proofErr w:type="spellStart"/>
      <w:r w:rsidR="00BB34C0" w:rsidRPr="00BB34C0">
        <w:rPr>
          <w:rFonts w:ascii="Times New Roman" w:eastAsia="Calibri" w:hAnsi="Times New Roman"/>
        </w:rPr>
        <w:t>Sehar</w:t>
      </w:r>
      <w:proofErr w:type="spellEnd"/>
      <w:r w:rsidR="00BB34C0" w:rsidRPr="00BB34C0">
        <w:rPr>
          <w:rFonts w:ascii="Times New Roman" w:eastAsia="Calibri" w:hAnsi="Times New Roman"/>
        </w:rPr>
        <w:t xml:space="preserve"> et al. [11].</w:t>
      </w:r>
    </w:p>
    <w:p w14:paraId="07482A66" w14:textId="6143855D" w:rsidR="005B577F" w:rsidRPr="007F7B5E" w:rsidRDefault="00E9459B" w:rsidP="005B577F">
      <w:pPr>
        <w:spacing w:line="480" w:lineRule="auto"/>
        <w:jc w:val="both"/>
        <w:rPr>
          <w:rFonts w:ascii="Times New Roman" w:eastAsia="Calibri" w:hAnsi="Times New Roman"/>
        </w:rPr>
      </w:pPr>
      <w:r>
        <w:rPr>
          <w:rFonts w:ascii="Times New Roman" w:eastAsia="Calibri" w:hAnsi="Times New Roman"/>
        </w:rPr>
        <w:lastRenderedPageBreak/>
        <w:t>T</w:t>
      </w:r>
      <w:r w:rsidR="005B577F" w:rsidRPr="00C223ED">
        <w:rPr>
          <w:rFonts w:ascii="Times New Roman" w:eastAsia="Calibri" w:hAnsi="Times New Roman"/>
        </w:rPr>
        <w:t xml:space="preserve">he </w:t>
      </w:r>
      <w:bookmarkStart w:id="7" w:name="_Hlk204481679"/>
      <w:r w:rsidR="005B577F" w:rsidRPr="00C223ED">
        <w:rPr>
          <w:rFonts w:ascii="Times New Roman" w:eastAsia="Calibri" w:hAnsi="Times New Roman"/>
        </w:rPr>
        <w:t>Gender Parity Index (GPI) for primary school enrolment</w:t>
      </w:r>
      <w:bookmarkEnd w:id="7"/>
      <w:r w:rsidR="005B577F" w:rsidRPr="00692278">
        <w:rPr>
          <w:rFonts w:ascii="Times New Roman" w:eastAsia="Calibri" w:hAnsi="Times New Roman"/>
        </w:rPr>
        <w:t xml:space="preserve">, </w:t>
      </w:r>
      <w:r w:rsidR="005B577F" w:rsidRPr="00C223ED">
        <w:rPr>
          <w:rFonts w:ascii="Times New Roman" w:eastAsia="Calibri" w:hAnsi="Times New Roman"/>
        </w:rPr>
        <w:t xml:space="preserve">the short-run </w:t>
      </w:r>
      <w:r w:rsidR="006B3831" w:rsidRPr="00C223ED">
        <w:rPr>
          <w:rFonts w:ascii="Times New Roman" w:eastAsia="Calibri" w:hAnsi="Times New Roman"/>
        </w:rPr>
        <w:t xml:space="preserve">coefficient </w:t>
      </w:r>
      <w:r w:rsidR="006B3831">
        <w:rPr>
          <w:rFonts w:ascii="Times New Roman" w:eastAsia="Calibri" w:hAnsi="Times New Roman"/>
        </w:rPr>
        <w:t xml:space="preserve">at </w:t>
      </w:r>
      <w:r w:rsidR="005B577F" w:rsidRPr="00C223ED">
        <w:rPr>
          <w:rFonts w:ascii="Times New Roman" w:eastAsia="Calibri" w:hAnsi="Times New Roman"/>
        </w:rPr>
        <w:t>the immediate</w:t>
      </w:r>
      <w:r w:rsidR="005B577F">
        <w:rPr>
          <w:rFonts w:ascii="Times New Roman" w:eastAsia="Calibri" w:hAnsi="Times New Roman"/>
        </w:rPr>
        <w:t xml:space="preserve"> </w:t>
      </w:r>
      <w:r w:rsidR="005B577F" w:rsidRPr="00C223ED">
        <w:rPr>
          <w:rFonts w:ascii="Times New Roman" w:eastAsia="Calibri" w:hAnsi="Times New Roman"/>
        </w:rPr>
        <w:t xml:space="preserve">year </w:t>
      </w:r>
      <w:r w:rsidR="006B3831">
        <w:rPr>
          <w:rFonts w:ascii="Times New Roman" w:eastAsia="Calibri" w:hAnsi="Times New Roman"/>
        </w:rPr>
        <w:t>shows a</w:t>
      </w:r>
      <w:r w:rsidR="005B577F" w:rsidRPr="00C223ED">
        <w:rPr>
          <w:rFonts w:ascii="Times New Roman" w:eastAsia="Calibri" w:hAnsi="Times New Roman"/>
        </w:rPr>
        <w:t xml:space="preserve"> negative </w:t>
      </w:r>
      <w:r w:rsidR="004E1720">
        <w:rPr>
          <w:rFonts w:ascii="Times New Roman" w:eastAsia="Calibri" w:hAnsi="Times New Roman"/>
        </w:rPr>
        <w:t>and</w:t>
      </w:r>
      <w:r w:rsidR="005B577F" w:rsidRPr="00C223ED">
        <w:rPr>
          <w:rFonts w:ascii="Times New Roman" w:eastAsia="Calibri" w:hAnsi="Times New Roman"/>
        </w:rPr>
        <w:t xml:space="preserve"> statistically insignificant, with a </w:t>
      </w:r>
      <w:r w:rsidR="005B577F">
        <w:rPr>
          <w:rFonts w:ascii="Times New Roman" w:eastAsia="Calibri" w:hAnsi="Times New Roman"/>
        </w:rPr>
        <w:t xml:space="preserve">one unit </w:t>
      </w:r>
      <w:r w:rsidR="005B577F" w:rsidRPr="00C223ED">
        <w:rPr>
          <w:rFonts w:ascii="Times New Roman" w:eastAsia="Calibri" w:hAnsi="Times New Roman"/>
        </w:rPr>
        <w:t xml:space="preserve">increase in GPI </w:t>
      </w:r>
      <w:r w:rsidR="005B577F">
        <w:rPr>
          <w:rFonts w:ascii="Times New Roman" w:eastAsia="Calibri" w:hAnsi="Times New Roman"/>
        </w:rPr>
        <w:t>associated with</w:t>
      </w:r>
      <w:r w:rsidR="005B577F" w:rsidRPr="00C223ED">
        <w:rPr>
          <w:rFonts w:ascii="Times New Roman" w:eastAsia="Calibri" w:hAnsi="Times New Roman"/>
        </w:rPr>
        <w:t xml:space="preserve"> a </w:t>
      </w:r>
      <w:r w:rsidR="006B3831">
        <w:rPr>
          <w:rFonts w:ascii="Times New Roman" w:eastAsia="Calibri" w:hAnsi="Times New Roman"/>
        </w:rPr>
        <w:t>-</w:t>
      </w:r>
      <w:r w:rsidR="005B577F" w:rsidRPr="00C223ED">
        <w:rPr>
          <w:rFonts w:ascii="Times New Roman" w:eastAsia="Calibri" w:hAnsi="Times New Roman"/>
        </w:rPr>
        <w:t>0.112</w:t>
      </w:r>
      <w:r w:rsidR="00F373B2">
        <w:rPr>
          <w:rFonts w:ascii="Times New Roman" w:eastAsia="Calibri" w:hAnsi="Times New Roman"/>
        </w:rPr>
        <w:t xml:space="preserve">% </w:t>
      </w:r>
      <w:r w:rsidR="005B577F" w:rsidRPr="00C223ED">
        <w:rPr>
          <w:rFonts w:ascii="Times New Roman" w:eastAsia="Calibri" w:hAnsi="Times New Roman"/>
        </w:rPr>
        <w:t xml:space="preserve">decrease in real GDP </w:t>
      </w:r>
      <w:r w:rsidR="005B577F" w:rsidRPr="00405A5E">
        <w:rPr>
          <w:rFonts w:ascii="Times New Roman" w:eastAsia="Calibri" w:hAnsi="Times New Roman"/>
          <w:i/>
          <w:iCs/>
        </w:rPr>
        <w:t>per capita</w:t>
      </w:r>
      <w:r w:rsidR="005B577F" w:rsidRPr="00C223ED">
        <w:rPr>
          <w:rFonts w:ascii="Times New Roman" w:eastAsia="Calibri" w:hAnsi="Times New Roman"/>
        </w:rPr>
        <w:t xml:space="preserve">. </w:t>
      </w:r>
      <w:r w:rsidR="00B0328B" w:rsidRPr="00B0328B">
        <w:rPr>
          <w:rFonts w:ascii="Times New Roman" w:eastAsia="Calibri" w:hAnsi="Times New Roman"/>
        </w:rPr>
        <w:t>At lags 1 and 2, the coefficients turn positive; statistical significance is observed only at lag 1, where a one</w:t>
      </w:r>
      <w:r w:rsidR="000E5DB4">
        <w:rPr>
          <w:rFonts w:ascii="Times New Roman" w:eastAsia="Calibri" w:hAnsi="Times New Roman"/>
        </w:rPr>
        <w:t xml:space="preserve"> </w:t>
      </w:r>
      <w:r w:rsidR="00B0328B" w:rsidRPr="00B0328B">
        <w:rPr>
          <w:rFonts w:ascii="Times New Roman" w:eastAsia="Calibri" w:hAnsi="Times New Roman"/>
        </w:rPr>
        <w:t xml:space="preserve">unit increase in GPI results in a 0.609% increase in real GDP </w:t>
      </w:r>
      <w:r w:rsidR="00B0328B" w:rsidRPr="009D0CBF">
        <w:rPr>
          <w:rFonts w:ascii="Times New Roman" w:eastAsia="Calibri" w:hAnsi="Times New Roman"/>
          <w:i/>
          <w:iCs/>
        </w:rPr>
        <w:t>per capita</w:t>
      </w:r>
      <w:r w:rsidR="00B0328B" w:rsidRPr="00B0328B">
        <w:rPr>
          <w:rFonts w:ascii="Times New Roman" w:eastAsia="Calibri" w:hAnsi="Times New Roman"/>
        </w:rPr>
        <w:t>. At lag 2, a 0.269% increase is observed, though without statistical significance</w:t>
      </w:r>
      <w:r w:rsidR="005B577F" w:rsidRPr="00692278">
        <w:rPr>
          <w:rFonts w:ascii="Times New Roman" w:eastAsia="Calibri" w:hAnsi="Times New Roman"/>
        </w:rPr>
        <w:t xml:space="preserve">. </w:t>
      </w:r>
      <w:r w:rsidR="005B577F">
        <w:rPr>
          <w:rFonts w:ascii="Times New Roman" w:eastAsia="Calibri" w:hAnsi="Times New Roman"/>
        </w:rPr>
        <w:t xml:space="preserve">Conversely, </w:t>
      </w:r>
      <w:r w:rsidR="005B577F" w:rsidRPr="00DD7C99">
        <w:rPr>
          <w:rFonts w:ascii="Times New Roman" w:eastAsia="Calibri" w:hAnsi="Times New Roman"/>
        </w:rPr>
        <w:t>the long-run coefficient for GPI reveals a negative and statistically significant, where a one</w:t>
      </w:r>
      <w:r w:rsidR="005B577F">
        <w:rPr>
          <w:rFonts w:ascii="Times New Roman" w:eastAsia="Calibri" w:hAnsi="Times New Roman"/>
        </w:rPr>
        <w:t xml:space="preserve"> </w:t>
      </w:r>
      <w:r w:rsidR="005B577F" w:rsidRPr="00DD7C99">
        <w:rPr>
          <w:rFonts w:ascii="Times New Roman" w:eastAsia="Calibri" w:hAnsi="Times New Roman"/>
        </w:rPr>
        <w:t xml:space="preserve">unit increase in GPI leads to a </w:t>
      </w:r>
      <w:r w:rsidR="009F3BBD">
        <w:rPr>
          <w:rFonts w:ascii="Times New Roman" w:eastAsia="Calibri" w:hAnsi="Times New Roman"/>
        </w:rPr>
        <w:t>-</w:t>
      </w:r>
      <w:r w:rsidR="005B577F" w:rsidRPr="00DD7C99">
        <w:rPr>
          <w:rFonts w:ascii="Times New Roman" w:eastAsia="Calibri" w:hAnsi="Times New Roman"/>
        </w:rPr>
        <w:t>4.331</w:t>
      </w:r>
      <w:r w:rsidR="00034670">
        <w:rPr>
          <w:rFonts w:ascii="Times New Roman" w:eastAsia="Calibri" w:hAnsi="Times New Roman"/>
        </w:rPr>
        <w:t>%</w:t>
      </w:r>
      <w:r w:rsidR="009F3BBD">
        <w:rPr>
          <w:rFonts w:ascii="Times New Roman" w:eastAsia="Calibri" w:hAnsi="Times New Roman"/>
        </w:rPr>
        <w:t xml:space="preserve"> </w:t>
      </w:r>
      <w:r w:rsidR="005B577F" w:rsidRPr="00DD7C99">
        <w:rPr>
          <w:rFonts w:ascii="Times New Roman" w:eastAsia="Calibri" w:hAnsi="Times New Roman"/>
        </w:rPr>
        <w:t xml:space="preserve">decrease in GDP </w:t>
      </w:r>
      <w:r w:rsidR="005B577F" w:rsidRPr="00C50A0A">
        <w:rPr>
          <w:rFonts w:ascii="Times New Roman" w:eastAsia="Calibri" w:hAnsi="Times New Roman"/>
          <w:i/>
          <w:iCs/>
        </w:rPr>
        <w:t>per capita</w:t>
      </w:r>
      <w:r w:rsidR="005B577F" w:rsidRPr="00692278">
        <w:rPr>
          <w:rFonts w:ascii="Times New Roman" w:eastAsia="Calibri" w:hAnsi="Times New Roman"/>
        </w:rPr>
        <w:t xml:space="preserve">. </w:t>
      </w:r>
      <w:r w:rsidR="002F6103" w:rsidRPr="002F6103">
        <w:rPr>
          <w:rFonts w:ascii="Times New Roman" w:eastAsia="Calibri" w:hAnsi="Times New Roman"/>
        </w:rPr>
        <w:t>These long-run results run counter to the study’s a priori expectations</w:t>
      </w:r>
      <w:r w:rsidR="005B577F" w:rsidRPr="00DD7C99">
        <w:rPr>
          <w:rFonts w:ascii="Times New Roman" w:eastAsia="Calibri" w:hAnsi="Times New Roman"/>
        </w:rPr>
        <w:t xml:space="preserve"> and do not conform to the theoretical assumptions underpinning Sen’s Capability Approach</w:t>
      </w:r>
      <w:r w:rsidR="005B577F">
        <w:rPr>
          <w:rFonts w:ascii="Times New Roman" w:hAnsi="Times New Roman" w:cs="Times New Roman"/>
        </w:rPr>
        <w:t>.</w:t>
      </w:r>
    </w:p>
    <w:p w14:paraId="768F3E3A" w14:textId="4EC201FD" w:rsidR="005B577F" w:rsidRPr="00652CBF" w:rsidRDefault="005B577F" w:rsidP="005B577F">
      <w:pPr>
        <w:spacing w:after="200" w:line="480" w:lineRule="auto"/>
        <w:ind w:right="90"/>
        <w:jc w:val="both"/>
        <w:rPr>
          <w:rFonts w:ascii="Times New Roman" w:hAnsi="Times New Roman" w:cs="Times New Roman"/>
          <w:i/>
        </w:rPr>
      </w:pPr>
      <w:r w:rsidRPr="00652CBF">
        <w:rPr>
          <w:rFonts w:ascii="Times New Roman" w:hAnsi="Times New Roman" w:cs="Times New Roman"/>
        </w:rPr>
        <w:t>The error correction term (</w:t>
      </w:r>
      <w:proofErr w:type="spellStart"/>
      <w:r w:rsidRPr="00652CBF">
        <w:rPr>
          <w:rFonts w:ascii="Times New Roman" w:hAnsi="Times New Roman" w:cs="Times New Roman"/>
        </w:rPr>
        <w:t>CointEq</w:t>
      </w:r>
      <w:proofErr w:type="spellEnd"/>
      <w:r w:rsidRPr="00652CBF">
        <w:rPr>
          <w:rFonts w:ascii="Times New Roman" w:hAnsi="Times New Roman" w:cs="Times New Roman"/>
        </w:rPr>
        <w:t xml:space="preserve"> (-1)) with </w:t>
      </w:r>
      <w:r>
        <w:rPr>
          <w:rFonts w:ascii="Times New Roman" w:hAnsi="Times New Roman" w:cs="Times New Roman"/>
        </w:rPr>
        <w:t xml:space="preserve">the </w:t>
      </w:r>
      <w:r w:rsidRPr="00417BDF">
        <w:rPr>
          <w:rFonts w:ascii="Times New Roman" w:hAnsi="Times New Roman" w:cs="Times New Roman"/>
        </w:rPr>
        <w:t>negative sign of</w:t>
      </w:r>
      <w:r>
        <w:rPr>
          <w:rFonts w:ascii="Times New Roman" w:hAnsi="Times New Roman" w:cs="Times New Roman"/>
        </w:rPr>
        <w:t xml:space="preserve"> </w:t>
      </w:r>
      <w:r w:rsidRPr="00652CBF">
        <w:rPr>
          <w:rFonts w:ascii="Times New Roman" w:hAnsi="Times New Roman" w:cs="Times New Roman"/>
        </w:rPr>
        <w:t>a coefficient -0. 190338</w:t>
      </w:r>
      <w:r w:rsidR="00C47E6A">
        <w:rPr>
          <w:rFonts w:ascii="Times New Roman" w:hAnsi="Times New Roman" w:cs="Times New Roman"/>
        </w:rPr>
        <w:t>,</w:t>
      </w:r>
      <w:r w:rsidR="00C47E6A" w:rsidRPr="00C47E6A">
        <w:t xml:space="preserve"> </w:t>
      </w:r>
      <w:r w:rsidR="00C47E6A" w:rsidRPr="00C47E6A">
        <w:rPr>
          <w:rFonts w:ascii="Times New Roman" w:hAnsi="Times New Roman" w:cs="Times New Roman"/>
        </w:rPr>
        <w:t>confirms the expected negative sign and indicates that approximately 19.03% of deviations from the long-run equilibrium are corrected annually, demonstrating a strong tendency towards equilibrium restoration.</w:t>
      </w:r>
    </w:p>
    <w:p w14:paraId="0CF0448B" w14:textId="2815D149" w:rsidR="005B577F" w:rsidRPr="005B577F" w:rsidRDefault="00BA4867" w:rsidP="005B577F">
      <w:pPr>
        <w:spacing w:after="0" w:line="480" w:lineRule="auto"/>
        <w:ind w:right="90"/>
        <w:jc w:val="both"/>
        <w:rPr>
          <w:rFonts w:ascii="Times New Roman" w:hAnsi="Times New Roman" w:cs="Times New Roman"/>
          <w:b/>
          <w:bCs/>
        </w:rPr>
      </w:pPr>
      <w:r w:rsidRPr="00BA4867">
        <w:rPr>
          <w:rFonts w:ascii="Times New Roman" w:hAnsi="Times New Roman" w:cs="Times New Roman"/>
        </w:rPr>
        <w:t>Finally, the model exhibits strong explanatory power, with an R-squared value of 0.789199 and an adjusted R-squared of 0.725042. These statistics suggest that approximately 78.92% of the variation in real GDP per capita is explained by the model, while the adjusted R-squared of 72.50% confirms the robustness of the model after accounting for degrees of freedom</w:t>
      </w:r>
      <w:r w:rsidR="0038328A">
        <w:rPr>
          <w:rFonts w:ascii="Times New Roman" w:hAnsi="Times New Roman" w:cs="Times New Roman"/>
        </w:rPr>
        <w:t>.</w:t>
      </w:r>
    </w:p>
    <w:bookmarkStart w:id="8" w:name="_Hlk189990274"/>
    <w:bookmarkStart w:id="9" w:name="_Hlk204331861"/>
    <w:p w14:paraId="31A4E033" w14:textId="42BF364D" w:rsidR="00832003" w:rsidRPr="00D76FB7" w:rsidRDefault="00832003" w:rsidP="00832003">
      <w:pPr>
        <w:spacing w:after="0" w:line="360" w:lineRule="auto"/>
        <w:ind w:right="90"/>
        <w:jc w:val="both"/>
        <w:rPr>
          <w:rFonts w:ascii="Times New Roman" w:eastAsia="Calibri" w:hAnsi="Times New Roman" w:cs="Times New Roman"/>
          <w:b/>
          <w:kern w:val="0"/>
          <w:lang w:eastAsia="en-US"/>
          <w14:ligatures w14:val="none"/>
        </w:rPr>
      </w:pPr>
      <w:r w:rsidRPr="00A614CB">
        <w:rPr>
          <w:rFonts w:ascii="Calibri" w:eastAsia="Calibri" w:hAnsi="Calibri" w:cs="Times New Roman"/>
          <w:noProof/>
          <w:kern w:val="0"/>
          <w:lang w:val="en-US" w:eastAsia="en-US"/>
          <w14:ligatures w14:val="none"/>
        </w:rPr>
        <mc:AlternateContent>
          <mc:Choice Requires="wps">
            <w:drawing>
              <wp:anchor distT="0" distB="0" distL="114300" distR="114300" simplePos="0" relativeHeight="251659264" behindDoc="0" locked="0" layoutInCell="1" allowOverlap="1" wp14:anchorId="2F99167C" wp14:editId="1F007235">
                <wp:simplePos x="0" y="0"/>
                <wp:positionH relativeFrom="column">
                  <wp:posOffset>0</wp:posOffset>
                </wp:positionH>
                <wp:positionV relativeFrom="paragraph">
                  <wp:posOffset>177962</wp:posOffset>
                </wp:positionV>
                <wp:extent cx="4425950" cy="0"/>
                <wp:effectExtent l="0" t="0" r="0" b="0"/>
                <wp:wrapNone/>
                <wp:docPr id="340244786" name="Straight Connector 12"/>
                <wp:cNvGraphicFramePr/>
                <a:graphic xmlns:a="http://schemas.openxmlformats.org/drawingml/2006/main">
                  <a:graphicData uri="http://schemas.microsoft.com/office/word/2010/wordprocessingShape">
                    <wps:wsp>
                      <wps:cNvCnPr/>
                      <wps:spPr>
                        <a:xfrm>
                          <a:off x="0" y="0"/>
                          <a:ext cx="442595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87FA58E"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pt" to="34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" strokecolor="windowText" strokeweight="1pt">
                <v:stroke joinstyle="miter"/>
              </v:line>
            </w:pict>
          </mc:Fallback>
        </mc:AlternateContent>
      </w:r>
      <w:r>
        <w:rPr>
          <w:rFonts w:ascii="Times New Roman" w:eastAsia="Calibri" w:hAnsi="Times New Roman" w:cs="Times New Roman"/>
          <w:b/>
          <w:kern w:val="0"/>
          <w:lang w:eastAsia="en-US"/>
          <w14:ligatures w14:val="none"/>
        </w:rPr>
        <w:t>T</w:t>
      </w:r>
      <w:r w:rsidRPr="00A614CB">
        <w:rPr>
          <w:rFonts w:ascii="Times New Roman" w:hAnsi="Times New Roman" w:cs="Times New Roman"/>
          <w:b/>
        </w:rPr>
        <w:t xml:space="preserve">able </w:t>
      </w:r>
      <w:r>
        <w:rPr>
          <w:rFonts w:ascii="Times New Roman" w:hAnsi="Times New Roman" w:cs="Times New Roman"/>
          <w:b/>
        </w:rPr>
        <w:t>4</w:t>
      </w:r>
      <w:r w:rsidRPr="00A614CB">
        <w:rPr>
          <w:rFonts w:ascii="Times New Roman" w:hAnsi="Times New Roman" w:cs="Times New Roman"/>
          <w:b/>
        </w:rPr>
        <w:t xml:space="preserve">: </w:t>
      </w:r>
      <w:r w:rsidRPr="00A614CB">
        <w:rPr>
          <w:rFonts w:ascii="Times New Roman" w:eastAsia="Calibri" w:hAnsi="Times New Roman" w:cs="Times New Roman"/>
          <w:b/>
          <w:kern w:val="0"/>
          <w:lang w:eastAsia="en-US"/>
          <w14:ligatures w14:val="none"/>
        </w:rPr>
        <w:t xml:space="preserve">ARDL short and long run results for </w:t>
      </w:r>
      <w:r w:rsidR="00F712FC">
        <w:rPr>
          <w:rFonts w:ascii="Times New Roman" w:eastAsia="Calibri" w:hAnsi="Times New Roman" w:cs="Times New Roman"/>
          <w:b/>
          <w:kern w:val="0"/>
          <w:lang w:eastAsia="en-US"/>
          <w14:ligatures w14:val="none"/>
        </w:rPr>
        <w:t>the model</w:t>
      </w:r>
    </w:p>
    <w:p w14:paraId="1D39D886" w14:textId="77777777" w:rsidR="00832003" w:rsidRPr="001C300E" w:rsidRDefault="00832003" w:rsidP="00832003">
      <w:pPr>
        <w:spacing w:after="0" w:line="240" w:lineRule="auto"/>
        <w:ind w:left="2160" w:right="90" w:firstLine="720"/>
        <w:jc w:val="both"/>
        <w:rPr>
          <w:rFonts w:ascii="Arial" w:eastAsia="Calibri" w:hAnsi="Arial" w:cs="Arial"/>
          <w:b/>
          <w:kern w:val="0"/>
          <w:sz w:val="18"/>
          <w:szCs w:val="18"/>
          <w:lang w:eastAsia="en-US"/>
          <w14:ligatures w14:val="none"/>
        </w:rPr>
      </w:pPr>
      <w:r w:rsidRPr="001C300E">
        <w:rPr>
          <w:rFonts w:ascii="Arial" w:eastAsia="Calibri" w:hAnsi="Arial" w:cs="Arial"/>
          <w:b/>
          <w:kern w:val="0"/>
          <w:sz w:val="20"/>
          <w:lang w:eastAsia="en-US"/>
          <w14:ligatures w14:val="none"/>
        </w:rPr>
        <w:t>S</w:t>
      </w:r>
      <w:r w:rsidRPr="001C300E">
        <w:rPr>
          <w:rFonts w:ascii="Arial" w:eastAsia="Calibri" w:hAnsi="Arial" w:cs="Arial"/>
          <w:b/>
          <w:kern w:val="0"/>
          <w:sz w:val="18"/>
          <w:szCs w:val="18"/>
          <w:lang w:eastAsia="en-US"/>
          <w14:ligatures w14:val="none"/>
        </w:rPr>
        <w:t>hort run results</w:t>
      </w:r>
    </w:p>
    <w:tbl>
      <w:tblPr>
        <w:tblW w:w="0" w:type="auto"/>
        <w:tblInd w:w="30" w:type="dxa"/>
        <w:tblLayout w:type="fixed"/>
        <w:tblCellMar>
          <w:left w:w="0" w:type="dxa"/>
          <w:right w:w="0" w:type="dxa"/>
        </w:tblCellMar>
        <w:tblLook w:val="0000" w:firstRow="0" w:lastRow="0" w:firstColumn="0" w:lastColumn="0" w:noHBand="0" w:noVBand="0"/>
      </w:tblPr>
      <w:tblGrid>
        <w:gridCol w:w="2227"/>
        <w:gridCol w:w="1103"/>
        <w:gridCol w:w="1207"/>
        <w:gridCol w:w="1208"/>
        <w:gridCol w:w="997"/>
      </w:tblGrid>
      <w:tr w:rsidR="00832003" w14:paraId="79A99360" w14:textId="77777777" w:rsidTr="00B82BF5">
        <w:trPr>
          <w:trHeight w:val="225"/>
        </w:trPr>
        <w:tc>
          <w:tcPr>
            <w:tcW w:w="2227" w:type="dxa"/>
            <w:tcBorders>
              <w:top w:val="nil"/>
              <w:left w:val="nil"/>
              <w:bottom w:val="nil"/>
              <w:right w:val="nil"/>
            </w:tcBorders>
            <w:vAlign w:val="bottom"/>
          </w:tcPr>
          <w:p w14:paraId="4F3457E8"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Variable</w:t>
            </w:r>
          </w:p>
        </w:tc>
        <w:tc>
          <w:tcPr>
            <w:tcW w:w="1103" w:type="dxa"/>
            <w:tcBorders>
              <w:top w:val="nil"/>
              <w:left w:val="nil"/>
              <w:bottom w:val="nil"/>
              <w:right w:val="nil"/>
            </w:tcBorders>
            <w:vAlign w:val="bottom"/>
          </w:tcPr>
          <w:p w14:paraId="261D4735"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Coefficient</w:t>
            </w:r>
          </w:p>
        </w:tc>
        <w:tc>
          <w:tcPr>
            <w:tcW w:w="1207" w:type="dxa"/>
            <w:tcBorders>
              <w:top w:val="nil"/>
              <w:left w:val="nil"/>
              <w:bottom w:val="nil"/>
              <w:right w:val="nil"/>
            </w:tcBorders>
            <w:vAlign w:val="bottom"/>
          </w:tcPr>
          <w:p w14:paraId="4C41939F"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Std. Error</w:t>
            </w:r>
          </w:p>
        </w:tc>
        <w:tc>
          <w:tcPr>
            <w:tcW w:w="1208" w:type="dxa"/>
            <w:tcBorders>
              <w:top w:val="nil"/>
              <w:left w:val="nil"/>
              <w:bottom w:val="nil"/>
              <w:right w:val="nil"/>
            </w:tcBorders>
            <w:vAlign w:val="bottom"/>
          </w:tcPr>
          <w:p w14:paraId="0AC90CA9"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t-Statistic</w:t>
            </w:r>
          </w:p>
        </w:tc>
        <w:tc>
          <w:tcPr>
            <w:tcW w:w="997" w:type="dxa"/>
            <w:tcBorders>
              <w:top w:val="nil"/>
              <w:left w:val="nil"/>
              <w:bottom w:val="nil"/>
              <w:right w:val="nil"/>
            </w:tcBorders>
            <w:vAlign w:val="bottom"/>
          </w:tcPr>
          <w:p w14:paraId="5DF77753"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Prob.   </w:t>
            </w:r>
          </w:p>
        </w:tc>
      </w:tr>
      <w:tr w:rsidR="00832003" w14:paraId="298381B9" w14:textId="77777777" w:rsidTr="00B82BF5">
        <w:trPr>
          <w:trHeight w:val="225"/>
        </w:trPr>
        <w:tc>
          <w:tcPr>
            <w:tcW w:w="2227" w:type="dxa"/>
            <w:tcBorders>
              <w:top w:val="nil"/>
              <w:left w:val="nil"/>
              <w:bottom w:val="nil"/>
              <w:right w:val="nil"/>
            </w:tcBorders>
            <w:vAlign w:val="bottom"/>
          </w:tcPr>
          <w:p w14:paraId="7987BD1D"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D(GEDU)</w:t>
            </w:r>
          </w:p>
        </w:tc>
        <w:tc>
          <w:tcPr>
            <w:tcW w:w="1103" w:type="dxa"/>
            <w:tcBorders>
              <w:top w:val="nil"/>
              <w:left w:val="nil"/>
              <w:bottom w:val="nil"/>
              <w:right w:val="nil"/>
            </w:tcBorders>
            <w:vAlign w:val="bottom"/>
          </w:tcPr>
          <w:p w14:paraId="676EE975"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-0.007070</w:t>
            </w:r>
          </w:p>
        </w:tc>
        <w:tc>
          <w:tcPr>
            <w:tcW w:w="1207" w:type="dxa"/>
            <w:tcBorders>
              <w:top w:val="nil"/>
              <w:left w:val="nil"/>
              <w:bottom w:val="nil"/>
              <w:right w:val="nil"/>
            </w:tcBorders>
            <w:vAlign w:val="bottom"/>
          </w:tcPr>
          <w:p w14:paraId="24FF2B4F"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0.005328</w:t>
            </w:r>
          </w:p>
        </w:tc>
        <w:tc>
          <w:tcPr>
            <w:tcW w:w="1208" w:type="dxa"/>
            <w:tcBorders>
              <w:top w:val="nil"/>
              <w:left w:val="nil"/>
              <w:bottom w:val="nil"/>
              <w:right w:val="nil"/>
            </w:tcBorders>
            <w:vAlign w:val="bottom"/>
          </w:tcPr>
          <w:p w14:paraId="6C2D4E90"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-1.326890</w:t>
            </w:r>
          </w:p>
        </w:tc>
        <w:tc>
          <w:tcPr>
            <w:tcW w:w="997" w:type="dxa"/>
            <w:tcBorders>
              <w:top w:val="nil"/>
              <w:left w:val="nil"/>
              <w:bottom w:val="nil"/>
              <w:right w:val="nil"/>
            </w:tcBorders>
            <w:vAlign w:val="bottom"/>
          </w:tcPr>
          <w:p w14:paraId="212BD47D"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0.2003</w:t>
            </w:r>
          </w:p>
        </w:tc>
      </w:tr>
      <w:tr w:rsidR="00832003" w14:paraId="4CFD4EFF" w14:textId="77777777" w:rsidTr="00B82BF5">
        <w:trPr>
          <w:trHeight w:val="225"/>
        </w:trPr>
        <w:tc>
          <w:tcPr>
            <w:tcW w:w="2227" w:type="dxa"/>
            <w:tcBorders>
              <w:top w:val="nil"/>
              <w:left w:val="nil"/>
              <w:bottom w:val="nil"/>
              <w:right w:val="nil"/>
            </w:tcBorders>
            <w:vAlign w:val="bottom"/>
          </w:tcPr>
          <w:p w14:paraId="35146688"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D(</w:t>
            </w:r>
            <w:proofErr w:type="gramStart"/>
            <w:r>
              <w:rPr>
                <w:rFonts w:ascii="Arial" w:hAnsi="Arial" w:cs="Arial"/>
                <w:color w:val="000000"/>
                <w:kern w:val="0"/>
                <w:sz w:val="18"/>
                <w:szCs w:val="18"/>
              </w:rPr>
              <w:t>GEDU(</w:t>
            </w:r>
            <w:proofErr w:type="gramEnd"/>
            <w:r>
              <w:rPr>
                <w:rFonts w:ascii="Arial" w:hAnsi="Arial" w:cs="Arial"/>
                <w:color w:val="000000"/>
                <w:kern w:val="0"/>
                <w:sz w:val="18"/>
                <w:szCs w:val="18"/>
              </w:rPr>
              <w:t>-1))</w:t>
            </w:r>
          </w:p>
        </w:tc>
        <w:tc>
          <w:tcPr>
            <w:tcW w:w="1103" w:type="dxa"/>
            <w:tcBorders>
              <w:top w:val="nil"/>
              <w:left w:val="nil"/>
              <w:bottom w:val="nil"/>
              <w:right w:val="nil"/>
            </w:tcBorders>
            <w:vAlign w:val="bottom"/>
          </w:tcPr>
          <w:p w14:paraId="6AAE3E74"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-0.027204</w:t>
            </w:r>
          </w:p>
        </w:tc>
        <w:tc>
          <w:tcPr>
            <w:tcW w:w="1207" w:type="dxa"/>
            <w:tcBorders>
              <w:top w:val="nil"/>
              <w:left w:val="nil"/>
              <w:bottom w:val="nil"/>
              <w:right w:val="nil"/>
            </w:tcBorders>
            <w:vAlign w:val="bottom"/>
          </w:tcPr>
          <w:p w14:paraId="399EDA2F"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0.005951</w:t>
            </w:r>
          </w:p>
        </w:tc>
        <w:tc>
          <w:tcPr>
            <w:tcW w:w="1208" w:type="dxa"/>
            <w:tcBorders>
              <w:top w:val="nil"/>
              <w:left w:val="nil"/>
              <w:bottom w:val="nil"/>
              <w:right w:val="nil"/>
            </w:tcBorders>
            <w:vAlign w:val="bottom"/>
          </w:tcPr>
          <w:p w14:paraId="1E250216"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-4.571530</w:t>
            </w:r>
          </w:p>
        </w:tc>
        <w:tc>
          <w:tcPr>
            <w:tcW w:w="997" w:type="dxa"/>
            <w:tcBorders>
              <w:top w:val="nil"/>
              <w:left w:val="nil"/>
              <w:bottom w:val="nil"/>
              <w:right w:val="nil"/>
            </w:tcBorders>
            <w:vAlign w:val="bottom"/>
          </w:tcPr>
          <w:p w14:paraId="0CCDC4A3"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0.0002</w:t>
            </w:r>
          </w:p>
        </w:tc>
      </w:tr>
      <w:tr w:rsidR="00832003" w14:paraId="072C11F2" w14:textId="77777777" w:rsidTr="00B82BF5">
        <w:trPr>
          <w:trHeight w:val="225"/>
        </w:trPr>
        <w:tc>
          <w:tcPr>
            <w:tcW w:w="2227" w:type="dxa"/>
            <w:tcBorders>
              <w:top w:val="nil"/>
              <w:left w:val="nil"/>
              <w:bottom w:val="nil"/>
              <w:right w:val="nil"/>
            </w:tcBorders>
            <w:vAlign w:val="bottom"/>
          </w:tcPr>
          <w:p w14:paraId="2CCC65CE"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D(</w:t>
            </w:r>
            <w:proofErr w:type="gramStart"/>
            <w:r>
              <w:rPr>
                <w:rFonts w:ascii="Arial" w:hAnsi="Arial" w:cs="Arial"/>
                <w:color w:val="000000"/>
                <w:kern w:val="0"/>
                <w:sz w:val="18"/>
                <w:szCs w:val="18"/>
              </w:rPr>
              <w:t>GEDU(</w:t>
            </w:r>
            <w:proofErr w:type="gramEnd"/>
            <w:r>
              <w:rPr>
                <w:rFonts w:ascii="Arial" w:hAnsi="Arial" w:cs="Arial"/>
                <w:color w:val="000000"/>
                <w:kern w:val="0"/>
                <w:sz w:val="18"/>
                <w:szCs w:val="18"/>
              </w:rPr>
              <w:t>-2))</w:t>
            </w:r>
          </w:p>
        </w:tc>
        <w:tc>
          <w:tcPr>
            <w:tcW w:w="1103" w:type="dxa"/>
            <w:tcBorders>
              <w:top w:val="nil"/>
              <w:left w:val="nil"/>
              <w:bottom w:val="nil"/>
              <w:right w:val="nil"/>
            </w:tcBorders>
            <w:vAlign w:val="bottom"/>
          </w:tcPr>
          <w:p w14:paraId="386A4928"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-0.015199</w:t>
            </w:r>
          </w:p>
        </w:tc>
        <w:tc>
          <w:tcPr>
            <w:tcW w:w="1207" w:type="dxa"/>
            <w:tcBorders>
              <w:top w:val="nil"/>
              <w:left w:val="nil"/>
              <w:bottom w:val="nil"/>
              <w:right w:val="nil"/>
            </w:tcBorders>
            <w:vAlign w:val="bottom"/>
          </w:tcPr>
          <w:p w14:paraId="60855BA5"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0.005497</w:t>
            </w:r>
          </w:p>
        </w:tc>
        <w:tc>
          <w:tcPr>
            <w:tcW w:w="1208" w:type="dxa"/>
            <w:tcBorders>
              <w:top w:val="nil"/>
              <w:left w:val="nil"/>
              <w:bottom w:val="nil"/>
              <w:right w:val="nil"/>
            </w:tcBorders>
            <w:vAlign w:val="bottom"/>
          </w:tcPr>
          <w:p w14:paraId="7719BA28"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-2.765018</w:t>
            </w:r>
          </w:p>
        </w:tc>
        <w:tc>
          <w:tcPr>
            <w:tcW w:w="997" w:type="dxa"/>
            <w:tcBorders>
              <w:top w:val="nil"/>
              <w:left w:val="nil"/>
              <w:bottom w:val="nil"/>
              <w:right w:val="nil"/>
            </w:tcBorders>
            <w:vAlign w:val="bottom"/>
          </w:tcPr>
          <w:p w14:paraId="31077BFB"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0.0123</w:t>
            </w:r>
          </w:p>
        </w:tc>
      </w:tr>
      <w:tr w:rsidR="00832003" w14:paraId="6D6C756F" w14:textId="77777777" w:rsidTr="00B82BF5">
        <w:trPr>
          <w:trHeight w:val="225"/>
        </w:trPr>
        <w:tc>
          <w:tcPr>
            <w:tcW w:w="2227" w:type="dxa"/>
            <w:tcBorders>
              <w:top w:val="nil"/>
              <w:left w:val="nil"/>
              <w:bottom w:val="nil"/>
              <w:right w:val="nil"/>
            </w:tcBorders>
            <w:vAlign w:val="bottom"/>
          </w:tcPr>
          <w:p w14:paraId="40B92883"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D(FSE)</w:t>
            </w:r>
          </w:p>
        </w:tc>
        <w:tc>
          <w:tcPr>
            <w:tcW w:w="1103" w:type="dxa"/>
            <w:tcBorders>
              <w:top w:val="nil"/>
              <w:left w:val="nil"/>
              <w:bottom w:val="nil"/>
              <w:right w:val="nil"/>
            </w:tcBorders>
            <w:vAlign w:val="bottom"/>
          </w:tcPr>
          <w:p w14:paraId="1A53FAE4"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0.002618</w:t>
            </w:r>
          </w:p>
        </w:tc>
        <w:tc>
          <w:tcPr>
            <w:tcW w:w="1207" w:type="dxa"/>
            <w:tcBorders>
              <w:top w:val="nil"/>
              <w:left w:val="nil"/>
              <w:bottom w:val="nil"/>
              <w:right w:val="nil"/>
            </w:tcBorders>
            <w:vAlign w:val="bottom"/>
          </w:tcPr>
          <w:p w14:paraId="22CCB361"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0.001178</w:t>
            </w:r>
          </w:p>
        </w:tc>
        <w:tc>
          <w:tcPr>
            <w:tcW w:w="1208" w:type="dxa"/>
            <w:tcBorders>
              <w:top w:val="nil"/>
              <w:left w:val="nil"/>
              <w:bottom w:val="nil"/>
              <w:right w:val="nil"/>
            </w:tcBorders>
            <w:vAlign w:val="bottom"/>
          </w:tcPr>
          <w:p w14:paraId="220A4CB5"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2.222071</w:t>
            </w:r>
          </w:p>
        </w:tc>
        <w:tc>
          <w:tcPr>
            <w:tcW w:w="997" w:type="dxa"/>
            <w:tcBorders>
              <w:top w:val="nil"/>
              <w:left w:val="nil"/>
              <w:bottom w:val="nil"/>
              <w:right w:val="nil"/>
            </w:tcBorders>
            <w:vAlign w:val="bottom"/>
          </w:tcPr>
          <w:p w14:paraId="002D85A3"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0.0386</w:t>
            </w:r>
          </w:p>
        </w:tc>
      </w:tr>
      <w:tr w:rsidR="00832003" w14:paraId="1ABA514E" w14:textId="77777777" w:rsidTr="00B82BF5">
        <w:trPr>
          <w:trHeight w:val="225"/>
        </w:trPr>
        <w:tc>
          <w:tcPr>
            <w:tcW w:w="2227" w:type="dxa"/>
            <w:tcBorders>
              <w:top w:val="nil"/>
              <w:left w:val="nil"/>
              <w:bottom w:val="nil"/>
              <w:right w:val="nil"/>
            </w:tcBorders>
            <w:vAlign w:val="bottom"/>
          </w:tcPr>
          <w:p w14:paraId="74E21E81"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D(GPI)</w:t>
            </w:r>
          </w:p>
        </w:tc>
        <w:tc>
          <w:tcPr>
            <w:tcW w:w="1103" w:type="dxa"/>
            <w:tcBorders>
              <w:top w:val="nil"/>
              <w:left w:val="nil"/>
              <w:bottom w:val="nil"/>
              <w:right w:val="nil"/>
            </w:tcBorders>
            <w:vAlign w:val="bottom"/>
          </w:tcPr>
          <w:p w14:paraId="21B93AC5"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-0.112922</w:t>
            </w:r>
          </w:p>
        </w:tc>
        <w:tc>
          <w:tcPr>
            <w:tcW w:w="1207" w:type="dxa"/>
            <w:tcBorders>
              <w:top w:val="nil"/>
              <w:left w:val="nil"/>
              <w:bottom w:val="nil"/>
              <w:right w:val="nil"/>
            </w:tcBorders>
            <w:vAlign w:val="bottom"/>
          </w:tcPr>
          <w:p w14:paraId="5A104D70"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0.194236</w:t>
            </w:r>
          </w:p>
        </w:tc>
        <w:tc>
          <w:tcPr>
            <w:tcW w:w="1208" w:type="dxa"/>
            <w:tcBorders>
              <w:top w:val="nil"/>
              <w:left w:val="nil"/>
              <w:bottom w:val="nil"/>
              <w:right w:val="nil"/>
            </w:tcBorders>
            <w:vAlign w:val="bottom"/>
          </w:tcPr>
          <w:p w14:paraId="3E77B288"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-0.581362</w:t>
            </w:r>
          </w:p>
        </w:tc>
        <w:tc>
          <w:tcPr>
            <w:tcW w:w="997" w:type="dxa"/>
            <w:tcBorders>
              <w:top w:val="nil"/>
              <w:left w:val="nil"/>
              <w:bottom w:val="nil"/>
              <w:right w:val="nil"/>
            </w:tcBorders>
            <w:vAlign w:val="bottom"/>
          </w:tcPr>
          <w:p w14:paraId="1108D404"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0.5678</w:t>
            </w:r>
          </w:p>
        </w:tc>
      </w:tr>
      <w:tr w:rsidR="00832003" w14:paraId="4B6CB0BD" w14:textId="77777777" w:rsidTr="00B82BF5">
        <w:trPr>
          <w:trHeight w:val="225"/>
        </w:trPr>
        <w:tc>
          <w:tcPr>
            <w:tcW w:w="2227" w:type="dxa"/>
            <w:tcBorders>
              <w:top w:val="nil"/>
              <w:left w:val="nil"/>
              <w:bottom w:val="nil"/>
              <w:right w:val="nil"/>
            </w:tcBorders>
            <w:vAlign w:val="bottom"/>
          </w:tcPr>
          <w:p w14:paraId="78CDEB7C"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D(</w:t>
            </w:r>
            <w:proofErr w:type="gramStart"/>
            <w:r>
              <w:rPr>
                <w:rFonts w:ascii="Arial" w:hAnsi="Arial" w:cs="Arial"/>
                <w:color w:val="000000"/>
                <w:kern w:val="0"/>
                <w:sz w:val="18"/>
                <w:szCs w:val="18"/>
              </w:rPr>
              <w:t>GPI(</w:t>
            </w:r>
            <w:proofErr w:type="gramEnd"/>
            <w:r>
              <w:rPr>
                <w:rFonts w:ascii="Arial" w:hAnsi="Arial" w:cs="Arial"/>
                <w:color w:val="000000"/>
                <w:kern w:val="0"/>
                <w:sz w:val="18"/>
                <w:szCs w:val="18"/>
              </w:rPr>
              <w:t>-1))</w:t>
            </w:r>
          </w:p>
        </w:tc>
        <w:tc>
          <w:tcPr>
            <w:tcW w:w="1103" w:type="dxa"/>
            <w:tcBorders>
              <w:top w:val="nil"/>
              <w:left w:val="nil"/>
              <w:bottom w:val="nil"/>
              <w:right w:val="nil"/>
            </w:tcBorders>
            <w:vAlign w:val="bottom"/>
          </w:tcPr>
          <w:p w14:paraId="0ECFDF33"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0.609385</w:t>
            </w:r>
          </w:p>
        </w:tc>
        <w:tc>
          <w:tcPr>
            <w:tcW w:w="1207" w:type="dxa"/>
            <w:tcBorders>
              <w:top w:val="nil"/>
              <w:left w:val="nil"/>
              <w:bottom w:val="nil"/>
              <w:right w:val="nil"/>
            </w:tcBorders>
            <w:vAlign w:val="bottom"/>
          </w:tcPr>
          <w:p w14:paraId="57B25169"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0.209492</w:t>
            </w:r>
          </w:p>
        </w:tc>
        <w:tc>
          <w:tcPr>
            <w:tcW w:w="1208" w:type="dxa"/>
            <w:tcBorders>
              <w:top w:val="nil"/>
              <w:left w:val="nil"/>
              <w:bottom w:val="nil"/>
              <w:right w:val="nil"/>
            </w:tcBorders>
            <w:vAlign w:val="bottom"/>
          </w:tcPr>
          <w:p w14:paraId="6EEA1796"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2.908870</w:t>
            </w:r>
          </w:p>
        </w:tc>
        <w:tc>
          <w:tcPr>
            <w:tcW w:w="997" w:type="dxa"/>
            <w:tcBorders>
              <w:top w:val="nil"/>
              <w:left w:val="nil"/>
              <w:bottom w:val="nil"/>
              <w:right w:val="nil"/>
            </w:tcBorders>
            <w:vAlign w:val="bottom"/>
          </w:tcPr>
          <w:p w14:paraId="2597CBA8"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0.0090</w:t>
            </w:r>
          </w:p>
        </w:tc>
      </w:tr>
      <w:tr w:rsidR="00832003" w14:paraId="5636DF77" w14:textId="77777777" w:rsidTr="00B82BF5">
        <w:trPr>
          <w:trHeight w:val="225"/>
        </w:trPr>
        <w:tc>
          <w:tcPr>
            <w:tcW w:w="2227" w:type="dxa"/>
            <w:tcBorders>
              <w:top w:val="nil"/>
              <w:left w:val="nil"/>
              <w:bottom w:val="nil"/>
              <w:right w:val="nil"/>
            </w:tcBorders>
            <w:vAlign w:val="bottom"/>
          </w:tcPr>
          <w:p w14:paraId="23C53228"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D(</w:t>
            </w:r>
            <w:proofErr w:type="gramStart"/>
            <w:r>
              <w:rPr>
                <w:rFonts w:ascii="Arial" w:hAnsi="Arial" w:cs="Arial"/>
                <w:color w:val="000000"/>
                <w:kern w:val="0"/>
                <w:sz w:val="18"/>
                <w:szCs w:val="18"/>
              </w:rPr>
              <w:t>GPI(</w:t>
            </w:r>
            <w:proofErr w:type="gramEnd"/>
            <w:r>
              <w:rPr>
                <w:rFonts w:ascii="Arial" w:hAnsi="Arial" w:cs="Arial"/>
                <w:color w:val="000000"/>
                <w:kern w:val="0"/>
                <w:sz w:val="18"/>
                <w:szCs w:val="18"/>
              </w:rPr>
              <w:t>-2))</w:t>
            </w:r>
          </w:p>
        </w:tc>
        <w:tc>
          <w:tcPr>
            <w:tcW w:w="1103" w:type="dxa"/>
            <w:tcBorders>
              <w:top w:val="nil"/>
              <w:left w:val="nil"/>
              <w:bottom w:val="nil"/>
              <w:right w:val="nil"/>
            </w:tcBorders>
            <w:vAlign w:val="bottom"/>
          </w:tcPr>
          <w:p w14:paraId="5F21E6CC"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0.269189</w:t>
            </w:r>
          </w:p>
        </w:tc>
        <w:tc>
          <w:tcPr>
            <w:tcW w:w="1207" w:type="dxa"/>
            <w:tcBorders>
              <w:top w:val="nil"/>
              <w:left w:val="nil"/>
              <w:bottom w:val="nil"/>
              <w:right w:val="nil"/>
            </w:tcBorders>
            <w:vAlign w:val="bottom"/>
          </w:tcPr>
          <w:p w14:paraId="329FF7C7"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0.172794</w:t>
            </w:r>
          </w:p>
        </w:tc>
        <w:tc>
          <w:tcPr>
            <w:tcW w:w="1208" w:type="dxa"/>
            <w:tcBorders>
              <w:top w:val="nil"/>
              <w:left w:val="nil"/>
              <w:bottom w:val="nil"/>
              <w:right w:val="nil"/>
            </w:tcBorders>
            <w:vAlign w:val="bottom"/>
          </w:tcPr>
          <w:p w14:paraId="3DF154B3"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1.557865</w:t>
            </w:r>
          </w:p>
        </w:tc>
        <w:tc>
          <w:tcPr>
            <w:tcW w:w="997" w:type="dxa"/>
            <w:tcBorders>
              <w:top w:val="nil"/>
              <w:left w:val="nil"/>
              <w:bottom w:val="nil"/>
              <w:right w:val="nil"/>
            </w:tcBorders>
            <w:vAlign w:val="bottom"/>
          </w:tcPr>
          <w:p w14:paraId="6E4B34D6"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0.1358</w:t>
            </w:r>
          </w:p>
        </w:tc>
      </w:tr>
      <w:tr w:rsidR="00832003" w14:paraId="69D4C172" w14:textId="77777777" w:rsidTr="00B82BF5">
        <w:trPr>
          <w:trHeight w:val="225"/>
        </w:trPr>
        <w:tc>
          <w:tcPr>
            <w:tcW w:w="2227" w:type="dxa"/>
            <w:tcBorders>
              <w:top w:val="nil"/>
              <w:left w:val="nil"/>
              <w:bottom w:val="nil"/>
              <w:right w:val="nil"/>
            </w:tcBorders>
            <w:vAlign w:val="bottom"/>
          </w:tcPr>
          <w:p w14:paraId="1227BD76"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bookmarkStart w:id="10" w:name="_Hlk204179357"/>
            <w:proofErr w:type="spellStart"/>
            <w:proofErr w:type="gramStart"/>
            <w:r>
              <w:rPr>
                <w:rFonts w:ascii="Arial" w:hAnsi="Arial" w:cs="Arial"/>
                <w:color w:val="000000"/>
                <w:kern w:val="0"/>
                <w:sz w:val="18"/>
                <w:szCs w:val="18"/>
              </w:rPr>
              <w:t>CointEq</w:t>
            </w:r>
            <w:bookmarkEnd w:id="10"/>
            <w:proofErr w:type="spellEnd"/>
            <w:r>
              <w:rPr>
                <w:rFonts w:ascii="Arial" w:hAnsi="Arial" w:cs="Arial"/>
                <w:color w:val="000000"/>
                <w:kern w:val="0"/>
                <w:sz w:val="18"/>
                <w:szCs w:val="18"/>
              </w:rPr>
              <w:t>(</w:t>
            </w:r>
            <w:proofErr w:type="gramEnd"/>
            <w:r>
              <w:rPr>
                <w:rFonts w:ascii="Arial" w:hAnsi="Arial" w:cs="Arial"/>
                <w:color w:val="000000"/>
                <w:kern w:val="0"/>
                <w:sz w:val="18"/>
                <w:szCs w:val="18"/>
              </w:rPr>
              <w:t>-1)*</w:t>
            </w:r>
          </w:p>
        </w:tc>
        <w:tc>
          <w:tcPr>
            <w:tcW w:w="1103" w:type="dxa"/>
            <w:tcBorders>
              <w:top w:val="nil"/>
              <w:left w:val="nil"/>
              <w:bottom w:val="nil"/>
              <w:right w:val="nil"/>
            </w:tcBorders>
            <w:vAlign w:val="bottom"/>
          </w:tcPr>
          <w:p w14:paraId="199C1A8E"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w:t>
            </w:r>
            <w:bookmarkStart w:id="11" w:name="_Hlk204179395"/>
            <w:r>
              <w:rPr>
                <w:rFonts w:ascii="Arial" w:hAnsi="Arial" w:cs="Arial"/>
                <w:color w:val="000000"/>
                <w:kern w:val="0"/>
                <w:sz w:val="18"/>
                <w:szCs w:val="18"/>
              </w:rPr>
              <w:t>190338</w:t>
            </w:r>
            <w:bookmarkEnd w:id="11"/>
          </w:p>
        </w:tc>
        <w:tc>
          <w:tcPr>
            <w:tcW w:w="1207" w:type="dxa"/>
            <w:tcBorders>
              <w:top w:val="nil"/>
              <w:left w:val="nil"/>
              <w:bottom w:val="nil"/>
              <w:right w:val="nil"/>
            </w:tcBorders>
            <w:vAlign w:val="bottom"/>
          </w:tcPr>
          <w:p w14:paraId="14B38664"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0.021811</w:t>
            </w:r>
          </w:p>
        </w:tc>
        <w:tc>
          <w:tcPr>
            <w:tcW w:w="1208" w:type="dxa"/>
            <w:tcBorders>
              <w:top w:val="nil"/>
              <w:left w:val="nil"/>
              <w:bottom w:val="nil"/>
              <w:right w:val="nil"/>
            </w:tcBorders>
            <w:vAlign w:val="bottom"/>
          </w:tcPr>
          <w:p w14:paraId="463764C6"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-8.726825</w:t>
            </w:r>
          </w:p>
        </w:tc>
        <w:tc>
          <w:tcPr>
            <w:tcW w:w="997" w:type="dxa"/>
            <w:tcBorders>
              <w:top w:val="nil"/>
              <w:left w:val="nil"/>
              <w:bottom w:val="nil"/>
              <w:right w:val="nil"/>
            </w:tcBorders>
            <w:vAlign w:val="bottom"/>
          </w:tcPr>
          <w:p w14:paraId="5621CD7B"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0.0000</w:t>
            </w:r>
          </w:p>
        </w:tc>
      </w:tr>
    </w:tbl>
    <w:p w14:paraId="220E237C" w14:textId="77777777" w:rsidR="00832003" w:rsidRDefault="00832003" w:rsidP="00832003">
      <w:pPr>
        <w:spacing w:after="0" w:line="276" w:lineRule="auto"/>
        <w:ind w:left="2160" w:right="90" w:firstLine="720"/>
        <w:jc w:val="both"/>
        <w:rPr>
          <w:rFonts w:ascii="Arial" w:eastAsia="Calibri" w:hAnsi="Arial" w:cs="Arial"/>
          <w:b/>
          <w:kern w:val="0"/>
          <w:sz w:val="18"/>
          <w:szCs w:val="18"/>
          <w:lang w:eastAsia="en-US"/>
          <w14:ligatures w14:val="none"/>
        </w:rPr>
      </w:pPr>
      <w:r w:rsidRPr="001C300E">
        <w:rPr>
          <w:rFonts w:ascii="Calibri" w:eastAsia="Calibri" w:hAnsi="Calibri" w:cs="Times New Roman"/>
          <w:noProof/>
          <w:kern w:val="0"/>
          <w:lang w:val="en-US" w:eastAsia="en-US"/>
          <w14:ligatures w14:val="none"/>
        </w:rPr>
        <mc:AlternateContent>
          <mc:Choice Requires="wps">
            <w:drawing>
              <wp:anchor distT="0" distB="0" distL="114300" distR="114300" simplePos="0" relativeHeight="251661312" behindDoc="0" locked="0" layoutInCell="1" allowOverlap="1" wp14:anchorId="6F2A28F4" wp14:editId="3F720057">
                <wp:simplePos x="0" y="0"/>
                <wp:positionH relativeFrom="column">
                  <wp:posOffset>635</wp:posOffset>
                </wp:positionH>
                <wp:positionV relativeFrom="paragraph">
                  <wp:posOffset>855345</wp:posOffset>
                </wp:positionV>
                <wp:extent cx="4494530" cy="0"/>
                <wp:effectExtent l="0" t="0" r="0" b="0"/>
                <wp:wrapNone/>
                <wp:docPr id="121586590" name="Straight Connector 15"/>
                <wp:cNvGraphicFramePr/>
                <a:graphic xmlns:a="http://schemas.openxmlformats.org/drawingml/2006/main">
                  <a:graphicData uri="http://schemas.microsoft.com/office/word/2010/wordprocessingShape">
                    <wps:wsp>
                      <wps:cNvCnPr/>
                      <wps:spPr>
                        <a:xfrm>
                          <a:off x="0" y="0"/>
                          <a:ext cx="449453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F6C5421" id="Straight Connector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67.35pt" to="353.9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" strokecolor="windowText" strokeweight="1pt">
                <v:stroke joinstyle="miter"/>
              </v:line>
            </w:pict>
          </mc:Fallback>
        </mc:AlternateContent>
      </w:r>
      <w:r w:rsidRPr="001C300E">
        <w:rPr>
          <w:rFonts w:ascii="Calibri" w:eastAsia="Calibri" w:hAnsi="Calibri" w:cs="Times New Roman"/>
          <w:kern w:val="0"/>
          <w:lang w:eastAsia="en-US"/>
          <w14:ligatures w14:val="none"/>
        </w:rPr>
        <w:t xml:space="preserve">  </w:t>
      </w:r>
      <w:r w:rsidRPr="001C300E">
        <w:rPr>
          <w:rFonts w:ascii="Arial" w:eastAsia="Calibri" w:hAnsi="Arial" w:cs="Arial"/>
          <w:b/>
          <w:kern w:val="0"/>
          <w:sz w:val="18"/>
          <w:szCs w:val="18"/>
          <w:lang w:eastAsia="en-US"/>
          <w14:ligatures w14:val="none"/>
        </w:rPr>
        <w:t>Long run results</w:t>
      </w:r>
    </w:p>
    <w:tbl>
      <w:tblPr>
        <w:tblW w:w="0" w:type="auto"/>
        <w:tblInd w:w="30" w:type="dxa"/>
        <w:tblLayout w:type="fixed"/>
        <w:tblCellMar>
          <w:left w:w="0" w:type="dxa"/>
          <w:right w:w="0" w:type="dxa"/>
        </w:tblCellMar>
        <w:tblLook w:val="0000" w:firstRow="0" w:lastRow="0" w:firstColumn="0" w:lastColumn="0" w:noHBand="0" w:noVBand="0"/>
      </w:tblPr>
      <w:tblGrid>
        <w:gridCol w:w="2227"/>
        <w:gridCol w:w="1103"/>
        <w:gridCol w:w="1207"/>
        <w:gridCol w:w="1208"/>
        <w:gridCol w:w="997"/>
      </w:tblGrid>
      <w:tr w:rsidR="00832003" w14:paraId="1E0CBA7A" w14:textId="77777777" w:rsidTr="00B82BF5">
        <w:trPr>
          <w:trHeight w:val="225"/>
        </w:trPr>
        <w:tc>
          <w:tcPr>
            <w:tcW w:w="2227" w:type="dxa"/>
            <w:vAlign w:val="bottom"/>
          </w:tcPr>
          <w:p w14:paraId="13740332"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Variable</w:t>
            </w:r>
          </w:p>
        </w:tc>
        <w:tc>
          <w:tcPr>
            <w:tcW w:w="1103" w:type="dxa"/>
            <w:vAlign w:val="bottom"/>
          </w:tcPr>
          <w:p w14:paraId="64AB6303"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Coefficient</w:t>
            </w:r>
          </w:p>
        </w:tc>
        <w:tc>
          <w:tcPr>
            <w:tcW w:w="1207" w:type="dxa"/>
            <w:vAlign w:val="bottom"/>
          </w:tcPr>
          <w:p w14:paraId="1E025FBB"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Std. Error</w:t>
            </w:r>
          </w:p>
        </w:tc>
        <w:tc>
          <w:tcPr>
            <w:tcW w:w="1208" w:type="dxa"/>
            <w:vAlign w:val="bottom"/>
          </w:tcPr>
          <w:p w14:paraId="5C1F4327"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t-Statistic</w:t>
            </w:r>
          </w:p>
        </w:tc>
        <w:tc>
          <w:tcPr>
            <w:tcW w:w="997" w:type="dxa"/>
            <w:vAlign w:val="bottom"/>
          </w:tcPr>
          <w:p w14:paraId="36600E2E"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Prob.   </w:t>
            </w:r>
          </w:p>
        </w:tc>
      </w:tr>
      <w:tr w:rsidR="00832003" w14:paraId="00D22445" w14:textId="77777777" w:rsidTr="00B82BF5">
        <w:trPr>
          <w:trHeight w:val="225"/>
        </w:trPr>
        <w:tc>
          <w:tcPr>
            <w:tcW w:w="2227" w:type="dxa"/>
            <w:vAlign w:val="bottom"/>
          </w:tcPr>
          <w:p w14:paraId="695AA3E6"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GEDU</w:t>
            </w:r>
          </w:p>
        </w:tc>
        <w:tc>
          <w:tcPr>
            <w:tcW w:w="1103" w:type="dxa"/>
            <w:vAlign w:val="bottom"/>
          </w:tcPr>
          <w:p w14:paraId="554E96A1"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0.132692</w:t>
            </w:r>
          </w:p>
        </w:tc>
        <w:tc>
          <w:tcPr>
            <w:tcW w:w="1207" w:type="dxa"/>
            <w:vAlign w:val="bottom"/>
          </w:tcPr>
          <w:p w14:paraId="42F583CB"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0.051258</w:t>
            </w:r>
          </w:p>
        </w:tc>
        <w:tc>
          <w:tcPr>
            <w:tcW w:w="1208" w:type="dxa"/>
            <w:vAlign w:val="bottom"/>
          </w:tcPr>
          <w:p w14:paraId="5FCDCC66"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2.588685</w:t>
            </w:r>
          </w:p>
        </w:tc>
        <w:tc>
          <w:tcPr>
            <w:tcW w:w="997" w:type="dxa"/>
            <w:vAlign w:val="bottom"/>
          </w:tcPr>
          <w:p w14:paraId="75275418"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0.0180</w:t>
            </w:r>
          </w:p>
        </w:tc>
      </w:tr>
      <w:tr w:rsidR="00832003" w14:paraId="30C6C09C" w14:textId="77777777" w:rsidTr="00B82BF5">
        <w:trPr>
          <w:trHeight w:val="225"/>
        </w:trPr>
        <w:tc>
          <w:tcPr>
            <w:tcW w:w="2227" w:type="dxa"/>
            <w:vAlign w:val="bottom"/>
          </w:tcPr>
          <w:p w14:paraId="18C60ECF"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FSE</w:t>
            </w:r>
          </w:p>
        </w:tc>
        <w:tc>
          <w:tcPr>
            <w:tcW w:w="1103" w:type="dxa"/>
            <w:vAlign w:val="bottom"/>
          </w:tcPr>
          <w:p w14:paraId="0132E755"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0.026404</w:t>
            </w:r>
          </w:p>
        </w:tc>
        <w:tc>
          <w:tcPr>
            <w:tcW w:w="1207" w:type="dxa"/>
            <w:vAlign w:val="bottom"/>
          </w:tcPr>
          <w:p w14:paraId="18E1557A"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0.008098</w:t>
            </w:r>
          </w:p>
        </w:tc>
        <w:tc>
          <w:tcPr>
            <w:tcW w:w="1208" w:type="dxa"/>
            <w:vAlign w:val="bottom"/>
          </w:tcPr>
          <w:p w14:paraId="1798DDE3"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3.260458</w:t>
            </w:r>
          </w:p>
        </w:tc>
        <w:tc>
          <w:tcPr>
            <w:tcW w:w="997" w:type="dxa"/>
            <w:vAlign w:val="bottom"/>
          </w:tcPr>
          <w:p w14:paraId="5E850968"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0.0041</w:t>
            </w:r>
          </w:p>
        </w:tc>
      </w:tr>
      <w:tr w:rsidR="00832003" w14:paraId="598EF47C" w14:textId="77777777" w:rsidTr="00B82BF5">
        <w:trPr>
          <w:trHeight w:val="225"/>
        </w:trPr>
        <w:tc>
          <w:tcPr>
            <w:tcW w:w="2227" w:type="dxa"/>
            <w:vAlign w:val="bottom"/>
          </w:tcPr>
          <w:p w14:paraId="53D7F4BE"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lastRenderedPageBreak/>
              <w:t>GPI</w:t>
            </w:r>
          </w:p>
        </w:tc>
        <w:tc>
          <w:tcPr>
            <w:tcW w:w="1103" w:type="dxa"/>
            <w:vAlign w:val="bottom"/>
          </w:tcPr>
          <w:p w14:paraId="1ED4EF39"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-4.331708</w:t>
            </w:r>
          </w:p>
        </w:tc>
        <w:tc>
          <w:tcPr>
            <w:tcW w:w="1207" w:type="dxa"/>
            <w:vAlign w:val="bottom"/>
          </w:tcPr>
          <w:p w14:paraId="69EA1B25"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1.491000</w:t>
            </w:r>
          </w:p>
        </w:tc>
        <w:tc>
          <w:tcPr>
            <w:tcW w:w="1208" w:type="dxa"/>
            <w:vAlign w:val="bottom"/>
          </w:tcPr>
          <w:p w14:paraId="5520588B"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-2.905237</w:t>
            </w:r>
          </w:p>
        </w:tc>
        <w:tc>
          <w:tcPr>
            <w:tcW w:w="997" w:type="dxa"/>
            <w:vAlign w:val="bottom"/>
          </w:tcPr>
          <w:p w14:paraId="54F1C13C"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0.0091</w:t>
            </w:r>
          </w:p>
        </w:tc>
      </w:tr>
      <w:tr w:rsidR="00832003" w14:paraId="1812DBDB" w14:textId="77777777" w:rsidTr="00B82BF5">
        <w:trPr>
          <w:trHeight w:val="225"/>
        </w:trPr>
        <w:tc>
          <w:tcPr>
            <w:tcW w:w="2227" w:type="dxa"/>
            <w:vAlign w:val="bottom"/>
          </w:tcPr>
          <w:p w14:paraId="5C462325"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r>
              <w:rPr>
                <w:rFonts w:ascii="Arial" w:hAnsi="Arial" w:cs="Arial"/>
                <w:color w:val="000000"/>
                <w:kern w:val="0"/>
                <w:sz w:val="18"/>
                <w:szCs w:val="18"/>
              </w:rPr>
              <w:t>C</w:t>
            </w:r>
          </w:p>
        </w:tc>
        <w:tc>
          <w:tcPr>
            <w:tcW w:w="1103" w:type="dxa"/>
            <w:vAlign w:val="bottom"/>
          </w:tcPr>
          <w:p w14:paraId="09BF2414"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10.06399</w:t>
            </w:r>
          </w:p>
        </w:tc>
        <w:tc>
          <w:tcPr>
            <w:tcW w:w="1207" w:type="dxa"/>
            <w:vAlign w:val="bottom"/>
          </w:tcPr>
          <w:p w14:paraId="04D7BA62"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1.089795</w:t>
            </w:r>
          </w:p>
        </w:tc>
        <w:tc>
          <w:tcPr>
            <w:tcW w:w="1208" w:type="dxa"/>
            <w:vAlign w:val="bottom"/>
          </w:tcPr>
          <w:p w14:paraId="6315EE08"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9.234759</w:t>
            </w:r>
          </w:p>
        </w:tc>
        <w:tc>
          <w:tcPr>
            <w:tcW w:w="997" w:type="dxa"/>
            <w:vAlign w:val="bottom"/>
          </w:tcPr>
          <w:p w14:paraId="5B599E18"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0.0000</w:t>
            </w:r>
          </w:p>
        </w:tc>
      </w:tr>
    </w:tbl>
    <w:p w14:paraId="268931EF" w14:textId="77777777" w:rsidR="00832003" w:rsidRPr="001C300E" w:rsidRDefault="00832003" w:rsidP="00832003">
      <w:pPr>
        <w:tabs>
          <w:tab w:val="center" w:pos="742"/>
        </w:tabs>
        <w:spacing w:after="0" w:line="276" w:lineRule="auto"/>
        <w:ind w:right="90"/>
        <w:rPr>
          <w:rFonts w:ascii="Arial" w:eastAsia="Calibri" w:hAnsi="Arial" w:cs="Arial"/>
          <w:kern w:val="0"/>
          <w:sz w:val="18"/>
          <w:szCs w:val="18"/>
          <w:lang w:eastAsia="en-US"/>
          <w14:ligatures w14:val="none"/>
        </w:rPr>
      </w:pPr>
      <w:r w:rsidRPr="001C300E">
        <w:rPr>
          <w:rFonts w:ascii="Calibri" w:eastAsia="Calibri" w:hAnsi="Calibri" w:cs="Times New Roman"/>
          <w:noProof/>
          <w:kern w:val="0"/>
          <w:lang w:val="en-US" w:eastAsia="en-US"/>
          <w14:ligatures w14:val="none"/>
        </w:rPr>
        <mc:AlternateContent>
          <mc:Choice Requires="wps">
            <w:drawing>
              <wp:anchor distT="0" distB="0" distL="114300" distR="114300" simplePos="0" relativeHeight="251660288" behindDoc="0" locked="0" layoutInCell="1" allowOverlap="1" wp14:anchorId="1383F26F" wp14:editId="47F84438">
                <wp:simplePos x="0" y="0"/>
                <wp:positionH relativeFrom="column">
                  <wp:posOffset>-4445</wp:posOffset>
                </wp:positionH>
                <wp:positionV relativeFrom="paragraph">
                  <wp:posOffset>145888</wp:posOffset>
                </wp:positionV>
                <wp:extent cx="4494530" cy="0"/>
                <wp:effectExtent l="0" t="0" r="0" b="0"/>
                <wp:wrapNone/>
                <wp:docPr id="515089737" name="Straight Connector 15"/>
                <wp:cNvGraphicFramePr/>
                <a:graphic xmlns:a="http://schemas.openxmlformats.org/drawingml/2006/main">
                  <a:graphicData uri="http://schemas.microsoft.com/office/word/2010/wordprocessingShape">
                    <wps:wsp>
                      <wps:cNvCnPr/>
                      <wps:spPr>
                        <a:xfrm>
                          <a:off x="0" y="0"/>
                          <a:ext cx="449453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018084E"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1.5pt" to="353.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" strokecolor="windowText" strokeweight="1pt">
                <v:stroke joinstyle="miter"/>
              </v:line>
            </w:pict>
          </mc:Fallback>
        </mc:AlternateContent>
      </w:r>
      <w:r w:rsidRPr="001C300E">
        <w:rPr>
          <w:rFonts w:ascii="Arial" w:eastAsia="Calibri" w:hAnsi="Arial" w:cs="Arial"/>
          <w:kern w:val="0"/>
          <w:sz w:val="18"/>
          <w:szCs w:val="18"/>
          <w:lang w:eastAsia="en-US"/>
          <w14:ligatures w14:val="none"/>
        </w:rPr>
        <w:tab/>
        <w:t xml:space="preserve">R-squared </w:t>
      </w:r>
      <w:r w:rsidRPr="00C56DB4">
        <w:rPr>
          <w:rFonts w:ascii="Arial" w:eastAsia="Calibri" w:hAnsi="Arial" w:cs="Arial"/>
          <w:kern w:val="0"/>
          <w:sz w:val="18"/>
          <w:szCs w:val="18"/>
          <w:lang w:eastAsia="en-US"/>
          <w14:ligatures w14:val="none"/>
        </w:rPr>
        <w:t>0.789199</w:t>
      </w:r>
      <w:r w:rsidRPr="001C300E">
        <w:rPr>
          <w:rFonts w:ascii="Arial" w:eastAsia="Calibri" w:hAnsi="Arial" w:cs="Arial"/>
          <w:kern w:val="0"/>
          <w:sz w:val="18"/>
          <w:szCs w:val="18"/>
          <w:lang w:eastAsia="en-US"/>
          <w14:ligatures w14:val="none"/>
        </w:rPr>
        <w:t>;</w:t>
      </w:r>
      <w:r w:rsidRPr="001C300E">
        <w:rPr>
          <w:rFonts w:ascii="Arial" w:eastAsia="Calibri" w:hAnsi="Arial" w:cs="Arial"/>
          <w:kern w:val="0"/>
          <w:sz w:val="18"/>
          <w:szCs w:val="18"/>
          <w:lang w:eastAsia="en-US"/>
          <w14:ligatures w14:val="none"/>
        </w:rPr>
        <w:tab/>
        <w:t xml:space="preserve">Adjusted R-squared </w:t>
      </w:r>
      <w:r w:rsidRPr="000D58D4">
        <w:rPr>
          <w:rFonts w:ascii="Arial" w:eastAsia="Calibri" w:hAnsi="Arial" w:cs="Arial"/>
          <w:kern w:val="0"/>
          <w:sz w:val="18"/>
          <w:szCs w:val="18"/>
          <w:lang w:eastAsia="en-US"/>
          <w14:ligatures w14:val="none"/>
        </w:rPr>
        <w:t>0.725042</w:t>
      </w:r>
    </w:p>
    <w:p w14:paraId="434EFD68" w14:textId="41C9EA7F" w:rsidR="00832003" w:rsidRPr="005F4FCD" w:rsidRDefault="00832003" w:rsidP="005F4FCD">
      <w:pPr>
        <w:spacing w:after="200" w:line="480" w:lineRule="auto"/>
        <w:ind w:right="90"/>
        <w:rPr>
          <w:rFonts w:ascii="Times New Roman" w:eastAsia="Calibri" w:hAnsi="Times New Roman" w:cs="Times New Roman"/>
          <w:i/>
          <w:kern w:val="0"/>
          <w:lang w:eastAsia="en-US"/>
          <w14:ligatures w14:val="none"/>
        </w:rPr>
      </w:pPr>
      <w:r w:rsidRPr="001C300E">
        <w:rPr>
          <w:rFonts w:ascii="Times New Roman" w:eastAsia="Calibri" w:hAnsi="Times New Roman" w:cs="Times New Roman"/>
          <w:i/>
          <w:kern w:val="0"/>
          <w:sz w:val="20"/>
          <w:lang w:eastAsia="en-US"/>
          <w14:ligatures w14:val="none"/>
        </w:rPr>
        <w:t xml:space="preserve">Source: </w:t>
      </w:r>
      <w:r w:rsidRPr="006B7E26">
        <w:rPr>
          <w:rFonts w:ascii="Times New Roman" w:eastAsia="Calibri" w:hAnsi="Times New Roman" w:cs="Times New Roman"/>
          <w:i/>
          <w:kern w:val="0"/>
          <w:sz w:val="20"/>
          <w:szCs w:val="20"/>
          <w:lang w:eastAsia="en-US"/>
          <w14:ligatures w14:val="none"/>
        </w:rPr>
        <w:t xml:space="preserve">Researcher’s computation using </w:t>
      </w:r>
      <w:proofErr w:type="spellStart"/>
      <w:r w:rsidRPr="006B7E26">
        <w:rPr>
          <w:rFonts w:ascii="Times New Roman" w:eastAsia="Calibri" w:hAnsi="Times New Roman" w:cs="Times New Roman"/>
          <w:i/>
          <w:kern w:val="0"/>
          <w:sz w:val="20"/>
          <w:szCs w:val="20"/>
          <w:lang w:eastAsia="en-US"/>
          <w14:ligatures w14:val="none"/>
        </w:rPr>
        <w:t>Eviews</w:t>
      </w:r>
      <w:proofErr w:type="spellEnd"/>
      <w:r w:rsidRPr="006B7E26">
        <w:rPr>
          <w:rFonts w:ascii="Times New Roman" w:eastAsia="Calibri" w:hAnsi="Times New Roman" w:cs="Times New Roman"/>
          <w:i/>
          <w:kern w:val="0"/>
          <w:sz w:val="20"/>
          <w:szCs w:val="20"/>
          <w:lang w:eastAsia="en-US"/>
          <w14:ligatures w14:val="none"/>
        </w:rPr>
        <w:t xml:space="preserve"> 12.</w:t>
      </w:r>
      <w:bookmarkEnd w:id="8"/>
      <w:bookmarkEnd w:id="9"/>
    </w:p>
    <w:p w14:paraId="485C692E" w14:textId="1B7815F6" w:rsidR="00832003" w:rsidRPr="00A614CB" w:rsidRDefault="00BC7BD2" w:rsidP="00832003">
      <w:pPr>
        <w:spacing w:after="0" w:line="360" w:lineRule="auto"/>
        <w:ind w:right="90"/>
        <w:jc w:val="both"/>
        <w:rPr>
          <w:rFonts w:ascii="Times New Roman" w:hAnsi="Times New Roman" w:cs="Times New Roman"/>
          <w:b/>
        </w:rPr>
      </w:pPr>
      <w:r>
        <w:rPr>
          <w:rFonts w:ascii="Times New Roman" w:hAnsi="Times New Roman" w:cs="Times New Roman"/>
          <w:b/>
          <w:bCs/>
        </w:rPr>
        <w:t xml:space="preserve">4.5 </w:t>
      </w:r>
      <w:r w:rsidR="00832003" w:rsidRPr="00930DCE">
        <w:rPr>
          <w:rFonts w:ascii="Times New Roman" w:hAnsi="Times New Roman" w:cs="Times New Roman"/>
          <w:b/>
        </w:rPr>
        <w:t xml:space="preserve">Residual </w:t>
      </w:r>
      <w:r w:rsidR="0054067A">
        <w:rPr>
          <w:rFonts w:ascii="Times New Roman" w:hAnsi="Times New Roman" w:cs="Times New Roman"/>
          <w:b/>
        </w:rPr>
        <w:t>D</w:t>
      </w:r>
      <w:r w:rsidR="00832003" w:rsidRPr="00930DCE">
        <w:rPr>
          <w:rFonts w:ascii="Times New Roman" w:hAnsi="Times New Roman" w:cs="Times New Roman"/>
          <w:b/>
        </w:rPr>
        <w:t xml:space="preserve">iagnostic </w:t>
      </w:r>
      <w:r w:rsidR="00832003" w:rsidRPr="00A614CB">
        <w:rPr>
          <w:rFonts w:ascii="Times New Roman" w:hAnsi="Times New Roman" w:cs="Times New Roman"/>
          <w:b/>
        </w:rPr>
        <w:t>Tests</w:t>
      </w:r>
    </w:p>
    <w:p w14:paraId="1C3BE0DB" w14:textId="23A36686" w:rsidR="00832003" w:rsidRDefault="005C70DB" w:rsidP="00832003">
      <w:pPr>
        <w:spacing w:line="360" w:lineRule="auto"/>
        <w:ind w:right="90"/>
        <w:jc w:val="both"/>
        <w:rPr>
          <w:rFonts w:ascii="Times New Roman" w:hAnsi="Times New Roman" w:cs="Times New Roman"/>
          <w:b/>
          <w:bCs/>
        </w:rPr>
      </w:pPr>
      <w:bookmarkStart w:id="12" w:name="_Hlk178686119"/>
      <w:r>
        <w:rPr>
          <w:rFonts w:ascii="Times New Roman" w:hAnsi="Times New Roman" w:cs="Times New Roman"/>
          <w:b/>
          <w:bCs/>
        </w:rPr>
        <w:t xml:space="preserve">4.5.1 </w:t>
      </w:r>
      <w:r w:rsidR="005F4FCD" w:rsidRPr="005F4FCD">
        <w:rPr>
          <w:rFonts w:ascii="Times New Roman" w:hAnsi="Times New Roman" w:cs="Times New Roman"/>
          <w:b/>
          <w:bCs/>
        </w:rPr>
        <w:t>Breusch-Godfrey Serial Correlation LM Test</w:t>
      </w:r>
    </w:p>
    <w:p w14:paraId="2CF1F16B" w14:textId="58C75496" w:rsidR="009B5032" w:rsidRPr="009B5032" w:rsidRDefault="006B5A71" w:rsidP="00D97E53">
      <w:pPr>
        <w:spacing w:after="240" w:line="480" w:lineRule="auto"/>
        <w:jc w:val="both"/>
        <w:rPr>
          <w:rFonts w:ascii="Times New Roman" w:hAnsi="Times New Roman" w:cs="Times New Roman"/>
        </w:rPr>
      </w:pPr>
      <w:r>
        <w:rPr>
          <w:rFonts w:ascii="Times New Roman" w:hAnsi="Times New Roman" w:cs="Times New Roman"/>
        </w:rPr>
        <w:t>T</w:t>
      </w:r>
      <w:r w:rsidR="00D97E53" w:rsidRPr="004C48B4">
        <w:rPr>
          <w:rFonts w:ascii="Times New Roman" w:hAnsi="Times New Roman" w:cs="Times New Roman"/>
        </w:rPr>
        <w:t xml:space="preserve">he </w:t>
      </w:r>
      <w:r>
        <w:rPr>
          <w:rFonts w:ascii="Times New Roman" w:hAnsi="Times New Roman" w:cs="Times New Roman"/>
        </w:rPr>
        <w:t xml:space="preserve">results of </w:t>
      </w:r>
      <w:r w:rsidRPr="006B5A71">
        <w:rPr>
          <w:rFonts w:ascii="Times New Roman" w:hAnsi="Times New Roman" w:cs="Times New Roman"/>
        </w:rPr>
        <w:t>Breusch-Godfrey Serial Correlation LM Test</w:t>
      </w:r>
      <w:r>
        <w:rPr>
          <w:rFonts w:ascii="Times New Roman" w:hAnsi="Times New Roman" w:cs="Times New Roman"/>
        </w:rPr>
        <w:t xml:space="preserve"> in table 5 shows </w:t>
      </w:r>
      <w:r w:rsidR="00D97E53" w:rsidRPr="004C48B4">
        <w:rPr>
          <w:rFonts w:ascii="Times New Roman" w:hAnsi="Times New Roman" w:cs="Times New Roman"/>
        </w:rPr>
        <w:t xml:space="preserve">F-statistic </w:t>
      </w:r>
      <w:r>
        <w:rPr>
          <w:rFonts w:ascii="Times New Roman" w:hAnsi="Times New Roman" w:cs="Times New Roman"/>
        </w:rPr>
        <w:t>value of</w:t>
      </w:r>
      <w:r w:rsidR="00D97E53" w:rsidRPr="004C48B4">
        <w:rPr>
          <w:rFonts w:ascii="Times New Roman" w:hAnsi="Times New Roman" w:cs="Times New Roman"/>
        </w:rPr>
        <w:t xml:space="preserve"> 0.078311, with a corresponding probability value (Prob. F) of 0.9250. Since the p-value exceeds the conventional significance threshold of 0.05, we fail to reject the null hypothesis of no serial correlation. Similarly, the </w:t>
      </w:r>
      <w:proofErr w:type="spellStart"/>
      <w:r w:rsidR="00D97E53" w:rsidRPr="004C48B4">
        <w:rPr>
          <w:rFonts w:ascii="Times New Roman" w:hAnsi="Times New Roman" w:cs="Times New Roman"/>
        </w:rPr>
        <w:t>Obs</w:t>
      </w:r>
      <w:proofErr w:type="spellEnd"/>
      <w:r w:rsidR="00D97E53" w:rsidRPr="004C48B4">
        <w:rPr>
          <w:rFonts w:ascii="Times New Roman" w:hAnsi="Times New Roman" w:cs="Times New Roman"/>
        </w:rPr>
        <w:t>*R-squared statistic is 0.282998, with an associated p-value of 0.8681, which further supports the absence of serial correlation in the residuals. These results indicate that the model does not suffer from serial correlation issues, thereby enhancing the reliability of the estimated coefficients and supporting the model’s validity over time</w:t>
      </w:r>
      <w:r w:rsidR="00D97E53" w:rsidRPr="0033300A">
        <w:rPr>
          <w:rFonts w:ascii="Times New Roman" w:hAnsi="Times New Roman" w:cs="Times New Roman"/>
        </w:rPr>
        <w:t>.</w:t>
      </w:r>
    </w:p>
    <w:tbl>
      <w:tblPr>
        <w:tblW w:w="0" w:type="auto"/>
        <w:tblLayout w:type="fixed"/>
        <w:tblCellMar>
          <w:left w:w="0" w:type="dxa"/>
          <w:right w:w="0" w:type="dxa"/>
        </w:tblCellMar>
        <w:tblLook w:val="0000" w:firstRow="0" w:lastRow="0" w:firstColumn="0" w:lastColumn="0" w:noHBand="0" w:noVBand="0"/>
      </w:tblPr>
      <w:tblGrid>
        <w:gridCol w:w="30"/>
        <w:gridCol w:w="2017"/>
        <w:gridCol w:w="1103"/>
        <w:gridCol w:w="1207"/>
        <w:gridCol w:w="1208"/>
        <w:gridCol w:w="997"/>
      </w:tblGrid>
      <w:tr w:rsidR="00832003" w:rsidRPr="00864BEA" w14:paraId="5F9A8E0E" w14:textId="77777777" w:rsidTr="00B82BF5">
        <w:trPr>
          <w:gridBefore w:val="1"/>
          <w:wBefore w:w="30" w:type="dxa"/>
          <w:trHeight w:val="225"/>
        </w:trPr>
        <w:tc>
          <w:tcPr>
            <w:tcW w:w="5535" w:type="dxa"/>
            <w:gridSpan w:val="4"/>
            <w:tcBorders>
              <w:top w:val="nil"/>
              <w:left w:val="nil"/>
              <w:bottom w:val="nil"/>
              <w:right w:val="nil"/>
            </w:tcBorders>
            <w:vAlign w:val="bottom"/>
          </w:tcPr>
          <w:p w14:paraId="402DEE8D" w14:textId="4FEBCD93" w:rsidR="00832003" w:rsidRPr="009B5032" w:rsidRDefault="00832003" w:rsidP="009B5032">
            <w:pPr>
              <w:autoSpaceDE w:val="0"/>
              <w:autoSpaceDN w:val="0"/>
              <w:adjustRightInd w:val="0"/>
              <w:spacing w:after="0" w:line="240" w:lineRule="auto"/>
              <w:ind w:right="90"/>
              <w:jc w:val="both"/>
              <w:rPr>
                <w:rFonts w:ascii="Times New Roman" w:hAnsi="Times New Roman" w:cs="Times New Roman"/>
                <w:b/>
                <w:bCs/>
                <w:sz w:val="18"/>
                <w:szCs w:val="18"/>
              </w:rPr>
            </w:pPr>
            <w:r w:rsidRPr="009B5032">
              <w:rPr>
                <w:rFonts w:ascii="Times New Roman" w:hAnsi="Times New Roman" w:cs="Times New Roman"/>
                <w:b/>
                <w:bCs/>
              </w:rPr>
              <w:t>Table 5: Breusch-Godfrey Serial Correlation LM</w:t>
            </w:r>
            <w:r w:rsidR="009B5032">
              <w:rPr>
                <w:rFonts w:ascii="Times New Roman" w:hAnsi="Times New Roman" w:cs="Times New Roman"/>
                <w:b/>
                <w:bCs/>
              </w:rPr>
              <w:t xml:space="preserve"> </w:t>
            </w:r>
            <w:r w:rsidRPr="009B5032">
              <w:rPr>
                <w:rFonts w:ascii="Times New Roman" w:hAnsi="Times New Roman" w:cs="Times New Roman"/>
                <w:b/>
                <w:bCs/>
              </w:rPr>
              <w:t>Test:</w:t>
            </w:r>
          </w:p>
        </w:tc>
        <w:tc>
          <w:tcPr>
            <w:tcW w:w="997" w:type="dxa"/>
            <w:tcBorders>
              <w:top w:val="nil"/>
              <w:left w:val="nil"/>
              <w:bottom w:val="nil"/>
              <w:right w:val="nil"/>
            </w:tcBorders>
            <w:vAlign w:val="bottom"/>
          </w:tcPr>
          <w:p w14:paraId="3D256B84" w14:textId="77777777" w:rsidR="00832003" w:rsidRPr="00864BEA" w:rsidRDefault="00832003" w:rsidP="009B5032">
            <w:pPr>
              <w:autoSpaceDE w:val="0"/>
              <w:autoSpaceDN w:val="0"/>
              <w:adjustRightInd w:val="0"/>
              <w:spacing w:after="0" w:line="240" w:lineRule="auto"/>
              <w:ind w:right="90"/>
              <w:rPr>
                <w:rFonts w:ascii="Arial" w:hAnsi="Arial" w:cs="Arial"/>
                <w:sz w:val="18"/>
                <w:szCs w:val="18"/>
              </w:rPr>
            </w:pPr>
          </w:p>
        </w:tc>
      </w:tr>
      <w:tr w:rsidR="00832003" w14:paraId="515E677C" w14:textId="77777777" w:rsidTr="00B82BF5">
        <w:trPr>
          <w:trHeight w:hRule="exact" w:val="90"/>
        </w:trPr>
        <w:tc>
          <w:tcPr>
            <w:tcW w:w="2047" w:type="dxa"/>
            <w:gridSpan w:val="2"/>
            <w:tcBorders>
              <w:top w:val="nil"/>
              <w:left w:val="nil"/>
              <w:bottom w:val="double" w:sz="6" w:space="2" w:color="auto"/>
              <w:right w:val="nil"/>
            </w:tcBorders>
            <w:vAlign w:val="bottom"/>
          </w:tcPr>
          <w:p w14:paraId="47488687"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103" w:type="dxa"/>
            <w:tcBorders>
              <w:top w:val="nil"/>
              <w:left w:val="nil"/>
              <w:bottom w:val="double" w:sz="6" w:space="2" w:color="auto"/>
              <w:right w:val="nil"/>
            </w:tcBorders>
            <w:vAlign w:val="bottom"/>
          </w:tcPr>
          <w:p w14:paraId="445DC1E8"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207" w:type="dxa"/>
            <w:tcBorders>
              <w:top w:val="nil"/>
              <w:left w:val="nil"/>
              <w:bottom w:val="double" w:sz="6" w:space="2" w:color="auto"/>
              <w:right w:val="nil"/>
            </w:tcBorders>
            <w:vAlign w:val="bottom"/>
          </w:tcPr>
          <w:p w14:paraId="5BE4CB74"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208" w:type="dxa"/>
            <w:tcBorders>
              <w:top w:val="nil"/>
              <w:left w:val="nil"/>
              <w:bottom w:val="double" w:sz="6" w:space="2" w:color="auto"/>
              <w:right w:val="nil"/>
            </w:tcBorders>
            <w:vAlign w:val="bottom"/>
          </w:tcPr>
          <w:p w14:paraId="735E09BD"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997" w:type="dxa"/>
            <w:tcBorders>
              <w:top w:val="nil"/>
              <w:left w:val="nil"/>
              <w:bottom w:val="double" w:sz="6" w:space="2" w:color="auto"/>
              <w:right w:val="nil"/>
            </w:tcBorders>
            <w:vAlign w:val="bottom"/>
          </w:tcPr>
          <w:p w14:paraId="79A88760"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r>
      <w:tr w:rsidR="00832003" w14:paraId="71243D96" w14:textId="77777777" w:rsidTr="00B82BF5">
        <w:trPr>
          <w:trHeight w:hRule="exact" w:val="135"/>
        </w:trPr>
        <w:tc>
          <w:tcPr>
            <w:tcW w:w="2047" w:type="dxa"/>
            <w:gridSpan w:val="2"/>
            <w:tcBorders>
              <w:top w:val="nil"/>
              <w:left w:val="nil"/>
              <w:bottom w:val="nil"/>
              <w:right w:val="nil"/>
            </w:tcBorders>
            <w:vAlign w:val="bottom"/>
          </w:tcPr>
          <w:p w14:paraId="2DB4D265"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103" w:type="dxa"/>
            <w:tcBorders>
              <w:top w:val="nil"/>
              <w:left w:val="nil"/>
              <w:bottom w:val="nil"/>
              <w:right w:val="nil"/>
            </w:tcBorders>
            <w:vAlign w:val="bottom"/>
          </w:tcPr>
          <w:p w14:paraId="0CF83813"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207" w:type="dxa"/>
            <w:tcBorders>
              <w:top w:val="nil"/>
              <w:left w:val="nil"/>
              <w:bottom w:val="nil"/>
              <w:right w:val="nil"/>
            </w:tcBorders>
            <w:vAlign w:val="bottom"/>
          </w:tcPr>
          <w:p w14:paraId="298BDA0A"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208" w:type="dxa"/>
            <w:tcBorders>
              <w:top w:val="nil"/>
              <w:left w:val="nil"/>
              <w:bottom w:val="nil"/>
              <w:right w:val="nil"/>
            </w:tcBorders>
            <w:vAlign w:val="bottom"/>
          </w:tcPr>
          <w:p w14:paraId="753880C1"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997" w:type="dxa"/>
            <w:tcBorders>
              <w:top w:val="nil"/>
              <w:left w:val="nil"/>
              <w:bottom w:val="nil"/>
              <w:right w:val="nil"/>
            </w:tcBorders>
            <w:vAlign w:val="bottom"/>
          </w:tcPr>
          <w:p w14:paraId="13B06520"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r>
      <w:tr w:rsidR="00832003" w14:paraId="695B40A4" w14:textId="77777777" w:rsidTr="00B82BF5">
        <w:trPr>
          <w:trHeight w:val="225"/>
        </w:trPr>
        <w:tc>
          <w:tcPr>
            <w:tcW w:w="2047" w:type="dxa"/>
            <w:gridSpan w:val="2"/>
            <w:tcBorders>
              <w:top w:val="nil"/>
              <w:left w:val="nil"/>
              <w:bottom w:val="nil"/>
              <w:right w:val="nil"/>
            </w:tcBorders>
            <w:vAlign w:val="bottom"/>
          </w:tcPr>
          <w:p w14:paraId="165B8FD7" w14:textId="77777777" w:rsidR="00832003" w:rsidRDefault="00832003" w:rsidP="00B82BF5">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F-statistic</w:t>
            </w:r>
          </w:p>
        </w:tc>
        <w:tc>
          <w:tcPr>
            <w:tcW w:w="1103" w:type="dxa"/>
            <w:tcBorders>
              <w:top w:val="nil"/>
              <w:left w:val="nil"/>
              <w:bottom w:val="nil"/>
              <w:right w:val="nil"/>
            </w:tcBorders>
            <w:vAlign w:val="bottom"/>
          </w:tcPr>
          <w:p w14:paraId="51A9F7C2"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0.078311</w:t>
            </w:r>
          </w:p>
        </w:tc>
        <w:tc>
          <w:tcPr>
            <w:tcW w:w="2415" w:type="dxa"/>
            <w:gridSpan w:val="2"/>
            <w:tcBorders>
              <w:top w:val="nil"/>
              <w:left w:val="nil"/>
              <w:bottom w:val="nil"/>
              <w:right w:val="nil"/>
            </w:tcBorders>
            <w:vAlign w:val="bottom"/>
          </w:tcPr>
          <w:p w14:paraId="0092A05A" w14:textId="77777777" w:rsidR="00832003" w:rsidRDefault="00832003" w:rsidP="00B82BF5">
            <w:pPr>
              <w:autoSpaceDE w:val="0"/>
              <w:autoSpaceDN w:val="0"/>
              <w:adjustRightInd w:val="0"/>
              <w:spacing w:after="0" w:line="240" w:lineRule="auto"/>
              <w:ind w:right="10"/>
              <w:rPr>
                <w:rFonts w:ascii="Arial" w:hAnsi="Arial" w:cs="Arial"/>
                <w:color w:val="000000"/>
                <w:kern w:val="0"/>
                <w:sz w:val="18"/>
                <w:szCs w:val="18"/>
              </w:rPr>
            </w:pPr>
            <w:r>
              <w:rPr>
                <w:rFonts w:ascii="Arial" w:hAnsi="Arial" w:cs="Arial"/>
                <w:color w:val="000000"/>
                <w:kern w:val="0"/>
                <w:sz w:val="18"/>
                <w:szCs w:val="18"/>
              </w:rPr>
              <w:t xml:space="preserve">    Prob. </w:t>
            </w:r>
            <w:proofErr w:type="gramStart"/>
            <w:r>
              <w:rPr>
                <w:rFonts w:ascii="Arial" w:hAnsi="Arial" w:cs="Arial"/>
                <w:color w:val="000000"/>
                <w:kern w:val="0"/>
                <w:sz w:val="18"/>
                <w:szCs w:val="18"/>
              </w:rPr>
              <w:t>F(</w:t>
            </w:r>
            <w:proofErr w:type="gramEnd"/>
            <w:r>
              <w:rPr>
                <w:rFonts w:ascii="Arial" w:hAnsi="Arial" w:cs="Arial"/>
                <w:color w:val="000000"/>
                <w:kern w:val="0"/>
                <w:sz w:val="18"/>
                <w:szCs w:val="18"/>
              </w:rPr>
              <w:t>2,17)</w:t>
            </w:r>
          </w:p>
        </w:tc>
        <w:tc>
          <w:tcPr>
            <w:tcW w:w="997" w:type="dxa"/>
            <w:tcBorders>
              <w:top w:val="nil"/>
              <w:left w:val="nil"/>
              <w:bottom w:val="nil"/>
              <w:right w:val="nil"/>
            </w:tcBorders>
            <w:vAlign w:val="bottom"/>
          </w:tcPr>
          <w:p w14:paraId="141E4C21"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0.9250</w:t>
            </w:r>
          </w:p>
        </w:tc>
      </w:tr>
      <w:tr w:rsidR="00832003" w14:paraId="1C0C333A" w14:textId="77777777" w:rsidTr="00B82BF5">
        <w:trPr>
          <w:trHeight w:val="225"/>
        </w:trPr>
        <w:tc>
          <w:tcPr>
            <w:tcW w:w="2047" w:type="dxa"/>
            <w:gridSpan w:val="2"/>
            <w:tcBorders>
              <w:top w:val="nil"/>
              <w:left w:val="nil"/>
              <w:bottom w:val="nil"/>
              <w:right w:val="nil"/>
            </w:tcBorders>
            <w:vAlign w:val="bottom"/>
          </w:tcPr>
          <w:p w14:paraId="6CCBB0D3" w14:textId="77777777" w:rsidR="00832003" w:rsidRDefault="00832003" w:rsidP="00B82BF5">
            <w:pPr>
              <w:autoSpaceDE w:val="0"/>
              <w:autoSpaceDN w:val="0"/>
              <w:adjustRightInd w:val="0"/>
              <w:spacing w:after="0" w:line="240" w:lineRule="auto"/>
              <w:rPr>
                <w:rFonts w:ascii="Arial" w:hAnsi="Arial" w:cs="Arial"/>
                <w:color w:val="000000"/>
                <w:kern w:val="0"/>
                <w:sz w:val="18"/>
                <w:szCs w:val="18"/>
              </w:rPr>
            </w:pPr>
            <w:proofErr w:type="spellStart"/>
            <w:r>
              <w:rPr>
                <w:rFonts w:ascii="Arial" w:hAnsi="Arial" w:cs="Arial"/>
                <w:color w:val="000000"/>
                <w:kern w:val="0"/>
                <w:sz w:val="18"/>
                <w:szCs w:val="18"/>
              </w:rPr>
              <w:t>Obs</w:t>
            </w:r>
            <w:proofErr w:type="spellEnd"/>
            <w:r>
              <w:rPr>
                <w:rFonts w:ascii="Arial" w:hAnsi="Arial" w:cs="Arial"/>
                <w:color w:val="000000"/>
                <w:kern w:val="0"/>
                <w:sz w:val="18"/>
                <w:szCs w:val="18"/>
              </w:rPr>
              <w:t>*R-squared</w:t>
            </w:r>
          </w:p>
        </w:tc>
        <w:tc>
          <w:tcPr>
            <w:tcW w:w="1103" w:type="dxa"/>
            <w:tcBorders>
              <w:top w:val="nil"/>
              <w:left w:val="nil"/>
              <w:bottom w:val="nil"/>
              <w:right w:val="nil"/>
            </w:tcBorders>
            <w:vAlign w:val="bottom"/>
          </w:tcPr>
          <w:p w14:paraId="5D4B7DB2"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0.282998</w:t>
            </w:r>
          </w:p>
        </w:tc>
        <w:tc>
          <w:tcPr>
            <w:tcW w:w="2415" w:type="dxa"/>
            <w:gridSpan w:val="2"/>
            <w:tcBorders>
              <w:top w:val="nil"/>
              <w:left w:val="nil"/>
              <w:bottom w:val="nil"/>
              <w:right w:val="nil"/>
            </w:tcBorders>
            <w:vAlign w:val="bottom"/>
          </w:tcPr>
          <w:p w14:paraId="3421F6FF" w14:textId="77777777" w:rsidR="00832003" w:rsidRDefault="00832003" w:rsidP="00B82BF5">
            <w:pPr>
              <w:autoSpaceDE w:val="0"/>
              <w:autoSpaceDN w:val="0"/>
              <w:adjustRightInd w:val="0"/>
              <w:spacing w:after="0" w:line="240" w:lineRule="auto"/>
              <w:ind w:right="10"/>
              <w:rPr>
                <w:rFonts w:ascii="Arial" w:hAnsi="Arial" w:cs="Arial"/>
                <w:color w:val="000000"/>
                <w:kern w:val="0"/>
                <w:sz w:val="18"/>
                <w:szCs w:val="18"/>
              </w:rPr>
            </w:pPr>
            <w:r>
              <w:rPr>
                <w:rFonts w:ascii="Arial" w:hAnsi="Arial" w:cs="Arial"/>
                <w:color w:val="000000"/>
                <w:kern w:val="0"/>
                <w:sz w:val="18"/>
                <w:szCs w:val="18"/>
              </w:rPr>
              <w:t>    Prob. Chi-</w:t>
            </w:r>
            <w:proofErr w:type="gramStart"/>
            <w:r>
              <w:rPr>
                <w:rFonts w:ascii="Arial" w:hAnsi="Arial" w:cs="Arial"/>
                <w:color w:val="000000"/>
                <w:kern w:val="0"/>
                <w:sz w:val="18"/>
                <w:szCs w:val="18"/>
              </w:rPr>
              <w:t>Square(</w:t>
            </w:r>
            <w:proofErr w:type="gramEnd"/>
            <w:r>
              <w:rPr>
                <w:rFonts w:ascii="Arial" w:hAnsi="Arial" w:cs="Arial"/>
                <w:color w:val="000000"/>
                <w:kern w:val="0"/>
                <w:sz w:val="18"/>
                <w:szCs w:val="18"/>
              </w:rPr>
              <w:t>2)</w:t>
            </w:r>
          </w:p>
        </w:tc>
        <w:tc>
          <w:tcPr>
            <w:tcW w:w="997" w:type="dxa"/>
            <w:tcBorders>
              <w:top w:val="nil"/>
              <w:left w:val="nil"/>
              <w:bottom w:val="nil"/>
              <w:right w:val="nil"/>
            </w:tcBorders>
            <w:vAlign w:val="bottom"/>
          </w:tcPr>
          <w:p w14:paraId="160D6C9B"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0.8681</w:t>
            </w:r>
          </w:p>
        </w:tc>
      </w:tr>
      <w:tr w:rsidR="00832003" w14:paraId="409A0056" w14:textId="77777777" w:rsidTr="00B82BF5">
        <w:trPr>
          <w:trHeight w:hRule="exact" w:val="90"/>
        </w:trPr>
        <w:tc>
          <w:tcPr>
            <w:tcW w:w="2047" w:type="dxa"/>
            <w:gridSpan w:val="2"/>
            <w:tcBorders>
              <w:top w:val="nil"/>
              <w:left w:val="nil"/>
              <w:bottom w:val="double" w:sz="6" w:space="2" w:color="auto"/>
              <w:right w:val="nil"/>
            </w:tcBorders>
            <w:vAlign w:val="bottom"/>
          </w:tcPr>
          <w:p w14:paraId="1B160566"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103" w:type="dxa"/>
            <w:tcBorders>
              <w:top w:val="nil"/>
              <w:left w:val="nil"/>
              <w:bottom w:val="double" w:sz="6" w:space="2" w:color="auto"/>
              <w:right w:val="nil"/>
            </w:tcBorders>
            <w:vAlign w:val="bottom"/>
          </w:tcPr>
          <w:p w14:paraId="36D9DEEA"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207" w:type="dxa"/>
            <w:tcBorders>
              <w:top w:val="nil"/>
              <w:left w:val="nil"/>
              <w:bottom w:val="double" w:sz="6" w:space="2" w:color="auto"/>
              <w:right w:val="nil"/>
            </w:tcBorders>
            <w:vAlign w:val="bottom"/>
          </w:tcPr>
          <w:p w14:paraId="5F498E13"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208" w:type="dxa"/>
            <w:tcBorders>
              <w:top w:val="nil"/>
              <w:left w:val="nil"/>
              <w:bottom w:val="double" w:sz="6" w:space="2" w:color="auto"/>
              <w:right w:val="nil"/>
            </w:tcBorders>
            <w:vAlign w:val="bottom"/>
          </w:tcPr>
          <w:p w14:paraId="23DC4B4A"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997" w:type="dxa"/>
            <w:tcBorders>
              <w:top w:val="nil"/>
              <w:left w:val="nil"/>
              <w:bottom w:val="double" w:sz="6" w:space="2" w:color="auto"/>
              <w:right w:val="nil"/>
            </w:tcBorders>
            <w:vAlign w:val="bottom"/>
          </w:tcPr>
          <w:p w14:paraId="55412E4C"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r>
      <w:tr w:rsidR="00832003" w14:paraId="64A5A93E" w14:textId="77777777" w:rsidTr="00B82BF5">
        <w:trPr>
          <w:trHeight w:hRule="exact" w:val="135"/>
        </w:trPr>
        <w:tc>
          <w:tcPr>
            <w:tcW w:w="2047" w:type="dxa"/>
            <w:gridSpan w:val="2"/>
            <w:tcBorders>
              <w:top w:val="nil"/>
              <w:left w:val="nil"/>
              <w:bottom w:val="nil"/>
              <w:right w:val="nil"/>
            </w:tcBorders>
            <w:vAlign w:val="bottom"/>
          </w:tcPr>
          <w:p w14:paraId="6F0BBE34"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103" w:type="dxa"/>
            <w:tcBorders>
              <w:top w:val="nil"/>
              <w:left w:val="nil"/>
              <w:bottom w:val="nil"/>
              <w:right w:val="nil"/>
            </w:tcBorders>
            <w:vAlign w:val="bottom"/>
          </w:tcPr>
          <w:p w14:paraId="308CBE5D"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207" w:type="dxa"/>
            <w:tcBorders>
              <w:top w:val="nil"/>
              <w:left w:val="nil"/>
              <w:bottom w:val="nil"/>
              <w:right w:val="nil"/>
            </w:tcBorders>
            <w:vAlign w:val="bottom"/>
          </w:tcPr>
          <w:p w14:paraId="226FB7CD"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208" w:type="dxa"/>
            <w:tcBorders>
              <w:top w:val="nil"/>
              <w:left w:val="nil"/>
              <w:bottom w:val="nil"/>
              <w:right w:val="nil"/>
            </w:tcBorders>
            <w:vAlign w:val="bottom"/>
          </w:tcPr>
          <w:p w14:paraId="32EAE7EC"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997" w:type="dxa"/>
            <w:tcBorders>
              <w:top w:val="nil"/>
              <w:left w:val="nil"/>
              <w:bottom w:val="nil"/>
              <w:right w:val="nil"/>
            </w:tcBorders>
            <w:vAlign w:val="bottom"/>
          </w:tcPr>
          <w:p w14:paraId="78D02844"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r>
    </w:tbl>
    <w:p w14:paraId="425AA922" w14:textId="77777777" w:rsidR="00832003" w:rsidRPr="00C56221" w:rsidRDefault="00832003" w:rsidP="00832003">
      <w:pPr>
        <w:spacing w:line="360" w:lineRule="auto"/>
        <w:ind w:right="90"/>
        <w:jc w:val="both"/>
        <w:rPr>
          <w:rFonts w:ascii="Times New Roman" w:eastAsia="Calibri" w:hAnsi="Times New Roman"/>
          <w:b/>
          <w:bCs/>
          <w:sz w:val="28"/>
          <w:szCs w:val="28"/>
        </w:rPr>
      </w:pPr>
      <w:r w:rsidRPr="00C56221">
        <w:rPr>
          <w:rFonts w:ascii="Times New Roman" w:hAnsi="Times New Roman" w:cs="Times New Roman"/>
          <w:i/>
          <w:sz w:val="20"/>
          <w:szCs w:val="28"/>
        </w:rPr>
        <w:t xml:space="preserve">Source: Researcher’s computation using </w:t>
      </w:r>
      <w:proofErr w:type="spellStart"/>
      <w:r w:rsidRPr="00C56221">
        <w:rPr>
          <w:rFonts w:ascii="Times New Roman" w:hAnsi="Times New Roman" w:cs="Times New Roman"/>
          <w:i/>
          <w:sz w:val="20"/>
          <w:szCs w:val="28"/>
        </w:rPr>
        <w:t>Eviews</w:t>
      </w:r>
      <w:proofErr w:type="spellEnd"/>
      <w:r>
        <w:rPr>
          <w:rFonts w:ascii="Times New Roman" w:hAnsi="Times New Roman" w:cs="Times New Roman"/>
          <w:i/>
          <w:sz w:val="20"/>
          <w:szCs w:val="28"/>
        </w:rPr>
        <w:t xml:space="preserve"> </w:t>
      </w:r>
      <w:r w:rsidRPr="00C56221">
        <w:rPr>
          <w:rFonts w:ascii="Times New Roman" w:hAnsi="Times New Roman" w:cs="Times New Roman"/>
          <w:i/>
          <w:sz w:val="20"/>
          <w:szCs w:val="28"/>
        </w:rPr>
        <w:t>12</w:t>
      </w:r>
    </w:p>
    <w:p w14:paraId="025052C1" w14:textId="04B06DA4" w:rsidR="00AC6EBD" w:rsidRDefault="00F83AD4" w:rsidP="00832003">
      <w:pPr>
        <w:tabs>
          <w:tab w:val="left" w:pos="2001"/>
          <w:tab w:val="left" w:pos="6340"/>
        </w:tabs>
        <w:spacing w:line="360" w:lineRule="auto"/>
        <w:ind w:right="90"/>
        <w:jc w:val="both"/>
        <w:rPr>
          <w:rFonts w:ascii="Times New Roman" w:eastAsia="Times New Roman" w:hAnsi="Times New Roman" w:cs="Times New Roman"/>
          <w:b/>
        </w:rPr>
      </w:pPr>
      <w:bookmarkStart w:id="13" w:name="_Hlk204858809"/>
      <w:bookmarkEnd w:id="12"/>
      <w:r>
        <w:rPr>
          <w:rFonts w:ascii="Times New Roman" w:hAnsi="Times New Roman" w:cs="Times New Roman"/>
          <w:b/>
          <w:bCs/>
        </w:rPr>
        <w:t>4.5.</w:t>
      </w:r>
      <w:r w:rsidR="00F46BD1">
        <w:rPr>
          <w:rFonts w:ascii="Times New Roman" w:hAnsi="Times New Roman" w:cs="Times New Roman"/>
          <w:b/>
          <w:bCs/>
        </w:rPr>
        <w:t>2</w:t>
      </w:r>
      <w:r>
        <w:rPr>
          <w:rFonts w:ascii="Times New Roman" w:hAnsi="Times New Roman" w:cs="Times New Roman"/>
          <w:b/>
          <w:bCs/>
        </w:rPr>
        <w:t xml:space="preserve"> </w:t>
      </w:r>
      <w:r w:rsidR="00832003" w:rsidRPr="00A614CB">
        <w:rPr>
          <w:rFonts w:ascii="Times New Roman" w:eastAsia="Times New Roman" w:hAnsi="Times New Roman" w:cs="Times New Roman"/>
          <w:b/>
        </w:rPr>
        <w:t>Heteroskedasticity</w:t>
      </w:r>
      <w:bookmarkEnd w:id="13"/>
      <w:r w:rsidR="00832003" w:rsidRPr="00A614CB">
        <w:rPr>
          <w:rFonts w:ascii="Times New Roman" w:eastAsia="Times New Roman" w:hAnsi="Times New Roman" w:cs="Times New Roman"/>
          <w:b/>
        </w:rPr>
        <w:t xml:space="preserve"> </w:t>
      </w:r>
      <w:r>
        <w:rPr>
          <w:rFonts w:ascii="Times New Roman" w:eastAsia="Times New Roman" w:hAnsi="Times New Roman" w:cs="Times New Roman"/>
          <w:b/>
        </w:rPr>
        <w:t>T</w:t>
      </w:r>
      <w:r w:rsidR="00832003" w:rsidRPr="00A614CB">
        <w:rPr>
          <w:rFonts w:ascii="Times New Roman" w:eastAsia="Times New Roman" w:hAnsi="Times New Roman" w:cs="Times New Roman"/>
          <w:b/>
        </w:rPr>
        <w:t>est</w:t>
      </w:r>
    </w:p>
    <w:p w14:paraId="4E7E831B" w14:textId="5B19A9D2" w:rsidR="00ED5409" w:rsidRPr="00AC6EBD" w:rsidRDefault="00AC6EBD" w:rsidP="00AC6EBD">
      <w:pPr>
        <w:spacing w:line="480" w:lineRule="auto"/>
        <w:ind w:right="90"/>
        <w:jc w:val="both"/>
        <w:rPr>
          <w:rFonts w:ascii="Times New Roman" w:hAnsi="Times New Roman" w:cs="Times New Roman"/>
        </w:rPr>
      </w:pPr>
      <w:r w:rsidRPr="00ED21ED">
        <w:rPr>
          <w:rFonts w:ascii="Times New Roman" w:hAnsi="Times New Roman" w:cs="Times New Roman"/>
        </w:rPr>
        <w:t xml:space="preserve">The </w:t>
      </w:r>
      <w:r w:rsidRPr="00AC6EBD">
        <w:rPr>
          <w:rFonts w:ascii="Times New Roman" w:hAnsi="Times New Roman" w:cs="Times New Roman"/>
        </w:rPr>
        <w:t>Heteroskedasticity</w:t>
      </w:r>
      <w:r>
        <w:rPr>
          <w:rFonts w:ascii="Times New Roman" w:hAnsi="Times New Roman" w:cs="Times New Roman"/>
        </w:rPr>
        <w:t xml:space="preserve"> in table 6 shows</w:t>
      </w:r>
      <w:r w:rsidRPr="00ED21ED">
        <w:rPr>
          <w:rFonts w:ascii="Times New Roman" w:hAnsi="Times New Roman" w:cs="Times New Roman"/>
        </w:rPr>
        <w:t xml:space="preserve"> F-statistic</w:t>
      </w:r>
      <w:r>
        <w:rPr>
          <w:rFonts w:ascii="Times New Roman" w:hAnsi="Times New Roman" w:cs="Times New Roman"/>
        </w:rPr>
        <w:t xml:space="preserve"> value of</w:t>
      </w:r>
      <w:r w:rsidRPr="00ED21ED">
        <w:rPr>
          <w:rFonts w:ascii="Times New Roman" w:hAnsi="Times New Roman" w:cs="Times New Roman"/>
        </w:rPr>
        <w:t xml:space="preserve"> 0.657308, with an associated Prob. F of 0.7597, which is well above the conventional 0.05 significance threshold. The </w:t>
      </w:r>
      <w:proofErr w:type="spellStart"/>
      <w:r w:rsidRPr="00ED21ED">
        <w:rPr>
          <w:rFonts w:ascii="Times New Roman" w:hAnsi="Times New Roman" w:cs="Times New Roman"/>
        </w:rPr>
        <w:t>Obs</w:t>
      </w:r>
      <w:proofErr w:type="spellEnd"/>
      <w:r w:rsidRPr="00ED21ED">
        <w:rPr>
          <w:rFonts w:ascii="Times New Roman" w:hAnsi="Times New Roman" w:cs="Times New Roman"/>
        </w:rPr>
        <w:t>*R-squared statistic is 0.545126, with a p-value of 0.6638, while the Scaled Explained Sum of Squares (SS) yields a p-value of 0.9439. As all p-values exceed 0.05, we fail to reject the null hypothesis (H₀) of homoskedasticity. This outcome suggests that the residuals exhibit constant variance, indicating the absence of heteroskedasticity. Consequently, the parameter estimates are considered efficient and unbiased, thereby supporting the robustness of the model’s inferential results</w:t>
      </w:r>
      <w:r>
        <w:rPr>
          <w:rFonts w:ascii="Times New Roman" w:hAnsi="Times New Roman" w:cs="Times New Roman"/>
        </w:rPr>
        <w:t>.</w:t>
      </w:r>
    </w:p>
    <w:tbl>
      <w:tblPr>
        <w:tblW w:w="0" w:type="auto"/>
        <w:tblLayout w:type="fixed"/>
        <w:tblCellMar>
          <w:left w:w="0" w:type="dxa"/>
          <w:right w:w="0" w:type="dxa"/>
        </w:tblCellMar>
        <w:tblLook w:val="0000" w:firstRow="0" w:lastRow="0" w:firstColumn="0" w:lastColumn="0" w:noHBand="0" w:noVBand="0"/>
      </w:tblPr>
      <w:tblGrid>
        <w:gridCol w:w="30"/>
        <w:gridCol w:w="2017"/>
        <w:gridCol w:w="1103"/>
        <w:gridCol w:w="1207"/>
        <w:gridCol w:w="1208"/>
        <w:gridCol w:w="997"/>
      </w:tblGrid>
      <w:tr w:rsidR="00832003" w:rsidRPr="004103F1" w14:paraId="46079314" w14:textId="77777777" w:rsidTr="00B82BF5">
        <w:trPr>
          <w:gridBefore w:val="1"/>
          <w:wBefore w:w="30" w:type="dxa"/>
          <w:trHeight w:val="225"/>
        </w:trPr>
        <w:tc>
          <w:tcPr>
            <w:tcW w:w="6532" w:type="dxa"/>
            <w:gridSpan w:val="5"/>
            <w:tcBorders>
              <w:top w:val="nil"/>
              <w:left w:val="nil"/>
              <w:bottom w:val="nil"/>
              <w:right w:val="nil"/>
            </w:tcBorders>
            <w:vAlign w:val="bottom"/>
          </w:tcPr>
          <w:p w14:paraId="674E6863" w14:textId="77777777" w:rsidR="00832003" w:rsidRPr="00F46BD1" w:rsidRDefault="00832003" w:rsidP="00B82BF5">
            <w:pPr>
              <w:autoSpaceDE w:val="0"/>
              <w:autoSpaceDN w:val="0"/>
              <w:adjustRightInd w:val="0"/>
              <w:spacing w:after="0" w:line="240" w:lineRule="auto"/>
              <w:ind w:right="90"/>
              <w:jc w:val="both"/>
              <w:rPr>
                <w:rFonts w:ascii="Times New Roman" w:eastAsiaTheme="minorHAnsi" w:hAnsi="Times New Roman" w:cs="Times New Roman"/>
                <w:b/>
                <w:bCs/>
                <w:kern w:val="0"/>
                <w:sz w:val="18"/>
                <w:szCs w:val="18"/>
                <w:lang w:eastAsia="en-US"/>
                <w14:ligatures w14:val="none"/>
              </w:rPr>
            </w:pPr>
            <w:r w:rsidRPr="00F46BD1">
              <w:rPr>
                <w:rFonts w:ascii="Times New Roman" w:eastAsiaTheme="minorHAnsi" w:hAnsi="Times New Roman" w:cs="Times New Roman"/>
                <w:b/>
                <w:bCs/>
                <w:kern w:val="0"/>
                <w:szCs w:val="22"/>
                <w:lang w:eastAsia="en-US"/>
                <w14:ligatures w14:val="none"/>
              </w:rPr>
              <w:t>Table 6: Heteroskedasticity Test: Breusch-Pagan-Godfrey</w:t>
            </w:r>
          </w:p>
        </w:tc>
      </w:tr>
      <w:tr w:rsidR="00832003" w14:paraId="7B6C53BB" w14:textId="77777777" w:rsidTr="00B82BF5">
        <w:trPr>
          <w:trHeight w:hRule="exact" w:val="90"/>
        </w:trPr>
        <w:tc>
          <w:tcPr>
            <w:tcW w:w="2047" w:type="dxa"/>
            <w:gridSpan w:val="2"/>
            <w:tcBorders>
              <w:top w:val="nil"/>
              <w:left w:val="nil"/>
              <w:bottom w:val="double" w:sz="6" w:space="2" w:color="auto"/>
              <w:right w:val="nil"/>
            </w:tcBorders>
            <w:vAlign w:val="bottom"/>
          </w:tcPr>
          <w:p w14:paraId="2BA23C6F" w14:textId="77777777" w:rsidR="00832003" w:rsidRDefault="00832003" w:rsidP="00B82BF5">
            <w:pPr>
              <w:autoSpaceDE w:val="0"/>
              <w:autoSpaceDN w:val="0"/>
              <w:adjustRightInd w:val="0"/>
              <w:spacing w:after="0" w:line="240" w:lineRule="auto"/>
              <w:rPr>
                <w:rFonts w:ascii="Arial" w:hAnsi="Arial" w:cs="Arial"/>
                <w:color w:val="000000"/>
                <w:kern w:val="0"/>
                <w:sz w:val="18"/>
                <w:szCs w:val="18"/>
              </w:rPr>
            </w:pPr>
          </w:p>
        </w:tc>
        <w:tc>
          <w:tcPr>
            <w:tcW w:w="1103" w:type="dxa"/>
            <w:tcBorders>
              <w:top w:val="nil"/>
              <w:left w:val="nil"/>
              <w:bottom w:val="double" w:sz="6" w:space="2" w:color="auto"/>
              <w:right w:val="nil"/>
            </w:tcBorders>
            <w:vAlign w:val="bottom"/>
          </w:tcPr>
          <w:p w14:paraId="09F543D2"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207" w:type="dxa"/>
            <w:tcBorders>
              <w:top w:val="nil"/>
              <w:left w:val="nil"/>
              <w:bottom w:val="double" w:sz="6" w:space="2" w:color="auto"/>
              <w:right w:val="nil"/>
            </w:tcBorders>
            <w:vAlign w:val="bottom"/>
          </w:tcPr>
          <w:p w14:paraId="21378C6F"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208" w:type="dxa"/>
            <w:tcBorders>
              <w:top w:val="nil"/>
              <w:left w:val="nil"/>
              <w:bottom w:val="double" w:sz="6" w:space="2" w:color="auto"/>
              <w:right w:val="nil"/>
            </w:tcBorders>
            <w:vAlign w:val="bottom"/>
          </w:tcPr>
          <w:p w14:paraId="6B133A31"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997" w:type="dxa"/>
            <w:tcBorders>
              <w:top w:val="nil"/>
              <w:left w:val="nil"/>
              <w:bottom w:val="double" w:sz="6" w:space="2" w:color="auto"/>
              <w:right w:val="nil"/>
            </w:tcBorders>
            <w:vAlign w:val="bottom"/>
          </w:tcPr>
          <w:p w14:paraId="5BAC48A9"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r>
      <w:tr w:rsidR="00832003" w14:paraId="4676C6C1" w14:textId="77777777" w:rsidTr="00B82BF5">
        <w:trPr>
          <w:trHeight w:hRule="exact" w:val="135"/>
        </w:trPr>
        <w:tc>
          <w:tcPr>
            <w:tcW w:w="2047" w:type="dxa"/>
            <w:gridSpan w:val="2"/>
            <w:tcBorders>
              <w:top w:val="nil"/>
              <w:left w:val="nil"/>
              <w:bottom w:val="nil"/>
              <w:right w:val="nil"/>
            </w:tcBorders>
            <w:vAlign w:val="bottom"/>
          </w:tcPr>
          <w:p w14:paraId="05D5330F"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103" w:type="dxa"/>
            <w:tcBorders>
              <w:top w:val="nil"/>
              <w:left w:val="nil"/>
              <w:bottom w:val="nil"/>
              <w:right w:val="nil"/>
            </w:tcBorders>
            <w:vAlign w:val="bottom"/>
          </w:tcPr>
          <w:p w14:paraId="5F147F51"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207" w:type="dxa"/>
            <w:tcBorders>
              <w:top w:val="nil"/>
              <w:left w:val="nil"/>
              <w:bottom w:val="nil"/>
              <w:right w:val="nil"/>
            </w:tcBorders>
            <w:vAlign w:val="bottom"/>
          </w:tcPr>
          <w:p w14:paraId="30654176"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208" w:type="dxa"/>
            <w:tcBorders>
              <w:top w:val="nil"/>
              <w:left w:val="nil"/>
              <w:bottom w:val="nil"/>
              <w:right w:val="nil"/>
            </w:tcBorders>
            <w:vAlign w:val="bottom"/>
          </w:tcPr>
          <w:p w14:paraId="378D0916"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997" w:type="dxa"/>
            <w:tcBorders>
              <w:top w:val="nil"/>
              <w:left w:val="nil"/>
              <w:bottom w:val="nil"/>
              <w:right w:val="nil"/>
            </w:tcBorders>
            <w:vAlign w:val="bottom"/>
          </w:tcPr>
          <w:p w14:paraId="38A253D4"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r>
      <w:tr w:rsidR="00832003" w14:paraId="4D4317A1" w14:textId="77777777" w:rsidTr="00B82BF5">
        <w:trPr>
          <w:trHeight w:val="225"/>
        </w:trPr>
        <w:tc>
          <w:tcPr>
            <w:tcW w:w="2047" w:type="dxa"/>
            <w:gridSpan w:val="2"/>
            <w:tcBorders>
              <w:top w:val="nil"/>
              <w:left w:val="nil"/>
              <w:bottom w:val="nil"/>
              <w:right w:val="nil"/>
            </w:tcBorders>
            <w:vAlign w:val="bottom"/>
          </w:tcPr>
          <w:p w14:paraId="55B3B2AD" w14:textId="77777777" w:rsidR="00832003" w:rsidRDefault="00832003" w:rsidP="00B82BF5">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F-statistic</w:t>
            </w:r>
          </w:p>
        </w:tc>
        <w:tc>
          <w:tcPr>
            <w:tcW w:w="1103" w:type="dxa"/>
            <w:tcBorders>
              <w:top w:val="nil"/>
              <w:left w:val="nil"/>
              <w:bottom w:val="nil"/>
              <w:right w:val="nil"/>
            </w:tcBorders>
            <w:vAlign w:val="bottom"/>
          </w:tcPr>
          <w:p w14:paraId="69DA8B82"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0.657308</w:t>
            </w:r>
          </w:p>
        </w:tc>
        <w:tc>
          <w:tcPr>
            <w:tcW w:w="2415" w:type="dxa"/>
            <w:gridSpan w:val="2"/>
            <w:tcBorders>
              <w:top w:val="nil"/>
              <w:left w:val="nil"/>
              <w:bottom w:val="nil"/>
              <w:right w:val="nil"/>
            </w:tcBorders>
            <w:vAlign w:val="bottom"/>
          </w:tcPr>
          <w:p w14:paraId="0026F351" w14:textId="77777777" w:rsidR="00832003" w:rsidRDefault="00832003" w:rsidP="00B82BF5">
            <w:pPr>
              <w:autoSpaceDE w:val="0"/>
              <w:autoSpaceDN w:val="0"/>
              <w:adjustRightInd w:val="0"/>
              <w:spacing w:after="0" w:line="240" w:lineRule="auto"/>
              <w:ind w:right="10"/>
              <w:rPr>
                <w:rFonts w:ascii="Arial" w:hAnsi="Arial" w:cs="Arial"/>
                <w:color w:val="000000"/>
                <w:kern w:val="0"/>
                <w:sz w:val="18"/>
                <w:szCs w:val="18"/>
              </w:rPr>
            </w:pPr>
            <w:r>
              <w:rPr>
                <w:rFonts w:ascii="Arial" w:hAnsi="Arial" w:cs="Arial"/>
                <w:color w:val="000000"/>
                <w:kern w:val="0"/>
                <w:sz w:val="18"/>
                <w:szCs w:val="18"/>
              </w:rPr>
              <w:t xml:space="preserve">    Prob. </w:t>
            </w:r>
            <w:proofErr w:type="gramStart"/>
            <w:r>
              <w:rPr>
                <w:rFonts w:ascii="Arial" w:hAnsi="Arial" w:cs="Arial"/>
                <w:color w:val="000000"/>
                <w:kern w:val="0"/>
                <w:sz w:val="18"/>
                <w:szCs w:val="18"/>
              </w:rPr>
              <w:t>F(</w:t>
            </w:r>
            <w:proofErr w:type="gramEnd"/>
            <w:r>
              <w:rPr>
                <w:rFonts w:ascii="Arial" w:hAnsi="Arial" w:cs="Arial"/>
                <w:color w:val="000000"/>
                <w:kern w:val="0"/>
                <w:sz w:val="18"/>
                <w:szCs w:val="18"/>
              </w:rPr>
              <w:t>11,19)</w:t>
            </w:r>
          </w:p>
        </w:tc>
        <w:tc>
          <w:tcPr>
            <w:tcW w:w="997" w:type="dxa"/>
            <w:tcBorders>
              <w:top w:val="nil"/>
              <w:left w:val="nil"/>
              <w:bottom w:val="nil"/>
              <w:right w:val="nil"/>
            </w:tcBorders>
            <w:vAlign w:val="bottom"/>
          </w:tcPr>
          <w:p w14:paraId="71510BEB"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0.7597</w:t>
            </w:r>
          </w:p>
        </w:tc>
      </w:tr>
      <w:tr w:rsidR="00832003" w14:paraId="573B0595" w14:textId="77777777" w:rsidTr="00B82BF5">
        <w:trPr>
          <w:trHeight w:val="225"/>
        </w:trPr>
        <w:tc>
          <w:tcPr>
            <w:tcW w:w="2047" w:type="dxa"/>
            <w:gridSpan w:val="2"/>
            <w:tcBorders>
              <w:top w:val="nil"/>
              <w:left w:val="nil"/>
              <w:bottom w:val="nil"/>
              <w:right w:val="nil"/>
            </w:tcBorders>
            <w:vAlign w:val="bottom"/>
          </w:tcPr>
          <w:p w14:paraId="21EE5AE0" w14:textId="77777777" w:rsidR="00832003" w:rsidRDefault="00832003" w:rsidP="00B82BF5">
            <w:pPr>
              <w:autoSpaceDE w:val="0"/>
              <w:autoSpaceDN w:val="0"/>
              <w:adjustRightInd w:val="0"/>
              <w:spacing w:after="0" w:line="240" w:lineRule="auto"/>
              <w:rPr>
                <w:rFonts w:ascii="Arial" w:hAnsi="Arial" w:cs="Arial"/>
                <w:color w:val="000000"/>
                <w:kern w:val="0"/>
                <w:sz w:val="18"/>
                <w:szCs w:val="18"/>
              </w:rPr>
            </w:pPr>
            <w:proofErr w:type="spellStart"/>
            <w:r>
              <w:rPr>
                <w:rFonts w:ascii="Arial" w:hAnsi="Arial" w:cs="Arial"/>
                <w:color w:val="000000"/>
                <w:kern w:val="0"/>
                <w:sz w:val="18"/>
                <w:szCs w:val="18"/>
              </w:rPr>
              <w:t>Obs</w:t>
            </w:r>
            <w:proofErr w:type="spellEnd"/>
            <w:r>
              <w:rPr>
                <w:rFonts w:ascii="Arial" w:hAnsi="Arial" w:cs="Arial"/>
                <w:color w:val="000000"/>
                <w:kern w:val="0"/>
                <w:sz w:val="18"/>
                <w:szCs w:val="18"/>
              </w:rPr>
              <w:t>*R-squared</w:t>
            </w:r>
          </w:p>
        </w:tc>
        <w:tc>
          <w:tcPr>
            <w:tcW w:w="1103" w:type="dxa"/>
            <w:tcBorders>
              <w:top w:val="nil"/>
              <w:left w:val="nil"/>
              <w:bottom w:val="nil"/>
              <w:right w:val="nil"/>
            </w:tcBorders>
            <w:vAlign w:val="bottom"/>
          </w:tcPr>
          <w:p w14:paraId="5020FF9E"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8.545126</w:t>
            </w:r>
          </w:p>
        </w:tc>
        <w:tc>
          <w:tcPr>
            <w:tcW w:w="2415" w:type="dxa"/>
            <w:gridSpan w:val="2"/>
            <w:tcBorders>
              <w:top w:val="nil"/>
              <w:left w:val="nil"/>
              <w:bottom w:val="nil"/>
              <w:right w:val="nil"/>
            </w:tcBorders>
            <w:vAlign w:val="bottom"/>
          </w:tcPr>
          <w:p w14:paraId="1CFB2BBD" w14:textId="77777777" w:rsidR="00832003" w:rsidRDefault="00832003" w:rsidP="00B82BF5">
            <w:pPr>
              <w:autoSpaceDE w:val="0"/>
              <w:autoSpaceDN w:val="0"/>
              <w:adjustRightInd w:val="0"/>
              <w:spacing w:after="0" w:line="240" w:lineRule="auto"/>
              <w:ind w:right="10"/>
              <w:rPr>
                <w:rFonts w:ascii="Arial" w:hAnsi="Arial" w:cs="Arial"/>
                <w:color w:val="000000"/>
                <w:kern w:val="0"/>
                <w:sz w:val="18"/>
                <w:szCs w:val="18"/>
              </w:rPr>
            </w:pPr>
            <w:r>
              <w:rPr>
                <w:rFonts w:ascii="Arial" w:hAnsi="Arial" w:cs="Arial"/>
                <w:color w:val="000000"/>
                <w:kern w:val="0"/>
                <w:sz w:val="18"/>
                <w:szCs w:val="18"/>
              </w:rPr>
              <w:t>    Prob. Chi-</w:t>
            </w:r>
            <w:proofErr w:type="gramStart"/>
            <w:r>
              <w:rPr>
                <w:rFonts w:ascii="Arial" w:hAnsi="Arial" w:cs="Arial"/>
                <w:color w:val="000000"/>
                <w:kern w:val="0"/>
                <w:sz w:val="18"/>
                <w:szCs w:val="18"/>
              </w:rPr>
              <w:t>Square(</w:t>
            </w:r>
            <w:proofErr w:type="gramEnd"/>
            <w:r>
              <w:rPr>
                <w:rFonts w:ascii="Arial" w:hAnsi="Arial" w:cs="Arial"/>
                <w:color w:val="000000"/>
                <w:kern w:val="0"/>
                <w:sz w:val="18"/>
                <w:szCs w:val="18"/>
              </w:rPr>
              <w:t>11)</w:t>
            </w:r>
          </w:p>
        </w:tc>
        <w:tc>
          <w:tcPr>
            <w:tcW w:w="997" w:type="dxa"/>
            <w:tcBorders>
              <w:top w:val="nil"/>
              <w:left w:val="nil"/>
              <w:bottom w:val="nil"/>
              <w:right w:val="nil"/>
            </w:tcBorders>
            <w:vAlign w:val="bottom"/>
          </w:tcPr>
          <w:p w14:paraId="6AC9B53E"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0.6638</w:t>
            </w:r>
          </w:p>
        </w:tc>
      </w:tr>
      <w:tr w:rsidR="00832003" w14:paraId="03F0B131" w14:textId="77777777" w:rsidTr="00B82BF5">
        <w:trPr>
          <w:trHeight w:val="225"/>
        </w:trPr>
        <w:tc>
          <w:tcPr>
            <w:tcW w:w="2047" w:type="dxa"/>
            <w:gridSpan w:val="2"/>
            <w:tcBorders>
              <w:top w:val="nil"/>
              <w:left w:val="nil"/>
              <w:bottom w:val="nil"/>
              <w:right w:val="nil"/>
            </w:tcBorders>
            <w:vAlign w:val="bottom"/>
          </w:tcPr>
          <w:p w14:paraId="0E51FAED" w14:textId="77777777" w:rsidR="00832003" w:rsidRDefault="00832003" w:rsidP="00B82BF5">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Scaled explained SS</w:t>
            </w:r>
          </w:p>
        </w:tc>
        <w:tc>
          <w:tcPr>
            <w:tcW w:w="1103" w:type="dxa"/>
            <w:tcBorders>
              <w:top w:val="nil"/>
              <w:left w:val="nil"/>
              <w:bottom w:val="nil"/>
              <w:right w:val="nil"/>
            </w:tcBorders>
            <w:vAlign w:val="bottom"/>
          </w:tcPr>
          <w:p w14:paraId="7A1408BF"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4.721882</w:t>
            </w:r>
          </w:p>
        </w:tc>
        <w:tc>
          <w:tcPr>
            <w:tcW w:w="2415" w:type="dxa"/>
            <w:gridSpan w:val="2"/>
            <w:tcBorders>
              <w:top w:val="nil"/>
              <w:left w:val="nil"/>
              <w:bottom w:val="nil"/>
              <w:right w:val="nil"/>
            </w:tcBorders>
            <w:vAlign w:val="bottom"/>
          </w:tcPr>
          <w:p w14:paraId="6DA07F7F" w14:textId="77777777" w:rsidR="00832003" w:rsidRDefault="00832003" w:rsidP="00B82BF5">
            <w:pPr>
              <w:autoSpaceDE w:val="0"/>
              <w:autoSpaceDN w:val="0"/>
              <w:adjustRightInd w:val="0"/>
              <w:spacing w:after="0" w:line="240" w:lineRule="auto"/>
              <w:ind w:right="10"/>
              <w:rPr>
                <w:rFonts w:ascii="Arial" w:hAnsi="Arial" w:cs="Arial"/>
                <w:color w:val="000000"/>
                <w:kern w:val="0"/>
                <w:sz w:val="18"/>
                <w:szCs w:val="18"/>
              </w:rPr>
            </w:pPr>
            <w:r>
              <w:rPr>
                <w:rFonts w:ascii="Arial" w:hAnsi="Arial" w:cs="Arial"/>
                <w:color w:val="000000"/>
                <w:kern w:val="0"/>
                <w:sz w:val="18"/>
                <w:szCs w:val="18"/>
              </w:rPr>
              <w:t>    Prob. Chi-</w:t>
            </w:r>
            <w:proofErr w:type="gramStart"/>
            <w:r>
              <w:rPr>
                <w:rFonts w:ascii="Arial" w:hAnsi="Arial" w:cs="Arial"/>
                <w:color w:val="000000"/>
                <w:kern w:val="0"/>
                <w:sz w:val="18"/>
                <w:szCs w:val="18"/>
              </w:rPr>
              <w:t>Square(</w:t>
            </w:r>
            <w:proofErr w:type="gramEnd"/>
            <w:r>
              <w:rPr>
                <w:rFonts w:ascii="Arial" w:hAnsi="Arial" w:cs="Arial"/>
                <w:color w:val="000000"/>
                <w:kern w:val="0"/>
                <w:sz w:val="18"/>
                <w:szCs w:val="18"/>
              </w:rPr>
              <w:t>11)</w:t>
            </w:r>
          </w:p>
        </w:tc>
        <w:tc>
          <w:tcPr>
            <w:tcW w:w="997" w:type="dxa"/>
            <w:tcBorders>
              <w:top w:val="nil"/>
              <w:left w:val="nil"/>
              <w:bottom w:val="nil"/>
              <w:right w:val="nil"/>
            </w:tcBorders>
            <w:vAlign w:val="bottom"/>
          </w:tcPr>
          <w:p w14:paraId="41480B92" w14:textId="77777777" w:rsidR="00832003" w:rsidRDefault="00832003" w:rsidP="00B82BF5">
            <w:pPr>
              <w:autoSpaceDE w:val="0"/>
              <w:autoSpaceDN w:val="0"/>
              <w:adjustRightInd w:val="0"/>
              <w:spacing w:after="0" w:line="240" w:lineRule="auto"/>
              <w:ind w:right="10"/>
              <w:jc w:val="right"/>
              <w:rPr>
                <w:rFonts w:ascii="Arial" w:hAnsi="Arial" w:cs="Arial"/>
                <w:color w:val="000000"/>
                <w:kern w:val="0"/>
                <w:sz w:val="18"/>
                <w:szCs w:val="18"/>
              </w:rPr>
            </w:pPr>
            <w:r>
              <w:rPr>
                <w:rFonts w:ascii="Arial" w:hAnsi="Arial" w:cs="Arial"/>
                <w:color w:val="000000"/>
                <w:kern w:val="0"/>
                <w:sz w:val="18"/>
                <w:szCs w:val="18"/>
              </w:rPr>
              <w:t>0.9439</w:t>
            </w:r>
          </w:p>
        </w:tc>
      </w:tr>
      <w:tr w:rsidR="00832003" w14:paraId="3DD9ED74" w14:textId="77777777" w:rsidTr="00B82BF5">
        <w:trPr>
          <w:trHeight w:hRule="exact" w:val="90"/>
        </w:trPr>
        <w:tc>
          <w:tcPr>
            <w:tcW w:w="2047" w:type="dxa"/>
            <w:gridSpan w:val="2"/>
            <w:tcBorders>
              <w:top w:val="nil"/>
              <w:left w:val="nil"/>
              <w:bottom w:val="double" w:sz="6" w:space="2" w:color="auto"/>
              <w:right w:val="nil"/>
            </w:tcBorders>
            <w:vAlign w:val="bottom"/>
          </w:tcPr>
          <w:p w14:paraId="43CA4D69"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103" w:type="dxa"/>
            <w:tcBorders>
              <w:top w:val="nil"/>
              <w:left w:val="nil"/>
              <w:bottom w:val="double" w:sz="6" w:space="2" w:color="auto"/>
              <w:right w:val="nil"/>
            </w:tcBorders>
            <w:vAlign w:val="bottom"/>
          </w:tcPr>
          <w:p w14:paraId="4308A038"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207" w:type="dxa"/>
            <w:tcBorders>
              <w:top w:val="nil"/>
              <w:left w:val="nil"/>
              <w:bottom w:val="double" w:sz="6" w:space="2" w:color="auto"/>
              <w:right w:val="nil"/>
            </w:tcBorders>
            <w:vAlign w:val="bottom"/>
          </w:tcPr>
          <w:p w14:paraId="3CF74D79"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1208" w:type="dxa"/>
            <w:tcBorders>
              <w:top w:val="nil"/>
              <w:left w:val="nil"/>
              <w:bottom w:val="double" w:sz="6" w:space="2" w:color="auto"/>
              <w:right w:val="nil"/>
            </w:tcBorders>
            <w:vAlign w:val="bottom"/>
          </w:tcPr>
          <w:p w14:paraId="7663FF95"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c>
          <w:tcPr>
            <w:tcW w:w="997" w:type="dxa"/>
            <w:tcBorders>
              <w:top w:val="nil"/>
              <w:left w:val="nil"/>
              <w:bottom w:val="double" w:sz="6" w:space="2" w:color="auto"/>
              <w:right w:val="nil"/>
            </w:tcBorders>
            <w:vAlign w:val="bottom"/>
          </w:tcPr>
          <w:p w14:paraId="7550F528" w14:textId="77777777" w:rsidR="00832003" w:rsidRDefault="00832003" w:rsidP="00B82BF5">
            <w:pPr>
              <w:autoSpaceDE w:val="0"/>
              <w:autoSpaceDN w:val="0"/>
              <w:adjustRightInd w:val="0"/>
              <w:spacing w:after="0" w:line="240" w:lineRule="auto"/>
              <w:jc w:val="center"/>
              <w:rPr>
                <w:rFonts w:ascii="Arial" w:hAnsi="Arial" w:cs="Arial"/>
                <w:color w:val="000000"/>
                <w:kern w:val="0"/>
                <w:sz w:val="18"/>
                <w:szCs w:val="18"/>
              </w:rPr>
            </w:pPr>
          </w:p>
        </w:tc>
      </w:tr>
    </w:tbl>
    <w:p w14:paraId="373D3292" w14:textId="31314A06" w:rsidR="005F4FCD" w:rsidRPr="009822C1" w:rsidRDefault="00832003" w:rsidP="009822C1">
      <w:pPr>
        <w:spacing w:line="480" w:lineRule="auto"/>
        <w:ind w:right="90"/>
        <w:rPr>
          <w:rFonts w:ascii="Times New Roman" w:eastAsia="Calibri" w:hAnsi="Times New Roman" w:cs="Times New Roman"/>
          <w:bCs/>
          <w:i/>
          <w:kern w:val="0"/>
          <w:sz w:val="18"/>
          <w:lang w:eastAsia="en-US"/>
          <w14:ligatures w14:val="none"/>
        </w:rPr>
      </w:pPr>
      <w:r w:rsidRPr="004103F1">
        <w:rPr>
          <w:rFonts w:ascii="Times New Roman" w:eastAsiaTheme="minorHAnsi" w:hAnsi="Times New Roman" w:cs="Times New Roman"/>
          <w:i/>
          <w:kern w:val="0"/>
          <w:sz w:val="18"/>
          <w:lang w:eastAsia="en-US"/>
          <w14:ligatures w14:val="none"/>
        </w:rPr>
        <w:t xml:space="preserve">Source: Researcher’s computation using </w:t>
      </w:r>
      <w:proofErr w:type="spellStart"/>
      <w:r w:rsidRPr="004103F1">
        <w:rPr>
          <w:rFonts w:ascii="Times New Roman" w:eastAsiaTheme="minorHAnsi" w:hAnsi="Times New Roman" w:cs="Times New Roman"/>
          <w:i/>
          <w:kern w:val="0"/>
          <w:sz w:val="18"/>
          <w:lang w:eastAsia="en-US"/>
          <w14:ligatures w14:val="none"/>
        </w:rPr>
        <w:t>Eviews</w:t>
      </w:r>
      <w:proofErr w:type="spellEnd"/>
      <w:r w:rsidRPr="004103F1">
        <w:rPr>
          <w:rFonts w:ascii="Times New Roman" w:eastAsiaTheme="minorHAnsi" w:hAnsi="Times New Roman" w:cs="Times New Roman"/>
          <w:i/>
          <w:kern w:val="0"/>
          <w:sz w:val="18"/>
          <w:lang w:eastAsia="en-US"/>
          <w14:ligatures w14:val="none"/>
        </w:rPr>
        <w:t xml:space="preserve"> </w:t>
      </w:r>
      <w:r>
        <w:rPr>
          <w:rFonts w:ascii="Times New Roman" w:eastAsiaTheme="minorHAnsi" w:hAnsi="Times New Roman" w:cs="Times New Roman"/>
          <w:i/>
          <w:kern w:val="0"/>
          <w:sz w:val="18"/>
          <w:lang w:eastAsia="en-US"/>
          <w14:ligatures w14:val="none"/>
        </w:rPr>
        <w:t>12</w:t>
      </w:r>
    </w:p>
    <w:p w14:paraId="73AD3B96" w14:textId="77777777" w:rsidR="00016E65" w:rsidRDefault="00016E65" w:rsidP="00374276">
      <w:pPr>
        <w:spacing w:line="480" w:lineRule="auto"/>
        <w:ind w:right="90"/>
        <w:jc w:val="both"/>
        <w:rPr>
          <w:rFonts w:ascii="Times New Roman" w:hAnsi="Times New Roman" w:cs="Times New Roman"/>
          <w:b/>
          <w:bCs/>
        </w:rPr>
      </w:pPr>
    </w:p>
    <w:p w14:paraId="3EFF143F" w14:textId="7112A768" w:rsidR="009822C1" w:rsidRDefault="00F46BD1" w:rsidP="00374276">
      <w:pPr>
        <w:spacing w:line="480" w:lineRule="auto"/>
        <w:ind w:right="90"/>
        <w:jc w:val="both"/>
        <w:rPr>
          <w:rFonts w:ascii="Times New Roman" w:hAnsi="Times New Roman" w:cs="Times New Roman"/>
          <w:b/>
        </w:rPr>
      </w:pPr>
      <w:r>
        <w:rPr>
          <w:rFonts w:ascii="Times New Roman" w:hAnsi="Times New Roman" w:cs="Times New Roman"/>
          <w:b/>
          <w:bCs/>
        </w:rPr>
        <w:t xml:space="preserve">4.5.3 </w:t>
      </w:r>
      <w:r w:rsidR="00832003" w:rsidRPr="00A614CB">
        <w:rPr>
          <w:rFonts w:ascii="Times New Roman" w:hAnsi="Times New Roman" w:cs="Times New Roman"/>
          <w:b/>
        </w:rPr>
        <w:t>Normality Test</w:t>
      </w:r>
    </w:p>
    <w:p w14:paraId="683F0972" w14:textId="39B34FA3" w:rsidR="0095320C" w:rsidRPr="00F459A3" w:rsidRDefault="00832003" w:rsidP="00F459A3">
      <w:pPr>
        <w:spacing w:line="480" w:lineRule="auto"/>
        <w:jc w:val="both"/>
        <w:rPr>
          <w:rFonts w:ascii="Times New Roman" w:hAnsi="Times New Roman" w:cs="Times New Roman"/>
        </w:rPr>
      </w:pPr>
      <w:r w:rsidRPr="00EB6115">
        <w:rPr>
          <w:rFonts w:ascii="Times New Roman" w:hAnsi="Times New Roman" w:cs="Times New Roman"/>
        </w:rPr>
        <w:t xml:space="preserve">The </w:t>
      </w:r>
      <w:proofErr w:type="spellStart"/>
      <w:r w:rsidRPr="00EB6115">
        <w:rPr>
          <w:rFonts w:ascii="Times New Roman" w:hAnsi="Times New Roman" w:cs="Times New Roman"/>
        </w:rPr>
        <w:t>Jarque-Bera</w:t>
      </w:r>
      <w:proofErr w:type="spellEnd"/>
      <w:r w:rsidRPr="00EB6115">
        <w:rPr>
          <w:rFonts w:ascii="Times New Roman" w:hAnsi="Times New Roman" w:cs="Times New Roman"/>
        </w:rPr>
        <w:t xml:space="preserve"> test, as presented in Figure 1, assesses whether the residuals follow a normal distribution</w:t>
      </w:r>
      <w:r>
        <w:rPr>
          <w:rFonts w:ascii="Times New Roman" w:hAnsi="Times New Roman" w:cs="Times New Roman"/>
        </w:rPr>
        <w:t>.</w:t>
      </w:r>
      <w:r w:rsidR="00374276">
        <w:rPr>
          <w:rFonts w:ascii="Times New Roman" w:hAnsi="Times New Roman" w:cs="Times New Roman"/>
        </w:rPr>
        <w:t xml:space="preserve"> </w:t>
      </w:r>
      <w:r w:rsidR="009822C1" w:rsidRPr="000D289D">
        <w:rPr>
          <w:rFonts w:ascii="Times New Roman" w:hAnsi="Times New Roman" w:cs="Times New Roman"/>
        </w:rPr>
        <w:t xml:space="preserve">The test yields a </w:t>
      </w:r>
      <w:proofErr w:type="spellStart"/>
      <w:r w:rsidR="009822C1" w:rsidRPr="000D289D">
        <w:rPr>
          <w:rFonts w:ascii="Times New Roman" w:hAnsi="Times New Roman" w:cs="Times New Roman"/>
        </w:rPr>
        <w:t>Jarque-Bera</w:t>
      </w:r>
      <w:proofErr w:type="spellEnd"/>
      <w:r w:rsidR="009822C1" w:rsidRPr="000D289D">
        <w:rPr>
          <w:rFonts w:ascii="Times New Roman" w:hAnsi="Times New Roman" w:cs="Times New Roman"/>
        </w:rPr>
        <w:t xml:space="preserve"> statistic of 2.040958, with a corresponding p-value of 0.360422. Since the p-value exceeds the conventional 0.05 significance threshold, we fail to reject the null hypothesis that the residuals are normally distributed. This supports the statistical reliability and validity of the model's inference framework.</w:t>
      </w:r>
    </w:p>
    <w:p w14:paraId="01C97F4F" w14:textId="21C6F202" w:rsidR="00832003" w:rsidRPr="0020696A" w:rsidRDefault="00832003" w:rsidP="00832003">
      <w:pPr>
        <w:spacing w:line="360" w:lineRule="auto"/>
        <w:jc w:val="both"/>
        <w:rPr>
          <w:rFonts w:ascii="Times New Roman" w:hAnsi="Times New Roman" w:cs="Times New Roman"/>
          <w:b/>
          <w:bCs/>
        </w:rPr>
      </w:pPr>
      <w:r w:rsidRPr="0020696A">
        <w:rPr>
          <w:rFonts w:ascii="Times New Roman" w:hAnsi="Times New Roman" w:cs="Times New Roman"/>
          <w:b/>
          <w:bCs/>
        </w:rPr>
        <w:t xml:space="preserve">Figure 1: </w:t>
      </w:r>
      <w:proofErr w:type="spellStart"/>
      <w:r w:rsidRPr="0020696A">
        <w:rPr>
          <w:rFonts w:ascii="Times New Roman" w:hAnsi="Times New Roman" w:cs="Times New Roman"/>
          <w:b/>
          <w:bCs/>
        </w:rPr>
        <w:t>Jarque-Bera</w:t>
      </w:r>
      <w:proofErr w:type="spellEnd"/>
      <w:r w:rsidRPr="0020696A">
        <w:rPr>
          <w:rFonts w:ascii="Times New Roman" w:hAnsi="Times New Roman" w:cs="Times New Roman"/>
          <w:b/>
          <w:bCs/>
        </w:rPr>
        <w:t xml:space="preserve"> test</w:t>
      </w:r>
    </w:p>
    <w:p w14:paraId="2A25A95B" w14:textId="77777777" w:rsidR="00832003" w:rsidRDefault="00832003" w:rsidP="00832003">
      <w:pPr>
        <w:spacing w:line="240" w:lineRule="auto"/>
        <w:ind w:right="90"/>
        <w:jc w:val="both"/>
      </w:pPr>
      <w:r>
        <w:object w:dxaOrig="9631" w:dyaOrig="4650" w14:anchorId="4AC09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25pt;height:175.1pt" o:ole="">
            <v:imagedata r:id="rId7" o:title=""/>
          </v:shape>
          <o:OLEObject Type="Embed" ProgID="EViews.Workfile.2" ShapeID="_x0000_i1025" DrawAspect="Content" ObjectID="_1817112059" r:id="rId8"/>
        </w:object>
      </w:r>
    </w:p>
    <w:p w14:paraId="109AE0DD" w14:textId="2C4A1C95" w:rsidR="00503C03" w:rsidRPr="005F42B4" w:rsidRDefault="00832003" w:rsidP="00832003">
      <w:pPr>
        <w:spacing w:line="480" w:lineRule="auto"/>
        <w:jc w:val="both"/>
        <w:rPr>
          <w:rFonts w:ascii="Times New Roman" w:hAnsi="Times New Roman" w:cs="Times New Roman"/>
          <w:i/>
          <w:iCs/>
          <w:sz w:val="20"/>
          <w:szCs w:val="20"/>
        </w:rPr>
      </w:pPr>
      <w:r w:rsidRPr="00413609">
        <w:rPr>
          <w:rFonts w:ascii="Times New Roman" w:hAnsi="Times New Roman" w:cs="Times New Roman"/>
          <w:i/>
          <w:iCs/>
          <w:sz w:val="20"/>
          <w:szCs w:val="20"/>
        </w:rPr>
        <w:t xml:space="preserve">Source: Author’s computation using </w:t>
      </w:r>
      <w:proofErr w:type="spellStart"/>
      <w:r w:rsidRPr="00413609">
        <w:rPr>
          <w:rFonts w:ascii="Times New Roman" w:hAnsi="Times New Roman" w:cs="Times New Roman"/>
          <w:i/>
          <w:iCs/>
          <w:sz w:val="20"/>
          <w:szCs w:val="20"/>
        </w:rPr>
        <w:t>Eview</w:t>
      </w:r>
      <w:r>
        <w:rPr>
          <w:rFonts w:ascii="Times New Roman" w:hAnsi="Times New Roman" w:cs="Times New Roman"/>
          <w:i/>
          <w:iCs/>
          <w:sz w:val="20"/>
          <w:szCs w:val="20"/>
        </w:rPr>
        <w:t>s</w:t>
      </w:r>
      <w:proofErr w:type="spellEnd"/>
      <w:r>
        <w:rPr>
          <w:rFonts w:ascii="Times New Roman" w:hAnsi="Times New Roman" w:cs="Times New Roman"/>
          <w:i/>
          <w:iCs/>
          <w:sz w:val="20"/>
          <w:szCs w:val="20"/>
        </w:rPr>
        <w:t xml:space="preserve"> </w:t>
      </w:r>
      <w:r w:rsidRPr="00413609">
        <w:rPr>
          <w:rFonts w:ascii="Times New Roman" w:hAnsi="Times New Roman" w:cs="Times New Roman"/>
          <w:i/>
          <w:iCs/>
          <w:sz w:val="20"/>
          <w:szCs w:val="20"/>
        </w:rPr>
        <w:t>12</w:t>
      </w:r>
      <w:bookmarkStart w:id="14" w:name="_Hlk204423363"/>
    </w:p>
    <w:p w14:paraId="10E1CF69" w14:textId="6325E728" w:rsidR="00503C03" w:rsidRDefault="00503C03" w:rsidP="00832003">
      <w:pPr>
        <w:spacing w:line="480" w:lineRule="auto"/>
        <w:jc w:val="both"/>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Stability Test</w:t>
      </w:r>
    </w:p>
    <w:p w14:paraId="283F15CF" w14:textId="76C7E92B" w:rsidR="005E709C" w:rsidRPr="00DC41C4" w:rsidRDefault="005E709C" w:rsidP="00832003">
      <w:pPr>
        <w:spacing w:line="480" w:lineRule="auto"/>
        <w:jc w:val="both"/>
        <w:rPr>
          <w:rFonts w:ascii="Times New Roman" w:hAnsi="Times New Roman" w:cs="Times New Roman"/>
        </w:rPr>
      </w:pPr>
      <w:r w:rsidRPr="00DC41C4">
        <w:rPr>
          <w:rFonts w:ascii="Times New Roman" w:hAnsi="Times New Roman" w:cs="Times New Roman"/>
        </w:rPr>
        <w:t xml:space="preserve">In the end, we performed a CUSUM test to assess the stability of the model. The results are presented in Figure </w:t>
      </w:r>
      <w:r w:rsidR="00DC41C4" w:rsidRPr="00DC41C4">
        <w:rPr>
          <w:rFonts w:ascii="Times New Roman" w:hAnsi="Times New Roman" w:cs="Times New Roman"/>
        </w:rPr>
        <w:t>2</w:t>
      </w:r>
      <w:r w:rsidRPr="00DC41C4">
        <w:rPr>
          <w:rFonts w:ascii="Times New Roman" w:hAnsi="Times New Roman" w:cs="Times New Roman"/>
        </w:rPr>
        <w:t>, and show no deviation throughout the period analysed.</w:t>
      </w:r>
    </w:p>
    <w:p w14:paraId="6E8114F1" w14:textId="6537C9A1" w:rsidR="00503C03" w:rsidRDefault="00503C03" w:rsidP="00832003">
      <w:pPr>
        <w:spacing w:line="480" w:lineRule="auto"/>
        <w:jc w:val="both"/>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Figure 2: CUSUM Test</w:t>
      </w:r>
    </w:p>
    <w:bookmarkStart w:id="15" w:name="_Hlk204120715"/>
    <w:p w14:paraId="3CD07BF7" w14:textId="4CDA33E0" w:rsidR="00046B12" w:rsidRDefault="00503C03" w:rsidP="00832003">
      <w:pPr>
        <w:spacing w:line="480" w:lineRule="auto"/>
        <w:jc w:val="both"/>
        <w:rPr>
          <w:rFonts w:ascii="Times New Roman" w:eastAsia="Times New Roman" w:hAnsi="Times New Roman" w:cs="Times New Roman"/>
          <w:b/>
          <w:bCs/>
          <w:color w:val="000000"/>
          <w:kern w:val="0"/>
          <w14:ligatures w14:val="none"/>
        </w:rPr>
      </w:pPr>
      <w:r>
        <w:object w:dxaOrig="8580" w:dyaOrig="5340" w14:anchorId="388EC2FD">
          <v:shape id="_x0000_i1026" type="#_x0000_t75" style="width:380.75pt;height:234.45pt" o:ole="">
            <v:imagedata r:id="rId9" o:title=""/>
          </v:shape>
          <o:OLEObject Type="Embed" ProgID="EViews.Workfile.2" ShapeID="_x0000_i1026" DrawAspect="Content" ObjectID="_1817112060" r:id="rId10"/>
        </w:object>
      </w:r>
      <w:bookmarkEnd w:id="15"/>
    </w:p>
    <w:p w14:paraId="1878366D" w14:textId="1FB0EC63" w:rsidR="00860442" w:rsidRPr="00706178" w:rsidRDefault="00FA59D6" w:rsidP="00017E6E">
      <w:pPr>
        <w:spacing w:line="480" w:lineRule="auto"/>
        <w:jc w:val="both"/>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 xml:space="preserve">5. </w:t>
      </w:r>
      <w:r w:rsidR="00832003" w:rsidRPr="00A614CB">
        <w:rPr>
          <w:rFonts w:ascii="Times New Roman" w:eastAsia="Times New Roman" w:hAnsi="Times New Roman" w:cs="Times New Roman"/>
          <w:b/>
          <w:bCs/>
          <w:color w:val="000000"/>
          <w:kern w:val="0"/>
          <w14:ligatures w14:val="none"/>
        </w:rPr>
        <w:t>Conclusion</w:t>
      </w:r>
      <w:r>
        <w:rPr>
          <w:rFonts w:ascii="Times New Roman" w:eastAsia="Times New Roman" w:hAnsi="Times New Roman" w:cs="Times New Roman"/>
          <w:b/>
          <w:bCs/>
          <w:color w:val="000000"/>
          <w:kern w:val="0"/>
          <w14:ligatures w14:val="none"/>
        </w:rPr>
        <w:t xml:space="preserve"> and</w:t>
      </w:r>
      <w:r w:rsidR="0061372F">
        <w:rPr>
          <w:rFonts w:ascii="Times New Roman" w:eastAsia="Times New Roman" w:hAnsi="Times New Roman" w:cs="Times New Roman"/>
          <w:b/>
          <w:bCs/>
          <w:color w:val="000000"/>
          <w:kern w:val="0"/>
          <w14:ligatures w14:val="none"/>
        </w:rPr>
        <w:t xml:space="preserve"> Policy</w:t>
      </w:r>
      <w:r>
        <w:rPr>
          <w:rFonts w:ascii="Times New Roman" w:eastAsia="Times New Roman" w:hAnsi="Times New Roman" w:cs="Times New Roman"/>
          <w:b/>
          <w:bCs/>
          <w:color w:val="000000"/>
          <w:kern w:val="0"/>
          <w14:ligatures w14:val="none"/>
        </w:rPr>
        <w:t xml:space="preserve"> Recommendations</w:t>
      </w:r>
      <w:bookmarkEnd w:id="14"/>
    </w:p>
    <w:p w14:paraId="6EA09912" w14:textId="308FD201" w:rsidR="00017E6E" w:rsidRPr="00017E6E" w:rsidRDefault="00017E6E" w:rsidP="00017E6E">
      <w:pPr>
        <w:spacing w:line="480" w:lineRule="auto"/>
        <w:jc w:val="both"/>
        <w:rPr>
          <w:rFonts w:ascii="Times New Roman" w:eastAsia="Calibri" w:hAnsi="Times New Roman"/>
        </w:rPr>
      </w:pPr>
      <w:r w:rsidRPr="00017E6E">
        <w:rPr>
          <w:rFonts w:ascii="Times New Roman" w:eastAsia="Calibri" w:hAnsi="Times New Roman"/>
          <w:b/>
          <w:bCs/>
        </w:rPr>
        <w:t>5.1 Conclusion</w:t>
      </w:r>
    </w:p>
    <w:p w14:paraId="1A06C5A4" w14:textId="0B7368C4" w:rsidR="00017E6E" w:rsidRDefault="00860442" w:rsidP="00860442">
      <w:pPr>
        <w:spacing w:line="480" w:lineRule="auto"/>
        <w:jc w:val="both"/>
        <w:rPr>
          <w:rFonts w:ascii="Times New Roman" w:eastAsia="Calibri" w:hAnsi="Times New Roman"/>
        </w:rPr>
      </w:pPr>
      <w:r w:rsidRPr="00860442">
        <w:rPr>
          <w:rFonts w:ascii="Times New Roman" w:eastAsia="Calibri" w:hAnsi="Times New Roman"/>
        </w:rPr>
        <w:t xml:space="preserve">Using an Autoregressive Distributed Lag (ARDL) model, this study estimated the influence of government recurrent expenditure on education, female secondary school enrolment, and the Gender Parity Index (GPI) for primary school enrolment on real GDP </w:t>
      </w:r>
      <w:r w:rsidRPr="00290A75">
        <w:rPr>
          <w:rFonts w:ascii="Times New Roman" w:eastAsia="Calibri" w:hAnsi="Times New Roman"/>
          <w:i/>
          <w:iCs/>
        </w:rPr>
        <w:t>per capita,</w:t>
      </w:r>
      <w:r w:rsidRPr="00860442">
        <w:rPr>
          <w:rFonts w:ascii="Times New Roman" w:eastAsia="Calibri" w:hAnsi="Times New Roman"/>
        </w:rPr>
        <w:t xml:space="preserve"> as a proxy for economic </w:t>
      </w:r>
      <w:r w:rsidR="00CD238B">
        <w:rPr>
          <w:rFonts w:ascii="Times New Roman" w:eastAsia="Calibri" w:hAnsi="Times New Roman"/>
        </w:rPr>
        <w:t>growth</w:t>
      </w:r>
      <w:r w:rsidRPr="00860442">
        <w:rPr>
          <w:rFonts w:ascii="Times New Roman" w:eastAsia="Calibri" w:hAnsi="Times New Roman"/>
        </w:rPr>
        <w:t>, from 1990 to 2023. Data were obtained from the CBN Statistical Bulletin and the World Development Indicators.</w:t>
      </w:r>
      <w:r w:rsidR="006E375E">
        <w:rPr>
          <w:rFonts w:ascii="Times New Roman" w:eastAsia="Calibri" w:hAnsi="Times New Roman"/>
        </w:rPr>
        <w:t xml:space="preserve"> </w:t>
      </w:r>
      <w:r w:rsidRPr="00860442">
        <w:rPr>
          <w:rFonts w:ascii="Times New Roman" w:eastAsia="Calibri" w:hAnsi="Times New Roman"/>
        </w:rPr>
        <w:t>The analysis commenced with descriptive statistics, unit root tests, and the bounds cointegration approach, followed by the estimation of short-run and long-run effects using the ARDL model. Stability tests confirmed the robustness of the results.</w:t>
      </w:r>
      <w:r w:rsidR="00D24CD8">
        <w:rPr>
          <w:rFonts w:ascii="Times New Roman" w:eastAsia="Calibri" w:hAnsi="Times New Roman"/>
        </w:rPr>
        <w:t xml:space="preserve"> </w:t>
      </w:r>
      <w:r w:rsidRPr="00860442">
        <w:rPr>
          <w:rFonts w:ascii="Times New Roman" w:eastAsia="Calibri" w:hAnsi="Times New Roman"/>
        </w:rPr>
        <w:t>Based on the empirical evidence, government recurrent expenditure on education and female secondary school enrolment contribute positively to Nigeria’s economic growth, whereas the GPI for primary school enrolment does not enhance growth.</w:t>
      </w:r>
    </w:p>
    <w:p w14:paraId="47710C0A" w14:textId="5FE9721E" w:rsidR="00832003" w:rsidRDefault="00B715DA" w:rsidP="009E00B3">
      <w:pPr>
        <w:spacing w:line="480" w:lineRule="auto"/>
        <w:jc w:val="both"/>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 xml:space="preserve">5.2 </w:t>
      </w:r>
      <w:r w:rsidR="0061372F">
        <w:rPr>
          <w:rFonts w:ascii="Times New Roman" w:eastAsia="Times New Roman" w:hAnsi="Times New Roman" w:cs="Times New Roman"/>
          <w:b/>
          <w:bCs/>
          <w:color w:val="000000"/>
          <w:kern w:val="0"/>
          <w14:ligatures w14:val="none"/>
        </w:rPr>
        <w:t xml:space="preserve">Policy </w:t>
      </w:r>
      <w:r w:rsidR="00832003" w:rsidRPr="00A614CB">
        <w:rPr>
          <w:rFonts w:ascii="Times New Roman" w:eastAsia="Times New Roman" w:hAnsi="Times New Roman" w:cs="Times New Roman"/>
          <w:b/>
          <w:bCs/>
          <w:color w:val="000000"/>
          <w:kern w:val="0"/>
          <w14:ligatures w14:val="none"/>
        </w:rPr>
        <w:t>Recommendation</w:t>
      </w:r>
      <w:r w:rsidR="00832003">
        <w:rPr>
          <w:rFonts w:ascii="Times New Roman" w:eastAsia="Times New Roman" w:hAnsi="Times New Roman" w:cs="Times New Roman"/>
          <w:b/>
          <w:bCs/>
          <w:color w:val="000000"/>
          <w:kern w:val="0"/>
          <w14:ligatures w14:val="none"/>
        </w:rPr>
        <w:t>s</w:t>
      </w:r>
    </w:p>
    <w:p w14:paraId="322149FE" w14:textId="549EF9C6" w:rsidR="003B2336" w:rsidRPr="003B2336" w:rsidRDefault="003B2336" w:rsidP="00832003">
      <w:pPr>
        <w:spacing w:before="75" w:after="0" w:line="480" w:lineRule="auto"/>
        <w:jc w:val="both"/>
        <w:rPr>
          <w:rFonts w:ascii="Times New Roman" w:eastAsia="Times New Roman" w:hAnsi="Times New Roman" w:cs="Times New Roman"/>
          <w:color w:val="000000"/>
          <w:kern w:val="0"/>
          <w14:ligatures w14:val="none"/>
        </w:rPr>
      </w:pPr>
      <w:r w:rsidRPr="003B2336">
        <w:rPr>
          <w:rFonts w:ascii="Times New Roman" w:eastAsia="Times New Roman" w:hAnsi="Times New Roman" w:cs="Times New Roman"/>
          <w:color w:val="000000"/>
          <w:kern w:val="0"/>
          <w14:ligatures w14:val="none"/>
        </w:rPr>
        <w:t xml:space="preserve">Based on the findings, </w:t>
      </w:r>
      <w:r w:rsidR="00E94667">
        <w:rPr>
          <w:rFonts w:ascii="Times New Roman" w:eastAsia="Times New Roman" w:hAnsi="Times New Roman" w:cs="Times New Roman"/>
          <w:color w:val="000000"/>
          <w:kern w:val="0"/>
          <w14:ligatures w14:val="none"/>
        </w:rPr>
        <w:t>we</w:t>
      </w:r>
      <w:r w:rsidRPr="003B2336">
        <w:rPr>
          <w:rFonts w:ascii="Times New Roman" w:eastAsia="Times New Roman" w:hAnsi="Times New Roman" w:cs="Times New Roman"/>
          <w:color w:val="000000"/>
          <w:kern w:val="0"/>
          <w14:ligatures w14:val="none"/>
        </w:rPr>
        <w:t xml:space="preserve"> recommend</w:t>
      </w:r>
      <w:r w:rsidR="00E94667">
        <w:rPr>
          <w:rFonts w:ascii="Times New Roman" w:eastAsia="Times New Roman" w:hAnsi="Times New Roman" w:cs="Times New Roman"/>
          <w:color w:val="000000"/>
          <w:kern w:val="0"/>
          <w14:ligatures w14:val="none"/>
        </w:rPr>
        <w:t>ed</w:t>
      </w:r>
      <w:r w:rsidRPr="003B2336">
        <w:rPr>
          <w:rFonts w:ascii="Times New Roman" w:eastAsia="Times New Roman" w:hAnsi="Times New Roman" w:cs="Times New Roman"/>
          <w:color w:val="000000"/>
          <w:kern w:val="0"/>
          <w14:ligatures w14:val="none"/>
        </w:rPr>
        <w:t xml:space="preserve"> that:</w:t>
      </w:r>
    </w:p>
    <w:p w14:paraId="56E7A97B" w14:textId="5588F751" w:rsidR="00832003" w:rsidRPr="00E57344" w:rsidRDefault="000C15E8" w:rsidP="00832003">
      <w:pPr>
        <w:pStyle w:val="ListParagraph"/>
        <w:numPr>
          <w:ilvl w:val="0"/>
          <w:numId w:val="1"/>
        </w:numPr>
        <w:spacing w:before="75" w:after="0" w:line="480" w:lineRule="auto"/>
        <w:jc w:val="both"/>
        <w:rPr>
          <w:rFonts w:ascii="Times New Roman" w:hAnsi="Times New Roman" w:cs="Times New Roman"/>
        </w:rPr>
      </w:pPr>
      <w:r w:rsidRPr="00CD2062">
        <w:rPr>
          <w:rFonts w:ascii="Times New Roman" w:hAnsi="Times New Roman" w:cs="Times New Roman"/>
        </w:rPr>
        <w:lastRenderedPageBreak/>
        <w:t>Nigerian government should institutionalise a long-term education financing framework</w:t>
      </w:r>
      <w:r w:rsidRPr="000C15E8">
        <w:rPr>
          <w:rFonts w:ascii="Times New Roman" w:hAnsi="Times New Roman" w:cs="Times New Roman"/>
        </w:rPr>
        <w:t>, prioritising consistent, accountable, and outcome-driven investments to ensure that educational expenditure translates into sustainable economic growth</w:t>
      </w:r>
      <w:r w:rsidR="00832003" w:rsidRPr="00B2035F">
        <w:rPr>
          <w:rFonts w:ascii="Times New Roman" w:hAnsi="Times New Roman" w:cs="Times New Roman"/>
        </w:rPr>
        <w:t>.</w:t>
      </w:r>
    </w:p>
    <w:p w14:paraId="105DC953" w14:textId="3244F29A" w:rsidR="00832003" w:rsidRPr="00E57344" w:rsidRDefault="00832003" w:rsidP="00832003">
      <w:pPr>
        <w:pStyle w:val="ListParagraph"/>
        <w:numPr>
          <w:ilvl w:val="0"/>
          <w:numId w:val="1"/>
        </w:numPr>
        <w:spacing w:before="75" w:after="0" w:line="480" w:lineRule="auto"/>
        <w:jc w:val="both"/>
        <w:rPr>
          <w:rFonts w:ascii="Times New Roman" w:hAnsi="Times New Roman" w:cs="Times New Roman"/>
        </w:rPr>
      </w:pPr>
      <w:bookmarkStart w:id="16" w:name="_Hlk204481995"/>
      <w:r>
        <w:rPr>
          <w:rFonts w:ascii="Times New Roman" w:hAnsi="Times New Roman" w:cs="Times New Roman"/>
        </w:rPr>
        <w:t xml:space="preserve">Government </w:t>
      </w:r>
      <w:r w:rsidRPr="005D3902">
        <w:rPr>
          <w:rFonts w:ascii="Times New Roman" w:hAnsi="Times New Roman" w:cs="Times New Roman"/>
        </w:rPr>
        <w:t xml:space="preserve">policies should focus on removing socio-economic barriers to girls’ education by providing scholarships, enforcing anti-child marriage laws, and </w:t>
      </w:r>
      <w:r w:rsidRPr="00F8657A">
        <w:rPr>
          <w:rFonts w:ascii="Times New Roman" w:hAnsi="Times New Roman" w:cs="Times New Roman"/>
        </w:rPr>
        <w:t>expanding school networks in rural areas</w:t>
      </w:r>
      <w:r>
        <w:rPr>
          <w:rFonts w:ascii="Times New Roman" w:hAnsi="Times New Roman" w:cs="Times New Roman"/>
        </w:rPr>
        <w:t xml:space="preserve"> </w:t>
      </w:r>
      <w:r w:rsidRPr="005D3902">
        <w:rPr>
          <w:rFonts w:ascii="Times New Roman" w:hAnsi="Times New Roman" w:cs="Times New Roman"/>
        </w:rPr>
        <w:t>to maximize labo</w:t>
      </w:r>
      <w:r w:rsidR="006D44CA">
        <w:rPr>
          <w:rFonts w:ascii="Times New Roman" w:hAnsi="Times New Roman" w:cs="Times New Roman"/>
        </w:rPr>
        <w:t>u</w:t>
      </w:r>
      <w:r w:rsidRPr="005D3902">
        <w:rPr>
          <w:rFonts w:ascii="Times New Roman" w:hAnsi="Times New Roman" w:cs="Times New Roman"/>
        </w:rPr>
        <w:t>r force participation and productivity</w:t>
      </w:r>
      <w:r w:rsidRPr="00E57344">
        <w:rPr>
          <w:rFonts w:ascii="Times New Roman" w:hAnsi="Times New Roman" w:cs="Times New Roman"/>
        </w:rPr>
        <w:t xml:space="preserve">. </w:t>
      </w:r>
      <w:bookmarkEnd w:id="16"/>
    </w:p>
    <w:p w14:paraId="0F87515D" w14:textId="429B0DA2" w:rsidR="00DB3524" w:rsidRPr="00B609FA" w:rsidRDefault="00832003" w:rsidP="000E7ADD">
      <w:pPr>
        <w:pStyle w:val="ListParagraph"/>
        <w:numPr>
          <w:ilvl w:val="0"/>
          <w:numId w:val="1"/>
        </w:numPr>
        <w:spacing w:before="75" w:after="0" w:line="480" w:lineRule="auto"/>
        <w:jc w:val="both"/>
        <w:rPr>
          <w:rFonts w:ascii="Times New Roman" w:hAnsi="Times New Roman" w:cs="Times New Roman"/>
        </w:rPr>
      </w:pPr>
      <w:r w:rsidRPr="005D3902">
        <w:rPr>
          <w:rFonts w:ascii="Times New Roman" w:hAnsi="Times New Roman" w:cs="Times New Roman"/>
        </w:rPr>
        <w:t xml:space="preserve">The </w:t>
      </w:r>
      <w:bookmarkStart w:id="17" w:name="_Hlk204483234"/>
      <w:r w:rsidRPr="005D3902">
        <w:rPr>
          <w:rFonts w:ascii="Times New Roman" w:hAnsi="Times New Roman" w:cs="Times New Roman"/>
        </w:rPr>
        <w:t>government should re-evaluate gender-targeted interventions at the primary level to ensure they are not only inclusive but also effective in improving learning outcomes and long-term economic contributions</w:t>
      </w:r>
      <w:bookmarkEnd w:id="17"/>
      <w:r w:rsidRPr="00E57344">
        <w:rPr>
          <w:rFonts w:ascii="Times New Roman" w:hAnsi="Times New Roman" w:cs="Times New Roman"/>
        </w:rPr>
        <w:t xml:space="preserve">. </w:t>
      </w:r>
      <w:r w:rsidR="003E0BF3">
        <w:rPr>
          <w:rFonts w:ascii="Times New Roman" w:hAnsi="Times New Roman" w:cs="Times New Roman"/>
        </w:rPr>
        <w:t xml:space="preserve"> </w:t>
      </w:r>
    </w:p>
    <w:p w14:paraId="2DD18554" w14:textId="77777777" w:rsidR="00DA6B25" w:rsidRDefault="00DA6B25" w:rsidP="000E7ADD">
      <w:pPr>
        <w:spacing w:line="480" w:lineRule="auto"/>
        <w:jc w:val="both"/>
        <w:rPr>
          <w:rFonts w:ascii="Times New Roman" w:hAnsi="Times New Roman" w:cs="Times New Roman"/>
          <w:b/>
          <w:bCs/>
        </w:rPr>
      </w:pPr>
    </w:p>
    <w:p w14:paraId="3E67D0DC" w14:textId="77777777" w:rsidR="0038175B" w:rsidRDefault="00F23A2B" w:rsidP="000E7ADD">
      <w:pPr>
        <w:spacing w:line="480" w:lineRule="auto"/>
        <w:jc w:val="both"/>
        <w:rPr>
          <w:rFonts w:ascii="Times New Roman" w:hAnsi="Times New Roman" w:cs="Times New Roman"/>
          <w:b/>
          <w:bCs/>
        </w:rPr>
      </w:pPr>
      <w:r w:rsidRPr="00F23A2B">
        <w:rPr>
          <w:rFonts w:ascii="Times New Roman" w:hAnsi="Times New Roman" w:cs="Times New Roman"/>
          <w:b/>
          <w:bCs/>
        </w:rPr>
        <w:t xml:space="preserve">Competing </w:t>
      </w:r>
      <w:proofErr w:type="spellStart"/>
      <w:r w:rsidRPr="00F23A2B">
        <w:rPr>
          <w:rFonts w:ascii="Times New Roman" w:hAnsi="Times New Roman" w:cs="Times New Roman"/>
          <w:b/>
          <w:bCs/>
        </w:rPr>
        <w:t>Interests:</w:t>
      </w:r>
      <w:proofErr w:type="spellEnd"/>
    </w:p>
    <w:p w14:paraId="7DC5F8F6" w14:textId="0AF39A01" w:rsidR="005A2033" w:rsidRDefault="00B657A2" w:rsidP="000E7ADD">
      <w:pPr>
        <w:spacing w:line="480" w:lineRule="auto"/>
        <w:jc w:val="both"/>
        <w:rPr>
          <w:rFonts w:ascii="Times New Roman" w:hAnsi="Times New Roman" w:cs="Times New Roman"/>
        </w:rPr>
      </w:pPr>
      <w:r w:rsidRPr="00B657A2">
        <w:rPr>
          <w:rFonts w:ascii="Times New Roman" w:hAnsi="Times New Roman" w:cs="Times New Roman"/>
        </w:rPr>
        <w:t>The products used in this research are commonly and predominantly used in our area of research and country. There is absolutely no conflict of interest between the authors and the producers of these products, as we do not intend to use them for any form of litigation but solely for the advancement of knowle</w:t>
      </w:r>
      <w:bookmarkStart w:id="18" w:name="_GoBack"/>
      <w:bookmarkEnd w:id="18"/>
      <w:r w:rsidRPr="00B657A2">
        <w:rPr>
          <w:rFonts w:ascii="Times New Roman" w:hAnsi="Times New Roman" w:cs="Times New Roman"/>
        </w:rPr>
        <w:t>dge. Additionally, this research was not funded by the producing companies; it was entirely supported through the personal efforts of the authors.</w:t>
      </w:r>
    </w:p>
    <w:p w14:paraId="5E57B5AB" w14:textId="5ED07EF5" w:rsidR="00CB4B11" w:rsidRPr="00B711DA" w:rsidRDefault="00CB4B11" w:rsidP="00DF3424">
      <w:pPr>
        <w:spacing w:line="480" w:lineRule="auto"/>
        <w:jc w:val="both"/>
        <w:rPr>
          <w:rFonts w:ascii="Times New Roman" w:hAnsi="Times New Roman" w:cs="Times New Roman"/>
          <w:b/>
          <w:bCs/>
        </w:rPr>
      </w:pPr>
      <w:r w:rsidRPr="00B711DA">
        <w:rPr>
          <w:rFonts w:ascii="Times New Roman" w:hAnsi="Times New Roman" w:cs="Times New Roman"/>
          <w:b/>
          <w:bCs/>
        </w:rPr>
        <w:t>Disclaimer (Artificial intelligence)</w:t>
      </w:r>
      <w:r w:rsidR="00B6388B">
        <w:rPr>
          <w:rFonts w:ascii="Times New Roman" w:hAnsi="Times New Roman" w:cs="Times New Roman"/>
          <w:b/>
          <w:bCs/>
        </w:rPr>
        <w:t>:</w:t>
      </w:r>
    </w:p>
    <w:p w14:paraId="32CAF880" w14:textId="49A92139" w:rsidR="00832003" w:rsidRPr="00B711DA" w:rsidRDefault="009678EF" w:rsidP="00DF3424">
      <w:pPr>
        <w:spacing w:line="480" w:lineRule="auto"/>
        <w:jc w:val="both"/>
        <w:rPr>
          <w:rFonts w:ascii="Times New Roman" w:hAnsi="Times New Roman" w:cs="Times New Roman"/>
        </w:rPr>
      </w:pPr>
      <w:r>
        <w:rPr>
          <w:rFonts w:ascii="Times New Roman" w:hAnsi="Times New Roman" w:cs="Times New Roman"/>
        </w:rPr>
        <w:t>We</w:t>
      </w:r>
      <w:r w:rsidR="00CB4B11" w:rsidRPr="00B711DA">
        <w:rPr>
          <w:rFonts w:ascii="Times New Roman" w:hAnsi="Times New Roman" w:cs="Times New Roman"/>
        </w:rPr>
        <w:t xml:space="preserve"> hereby </w:t>
      </w:r>
      <w:r w:rsidRPr="00B711DA">
        <w:rPr>
          <w:rFonts w:ascii="Times New Roman" w:hAnsi="Times New Roman" w:cs="Times New Roman"/>
        </w:rPr>
        <w:t>declare</w:t>
      </w:r>
      <w:r w:rsidR="00CB4B11" w:rsidRPr="00B711DA">
        <w:rPr>
          <w:rFonts w:ascii="Times New Roman" w:hAnsi="Times New Roman" w:cs="Times New Roman"/>
        </w:rPr>
        <w:t xml:space="preserve"> that NO generative AI technologies such as Large Language Models (</w:t>
      </w:r>
      <w:proofErr w:type="spellStart"/>
      <w:r w:rsidR="00CB4B11" w:rsidRPr="00B711DA">
        <w:rPr>
          <w:rFonts w:ascii="Times New Roman" w:hAnsi="Times New Roman" w:cs="Times New Roman"/>
        </w:rPr>
        <w:t>ChatGPT</w:t>
      </w:r>
      <w:proofErr w:type="spellEnd"/>
      <w:r w:rsidR="00CB4B11" w:rsidRPr="00B711DA">
        <w:rPr>
          <w:rFonts w:ascii="Times New Roman" w:hAnsi="Times New Roman" w:cs="Times New Roman"/>
        </w:rPr>
        <w:t>, COPILOT, etc.) and text-to-image generators have been used during the writing or editing of this manuscript.</w:t>
      </w:r>
    </w:p>
    <w:p w14:paraId="262D9D19" w14:textId="77777777" w:rsidR="00832003" w:rsidRDefault="00832003" w:rsidP="00832003"/>
    <w:p w14:paraId="3EF0A239" w14:textId="77777777" w:rsidR="00832003" w:rsidRDefault="00832003" w:rsidP="00832003"/>
    <w:p w14:paraId="308C2BE4" w14:textId="77777777" w:rsidR="00832003" w:rsidRDefault="00832003" w:rsidP="00832003"/>
    <w:p w14:paraId="6DFED878" w14:textId="77777777" w:rsidR="00670E66" w:rsidRDefault="00670E66" w:rsidP="004F4AE5">
      <w:pPr>
        <w:spacing w:line="240" w:lineRule="auto"/>
        <w:jc w:val="both"/>
        <w:rPr>
          <w:rFonts w:ascii="Times New Roman" w:hAnsi="Times New Roman" w:cs="Times New Roman"/>
        </w:rPr>
      </w:pPr>
    </w:p>
    <w:p w14:paraId="39216C26" w14:textId="77777777" w:rsidR="00670E66" w:rsidRDefault="00670E66" w:rsidP="004F4AE5">
      <w:pPr>
        <w:spacing w:line="240" w:lineRule="auto"/>
        <w:jc w:val="both"/>
        <w:rPr>
          <w:rFonts w:ascii="Times New Roman" w:hAnsi="Times New Roman" w:cs="Times New Roman"/>
        </w:rPr>
      </w:pPr>
    </w:p>
    <w:p w14:paraId="4EE52672" w14:textId="77777777" w:rsidR="00670E66" w:rsidRDefault="00670E66" w:rsidP="004F4AE5">
      <w:pPr>
        <w:spacing w:line="240" w:lineRule="auto"/>
        <w:jc w:val="both"/>
        <w:rPr>
          <w:rFonts w:ascii="Times New Roman" w:hAnsi="Times New Roman" w:cs="Times New Roman"/>
        </w:rPr>
      </w:pPr>
    </w:p>
    <w:p w14:paraId="62A2332B" w14:textId="77777777" w:rsidR="00670E66" w:rsidRDefault="00670E66" w:rsidP="004F4AE5">
      <w:pPr>
        <w:spacing w:line="240" w:lineRule="auto"/>
        <w:jc w:val="both"/>
        <w:rPr>
          <w:rFonts w:ascii="Times New Roman" w:hAnsi="Times New Roman" w:cs="Times New Roman"/>
        </w:rPr>
      </w:pPr>
    </w:p>
    <w:p w14:paraId="752C9B1A" w14:textId="77777777" w:rsidR="00670E66" w:rsidRDefault="00670E66" w:rsidP="004F4AE5">
      <w:pPr>
        <w:spacing w:line="240" w:lineRule="auto"/>
        <w:jc w:val="both"/>
        <w:rPr>
          <w:rFonts w:ascii="Times New Roman" w:hAnsi="Times New Roman" w:cs="Times New Roman"/>
        </w:rPr>
      </w:pPr>
    </w:p>
    <w:p w14:paraId="5B82B08B" w14:textId="77777777" w:rsidR="00670E66" w:rsidRPr="00214874" w:rsidRDefault="00670E66" w:rsidP="00670E66">
      <w:pPr>
        <w:spacing w:line="240" w:lineRule="auto"/>
        <w:ind w:left="3600"/>
        <w:jc w:val="both"/>
        <w:rPr>
          <w:rFonts w:ascii="Times New Roman" w:hAnsi="Times New Roman" w:cs="Times New Roman"/>
          <w:b/>
          <w:bCs/>
        </w:rPr>
      </w:pPr>
      <w:bookmarkStart w:id="19" w:name="_Hlk205844310"/>
      <w:r w:rsidRPr="00214874">
        <w:rPr>
          <w:rFonts w:ascii="Times New Roman" w:hAnsi="Times New Roman" w:cs="Times New Roman"/>
          <w:b/>
          <w:bCs/>
        </w:rPr>
        <w:t xml:space="preserve">       </w:t>
      </w:r>
      <w:bookmarkStart w:id="20" w:name="_Hlk205200097"/>
      <w:r w:rsidRPr="00214874">
        <w:rPr>
          <w:rFonts w:ascii="Times New Roman" w:hAnsi="Times New Roman" w:cs="Times New Roman"/>
          <w:b/>
          <w:bCs/>
        </w:rPr>
        <w:t>References</w:t>
      </w:r>
    </w:p>
    <w:bookmarkEnd w:id="20"/>
    <w:p w14:paraId="3FBB98A4" w14:textId="77777777" w:rsidR="00670E66" w:rsidRPr="00E6318A" w:rsidRDefault="00670E66" w:rsidP="00670E66">
      <w:pPr>
        <w:pStyle w:val="ListParagraph"/>
        <w:numPr>
          <w:ilvl w:val="0"/>
          <w:numId w:val="3"/>
        </w:numPr>
        <w:spacing w:line="240" w:lineRule="auto"/>
        <w:jc w:val="both"/>
        <w:rPr>
          <w:rFonts w:ascii="Times New Roman" w:hAnsi="Times New Roman" w:cs="Times New Roman"/>
        </w:rPr>
      </w:pPr>
      <w:r w:rsidRPr="00E6318A">
        <w:rPr>
          <w:rFonts w:ascii="Times New Roman" w:hAnsi="Times New Roman" w:cs="Times New Roman"/>
        </w:rPr>
        <w:t xml:space="preserve">Jorgenson D, Fraumeni B. Investment in education and U.S. economic growth; 1992. </w:t>
      </w:r>
      <w:proofErr w:type="spellStart"/>
      <w:r w:rsidRPr="00E6318A">
        <w:rPr>
          <w:rFonts w:ascii="Times New Roman" w:hAnsi="Times New Roman" w:cs="Times New Roman"/>
        </w:rPr>
        <w:t>Available:</w:t>
      </w:r>
      <w:hyperlink r:id="rId11" w:history="1">
        <w:r w:rsidRPr="00E6318A">
          <w:rPr>
            <w:rStyle w:val="Hyperlink"/>
            <w:rFonts w:ascii="Times New Roman" w:hAnsi="Times New Roman" w:cs="Times New Roman"/>
            <w:u w:val="none"/>
          </w:rPr>
          <w:t>https</w:t>
        </w:r>
        <w:proofErr w:type="spellEnd"/>
        <w:r w:rsidRPr="00E6318A">
          <w:rPr>
            <w:rStyle w:val="Hyperlink"/>
            <w:rFonts w:ascii="Times New Roman" w:hAnsi="Times New Roman" w:cs="Times New Roman"/>
            <w:u w:val="none"/>
          </w:rPr>
          <w:t>://doi.org/10.2307/3440246</w:t>
        </w:r>
      </w:hyperlink>
    </w:p>
    <w:p w14:paraId="1ADBA4BF" w14:textId="7F3768C2" w:rsidR="00670E66" w:rsidRPr="00E6318A" w:rsidRDefault="00670E66" w:rsidP="00670E66">
      <w:pPr>
        <w:pStyle w:val="ListParagraph"/>
        <w:numPr>
          <w:ilvl w:val="0"/>
          <w:numId w:val="3"/>
        </w:numPr>
        <w:spacing w:line="240" w:lineRule="auto"/>
        <w:jc w:val="both"/>
        <w:rPr>
          <w:rFonts w:ascii="Times New Roman" w:hAnsi="Times New Roman" w:cs="Times New Roman"/>
        </w:rPr>
      </w:pPr>
      <w:r w:rsidRPr="00E6318A">
        <w:rPr>
          <w:rFonts w:ascii="Times New Roman" w:hAnsi="Times New Roman" w:cs="Times New Roman"/>
        </w:rPr>
        <w:t>World Bank. Literacy rate (%) - Nigeria;</w:t>
      </w:r>
      <w:r w:rsidR="00C3182F">
        <w:rPr>
          <w:rFonts w:ascii="Times New Roman" w:hAnsi="Times New Roman" w:cs="Times New Roman"/>
        </w:rPr>
        <w:t xml:space="preserve"> </w:t>
      </w:r>
      <w:r w:rsidRPr="00E6318A">
        <w:rPr>
          <w:rFonts w:ascii="Times New Roman" w:hAnsi="Times New Roman" w:cs="Times New Roman"/>
        </w:rPr>
        <w:t>2021. Available: https://genderdata.worldbank.org/en/indicator/se-adt?view=trend&amp;geos=NGA&amp;gender=female&amp;gender=male</w:t>
      </w:r>
    </w:p>
    <w:p w14:paraId="774BECB4" w14:textId="77777777" w:rsidR="00670E66" w:rsidRPr="00E6318A" w:rsidRDefault="00670E66" w:rsidP="00670E66">
      <w:pPr>
        <w:pStyle w:val="ListParagraph"/>
        <w:numPr>
          <w:ilvl w:val="0"/>
          <w:numId w:val="3"/>
        </w:numPr>
        <w:spacing w:line="240" w:lineRule="auto"/>
        <w:jc w:val="both"/>
        <w:rPr>
          <w:rFonts w:ascii="Times New Roman" w:hAnsi="Times New Roman" w:cs="Times New Roman"/>
        </w:rPr>
      </w:pPr>
      <w:proofErr w:type="spellStart"/>
      <w:r w:rsidRPr="00E6318A">
        <w:rPr>
          <w:rFonts w:ascii="Times New Roman" w:hAnsi="Times New Roman" w:cs="Times New Roman"/>
        </w:rPr>
        <w:t>Nasidi</w:t>
      </w:r>
      <w:proofErr w:type="spellEnd"/>
      <w:r w:rsidRPr="00E6318A">
        <w:rPr>
          <w:rFonts w:ascii="Times New Roman" w:hAnsi="Times New Roman" w:cs="Times New Roman"/>
        </w:rPr>
        <w:t xml:space="preserve"> NA. Must they go to school? Northern Nigeria and the challenges of girl child education, 1999-2015. Reconstructing the Past: Journal of Historical Studies. 2024;2(3):60-69. </w:t>
      </w:r>
      <w:proofErr w:type="spellStart"/>
      <w:r w:rsidRPr="00E6318A">
        <w:rPr>
          <w:rFonts w:ascii="Times New Roman" w:hAnsi="Times New Roman" w:cs="Times New Roman"/>
        </w:rPr>
        <w:t>Available:</w:t>
      </w:r>
      <w:hyperlink r:id="rId12" w:history="1">
        <w:r w:rsidRPr="00E6318A">
          <w:rPr>
            <w:rStyle w:val="Hyperlink"/>
            <w:rFonts w:ascii="Times New Roman" w:hAnsi="Times New Roman" w:cs="Times New Roman"/>
            <w:u w:val="none"/>
          </w:rPr>
          <w:t>https</w:t>
        </w:r>
        <w:proofErr w:type="spellEnd"/>
        <w:r w:rsidRPr="00E6318A">
          <w:rPr>
            <w:rStyle w:val="Hyperlink"/>
            <w:rFonts w:ascii="Times New Roman" w:hAnsi="Times New Roman" w:cs="Times New Roman"/>
            <w:u w:val="none"/>
          </w:rPr>
          <w:t>://doi.org/10.54414/zxuj8630</w:t>
        </w:r>
      </w:hyperlink>
    </w:p>
    <w:p w14:paraId="36C4B3DF" w14:textId="77777777" w:rsidR="00670E66" w:rsidRPr="00E6318A" w:rsidRDefault="00670E66" w:rsidP="00670E66">
      <w:pPr>
        <w:pStyle w:val="ListParagraph"/>
        <w:numPr>
          <w:ilvl w:val="0"/>
          <w:numId w:val="3"/>
        </w:numPr>
        <w:spacing w:line="240" w:lineRule="auto"/>
        <w:jc w:val="both"/>
        <w:rPr>
          <w:rFonts w:ascii="Times New Roman" w:hAnsi="Times New Roman" w:cs="Times New Roman"/>
        </w:rPr>
      </w:pPr>
      <w:bookmarkStart w:id="21" w:name="_Hlk205209029"/>
      <w:r w:rsidRPr="00E6318A">
        <w:rPr>
          <w:rFonts w:ascii="Times New Roman" w:hAnsi="Times New Roman" w:cs="Times New Roman"/>
        </w:rPr>
        <w:t xml:space="preserve">Ibrahim Z, Khan A, Ramli J. Cultural and socio-economic status factors affecting female education in Sokoto State, Northern Nigeria: Implication for counselling. Universal Journal of Educational Research. 2020;8(11):124-128. </w:t>
      </w:r>
      <w:proofErr w:type="spellStart"/>
      <w:r w:rsidRPr="00E6318A">
        <w:rPr>
          <w:rFonts w:ascii="Times New Roman" w:hAnsi="Times New Roman" w:cs="Times New Roman"/>
        </w:rPr>
        <w:t>Available:</w:t>
      </w:r>
      <w:hyperlink r:id="rId13" w:history="1">
        <w:r w:rsidRPr="00E6318A">
          <w:rPr>
            <w:rStyle w:val="Hyperlink"/>
            <w:rFonts w:ascii="Times New Roman" w:hAnsi="Times New Roman" w:cs="Times New Roman"/>
            <w:u w:val="none"/>
          </w:rPr>
          <w:t>https</w:t>
        </w:r>
        <w:proofErr w:type="spellEnd"/>
        <w:r w:rsidRPr="00E6318A">
          <w:rPr>
            <w:rStyle w:val="Hyperlink"/>
            <w:rFonts w:ascii="Times New Roman" w:hAnsi="Times New Roman" w:cs="Times New Roman"/>
            <w:u w:val="none"/>
          </w:rPr>
          <w:t>://doi.org/10.13189/ujer.2020.082314</w:t>
        </w:r>
      </w:hyperlink>
      <w:bookmarkEnd w:id="21"/>
    </w:p>
    <w:p w14:paraId="33353CDE" w14:textId="77777777" w:rsidR="00670E66" w:rsidRPr="00E6318A" w:rsidRDefault="00670E66" w:rsidP="00670E66">
      <w:pPr>
        <w:pStyle w:val="ListParagraph"/>
        <w:numPr>
          <w:ilvl w:val="0"/>
          <w:numId w:val="3"/>
        </w:numPr>
        <w:spacing w:line="240" w:lineRule="auto"/>
        <w:jc w:val="both"/>
        <w:rPr>
          <w:rFonts w:ascii="Times New Roman" w:hAnsi="Times New Roman" w:cs="Times New Roman"/>
        </w:rPr>
      </w:pPr>
      <w:r w:rsidRPr="00E6318A">
        <w:rPr>
          <w:rFonts w:ascii="Times New Roman" w:eastAsia="Times New Roman" w:hAnsi="Times New Roman" w:cs="Times New Roman"/>
        </w:rPr>
        <w:t>World Bank. School enrolment, primary (gross), gender parity index (GPI) - Nigeria; 2019. Available:</w:t>
      </w:r>
      <w:hyperlink r:id="rId14" w:history="1">
        <w:r w:rsidRPr="00E6318A">
          <w:rPr>
            <w:rStyle w:val="Hyperlink"/>
            <w:rFonts w:ascii="Times New Roman" w:eastAsia="Times New Roman" w:hAnsi="Times New Roman" w:cs="Times New Roman"/>
            <w:u w:val="none"/>
          </w:rPr>
          <w:t>https://data.worldbank.org/indicator/SE.ENR.PRIM.FM.ZS?locations=NG</w:t>
        </w:r>
      </w:hyperlink>
    </w:p>
    <w:p w14:paraId="1C6CD5BC" w14:textId="77777777" w:rsidR="00670E66" w:rsidRPr="00E6318A" w:rsidRDefault="00670E66" w:rsidP="00670E66">
      <w:pPr>
        <w:pStyle w:val="ListParagraph"/>
        <w:numPr>
          <w:ilvl w:val="0"/>
          <w:numId w:val="3"/>
        </w:numPr>
        <w:spacing w:line="240" w:lineRule="auto"/>
        <w:jc w:val="both"/>
        <w:rPr>
          <w:rFonts w:ascii="Times New Roman" w:eastAsia="Times New Roman" w:hAnsi="Times New Roman" w:cs="Times New Roman"/>
        </w:rPr>
      </w:pPr>
      <w:r w:rsidRPr="00E6318A">
        <w:rPr>
          <w:rFonts w:ascii="Times New Roman" w:eastAsia="Times New Roman" w:hAnsi="Times New Roman" w:cs="Times New Roman"/>
        </w:rPr>
        <w:t>World Bank. Domestic general government health expenditure (% of general government expenditure) – Nigeria; 2022). Available:</w:t>
      </w:r>
      <w:hyperlink r:id="rId15" w:history="1">
        <w:r w:rsidRPr="00E6318A">
          <w:rPr>
            <w:rStyle w:val="Hyperlink"/>
            <w:rFonts w:ascii="Times New Roman" w:eastAsia="Times New Roman" w:hAnsi="Times New Roman" w:cs="Times New Roman"/>
            <w:u w:val="none"/>
          </w:rPr>
          <w:t>https://data.worldbank.org/indicator/SH.XPD.GHED.GE.ZS?locations=NG</w:t>
        </w:r>
      </w:hyperlink>
    </w:p>
    <w:p w14:paraId="165052E8" w14:textId="77777777" w:rsidR="00670E66" w:rsidRPr="00E6318A" w:rsidRDefault="00670E66" w:rsidP="00670E66">
      <w:pPr>
        <w:pStyle w:val="ListParagraph"/>
        <w:numPr>
          <w:ilvl w:val="0"/>
          <w:numId w:val="3"/>
        </w:numPr>
        <w:spacing w:line="240" w:lineRule="auto"/>
        <w:jc w:val="both"/>
        <w:rPr>
          <w:rFonts w:ascii="Times New Roman" w:hAnsi="Times New Roman" w:cs="Times New Roman"/>
        </w:rPr>
      </w:pPr>
      <w:r w:rsidRPr="00E6318A">
        <w:rPr>
          <w:rFonts w:ascii="Times New Roman" w:eastAsia="Times New Roman" w:hAnsi="Times New Roman" w:cs="Times New Roman"/>
        </w:rPr>
        <w:t xml:space="preserve">Altuzarra A, </w:t>
      </w:r>
      <w:proofErr w:type="spellStart"/>
      <w:r w:rsidRPr="00E6318A">
        <w:rPr>
          <w:rFonts w:ascii="Times New Roman" w:eastAsia="Times New Roman" w:hAnsi="Times New Roman" w:cs="Times New Roman"/>
        </w:rPr>
        <w:t>Gálvez-Gálvez</w:t>
      </w:r>
      <w:proofErr w:type="spellEnd"/>
      <w:r w:rsidRPr="00E6318A">
        <w:rPr>
          <w:rFonts w:ascii="Times New Roman" w:eastAsia="Times New Roman" w:hAnsi="Times New Roman" w:cs="Times New Roman"/>
        </w:rPr>
        <w:t xml:space="preserve"> C, González-Flores A. Is gender inequality a barrier to economic growth? A panel data analysis of developing countries; 2021. </w:t>
      </w:r>
      <w:proofErr w:type="spellStart"/>
      <w:r w:rsidRPr="00E6318A">
        <w:rPr>
          <w:rFonts w:ascii="Times New Roman" w:eastAsia="Times New Roman" w:hAnsi="Times New Roman" w:cs="Times New Roman"/>
        </w:rPr>
        <w:t>Available:</w:t>
      </w:r>
      <w:hyperlink r:id="rId16" w:history="1">
        <w:r w:rsidRPr="00E6318A">
          <w:rPr>
            <w:rStyle w:val="Hyperlink"/>
            <w:rFonts w:ascii="Times New Roman" w:eastAsia="Times New Roman" w:hAnsi="Times New Roman" w:cs="Times New Roman"/>
            <w:u w:val="none"/>
          </w:rPr>
          <w:t>https</w:t>
        </w:r>
        <w:proofErr w:type="spellEnd"/>
        <w:r w:rsidRPr="00E6318A">
          <w:rPr>
            <w:rStyle w:val="Hyperlink"/>
            <w:rFonts w:ascii="Times New Roman" w:eastAsia="Times New Roman" w:hAnsi="Times New Roman" w:cs="Times New Roman"/>
            <w:u w:val="none"/>
          </w:rPr>
          <w:t>://doi.org/10.3390/su13010367</w:t>
        </w:r>
      </w:hyperlink>
    </w:p>
    <w:p w14:paraId="22895E4F" w14:textId="77777777" w:rsidR="00670E66" w:rsidRPr="00E6318A" w:rsidRDefault="00670E66" w:rsidP="00670E66">
      <w:pPr>
        <w:pStyle w:val="ListParagraph"/>
        <w:numPr>
          <w:ilvl w:val="0"/>
          <w:numId w:val="3"/>
        </w:numPr>
        <w:spacing w:line="240" w:lineRule="auto"/>
        <w:jc w:val="both"/>
        <w:rPr>
          <w:rFonts w:ascii="Times New Roman" w:hAnsi="Times New Roman" w:cs="Times New Roman"/>
        </w:rPr>
      </w:pPr>
      <w:r w:rsidRPr="00E6318A">
        <w:rPr>
          <w:rFonts w:ascii="Times New Roman" w:hAnsi="Times New Roman" w:cs="Times New Roman"/>
        </w:rPr>
        <w:t>Ali Z. Gender equality and economic growth: Solving the Asian puzzle; 2023. Available:</w:t>
      </w:r>
      <w:hyperlink r:id="rId17" w:history="1">
        <w:r w:rsidRPr="00E6318A">
          <w:rPr>
            <w:rStyle w:val="Hyperlink"/>
            <w:rFonts w:ascii="Times New Roman" w:hAnsi="Times New Roman" w:cs="Times New Roman"/>
            <w:u w:val="none"/>
          </w:rPr>
          <w:t>https://www.econ.berkeley.edu/sites/default/files/ALI_Zoya_Spring%202021.pdf</w:t>
        </w:r>
      </w:hyperlink>
    </w:p>
    <w:p w14:paraId="0AF3AFE1" w14:textId="2244F49A" w:rsidR="00670E66" w:rsidRPr="00E6318A" w:rsidRDefault="00670E66" w:rsidP="00670E66">
      <w:pPr>
        <w:pStyle w:val="ListParagraph"/>
        <w:numPr>
          <w:ilvl w:val="0"/>
          <w:numId w:val="3"/>
        </w:numPr>
        <w:spacing w:line="240" w:lineRule="auto"/>
        <w:jc w:val="both"/>
        <w:rPr>
          <w:rFonts w:ascii="Times New Roman" w:hAnsi="Times New Roman" w:cs="Times New Roman"/>
        </w:rPr>
      </w:pPr>
      <w:r w:rsidRPr="00E6318A">
        <w:rPr>
          <w:rFonts w:ascii="Times New Roman" w:hAnsi="Times New Roman" w:cs="Times New Roman"/>
        </w:rPr>
        <w:t>Klassen S. The impact of gender inequality on economic performance in developing countries. Annual Review of Resource Economics.</w:t>
      </w:r>
      <w:r w:rsidR="00CF19B3" w:rsidRPr="00E6318A">
        <w:rPr>
          <w:rFonts w:ascii="Times New Roman" w:hAnsi="Times New Roman" w:cs="Times New Roman"/>
        </w:rPr>
        <w:t xml:space="preserve"> </w:t>
      </w:r>
      <w:proofErr w:type="gramStart"/>
      <w:r w:rsidRPr="00E6318A">
        <w:rPr>
          <w:rFonts w:ascii="Times New Roman" w:hAnsi="Times New Roman" w:cs="Times New Roman"/>
        </w:rPr>
        <w:t>2018;10:279</w:t>
      </w:r>
      <w:proofErr w:type="gramEnd"/>
      <w:r w:rsidRPr="00E6318A">
        <w:rPr>
          <w:rFonts w:ascii="Times New Roman" w:hAnsi="Times New Roman" w:cs="Times New Roman"/>
        </w:rPr>
        <w:t xml:space="preserve">-298. </w:t>
      </w:r>
      <w:hyperlink r:id="rId18" w:history="1">
        <w:r w:rsidRPr="00E6318A">
          <w:rPr>
            <w:rStyle w:val="Hyperlink"/>
            <w:rFonts w:ascii="Times New Roman" w:hAnsi="Times New Roman" w:cs="Times New Roman"/>
            <w:u w:val="none"/>
          </w:rPr>
          <w:t>https://doi.org/10.1146/ANNUREV-RESOURCE-100517-023429</w:t>
        </w:r>
      </w:hyperlink>
    </w:p>
    <w:p w14:paraId="41AF0089" w14:textId="77777777" w:rsidR="00670E66" w:rsidRPr="00E6318A" w:rsidRDefault="00670E66" w:rsidP="00670E66">
      <w:pPr>
        <w:pStyle w:val="ListParagraph"/>
        <w:numPr>
          <w:ilvl w:val="0"/>
          <w:numId w:val="3"/>
        </w:numPr>
        <w:spacing w:line="240" w:lineRule="auto"/>
        <w:jc w:val="both"/>
        <w:rPr>
          <w:rFonts w:ascii="Times New Roman" w:hAnsi="Times New Roman" w:cs="Times New Roman"/>
        </w:rPr>
      </w:pPr>
      <w:proofErr w:type="spellStart"/>
      <w:r w:rsidRPr="00E6318A">
        <w:rPr>
          <w:rFonts w:ascii="Times New Roman" w:hAnsi="Times New Roman" w:cs="Times New Roman"/>
        </w:rPr>
        <w:t>Assoumou</w:t>
      </w:r>
      <w:proofErr w:type="spellEnd"/>
      <w:r w:rsidRPr="00E6318A">
        <w:rPr>
          <w:rFonts w:ascii="Times New Roman" w:hAnsi="Times New Roman" w:cs="Times New Roman"/>
        </w:rPr>
        <w:t xml:space="preserve">-Ella G. Gender inequality in education and Per Capita GDP: The case of CEMAC Countries; 2019. </w:t>
      </w:r>
      <w:proofErr w:type="spellStart"/>
      <w:r w:rsidRPr="00E6318A">
        <w:rPr>
          <w:rFonts w:ascii="Times New Roman" w:hAnsi="Times New Roman" w:cs="Times New Roman"/>
        </w:rPr>
        <w:t>Available:</w:t>
      </w:r>
      <w:hyperlink r:id="rId19" w:history="1">
        <w:r w:rsidRPr="00E6318A">
          <w:rPr>
            <w:rStyle w:val="Hyperlink"/>
            <w:rFonts w:ascii="Times New Roman" w:hAnsi="Times New Roman" w:cs="Times New Roman"/>
            <w:u w:val="none"/>
          </w:rPr>
          <w:t>https</w:t>
        </w:r>
        <w:proofErr w:type="spellEnd"/>
        <w:r w:rsidRPr="00E6318A">
          <w:rPr>
            <w:rStyle w:val="Hyperlink"/>
            <w:rFonts w:ascii="Times New Roman" w:hAnsi="Times New Roman" w:cs="Times New Roman"/>
            <w:u w:val="none"/>
          </w:rPr>
          <w:t>://doi.org/10.2139/ssrn.3391773</w:t>
        </w:r>
      </w:hyperlink>
    </w:p>
    <w:p w14:paraId="71B471A4" w14:textId="77777777" w:rsidR="00670E66" w:rsidRPr="00E6318A" w:rsidRDefault="00670E66" w:rsidP="00670E66">
      <w:pPr>
        <w:pStyle w:val="ListParagraph"/>
        <w:numPr>
          <w:ilvl w:val="0"/>
          <w:numId w:val="3"/>
        </w:numPr>
        <w:spacing w:line="240" w:lineRule="auto"/>
        <w:jc w:val="both"/>
        <w:rPr>
          <w:rFonts w:ascii="Times New Roman" w:eastAsia="Times New Roman" w:hAnsi="Times New Roman" w:cs="Times New Roman"/>
        </w:rPr>
      </w:pPr>
      <w:proofErr w:type="spellStart"/>
      <w:r w:rsidRPr="00E6318A">
        <w:rPr>
          <w:rFonts w:ascii="Times New Roman" w:eastAsia="Times New Roman" w:hAnsi="Times New Roman" w:cs="Times New Roman"/>
        </w:rPr>
        <w:t>Sehar</w:t>
      </w:r>
      <w:proofErr w:type="spellEnd"/>
      <w:r w:rsidRPr="00E6318A">
        <w:rPr>
          <w:rFonts w:ascii="Times New Roman" w:eastAsia="Times New Roman" w:hAnsi="Times New Roman" w:cs="Times New Roman"/>
        </w:rPr>
        <w:t xml:space="preserve"> N, Bhatia S, Sharma M. Gender equality and economic growth: An econometric analysis using World Development Indicators.</w:t>
      </w:r>
      <w:r w:rsidRPr="00E6318A">
        <w:rPr>
          <w:rFonts w:ascii="Times New Roman" w:eastAsia="Times New Roman" w:hAnsi="Times New Roman" w:cs="Times New Roman"/>
        </w:rPr>
        <w:tab/>
        <w:t xml:space="preserve">Research Hub International Multidisciplinary Research Journal. 2025;12(6):46–54. </w:t>
      </w:r>
      <w:proofErr w:type="spellStart"/>
      <w:r w:rsidRPr="00E6318A">
        <w:rPr>
          <w:rFonts w:ascii="Times New Roman" w:eastAsia="Times New Roman" w:hAnsi="Times New Roman" w:cs="Times New Roman"/>
        </w:rPr>
        <w:t>Available:</w:t>
      </w:r>
      <w:hyperlink r:id="rId20" w:history="1">
        <w:r w:rsidRPr="00E6318A">
          <w:rPr>
            <w:rStyle w:val="Hyperlink"/>
            <w:rFonts w:ascii="Times New Roman" w:eastAsia="Times New Roman" w:hAnsi="Times New Roman" w:cs="Times New Roman"/>
            <w:u w:val="none"/>
          </w:rPr>
          <w:t>https</w:t>
        </w:r>
        <w:proofErr w:type="spellEnd"/>
        <w:r w:rsidRPr="00E6318A">
          <w:rPr>
            <w:rStyle w:val="Hyperlink"/>
            <w:rFonts w:ascii="Times New Roman" w:eastAsia="Times New Roman" w:hAnsi="Times New Roman" w:cs="Times New Roman"/>
            <w:u w:val="none"/>
          </w:rPr>
          <w:t>://doi.org/10.53573/rhimrj.2025.v12n6si.006</w:t>
        </w:r>
      </w:hyperlink>
    </w:p>
    <w:p w14:paraId="327893AB" w14:textId="77777777" w:rsidR="00670E66" w:rsidRPr="00E6318A" w:rsidRDefault="00670E66" w:rsidP="00670E66">
      <w:pPr>
        <w:pStyle w:val="ListParagraph"/>
        <w:numPr>
          <w:ilvl w:val="0"/>
          <w:numId w:val="3"/>
        </w:numPr>
        <w:spacing w:line="240" w:lineRule="auto"/>
        <w:jc w:val="both"/>
        <w:rPr>
          <w:rFonts w:ascii="Times New Roman" w:hAnsi="Times New Roman" w:cs="Times New Roman"/>
        </w:rPr>
      </w:pPr>
      <w:r w:rsidRPr="00E6318A">
        <w:rPr>
          <w:rFonts w:ascii="Times New Roman" w:hAnsi="Times New Roman" w:cs="Times New Roman"/>
        </w:rPr>
        <w:t>World Bank. GDP per capita growth (annual %) – Nigeria; 2023.  Available:</w:t>
      </w:r>
      <w:hyperlink r:id="rId21" w:history="1">
        <w:r w:rsidRPr="00E6318A">
          <w:rPr>
            <w:rStyle w:val="Hyperlink"/>
            <w:rFonts w:ascii="Times New Roman" w:hAnsi="Times New Roman" w:cs="Times New Roman"/>
            <w:u w:val="none"/>
          </w:rPr>
          <w:t>https://data.worldbank.org/indicator/NY.GDP.PCAP.KD.ZG?locations=NG</w:t>
        </w:r>
      </w:hyperlink>
    </w:p>
    <w:p w14:paraId="56C5E0F6" w14:textId="77777777" w:rsidR="00670E66" w:rsidRPr="00E6318A" w:rsidRDefault="00670E66" w:rsidP="00670E66">
      <w:pPr>
        <w:pStyle w:val="ListParagraph"/>
        <w:numPr>
          <w:ilvl w:val="0"/>
          <w:numId w:val="3"/>
        </w:numPr>
        <w:spacing w:line="240" w:lineRule="auto"/>
        <w:jc w:val="both"/>
        <w:rPr>
          <w:rFonts w:ascii="Times New Roman" w:hAnsi="Times New Roman" w:cs="Times New Roman"/>
        </w:rPr>
      </w:pPr>
      <w:r w:rsidRPr="00E6318A">
        <w:rPr>
          <w:rFonts w:ascii="Times New Roman" w:hAnsi="Times New Roman" w:cs="Times New Roman"/>
        </w:rPr>
        <w:t>United Nations Development Programme (UNDP) Human Development Insights; 2023. Available: https://hdr.undp.org/data-center/country-insights#/ranks</w:t>
      </w:r>
    </w:p>
    <w:p w14:paraId="00540F0B" w14:textId="77777777" w:rsidR="00670E66" w:rsidRPr="00E6318A" w:rsidRDefault="00670E66" w:rsidP="00670E66">
      <w:pPr>
        <w:pStyle w:val="ListParagraph"/>
        <w:numPr>
          <w:ilvl w:val="0"/>
          <w:numId w:val="3"/>
        </w:numPr>
        <w:spacing w:line="240" w:lineRule="auto"/>
        <w:jc w:val="both"/>
        <w:rPr>
          <w:rFonts w:ascii="Times New Roman" w:hAnsi="Times New Roman" w:cs="Times New Roman"/>
        </w:rPr>
      </w:pPr>
      <w:r w:rsidRPr="00E6318A">
        <w:rPr>
          <w:rFonts w:ascii="Times New Roman" w:hAnsi="Times New Roman" w:cs="Times New Roman"/>
        </w:rPr>
        <w:t xml:space="preserve">Bah IA. The relationship between education and economic growth: A cross-country analysis. Research, Society and Development. 2023;12(5). </w:t>
      </w:r>
      <w:proofErr w:type="spellStart"/>
      <w:r w:rsidRPr="00E6318A">
        <w:rPr>
          <w:rFonts w:ascii="Times New Roman" w:hAnsi="Times New Roman" w:cs="Times New Roman"/>
        </w:rPr>
        <w:t>Available:</w:t>
      </w:r>
      <w:hyperlink r:id="rId22" w:history="1">
        <w:r w:rsidRPr="00E6318A">
          <w:rPr>
            <w:rStyle w:val="Hyperlink"/>
            <w:rFonts w:ascii="Times New Roman" w:hAnsi="Times New Roman" w:cs="Times New Roman"/>
            <w:u w:val="none"/>
          </w:rPr>
          <w:t>https</w:t>
        </w:r>
        <w:proofErr w:type="spellEnd"/>
        <w:r w:rsidRPr="00E6318A">
          <w:rPr>
            <w:rStyle w:val="Hyperlink"/>
            <w:rFonts w:ascii="Times New Roman" w:hAnsi="Times New Roman" w:cs="Times New Roman"/>
            <w:u w:val="none"/>
          </w:rPr>
          <w:t>://doi.org/10.33448/rsd-v12i5.40522</w:t>
        </w:r>
      </w:hyperlink>
    </w:p>
    <w:p w14:paraId="33D1CC06" w14:textId="77777777" w:rsidR="00670E66" w:rsidRPr="00E6318A" w:rsidRDefault="00670E66" w:rsidP="00670E66">
      <w:pPr>
        <w:pStyle w:val="ListParagraph"/>
        <w:numPr>
          <w:ilvl w:val="0"/>
          <w:numId w:val="3"/>
        </w:numPr>
        <w:spacing w:line="240" w:lineRule="auto"/>
        <w:jc w:val="both"/>
        <w:rPr>
          <w:rFonts w:ascii="Times New Roman" w:hAnsi="Times New Roman" w:cs="Times New Roman"/>
        </w:rPr>
      </w:pPr>
      <w:r w:rsidRPr="00E6318A">
        <w:rPr>
          <w:rFonts w:ascii="Times New Roman" w:hAnsi="Times New Roman" w:cs="Times New Roman"/>
        </w:rPr>
        <w:t xml:space="preserve">United Nations Children’s Fund (UNICEF) Education opportunities for Girls in Nigeria; 2022. </w:t>
      </w:r>
      <w:r w:rsidRPr="00E6318A">
        <w:rPr>
          <w:rFonts w:ascii="Times New Roman" w:hAnsi="Times New Roman" w:cs="Times New Roman"/>
        </w:rPr>
        <w:lastRenderedPageBreak/>
        <w:t>Available:</w:t>
      </w:r>
      <w:hyperlink r:id="rId23" w:history="1">
        <w:r w:rsidRPr="00E6318A">
          <w:rPr>
            <w:rStyle w:val="Hyperlink"/>
            <w:rFonts w:ascii="Times New Roman" w:hAnsi="Times New Roman" w:cs="Times New Roman"/>
            <w:u w:val="none"/>
          </w:rPr>
          <w:t>https://www.unicef.org/nigeria/media/7741/file/UNICEF%20Nigeria%20Cheat%20</w:t>
        </w:r>
      </w:hyperlink>
      <w:r w:rsidRPr="00E6318A">
        <w:rPr>
          <w:rFonts w:ascii="Times New Roman" w:hAnsi="Times New Roman" w:cs="Times New Roman"/>
        </w:rPr>
        <w:t>Sheet%20-%20Girls%20Education.pdf</w:t>
      </w:r>
    </w:p>
    <w:p w14:paraId="3F23FFEC" w14:textId="77777777" w:rsidR="00670E66" w:rsidRPr="00E6318A" w:rsidRDefault="00670E66" w:rsidP="00670E66">
      <w:pPr>
        <w:pStyle w:val="ListParagraph"/>
        <w:numPr>
          <w:ilvl w:val="0"/>
          <w:numId w:val="3"/>
        </w:numPr>
        <w:spacing w:line="240" w:lineRule="auto"/>
        <w:jc w:val="both"/>
        <w:rPr>
          <w:rFonts w:ascii="Times New Roman" w:hAnsi="Times New Roman" w:cs="Times New Roman"/>
        </w:rPr>
      </w:pPr>
      <w:r w:rsidRPr="00E6318A">
        <w:rPr>
          <w:rFonts w:ascii="Times New Roman" w:hAnsi="Times New Roman" w:cs="Times New Roman"/>
        </w:rPr>
        <w:t xml:space="preserve">Mohammed K, Alhassan UM. Nigeria’s female educational development crises under recessive economy: The way forward; 1974. </w:t>
      </w:r>
      <w:proofErr w:type="spellStart"/>
      <w:r w:rsidRPr="00E6318A">
        <w:rPr>
          <w:rFonts w:ascii="Times New Roman" w:hAnsi="Times New Roman" w:cs="Times New Roman"/>
        </w:rPr>
        <w:t>Available:</w:t>
      </w:r>
      <w:hyperlink r:id="rId24" w:history="1">
        <w:r w:rsidRPr="00E6318A">
          <w:rPr>
            <w:rStyle w:val="Hyperlink"/>
            <w:rFonts w:ascii="Times New Roman" w:hAnsi="Times New Roman" w:cs="Times New Roman"/>
            <w:u w:val="none"/>
          </w:rPr>
          <w:t>https</w:t>
        </w:r>
        <w:proofErr w:type="spellEnd"/>
        <w:r w:rsidRPr="00E6318A">
          <w:rPr>
            <w:rStyle w:val="Hyperlink"/>
            <w:rFonts w:ascii="Times New Roman" w:hAnsi="Times New Roman" w:cs="Times New Roman"/>
            <w:u w:val="none"/>
          </w:rPr>
          <w:t>://doi.org/10.56201/ijee.v9.no3.2023.pg125.133</w:t>
        </w:r>
      </w:hyperlink>
    </w:p>
    <w:p w14:paraId="4231B91B" w14:textId="1D98126D" w:rsidR="001D7A97" w:rsidRPr="00E6318A" w:rsidRDefault="001D7A97" w:rsidP="001D7A97">
      <w:pPr>
        <w:pStyle w:val="ListParagraph"/>
        <w:numPr>
          <w:ilvl w:val="0"/>
          <w:numId w:val="3"/>
        </w:numPr>
        <w:spacing w:line="240" w:lineRule="auto"/>
        <w:jc w:val="both"/>
        <w:rPr>
          <w:rFonts w:ascii="Times New Roman" w:hAnsi="Times New Roman" w:cs="Times New Roman"/>
        </w:rPr>
      </w:pPr>
      <w:proofErr w:type="spellStart"/>
      <w:r w:rsidRPr="00E6318A">
        <w:rPr>
          <w:rFonts w:ascii="Times New Roman" w:hAnsi="Times New Roman" w:cs="Times New Roman"/>
        </w:rPr>
        <w:t>Wodon</w:t>
      </w:r>
      <w:proofErr w:type="spellEnd"/>
      <w:r w:rsidRPr="00E6318A">
        <w:rPr>
          <w:rFonts w:ascii="Times New Roman" w:hAnsi="Times New Roman" w:cs="Times New Roman"/>
        </w:rPr>
        <w:t xml:space="preserve"> Q, Montenegro CE, Nguyen H, </w:t>
      </w:r>
      <w:proofErr w:type="spellStart"/>
      <w:r w:rsidRPr="00E6318A">
        <w:rPr>
          <w:rFonts w:ascii="Times New Roman" w:hAnsi="Times New Roman" w:cs="Times New Roman"/>
        </w:rPr>
        <w:t>Onagoruwa</w:t>
      </w:r>
      <w:proofErr w:type="spellEnd"/>
      <w:r w:rsidRPr="00E6318A">
        <w:rPr>
          <w:rFonts w:ascii="Times New Roman" w:hAnsi="Times New Roman" w:cs="Times New Roman"/>
        </w:rPr>
        <w:t xml:space="preserve"> A. Missed opportunities: The High Cost of Not Educating Girls; 2018. </w:t>
      </w:r>
      <w:proofErr w:type="spellStart"/>
      <w:r w:rsidRPr="00E6318A">
        <w:rPr>
          <w:rFonts w:ascii="Times New Roman" w:hAnsi="Times New Roman" w:cs="Times New Roman"/>
        </w:rPr>
        <w:t>Available:</w:t>
      </w:r>
      <w:hyperlink r:id="rId25" w:history="1">
        <w:r w:rsidRPr="00E6318A">
          <w:rPr>
            <w:rStyle w:val="Hyperlink"/>
            <w:rFonts w:ascii="Times New Roman" w:hAnsi="Times New Roman" w:cs="Times New Roman"/>
            <w:u w:val="none"/>
          </w:rPr>
          <w:t>https</w:t>
        </w:r>
        <w:proofErr w:type="spellEnd"/>
        <w:r w:rsidRPr="00E6318A">
          <w:rPr>
            <w:rStyle w:val="Hyperlink"/>
            <w:rFonts w:ascii="Times New Roman" w:hAnsi="Times New Roman" w:cs="Times New Roman"/>
            <w:u w:val="none"/>
          </w:rPr>
          <w:t>://doi.org/10.1596/29956</w:t>
        </w:r>
      </w:hyperlink>
    </w:p>
    <w:p w14:paraId="631DC7EA" w14:textId="77777777" w:rsidR="00670E66" w:rsidRPr="00E6318A" w:rsidRDefault="00670E66" w:rsidP="00670E66">
      <w:pPr>
        <w:pStyle w:val="ListParagraph"/>
        <w:numPr>
          <w:ilvl w:val="0"/>
          <w:numId w:val="3"/>
        </w:numPr>
        <w:spacing w:line="240" w:lineRule="auto"/>
        <w:jc w:val="both"/>
        <w:rPr>
          <w:rFonts w:ascii="Times New Roman" w:hAnsi="Times New Roman" w:cs="Times New Roman"/>
        </w:rPr>
      </w:pPr>
      <w:r w:rsidRPr="00E6318A">
        <w:rPr>
          <w:rFonts w:ascii="Times New Roman" w:hAnsi="Times New Roman" w:cs="Times New Roman"/>
        </w:rPr>
        <w:t>Becker GS. Human capital: A theoretical and empirical analysis, with special reference to education. University of Chicago Press; 1964.</w:t>
      </w:r>
    </w:p>
    <w:p w14:paraId="088B4B48" w14:textId="77777777" w:rsidR="00670E66" w:rsidRPr="00E6318A" w:rsidRDefault="00670E66" w:rsidP="00670E66">
      <w:pPr>
        <w:pStyle w:val="ListParagraph"/>
        <w:numPr>
          <w:ilvl w:val="0"/>
          <w:numId w:val="3"/>
        </w:numPr>
        <w:spacing w:line="240" w:lineRule="auto"/>
        <w:jc w:val="both"/>
        <w:rPr>
          <w:rFonts w:ascii="Times New Roman" w:hAnsi="Times New Roman" w:cs="Times New Roman"/>
        </w:rPr>
      </w:pPr>
      <w:r w:rsidRPr="00E6318A">
        <w:rPr>
          <w:rFonts w:ascii="Times New Roman" w:hAnsi="Times New Roman" w:cs="Times New Roman"/>
        </w:rPr>
        <w:t>Mincer J. Schooling, experience, and earnings. Columbia University Press; 1974.</w:t>
      </w:r>
    </w:p>
    <w:p w14:paraId="62D3B284" w14:textId="77777777" w:rsidR="00670E66" w:rsidRPr="00E6318A" w:rsidRDefault="00670E66" w:rsidP="00670E66">
      <w:pPr>
        <w:pStyle w:val="ListParagraph"/>
        <w:numPr>
          <w:ilvl w:val="0"/>
          <w:numId w:val="3"/>
        </w:numPr>
        <w:spacing w:line="240" w:lineRule="auto"/>
        <w:jc w:val="both"/>
        <w:rPr>
          <w:rFonts w:ascii="Times New Roman" w:hAnsi="Times New Roman" w:cs="Times New Roman"/>
        </w:rPr>
      </w:pPr>
      <w:r w:rsidRPr="00E6318A">
        <w:rPr>
          <w:rFonts w:ascii="Times New Roman" w:hAnsi="Times New Roman" w:cs="Times New Roman"/>
        </w:rPr>
        <w:t xml:space="preserve">Hahn Y, Islam A, </w:t>
      </w:r>
      <w:proofErr w:type="spellStart"/>
      <w:r w:rsidRPr="00E6318A">
        <w:rPr>
          <w:rFonts w:ascii="Times New Roman" w:hAnsi="Times New Roman" w:cs="Times New Roman"/>
        </w:rPr>
        <w:t>Nuzhat</w:t>
      </w:r>
      <w:proofErr w:type="spellEnd"/>
      <w:r w:rsidRPr="00E6318A">
        <w:rPr>
          <w:rFonts w:ascii="Times New Roman" w:hAnsi="Times New Roman" w:cs="Times New Roman"/>
        </w:rPr>
        <w:t xml:space="preserve"> K, Smyth R, Yang H. Education, marriage, and fertility: Long-term evidence from a female stipend program in Bangladesh. Chicago Journals. 2017;66(2). </w:t>
      </w:r>
      <w:proofErr w:type="spellStart"/>
      <w:r w:rsidRPr="00E6318A">
        <w:rPr>
          <w:rFonts w:ascii="Times New Roman" w:hAnsi="Times New Roman" w:cs="Times New Roman"/>
        </w:rPr>
        <w:t>Available:</w:t>
      </w:r>
      <w:hyperlink r:id="rId26" w:history="1">
        <w:r w:rsidRPr="00E6318A">
          <w:rPr>
            <w:rStyle w:val="Hyperlink"/>
            <w:rFonts w:ascii="Times New Roman" w:hAnsi="Times New Roman" w:cs="Times New Roman"/>
            <w:u w:val="none"/>
          </w:rPr>
          <w:t>https</w:t>
        </w:r>
        <w:proofErr w:type="spellEnd"/>
        <w:r w:rsidRPr="00E6318A">
          <w:rPr>
            <w:rStyle w:val="Hyperlink"/>
            <w:rFonts w:ascii="Times New Roman" w:hAnsi="Times New Roman" w:cs="Times New Roman"/>
            <w:u w:val="none"/>
          </w:rPr>
          <w:t>://doi.org/10.1086/694930</w:t>
        </w:r>
      </w:hyperlink>
    </w:p>
    <w:p w14:paraId="6E7455FB" w14:textId="77777777" w:rsidR="00670E66" w:rsidRPr="00E6318A" w:rsidRDefault="00670E66" w:rsidP="00670E66">
      <w:pPr>
        <w:pStyle w:val="ListParagraph"/>
        <w:numPr>
          <w:ilvl w:val="0"/>
          <w:numId w:val="3"/>
        </w:numPr>
        <w:spacing w:line="240" w:lineRule="auto"/>
        <w:jc w:val="both"/>
        <w:rPr>
          <w:rFonts w:ascii="Times New Roman" w:hAnsi="Times New Roman" w:cs="Times New Roman"/>
        </w:rPr>
      </w:pPr>
      <w:r w:rsidRPr="00E6318A">
        <w:rPr>
          <w:rFonts w:ascii="Times New Roman" w:hAnsi="Times New Roman" w:cs="Times New Roman"/>
        </w:rPr>
        <w:t>Romer PM. Endogenous technological change. Journal of Political Economy. 1990; 98(5):71-102.</w:t>
      </w:r>
    </w:p>
    <w:p w14:paraId="00136AD5" w14:textId="77777777" w:rsidR="00670E66" w:rsidRPr="00E6318A" w:rsidRDefault="00670E66" w:rsidP="00670E66">
      <w:pPr>
        <w:pStyle w:val="ListParagraph"/>
        <w:numPr>
          <w:ilvl w:val="0"/>
          <w:numId w:val="3"/>
        </w:numPr>
        <w:spacing w:line="240" w:lineRule="auto"/>
        <w:jc w:val="both"/>
        <w:rPr>
          <w:rFonts w:ascii="Times New Roman" w:hAnsi="Times New Roman" w:cs="Times New Roman"/>
        </w:rPr>
      </w:pPr>
      <w:r w:rsidRPr="00E6318A">
        <w:rPr>
          <w:rFonts w:ascii="Times New Roman" w:hAnsi="Times New Roman" w:cs="Times New Roman"/>
        </w:rPr>
        <w:t>Lucas RE. On the mechanics of economic development. Journal of Monetary Economics. 1988;22(1):3–42.</w:t>
      </w:r>
    </w:p>
    <w:p w14:paraId="03F62F8B" w14:textId="77777777" w:rsidR="00670E66" w:rsidRPr="00E6318A" w:rsidRDefault="00670E66" w:rsidP="00670E66">
      <w:pPr>
        <w:pStyle w:val="ListParagraph"/>
        <w:numPr>
          <w:ilvl w:val="0"/>
          <w:numId w:val="3"/>
        </w:numPr>
        <w:spacing w:line="240" w:lineRule="auto"/>
        <w:jc w:val="both"/>
        <w:rPr>
          <w:rFonts w:ascii="Times New Roman" w:hAnsi="Times New Roman" w:cs="Times New Roman"/>
        </w:rPr>
      </w:pPr>
      <w:r w:rsidRPr="00E6318A">
        <w:rPr>
          <w:rFonts w:ascii="Times New Roman" w:hAnsi="Times New Roman" w:cs="Times New Roman"/>
        </w:rPr>
        <w:t>Sen A. Development as freedom. Oxford University Press; 1999.</w:t>
      </w:r>
    </w:p>
    <w:p w14:paraId="168AA9E3" w14:textId="7AD595E2" w:rsidR="00670E66" w:rsidRPr="00E6318A" w:rsidRDefault="00670E66" w:rsidP="00670E66">
      <w:pPr>
        <w:pStyle w:val="ListParagraph"/>
        <w:numPr>
          <w:ilvl w:val="0"/>
          <w:numId w:val="3"/>
        </w:numPr>
        <w:spacing w:line="240" w:lineRule="auto"/>
        <w:jc w:val="both"/>
        <w:rPr>
          <w:rFonts w:ascii="Times New Roman" w:hAnsi="Times New Roman" w:cs="Times New Roman"/>
          <w:bCs/>
        </w:rPr>
      </w:pPr>
      <w:proofErr w:type="spellStart"/>
      <w:r w:rsidRPr="00E6318A">
        <w:rPr>
          <w:rFonts w:ascii="Times New Roman" w:hAnsi="Times New Roman" w:cs="Times New Roman"/>
          <w:bCs/>
        </w:rPr>
        <w:t>Kocevska</w:t>
      </w:r>
      <w:proofErr w:type="spellEnd"/>
      <w:r w:rsidRPr="00E6318A">
        <w:rPr>
          <w:rFonts w:ascii="Times New Roman" w:hAnsi="Times New Roman" w:cs="Times New Roman"/>
          <w:bCs/>
        </w:rPr>
        <w:t xml:space="preserve"> KS. Public expenditure on education and economic growth: Evidence from North Macedonia. Journal of Liberty and International Affairs</w:t>
      </w:r>
      <w:r w:rsidR="00316867" w:rsidRPr="00E6318A">
        <w:rPr>
          <w:rFonts w:ascii="Times New Roman" w:hAnsi="Times New Roman" w:cs="Times New Roman"/>
          <w:bCs/>
        </w:rPr>
        <w:t>. 2023;</w:t>
      </w:r>
      <w:r w:rsidRPr="00E6318A">
        <w:rPr>
          <w:rFonts w:ascii="Times New Roman" w:hAnsi="Times New Roman" w:cs="Times New Roman"/>
          <w:bCs/>
        </w:rPr>
        <w:t xml:space="preserve">9(1):22-34. </w:t>
      </w:r>
      <w:proofErr w:type="spellStart"/>
      <w:r w:rsidRPr="00E6318A">
        <w:rPr>
          <w:rFonts w:ascii="Times New Roman" w:hAnsi="Times New Roman" w:cs="Times New Roman"/>
          <w:bCs/>
        </w:rPr>
        <w:t>Available:</w:t>
      </w:r>
      <w:hyperlink r:id="rId27" w:history="1">
        <w:r w:rsidRPr="00E6318A">
          <w:rPr>
            <w:rStyle w:val="Hyperlink"/>
            <w:rFonts w:ascii="Times New Roman" w:hAnsi="Times New Roman" w:cs="Times New Roman"/>
            <w:bCs/>
            <w:u w:val="none"/>
          </w:rPr>
          <w:t>https</w:t>
        </w:r>
        <w:proofErr w:type="spellEnd"/>
        <w:r w:rsidRPr="00E6318A">
          <w:rPr>
            <w:rStyle w:val="Hyperlink"/>
            <w:rFonts w:ascii="Times New Roman" w:hAnsi="Times New Roman" w:cs="Times New Roman"/>
            <w:bCs/>
            <w:u w:val="none"/>
          </w:rPr>
          <w:t>://doi.org/10.47305/jlia2391022shk</w:t>
        </w:r>
      </w:hyperlink>
    </w:p>
    <w:p w14:paraId="60A4280C" w14:textId="752289FB" w:rsidR="00670E66" w:rsidRPr="00E6318A" w:rsidRDefault="001C34AC" w:rsidP="00670E66">
      <w:pPr>
        <w:pStyle w:val="ListParagraph"/>
        <w:numPr>
          <w:ilvl w:val="0"/>
          <w:numId w:val="3"/>
        </w:numPr>
        <w:spacing w:line="240" w:lineRule="auto"/>
        <w:jc w:val="both"/>
        <w:rPr>
          <w:rFonts w:ascii="Times New Roman" w:hAnsi="Times New Roman" w:cs="Times New Roman"/>
        </w:rPr>
      </w:pPr>
      <w:r>
        <w:rPr>
          <w:rFonts w:ascii="Times New Roman" w:hAnsi="Times New Roman" w:cs="Times New Roman"/>
          <w:bCs/>
        </w:rPr>
        <w:t>Christopher N,</w:t>
      </w:r>
      <w:r>
        <w:rPr>
          <w:rFonts w:ascii="Times New Roman" w:hAnsi="Times New Roman" w:cs="Times New Roman"/>
        </w:rPr>
        <w:t xml:space="preserve"> Akpan MS, </w:t>
      </w:r>
      <w:proofErr w:type="spellStart"/>
      <w:r>
        <w:rPr>
          <w:rFonts w:ascii="Times New Roman" w:hAnsi="Times New Roman" w:cs="Times New Roman"/>
        </w:rPr>
        <w:t>Ologunla</w:t>
      </w:r>
      <w:proofErr w:type="spellEnd"/>
      <w:r>
        <w:rPr>
          <w:rFonts w:ascii="Times New Roman" w:hAnsi="Times New Roman" w:cs="Times New Roman"/>
        </w:rPr>
        <w:t xml:space="preserve"> SE.</w:t>
      </w:r>
      <w:r w:rsidR="00670E66" w:rsidRPr="00E6318A">
        <w:rPr>
          <w:rFonts w:ascii="Times New Roman" w:hAnsi="Times New Roman" w:cs="Times New Roman"/>
        </w:rPr>
        <w:t xml:space="preserve"> </w:t>
      </w:r>
      <w:r w:rsidR="00AB024A" w:rsidRPr="00AB024A">
        <w:rPr>
          <w:rFonts w:ascii="Times New Roman" w:hAnsi="Times New Roman" w:cs="Times New Roman"/>
        </w:rPr>
        <w:t xml:space="preserve">Impact of government spending in education and health sectors on Nigeria’s economic growth: </w:t>
      </w:r>
      <w:r w:rsidR="00AB024A">
        <w:rPr>
          <w:rFonts w:ascii="Times New Roman" w:hAnsi="Times New Roman" w:cs="Times New Roman"/>
        </w:rPr>
        <w:t>A</w:t>
      </w:r>
      <w:r w:rsidR="00AB024A" w:rsidRPr="00AB024A">
        <w:rPr>
          <w:rFonts w:ascii="Times New Roman" w:hAnsi="Times New Roman" w:cs="Times New Roman"/>
        </w:rPr>
        <w:t xml:space="preserve"> time series analysis of capital and recurrent expenditures</w:t>
      </w:r>
      <w:r w:rsidR="0021636A">
        <w:rPr>
          <w:rFonts w:ascii="Times New Roman" w:hAnsi="Times New Roman" w:cs="Times New Roman"/>
        </w:rPr>
        <w:t xml:space="preserve">; 2025. </w:t>
      </w:r>
      <w:proofErr w:type="spellStart"/>
      <w:proofErr w:type="gramStart"/>
      <w:r w:rsidR="0021636A">
        <w:rPr>
          <w:rFonts w:ascii="Times New Roman" w:hAnsi="Times New Roman" w:cs="Times New Roman"/>
        </w:rPr>
        <w:t>Available:</w:t>
      </w:r>
      <w:r w:rsidR="0021636A" w:rsidRPr="0021636A">
        <w:rPr>
          <w:rFonts w:ascii="Times New Roman" w:hAnsi="Times New Roman" w:cs="Times New Roman"/>
        </w:rPr>
        <w:t>https</w:t>
      </w:r>
      <w:proofErr w:type="spellEnd"/>
      <w:r w:rsidR="0021636A" w:rsidRPr="0021636A">
        <w:rPr>
          <w:rFonts w:ascii="Times New Roman" w:hAnsi="Times New Roman" w:cs="Times New Roman"/>
        </w:rPr>
        <w:t>://doi.org/10.56556/jssms.v4i1.1119</w:t>
      </w:r>
      <w:proofErr w:type="gramEnd"/>
    </w:p>
    <w:p w14:paraId="14A1400E" w14:textId="77777777" w:rsidR="00670E66" w:rsidRPr="00E6318A" w:rsidRDefault="00670E66" w:rsidP="00670E66">
      <w:pPr>
        <w:pStyle w:val="ListParagraph"/>
        <w:numPr>
          <w:ilvl w:val="0"/>
          <w:numId w:val="3"/>
        </w:numPr>
        <w:spacing w:line="240" w:lineRule="auto"/>
        <w:jc w:val="both"/>
        <w:rPr>
          <w:rFonts w:ascii="Times New Roman" w:hAnsi="Times New Roman" w:cs="Times New Roman"/>
        </w:rPr>
      </w:pPr>
      <w:proofErr w:type="spellStart"/>
      <w:r w:rsidRPr="00E6318A">
        <w:rPr>
          <w:rFonts w:ascii="Times New Roman" w:hAnsi="Times New Roman" w:cs="Times New Roman"/>
        </w:rPr>
        <w:t>Ogundari</w:t>
      </w:r>
      <w:proofErr w:type="spellEnd"/>
      <w:r w:rsidRPr="00E6318A">
        <w:rPr>
          <w:rFonts w:ascii="Times New Roman" w:hAnsi="Times New Roman" w:cs="Times New Roman"/>
        </w:rPr>
        <w:t xml:space="preserve"> K, </w:t>
      </w:r>
      <w:proofErr w:type="spellStart"/>
      <w:r w:rsidRPr="00E6318A">
        <w:rPr>
          <w:rFonts w:ascii="Times New Roman" w:hAnsi="Times New Roman" w:cs="Times New Roman"/>
        </w:rPr>
        <w:t>Awokuse</w:t>
      </w:r>
      <w:proofErr w:type="spellEnd"/>
      <w:r w:rsidRPr="00E6318A">
        <w:rPr>
          <w:rFonts w:ascii="Times New Roman" w:hAnsi="Times New Roman" w:cs="Times New Roman"/>
        </w:rPr>
        <w:t xml:space="preserve"> T. Human capital contribution to economic growth in Sub-Saharan Africa: Does health status matter more than education? Economic Analysis and Policy, Elsevier. 2018;58(C):131-140.</w:t>
      </w:r>
    </w:p>
    <w:p w14:paraId="0923055F" w14:textId="77777777" w:rsidR="00670E66" w:rsidRPr="00E6318A" w:rsidRDefault="00670E66" w:rsidP="00670E66">
      <w:pPr>
        <w:pStyle w:val="ListParagraph"/>
        <w:numPr>
          <w:ilvl w:val="0"/>
          <w:numId w:val="3"/>
        </w:numPr>
        <w:spacing w:line="240" w:lineRule="auto"/>
        <w:jc w:val="both"/>
        <w:rPr>
          <w:rFonts w:ascii="Times New Roman" w:hAnsi="Times New Roman" w:cs="Times New Roman"/>
        </w:rPr>
      </w:pPr>
      <w:r w:rsidRPr="00E6318A">
        <w:rPr>
          <w:rFonts w:ascii="Times New Roman" w:hAnsi="Times New Roman" w:cs="Times New Roman"/>
        </w:rPr>
        <w:t xml:space="preserve">Churchill SA, </w:t>
      </w:r>
      <w:proofErr w:type="spellStart"/>
      <w:r w:rsidRPr="00E6318A">
        <w:rPr>
          <w:rFonts w:ascii="Times New Roman" w:hAnsi="Times New Roman" w:cs="Times New Roman"/>
        </w:rPr>
        <w:t>Ugur</w:t>
      </w:r>
      <w:proofErr w:type="spellEnd"/>
      <w:r w:rsidRPr="00E6318A">
        <w:rPr>
          <w:rFonts w:ascii="Times New Roman" w:hAnsi="Times New Roman" w:cs="Times New Roman"/>
        </w:rPr>
        <w:t xml:space="preserve"> M, Yew SL. Government education expenditures and economic growth: A meta-analysis; 2017. </w:t>
      </w:r>
      <w:proofErr w:type="spellStart"/>
      <w:r w:rsidRPr="00E6318A">
        <w:rPr>
          <w:rFonts w:ascii="Times New Roman" w:hAnsi="Times New Roman" w:cs="Times New Roman"/>
        </w:rPr>
        <w:t>Available:</w:t>
      </w:r>
      <w:hyperlink r:id="rId28" w:history="1">
        <w:r w:rsidRPr="00E6318A">
          <w:rPr>
            <w:rStyle w:val="Hyperlink"/>
            <w:rFonts w:ascii="Times New Roman" w:hAnsi="Times New Roman" w:cs="Times New Roman"/>
            <w:u w:val="none"/>
          </w:rPr>
          <w:t>https</w:t>
        </w:r>
        <w:proofErr w:type="spellEnd"/>
        <w:r w:rsidRPr="00E6318A">
          <w:rPr>
            <w:rStyle w:val="Hyperlink"/>
            <w:rFonts w:ascii="Times New Roman" w:hAnsi="Times New Roman" w:cs="Times New Roman"/>
            <w:u w:val="none"/>
          </w:rPr>
          <w:t>://doi.org/10.1515/bejm-2016-0109</w:t>
        </w:r>
      </w:hyperlink>
    </w:p>
    <w:p w14:paraId="1F91CE67" w14:textId="77777777" w:rsidR="00670E66" w:rsidRPr="00E6318A" w:rsidRDefault="00670E66" w:rsidP="00670E66">
      <w:pPr>
        <w:pStyle w:val="ListParagraph"/>
        <w:numPr>
          <w:ilvl w:val="0"/>
          <w:numId w:val="3"/>
        </w:numPr>
        <w:spacing w:line="240" w:lineRule="auto"/>
        <w:jc w:val="both"/>
        <w:rPr>
          <w:rFonts w:ascii="Times New Roman" w:hAnsi="Times New Roman" w:cs="Times New Roman"/>
        </w:rPr>
      </w:pPr>
      <w:proofErr w:type="spellStart"/>
      <w:r w:rsidRPr="00E6318A">
        <w:rPr>
          <w:rFonts w:ascii="Times New Roman" w:hAnsi="Times New Roman" w:cs="Times New Roman"/>
        </w:rPr>
        <w:t>Kouton</w:t>
      </w:r>
      <w:proofErr w:type="spellEnd"/>
      <w:r w:rsidRPr="00E6318A">
        <w:rPr>
          <w:rFonts w:ascii="Times New Roman" w:hAnsi="Times New Roman" w:cs="Times New Roman"/>
        </w:rPr>
        <w:t xml:space="preserve"> K. Education expenditure and economic growth: Some empirical evidence from Côte d’Ivoire; 2018. </w:t>
      </w:r>
      <w:proofErr w:type="gramStart"/>
      <w:r w:rsidRPr="00E6318A">
        <w:rPr>
          <w:rFonts w:ascii="Times New Roman" w:hAnsi="Times New Roman" w:cs="Times New Roman"/>
        </w:rPr>
        <w:t>Available:https://mpra.ub.uni-muenchen.de/88350/1/MPRA_paper_88350.pdf</w:t>
      </w:r>
      <w:proofErr w:type="gramEnd"/>
    </w:p>
    <w:p w14:paraId="37A8046F" w14:textId="77777777" w:rsidR="00670E66" w:rsidRPr="00E6318A" w:rsidRDefault="00670E66" w:rsidP="00670E66">
      <w:pPr>
        <w:pStyle w:val="ListParagraph"/>
        <w:numPr>
          <w:ilvl w:val="0"/>
          <w:numId w:val="3"/>
        </w:numPr>
        <w:spacing w:line="240" w:lineRule="auto"/>
        <w:jc w:val="both"/>
        <w:rPr>
          <w:rFonts w:ascii="Times New Roman" w:hAnsi="Times New Roman" w:cs="Times New Roman"/>
        </w:rPr>
      </w:pPr>
      <w:r w:rsidRPr="00E6318A">
        <w:rPr>
          <w:rFonts w:ascii="Times New Roman" w:hAnsi="Times New Roman" w:cs="Times New Roman"/>
        </w:rPr>
        <w:t xml:space="preserve">Keller KRI. The economic effects of girls’ and young women’s education in development; 2019. </w:t>
      </w:r>
      <w:proofErr w:type="spellStart"/>
      <w:r w:rsidRPr="00E6318A">
        <w:rPr>
          <w:rFonts w:ascii="Times New Roman" w:hAnsi="Times New Roman" w:cs="Times New Roman"/>
        </w:rPr>
        <w:t>Available:</w:t>
      </w:r>
      <w:hyperlink r:id="rId29" w:history="1">
        <w:r w:rsidRPr="00E6318A">
          <w:rPr>
            <w:rStyle w:val="Hyperlink"/>
            <w:rFonts w:ascii="Times New Roman" w:hAnsi="Times New Roman" w:cs="Times New Roman"/>
            <w:u w:val="none"/>
          </w:rPr>
          <w:t>https</w:t>
        </w:r>
        <w:proofErr w:type="spellEnd"/>
        <w:r w:rsidRPr="00E6318A">
          <w:rPr>
            <w:rStyle w:val="Hyperlink"/>
            <w:rFonts w:ascii="Times New Roman" w:hAnsi="Times New Roman" w:cs="Times New Roman"/>
            <w:u w:val="none"/>
          </w:rPr>
          <w:t>://doi.org/10.2139/ssrn.3308635</w:t>
        </w:r>
      </w:hyperlink>
    </w:p>
    <w:p w14:paraId="43BEE6F2" w14:textId="77777777" w:rsidR="00670E66" w:rsidRPr="00E6318A" w:rsidRDefault="00670E66" w:rsidP="00670E66">
      <w:pPr>
        <w:pStyle w:val="ListParagraph"/>
        <w:numPr>
          <w:ilvl w:val="0"/>
          <w:numId w:val="3"/>
        </w:numPr>
        <w:spacing w:line="240" w:lineRule="auto"/>
        <w:jc w:val="both"/>
        <w:rPr>
          <w:rFonts w:ascii="Times New Roman" w:hAnsi="Times New Roman" w:cs="Times New Roman"/>
        </w:rPr>
      </w:pPr>
      <w:bookmarkStart w:id="22" w:name="_Hlk204296356"/>
      <w:r w:rsidRPr="00E6318A">
        <w:rPr>
          <w:rFonts w:ascii="Times New Roman" w:hAnsi="Times New Roman" w:cs="Times New Roman"/>
        </w:rPr>
        <w:t>Fe DS</w:t>
      </w:r>
      <w:bookmarkEnd w:id="22"/>
      <w:r w:rsidRPr="00E6318A">
        <w:rPr>
          <w:rFonts w:ascii="Times New Roman" w:hAnsi="Times New Roman" w:cs="Times New Roman"/>
        </w:rPr>
        <w:t xml:space="preserve">. The effect of gender parity in education on income per capita in West Africa. SCIREA Journal of Economics. 2022;7(2):42-70. </w:t>
      </w:r>
      <w:proofErr w:type="spellStart"/>
      <w:r w:rsidRPr="00E6318A">
        <w:rPr>
          <w:rFonts w:ascii="Times New Roman" w:hAnsi="Times New Roman" w:cs="Times New Roman"/>
        </w:rPr>
        <w:t>Available:</w:t>
      </w:r>
      <w:hyperlink r:id="rId30" w:history="1">
        <w:r w:rsidRPr="00E6318A">
          <w:rPr>
            <w:rStyle w:val="Hyperlink"/>
            <w:rFonts w:ascii="Times New Roman" w:hAnsi="Times New Roman" w:cs="Times New Roman"/>
            <w:u w:val="none"/>
          </w:rPr>
          <w:t>https</w:t>
        </w:r>
        <w:proofErr w:type="spellEnd"/>
        <w:r w:rsidRPr="00E6318A">
          <w:rPr>
            <w:rStyle w:val="Hyperlink"/>
            <w:rFonts w:ascii="Times New Roman" w:hAnsi="Times New Roman" w:cs="Times New Roman"/>
            <w:u w:val="none"/>
          </w:rPr>
          <w:t>://doi.org/10.54647/economics79285</w:t>
        </w:r>
      </w:hyperlink>
    </w:p>
    <w:p w14:paraId="0DAEBCD7" w14:textId="77777777" w:rsidR="00670E66" w:rsidRPr="00E6318A" w:rsidRDefault="00670E66" w:rsidP="00670E66">
      <w:pPr>
        <w:pStyle w:val="ListParagraph"/>
        <w:numPr>
          <w:ilvl w:val="0"/>
          <w:numId w:val="3"/>
        </w:numPr>
        <w:spacing w:line="240" w:lineRule="auto"/>
        <w:jc w:val="both"/>
        <w:rPr>
          <w:rFonts w:ascii="Times New Roman" w:hAnsi="Times New Roman" w:cs="Times New Roman"/>
        </w:rPr>
      </w:pPr>
      <w:r w:rsidRPr="00E6318A">
        <w:rPr>
          <w:rFonts w:ascii="Times New Roman" w:eastAsia="Times New Roman" w:hAnsi="Times New Roman" w:cs="Times New Roman"/>
        </w:rPr>
        <w:t xml:space="preserve">Carter J, </w:t>
      </w:r>
      <w:proofErr w:type="spellStart"/>
      <w:r w:rsidRPr="00E6318A">
        <w:rPr>
          <w:rFonts w:ascii="Times New Roman" w:eastAsia="Times New Roman" w:hAnsi="Times New Roman" w:cs="Times New Roman"/>
        </w:rPr>
        <w:t>Craigwell</w:t>
      </w:r>
      <w:proofErr w:type="spellEnd"/>
      <w:r w:rsidRPr="00E6318A">
        <w:rPr>
          <w:rFonts w:ascii="Times New Roman" w:eastAsia="Times New Roman" w:hAnsi="Times New Roman" w:cs="Times New Roman"/>
        </w:rPr>
        <w:t xml:space="preserve"> R, Lowe S. Government expenditure and economic growth in a small open economy: A disaggregated approach. CBB Working Paper No. WP/13/15; 2013</w:t>
      </w:r>
    </w:p>
    <w:p w14:paraId="038F3F4E" w14:textId="2D4D1174" w:rsidR="00670E66" w:rsidRPr="00E6318A" w:rsidRDefault="00670E66" w:rsidP="00670E66">
      <w:pPr>
        <w:pStyle w:val="ListParagraph"/>
        <w:numPr>
          <w:ilvl w:val="0"/>
          <w:numId w:val="3"/>
        </w:numPr>
        <w:spacing w:line="240" w:lineRule="auto"/>
        <w:jc w:val="both"/>
        <w:rPr>
          <w:rFonts w:ascii="Times New Roman" w:hAnsi="Times New Roman" w:cs="Times New Roman"/>
        </w:rPr>
      </w:pPr>
      <w:proofErr w:type="spellStart"/>
      <w:r w:rsidRPr="00E6318A">
        <w:rPr>
          <w:rFonts w:ascii="Times New Roman" w:hAnsi="Times New Roman" w:cs="Times New Roman"/>
        </w:rPr>
        <w:t>Duwal</w:t>
      </w:r>
      <w:proofErr w:type="spellEnd"/>
      <w:r w:rsidRPr="00E6318A">
        <w:rPr>
          <w:rFonts w:ascii="Times New Roman" w:hAnsi="Times New Roman" w:cs="Times New Roman"/>
        </w:rPr>
        <w:t xml:space="preserve"> N, </w:t>
      </w:r>
      <w:proofErr w:type="spellStart"/>
      <w:r w:rsidRPr="00E6318A">
        <w:rPr>
          <w:rFonts w:ascii="Times New Roman" w:hAnsi="Times New Roman" w:cs="Times New Roman"/>
        </w:rPr>
        <w:t>Suwal</w:t>
      </w:r>
      <w:proofErr w:type="spellEnd"/>
      <w:r w:rsidRPr="00E6318A">
        <w:rPr>
          <w:rFonts w:ascii="Times New Roman" w:hAnsi="Times New Roman" w:cs="Times New Roman"/>
        </w:rPr>
        <w:t xml:space="preserve"> S. Government expenditure on education, educational index, and</w:t>
      </w:r>
      <w:r w:rsidR="00EC093E" w:rsidRPr="00E6318A">
        <w:rPr>
          <w:rFonts w:ascii="Times New Roman" w:hAnsi="Times New Roman" w:cs="Times New Roman"/>
        </w:rPr>
        <w:t xml:space="preserve"> </w:t>
      </w:r>
      <w:r w:rsidRPr="00E6318A">
        <w:rPr>
          <w:rFonts w:ascii="Times New Roman" w:hAnsi="Times New Roman" w:cs="Times New Roman"/>
        </w:rPr>
        <w:t xml:space="preserve">economic growth in Nepal: An ARDL-ECM Approach. </w:t>
      </w:r>
      <w:proofErr w:type="spellStart"/>
      <w:r w:rsidRPr="00E6318A">
        <w:rPr>
          <w:rFonts w:ascii="Times New Roman" w:hAnsi="Times New Roman" w:cs="Times New Roman"/>
        </w:rPr>
        <w:t>Ekonomikalia</w:t>
      </w:r>
      <w:proofErr w:type="spellEnd"/>
      <w:r w:rsidRPr="00E6318A">
        <w:rPr>
          <w:rFonts w:ascii="Times New Roman" w:hAnsi="Times New Roman" w:cs="Times New Roman"/>
        </w:rPr>
        <w:t xml:space="preserve"> Journal of Economics. 2024;2(2): 82–</w:t>
      </w:r>
      <w:proofErr w:type="gramStart"/>
      <w:r w:rsidRPr="00E6318A">
        <w:rPr>
          <w:rFonts w:ascii="Times New Roman" w:hAnsi="Times New Roman" w:cs="Times New Roman"/>
        </w:rPr>
        <w:t>94.Available</w:t>
      </w:r>
      <w:proofErr w:type="gramEnd"/>
      <w:r w:rsidRPr="00E6318A">
        <w:rPr>
          <w:rFonts w:ascii="Times New Roman" w:hAnsi="Times New Roman" w:cs="Times New Roman"/>
        </w:rPr>
        <w:t>:</w:t>
      </w:r>
      <w:hyperlink r:id="rId31" w:history="1">
        <w:r w:rsidRPr="00E6318A">
          <w:rPr>
            <w:rStyle w:val="Hyperlink"/>
            <w:rFonts w:ascii="Times New Roman" w:hAnsi="Times New Roman" w:cs="Times New Roman"/>
            <w:u w:val="none"/>
          </w:rPr>
          <w:t>https://doi.org/10.60084/eje.v2i2.205</w:t>
        </w:r>
      </w:hyperlink>
    </w:p>
    <w:p w14:paraId="03BBED13" w14:textId="457030D0" w:rsidR="00670E66" w:rsidRPr="00E6318A" w:rsidRDefault="00670E66" w:rsidP="004F4AE5">
      <w:pPr>
        <w:pStyle w:val="ListParagraph"/>
        <w:numPr>
          <w:ilvl w:val="0"/>
          <w:numId w:val="3"/>
        </w:numPr>
        <w:spacing w:line="240" w:lineRule="auto"/>
        <w:jc w:val="both"/>
        <w:rPr>
          <w:rFonts w:ascii="Times New Roman" w:eastAsia="Times New Roman" w:hAnsi="Times New Roman" w:cs="Times New Roman"/>
        </w:rPr>
      </w:pPr>
      <w:proofErr w:type="spellStart"/>
      <w:r w:rsidRPr="00E6318A">
        <w:rPr>
          <w:rFonts w:ascii="Times New Roman" w:eastAsia="Times New Roman" w:hAnsi="Times New Roman" w:cs="Times New Roman"/>
        </w:rPr>
        <w:t>Aninwagu</w:t>
      </w:r>
      <w:proofErr w:type="spellEnd"/>
      <w:r w:rsidRPr="00E6318A">
        <w:rPr>
          <w:rFonts w:ascii="Times New Roman" w:eastAsia="Times New Roman" w:hAnsi="Times New Roman" w:cs="Times New Roman"/>
        </w:rPr>
        <w:t xml:space="preserve"> VO, Momodu AA. Effect of political instability on human development in Nigeria. International Journal of Research Publication and Reviews. 2025;6(6):11416-11424.</w:t>
      </w:r>
      <w:bookmarkEnd w:id="19"/>
    </w:p>
    <w:sectPr w:rsidR="00670E66" w:rsidRPr="00E6318A">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26A2F" w14:textId="77777777" w:rsidR="00C0226C" w:rsidRDefault="00C0226C" w:rsidP="00A122F1">
      <w:pPr>
        <w:spacing w:after="0" w:line="240" w:lineRule="auto"/>
      </w:pPr>
      <w:r>
        <w:separator/>
      </w:r>
    </w:p>
  </w:endnote>
  <w:endnote w:type="continuationSeparator" w:id="0">
    <w:p w14:paraId="14ED4170" w14:textId="77777777" w:rsidR="00C0226C" w:rsidRDefault="00C0226C" w:rsidP="00A12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F8143" w14:textId="77777777" w:rsidR="00A122F1" w:rsidRDefault="00A122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84147" w14:textId="77777777" w:rsidR="00A122F1" w:rsidRDefault="00A122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18BB7" w14:textId="77777777" w:rsidR="00A122F1" w:rsidRDefault="00A12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8404A" w14:textId="77777777" w:rsidR="00C0226C" w:rsidRDefault="00C0226C" w:rsidP="00A122F1">
      <w:pPr>
        <w:spacing w:after="0" w:line="240" w:lineRule="auto"/>
      </w:pPr>
      <w:r>
        <w:separator/>
      </w:r>
    </w:p>
  </w:footnote>
  <w:footnote w:type="continuationSeparator" w:id="0">
    <w:p w14:paraId="3C23C1CE" w14:textId="77777777" w:rsidR="00C0226C" w:rsidRDefault="00C0226C" w:rsidP="00A12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8D89A" w14:textId="22D7A8D2" w:rsidR="00A122F1" w:rsidRDefault="0038175B">
    <w:pPr>
      <w:pStyle w:val="Header"/>
    </w:pPr>
    <w:r>
      <w:rPr>
        <w:noProof/>
      </w:rPr>
      <w:pict w14:anchorId="69740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9733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ECA0B" w14:textId="253B7A4D" w:rsidR="00A122F1" w:rsidRDefault="0038175B">
    <w:pPr>
      <w:pStyle w:val="Header"/>
    </w:pPr>
    <w:r>
      <w:rPr>
        <w:noProof/>
      </w:rPr>
      <w:pict w14:anchorId="17AEBA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9733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E8DA0" w14:textId="3E2271E6" w:rsidR="00A122F1" w:rsidRDefault="0038175B">
    <w:pPr>
      <w:pStyle w:val="Header"/>
    </w:pPr>
    <w:r>
      <w:rPr>
        <w:noProof/>
      </w:rPr>
      <w:pict w14:anchorId="66F41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9733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944F5A"/>
    <w:multiLevelType w:val="multilevel"/>
    <w:tmpl w:val="D6AA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F46D28"/>
    <w:multiLevelType w:val="hybridMultilevel"/>
    <w:tmpl w:val="CDA85E4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1D76B6"/>
    <w:multiLevelType w:val="hybridMultilevel"/>
    <w:tmpl w:val="427878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586799"/>
    <w:multiLevelType w:val="hybridMultilevel"/>
    <w:tmpl w:val="3C70F0B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AwMzAzMTM1NjeysDRR0lEKTi0uzszPAykwrAUAYdE6cCwAAAA="/>
  </w:docVars>
  <w:rsids>
    <w:rsidRoot w:val="004F4AE5"/>
    <w:rsid w:val="00001B29"/>
    <w:rsid w:val="00016E65"/>
    <w:rsid w:val="00017990"/>
    <w:rsid w:val="00017E6E"/>
    <w:rsid w:val="00024030"/>
    <w:rsid w:val="00031FA7"/>
    <w:rsid w:val="0003345F"/>
    <w:rsid w:val="00033640"/>
    <w:rsid w:val="00034670"/>
    <w:rsid w:val="000354C1"/>
    <w:rsid w:val="00046B12"/>
    <w:rsid w:val="00046B79"/>
    <w:rsid w:val="0005100D"/>
    <w:rsid w:val="00053F2E"/>
    <w:rsid w:val="000551BA"/>
    <w:rsid w:val="00062AF2"/>
    <w:rsid w:val="00063E98"/>
    <w:rsid w:val="00064F20"/>
    <w:rsid w:val="00070747"/>
    <w:rsid w:val="00076212"/>
    <w:rsid w:val="000860BF"/>
    <w:rsid w:val="00087097"/>
    <w:rsid w:val="00090D11"/>
    <w:rsid w:val="00090DA0"/>
    <w:rsid w:val="0009122B"/>
    <w:rsid w:val="000916E7"/>
    <w:rsid w:val="0009609A"/>
    <w:rsid w:val="000979A4"/>
    <w:rsid w:val="000A38E6"/>
    <w:rsid w:val="000A3ECB"/>
    <w:rsid w:val="000B0E3E"/>
    <w:rsid w:val="000C04B2"/>
    <w:rsid w:val="000C126C"/>
    <w:rsid w:val="000C12C7"/>
    <w:rsid w:val="000C15E8"/>
    <w:rsid w:val="000C418B"/>
    <w:rsid w:val="000C4204"/>
    <w:rsid w:val="000D629A"/>
    <w:rsid w:val="000E0198"/>
    <w:rsid w:val="000E35D2"/>
    <w:rsid w:val="000E5DB4"/>
    <w:rsid w:val="000E73D5"/>
    <w:rsid w:val="000E7ADD"/>
    <w:rsid w:val="000E7DDD"/>
    <w:rsid w:val="000F5B04"/>
    <w:rsid w:val="001025EE"/>
    <w:rsid w:val="00113802"/>
    <w:rsid w:val="0012063C"/>
    <w:rsid w:val="001308B9"/>
    <w:rsid w:val="00131F3A"/>
    <w:rsid w:val="001366D9"/>
    <w:rsid w:val="0014234C"/>
    <w:rsid w:val="00147DDA"/>
    <w:rsid w:val="001524D8"/>
    <w:rsid w:val="0017647B"/>
    <w:rsid w:val="00176678"/>
    <w:rsid w:val="001A0685"/>
    <w:rsid w:val="001A2C98"/>
    <w:rsid w:val="001A31B6"/>
    <w:rsid w:val="001A477C"/>
    <w:rsid w:val="001B6BE2"/>
    <w:rsid w:val="001C34AC"/>
    <w:rsid w:val="001C46C5"/>
    <w:rsid w:val="001C4B17"/>
    <w:rsid w:val="001D1616"/>
    <w:rsid w:val="001D6CC8"/>
    <w:rsid w:val="001D7489"/>
    <w:rsid w:val="001D7A97"/>
    <w:rsid w:val="001E262C"/>
    <w:rsid w:val="001E2756"/>
    <w:rsid w:val="001E59E7"/>
    <w:rsid w:val="001F3B4A"/>
    <w:rsid w:val="001F6977"/>
    <w:rsid w:val="001F73AF"/>
    <w:rsid w:val="002026C4"/>
    <w:rsid w:val="00203A14"/>
    <w:rsid w:val="00214CE8"/>
    <w:rsid w:val="00215C78"/>
    <w:rsid w:val="0021636A"/>
    <w:rsid w:val="00216DAC"/>
    <w:rsid w:val="00221DF0"/>
    <w:rsid w:val="00224467"/>
    <w:rsid w:val="002245DD"/>
    <w:rsid w:val="00227F93"/>
    <w:rsid w:val="0023407D"/>
    <w:rsid w:val="00234671"/>
    <w:rsid w:val="002360C8"/>
    <w:rsid w:val="0024119C"/>
    <w:rsid w:val="00244795"/>
    <w:rsid w:val="00246118"/>
    <w:rsid w:val="00246904"/>
    <w:rsid w:val="0025188B"/>
    <w:rsid w:val="00252348"/>
    <w:rsid w:val="00253C60"/>
    <w:rsid w:val="00256099"/>
    <w:rsid w:val="00257F6E"/>
    <w:rsid w:val="00263BEF"/>
    <w:rsid w:val="0027474C"/>
    <w:rsid w:val="0028078F"/>
    <w:rsid w:val="0028590A"/>
    <w:rsid w:val="00290A75"/>
    <w:rsid w:val="002A0580"/>
    <w:rsid w:val="002B0329"/>
    <w:rsid w:val="002B12E4"/>
    <w:rsid w:val="002B526D"/>
    <w:rsid w:val="002C773C"/>
    <w:rsid w:val="002E17B5"/>
    <w:rsid w:val="002E2394"/>
    <w:rsid w:val="002E4383"/>
    <w:rsid w:val="002F6103"/>
    <w:rsid w:val="00301B7A"/>
    <w:rsid w:val="00304F92"/>
    <w:rsid w:val="003114D4"/>
    <w:rsid w:val="00314E9A"/>
    <w:rsid w:val="00316867"/>
    <w:rsid w:val="00316D4D"/>
    <w:rsid w:val="003221B1"/>
    <w:rsid w:val="003244A1"/>
    <w:rsid w:val="00327C4B"/>
    <w:rsid w:val="00335E1A"/>
    <w:rsid w:val="00337BDF"/>
    <w:rsid w:val="0035152D"/>
    <w:rsid w:val="00352EC7"/>
    <w:rsid w:val="0035428B"/>
    <w:rsid w:val="00371CD0"/>
    <w:rsid w:val="00374276"/>
    <w:rsid w:val="0038092E"/>
    <w:rsid w:val="0038175B"/>
    <w:rsid w:val="00382E99"/>
    <w:rsid w:val="0038328A"/>
    <w:rsid w:val="0038726E"/>
    <w:rsid w:val="00392346"/>
    <w:rsid w:val="00393080"/>
    <w:rsid w:val="00393F59"/>
    <w:rsid w:val="003A29D0"/>
    <w:rsid w:val="003A42F7"/>
    <w:rsid w:val="003B2132"/>
    <w:rsid w:val="003B2336"/>
    <w:rsid w:val="003B2E7B"/>
    <w:rsid w:val="003B4674"/>
    <w:rsid w:val="003B7631"/>
    <w:rsid w:val="003C4D11"/>
    <w:rsid w:val="003D74C6"/>
    <w:rsid w:val="003E0BF3"/>
    <w:rsid w:val="003E4EC3"/>
    <w:rsid w:val="003F0BF8"/>
    <w:rsid w:val="004006F4"/>
    <w:rsid w:val="00401D9D"/>
    <w:rsid w:val="00404FBA"/>
    <w:rsid w:val="00405A4C"/>
    <w:rsid w:val="00405A5E"/>
    <w:rsid w:val="004079B8"/>
    <w:rsid w:val="004144FE"/>
    <w:rsid w:val="00416CE9"/>
    <w:rsid w:val="004209DC"/>
    <w:rsid w:val="00422612"/>
    <w:rsid w:val="00424200"/>
    <w:rsid w:val="00425C80"/>
    <w:rsid w:val="0043060D"/>
    <w:rsid w:val="00431DE2"/>
    <w:rsid w:val="00432A5C"/>
    <w:rsid w:val="0043638C"/>
    <w:rsid w:val="004429CA"/>
    <w:rsid w:val="00442AEF"/>
    <w:rsid w:val="00447773"/>
    <w:rsid w:val="0045252D"/>
    <w:rsid w:val="00456A93"/>
    <w:rsid w:val="00465F3D"/>
    <w:rsid w:val="00466BAF"/>
    <w:rsid w:val="0047140F"/>
    <w:rsid w:val="00471CEF"/>
    <w:rsid w:val="00472FA4"/>
    <w:rsid w:val="0047428A"/>
    <w:rsid w:val="00475CD9"/>
    <w:rsid w:val="004837AC"/>
    <w:rsid w:val="004872EA"/>
    <w:rsid w:val="00490347"/>
    <w:rsid w:val="00491159"/>
    <w:rsid w:val="0049514C"/>
    <w:rsid w:val="00495754"/>
    <w:rsid w:val="004A0357"/>
    <w:rsid w:val="004A7A73"/>
    <w:rsid w:val="004B2C19"/>
    <w:rsid w:val="004B3785"/>
    <w:rsid w:val="004C0038"/>
    <w:rsid w:val="004C0878"/>
    <w:rsid w:val="004D055D"/>
    <w:rsid w:val="004D4677"/>
    <w:rsid w:val="004E1720"/>
    <w:rsid w:val="004F1E7F"/>
    <w:rsid w:val="004F4AE5"/>
    <w:rsid w:val="004F5A50"/>
    <w:rsid w:val="00503C03"/>
    <w:rsid w:val="00517E9F"/>
    <w:rsid w:val="00520F2F"/>
    <w:rsid w:val="00522810"/>
    <w:rsid w:val="0052608A"/>
    <w:rsid w:val="005273DA"/>
    <w:rsid w:val="00532413"/>
    <w:rsid w:val="00533500"/>
    <w:rsid w:val="00537BCD"/>
    <w:rsid w:val="00540401"/>
    <w:rsid w:val="0054067A"/>
    <w:rsid w:val="00551897"/>
    <w:rsid w:val="00552BD5"/>
    <w:rsid w:val="00552EDB"/>
    <w:rsid w:val="005559E5"/>
    <w:rsid w:val="00560422"/>
    <w:rsid w:val="00561DBD"/>
    <w:rsid w:val="00564258"/>
    <w:rsid w:val="0056568D"/>
    <w:rsid w:val="005656D6"/>
    <w:rsid w:val="00570C8A"/>
    <w:rsid w:val="00574588"/>
    <w:rsid w:val="005970A3"/>
    <w:rsid w:val="005A05A5"/>
    <w:rsid w:val="005A2033"/>
    <w:rsid w:val="005A63AD"/>
    <w:rsid w:val="005B03B7"/>
    <w:rsid w:val="005B4E31"/>
    <w:rsid w:val="005B577F"/>
    <w:rsid w:val="005B7237"/>
    <w:rsid w:val="005C0CB0"/>
    <w:rsid w:val="005C469E"/>
    <w:rsid w:val="005C70DB"/>
    <w:rsid w:val="005D69B1"/>
    <w:rsid w:val="005E3F1D"/>
    <w:rsid w:val="005E709C"/>
    <w:rsid w:val="005E7953"/>
    <w:rsid w:val="005F42B4"/>
    <w:rsid w:val="005F4FCD"/>
    <w:rsid w:val="005F7D6C"/>
    <w:rsid w:val="0061372F"/>
    <w:rsid w:val="0061599B"/>
    <w:rsid w:val="00615C8F"/>
    <w:rsid w:val="006176B1"/>
    <w:rsid w:val="00625EDB"/>
    <w:rsid w:val="00632150"/>
    <w:rsid w:val="006360EE"/>
    <w:rsid w:val="006376B2"/>
    <w:rsid w:val="00643B55"/>
    <w:rsid w:val="00644438"/>
    <w:rsid w:val="00644962"/>
    <w:rsid w:val="00650FD1"/>
    <w:rsid w:val="006522FE"/>
    <w:rsid w:val="0065292F"/>
    <w:rsid w:val="00652F09"/>
    <w:rsid w:val="00657096"/>
    <w:rsid w:val="00670E66"/>
    <w:rsid w:val="00671928"/>
    <w:rsid w:val="00673F81"/>
    <w:rsid w:val="00676F4C"/>
    <w:rsid w:val="0067794A"/>
    <w:rsid w:val="00680775"/>
    <w:rsid w:val="0068263C"/>
    <w:rsid w:val="00686C84"/>
    <w:rsid w:val="006B093A"/>
    <w:rsid w:val="006B2346"/>
    <w:rsid w:val="006B3831"/>
    <w:rsid w:val="006B4F79"/>
    <w:rsid w:val="006B5A71"/>
    <w:rsid w:val="006B7255"/>
    <w:rsid w:val="006C1E6F"/>
    <w:rsid w:val="006D095B"/>
    <w:rsid w:val="006D3DFA"/>
    <w:rsid w:val="006D44CA"/>
    <w:rsid w:val="006D7241"/>
    <w:rsid w:val="006E375E"/>
    <w:rsid w:val="006E62C3"/>
    <w:rsid w:val="006E7322"/>
    <w:rsid w:val="006F3EAF"/>
    <w:rsid w:val="006F6314"/>
    <w:rsid w:val="006F79FA"/>
    <w:rsid w:val="0070185B"/>
    <w:rsid w:val="00706178"/>
    <w:rsid w:val="007067F8"/>
    <w:rsid w:val="0071193F"/>
    <w:rsid w:val="00712B20"/>
    <w:rsid w:val="00733F39"/>
    <w:rsid w:val="00745473"/>
    <w:rsid w:val="007475B1"/>
    <w:rsid w:val="007571C1"/>
    <w:rsid w:val="00760312"/>
    <w:rsid w:val="00782C10"/>
    <w:rsid w:val="00782D48"/>
    <w:rsid w:val="007848F3"/>
    <w:rsid w:val="00785770"/>
    <w:rsid w:val="00793945"/>
    <w:rsid w:val="00795499"/>
    <w:rsid w:val="007A2C6B"/>
    <w:rsid w:val="007A56A7"/>
    <w:rsid w:val="007B0AF7"/>
    <w:rsid w:val="007B1DD5"/>
    <w:rsid w:val="007B6545"/>
    <w:rsid w:val="007B6F89"/>
    <w:rsid w:val="007C636D"/>
    <w:rsid w:val="007D14D3"/>
    <w:rsid w:val="007E0166"/>
    <w:rsid w:val="007E1FBD"/>
    <w:rsid w:val="007F2C41"/>
    <w:rsid w:val="007F405F"/>
    <w:rsid w:val="007F40D8"/>
    <w:rsid w:val="008020F7"/>
    <w:rsid w:val="00813577"/>
    <w:rsid w:val="008138C2"/>
    <w:rsid w:val="00813B03"/>
    <w:rsid w:val="008158F1"/>
    <w:rsid w:val="00817B88"/>
    <w:rsid w:val="00832003"/>
    <w:rsid w:val="008535EB"/>
    <w:rsid w:val="008548E6"/>
    <w:rsid w:val="00860442"/>
    <w:rsid w:val="00863BF8"/>
    <w:rsid w:val="00872F5B"/>
    <w:rsid w:val="00882C9E"/>
    <w:rsid w:val="0088671C"/>
    <w:rsid w:val="00886B2A"/>
    <w:rsid w:val="00893D4A"/>
    <w:rsid w:val="0089511F"/>
    <w:rsid w:val="008B23A5"/>
    <w:rsid w:val="008B5089"/>
    <w:rsid w:val="008D3776"/>
    <w:rsid w:val="008D500F"/>
    <w:rsid w:val="008E4DA5"/>
    <w:rsid w:val="008F2885"/>
    <w:rsid w:val="008F391C"/>
    <w:rsid w:val="008F508F"/>
    <w:rsid w:val="008F628A"/>
    <w:rsid w:val="008F6E76"/>
    <w:rsid w:val="009015BA"/>
    <w:rsid w:val="009030D4"/>
    <w:rsid w:val="00905104"/>
    <w:rsid w:val="00914CEE"/>
    <w:rsid w:val="00915B91"/>
    <w:rsid w:val="00915CBD"/>
    <w:rsid w:val="0092282C"/>
    <w:rsid w:val="00924576"/>
    <w:rsid w:val="0093319E"/>
    <w:rsid w:val="00933805"/>
    <w:rsid w:val="00934505"/>
    <w:rsid w:val="00937138"/>
    <w:rsid w:val="00937A70"/>
    <w:rsid w:val="0095320C"/>
    <w:rsid w:val="009553D5"/>
    <w:rsid w:val="00963F63"/>
    <w:rsid w:val="009678EF"/>
    <w:rsid w:val="009711C3"/>
    <w:rsid w:val="00974A67"/>
    <w:rsid w:val="00980F70"/>
    <w:rsid w:val="009822C1"/>
    <w:rsid w:val="00992316"/>
    <w:rsid w:val="009934B9"/>
    <w:rsid w:val="009A3FDA"/>
    <w:rsid w:val="009A6EFF"/>
    <w:rsid w:val="009A745E"/>
    <w:rsid w:val="009B226F"/>
    <w:rsid w:val="009B3987"/>
    <w:rsid w:val="009B5032"/>
    <w:rsid w:val="009B5EDF"/>
    <w:rsid w:val="009C100F"/>
    <w:rsid w:val="009C355F"/>
    <w:rsid w:val="009C7111"/>
    <w:rsid w:val="009C79E6"/>
    <w:rsid w:val="009D0CBF"/>
    <w:rsid w:val="009D3B7A"/>
    <w:rsid w:val="009E00B3"/>
    <w:rsid w:val="009E1D4D"/>
    <w:rsid w:val="009E57B4"/>
    <w:rsid w:val="009F0C31"/>
    <w:rsid w:val="009F159B"/>
    <w:rsid w:val="009F3BBD"/>
    <w:rsid w:val="00A028A4"/>
    <w:rsid w:val="00A0362A"/>
    <w:rsid w:val="00A072ED"/>
    <w:rsid w:val="00A122F1"/>
    <w:rsid w:val="00A14697"/>
    <w:rsid w:val="00A20D55"/>
    <w:rsid w:val="00A23C60"/>
    <w:rsid w:val="00A261B0"/>
    <w:rsid w:val="00A27668"/>
    <w:rsid w:val="00A309C1"/>
    <w:rsid w:val="00A37005"/>
    <w:rsid w:val="00A42B5F"/>
    <w:rsid w:val="00A46D35"/>
    <w:rsid w:val="00A514AD"/>
    <w:rsid w:val="00A525EF"/>
    <w:rsid w:val="00A52BCD"/>
    <w:rsid w:val="00A54B3C"/>
    <w:rsid w:val="00A6653A"/>
    <w:rsid w:val="00A7326C"/>
    <w:rsid w:val="00A82758"/>
    <w:rsid w:val="00A83B8D"/>
    <w:rsid w:val="00A92867"/>
    <w:rsid w:val="00AA376E"/>
    <w:rsid w:val="00AB024A"/>
    <w:rsid w:val="00AC28E3"/>
    <w:rsid w:val="00AC3D54"/>
    <w:rsid w:val="00AC6018"/>
    <w:rsid w:val="00AC638B"/>
    <w:rsid w:val="00AC6EBD"/>
    <w:rsid w:val="00AC7801"/>
    <w:rsid w:val="00AD107E"/>
    <w:rsid w:val="00AD20F7"/>
    <w:rsid w:val="00AD3C78"/>
    <w:rsid w:val="00AD405B"/>
    <w:rsid w:val="00AD443B"/>
    <w:rsid w:val="00AD7BB6"/>
    <w:rsid w:val="00AE5007"/>
    <w:rsid w:val="00AF6B06"/>
    <w:rsid w:val="00B00B69"/>
    <w:rsid w:val="00B0328B"/>
    <w:rsid w:val="00B05330"/>
    <w:rsid w:val="00B05B02"/>
    <w:rsid w:val="00B05DF1"/>
    <w:rsid w:val="00B065F6"/>
    <w:rsid w:val="00B13280"/>
    <w:rsid w:val="00B15A07"/>
    <w:rsid w:val="00B176C7"/>
    <w:rsid w:val="00B179D8"/>
    <w:rsid w:val="00B2204C"/>
    <w:rsid w:val="00B34F22"/>
    <w:rsid w:val="00B42C89"/>
    <w:rsid w:val="00B53394"/>
    <w:rsid w:val="00B56E7C"/>
    <w:rsid w:val="00B57217"/>
    <w:rsid w:val="00B5749A"/>
    <w:rsid w:val="00B60840"/>
    <w:rsid w:val="00B609FA"/>
    <w:rsid w:val="00B61306"/>
    <w:rsid w:val="00B6354F"/>
    <w:rsid w:val="00B6388B"/>
    <w:rsid w:val="00B6543C"/>
    <w:rsid w:val="00B657A2"/>
    <w:rsid w:val="00B711DA"/>
    <w:rsid w:val="00B715DA"/>
    <w:rsid w:val="00B84749"/>
    <w:rsid w:val="00B92ADB"/>
    <w:rsid w:val="00B943E8"/>
    <w:rsid w:val="00BA07D9"/>
    <w:rsid w:val="00BA0F1E"/>
    <w:rsid w:val="00BA35CE"/>
    <w:rsid w:val="00BA4867"/>
    <w:rsid w:val="00BA5544"/>
    <w:rsid w:val="00BA6256"/>
    <w:rsid w:val="00BB00E9"/>
    <w:rsid w:val="00BB0EDC"/>
    <w:rsid w:val="00BB31C9"/>
    <w:rsid w:val="00BB34C0"/>
    <w:rsid w:val="00BB380C"/>
    <w:rsid w:val="00BB567B"/>
    <w:rsid w:val="00BB786E"/>
    <w:rsid w:val="00BC1500"/>
    <w:rsid w:val="00BC51B7"/>
    <w:rsid w:val="00BC7BD2"/>
    <w:rsid w:val="00BD52CC"/>
    <w:rsid w:val="00BF1DB5"/>
    <w:rsid w:val="00BF260F"/>
    <w:rsid w:val="00BF6348"/>
    <w:rsid w:val="00BF6CA8"/>
    <w:rsid w:val="00BF7A2D"/>
    <w:rsid w:val="00C00983"/>
    <w:rsid w:val="00C0226C"/>
    <w:rsid w:val="00C03907"/>
    <w:rsid w:val="00C05A01"/>
    <w:rsid w:val="00C074E0"/>
    <w:rsid w:val="00C109B8"/>
    <w:rsid w:val="00C10F86"/>
    <w:rsid w:val="00C13936"/>
    <w:rsid w:val="00C17FD1"/>
    <w:rsid w:val="00C20E9C"/>
    <w:rsid w:val="00C237AE"/>
    <w:rsid w:val="00C30CF0"/>
    <w:rsid w:val="00C3182F"/>
    <w:rsid w:val="00C34EC7"/>
    <w:rsid w:val="00C404C9"/>
    <w:rsid w:val="00C47E6A"/>
    <w:rsid w:val="00C5005C"/>
    <w:rsid w:val="00C50A0A"/>
    <w:rsid w:val="00C55F2A"/>
    <w:rsid w:val="00C568CB"/>
    <w:rsid w:val="00C62170"/>
    <w:rsid w:val="00C6555A"/>
    <w:rsid w:val="00C70C7A"/>
    <w:rsid w:val="00C72033"/>
    <w:rsid w:val="00C72A86"/>
    <w:rsid w:val="00C72C1B"/>
    <w:rsid w:val="00C736B6"/>
    <w:rsid w:val="00C73984"/>
    <w:rsid w:val="00C92FD6"/>
    <w:rsid w:val="00C97A63"/>
    <w:rsid w:val="00C97DDB"/>
    <w:rsid w:val="00CA2D20"/>
    <w:rsid w:val="00CA5E47"/>
    <w:rsid w:val="00CB05CA"/>
    <w:rsid w:val="00CB28E5"/>
    <w:rsid w:val="00CB4B11"/>
    <w:rsid w:val="00CB5192"/>
    <w:rsid w:val="00CB688D"/>
    <w:rsid w:val="00CC1245"/>
    <w:rsid w:val="00CD071D"/>
    <w:rsid w:val="00CD0BFF"/>
    <w:rsid w:val="00CD2062"/>
    <w:rsid w:val="00CD238B"/>
    <w:rsid w:val="00CD3862"/>
    <w:rsid w:val="00CE57A7"/>
    <w:rsid w:val="00CE65EE"/>
    <w:rsid w:val="00CF19B3"/>
    <w:rsid w:val="00CF3B4A"/>
    <w:rsid w:val="00CF4EAF"/>
    <w:rsid w:val="00D06796"/>
    <w:rsid w:val="00D07D16"/>
    <w:rsid w:val="00D07DF5"/>
    <w:rsid w:val="00D1138D"/>
    <w:rsid w:val="00D14C48"/>
    <w:rsid w:val="00D22861"/>
    <w:rsid w:val="00D243B3"/>
    <w:rsid w:val="00D24CD8"/>
    <w:rsid w:val="00D25520"/>
    <w:rsid w:val="00D33A7A"/>
    <w:rsid w:val="00D34BE4"/>
    <w:rsid w:val="00D3580B"/>
    <w:rsid w:val="00D405DE"/>
    <w:rsid w:val="00D4218B"/>
    <w:rsid w:val="00D53982"/>
    <w:rsid w:val="00D5402D"/>
    <w:rsid w:val="00D6134B"/>
    <w:rsid w:val="00D62309"/>
    <w:rsid w:val="00D62AD4"/>
    <w:rsid w:val="00D64787"/>
    <w:rsid w:val="00D666C9"/>
    <w:rsid w:val="00D72A7B"/>
    <w:rsid w:val="00D765E2"/>
    <w:rsid w:val="00D76A11"/>
    <w:rsid w:val="00D77993"/>
    <w:rsid w:val="00D77C9B"/>
    <w:rsid w:val="00D845B7"/>
    <w:rsid w:val="00D8638D"/>
    <w:rsid w:val="00D94EE7"/>
    <w:rsid w:val="00D95C9E"/>
    <w:rsid w:val="00D9770D"/>
    <w:rsid w:val="00D97E53"/>
    <w:rsid w:val="00DA58EB"/>
    <w:rsid w:val="00DA6B25"/>
    <w:rsid w:val="00DA7F59"/>
    <w:rsid w:val="00DB3524"/>
    <w:rsid w:val="00DC41C4"/>
    <w:rsid w:val="00DC59F9"/>
    <w:rsid w:val="00DC5A2D"/>
    <w:rsid w:val="00DC61A0"/>
    <w:rsid w:val="00DD3A66"/>
    <w:rsid w:val="00DD4E87"/>
    <w:rsid w:val="00DD603E"/>
    <w:rsid w:val="00DD6A1A"/>
    <w:rsid w:val="00DF3424"/>
    <w:rsid w:val="00DF5C8F"/>
    <w:rsid w:val="00DF7116"/>
    <w:rsid w:val="00E00AA6"/>
    <w:rsid w:val="00E017EA"/>
    <w:rsid w:val="00E20130"/>
    <w:rsid w:val="00E214C6"/>
    <w:rsid w:val="00E22B2C"/>
    <w:rsid w:val="00E27B0A"/>
    <w:rsid w:val="00E32253"/>
    <w:rsid w:val="00E32327"/>
    <w:rsid w:val="00E412FA"/>
    <w:rsid w:val="00E41EDF"/>
    <w:rsid w:val="00E453E4"/>
    <w:rsid w:val="00E4702A"/>
    <w:rsid w:val="00E6318A"/>
    <w:rsid w:val="00E63796"/>
    <w:rsid w:val="00E66261"/>
    <w:rsid w:val="00E80C85"/>
    <w:rsid w:val="00E93A03"/>
    <w:rsid w:val="00E93DCB"/>
    <w:rsid w:val="00E9459B"/>
    <w:rsid w:val="00E94667"/>
    <w:rsid w:val="00E9607C"/>
    <w:rsid w:val="00E97160"/>
    <w:rsid w:val="00EA01BA"/>
    <w:rsid w:val="00EA35B5"/>
    <w:rsid w:val="00EA50AB"/>
    <w:rsid w:val="00EA5A6C"/>
    <w:rsid w:val="00EB14D3"/>
    <w:rsid w:val="00EB18BF"/>
    <w:rsid w:val="00EB44C9"/>
    <w:rsid w:val="00EB4F33"/>
    <w:rsid w:val="00EB4FCE"/>
    <w:rsid w:val="00EB5711"/>
    <w:rsid w:val="00EB6F9D"/>
    <w:rsid w:val="00EC093E"/>
    <w:rsid w:val="00EC3787"/>
    <w:rsid w:val="00EC5949"/>
    <w:rsid w:val="00ED22AF"/>
    <w:rsid w:val="00ED4521"/>
    <w:rsid w:val="00ED5409"/>
    <w:rsid w:val="00ED5770"/>
    <w:rsid w:val="00EE4A51"/>
    <w:rsid w:val="00EF043C"/>
    <w:rsid w:val="00EF3BC2"/>
    <w:rsid w:val="00EF59AE"/>
    <w:rsid w:val="00EF75F2"/>
    <w:rsid w:val="00F06AB5"/>
    <w:rsid w:val="00F10DD4"/>
    <w:rsid w:val="00F15B2C"/>
    <w:rsid w:val="00F17C0E"/>
    <w:rsid w:val="00F2160A"/>
    <w:rsid w:val="00F225AC"/>
    <w:rsid w:val="00F23A2B"/>
    <w:rsid w:val="00F26A57"/>
    <w:rsid w:val="00F3065A"/>
    <w:rsid w:val="00F32A0B"/>
    <w:rsid w:val="00F35E69"/>
    <w:rsid w:val="00F3601C"/>
    <w:rsid w:val="00F373B2"/>
    <w:rsid w:val="00F459A3"/>
    <w:rsid w:val="00F4659C"/>
    <w:rsid w:val="00F46BD1"/>
    <w:rsid w:val="00F52926"/>
    <w:rsid w:val="00F566AE"/>
    <w:rsid w:val="00F574F6"/>
    <w:rsid w:val="00F62079"/>
    <w:rsid w:val="00F675D7"/>
    <w:rsid w:val="00F70470"/>
    <w:rsid w:val="00F712FC"/>
    <w:rsid w:val="00F73385"/>
    <w:rsid w:val="00F75F9F"/>
    <w:rsid w:val="00F83AD4"/>
    <w:rsid w:val="00F87276"/>
    <w:rsid w:val="00F907F8"/>
    <w:rsid w:val="00F97196"/>
    <w:rsid w:val="00FA4EB3"/>
    <w:rsid w:val="00FA59D6"/>
    <w:rsid w:val="00FB0348"/>
    <w:rsid w:val="00FB3648"/>
    <w:rsid w:val="00FB3A61"/>
    <w:rsid w:val="00FB7815"/>
    <w:rsid w:val="00FC0D8D"/>
    <w:rsid w:val="00FC6EA7"/>
    <w:rsid w:val="00FD3910"/>
    <w:rsid w:val="00FD55A4"/>
    <w:rsid w:val="00FD61AD"/>
    <w:rsid w:val="00FE17E0"/>
    <w:rsid w:val="00FE5BFA"/>
    <w:rsid w:val="00FE7075"/>
    <w:rsid w:val="00FF1ACA"/>
    <w:rsid w:val="00FF3136"/>
    <w:rsid w:val="00FF4A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E00F4D"/>
  <w15:chartTrackingRefBased/>
  <w15:docId w15:val="{D7186F12-5F57-4422-8297-7E4DB917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AE5"/>
  </w:style>
  <w:style w:type="paragraph" w:styleId="Heading1">
    <w:name w:val="heading 1"/>
    <w:basedOn w:val="Normal"/>
    <w:next w:val="Normal"/>
    <w:link w:val="Heading1Char"/>
    <w:uiPriority w:val="9"/>
    <w:qFormat/>
    <w:rsid w:val="004F4A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4A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4A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4A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4A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4A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4A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4A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4A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A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4A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4A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4A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4A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4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4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4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4AE5"/>
    <w:rPr>
      <w:rFonts w:eastAsiaTheme="majorEastAsia" w:cstheme="majorBidi"/>
      <w:color w:val="272727" w:themeColor="text1" w:themeTint="D8"/>
    </w:rPr>
  </w:style>
  <w:style w:type="paragraph" w:styleId="Title">
    <w:name w:val="Title"/>
    <w:basedOn w:val="Normal"/>
    <w:next w:val="Normal"/>
    <w:link w:val="TitleChar"/>
    <w:uiPriority w:val="10"/>
    <w:qFormat/>
    <w:rsid w:val="004F4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4A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4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4AE5"/>
    <w:pPr>
      <w:spacing w:before="160"/>
      <w:jc w:val="center"/>
    </w:pPr>
    <w:rPr>
      <w:i/>
      <w:iCs/>
      <w:color w:val="404040" w:themeColor="text1" w:themeTint="BF"/>
    </w:rPr>
  </w:style>
  <w:style w:type="character" w:customStyle="1" w:styleId="QuoteChar">
    <w:name w:val="Quote Char"/>
    <w:basedOn w:val="DefaultParagraphFont"/>
    <w:link w:val="Quote"/>
    <w:uiPriority w:val="29"/>
    <w:rsid w:val="004F4AE5"/>
    <w:rPr>
      <w:i/>
      <w:iCs/>
      <w:color w:val="404040" w:themeColor="text1" w:themeTint="BF"/>
    </w:rPr>
  </w:style>
  <w:style w:type="paragraph" w:styleId="ListParagraph">
    <w:name w:val="List Paragraph"/>
    <w:basedOn w:val="Normal"/>
    <w:uiPriority w:val="34"/>
    <w:qFormat/>
    <w:rsid w:val="004F4AE5"/>
    <w:pPr>
      <w:ind w:left="720"/>
      <w:contextualSpacing/>
    </w:pPr>
  </w:style>
  <w:style w:type="character" w:styleId="IntenseEmphasis">
    <w:name w:val="Intense Emphasis"/>
    <w:basedOn w:val="DefaultParagraphFont"/>
    <w:uiPriority w:val="21"/>
    <w:qFormat/>
    <w:rsid w:val="004F4AE5"/>
    <w:rPr>
      <w:i/>
      <w:iCs/>
      <w:color w:val="2F5496" w:themeColor="accent1" w:themeShade="BF"/>
    </w:rPr>
  </w:style>
  <w:style w:type="paragraph" w:styleId="IntenseQuote">
    <w:name w:val="Intense Quote"/>
    <w:basedOn w:val="Normal"/>
    <w:next w:val="Normal"/>
    <w:link w:val="IntenseQuoteChar"/>
    <w:uiPriority w:val="30"/>
    <w:qFormat/>
    <w:rsid w:val="004F4A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4AE5"/>
    <w:rPr>
      <w:i/>
      <w:iCs/>
      <w:color w:val="2F5496" w:themeColor="accent1" w:themeShade="BF"/>
    </w:rPr>
  </w:style>
  <w:style w:type="character" w:styleId="IntenseReference">
    <w:name w:val="Intense Reference"/>
    <w:basedOn w:val="DefaultParagraphFont"/>
    <w:uiPriority w:val="32"/>
    <w:qFormat/>
    <w:rsid w:val="004F4AE5"/>
    <w:rPr>
      <w:b/>
      <w:bCs/>
      <w:smallCaps/>
      <w:color w:val="2F5496" w:themeColor="accent1" w:themeShade="BF"/>
      <w:spacing w:val="5"/>
    </w:rPr>
  </w:style>
  <w:style w:type="character" w:styleId="Hyperlink">
    <w:name w:val="Hyperlink"/>
    <w:basedOn w:val="DefaultParagraphFont"/>
    <w:uiPriority w:val="99"/>
    <w:unhideWhenUsed/>
    <w:rsid w:val="004F4AE5"/>
    <w:rPr>
      <w:color w:val="0563C1" w:themeColor="hyperlink"/>
      <w:u w:val="single"/>
    </w:rPr>
  </w:style>
  <w:style w:type="character" w:customStyle="1" w:styleId="a">
    <w:name w:val="_"/>
    <w:basedOn w:val="DefaultParagraphFont"/>
    <w:qFormat/>
    <w:rsid w:val="00832003"/>
  </w:style>
  <w:style w:type="character" w:styleId="PlaceholderText">
    <w:name w:val="Placeholder Text"/>
    <w:basedOn w:val="DefaultParagraphFont"/>
    <w:uiPriority w:val="99"/>
    <w:semiHidden/>
    <w:rsid w:val="00832003"/>
    <w:rPr>
      <w:color w:val="666666"/>
    </w:rPr>
  </w:style>
  <w:style w:type="character" w:customStyle="1" w:styleId="mord">
    <w:name w:val="mord"/>
    <w:basedOn w:val="DefaultParagraphFont"/>
    <w:rsid w:val="00832003"/>
  </w:style>
  <w:style w:type="character" w:customStyle="1" w:styleId="vlist-s">
    <w:name w:val="vlist-s"/>
    <w:basedOn w:val="DefaultParagraphFont"/>
    <w:rsid w:val="00832003"/>
  </w:style>
  <w:style w:type="paragraph" w:styleId="Header">
    <w:name w:val="header"/>
    <w:basedOn w:val="Normal"/>
    <w:link w:val="HeaderChar"/>
    <w:uiPriority w:val="99"/>
    <w:unhideWhenUsed/>
    <w:rsid w:val="00832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003"/>
  </w:style>
  <w:style w:type="paragraph" w:styleId="Footer">
    <w:name w:val="footer"/>
    <w:basedOn w:val="Normal"/>
    <w:link w:val="FooterChar"/>
    <w:uiPriority w:val="99"/>
    <w:unhideWhenUsed/>
    <w:rsid w:val="00832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003"/>
  </w:style>
  <w:style w:type="table" w:styleId="TableGrid">
    <w:name w:val="Table Grid"/>
    <w:basedOn w:val="TableNormal"/>
    <w:uiPriority w:val="39"/>
    <w:rsid w:val="00832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32003"/>
    <w:rPr>
      <w:color w:val="605E5C"/>
      <w:shd w:val="clear" w:color="auto" w:fill="E1DFDD"/>
    </w:rPr>
  </w:style>
  <w:style w:type="character" w:styleId="CommentReference">
    <w:name w:val="annotation reference"/>
    <w:basedOn w:val="DefaultParagraphFont"/>
    <w:uiPriority w:val="99"/>
    <w:semiHidden/>
    <w:unhideWhenUsed/>
    <w:rsid w:val="00832003"/>
    <w:rPr>
      <w:sz w:val="16"/>
      <w:szCs w:val="16"/>
    </w:rPr>
  </w:style>
  <w:style w:type="paragraph" w:styleId="CommentText">
    <w:name w:val="annotation text"/>
    <w:basedOn w:val="Normal"/>
    <w:link w:val="CommentTextChar"/>
    <w:uiPriority w:val="99"/>
    <w:semiHidden/>
    <w:unhideWhenUsed/>
    <w:rsid w:val="00832003"/>
    <w:pPr>
      <w:spacing w:line="240" w:lineRule="auto"/>
    </w:pPr>
    <w:rPr>
      <w:sz w:val="20"/>
      <w:szCs w:val="20"/>
    </w:rPr>
  </w:style>
  <w:style w:type="character" w:customStyle="1" w:styleId="CommentTextChar">
    <w:name w:val="Comment Text Char"/>
    <w:basedOn w:val="DefaultParagraphFont"/>
    <w:link w:val="CommentText"/>
    <w:uiPriority w:val="99"/>
    <w:semiHidden/>
    <w:rsid w:val="00832003"/>
    <w:rPr>
      <w:sz w:val="20"/>
      <w:szCs w:val="20"/>
    </w:rPr>
  </w:style>
  <w:style w:type="paragraph" w:styleId="CommentSubject">
    <w:name w:val="annotation subject"/>
    <w:basedOn w:val="CommentText"/>
    <w:next w:val="CommentText"/>
    <w:link w:val="CommentSubjectChar"/>
    <w:uiPriority w:val="99"/>
    <w:semiHidden/>
    <w:unhideWhenUsed/>
    <w:rsid w:val="00832003"/>
    <w:rPr>
      <w:b/>
      <w:bCs/>
    </w:rPr>
  </w:style>
  <w:style w:type="character" w:customStyle="1" w:styleId="CommentSubjectChar">
    <w:name w:val="Comment Subject Char"/>
    <w:basedOn w:val="CommentTextChar"/>
    <w:link w:val="CommentSubject"/>
    <w:uiPriority w:val="99"/>
    <w:semiHidden/>
    <w:rsid w:val="00832003"/>
    <w:rPr>
      <w:b/>
      <w:bCs/>
      <w:sz w:val="20"/>
      <w:szCs w:val="20"/>
    </w:rPr>
  </w:style>
  <w:style w:type="character" w:styleId="FollowedHyperlink">
    <w:name w:val="FollowedHyperlink"/>
    <w:basedOn w:val="DefaultParagraphFont"/>
    <w:uiPriority w:val="99"/>
    <w:semiHidden/>
    <w:unhideWhenUsed/>
    <w:rsid w:val="00401D9D"/>
    <w:rPr>
      <w:color w:val="954F72" w:themeColor="followedHyperlink"/>
      <w:u w:val="single"/>
    </w:rPr>
  </w:style>
  <w:style w:type="paragraph" w:styleId="NormalWeb">
    <w:name w:val="Normal (Web)"/>
    <w:basedOn w:val="Normal"/>
    <w:uiPriority w:val="99"/>
    <w:semiHidden/>
    <w:unhideWhenUsed/>
    <w:rsid w:val="00CD206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19323">
      <w:bodyDiv w:val="1"/>
      <w:marLeft w:val="0"/>
      <w:marRight w:val="0"/>
      <w:marTop w:val="0"/>
      <w:marBottom w:val="0"/>
      <w:divBdr>
        <w:top w:val="none" w:sz="0" w:space="0" w:color="auto"/>
        <w:left w:val="none" w:sz="0" w:space="0" w:color="auto"/>
        <w:bottom w:val="none" w:sz="0" w:space="0" w:color="auto"/>
        <w:right w:val="none" w:sz="0" w:space="0" w:color="auto"/>
      </w:divBdr>
    </w:div>
    <w:div w:id="970015091">
      <w:bodyDiv w:val="1"/>
      <w:marLeft w:val="0"/>
      <w:marRight w:val="0"/>
      <w:marTop w:val="0"/>
      <w:marBottom w:val="0"/>
      <w:divBdr>
        <w:top w:val="none" w:sz="0" w:space="0" w:color="auto"/>
        <w:left w:val="none" w:sz="0" w:space="0" w:color="auto"/>
        <w:bottom w:val="none" w:sz="0" w:space="0" w:color="auto"/>
        <w:right w:val="none" w:sz="0" w:space="0" w:color="auto"/>
      </w:divBdr>
    </w:div>
    <w:div w:id="1136944903">
      <w:bodyDiv w:val="1"/>
      <w:marLeft w:val="0"/>
      <w:marRight w:val="0"/>
      <w:marTop w:val="0"/>
      <w:marBottom w:val="0"/>
      <w:divBdr>
        <w:top w:val="none" w:sz="0" w:space="0" w:color="auto"/>
        <w:left w:val="none" w:sz="0" w:space="0" w:color="auto"/>
        <w:bottom w:val="none" w:sz="0" w:space="0" w:color="auto"/>
        <w:right w:val="none" w:sz="0" w:space="0" w:color="auto"/>
      </w:divBdr>
    </w:div>
    <w:div w:id="1274484052">
      <w:bodyDiv w:val="1"/>
      <w:marLeft w:val="0"/>
      <w:marRight w:val="0"/>
      <w:marTop w:val="0"/>
      <w:marBottom w:val="0"/>
      <w:divBdr>
        <w:top w:val="none" w:sz="0" w:space="0" w:color="auto"/>
        <w:left w:val="none" w:sz="0" w:space="0" w:color="auto"/>
        <w:bottom w:val="none" w:sz="0" w:space="0" w:color="auto"/>
        <w:right w:val="none" w:sz="0" w:space="0" w:color="auto"/>
      </w:divBdr>
    </w:div>
    <w:div w:id="1631667941">
      <w:bodyDiv w:val="1"/>
      <w:marLeft w:val="0"/>
      <w:marRight w:val="0"/>
      <w:marTop w:val="0"/>
      <w:marBottom w:val="0"/>
      <w:divBdr>
        <w:top w:val="none" w:sz="0" w:space="0" w:color="auto"/>
        <w:left w:val="none" w:sz="0" w:space="0" w:color="auto"/>
        <w:bottom w:val="none" w:sz="0" w:space="0" w:color="auto"/>
        <w:right w:val="none" w:sz="0" w:space="0" w:color="auto"/>
      </w:divBdr>
    </w:div>
    <w:div w:id="19301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3189/ujer.2020.082314" TargetMode="External"/><Relationship Id="rId18" Type="http://schemas.openxmlformats.org/officeDocument/2006/relationships/hyperlink" Target="https://doi.org/10.1146/ANNUREV-RESOURCE-100517-023429" TargetMode="External"/><Relationship Id="rId26" Type="http://schemas.openxmlformats.org/officeDocument/2006/relationships/hyperlink" Target="https://doi.org/10.1086/694930" TargetMode="External"/><Relationship Id="rId39" Type="http://schemas.openxmlformats.org/officeDocument/2006/relationships/theme" Target="theme/theme1.xml"/><Relationship Id="rId21" Type="http://schemas.openxmlformats.org/officeDocument/2006/relationships/hyperlink" Target="https://data.worldbank.org/indicator/NY.GDP.PCAP.KD.ZG?locations=NG" TargetMode="External"/><Relationship Id="rId34"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hyperlink" Target="https://doi.org/10.54414/zxuj8630" TargetMode="External"/><Relationship Id="rId17" Type="http://schemas.openxmlformats.org/officeDocument/2006/relationships/hyperlink" Target="https://www.econ.berkeley.edu/sites/default/files/ALI_Zoya_Spring%202021.pdf" TargetMode="External"/><Relationship Id="rId25" Type="http://schemas.openxmlformats.org/officeDocument/2006/relationships/hyperlink" Target="https://doi.org/10.1596/29956"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3390/su13010367" TargetMode="External"/><Relationship Id="rId20" Type="http://schemas.openxmlformats.org/officeDocument/2006/relationships/hyperlink" Target="https://doi.org/10.53573/rhimrj.2025.v12n6si.006" TargetMode="External"/><Relationship Id="rId29" Type="http://schemas.openxmlformats.org/officeDocument/2006/relationships/hyperlink" Target="https://doi.org/10.2139/ssrn.330863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307/3440246" TargetMode="External"/><Relationship Id="rId24" Type="http://schemas.openxmlformats.org/officeDocument/2006/relationships/hyperlink" Target="https://doi.org/10.56201/ijee.v9.no3.2023.pg125.133"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ata.worldbank.org/indicator/SH.XPD.GHED.GE.ZS?locations=NG" TargetMode="External"/><Relationship Id="rId23" Type="http://schemas.openxmlformats.org/officeDocument/2006/relationships/hyperlink" Target="https://www.unicef.org/nigeria/media/7741/file/UNICEF%20Nigeria%20Cheat%20" TargetMode="External"/><Relationship Id="rId28" Type="http://schemas.openxmlformats.org/officeDocument/2006/relationships/hyperlink" Target="https://doi.org/10.1515/bejm-2016-0109" TargetMode="External"/><Relationship Id="rId36"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hyperlink" Target="https://doi.org/10.2139/ssrn.3391773" TargetMode="External"/><Relationship Id="rId31" Type="http://schemas.openxmlformats.org/officeDocument/2006/relationships/hyperlink" Target="https://doi.org/10.60084/eje.v2i2.205"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data.worldbank.org/indicator/SE.ENR.PRIM.FM.ZS?locations=NG" TargetMode="External"/><Relationship Id="rId22" Type="http://schemas.openxmlformats.org/officeDocument/2006/relationships/hyperlink" Target="https://doi.org/10.33448/rsd-v12i5.40522" TargetMode="External"/><Relationship Id="rId27" Type="http://schemas.openxmlformats.org/officeDocument/2006/relationships/hyperlink" Target="https://doi.org/10.47305/jlia2391022shk" TargetMode="External"/><Relationship Id="rId30" Type="http://schemas.openxmlformats.org/officeDocument/2006/relationships/hyperlink" Target="https://doi.org/10.54647/economics79285" TargetMode="External"/><Relationship Id="rId35" Type="http://schemas.openxmlformats.org/officeDocument/2006/relationships/footer" Target="footer2.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4526</TotalTime>
  <Pages>20</Pages>
  <Words>6112</Words>
  <Characters>34841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Aninwagu</dc:creator>
  <cp:keywords/>
  <dc:description/>
  <cp:lastModifiedBy>SDI PC New 16</cp:lastModifiedBy>
  <cp:revision>637</cp:revision>
  <dcterms:created xsi:type="dcterms:W3CDTF">2025-07-28T12:04:00Z</dcterms:created>
  <dcterms:modified xsi:type="dcterms:W3CDTF">2025-08-19T07:05:00Z</dcterms:modified>
</cp:coreProperties>
</file>