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570D5" w14:textId="77777777" w:rsidR="001E6B1A" w:rsidRPr="00173979" w:rsidRDefault="001E6B1A" w:rsidP="001E6B1A">
      <w:pPr>
        <w:spacing w:line="240" w:lineRule="auto"/>
        <w:contextualSpacing/>
        <w:jc w:val="center"/>
        <w:rPr>
          <w:rFonts w:asciiTheme="majorBidi" w:hAnsiTheme="majorBidi" w:cstheme="majorBidi"/>
          <w:b/>
          <w:bCs/>
          <w:sz w:val="24"/>
          <w:szCs w:val="24"/>
          <w:highlight w:val="yellow"/>
        </w:rPr>
      </w:pPr>
      <w:r w:rsidRPr="00173979">
        <w:rPr>
          <w:rFonts w:asciiTheme="majorBidi" w:hAnsiTheme="majorBidi" w:cstheme="majorBidi"/>
          <w:b/>
          <w:bCs/>
          <w:sz w:val="24"/>
          <w:szCs w:val="24"/>
          <w:highlight w:val="yellow"/>
        </w:rPr>
        <w:t>Profitability as a Moderator of the Ownership Structure-Dividend Policy Nexus: Quantile Insights from Nigerian Banks</w:t>
      </w:r>
    </w:p>
    <w:p w14:paraId="10966902" w14:textId="77777777" w:rsidR="001E6B1A" w:rsidRPr="00173979" w:rsidRDefault="001E6B1A" w:rsidP="001E6B1A">
      <w:pPr>
        <w:spacing w:line="240" w:lineRule="auto"/>
        <w:contextualSpacing/>
        <w:jc w:val="center"/>
        <w:rPr>
          <w:rFonts w:asciiTheme="majorBidi" w:eastAsia="Times New Roman" w:hAnsiTheme="majorBidi" w:cstheme="majorBidi"/>
          <w:b/>
          <w:bCs/>
          <w:sz w:val="24"/>
          <w:szCs w:val="24"/>
          <w:highlight w:val="yellow"/>
          <w:lang w:val="en-GB"/>
        </w:rPr>
      </w:pPr>
    </w:p>
    <w:p w14:paraId="75472C18" w14:textId="77777777" w:rsidR="001E6B1A" w:rsidRPr="00173979" w:rsidRDefault="001E6B1A" w:rsidP="001E6B1A">
      <w:pPr>
        <w:spacing w:line="240" w:lineRule="auto"/>
        <w:contextualSpacing/>
        <w:jc w:val="center"/>
        <w:rPr>
          <w:rFonts w:asciiTheme="majorBidi" w:eastAsia="Times New Roman" w:hAnsiTheme="majorBidi" w:cstheme="majorBidi"/>
          <w:bCs/>
          <w:sz w:val="20"/>
          <w:szCs w:val="20"/>
          <w:highlight w:val="yellow"/>
          <w:lang w:val="en-GB"/>
        </w:rPr>
      </w:pPr>
    </w:p>
    <w:p w14:paraId="467381AA" w14:textId="77777777" w:rsidR="001E6B1A" w:rsidRPr="00173979" w:rsidRDefault="001E6B1A" w:rsidP="001E6B1A">
      <w:pPr>
        <w:spacing w:line="240" w:lineRule="auto"/>
        <w:contextualSpacing/>
        <w:jc w:val="center"/>
        <w:rPr>
          <w:rFonts w:asciiTheme="majorBidi" w:eastAsia="Times New Roman" w:hAnsiTheme="majorBidi" w:cstheme="majorBidi"/>
          <w:bCs/>
          <w:sz w:val="20"/>
          <w:szCs w:val="20"/>
          <w:highlight w:val="yellow"/>
          <w:lang w:val="en-GB"/>
        </w:rPr>
      </w:pPr>
      <w:r w:rsidRPr="00173979">
        <w:rPr>
          <w:rFonts w:asciiTheme="majorBidi" w:eastAsia="Times New Roman" w:hAnsiTheme="majorBidi" w:cstheme="majorBidi"/>
          <w:bCs/>
          <w:sz w:val="20"/>
          <w:szCs w:val="20"/>
          <w:highlight w:val="yellow"/>
          <w:lang w:val="en-GB"/>
        </w:rPr>
        <w:t xml:space="preserve">Abstract </w:t>
      </w:r>
    </w:p>
    <w:p w14:paraId="584234CB" w14:textId="77777777" w:rsidR="001E6B1A" w:rsidRPr="00C63B3D" w:rsidRDefault="001E6B1A" w:rsidP="001E6B1A">
      <w:pPr>
        <w:spacing w:line="240" w:lineRule="auto"/>
        <w:contextualSpacing/>
        <w:jc w:val="both"/>
        <w:rPr>
          <w:rFonts w:asciiTheme="majorBidi" w:eastAsia="Times New Roman" w:hAnsiTheme="majorBidi" w:cstheme="majorBidi"/>
          <w:bCs/>
          <w:i/>
          <w:iCs/>
          <w:sz w:val="20"/>
          <w:szCs w:val="20"/>
          <w:lang w:val="en-NG"/>
        </w:rPr>
      </w:pPr>
      <w:r w:rsidRPr="00173979">
        <w:rPr>
          <w:rFonts w:asciiTheme="majorBidi" w:eastAsia="Times New Roman" w:hAnsiTheme="majorBidi" w:cstheme="majorBidi"/>
          <w:bCs/>
          <w:i/>
          <w:iCs/>
          <w:sz w:val="20"/>
          <w:szCs w:val="20"/>
          <w:highlight w:val="yellow"/>
          <w:lang w:val="en-NG"/>
        </w:rPr>
        <w:t>This study investigates the moderating role of profitability in the relationship between ownership structure and dividend policy among listed deposit money banks in Nigeria. Anchored in agency and signalling theories, the research evaluates how managerial, institutional, and foreign ownership influence dividend payout behaviour, and whether these effects vary with profitability. Employing balanced panel data from 12 banks between 2012 and 2023, the study adopts fixed effects panel quantile regression to capture distributional heterogeneity and within-firm dynamics often overlooked in mean-based models. The novelty of this study lies in its application of quantile regression to uncover how the ownership–dividend relationship differs across the distribution of dividend payouts, rather than assuming uniform effects. It is also one of the few to model profitability as a moderator in the ownership–dividend nexus within Sub-Saharan Africa’s banking sector, offering sector-specific insights under regulatory and governance constraints typical of emerging markets. Empirical results show that foreign ownership exerts a consistently positive and significant influence on dividend payouts across all quantiles, reinforcing its stabilising role in weak governance environments. Managerial ownership demonstrates a positive effect at lower quantiles, suggesting enhanced alignment with shareholders in lower-paying banks. Institutional ownership has a negative association in pooled regressions but becomes insignificant under fixed effects, indicating contextual variation. Profitability moderates the effect of foreign ownership, weakening its impact at higher profitability levels. However, its moderating influence on managerial and institutional ownership remains weak and inconsistent. These findings highlight the importance of incorporating firm-level heterogeneity and distributional effects in dividend policy analysis. The study advances the literature by integrating ownership structure, profitability, and quantile techniques within a single framework, thereby offering nuanced insights for policymakers, investors, and bank executives seeking to optimise payout strategies in emerging financial systems</w:t>
      </w:r>
      <w:r w:rsidRPr="00C63B3D">
        <w:rPr>
          <w:rFonts w:asciiTheme="majorBidi" w:eastAsia="Times New Roman" w:hAnsiTheme="majorBidi" w:cstheme="majorBidi"/>
          <w:bCs/>
          <w:i/>
          <w:iCs/>
          <w:sz w:val="20"/>
          <w:szCs w:val="20"/>
          <w:lang w:val="en-NG"/>
        </w:rPr>
        <w:t>.</w:t>
      </w:r>
    </w:p>
    <w:p w14:paraId="7EF02802" w14:textId="77777777" w:rsidR="001E6B1A" w:rsidRPr="00735D4F" w:rsidRDefault="001E6B1A" w:rsidP="001E6B1A">
      <w:pPr>
        <w:spacing w:line="240" w:lineRule="auto"/>
        <w:contextualSpacing/>
        <w:jc w:val="both"/>
        <w:rPr>
          <w:rFonts w:asciiTheme="majorBidi" w:eastAsia="Times New Roman" w:hAnsiTheme="majorBidi" w:cstheme="majorBidi"/>
          <w:b/>
          <w:bCs/>
          <w:i/>
          <w:iCs/>
          <w:sz w:val="20"/>
          <w:szCs w:val="20"/>
        </w:rPr>
      </w:pPr>
    </w:p>
    <w:p w14:paraId="5E3BD3E1" w14:textId="77777777" w:rsidR="001E6B1A" w:rsidRPr="00735D4F" w:rsidRDefault="001E6B1A" w:rsidP="001E6B1A">
      <w:pPr>
        <w:spacing w:line="240" w:lineRule="auto"/>
        <w:contextualSpacing/>
        <w:jc w:val="both"/>
        <w:rPr>
          <w:rFonts w:asciiTheme="majorBidi" w:eastAsia="Times New Roman" w:hAnsiTheme="majorBidi" w:cstheme="majorBidi"/>
          <w:bCs/>
          <w:sz w:val="20"/>
          <w:szCs w:val="20"/>
        </w:rPr>
      </w:pPr>
      <w:r w:rsidRPr="00735D4F">
        <w:rPr>
          <w:rFonts w:asciiTheme="majorBidi" w:eastAsia="Times New Roman" w:hAnsiTheme="majorBidi" w:cstheme="majorBidi"/>
          <w:b/>
          <w:bCs/>
          <w:sz w:val="20"/>
          <w:szCs w:val="20"/>
        </w:rPr>
        <w:t>Keywords:</w:t>
      </w:r>
      <w:r w:rsidRPr="00735D4F">
        <w:rPr>
          <w:rFonts w:asciiTheme="majorBidi" w:eastAsia="Times New Roman" w:hAnsiTheme="majorBidi" w:cstheme="majorBidi"/>
          <w:bCs/>
          <w:sz w:val="20"/>
          <w:szCs w:val="20"/>
        </w:rPr>
        <w:t xml:space="preserve"> Dividend Policy, Ownership Structure, Profitability, Quantile Regression, Corporate Governance, </w:t>
      </w:r>
    </w:p>
    <w:p w14:paraId="383C4205" w14:textId="77777777" w:rsidR="001E6B1A" w:rsidRPr="00735D4F" w:rsidRDefault="001E6B1A" w:rsidP="001E6B1A">
      <w:pPr>
        <w:spacing w:line="240" w:lineRule="auto"/>
        <w:contextualSpacing/>
        <w:jc w:val="both"/>
        <w:rPr>
          <w:rFonts w:asciiTheme="majorBidi" w:eastAsia="Times New Roman" w:hAnsiTheme="majorBidi" w:cstheme="majorBidi"/>
          <w:i/>
          <w:sz w:val="20"/>
          <w:szCs w:val="20"/>
        </w:rPr>
      </w:pPr>
    </w:p>
    <w:p w14:paraId="7ABD8724" w14:textId="77777777" w:rsidR="001E6B1A" w:rsidRPr="00735D4F" w:rsidRDefault="001E6B1A" w:rsidP="001E6B1A">
      <w:pPr>
        <w:pStyle w:val="Heading2"/>
        <w:rPr>
          <w:rFonts w:asciiTheme="majorBidi" w:hAnsiTheme="majorBidi" w:cstheme="majorBidi"/>
          <w:b/>
          <w:bCs/>
          <w:color w:val="auto"/>
          <w:sz w:val="20"/>
          <w:szCs w:val="20"/>
        </w:rPr>
      </w:pPr>
      <w:r w:rsidRPr="00735D4F">
        <w:rPr>
          <w:rFonts w:asciiTheme="majorBidi" w:hAnsiTheme="majorBidi" w:cstheme="majorBidi"/>
          <w:b/>
          <w:bCs/>
          <w:color w:val="auto"/>
          <w:sz w:val="20"/>
          <w:szCs w:val="20"/>
        </w:rPr>
        <w:t>1. Introduction</w:t>
      </w:r>
    </w:p>
    <w:p w14:paraId="53F65B4D" w14:textId="77777777" w:rsidR="001E6B1A" w:rsidRPr="00173979" w:rsidRDefault="001E6B1A" w:rsidP="001E6B1A">
      <w:pPr>
        <w:spacing w:line="360" w:lineRule="auto"/>
        <w:contextualSpacing/>
        <w:jc w:val="both"/>
        <w:rPr>
          <w:rFonts w:asciiTheme="majorBidi" w:hAnsiTheme="majorBidi" w:cstheme="majorBidi"/>
          <w:sz w:val="20"/>
          <w:szCs w:val="20"/>
          <w:highlight w:val="yellow"/>
          <w:lang w:val="en-NG"/>
        </w:rPr>
      </w:pPr>
      <w:r w:rsidRPr="00173979">
        <w:rPr>
          <w:rFonts w:asciiTheme="majorBidi" w:hAnsiTheme="majorBidi" w:cstheme="majorBidi"/>
          <w:sz w:val="20"/>
          <w:szCs w:val="20"/>
          <w:highlight w:val="yellow"/>
          <w:lang w:val="en-NG"/>
        </w:rPr>
        <w:t xml:space="preserve">Dividend policy constitutes a critical decision within corporate finance, especially in highly regulated sectors like banking (Azeem et al., 2023). For banks, dividends function not only as a mechanism for shareholder value distribution but also as a signal of financial strength and managerial confidence (Alhalabi et al., 2023; </w:t>
      </w:r>
      <w:proofErr w:type="spellStart"/>
      <w:r w:rsidRPr="00173979">
        <w:rPr>
          <w:rFonts w:asciiTheme="majorBidi" w:hAnsiTheme="majorBidi" w:cstheme="majorBidi"/>
          <w:sz w:val="20"/>
          <w:szCs w:val="20"/>
          <w:highlight w:val="yellow"/>
          <w:lang w:val="en-NG"/>
        </w:rPr>
        <w:t>Arhinful</w:t>
      </w:r>
      <w:proofErr w:type="spellEnd"/>
      <w:r w:rsidRPr="00173979">
        <w:rPr>
          <w:rFonts w:asciiTheme="majorBidi" w:hAnsiTheme="majorBidi" w:cstheme="majorBidi"/>
          <w:sz w:val="20"/>
          <w:szCs w:val="20"/>
          <w:highlight w:val="yellow"/>
          <w:lang w:val="en-NG"/>
        </w:rPr>
        <w:t xml:space="preserve"> et al., 2025). Dividend distributions are frequently perceived by investors as indicators of firm performance and stability (Munir et al., 2024), a perception particularly salient in emerging economies such as Nigeria, where dividends provide tangible evidence of success amidst macroeconomic volatility and capital market inefficiencies. Banking sector dividend decisions are further complicated by regulatory capital mandates, systemic risk concerns, and the strategic imperative for earnings retention to fund growth (Bechter, 2024). Consequently, dividend payouts reflect strategic trade-offs involving agency issues, market signalling, and regulatory compliance.</w:t>
      </w:r>
    </w:p>
    <w:p w14:paraId="2D19701E" w14:textId="77777777" w:rsidR="001E6B1A" w:rsidRPr="00173979" w:rsidRDefault="001E6B1A" w:rsidP="001E6B1A">
      <w:pPr>
        <w:spacing w:line="360" w:lineRule="auto"/>
        <w:contextualSpacing/>
        <w:jc w:val="both"/>
        <w:rPr>
          <w:rFonts w:asciiTheme="majorBidi" w:hAnsiTheme="majorBidi" w:cstheme="majorBidi"/>
          <w:sz w:val="20"/>
          <w:szCs w:val="20"/>
          <w:highlight w:val="yellow"/>
          <w:lang w:val="en-NG"/>
        </w:rPr>
      </w:pPr>
      <w:r w:rsidRPr="00173979">
        <w:rPr>
          <w:rFonts w:asciiTheme="majorBidi" w:hAnsiTheme="majorBidi" w:cstheme="majorBidi"/>
          <w:sz w:val="20"/>
          <w:szCs w:val="20"/>
          <w:highlight w:val="yellow"/>
          <w:lang w:val="en-NG"/>
        </w:rPr>
        <w:t>The theoretical underpinnings of dividend policy prominently feature agency theory and signalling theory. Agency theory (Jensen &amp; Meckling, 1976) suggests dividends mitigate conflicts by reducing free cash flow available to managers, thereby curtailing discretionary spending and potential expropriation. Within this framework, firm ownership structure critically influences dividend behaviour. Managerial ownership may align insider and shareholder interests, reducing agency costs (Tayeh et al., 2023), while institutional and foreign ownership may exert external monitoring pressure, encouraging higher payouts to satisfy return-seeking shareholders (Al-Matari, 2025). Signalling theory posits that dividend announcements convey private information about future earnings prospects (Nworie et al., 2024). Consequently, profitability, often measured by Return on Assets (ROA), is a central determinant, reflecting both the capacity to pay dividends and managerial confidence in sustained earnings (</w:t>
      </w:r>
      <w:proofErr w:type="spellStart"/>
      <w:r w:rsidRPr="00173979">
        <w:rPr>
          <w:rFonts w:asciiTheme="majorBidi" w:hAnsiTheme="majorBidi" w:cstheme="majorBidi"/>
          <w:sz w:val="20"/>
          <w:szCs w:val="20"/>
          <w:highlight w:val="yellow"/>
          <w:lang w:val="en-NG"/>
        </w:rPr>
        <w:t>Dewasiri</w:t>
      </w:r>
      <w:proofErr w:type="spellEnd"/>
      <w:r w:rsidRPr="00173979">
        <w:rPr>
          <w:rFonts w:asciiTheme="majorBidi" w:hAnsiTheme="majorBidi" w:cstheme="majorBidi"/>
          <w:sz w:val="20"/>
          <w:szCs w:val="20"/>
          <w:highlight w:val="yellow"/>
          <w:lang w:val="en-NG"/>
        </w:rPr>
        <w:t xml:space="preserve"> et al., 2019).</w:t>
      </w:r>
    </w:p>
    <w:p w14:paraId="43EEEBE4" w14:textId="77777777" w:rsidR="001E6B1A" w:rsidRPr="00173979" w:rsidRDefault="001E6B1A" w:rsidP="001E6B1A">
      <w:pPr>
        <w:spacing w:line="360" w:lineRule="auto"/>
        <w:contextualSpacing/>
        <w:jc w:val="both"/>
        <w:rPr>
          <w:rFonts w:asciiTheme="majorBidi" w:hAnsiTheme="majorBidi" w:cstheme="majorBidi"/>
          <w:sz w:val="20"/>
          <w:szCs w:val="20"/>
          <w:highlight w:val="yellow"/>
          <w:lang w:val="en-NG"/>
        </w:rPr>
      </w:pPr>
      <w:r w:rsidRPr="00173979">
        <w:rPr>
          <w:rFonts w:asciiTheme="majorBidi" w:hAnsiTheme="majorBidi" w:cstheme="majorBidi"/>
          <w:sz w:val="20"/>
          <w:szCs w:val="20"/>
          <w:highlight w:val="yellow"/>
          <w:lang w:val="en-NG"/>
        </w:rPr>
        <w:lastRenderedPageBreak/>
        <w:t xml:space="preserve">Profitability acts not only as a direct determinant of dividend capacity but also as a potential moderator of the ownership–dividend relationship. However, this moderating role is complex and </w:t>
      </w:r>
      <w:proofErr w:type="gramStart"/>
      <w:r w:rsidRPr="00173979">
        <w:rPr>
          <w:rFonts w:asciiTheme="majorBidi" w:hAnsiTheme="majorBidi" w:cstheme="majorBidi"/>
          <w:sz w:val="20"/>
          <w:szCs w:val="20"/>
          <w:highlight w:val="yellow"/>
          <w:lang w:val="en-NG"/>
        </w:rPr>
        <w:t>likely heterogeneous</w:t>
      </w:r>
      <w:proofErr w:type="gramEnd"/>
      <w:r w:rsidRPr="00173979">
        <w:rPr>
          <w:rFonts w:asciiTheme="majorBidi" w:hAnsiTheme="majorBidi" w:cstheme="majorBidi"/>
          <w:sz w:val="20"/>
          <w:szCs w:val="20"/>
          <w:highlight w:val="yellow"/>
          <w:lang w:val="en-NG"/>
        </w:rPr>
        <w:t xml:space="preserve"> across firms with differing dividend profiles. Traditional econometric models, such as Ordinary Least Squares (OLS) and fixed effects regressions, typically estimate average effects assuming homogeneity across firms. This constitutes the first major research gap: existing models fail to capture how the ownership–dividend relationship may differ across the dividend distribution spectrum. This approach may obscure critical variations in how profitability interacts with different ownership types to influence dividend policy at low, median, or high payout levels.</w:t>
      </w:r>
    </w:p>
    <w:p w14:paraId="3FDC5E1F" w14:textId="77777777" w:rsidR="001E6B1A" w:rsidRPr="00173979" w:rsidRDefault="001E6B1A" w:rsidP="001E6B1A">
      <w:pPr>
        <w:spacing w:line="360" w:lineRule="auto"/>
        <w:contextualSpacing/>
        <w:jc w:val="both"/>
        <w:rPr>
          <w:rFonts w:asciiTheme="majorBidi" w:hAnsiTheme="majorBidi" w:cstheme="majorBidi"/>
          <w:sz w:val="20"/>
          <w:szCs w:val="20"/>
          <w:highlight w:val="yellow"/>
          <w:lang w:val="en-NG"/>
        </w:rPr>
      </w:pPr>
      <w:r w:rsidRPr="00173979">
        <w:rPr>
          <w:rFonts w:asciiTheme="majorBidi" w:hAnsiTheme="majorBidi" w:cstheme="majorBidi"/>
          <w:sz w:val="20"/>
          <w:szCs w:val="20"/>
          <w:highlight w:val="yellow"/>
          <w:lang w:val="en-NG"/>
        </w:rPr>
        <w:t>To address this, the present study adopts quantile regression, which allows for estimating effects across the entire distribution of dividend payouts rather than focusing solely on conditional means. This method provides a richer and more nuanced understanding of firm behaviour and is particularly suited to the Nigerian banking context, characterised by heterogeneous and often skewed payout ratios.</w:t>
      </w:r>
    </w:p>
    <w:p w14:paraId="0413B25E" w14:textId="77777777" w:rsidR="001E6B1A" w:rsidRPr="00173979" w:rsidRDefault="001E6B1A" w:rsidP="001E6B1A">
      <w:pPr>
        <w:spacing w:line="360" w:lineRule="auto"/>
        <w:contextualSpacing/>
        <w:jc w:val="both"/>
        <w:rPr>
          <w:rFonts w:asciiTheme="majorBidi" w:hAnsiTheme="majorBidi" w:cstheme="majorBidi"/>
          <w:sz w:val="20"/>
          <w:szCs w:val="20"/>
          <w:highlight w:val="yellow"/>
          <w:lang w:val="en-NG"/>
        </w:rPr>
      </w:pPr>
      <w:r w:rsidRPr="00173979">
        <w:rPr>
          <w:rFonts w:asciiTheme="majorBidi" w:hAnsiTheme="majorBidi" w:cstheme="majorBidi"/>
          <w:sz w:val="20"/>
          <w:szCs w:val="20"/>
          <w:highlight w:val="yellow"/>
          <w:lang w:val="en-NG"/>
        </w:rPr>
        <w:t xml:space="preserve">The Nigerian banking sector offers a compelling empirical setting. Since the 2004-2005 banking consolidation and the post-2008 financial crisis reforms, the sector has undergone significant shifts in ownership structure, regulatory oversight, and governance practices. Concentrated ownership remains prevalent, with institutional and foreign investors often exerting considerable influence. Despite regulatory efforts to enhance capital adequacy and transparency, dividend payouts remain inconsistent. </w:t>
      </w:r>
      <w:proofErr w:type="gramStart"/>
      <w:r w:rsidRPr="00173979">
        <w:rPr>
          <w:rFonts w:asciiTheme="majorBidi" w:hAnsiTheme="majorBidi" w:cstheme="majorBidi"/>
          <w:sz w:val="20"/>
          <w:szCs w:val="20"/>
          <w:highlight w:val="yellow"/>
          <w:lang w:val="en-NG"/>
        </w:rPr>
        <w:t>Some</w:t>
      </w:r>
      <w:proofErr w:type="gramEnd"/>
      <w:r w:rsidRPr="00173979">
        <w:rPr>
          <w:rFonts w:asciiTheme="majorBidi" w:hAnsiTheme="majorBidi" w:cstheme="majorBidi"/>
          <w:sz w:val="20"/>
          <w:szCs w:val="20"/>
          <w:highlight w:val="yellow"/>
          <w:lang w:val="en-NG"/>
        </w:rPr>
        <w:t xml:space="preserve"> banks sustain high and stable dividends, while others adopt conservative payout policies or suspend dividends altogether, even when profitable. These inconsistencies suggest underlying structural factors, including ownership configurations and strategic earnings retention decisions. </w:t>
      </w:r>
      <w:r w:rsidRPr="00173979">
        <w:rPr>
          <w:rFonts w:asciiTheme="majorBidi" w:hAnsiTheme="majorBidi" w:cstheme="majorBidi"/>
          <w:sz w:val="20"/>
          <w:szCs w:val="20"/>
          <w:highlight w:val="yellow"/>
        </w:rPr>
        <w:t>Yet, a second research gap persists: very few empirical studies have explored how profitability moderates the effect of specific ownership forms, namely managerial, institutional, and foreign, on dividend policy within Nigeria’s banking industry</w:t>
      </w:r>
      <w:r w:rsidRPr="00173979">
        <w:rPr>
          <w:rFonts w:asciiTheme="majorBidi" w:hAnsiTheme="majorBidi" w:cstheme="majorBidi"/>
          <w:sz w:val="20"/>
          <w:szCs w:val="20"/>
          <w:highlight w:val="yellow"/>
          <w:lang w:val="en-NG"/>
        </w:rPr>
        <w:t>.</w:t>
      </w:r>
    </w:p>
    <w:p w14:paraId="02AE713B" w14:textId="77777777" w:rsidR="001E6B1A" w:rsidRPr="00173979" w:rsidRDefault="001E6B1A" w:rsidP="001E6B1A">
      <w:pPr>
        <w:spacing w:line="360" w:lineRule="auto"/>
        <w:contextualSpacing/>
        <w:jc w:val="both"/>
        <w:rPr>
          <w:rFonts w:asciiTheme="majorBidi" w:hAnsiTheme="majorBidi" w:cstheme="majorBidi"/>
          <w:sz w:val="20"/>
          <w:szCs w:val="20"/>
          <w:highlight w:val="yellow"/>
          <w:lang w:val="en-NG"/>
        </w:rPr>
      </w:pPr>
      <w:r w:rsidRPr="00173979">
        <w:rPr>
          <w:rFonts w:asciiTheme="majorBidi" w:hAnsiTheme="majorBidi" w:cstheme="majorBidi"/>
          <w:sz w:val="20"/>
          <w:szCs w:val="20"/>
          <w:highlight w:val="yellow"/>
          <w:lang w:val="en-NG"/>
        </w:rPr>
        <w:t>Moreover, most existing studies adopt mean-based estimation methods that overlook intra-group variation and fail to account for unobserved heterogeneity. This gives rise to a third research gap: a lack of methodological innovation in analysing dividend policy, especially in Sub-Saharan Africa. Prior studies often neglect the dynamic interplay between governance structures and firm-level performance indicators in a distribution-sensitive manner.</w:t>
      </w:r>
    </w:p>
    <w:p w14:paraId="793A96EF" w14:textId="77777777" w:rsidR="001E6B1A" w:rsidRPr="00735D4F" w:rsidRDefault="001E6B1A" w:rsidP="001E6B1A">
      <w:pPr>
        <w:spacing w:line="360" w:lineRule="auto"/>
        <w:contextualSpacing/>
        <w:jc w:val="both"/>
        <w:rPr>
          <w:rFonts w:asciiTheme="majorBidi" w:hAnsiTheme="majorBidi" w:cstheme="majorBidi"/>
          <w:sz w:val="20"/>
          <w:szCs w:val="20"/>
          <w:lang w:val="en-NG"/>
        </w:rPr>
      </w:pPr>
      <w:r w:rsidRPr="00173979">
        <w:rPr>
          <w:rFonts w:asciiTheme="majorBidi" w:hAnsiTheme="majorBidi" w:cstheme="majorBidi"/>
          <w:sz w:val="20"/>
          <w:szCs w:val="20"/>
          <w:highlight w:val="yellow"/>
          <w:lang w:val="en-NG"/>
        </w:rPr>
        <w:t xml:space="preserve">This study addresses these critical gaps by using quantile regression techniques, both cross-sectional and fixed effects panel approaches, to investigate how profitability moderates the relationship between ownership structure and dividend payouts across varying payout levels in Nigeria’s deposit money banks. By focusing on managerial, institutional, and foreign ownership, and their interaction with firm profitability, the study advances the theoretical understanding of agency and signalling mechanisms in emerging markets. It contributes methodologically by demonstrating the suitability of distributional regression techniques in unpacking complex corporate finance phenomena. The findings are expected to inform both scholarly debate and policy discourse on dividend regulation, corporate governance, and investor protection in Nigeria and similar </w:t>
      </w:r>
      <w:proofErr w:type="gramStart"/>
      <w:r w:rsidRPr="00173979">
        <w:rPr>
          <w:rFonts w:asciiTheme="majorBidi" w:hAnsiTheme="majorBidi" w:cstheme="majorBidi"/>
          <w:sz w:val="20"/>
          <w:szCs w:val="20"/>
          <w:highlight w:val="yellow"/>
          <w:lang w:val="en-NG"/>
        </w:rPr>
        <w:t>jurisdictions</w:t>
      </w:r>
      <w:proofErr w:type="gramEnd"/>
      <w:r w:rsidRPr="00173979">
        <w:rPr>
          <w:rFonts w:asciiTheme="majorBidi" w:hAnsiTheme="majorBidi" w:cstheme="majorBidi"/>
          <w:sz w:val="20"/>
          <w:szCs w:val="20"/>
          <w:highlight w:val="yellow"/>
        </w:rPr>
        <w:t>.</w:t>
      </w:r>
    </w:p>
    <w:p w14:paraId="57BD3900" w14:textId="77777777" w:rsidR="001E6B1A" w:rsidRPr="00735D4F" w:rsidRDefault="001E6B1A" w:rsidP="001E6B1A">
      <w:pPr>
        <w:spacing w:line="360" w:lineRule="auto"/>
        <w:contextualSpacing/>
        <w:jc w:val="both"/>
        <w:rPr>
          <w:rFonts w:asciiTheme="majorBidi" w:hAnsiTheme="majorBidi" w:cstheme="majorBidi"/>
          <w:sz w:val="20"/>
          <w:szCs w:val="20"/>
        </w:rPr>
      </w:pPr>
      <w:r w:rsidRPr="00735D4F">
        <w:rPr>
          <w:rFonts w:asciiTheme="majorBidi" w:hAnsiTheme="majorBidi" w:cstheme="majorBidi"/>
          <w:sz w:val="20"/>
          <w:szCs w:val="20"/>
        </w:rPr>
        <w:t xml:space="preserve">The paper proceeds as follows. Section 2 reviews literature on ownership, profitability, and dividends. Section 3 details the methodology, data, variables, and econometric model, justifying quantile regression. Section 4 presents and discusses empirical results, including descriptive statistics and quantile regression interpretations. Section 5 concludes, </w:t>
      </w:r>
      <w:proofErr w:type="spellStart"/>
      <w:r w:rsidRPr="00735D4F">
        <w:rPr>
          <w:rFonts w:asciiTheme="majorBidi" w:hAnsiTheme="majorBidi" w:cstheme="majorBidi"/>
          <w:sz w:val="20"/>
          <w:szCs w:val="20"/>
        </w:rPr>
        <w:t>summarising</w:t>
      </w:r>
      <w:proofErr w:type="spellEnd"/>
      <w:r w:rsidRPr="00735D4F">
        <w:rPr>
          <w:rFonts w:asciiTheme="majorBidi" w:hAnsiTheme="majorBidi" w:cstheme="majorBidi"/>
          <w:sz w:val="20"/>
          <w:szCs w:val="20"/>
        </w:rPr>
        <w:t xml:space="preserve"> findings, implications, recommendations, limitations, and future research directions.</w:t>
      </w:r>
    </w:p>
    <w:p w14:paraId="11408E3E" w14:textId="77777777" w:rsidR="001E6B1A" w:rsidRPr="00735D4F" w:rsidRDefault="001E6B1A" w:rsidP="001E6B1A">
      <w:pPr>
        <w:pStyle w:val="Heading2"/>
        <w:spacing w:line="360" w:lineRule="auto"/>
        <w:contextualSpacing/>
        <w:rPr>
          <w:rFonts w:asciiTheme="majorBidi" w:hAnsiTheme="majorBidi" w:cstheme="majorBidi"/>
          <w:b/>
          <w:bCs/>
          <w:color w:val="auto"/>
          <w:sz w:val="20"/>
          <w:szCs w:val="20"/>
        </w:rPr>
      </w:pPr>
      <w:r w:rsidRPr="00735D4F">
        <w:rPr>
          <w:rFonts w:asciiTheme="majorBidi" w:hAnsiTheme="majorBidi" w:cstheme="majorBidi"/>
          <w:b/>
          <w:bCs/>
          <w:color w:val="auto"/>
          <w:sz w:val="20"/>
          <w:szCs w:val="20"/>
        </w:rPr>
        <w:t>2. Literature Review</w:t>
      </w:r>
    </w:p>
    <w:p w14:paraId="749DA0CF" w14:textId="77777777" w:rsidR="001E6B1A" w:rsidRPr="00735D4F" w:rsidRDefault="001E6B1A" w:rsidP="001E6B1A">
      <w:pPr>
        <w:spacing w:line="360" w:lineRule="auto"/>
        <w:contextualSpacing/>
        <w:rPr>
          <w:rFonts w:asciiTheme="majorBidi" w:hAnsiTheme="majorBidi" w:cstheme="majorBidi"/>
          <w:sz w:val="20"/>
          <w:szCs w:val="20"/>
        </w:rPr>
      </w:pPr>
      <w:r w:rsidRPr="00735D4F">
        <w:rPr>
          <w:rFonts w:asciiTheme="majorBidi" w:hAnsiTheme="majorBidi" w:cstheme="majorBidi"/>
          <w:sz w:val="20"/>
          <w:szCs w:val="20"/>
        </w:rPr>
        <w:t xml:space="preserve">This literature review </w:t>
      </w:r>
      <w:proofErr w:type="spellStart"/>
      <w:proofErr w:type="gramStart"/>
      <w:r w:rsidRPr="00735D4F">
        <w:rPr>
          <w:rFonts w:asciiTheme="majorBidi" w:hAnsiTheme="majorBidi" w:cstheme="majorBidi"/>
          <w:sz w:val="20"/>
          <w:szCs w:val="20"/>
        </w:rPr>
        <w:t>synthesises</w:t>
      </w:r>
      <w:proofErr w:type="spellEnd"/>
      <w:proofErr w:type="gramEnd"/>
      <w:r w:rsidRPr="00735D4F">
        <w:rPr>
          <w:rFonts w:asciiTheme="majorBidi" w:hAnsiTheme="majorBidi" w:cstheme="majorBidi"/>
          <w:sz w:val="20"/>
          <w:szCs w:val="20"/>
        </w:rPr>
        <w:t xml:space="preserve"> theoretical and empirical insights into the nexus between ownership structure, profitability, and dividend policy, with emphasis on the moderating role of profitability. Section 2.1 outlines the </w:t>
      </w:r>
      <w:r w:rsidRPr="00735D4F">
        <w:rPr>
          <w:rFonts w:asciiTheme="majorBidi" w:hAnsiTheme="majorBidi" w:cstheme="majorBidi"/>
          <w:sz w:val="20"/>
          <w:szCs w:val="20"/>
        </w:rPr>
        <w:lastRenderedPageBreak/>
        <w:t>theoretical framework grounding the study, while Section 2.2 reviews extant empirical findings and develops the hypotheses guiding the analysis.</w:t>
      </w:r>
    </w:p>
    <w:p w14:paraId="5E2F1F8E" w14:textId="77777777" w:rsidR="001E6B1A" w:rsidRPr="00735D4F" w:rsidRDefault="001E6B1A" w:rsidP="001E6B1A">
      <w:pPr>
        <w:pStyle w:val="Heading2"/>
        <w:spacing w:line="360" w:lineRule="auto"/>
        <w:contextualSpacing/>
        <w:rPr>
          <w:rFonts w:asciiTheme="majorBidi" w:hAnsiTheme="majorBidi" w:cstheme="majorBidi"/>
          <w:b/>
          <w:bCs/>
          <w:color w:val="auto"/>
          <w:sz w:val="20"/>
          <w:szCs w:val="20"/>
        </w:rPr>
      </w:pPr>
      <w:r w:rsidRPr="00735D4F">
        <w:rPr>
          <w:rFonts w:asciiTheme="majorBidi" w:hAnsiTheme="majorBidi" w:cstheme="majorBidi"/>
          <w:b/>
          <w:bCs/>
          <w:color w:val="auto"/>
          <w:sz w:val="20"/>
          <w:szCs w:val="20"/>
        </w:rPr>
        <w:t>2.1 Theoretical Framework</w:t>
      </w:r>
    </w:p>
    <w:p w14:paraId="50DA7C40" w14:textId="77777777" w:rsidR="001E6B1A" w:rsidRPr="00735D4F" w:rsidRDefault="001E6B1A" w:rsidP="001E6B1A">
      <w:pPr>
        <w:spacing w:line="360" w:lineRule="auto"/>
        <w:contextualSpacing/>
        <w:jc w:val="both"/>
        <w:rPr>
          <w:rFonts w:asciiTheme="majorBidi" w:hAnsiTheme="majorBidi" w:cstheme="majorBidi"/>
          <w:sz w:val="20"/>
          <w:szCs w:val="20"/>
        </w:rPr>
      </w:pPr>
      <w:r w:rsidRPr="00735D4F">
        <w:rPr>
          <w:rFonts w:asciiTheme="majorBidi" w:hAnsiTheme="majorBidi" w:cstheme="majorBidi"/>
          <w:sz w:val="20"/>
          <w:szCs w:val="20"/>
        </w:rPr>
        <w:t xml:space="preserve">This study is grounded in agency and </w:t>
      </w:r>
      <w:proofErr w:type="spellStart"/>
      <w:r w:rsidRPr="00735D4F">
        <w:rPr>
          <w:rFonts w:asciiTheme="majorBidi" w:hAnsiTheme="majorBidi" w:cstheme="majorBidi"/>
          <w:sz w:val="20"/>
          <w:szCs w:val="20"/>
        </w:rPr>
        <w:t>signalling</w:t>
      </w:r>
      <w:proofErr w:type="spellEnd"/>
      <w:r w:rsidRPr="00735D4F">
        <w:rPr>
          <w:rFonts w:asciiTheme="majorBidi" w:hAnsiTheme="majorBidi" w:cstheme="majorBidi"/>
          <w:sz w:val="20"/>
          <w:szCs w:val="20"/>
        </w:rPr>
        <w:t xml:space="preserve"> theories, which offer a conceptual lens through which to understand the incentives and constraints shaping dividend decisions in Nigerian deposit money banks. Jensen and Meckling (1976) </w:t>
      </w:r>
      <w:proofErr w:type="spellStart"/>
      <w:r w:rsidRPr="00735D4F">
        <w:rPr>
          <w:rFonts w:asciiTheme="majorBidi" w:hAnsiTheme="majorBidi" w:cstheme="majorBidi"/>
          <w:sz w:val="20"/>
          <w:szCs w:val="20"/>
        </w:rPr>
        <w:t>formalised</w:t>
      </w:r>
      <w:proofErr w:type="spellEnd"/>
      <w:r w:rsidRPr="00735D4F">
        <w:rPr>
          <w:rFonts w:asciiTheme="majorBidi" w:hAnsiTheme="majorBidi" w:cstheme="majorBidi"/>
          <w:sz w:val="20"/>
          <w:szCs w:val="20"/>
        </w:rPr>
        <w:t xml:space="preserve"> agency theory, building on Berle and Means (1932), to explain conflicts arising from the separation of ownership and control. In firms where managers hold little equity and ownership is dispersed, managers may underinvest in dividends and instead pursue projects that increase their private control benefits (La Porta et al., 2000; Faccio et al., 2001; Fama &amp; French, 2001). Dividend payouts, therefore, operate as a governance tool to reduce agency costs by limiting funds available for discretionary use. Ownership structure is integral to this function. Empirical studies show that managerial ownership can align managerial and shareholder interests, mitigating agency problems (Lubis et al., 2025; Nel et al., 2024; Vijayakumaran, 2020). However, when managerial ownership becomes excessive, entrenchment may occur, weakening the responsiveness to shareholder pressure for dividends (</w:t>
      </w:r>
      <w:proofErr w:type="spellStart"/>
      <w:r w:rsidRPr="00735D4F">
        <w:rPr>
          <w:rFonts w:asciiTheme="majorBidi" w:hAnsiTheme="majorBidi" w:cstheme="majorBidi"/>
          <w:sz w:val="20"/>
          <w:szCs w:val="20"/>
        </w:rPr>
        <w:t>Alshdaifat</w:t>
      </w:r>
      <w:proofErr w:type="spellEnd"/>
      <w:r w:rsidRPr="00735D4F">
        <w:rPr>
          <w:rFonts w:asciiTheme="majorBidi" w:hAnsiTheme="majorBidi" w:cstheme="majorBidi"/>
          <w:sz w:val="20"/>
          <w:szCs w:val="20"/>
        </w:rPr>
        <w:t xml:space="preserve"> et al., 2025; Tawfik et al., 2024). </w:t>
      </w:r>
    </w:p>
    <w:p w14:paraId="68DD9224" w14:textId="77777777" w:rsidR="001E6B1A" w:rsidRPr="00735D4F" w:rsidRDefault="001E6B1A" w:rsidP="001E6B1A">
      <w:pPr>
        <w:spacing w:line="360" w:lineRule="auto"/>
        <w:contextualSpacing/>
        <w:jc w:val="both"/>
        <w:rPr>
          <w:rFonts w:asciiTheme="majorBidi" w:hAnsiTheme="majorBidi" w:cstheme="majorBidi"/>
          <w:sz w:val="20"/>
          <w:szCs w:val="20"/>
        </w:rPr>
      </w:pPr>
      <w:r w:rsidRPr="00735D4F">
        <w:rPr>
          <w:rFonts w:asciiTheme="majorBidi" w:hAnsiTheme="majorBidi" w:cstheme="majorBidi"/>
          <w:sz w:val="20"/>
          <w:szCs w:val="20"/>
        </w:rPr>
        <w:t xml:space="preserve">Institutional ownership is argued to exert a monitoring effect that disciplines managerial </w:t>
      </w:r>
      <w:proofErr w:type="spellStart"/>
      <w:r w:rsidRPr="00735D4F">
        <w:rPr>
          <w:rFonts w:asciiTheme="majorBidi" w:hAnsiTheme="majorBidi" w:cstheme="majorBidi"/>
          <w:sz w:val="20"/>
          <w:szCs w:val="20"/>
        </w:rPr>
        <w:t>behaviour</w:t>
      </w:r>
      <w:proofErr w:type="spellEnd"/>
      <w:r w:rsidRPr="00735D4F">
        <w:rPr>
          <w:rFonts w:asciiTheme="majorBidi" w:hAnsiTheme="majorBidi" w:cstheme="majorBidi"/>
          <w:sz w:val="20"/>
          <w:szCs w:val="20"/>
        </w:rPr>
        <w:t xml:space="preserve"> (Hong &amp; Linh, 2022Studies from Nigeria show that institutional investors encourage dividend payments to uphold reputational and liquidity standards (Yahaya, 2025) and have a significant positive effect on banks’ pay-out ratios (Farouk et al., 2022). In weak governance environments, dividends function as mechanisms to control managerial expropriation (Danni &amp; Qi, 2024; Tran, 2024). </w:t>
      </w:r>
    </w:p>
    <w:p w14:paraId="173C68B1" w14:textId="77777777" w:rsidR="001E6B1A" w:rsidRPr="00735D4F" w:rsidRDefault="001E6B1A" w:rsidP="001E6B1A">
      <w:pPr>
        <w:spacing w:line="360" w:lineRule="auto"/>
        <w:contextualSpacing/>
        <w:jc w:val="both"/>
        <w:rPr>
          <w:rFonts w:asciiTheme="majorBidi" w:hAnsiTheme="majorBidi" w:cstheme="majorBidi"/>
          <w:sz w:val="20"/>
          <w:szCs w:val="20"/>
        </w:rPr>
      </w:pPr>
      <w:r w:rsidRPr="00735D4F">
        <w:rPr>
          <w:rFonts w:asciiTheme="majorBidi" w:hAnsiTheme="majorBidi" w:cstheme="majorBidi"/>
          <w:sz w:val="20"/>
          <w:szCs w:val="20"/>
        </w:rPr>
        <w:t xml:space="preserve">The </w:t>
      </w:r>
      <w:proofErr w:type="spellStart"/>
      <w:r w:rsidRPr="00735D4F">
        <w:rPr>
          <w:rFonts w:asciiTheme="majorBidi" w:hAnsiTheme="majorBidi" w:cstheme="majorBidi"/>
          <w:sz w:val="20"/>
          <w:szCs w:val="20"/>
        </w:rPr>
        <w:t>signalling</w:t>
      </w:r>
      <w:proofErr w:type="spellEnd"/>
      <w:r w:rsidRPr="00735D4F">
        <w:rPr>
          <w:rFonts w:asciiTheme="majorBidi" w:hAnsiTheme="majorBidi" w:cstheme="majorBidi"/>
          <w:sz w:val="20"/>
          <w:szCs w:val="20"/>
        </w:rPr>
        <w:t xml:space="preserve"> theory complements this perspective by explaining how dividends are used to convey private information about future earnings. Initially proposed by Bhattacharya (1979) and extended by Miller and Rock (1985), this theory holds that dividends act as credible signals in environments </w:t>
      </w:r>
      <w:proofErr w:type="spellStart"/>
      <w:r w:rsidRPr="00735D4F">
        <w:rPr>
          <w:rFonts w:asciiTheme="majorBidi" w:hAnsiTheme="majorBidi" w:cstheme="majorBidi"/>
          <w:sz w:val="20"/>
          <w:szCs w:val="20"/>
        </w:rPr>
        <w:t>characterised</w:t>
      </w:r>
      <w:proofErr w:type="spellEnd"/>
      <w:r w:rsidRPr="00735D4F">
        <w:rPr>
          <w:rFonts w:asciiTheme="majorBidi" w:hAnsiTheme="majorBidi" w:cstheme="majorBidi"/>
          <w:sz w:val="20"/>
          <w:szCs w:val="20"/>
        </w:rPr>
        <w:t xml:space="preserve"> by information asymmetry and limited reliability of earnings reports (AlGhazali et al., 2024; Sinha &amp; Kumar, 2024). </w:t>
      </w:r>
    </w:p>
    <w:p w14:paraId="0388FA36" w14:textId="77777777" w:rsidR="001E6B1A" w:rsidRPr="00735D4F" w:rsidRDefault="001E6B1A" w:rsidP="001E6B1A">
      <w:pPr>
        <w:spacing w:line="360" w:lineRule="auto"/>
        <w:contextualSpacing/>
        <w:jc w:val="both"/>
        <w:rPr>
          <w:rFonts w:asciiTheme="majorBidi" w:hAnsiTheme="majorBidi" w:cstheme="majorBidi"/>
          <w:sz w:val="20"/>
          <w:szCs w:val="20"/>
        </w:rPr>
      </w:pPr>
      <w:r w:rsidRPr="00735D4F">
        <w:rPr>
          <w:rFonts w:asciiTheme="majorBidi" w:hAnsiTheme="majorBidi" w:cstheme="majorBidi"/>
          <w:sz w:val="20"/>
          <w:szCs w:val="20"/>
        </w:rPr>
        <w:t xml:space="preserve">In Nigeria, where delays in financial reporting are common, dividend announcements play a central role in investor decision-making. The effectiveness of these signals is influenced by ownership structure, as institutional and foreign investors are more likely to interpret dividends as reliable indicators of firm value and management competence. Together, these theories suggest that dividend policy is shaped not only by earnings or board discretion but also by the interaction between ownership structure and profitability. Agency theory accounts for variations in governance-driven incentives, while </w:t>
      </w:r>
      <w:proofErr w:type="spellStart"/>
      <w:r w:rsidRPr="00735D4F">
        <w:rPr>
          <w:rFonts w:asciiTheme="majorBidi" w:hAnsiTheme="majorBidi" w:cstheme="majorBidi"/>
          <w:sz w:val="20"/>
          <w:szCs w:val="20"/>
        </w:rPr>
        <w:t>signalling</w:t>
      </w:r>
      <w:proofErr w:type="spellEnd"/>
      <w:r w:rsidRPr="00735D4F">
        <w:rPr>
          <w:rFonts w:asciiTheme="majorBidi" w:hAnsiTheme="majorBidi" w:cstheme="majorBidi"/>
          <w:sz w:val="20"/>
          <w:szCs w:val="20"/>
        </w:rPr>
        <w:t xml:space="preserve"> theory underscores the informational role of dividends. Profitability moderates these relationships, influencing how ownership affects dividend policy under differing earnings conditions. This integrated framework enables a more nuanced understanding of dividend decisions, particularly within the regulatory and governance complexities of the Nigerian banking sector.</w:t>
      </w:r>
    </w:p>
    <w:p w14:paraId="38F3AE07" w14:textId="77777777" w:rsidR="001E6B1A" w:rsidRPr="00735D4F" w:rsidRDefault="001E6B1A" w:rsidP="001E6B1A">
      <w:pPr>
        <w:pStyle w:val="Heading2"/>
        <w:rPr>
          <w:rFonts w:asciiTheme="majorBidi" w:hAnsiTheme="majorBidi" w:cstheme="majorBidi"/>
          <w:b/>
          <w:bCs/>
          <w:color w:val="auto"/>
          <w:sz w:val="20"/>
          <w:szCs w:val="20"/>
        </w:rPr>
      </w:pPr>
      <w:r w:rsidRPr="00735D4F">
        <w:rPr>
          <w:rFonts w:asciiTheme="majorBidi" w:hAnsiTheme="majorBidi" w:cstheme="majorBidi"/>
          <w:b/>
          <w:bCs/>
          <w:color w:val="auto"/>
          <w:sz w:val="20"/>
          <w:szCs w:val="20"/>
        </w:rPr>
        <w:t>2.2 Empirical Review and Hypotheses Development</w:t>
      </w:r>
    </w:p>
    <w:p w14:paraId="77681629" w14:textId="77777777" w:rsidR="001E6B1A" w:rsidRPr="00735D4F" w:rsidRDefault="001E6B1A" w:rsidP="001E6B1A">
      <w:pPr>
        <w:spacing w:line="360" w:lineRule="auto"/>
        <w:contextualSpacing/>
        <w:jc w:val="both"/>
        <w:rPr>
          <w:rFonts w:asciiTheme="majorBidi" w:eastAsia="DengXian Light" w:hAnsiTheme="majorBidi" w:cstheme="majorBidi"/>
          <w:sz w:val="20"/>
          <w:szCs w:val="20"/>
        </w:rPr>
      </w:pPr>
      <w:r w:rsidRPr="00735D4F">
        <w:rPr>
          <w:rFonts w:asciiTheme="majorBidi" w:eastAsia="DengXian Light" w:hAnsiTheme="majorBidi" w:cstheme="majorBidi"/>
          <w:sz w:val="20"/>
          <w:szCs w:val="20"/>
        </w:rPr>
        <w:t xml:space="preserve">A significant body of literature has explored the determinants of dividend policy, particularly in relation to ownership structure and profitability. However, findings have varied considerably across contexts, ownership categories, and methodological approaches. This section </w:t>
      </w:r>
      <w:proofErr w:type="spellStart"/>
      <w:r w:rsidRPr="00735D4F">
        <w:rPr>
          <w:rFonts w:asciiTheme="majorBidi" w:eastAsia="DengXian Light" w:hAnsiTheme="majorBidi" w:cstheme="majorBidi"/>
          <w:sz w:val="20"/>
          <w:szCs w:val="20"/>
        </w:rPr>
        <w:t>synthesises</w:t>
      </w:r>
      <w:proofErr w:type="spellEnd"/>
      <w:r w:rsidRPr="00735D4F">
        <w:rPr>
          <w:rFonts w:asciiTheme="majorBidi" w:eastAsia="DengXian Light" w:hAnsiTheme="majorBidi" w:cstheme="majorBidi"/>
          <w:sz w:val="20"/>
          <w:szCs w:val="20"/>
        </w:rPr>
        <w:t xml:space="preserve"> the empirical findings relevant to this study and develops hypotheses in line with theoretical expectations, while </w:t>
      </w:r>
      <w:proofErr w:type="spellStart"/>
      <w:r w:rsidRPr="00735D4F">
        <w:rPr>
          <w:rFonts w:asciiTheme="majorBidi" w:eastAsia="DengXian Light" w:hAnsiTheme="majorBidi" w:cstheme="majorBidi"/>
          <w:sz w:val="20"/>
          <w:szCs w:val="20"/>
        </w:rPr>
        <w:t>recognising</w:t>
      </w:r>
      <w:proofErr w:type="spellEnd"/>
      <w:r w:rsidRPr="00735D4F">
        <w:rPr>
          <w:rFonts w:asciiTheme="majorBidi" w:eastAsia="DengXian Light" w:hAnsiTheme="majorBidi" w:cstheme="majorBidi"/>
          <w:sz w:val="20"/>
          <w:szCs w:val="20"/>
        </w:rPr>
        <w:t xml:space="preserve"> gaps in the literature.</w:t>
      </w:r>
    </w:p>
    <w:p w14:paraId="6F271801" w14:textId="77777777" w:rsidR="001E6B1A" w:rsidRPr="00735D4F" w:rsidRDefault="001E6B1A" w:rsidP="001E6B1A">
      <w:pPr>
        <w:pStyle w:val="Heading3"/>
        <w:rPr>
          <w:rFonts w:asciiTheme="majorBidi" w:hAnsiTheme="majorBidi" w:cstheme="majorBidi"/>
          <w:b/>
          <w:bCs/>
          <w:color w:val="auto"/>
          <w:sz w:val="22"/>
          <w:szCs w:val="22"/>
        </w:rPr>
      </w:pPr>
      <w:r w:rsidRPr="00735D4F">
        <w:rPr>
          <w:rFonts w:asciiTheme="majorBidi" w:hAnsiTheme="majorBidi" w:cstheme="majorBidi"/>
          <w:b/>
          <w:bCs/>
          <w:color w:val="auto"/>
          <w:sz w:val="22"/>
          <w:szCs w:val="22"/>
        </w:rPr>
        <w:lastRenderedPageBreak/>
        <w:t>2.3.1 Managerial Ownership and Dividend Policy</w:t>
      </w:r>
    </w:p>
    <w:p w14:paraId="49D0DAF8" w14:textId="77777777" w:rsidR="001E6B1A" w:rsidRPr="00735D4F" w:rsidRDefault="001E6B1A" w:rsidP="001E6B1A">
      <w:pPr>
        <w:spacing w:line="360" w:lineRule="auto"/>
        <w:contextualSpacing/>
        <w:jc w:val="both"/>
        <w:rPr>
          <w:rFonts w:asciiTheme="majorBidi" w:eastAsia="DengXian Light" w:hAnsiTheme="majorBidi" w:cstheme="majorBidi"/>
          <w:sz w:val="20"/>
          <w:szCs w:val="20"/>
        </w:rPr>
      </w:pPr>
      <w:r w:rsidRPr="00735D4F">
        <w:rPr>
          <w:rFonts w:asciiTheme="majorBidi" w:eastAsia="DengXian Light" w:hAnsiTheme="majorBidi" w:cstheme="majorBidi"/>
          <w:sz w:val="20"/>
          <w:szCs w:val="20"/>
        </w:rPr>
        <w:t xml:space="preserve">Managerial ownership refers to the proportion of a company’s shares held by its executives and board members. According to agency theory (Jensen &amp; Meckling, 1976), when managers are shareholders, they may align their interests with those of other shareholders, potentially supporting dividend payments. However, empirical findings are mixed. Yahaya (2025) found a positive and significant effect of board ownership on dividend payouts in Nigerian non-financial firms, suggesting dividends are used as a </w:t>
      </w:r>
      <w:proofErr w:type="spellStart"/>
      <w:r w:rsidRPr="00735D4F">
        <w:rPr>
          <w:rFonts w:asciiTheme="majorBidi" w:eastAsia="DengXian Light" w:hAnsiTheme="majorBidi" w:cstheme="majorBidi"/>
          <w:sz w:val="20"/>
          <w:szCs w:val="20"/>
        </w:rPr>
        <w:t>signalling</w:t>
      </w:r>
      <w:proofErr w:type="spellEnd"/>
      <w:r w:rsidRPr="00735D4F">
        <w:rPr>
          <w:rFonts w:asciiTheme="majorBidi" w:eastAsia="DengXian Light" w:hAnsiTheme="majorBidi" w:cstheme="majorBidi"/>
          <w:sz w:val="20"/>
          <w:szCs w:val="20"/>
        </w:rPr>
        <w:t xml:space="preserve"> and self-benefiting mechanism. Conversely, Ismail and </w:t>
      </w:r>
      <w:proofErr w:type="spellStart"/>
      <w:r w:rsidRPr="00735D4F">
        <w:rPr>
          <w:rFonts w:asciiTheme="majorBidi" w:eastAsia="DengXian Light" w:hAnsiTheme="majorBidi" w:cstheme="majorBidi"/>
          <w:sz w:val="20"/>
          <w:szCs w:val="20"/>
        </w:rPr>
        <w:t>Anridho</w:t>
      </w:r>
      <w:proofErr w:type="spellEnd"/>
      <w:r w:rsidRPr="00735D4F">
        <w:rPr>
          <w:rFonts w:asciiTheme="majorBidi" w:eastAsia="DengXian Light" w:hAnsiTheme="majorBidi" w:cstheme="majorBidi"/>
          <w:sz w:val="20"/>
          <w:szCs w:val="20"/>
        </w:rPr>
        <w:t xml:space="preserve"> (2024) and Akilla et al. (2024) reported a negative or insignificant effect of managerial ownership on dividend policy in Indonesian SOEs and Nigerian banks, respectively. These findings support the entrenchment hypothesis (Morck et al., 1988), which posits that beyond a certain ownership threshold, managers prefer to retain earnings to pursue personal projects, thereby reducing dividend payouts. In regulated environments like banking, dividend decisions may be influenced more by prudential norms than ownership structure. Therefore, the relationship between managerial ownership and dividend policy remains context specific.</w:t>
      </w:r>
    </w:p>
    <w:p w14:paraId="6C6D38A1" w14:textId="77777777" w:rsidR="001E6B1A" w:rsidRPr="00735D4F" w:rsidRDefault="001E6B1A" w:rsidP="001E6B1A">
      <w:pPr>
        <w:spacing w:line="360" w:lineRule="auto"/>
        <w:contextualSpacing/>
        <w:jc w:val="both"/>
        <w:rPr>
          <w:rFonts w:asciiTheme="majorBidi" w:eastAsia="DengXian Light" w:hAnsiTheme="majorBidi" w:cstheme="majorBidi"/>
          <w:i/>
          <w:iCs/>
          <w:sz w:val="20"/>
          <w:szCs w:val="20"/>
        </w:rPr>
      </w:pPr>
      <w:r w:rsidRPr="00735D4F">
        <w:rPr>
          <w:rFonts w:asciiTheme="majorBidi" w:eastAsia="DengXian Light" w:hAnsiTheme="majorBidi" w:cstheme="majorBidi"/>
          <w:i/>
          <w:iCs/>
          <w:sz w:val="20"/>
          <w:szCs w:val="20"/>
        </w:rPr>
        <w:t>Hypothesis 1 (H1): Managerial ownership is negatively associated with dividend payout ratios of listed deposit money banks in Nigeria.</w:t>
      </w:r>
    </w:p>
    <w:p w14:paraId="35225ED7" w14:textId="77777777" w:rsidR="001E6B1A" w:rsidRPr="00735D4F" w:rsidRDefault="001E6B1A" w:rsidP="001E6B1A">
      <w:pPr>
        <w:pStyle w:val="Heading3"/>
        <w:rPr>
          <w:rFonts w:asciiTheme="majorBidi" w:hAnsiTheme="majorBidi" w:cstheme="majorBidi"/>
          <w:b/>
          <w:bCs/>
          <w:color w:val="auto"/>
          <w:sz w:val="22"/>
          <w:szCs w:val="22"/>
        </w:rPr>
      </w:pPr>
      <w:r w:rsidRPr="00735D4F">
        <w:rPr>
          <w:rFonts w:asciiTheme="majorBidi" w:hAnsiTheme="majorBidi" w:cstheme="majorBidi"/>
          <w:b/>
          <w:bCs/>
          <w:color w:val="auto"/>
          <w:sz w:val="22"/>
          <w:szCs w:val="22"/>
        </w:rPr>
        <w:t>2.3.2 Institutional Ownership and Dividend Policy</w:t>
      </w:r>
    </w:p>
    <w:p w14:paraId="029D3CBE" w14:textId="77777777" w:rsidR="001E6B1A" w:rsidRPr="00735D4F" w:rsidRDefault="001E6B1A" w:rsidP="001E6B1A">
      <w:pPr>
        <w:spacing w:line="360" w:lineRule="auto"/>
        <w:contextualSpacing/>
        <w:jc w:val="both"/>
        <w:rPr>
          <w:rFonts w:asciiTheme="majorBidi" w:eastAsia="DengXian Light" w:hAnsiTheme="majorBidi" w:cstheme="majorBidi"/>
          <w:sz w:val="20"/>
          <w:szCs w:val="20"/>
        </w:rPr>
      </w:pPr>
      <w:r w:rsidRPr="00735D4F">
        <w:rPr>
          <w:rFonts w:asciiTheme="majorBidi" w:eastAsia="DengXian Light" w:hAnsiTheme="majorBidi" w:cstheme="majorBidi"/>
          <w:sz w:val="20"/>
          <w:szCs w:val="20"/>
        </w:rPr>
        <w:t xml:space="preserve">Institutional ownership (IO) plays a pivotal role in shaping dividend policy, particularly in the banking sector where strategic monitoring by institutional investors may mitigate agency conflicts and influence payout decisions. Theoretically, institutional investors are presumed to </w:t>
      </w:r>
      <w:proofErr w:type="spellStart"/>
      <w:r w:rsidRPr="00735D4F">
        <w:rPr>
          <w:rFonts w:asciiTheme="majorBidi" w:eastAsia="DengXian Light" w:hAnsiTheme="majorBidi" w:cstheme="majorBidi"/>
          <w:sz w:val="20"/>
          <w:szCs w:val="20"/>
        </w:rPr>
        <w:t>favour</w:t>
      </w:r>
      <w:proofErr w:type="spellEnd"/>
      <w:r w:rsidRPr="00735D4F">
        <w:rPr>
          <w:rFonts w:asciiTheme="majorBidi" w:eastAsia="DengXian Light" w:hAnsiTheme="majorBidi" w:cstheme="majorBidi"/>
          <w:sz w:val="20"/>
          <w:szCs w:val="20"/>
        </w:rPr>
        <w:t xml:space="preserve"> dividend policies that ensure transparency and reduce managerial discretion over free cash flows (Jensen, 1986). However, empirical findings across emerging markets </w:t>
      </w:r>
      <w:proofErr w:type="gramStart"/>
      <w:r w:rsidRPr="00735D4F">
        <w:rPr>
          <w:rFonts w:asciiTheme="majorBidi" w:eastAsia="DengXian Light" w:hAnsiTheme="majorBidi" w:cstheme="majorBidi"/>
          <w:sz w:val="20"/>
          <w:szCs w:val="20"/>
        </w:rPr>
        <w:t>have shown</w:t>
      </w:r>
      <w:proofErr w:type="gramEnd"/>
      <w:r w:rsidRPr="00735D4F">
        <w:rPr>
          <w:rFonts w:asciiTheme="majorBidi" w:eastAsia="DengXian Light" w:hAnsiTheme="majorBidi" w:cstheme="majorBidi"/>
          <w:sz w:val="20"/>
          <w:szCs w:val="20"/>
        </w:rPr>
        <w:t xml:space="preserve"> nuanced outcomes.</w:t>
      </w:r>
    </w:p>
    <w:p w14:paraId="6530084F" w14:textId="77777777" w:rsidR="001E6B1A" w:rsidRPr="00735D4F" w:rsidRDefault="001E6B1A" w:rsidP="001E6B1A">
      <w:pPr>
        <w:spacing w:line="360" w:lineRule="auto"/>
        <w:contextualSpacing/>
        <w:jc w:val="both"/>
        <w:rPr>
          <w:rFonts w:asciiTheme="majorBidi" w:eastAsia="DengXian Light" w:hAnsiTheme="majorBidi" w:cstheme="majorBidi"/>
          <w:sz w:val="20"/>
          <w:szCs w:val="20"/>
        </w:rPr>
      </w:pPr>
      <w:r w:rsidRPr="00735D4F">
        <w:rPr>
          <w:rFonts w:asciiTheme="majorBidi" w:eastAsia="DengXian Light" w:hAnsiTheme="majorBidi" w:cstheme="majorBidi"/>
          <w:sz w:val="20"/>
          <w:szCs w:val="20"/>
        </w:rPr>
        <w:t>In the context of Nigeria, Akpadaka et al. (2024) reported a significant positive association between institutional ownership and dividend payout among listed manufacturing firms on the Nigerian Exchange. The authors argue that institutional investors, by virtue of their voting rights and monitoring capabilities, encourage higher dividends as a mechanism for mitigating agency costs. Similarly, Yahaya et al. (2025b) supported the view that institutional investors demand consistent dividend payments to reduce the likelihood of expropriation by insiders. Conversely, in some cases, institutional investors may align with entrenched management, leading to a neutral or even negative influence on dividend policy (</w:t>
      </w:r>
      <w:proofErr w:type="spellStart"/>
      <w:r w:rsidRPr="00735D4F">
        <w:rPr>
          <w:rFonts w:asciiTheme="majorBidi" w:hAnsiTheme="majorBidi" w:cstheme="majorBidi"/>
          <w:sz w:val="20"/>
          <w:szCs w:val="20"/>
        </w:rPr>
        <w:t>Tayachi</w:t>
      </w:r>
      <w:proofErr w:type="spellEnd"/>
      <w:r w:rsidRPr="00735D4F">
        <w:rPr>
          <w:rFonts w:asciiTheme="majorBidi" w:hAnsiTheme="majorBidi" w:cstheme="majorBidi"/>
          <w:sz w:val="20"/>
          <w:szCs w:val="20"/>
        </w:rPr>
        <w:t xml:space="preserve"> et al</w:t>
      </w:r>
      <w:r w:rsidRPr="00735D4F">
        <w:rPr>
          <w:rFonts w:asciiTheme="majorBidi" w:eastAsia="DengXian Light" w:hAnsiTheme="majorBidi" w:cstheme="majorBidi"/>
          <w:sz w:val="20"/>
          <w:szCs w:val="20"/>
        </w:rPr>
        <w:t xml:space="preserve">., 2021; </w:t>
      </w:r>
      <w:r w:rsidRPr="00735D4F">
        <w:rPr>
          <w:rFonts w:asciiTheme="majorBidi" w:hAnsiTheme="majorBidi" w:cstheme="majorBidi"/>
          <w:sz w:val="20"/>
          <w:szCs w:val="20"/>
        </w:rPr>
        <w:t>Wijaya, 2023</w:t>
      </w:r>
      <w:r w:rsidRPr="00735D4F">
        <w:rPr>
          <w:rFonts w:asciiTheme="majorBidi" w:eastAsia="DengXian Light" w:hAnsiTheme="majorBidi" w:cstheme="majorBidi"/>
          <w:sz w:val="20"/>
          <w:szCs w:val="20"/>
        </w:rPr>
        <w:t>). These findings underscore the dual agency perspective where institutional investors can either function as active monitors or as passive allies to management depending on their investment horizon and strategic interest.</w:t>
      </w:r>
    </w:p>
    <w:p w14:paraId="7EBB9CE2" w14:textId="77777777" w:rsidR="001E6B1A" w:rsidRPr="00735D4F" w:rsidRDefault="001E6B1A" w:rsidP="001E6B1A">
      <w:pPr>
        <w:spacing w:line="360" w:lineRule="auto"/>
        <w:contextualSpacing/>
        <w:jc w:val="both"/>
        <w:rPr>
          <w:rFonts w:asciiTheme="majorBidi" w:eastAsia="DengXian Light" w:hAnsiTheme="majorBidi" w:cstheme="majorBidi"/>
          <w:i/>
          <w:iCs/>
          <w:sz w:val="20"/>
          <w:szCs w:val="20"/>
        </w:rPr>
      </w:pPr>
      <w:r w:rsidRPr="00735D4F">
        <w:rPr>
          <w:rFonts w:asciiTheme="majorBidi" w:eastAsia="DengXian Light" w:hAnsiTheme="majorBidi" w:cstheme="majorBidi"/>
          <w:b/>
          <w:bCs/>
          <w:i/>
          <w:iCs/>
          <w:sz w:val="20"/>
          <w:szCs w:val="20"/>
        </w:rPr>
        <w:t>H2:</w:t>
      </w:r>
      <w:r w:rsidRPr="00735D4F">
        <w:rPr>
          <w:rFonts w:asciiTheme="majorBidi" w:eastAsia="DengXian Light" w:hAnsiTheme="majorBidi" w:cstheme="majorBidi"/>
          <w:i/>
          <w:iCs/>
          <w:sz w:val="20"/>
          <w:szCs w:val="20"/>
        </w:rPr>
        <w:t xml:space="preserve"> Institutional ownership is positively associated with dividend payout ratios of listed deposit money banks in Nigeria.</w:t>
      </w:r>
    </w:p>
    <w:p w14:paraId="7E7E874E" w14:textId="77777777" w:rsidR="001E6B1A" w:rsidRPr="00735D4F" w:rsidRDefault="001E6B1A" w:rsidP="001E6B1A">
      <w:pPr>
        <w:pStyle w:val="Heading3"/>
        <w:rPr>
          <w:rFonts w:asciiTheme="majorBidi" w:hAnsiTheme="majorBidi" w:cstheme="majorBidi"/>
          <w:b/>
          <w:bCs/>
          <w:sz w:val="20"/>
          <w:szCs w:val="20"/>
        </w:rPr>
      </w:pPr>
      <w:r w:rsidRPr="00735D4F">
        <w:rPr>
          <w:rFonts w:asciiTheme="majorBidi" w:hAnsiTheme="majorBidi" w:cstheme="majorBidi"/>
          <w:b/>
          <w:bCs/>
          <w:color w:val="auto"/>
          <w:sz w:val="20"/>
          <w:szCs w:val="20"/>
        </w:rPr>
        <w:t>2.3.3 Foreign Ownership and Dividend Policy</w:t>
      </w:r>
    </w:p>
    <w:p w14:paraId="5719A941" w14:textId="77777777" w:rsidR="001E6B1A" w:rsidRPr="00735D4F" w:rsidRDefault="001E6B1A" w:rsidP="001E6B1A">
      <w:pPr>
        <w:spacing w:line="360" w:lineRule="auto"/>
        <w:contextualSpacing/>
        <w:jc w:val="both"/>
        <w:rPr>
          <w:rFonts w:asciiTheme="majorBidi" w:eastAsia="DengXian Light" w:hAnsiTheme="majorBidi" w:cstheme="majorBidi"/>
          <w:sz w:val="20"/>
          <w:szCs w:val="20"/>
        </w:rPr>
      </w:pPr>
      <w:r w:rsidRPr="00735D4F">
        <w:rPr>
          <w:rFonts w:asciiTheme="majorBidi" w:eastAsia="DengXian Light" w:hAnsiTheme="majorBidi" w:cstheme="majorBidi"/>
          <w:sz w:val="20"/>
          <w:szCs w:val="20"/>
        </w:rPr>
        <w:t xml:space="preserve">Foreign investors are typically more risk-averse and demand transparent financial practices, especially in jurisdictions </w:t>
      </w:r>
      <w:proofErr w:type="spellStart"/>
      <w:r w:rsidRPr="00735D4F">
        <w:rPr>
          <w:rFonts w:asciiTheme="majorBidi" w:eastAsia="DengXian Light" w:hAnsiTheme="majorBidi" w:cstheme="majorBidi"/>
          <w:sz w:val="20"/>
          <w:szCs w:val="20"/>
        </w:rPr>
        <w:t>characterised</w:t>
      </w:r>
      <w:proofErr w:type="spellEnd"/>
      <w:r w:rsidRPr="00735D4F">
        <w:rPr>
          <w:rFonts w:asciiTheme="majorBidi" w:eastAsia="DengXian Light" w:hAnsiTheme="majorBidi" w:cstheme="majorBidi"/>
          <w:sz w:val="20"/>
          <w:szCs w:val="20"/>
        </w:rPr>
        <w:t xml:space="preserve"> by weak legal enforcement and high information asymmetry. In such settings, dividends serve as an effective tool to mitigate agency conflicts and reduce the risk of expropriation by insiders (</w:t>
      </w:r>
      <w:proofErr w:type="spellStart"/>
      <w:r w:rsidRPr="00735D4F">
        <w:rPr>
          <w:rFonts w:asciiTheme="majorBidi" w:eastAsia="DengXian Light" w:hAnsiTheme="majorBidi" w:cstheme="majorBidi"/>
          <w:sz w:val="20"/>
          <w:szCs w:val="20"/>
        </w:rPr>
        <w:t>Duqi</w:t>
      </w:r>
      <w:proofErr w:type="spellEnd"/>
      <w:r w:rsidRPr="00735D4F">
        <w:rPr>
          <w:rFonts w:asciiTheme="majorBidi" w:eastAsia="DengXian Light" w:hAnsiTheme="majorBidi" w:cstheme="majorBidi"/>
          <w:sz w:val="20"/>
          <w:szCs w:val="20"/>
        </w:rPr>
        <w:t xml:space="preserve">, 2020; </w:t>
      </w:r>
      <w:proofErr w:type="spellStart"/>
      <w:r w:rsidRPr="00735D4F">
        <w:rPr>
          <w:rFonts w:asciiTheme="majorBidi" w:eastAsia="DengXian Light" w:hAnsiTheme="majorBidi" w:cstheme="majorBidi"/>
          <w:sz w:val="20"/>
          <w:szCs w:val="20"/>
        </w:rPr>
        <w:t>Loncan</w:t>
      </w:r>
      <w:proofErr w:type="spellEnd"/>
      <w:r w:rsidRPr="00735D4F">
        <w:rPr>
          <w:rFonts w:asciiTheme="majorBidi" w:eastAsia="DengXian Light" w:hAnsiTheme="majorBidi" w:cstheme="majorBidi"/>
          <w:sz w:val="20"/>
          <w:szCs w:val="20"/>
        </w:rPr>
        <w:t>, 2020). Moreover, regular dividend payments facilitate income repatriation, making the host market more attractive to foreign capital.</w:t>
      </w:r>
    </w:p>
    <w:p w14:paraId="0E7F0E70" w14:textId="77777777" w:rsidR="001E6B1A" w:rsidRPr="00735D4F" w:rsidRDefault="001E6B1A" w:rsidP="001E6B1A">
      <w:pPr>
        <w:spacing w:line="360" w:lineRule="auto"/>
        <w:contextualSpacing/>
        <w:jc w:val="both"/>
        <w:rPr>
          <w:rFonts w:asciiTheme="majorBidi" w:eastAsia="DengXian Light" w:hAnsiTheme="majorBidi" w:cstheme="majorBidi"/>
          <w:sz w:val="20"/>
          <w:szCs w:val="20"/>
        </w:rPr>
      </w:pPr>
      <w:r w:rsidRPr="00735D4F">
        <w:rPr>
          <w:rFonts w:asciiTheme="majorBidi" w:eastAsia="DengXian Light" w:hAnsiTheme="majorBidi" w:cstheme="majorBidi"/>
          <w:sz w:val="20"/>
          <w:szCs w:val="20"/>
        </w:rPr>
        <w:t xml:space="preserve">Empirical studies have provided substantial support for this argument. In Nigeria and other comparable economies, foreign ownership has been found to positively influence dividend payouts, aligning with both the agency theory </w:t>
      </w:r>
      <w:r w:rsidRPr="00735D4F">
        <w:rPr>
          <w:rFonts w:asciiTheme="majorBidi" w:eastAsia="DengXian Light" w:hAnsiTheme="majorBidi" w:cstheme="majorBidi"/>
          <w:sz w:val="20"/>
          <w:szCs w:val="20"/>
        </w:rPr>
        <w:lastRenderedPageBreak/>
        <w:t xml:space="preserve">and </w:t>
      </w:r>
      <w:proofErr w:type="spellStart"/>
      <w:r w:rsidRPr="00735D4F">
        <w:rPr>
          <w:rFonts w:asciiTheme="majorBidi" w:eastAsia="DengXian Light" w:hAnsiTheme="majorBidi" w:cstheme="majorBidi"/>
          <w:sz w:val="20"/>
          <w:szCs w:val="20"/>
        </w:rPr>
        <w:t>signalling</w:t>
      </w:r>
      <w:proofErr w:type="spellEnd"/>
      <w:r w:rsidRPr="00735D4F">
        <w:rPr>
          <w:rFonts w:asciiTheme="majorBidi" w:eastAsia="DengXian Light" w:hAnsiTheme="majorBidi" w:cstheme="majorBidi"/>
          <w:sz w:val="20"/>
          <w:szCs w:val="20"/>
        </w:rPr>
        <w:t xml:space="preserve"> theory (Idris, 2023; Aslam et al., 2023). These investors often demand consistent and substantial dividends as reassurance of managerial discipline and firm performance. However, contrasting evidence exists. For instance, Bataineh (2020), examining Jordanian industrial and service firms, found a negative relationship between foreign ownership and dividend payments, suggesting that in some contexts, foreign investors may </w:t>
      </w:r>
      <w:proofErr w:type="spellStart"/>
      <w:r w:rsidRPr="00735D4F">
        <w:rPr>
          <w:rFonts w:asciiTheme="majorBidi" w:eastAsia="DengXian Light" w:hAnsiTheme="majorBidi" w:cstheme="majorBidi"/>
          <w:sz w:val="20"/>
          <w:szCs w:val="20"/>
        </w:rPr>
        <w:t>prioritise</w:t>
      </w:r>
      <w:proofErr w:type="spellEnd"/>
      <w:r w:rsidRPr="00735D4F">
        <w:rPr>
          <w:rFonts w:asciiTheme="majorBidi" w:eastAsia="DengXian Light" w:hAnsiTheme="majorBidi" w:cstheme="majorBidi"/>
          <w:sz w:val="20"/>
          <w:szCs w:val="20"/>
        </w:rPr>
        <w:t xml:space="preserve"> capital gains or reinvestment strategies over immediate returns.</w:t>
      </w:r>
    </w:p>
    <w:p w14:paraId="3B59A0C6" w14:textId="77777777" w:rsidR="001E6B1A" w:rsidRPr="00735D4F" w:rsidRDefault="001E6B1A" w:rsidP="001E6B1A">
      <w:pPr>
        <w:spacing w:line="360" w:lineRule="auto"/>
        <w:contextualSpacing/>
        <w:jc w:val="both"/>
        <w:rPr>
          <w:rFonts w:asciiTheme="majorBidi" w:eastAsia="DengXian Light" w:hAnsiTheme="majorBidi" w:cstheme="majorBidi"/>
          <w:i/>
          <w:iCs/>
          <w:sz w:val="20"/>
          <w:szCs w:val="20"/>
        </w:rPr>
      </w:pPr>
      <w:r w:rsidRPr="00735D4F">
        <w:rPr>
          <w:rFonts w:asciiTheme="majorBidi" w:eastAsia="DengXian Light" w:hAnsiTheme="majorBidi" w:cstheme="majorBidi"/>
          <w:b/>
          <w:bCs/>
          <w:i/>
          <w:iCs/>
          <w:sz w:val="20"/>
          <w:szCs w:val="20"/>
        </w:rPr>
        <w:t>H3</w:t>
      </w:r>
      <w:r w:rsidRPr="00735D4F">
        <w:rPr>
          <w:rFonts w:asciiTheme="majorBidi" w:eastAsia="DengXian Light" w:hAnsiTheme="majorBidi" w:cstheme="majorBidi"/>
          <w:i/>
          <w:iCs/>
          <w:sz w:val="20"/>
          <w:szCs w:val="20"/>
        </w:rPr>
        <w:t>: Foreign ownership is positively associated with dividend payout ratios of listed deposit money banks in Nigeria.</w:t>
      </w:r>
    </w:p>
    <w:p w14:paraId="7879ADB5" w14:textId="77777777" w:rsidR="001E6B1A" w:rsidRPr="00735D4F" w:rsidRDefault="001E6B1A" w:rsidP="001E6B1A">
      <w:pPr>
        <w:pStyle w:val="Heading3"/>
        <w:rPr>
          <w:rFonts w:asciiTheme="majorBidi" w:hAnsiTheme="majorBidi" w:cstheme="majorBidi"/>
          <w:b/>
          <w:bCs/>
          <w:sz w:val="20"/>
          <w:szCs w:val="20"/>
        </w:rPr>
      </w:pPr>
      <w:r w:rsidRPr="00735D4F">
        <w:rPr>
          <w:rFonts w:asciiTheme="majorBidi" w:hAnsiTheme="majorBidi" w:cstheme="majorBidi"/>
          <w:b/>
          <w:bCs/>
          <w:sz w:val="20"/>
          <w:szCs w:val="20"/>
        </w:rPr>
        <w:t>2.3.4 Profitability and Dividend Policy</w:t>
      </w:r>
    </w:p>
    <w:p w14:paraId="6F09FA87" w14:textId="77777777" w:rsidR="001E6B1A" w:rsidRPr="00735D4F" w:rsidRDefault="001E6B1A" w:rsidP="001E6B1A">
      <w:pPr>
        <w:spacing w:line="360" w:lineRule="auto"/>
        <w:contextualSpacing/>
        <w:jc w:val="both"/>
        <w:rPr>
          <w:rFonts w:asciiTheme="majorBidi" w:eastAsia="DengXian Light" w:hAnsiTheme="majorBidi" w:cstheme="majorBidi"/>
          <w:sz w:val="20"/>
          <w:szCs w:val="20"/>
        </w:rPr>
      </w:pPr>
      <w:r w:rsidRPr="00735D4F">
        <w:rPr>
          <w:rFonts w:asciiTheme="majorBidi" w:eastAsia="DengXian Light" w:hAnsiTheme="majorBidi" w:cstheme="majorBidi"/>
          <w:sz w:val="20"/>
          <w:szCs w:val="20"/>
        </w:rPr>
        <w:t xml:space="preserve">Firms with stronger earnings performance typically have a greater capacity to pay dividends, making profitability an important factor in dividend decisions. Empirical evidence supports a positive relationship between profitability and dividend payout. </w:t>
      </w:r>
      <w:proofErr w:type="spellStart"/>
      <w:r w:rsidRPr="00735D4F">
        <w:rPr>
          <w:rFonts w:asciiTheme="majorBidi" w:eastAsia="DengXian Light" w:hAnsiTheme="majorBidi" w:cstheme="majorBidi"/>
          <w:sz w:val="20"/>
          <w:szCs w:val="20"/>
        </w:rPr>
        <w:t>Januarsi</w:t>
      </w:r>
      <w:proofErr w:type="spellEnd"/>
      <w:r w:rsidRPr="00735D4F">
        <w:rPr>
          <w:rFonts w:asciiTheme="majorBidi" w:eastAsia="DengXian Light" w:hAnsiTheme="majorBidi" w:cstheme="majorBidi"/>
          <w:sz w:val="20"/>
          <w:szCs w:val="20"/>
        </w:rPr>
        <w:t xml:space="preserve"> and Sanusi (2024) found that free cash flow enhances the link between profitability and dividend policy. Similarly, Susilo et al. (2021) reported a significant positive effect of profitability, proxied by ROA, on dividend payments in Indonesian manufacturing firms. Supporting this view in an African context, Akpadaka et al. (2024) observed a strong positive association between ROA and dividend payout among South African manufacturing firms. These findings align with the </w:t>
      </w:r>
      <w:proofErr w:type="spellStart"/>
      <w:r w:rsidRPr="00735D4F">
        <w:rPr>
          <w:rFonts w:asciiTheme="majorBidi" w:eastAsia="DengXian Light" w:hAnsiTheme="majorBidi" w:cstheme="majorBidi"/>
          <w:sz w:val="20"/>
          <w:szCs w:val="20"/>
        </w:rPr>
        <w:t>signalling</w:t>
      </w:r>
      <w:proofErr w:type="spellEnd"/>
      <w:r w:rsidRPr="00735D4F">
        <w:rPr>
          <w:rFonts w:asciiTheme="majorBidi" w:eastAsia="DengXian Light" w:hAnsiTheme="majorBidi" w:cstheme="majorBidi"/>
          <w:sz w:val="20"/>
          <w:szCs w:val="20"/>
        </w:rPr>
        <w:t xml:space="preserve"> and pecking order theories, suggesting that higher profitability signals financial strength and encourages greater dividend distribution.</w:t>
      </w:r>
    </w:p>
    <w:p w14:paraId="6CDCFDF5" w14:textId="77777777" w:rsidR="001E6B1A" w:rsidRPr="00735D4F" w:rsidRDefault="001E6B1A" w:rsidP="001E6B1A">
      <w:pPr>
        <w:spacing w:line="360" w:lineRule="auto"/>
        <w:contextualSpacing/>
        <w:jc w:val="both"/>
        <w:rPr>
          <w:rFonts w:asciiTheme="majorBidi" w:eastAsia="DengXian Light" w:hAnsiTheme="majorBidi" w:cstheme="majorBidi"/>
          <w:sz w:val="20"/>
          <w:szCs w:val="20"/>
        </w:rPr>
      </w:pPr>
      <w:r w:rsidRPr="00735D4F">
        <w:rPr>
          <w:rFonts w:asciiTheme="majorBidi" w:eastAsia="DengXian Light" w:hAnsiTheme="majorBidi" w:cstheme="majorBidi"/>
          <w:b/>
          <w:bCs/>
          <w:i/>
          <w:iCs/>
          <w:sz w:val="20"/>
          <w:szCs w:val="20"/>
        </w:rPr>
        <w:t>H4</w:t>
      </w:r>
      <w:r w:rsidRPr="00735D4F">
        <w:rPr>
          <w:rFonts w:asciiTheme="majorBidi" w:eastAsia="DengXian Light" w:hAnsiTheme="majorBidi" w:cstheme="majorBidi"/>
          <w:i/>
          <w:iCs/>
          <w:sz w:val="20"/>
          <w:szCs w:val="20"/>
        </w:rPr>
        <w:t>: Profitability (ROA) is positively associated with dividend payout ratios of listed deposit money banks in</w:t>
      </w:r>
      <w:r w:rsidRPr="00735D4F">
        <w:rPr>
          <w:rFonts w:asciiTheme="majorBidi" w:eastAsia="DengXian Light" w:hAnsiTheme="majorBidi" w:cstheme="majorBidi"/>
          <w:sz w:val="20"/>
          <w:szCs w:val="20"/>
        </w:rPr>
        <w:t xml:space="preserve"> Nigeria.</w:t>
      </w:r>
    </w:p>
    <w:p w14:paraId="75079603" w14:textId="77777777" w:rsidR="001E6B1A" w:rsidRPr="00735D4F" w:rsidRDefault="001E6B1A" w:rsidP="001E6B1A">
      <w:pPr>
        <w:pStyle w:val="Heading3"/>
        <w:rPr>
          <w:rFonts w:asciiTheme="majorBidi" w:hAnsiTheme="majorBidi" w:cstheme="majorBidi"/>
          <w:b/>
          <w:bCs/>
          <w:color w:val="auto"/>
          <w:sz w:val="20"/>
          <w:szCs w:val="20"/>
        </w:rPr>
      </w:pPr>
      <w:r w:rsidRPr="00735D4F">
        <w:rPr>
          <w:rFonts w:asciiTheme="majorBidi" w:hAnsiTheme="majorBidi" w:cstheme="majorBidi"/>
          <w:b/>
          <w:bCs/>
          <w:color w:val="auto"/>
          <w:sz w:val="20"/>
          <w:szCs w:val="20"/>
        </w:rPr>
        <w:t>2.3.5 Profitability as a Moderator of the Ownership-Dividend Policy Relationship</w:t>
      </w:r>
    </w:p>
    <w:p w14:paraId="3F12F497" w14:textId="77777777" w:rsidR="001E6B1A" w:rsidRPr="00735D4F" w:rsidRDefault="001E6B1A" w:rsidP="001E6B1A">
      <w:pPr>
        <w:spacing w:line="360" w:lineRule="auto"/>
        <w:contextualSpacing/>
        <w:jc w:val="both"/>
        <w:rPr>
          <w:rFonts w:asciiTheme="majorBidi" w:eastAsia="DengXian Light" w:hAnsiTheme="majorBidi" w:cstheme="majorBidi"/>
          <w:sz w:val="20"/>
          <w:szCs w:val="20"/>
        </w:rPr>
      </w:pPr>
      <w:r w:rsidRPr="00735D4F">
        <w:rPr>
          <w:rFonts w:asciiTheme="majorBidi" w:eastAsia="DengXian Light" w:hAnsiTheme="majorBidi" w:cstheme="majorBidi"/>
          <w:sz w:val="20"/>
          <w:szCs w:val="20"/>
        </w:rPr>
        <w:t xml:space="preserve">Profitability plays a crucial role not only as a direct determinant of dividend policy but also as a moderating variable that influences how ownership structure affects dividend payout decisions. The agency theory suggests that different forms of ownership exert varying degrees of control over dividend policies. However, this control is conditional on the firm’s internal capacity to generate profits. When firms are highly profitable, the ownership structure may have a diminished effect on dividend payout decisions, as sufficient resources are available to satisfy both investment and dividend interests. Conversely, in periods of low profitability, ownership dynamics become more critical in shaping dividend </w:t>
      </w:r>
      <w:proofErr w:type="spellStart"/>
      <w:r w:rsidRPr="00735D4F">
        <w:rPr>
          <w:rFonts w:asciiTheme="majorBidi" w:eastAsia="DengXian Light" w:hAnsiTheme="majorBidi" w:cstheme="majorBidi"/>
          <w:sz w:val="20"/>
          <w:szCs w:val="20"/>
        </w:rPr>
        <w:t>behaviour</w:t>
      </w:r>
      <w:proofErr w:type="spellEnd"/>
      <w:r w:rsidRPr="00735D4F">
        <w:rPr>
          <w:rFonts w:asciiTheme="majorBidi" w:eastAsia="DengXian Light" w:hAnsiTheme="majorBidi" w:cstheme="majorBidi"/>
          <w:sz w:val="20"/>
          <w:szCs w:val="20"/>
        </w:rPr>
        <w:t>.</w:t>
      </w:r>
    </w:p>
    <w:p w14:paraId="553E164D" w14:textId="77777777" w:rsidR="001E6B1A" w:rsidRPr="00735D4F" w:rsidRDefault="001E6B1A" w:rsidP="001E6B1A">
      <w:pPr>
        <w:spacing w:line="360" w:lineRule="auto"/>
        <w:contextualSpacing/>
        <w:jc w:val="both"/>
        <w:rPr>
          <w:rFonts w:asciiTheme="majorBidi" w:eastAsia="DengXian Light" w:hAnsiTheme="majorBidi" w:cstheme="majorBidi"/>
          <w:sz w:val="20"/>
          <w:szCs w:val="20"/>
        </w:rPr>
      </w:pPr>
      <w:r w:rsidRPr="00735D4F">
        <w:rPr>
          <w:rFonts w:asciiTheme="majorBidi" w:eastAsia="DengXian Light" w:hAnsiTheme="majorBidi" w:cstheme="majorBidi"/>
          <w:sz w:val="20"/>
          <w:szCs w:val="20"/>
        </w:rPr>
        <w:t xml:space="preserve">Empirical evidence supports this </w:t>
      </w:r>
      <w:proofErr w:type="gramStart"/>
      <w:r w:rsidRPr="00735D4F">
        <w:rPr>
          <w:rFonts w:asciiTheme="majorBidi" w:eastAsia="DengXian Light" w:hAnsiTheme="majorBidi" w:cstheme="majorBidi"/>
          <w:sz w:val="20"/>
          <w:szCs w:val="20"/>
        </w:rPr>
        <w:t>moderating role</w:t>
      </w:r>
      <w:proofErr w:type="gramEnd"/>
      <w:r w:rsidRPr="00735D4F">
        <w:rPr>
          <w:rFonts w:asciiTheme="majorBidi" w:eastAsia="DengXian Light" w:hAnsiTheme="majorBidi" w:cstheme="majorBidi"/>
          <w:sz w:val="20"/>
          <w:szCs w:val="20"/>
        </w:rPr>
        <w:t>. Karim et al. (2025) demonstrated that profitability moderated the effect of firm growth on dividend policy in Indonesian infrastructure companies. Similarly, Akpadaka et al. (2024b) found that profitability significantly moderated the leverage–dividend relationship in Nigerian and South African manufacturing firms. These studies reinforce the theoretical proposition that profitability can condition the effect of ownership structure on dividend decisions.</w:t>
      </w:r>
    </w:p>
    <w:p w14:paraId="49EA72D2" w14:textId="77777777" w:rsidR="001E6B1A" w:rsidRPr="00735D4F" w:rsidRDefault="001E6B1A" w:rsidP="001E6B1A">
      <w:pPr>
        <w:spacing w:line="360" w:lineRule="auto"/>
        <w:contextualSpacing/>
        <w:jc w:val="both"/>
        <w:rPr>
          <w:rFonts w:asciiTheme="majorBidi" w:eastAsia="DengXian Light" w:hAnsiTheme="majorBidi" w:cstheme="majorBidi"/>
          <w:i/>
          <w:iCs/>
          <w:sz w:val="20"/>
          <w:szCs w:val="20"/>
        </w:rPr>
      </w:pPr>
      <w:r w:rsidRPr="00735D4F">
        <w:rPr>
          <w:rFonts w:asciiTheme="majorBidi" w:eastAsia="DengXian Light" w:hAnsiTheme="majorBidi" w:cstheme="majorBidi"/>
          <w:i/>
          <w:iCs/>
          <w:sz w:val="20"/>
          <w:szCs w:val="20"/>
        </w:rPr>
        <w:t>H5: Profitability moderates the relationship between ownership structure and dividend payout ratios of listed deposit money banks in Nigeria.</w:t>
      </w:r>
    </w:p>
    <w:p w14:paraId="4243BCE1" w14:textId="77777777" w:rsidR="001E6B1A" w:rsidRPr="00735D4F" w:rsidRDefault="001E6B1A" w:rsidP="001E6B1A">
      <w:pPr>
        <w:pStyle w:val="Heading2"/>
        <w:spacing w:line="360" w:lineRule="auto"/>
        <w:contextualSpacing/>
        <w:rPr>
          <w:rFonts w:asciiTheme="majorBidi" w:hAnsiTheme="majorBidi" w:cstheme="majorBidi"/>
          <w:b/>
          <w:bCs/>
          <w:color w:val="auto"/>
          <w:sz w:val="20"/>
          <w:szCs w:val="20"/>
        </w:rPr>
      </w:pPr>
      <w:r w:rsidRPr="00735D4F">
        <w:rPr>
          <w:rFonts w:asciiTheme="majorBidi" w:hAnsiTheme="majorBidi" w:cstheme="majorBidi"/>
          <w:b/>
          <w:bCs/>
          <w:color w:val="auto"/>
          <w:sz w:val="20"/>
          <w:szCs w:val="20"/>
        </w:rPr>
        <w:t>3. Methodology</w:t>
      </w:r>
    </w:p>
    <w:p w14:paraId="3BB1CE5E" w14:textId="77777777" w:rsidR="001E6B1A" w:rsidRPr="00735D4F" w:rsidRDefault="001E6B1A" w:rsidP="001E6B1A">
      <w:pPr>
        <w:pStyle w:val="Heading3"/>
        <w:spacing w:line="360" w:lineRule="auto"/>
        <w:contextualSpacing/>
        <w:rPr>
          <w:rFonts w:asciiTheme="majorBidi" w:hAnsiTheme="majorBidi" w:cstheme="majorBidi"/>
          <w:b/>
          <w:bCs/>
          <w:color w:val="auto"/>
          <w:sz w:val="20"/>
          <w:szCs w:val="20"/>
        </w:rPr>
      </w:pPr>
      <w:r w:rsidRPr="00735D4F">
        <w:rPr>
          <w:rFonts w:asciiTheme="majorBidi" w:hAnsiTheme="majorBidi" w:cstheme="majorBidi"/>
          <w:b/>
          <w:bCs/>
          <w:color w:val="auto"/>
          <w:sz w:val="20"/>
          <w:szCs w:val="20"/>
        </w:rPr>
        <w:t>3.1 Research Design and Sample</w:t>
      </w:r>
    </w:p>
    <w:p w14:paraId="2F46C2B1" w14:textId="77777777" w:rsidR="001E6B1A" w:rsidRPr="00735D4F" w:rsidRDefault="001E6B1A" w:rsidP="001E6B1A">
      <w:pPr>
        <w:spacing w:line="360" w:lineRule="auto"/>
        <w:contextualSpacing/>
        <w:jc w:val="both"/>
        <w:rPr>
          <w:rFonts w:asciiTheme="majorBidi" w:hAnsiTheme="majorBidi" w:cstheme="majorBidi"/>
          <w:sz w:val="20"/>
          <w:szCs w:val="20"/>
        </w:rPr>
      </w:pPr>
      <w:r w:rsidRPr="00735D4F">
        <w:rPr>
          <w:rFonts w:asciiTheme="majorBidi" w:hAnsiTheme="majorBidi" w:cstheme="majorBidi"/>
          <w:sz w:val="20"/>
          <w:szCs w:val="20"/>
        </w:rPr>
        <w:t xml:space="preserve">This study employs an ex post facto research design under the positivist paradigm, suitable for </w:t>
      </w:r>
      <w:proofErr w:type="spellStart"/>
      <w:r w:rsidRPr="00735D4F">
        <w:rPr>
          <w:rFonts w:asciiTheme="majorBidi" w:hAnsiTheme="majorBidi" w:cstheme="majorBidi"/>
          <w:sz w:val="20"/>
          <w:szCs w:val="20"/>
        </w:rPr>
        <w:t>analysing</w:t>
      </w:r>
      <w:proofErr w:type="spellEnd"/>
      <w:r w:rsidRPr="00735D4F">
        <w:rPr>
          <w:rFonts w:asciiTheme="majorBidi" w:hAnsiTheme="majorBidi" w:cstheme="majorBidi"/>
          <w:sz w:val="20"/>
          <w:szCs w:val="20"/>
        </w:rPr>
        <w:t xml:space="preserve"> causal and moderating relationships using financial data without manipulating independent variables. The design aligns with the study’s objective of examining the influence of ownership structure and profitability on dividend policy </w:t>
      </w:r>
      <w:r w:rsidRPr="00735D4F">
        <w:rPr>
          <w:rFonts w:asciiTheme="majorBidi" w:hAnsiTheme="majorBidi" w:cstheme="majorBidi"/>
          <w:sz w:val="20"/>
          <w:szCs w:val="20"/>
        </w:rPr>
        <w:lastRenderedPageBreak/>
        <w:t xml:space="preserve">in Nigerian Deposit Money Banks (DMBs) over a twelve-year period (2012–2023), a timeframe shaped by post-crisis reforms and Basel III regulations. The study population includes 14 DMBs listed on the Nigerian Exchange Group as of 2023. Using purposive sampling, 12 banks with complete financial disclosures were selected, while 2 banks were excluded due to missing data. The final sample comprises 144 firm-year observations. Secondary data were extracted from </w:t>
      </w:r>
      <w:proofErr w:type="gramStart"/>
      <w:r w:rsidRPr="00735D4F">
        <w:rPr>
          <w:rFonts w:asciiTheme="majorBidi" w:hAnsiTheme="majorBidi" w:cstheme="majorBidi"/>
          <w:sz w:val="20"/>
          <w:szCs w:val="20"/>
        </w:rPr>
        <w:t>audited annual financial statements</w:t>
      </w:r>
      <w:proofErr w:type="gramEnd"/>
      <w:r w:rsidRPr="00735D4F">
        <w:rPr>
          <w:rFonts w:asciiTheme="majorBidi" w:hAnsiTheme="majorBidi" w:cstheme="majorBidi"/>
          <w:sz w:val="20"/>
          <w:szCs w:val="20"/>
        </w:rPr>
        <w:t>.</w:t>
      </w:r>
    </w:p>
    <w:p w14:paraId="48A7D246" w14:textId="77777777" w:rsidR="001E6B1A" w:rsidRPr="00735D4F" w:rsidRDefault="001E6B1A" w:rsidP="001E6B1A">
      <w:pPr>
        <w:spacing w:line="360" w:lineRule="auto"/>
        <w:contextualSpacing/>
        <w:jc w:val="both"/>
        <w:rPr>
          <w:rFonts w:asciiTheme="majorBidi" w:hAnsiTheme="majorBidi" w:cstheme="majorBidi"/>
          <w:sz w:val="20"/>
          <w:szCs w:val="20"/>
        </w:rPr>
      </w:pPr>
      <w:r w:rsidRPr="00735D4F">
        <w:rPr>
          <w:rFonts w:asciiTheme="majorBidi" w:hAnsiTheme="majorBidi" w:cstheme="majorBidi"/>
          <w:sz w:val="20"/>
          <w:szCs w:val="20"/>
        </w:rPr>
        <w:t>Table 1 presents the operational definitions and measurement metrics for all variables used in this study. These variables include the dependent variable (dividend payout ratio), key independent variables (ownership structure proxies), the moderating variable (profitability), and control variables. Each variable is carefully defined and measured in accordance with prior literature and data availability from annual financial statements.</w:t>
      </w:r>
    </w:p>
    <w:p w14:paraId="693A9654" w14:textId="77777777" w:rsidR="001E6B1A" w:rsidRPr="00735D4F" w:rsidRDefault="001E6B1A" w:rsidP="001E6B1A">
      <w:pPr>
        <w:spacing w:line="360" w:lineRule="auto"/>
        <w:contextualSpacing/>
        <w:jc w:val="both"/>
        <w:rPr>
          <w:rFonts w:asciiTheme="majorBidi" w:hAnsiTheme="majorBidi" w:cstheme="majorBidi"/>
          <w:sz w:val="20"/>
          <w:szCs w:val="20"/>
        </w:rPr>
      </w:pPr>
    </w:p>
    <w:p w14:paraId="07A5F8A0" w14:textId="77777777" w:rsidR="001E6B1A" w:rsidRPr="00735D4F" w:rsidRDefault="001E6B1A" w:rsidP="001E6B1A">
      <w:pPr>
        <w:spacing w:line="360" w:lineRule="auto"/>
        <w:contextualSpacing/>
        <w:jc w:val="both"/>
        <w:rPr>
          <w:rFonts w:asciiTheme="majorBidi" w:hAnsiTheme="majorBidi" w:cstheme="majorBidi"/>
          <w:b/>
          <w:bCs/>
          <w:sz w:val="20"/>
          <w:szCs w:val="20"/>
        </w:rPr>
      </w:pPr>
      <w:r w:rsidRPr="00735D4F">
        <w:rPr>
          <w:rFonts w:asciiTheme="majorBidi" w:hAnsiTheme="majorBidi" w:cstheme="majorBidi"/>
          <w:b/>
          <w:bCs/>
          <w:sz w:val="20"/>
          <w:szCs w:val="20"/>
        </w:rPr>
        <w:t xml:space="preserve">Table 1: </w:t>
      </w:r>
      <w:r w:rsidRPr="00735D4F">
        <w:rPr>
          <w:rFonts w:asciiTheme="majorBidi" w:hAnsiTheme="majorBidi" w:cstheme="majorBidi"/>
          <w:sz w:val="20"/>
          <w:szCs w:val="20"/>
        </w:rPr>
        <w:t>Definition and Measurement of Variables</w:t>
      </w:r>
    </w:p>
    <w:tbl>
      <w:tblPr>
        <w:tblStyle w:val="PlainTable21"/>
        <w:tblW w:w="0" w:type="auto"/>
        <w:tblBorders>
          <w:top w:val="none" w:sz="0" w:space="0" w:color="auto"/>
          <w:bottom w:val="none" w:sz="0" w:space="0" w:color="auto"/>
        </w:tblBorders>
        <w:tblLook w:val="04A0" w:firstRow="1" w:lastRow="0" w:firstColumn="1" w:lastColumn="0" w:noHBand="0" w:noVBand="1"/>
      </w:tblPr>
      <w:tblGrid>
        <w:gridCol w:w="1672"/>
        <w:gridCol w:w="861"/>
        <w:gridCol w:w="3321"/>
        <w:gridCol w:w="3172"/>
      </w:tblGrid>
      <w:tr w:rsidR="001E6B1A" w:rsidRPr="00735D4F" w14:paraId="289B214E" w14:textId="77777777" w:rsidTr="00035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053FB904" w14:textId="77777777" w:rsidR="001E6B1A" w:rsidRPr="00735D4F" w:rsidRDefault="001E6B1A" w:rsidP="00035652">
            <w:pPr>
              <w:spacing w:after="160" w:line="360" w:lineRule="auto"/>
              <w:contextualSpacing/>
              <w:jc w:val="both"/>
              <w:rPr>
                <w:rFonts w:asciiTheme="majorBidi" w:hAnsiTheme="majorBidi" w:cstheme="majorBidi"/>
                <w:sz w:val="20"/>
                <w:szCs w:val="20"/>
              </w:rPr>
            </w:pPr>
            <w:r w:rsidRPr="00735D4F">
              <w:rPr>
                <w:rFonts w:asciiTheme="majorBidi" w:hAnsiTheme="majorBidi" w:cstheme="majorBidi"/>
                <w:sz w:val="20"/>
                <w:szCs w:val="20"/>
              </w:rPr>
              <w:t>Variable</w:t>
            </w:r>
          </w:p>
        </w:tc>
        <w:tc>
          <w:tcPr>
            <w:tcW w:w="0" w:type="auto"/>
            <w:tcBorders>
              <w:top w:val="single" w:sz="4" w:space="0" w:color="auto"/>
              <w:bottom w:val="single" w:sz="4" w:space="0" w:color="auto"/>
            </w:tcBorders>
            <w:hideMark/>
          </w:tcPr>
          <w:p w14:paraId="78A98C57" w14:textId="77777777" w:rsidR="001E6B1A" w:rsidRPr="00735D4F" w:rsidRDefault="001E6B1A" w:rsidP="00035652">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Symbol</w:t>
            </w:r>
          </w:p>
        </w:tc>
        <w:tc>
          <w:tcPr>
            <w:tcW w:w="0" w:type="auto"/>
            <w:tcBorders>
              <w:top w:val="single" w:sz="4" w:space="0" w:color="auto"/>
              <w:bottom w:val="single" w:sz="4" w:space="0" w:color="auto"/>
            </w:tcBorders>
            <w:hideMark/>
          </w:tcPr>
          <w:p w14:paraId="1B79E729" w14:textId="77777777" w:rsidR="001E6B1A" w:rsidRPr="00735D4F" w:rsidRDefault="001E6B1A" w:rsidP="00035652">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Description</w:t>
            </w:r>
          </w:p>
        </w:tc>
        <w:tc>
          <w:tcPr>
            <w:tcW w:w="0" w:type="auto"/>
            <w:tcBorders>
              <w:top w:val="single" w:sz="4" w:space="0" w:color="auto"/>
              <w:bottom w:val="single" w:sz="4" w:space="0" w:color="auto"/>
            </w:tcBorders>
            <w:hideMark/>
          </w:tcPr>
          <w:p w14:paraId="2EA5C59F" w14:textId="77777777" w:rsidR="001E6B1A" w:rsidRPr="00735D4F" w:rsidRDefault="001E6B1A" w:rsidP="00035652">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Measurement</w:t>
            </w:r>
          </w:p>
        </w:tc>
      </w:tr>
      <w:tr w:rsidR="001E6B1A" w:rsidRPr="00735D4F" w14:paraId="0989D129" w14:textId="77777777" w:rsidTr="00035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62597E2F" w14:textId="77777777" w:rsidR="001E6B1A" w:rsidRPr="00735D4F" w:rsidRDefault="001E6B1A" w:rsidP="00035652">
            <w:pPr>
              <w:spacing w:after="160" w:line="360" w:lineRule="auto"/>
              <w:contextualSpacing/>
              <w:jc w:val="both"/>
              <w:rPr>
                <w:rFonts w:asciiTheme="majorBidi" w:hAnsiTheme="majorBidi" w:cstheme="majorBidi"/>
                <w:b w:val="0"/>
                <w:bCs w:val="0"/>
                <w:sz w:val="20"/>
                <w:szCs w:val="20"/>
              </w:rPr>
            </w:pPr>
            <w:r w:rsidRPr="00735D4F">
              <w:rPr>
                <w:rFonts w:asciiTheme="majorBidi" w:hAnsiTheme="majorBidi" w:cstheme="majorBidi"/>
                <w:b w:val="0"/>
                <w:bCs w:val="0"/>
                <w:sz w:val="20"/>
                <w:szCs w:val="20"/>
              </w:rPr>
              <w:t>Dividend Payout Ratio</w:t>
            </w:r>
          </w:p>
        </w:tc>
        <w:tc>
          <w:tcPr>
            <w:tcW w:w="0" w:type="auto"/>
            <w:tcBorders>
              <w:top w:val="single" w:sz="4" w:space="0" w:color="auto"/>
            </w:tcBorders>
            <w:hideMark/>
          </w:tcPr>
          <w:p w14:paraId="1E4AAA8A" w14:textId="77777777" w:rsidR="001E6B1A" w:rsidRPr="00735D4F" w:rsidRDefault="001E6B1A" w:rsidP="0003565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DPO</w:t>
            </w:r>
          </w:p>
        </w:tc>
        <w:tc>
          <w:tcPr>
            <w:tcW w:w="0" w:type="auto"/>
            <w:tcBorders>
              <w:top w:val="single" w:sz="4" w:space="0" w:color="auto"/>
            </w:tcBorders>
            <w:hideMark/>
          </w:tcPr>
          <w:p w14:paraId="317D4554" w14:textId="77777777" w:rsidR="001E6B1A" w:rsidRPr="00735D4F" w:rsidRDefault="001E6B1A" w:rsidP="0003565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Proportion of net earnings distributed as dividends</w:t>
            </w:r>
          </w:p>
        </w:tc>
        <w:tc>
          <w:tcPr>
            <w:tcW w:w="0" w:type="auto"/>
            <w:tcBorders>
              <w:top w:val="single" w:sz="4" w:space="0" w:color="auto"/>
            </w:tcBorders>
            <w:hideMark/>
          </w:tcPr>
          <w:p w14:paraId="2DD96F26" w14:textId="77777777" w:rsidR="001E6B1A" w:rsidRPr="00735D4F" w:rsidRDefault="001E6B1A" w:rsidP="0003565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Dividends per Share (DPS) ÷ Earnings per Share (EPS)</w:t>
            </w:r>
          </w:p>
        </w:tc>
      </w:tr>
      <w:tr w:rsidR="001E6B1A" w:rsidRPr="00735D4F" w14:paraId="42BF3499" w14:textId="77777777" w:rsidTr="00035652">
        <w:tc>
          <w:tcPr>
            <w:cnfStyle w:val="001000000000" w:firstRow="0" w:lastRow="0" w:firstColumn="1" w:lastColumn="0" w:oddVBand="0" w:evenVBand="0" w:oddHBand="0" w:evenHBand="0" w:firstRowFirstColumn="0" w:firstRowLastColumn="0" w:lastRowFirstColumn="0" w:lastRowLastColumn="0"/>
            <w:tcW w:w="0" w:type="auto"/>
            <w:hideMark/>
          </w:tcPr>
          <w:p w14:paraId="0729C8E5" w14:textId="77777777" w:rsidR="001E6B1A" w:rsidRPr="00735D4F" w:rsidRDefault="001E6B1A" w:rsidP="00035652">
            <w:pPr>
              <w:spacing w:after="160" w:line="360" w:lineRule="auto"/>
              <w:contextualSpacing/>
              <w:jc w:val="both"/>
              <w:rPr>
                <w:rFonts w:asciiTheme="majorBidi" w:hAnsiTheme="majorBidi" w:cstheme="majorBidi"/>
                <w:b w:val="0"/>
                <w:bCs w:val="0"/>
                <w:sz w:val="20"/>
                <w:szCs w:val="20"/>
              </w:rPr>
            </w:pPr>
            <w:r w:rsidRPr="00735D4F">
              <w:rPr>
                <w:rFonts w:asciiTheme="majorBidi" w:hAnsiTheme="majorBidi" w:cstheme="majorBidi"/>
                <w:b w:val="0"/>
                <w:bCs w:val="0"/>
                <w:sz w:val="20"/>
                <w:szCs w:val="20"/>
              </w:rPr>
              <w:t>Managerial Ownership</w:t>
            </w:r>
          </w:p>
        </w:tc>
        <w:tc>
          <w:tcPr>
            <w:tcW w:w="0" w:type="auto"/>
            <w:hideMark/>
          </w:tcPr>
          <w:p w14:paraId="690CB91A" w14:textId="77777777" w:rsidR="001E6B1A" w:rsidRPr="00735D4F" w:rsidRDefault="001E6B1A" w:rsidP="0003565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MGO</w:t>
            </w:r>
          </w:p>
        </w:tc>
        <w:tc>
          <w:tcPr>
            <w:tcW w:w="0" w:type="auto"/>
            <w:hideMark/>
          </w:tcPr>
          <w:p w14:paraId="28261854" w14:textId="77777777" w:rsidR="001E6B1A" w:rsidRPr="00735D4F" w:rsidRDefault="001E6B1A" w:rsidP="0003565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Percentage of shares held by directors and executive managers</w:t>
            </w:r>
          </w:p>
        </w:tc>
        <w:tc>
          <w:tcPr>
            <w:tcW w:w="0" w:type="auto"/>
            <w:hideMark/>
          </w:tcPr>
          <w:p w14:paraId="588007FC" w14:textId="77777777" w:rsidR="001E6B1A" w:rsidRPr="00735D4F" w:rsidRDefault="001E6B1A" w:rsidP="0003565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Managerial shareholding ÷ Total shares outstanding</w:t>
            </w:r>
          </w:p>
        </w:tc>
      </w:tr>
      <w:tr w:rsidR="001E6B1A" w:rsidRPr="00735D4F" w14:paraId="3963A669" w14:textId="77777777" w:rsidTr="00035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51BA8F" w14:textId="77777777" w:rsidR="001E6B1A" w:rsidRPr="00735D4F" w:rsidRDefault="001E6B1A" w:rsidP="00035652">
            <w:pPr>
              <w:spacing w:after="160" w:line="360" w:lineRule="auto"/>
              <w:contextualSpacing/>
              <w:jc w:val="both"/>
              <w:rPr>
                <w:rFonts w:asciiTheme="majorBidi" w:hAnsiTheme="majorBidi" w:cstheme="majorBidi"/>
                <w:b w:val="0"/>
                <w:bCs w:val="0"/>
                <w:sz w:val="20"/>
                <w:szCs w:val="20"/>
              </w:rPr>
            </w:pPr>
            <w:r w:rsidRPr="00735D4F">
              <w:rPr>
                <w:rFonts w:asciiTheme="majorBidi" w:hAnsiTheme="majorBidi" w:cstheme="majorBidi"/>
                <w:b w:val="0"/>
                <w:bCs w:val="0"/>
                <w:sz w:val="20"/>
                <w:szCs w:val="20"/>
              </w:rPr>
              <w:t>Institutional Ownership</w:t>
            </w:r>
          </w:p>
        </w:tc>
        <w:tc>
          <w:tcPr>
            <w:tcW w:w="0" w:type="auto"/>
            <w:hideMark/>
          </w:tcPr>
          <w:p w14:paraId="266EC5C9" w14:textId="77777777" w:rsidR="001E6B1A" w:rsidRPr="00735D4F" w:rsidRDefault="001E6B1A" w:rsidP="0003565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INST</w:t>
            </w:r>
          </w:p>
        </w:tc>
        <w:tc>
          <w:tcPr>
            <w:tcW w:w="0" w:type="auto"/>
            <w:hideMark/>
          </w:tcPr>
          <w:p w14:paraId="02A66E97" w14:textId="77777777" w:rsidR="001E6B1A" w:rsidRPr="00735D4F" w:rsidRDefault="001E6B1A" w:rsidP="0003565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Percentage of shares held by institutional investors</w:t>
            </w:r>
          </w:p>
        </w:tc>
        <w:tc>
          <w:tcPr>
            <w:tcW w:w="0" w:type="auto"/>
            <w:hideMark/>
          </w:tcPr>
          <w:p w14:paraId="45ED3DAB" w14:textId="77777777" w:rsidR="001E6B1A" w:rsidRPr="00735D4F" w:rsidRDefault="001E6B1A" w:rsidP="0003565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Institutional shareholding ÷ Total shares outstanding</w:t>
            </w:r>
          </w:p>
        </w:tc>
      </w:tr>
      <w:tr w:rsidR="001E6B1A" w:rsidRPr="00735D4F" w14:paraId="58BCC6B9" w14:textId="77777777" w:rsidTr="00035652">
        <w:tc>
          <w:tcPr>
            <w:cnfStyle w:val="001000000000" w:firstRow="0" w:lastRow="0" w:firstColumn="1" w:lastColumn="0" w:oddVBand="0" w:evenVBand="0" w:oddHBand="0" w:evenHBand="0" w:firstRowFirstColumn="0" w:firstRowLastColumn="0" w:lastRowFirstColumn="0" w:lastRowLastColumn="0"/>
            <w:tcW w:w="0" w:type="auto"/>
            <w:hideMark/>
          </w:tcPr>
          <w:p w14:paraId="3EF3DA18" w14:textId="77777777" w:rsidR="001E6B1A" w:rsidRPr="00735D4F" w:rsidRDefault="001E6B1A" w:rsidP="00035652">
            <w:pPr>
              <w:spacing w:after="160" w:line="360" w:lineRule="auto"/>
              <w:contextualSpacing/>
              <w:jc w:val="both"/>
              <w:rPr>
                <w:rFonts w:asciiTheme="majorBidi" w:hAnsiTheme="majorBidi" w:cstheme="majorBidi"/>
                <w:b w:val="0"/>
                <w:bCs w:val="0"/>
                <w:sz w:val="20"/>
                <w:szCs w:val="20"/>
              </w:rPr>
            </w:pPr>
            <w:r w:rsidRPr="00735D4F">
              <w:rPr>
                <w:rFonts w:asciiTheme="majorBidi" w:hAnsiTheme="majorBidi" w:cstheme="majorBidi"/>
                <w:b w:val="0"/>
                <w:bCs w:val="0"/>
                <w:sz w:val="20"/>
                <w:szCs w:val="20"/>
              </w:rPr>
              <w:t>Foreign Ownership</w:t>
            </w:r>
          </w:p>
        </w:tc>
        <w:tc>
          <w:tcPr>
            <w:tcW w:w="0" w:type="auto"/>
            <w:hideMark/>
          </w:tcPr>
          <w:p w14:paraId="2C029D4B" w14:textId="77777777" w:rsidR="001E6B1A" w:rsidRPr="00735D4F" w:rsidRDefault="001E6B1A" w:rsidP="0003565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FRO</w:t>
            </w:r>
          </w:p>
        </w:tc>
        <w:tc>
          <w:tcPr>
            <w:tcW w:w="0" w:type="auto"/>
            <w:hideMark/>
          </w:tcPr>
          <w:p w14:paraId="7B59002A" w14:textId="77777777" w:rsidR="001E6B1A" w:rsidRPr="00735D4F" w:rsidRDefault="001E6B1A" w:rsidP="0003565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Percentage of shares held by foreign individuals or entities</w:t>
            </w:r>
          </w:p>
        </w:tc>
        <w:tc>
          <w:tcPr>
            <w:tcW w:w="0" w:type="auto"/>
            <w:hideMark/>
          </w:tcPr>
          <w:p w14:paraId="206834C2" w14:textId="77777777" w:rsidR="001E6B1A" w:rsidRPr="00735D4F" w:rsidRDefault="001E6B1A" w:rsidP="0003565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Foreign shareholding ÷ Total shares outstanding</w:t>
            </w:r>
          </w:p>
        </w:tc>
      </w:tr>
      <w:tr w:rsidR="001E6B1A" w:rsidRPr="00735D4F" w14:paraId="2210D80C" w14:textId="77777777" w:rsidTr="00035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2095A6" w14:textId="77777777" w:rsidR="001E6B1A" w:rsidRPr="00735D4F" w:rsidRDefault="001E6B1A" w:rsidP="00035652">
            <w:pPr>
              <w:spacing w:after="160" w:line="360" w:lineRule="auto"/>
              <w:contextualSpacing/>
              <w:jc w:val="both"/>
              <w:rPr>
                <w:rFonts w:asciiTheme="majorBidi" w:hAnsiTheme="majorBidi" w:cstheme="majorBidi"/>
                <w:b w:val="0"/>
                <w:bCs w:val="0"/>
                <w:sz w:val="20"/>
                <w:szCs w:val="20"/>
              </w:rPr>
            </w:pPr>
            <w:r w:rsidRPr="00735D4F">
              <w:rPr>
                <w:rFonts w:asciiTheme="majorBidi" w:hAnsiTheme="majorBidi" w:cstheme="majorBidi"/>
                <w:b w:val="0"/>
                <w:bCs w:val="0"/>
                <w:sz w:val="20"/>
                <w:szCs w:val="20"/>
              </w:rPr>
              <w:t>Profitability</w:t>
            </w:r>
          </w:p>
        </w:tc>
        <w:tc>
          <w:tcPr>
            <w:tcW w:w="0" w:type="auto"/>
            <w:hideMark/>
          </w:tcPr>
          <w:p w14:paraId="4619F777" w14:textId="77777777" w:rsidR="001E6B1A" w:rsidRPr="00735D4F" w:rsidRDefault="001E6B1A" w:rsidP="0003565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ROA</w:t>
            </w:r>
          </w:p>
        </w:tc>
        <w:tc>
          <w:tcPr>
            <w:tcW w:w="0" w:type="auto"/>
            <w:hideMark/>
          </w:tcPr>
          <w:p w14:paraId="6D377B3A" w14:textId="77777777" w:rsidR="001E6B1A" w:rsidRPr="00735D4F" w:rsidRDefault="001E6B1A" w:rsidP="0003565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A firm’s ability to generate earnings from its assets</w:t>
            </w:r>
          </w:p>
        </w:tc>
        <w:tc>
          <w:tcPr>
            <w:tcW w:w="0" w:type="auto"/>
            <w:hideMark/>
          </w:tcPr>
          <w:p w14:paraId="047F4899" w14:textId="77777777" w:rsidR="001E6B1A" w:rsidRPr="00735D4F" w:rsidRDefault="001E6B1A" w:rsidP="0003565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Net Income ÷ Total Assets</w:t>
            </w:r>
          </w:p>
        </w:tc>
      </w:tr>
      <w:tr w:rsidR="001E6B1A" w:rsidRPr="00735D4F" w14:paraId="2FECAAF1" w14:textId="77777777" w:rsidTr="00035652">
        <w:tc>
          <w:tcPr>
            <w:cnfStyle w:val="001000000000" w:firstRow="0" w:lastRow="0" w:firstColumn="1" w:lastColumn="0" w:oddVBand="0" w:evenVBand="0" w:oddHBand="0" w:evenHBand="0" w:firstRowFirstColumn="0" w:firstRowLastColumn="0" w:lastRowFirstColumn="0" w:lastRowLastColumn="0"/>
            <w:tcW w:w="0" w:type="auto"/>
            <w:hideMark/>
          </w:tcPr>
          <w:p w14:paraId="7B3CFC41" w14:textId="77777777" w:rsidR="001E6B1A" w:rsidRPr="00735D4F" w:rsidRDefault="001E6B1A" w:rsidP="00035652">
            <w:pPr>
              <w:spacing w:after="160" w:line="360" w:lineRule="auto"/>
              <w:contextualSpacing/>
              <w:jc w:val="both"/>
              <w:rPr>
                <w:rFonts w:asciiTheme="majorBidi" w:hAnsiTheme="majorBidi" w:cstheme="majorBidi"/>
                <w:b w:val="0"/>
                <w:bCs w:val="0"/>
                <w:sz w:val="20"/>
                <w:szCs w:val="20"/>
              </w:rPr>
            </w:pPr>
            <w:r w:rsidRPr="00735D4F">
              <w:rPr>
                <w:rFonts w:asciiTheme="majorBidi" w:hAnsiTheme="majorBidi" w:cstheme="majorBidi"/>
                <w:b w:val="0"/>
                <w:bCs w:val="0"/>
                <w:sz w:val="20"/>
                <w:szCs w:val="20"/>
              </w:rPr>
              <w:t>Firm Size</w:t>
            </w:r>
          </w:p>
        </w:tc>
        <w:tc>
          <w:tcPr>
            <w:tcW w:w="0" w:type="auto"/>
            <w:hideMark/>
          </w:tcPr>
          <w:p w14:paraId="6DA636C8" w14:textId="77777777" w:rsidR="001E6B1A" w:rsidRPr="00735D4F" w:rsidRDefault="001E6B1A" w:rsidP="0003565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735D4F">
              <w:rPr>
                <w:rFonts w:asciiTheme="majorBidi" w:hAnsiTheme="majorBidi" w:cstheme="majorBidi"/>
                <w:sz w:val="20"/>
                <w:szCs w:val="20"/>
              </w:rPr>
              <w:t>FSize</w:t>
            </w:r>
            <w:proofErr w:type="spellEnd"/>
          </w:p>
        </w:tc>
        <w:tc>
          <w:tcPr>
            <w:tcW w:w="0" w:type="auto"/>
            <w:hideMark/>
          </w:tcPr>
          <w:p w14:paraId="1C908986" w14:textId="77777777" w:rsidR="001E6B1A" w:rsidRPr="00735D4F" w:rsidRDefault="001E6B1A" w:rsidP="0003565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Scale of the firm’s total asset base</w:t>
            </w:r>
          </w:p>
        </w:tc>
        <w:tc>
          <w:tcPr>
            <w:tcW w:w="0" w:type="auto"/>
            <w:hideMark/>
          </w:tcPr>
          <w:p w14:paraId="6FF89EB0" w14:textId="77777777" w:rsidR="001E6B1A" w:rsidRPr="00735D4F" w:rsidRDefault="001E6B1A" w:rsidP="00035652">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Natural logarithm of Total Assets (</w:t>
            </w:r>
            <w:proofErr w:type="gramStart"/>
            <w:r w:rsidRPr="00735D4F">
              <w:rPr>
                <w:rFonts w:asciiTheme="majorBidi" w:hAnsiTheme="majorBidi" w:cstheme="majorBidi"/>
                <w:sz w:val="20"/>
                <w:szCs w:val="20"/>
              </w:rPr>
              <w:t>ln(</w:t>
            </w:r>
            <w:proofErr w:type="gramEnd"/>
            <w:r w:rsidRPr="00735D4F">
              <w:rPr>
                <w:rFonts w:asciiTheme="majorBidi" w:hAnsiTheme="majorBidi" w:cstheme="majorBidi"/>
                <w:sz w:val="20"/>
                <w:szCs w:val="20"/>
              </w:rPr>
              <w:t>Total Assets))</w:t>
            </w:r>
          </w:p>
        </w:tc>
      </w:tr>
      <w:tr w:rsidR="001E6B1A" w:rsidRPr="00735D4F" w14:paraId="448BD52A" w14:textId="77777777" w:rsidTr="00035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2566B3B2" w14:textId="77777777" w:rsidR="001E6B1A" w:rsidRPr="00735D4F" w:rsidRDefault="001E6B1A" w:rsidP="00035652">
            <w:pPr>
              <w:spacing w:after="160" w:line="360" w:lineRule="auto"/>
              <w:contextualSpacing/>
              <w:jc w:val="both"/>
              <w:rPr>
                <w:rFonts w:asciiTheme="majorBidi" w:hAnsiTheme="majorBidi" w:cstheme="majorBidi"/>
                <w:b w:val="0"/>
                <w:bCs w:val="0"/>
                <w:sz w:val="20"/>
                <w:szCs w:val="20"/>
              </w:rPr>
            </w:pPr>
            <w:r w:rsidRPr="00735D4F">
              <w:rPr>
                <w:rFonts w:asciiTheme="majorBidi" w:hAnsiTheme="majorBidi" w:cstheme="majorBidi"/>
                <w:b w:val="0"/>
                <w:bCs w:val="0"/>
                <w:sz w:val="20"/>
                <w:szCs w:val="20"/>
              </w:rPr>
              <w:t>Growth</w:t>
            </w:r>
          </w:p>
        </w:tc>
        <w:tc>
          <w:tcPr>
            <w:tcW w:w="0" w:type="auto"/>
            <w:tcBorders>
              <w:bottom w:val="single" w:sz="4" w:space="0" w:color="auto"/>
            </w:tcBorders>
            <w:hideMark/>
          </w:tcPr>
          <w:p w14:paraId="70088CD3" w14:textId="77777777" w:rsidR="001E6B1A" w:rsidRPr="00735D4F" w:rsidRDefault="001E6B1A" w:rsidP="0003565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GRT</w:t>
            </w:r>
          </w:p>
        </w:tc>
        <w:tc>
          <w:tcPr>
            <w:tcW w:w="0" w:type="auto"/>
            <w:tcBorders>
              <w:bottom w:val="single" w:sz="4" w:space="0" w:color="auto"/>
            </w:tcBorders>
            <w:hideMark/>
          </w:tcPr>
          <w:p w14:paraId="130F80B4" w14:textId="77777777" w:rsidR="001E6B1A" w:rsidRPr="00735D4F" w:rsidRDefault="001E6B1A" w:rsidP="0003565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Annual increase in the firm’s asset base</w:t>
            </w:r>
          </w:p>
        </w:tc>
        <w:tc>
          <w:tcPr>
            <w:tcW w:w="0" w:type="auto"/>
            <w:tcBorders>
              <w:bottom w:val="single" w:sz="4" w:space="0" w:color="auto"/>
            </w:tcBorders>
            <w:hideMark/>
          </w:tcPr>
          <w:p w14:paraId="54C92B38" w14:textId="77777777" w:rsidR="001E6B1A" w:rsidRPr="00735D4F" w:rsidRDefault="001E6B1A" w:rsidP="00035652">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735D4F">
              <w:rPr>
                <w:rFonts w:asciiTheme="majorBidi" w:hAnsiTheme="majorBidi" w:cstheme="majorBidi"/>
                <w:sz w:val="20"/>
                <w:szCs w:val="20"/>
              </w:rPr>
              <w:t>Percentage change in Total Assets from year t–1 to year t</w:t>
            </w:r>
          </w:p>
        </w:tc>
      </w:tr>
    </w:tbl>
    <w:p w14:paraId="437D9396" w14:textId="77777777" w:rsidR="001E6B1A" w:rsidRPr="00735D4F" w:rsidRDefault="001E6B1A" w:rsidP="001E6B1A">
      <w:pPr>
        <w:spacing w:line="360" w:lineRule="auto"/>
        <w:contextualSpacing/>
        <w:jc w:val="both"/>
        <w:rPr>
          <w:rFonts w:asciiTheme="majorBidi" w:hAnsiTheme="majorBidi" w:cstheme="majorBidi"/>
          <w:sz w:val="20"/>
          <w:szCs w:val="20"/>
          <w:lang w:val="en-GB"/>
        </w:rPr>
      </w:pPr>
      <w:r w:rsidRPr="00735D4F">
        <w:rPr>
          <w:rFonts w:asciiTheme="majorBidi" w:hAnsiTheme="majorBidi" w:cstheme="majorBidi"/>
          <w:sz w:val="20"/>
          <w:szCs w:val="20"/>
        </w:rPr>
        <w:t xml:space="preserve">Source: Authors' compilation </w:t>
      </w:r>
    </w:p>
    <w:p w14:paraId="4393A77A" w14:textId="77777777" w:rsidR="001E6B1A" w:rsidRPr="00735D4F" w:rsidRDefault="001E6B1A" w:rsidP="001E6B1A">
      <w:pPr>
        <w:pStyle w:val="Heading3"/>
        <w:spacing w:line="360" w:lineRule="auto"/>
        <w:contextualSpacing/>
        <w:rPr>
          <w:rFonts w:asciiTheme="majorBidi" w:hAnsiTheme="majorBidi" w:cstheme="majorBidi"/>
          <w:b/>
          <w:bCs/>
          <w:color w:val="auto"/>
          <w:sz w:val="20"/>
          <w:szCs w:val="20"/>
        </w:rPr>
      </w:pPr>
      <w:r w:rsidRPr="00735D4F">
        <w:rPr>
          <w:rFonts w:asciiTheme="majorBidi" w:hAnsiTheme="majorBidi" w:cstheme="majorBidi"/>
          <w:b/>
          <w:bCs/>
          <w:color w:val="auto"/>
          <w:sz w:val="20"/>
          <w:szCs w:val="20"/>
        </w:rPr>
        <w:t>3.2 Estimation Techniques and Model Specification</w:t>
      </w:r>
    </w:p>
    <w:p w14:paraId="128CBFD3" w14:textId="77777777" w:rsidR="001E6B1A" w:rsidRPr="00735D4F" w:rsidRDefault="001E6B1A" w:rsidP="001E6B1A">
      <w:pPr>
        <w:spacing w:line="360" w:lineRule="auto"/>
        <w:contextualSpacing/>
        <w:jc w:val="both"/>
        <w:rPr>
          <w:rFonts w:asciiTheme="majorBidi" w:hAnsiTheme="majorBidi" w:cstheme="majorBidi"/>
          <w:sz w:val="20"/>
          <w:szCs w:val="20"/>
        </w:rPr>
      </w:pPr>
      <w:r w:rsidRPr="00735D4F">
        <w:rPr>
          <w:rFonts w:asciiTheme="majorBidi" w:hAnsiTheme="majorBidi" w:cstheme="majorBidi"/>
          <w:sz w:val="20"/>
          <w:szCs w:val="20"/>
        </w:rPr>
        <w:t>This study employs quantile regression (QR) to examine how ownership structure and profitability influence the dividend payout ratio (DPO) across different points in its conditional distribution. Unlike mean-based models such as ordinary least squares (OLS), QR estimates the effects at the 25th, 50th, and 75th percentiles, thus capturing heterogeneity that average-level models often obscure. This approach is particularly relevant to Nigerian deposit money banks (DMBs), where DPOs vary considerably due to institutional structures, ownership patterns, and earnings volatility.</w:t>
      </w:r>
    </w:p>
    <w:p w14:paraId="3CA7C696" w14:textId="77777777" w:rsidR="001E6B1A" w:rsidRPr="00735D4F" w:rsidRDefault="001E6B1A" w:rsidP="001E6B1A">
      <w:pPr>
        <w:spacing w:line="360" w:lineRule="auto"/>
        <w:contextualSpacing/>
        <w:jc w:val="both"/>
        <w:rPr>
          <w:rFonts w:asciiTheme="majorBidi" w:hAnsiTheme="majorBidi" w:cstheme="majorBidi"/>
          <w:sz w:val="20"/>
          <w:szCs w:val="20"/>
        </w:rPr>
      </w:pPr>
      <w:r w:rsidRPr="00735D4F">
        <w:rPr>
          <w:rFonts w:asciiTheme="majorBidi" w:hAnsiTheme="majorBidi" w:cstheme="majorBidi"/>
          <w:sz w:val="20"/>
          <w:szCs w:val="20"/>
        </w:rPr>
        <w:t xml:space="preserve">Model 1 specifies a cross-sectional QR that incorporates moderation effects. It evaluates the influence of managerial ownership (MGO), institutional ownership (INST), and foreign ownership (FRO) on DPO, as conditioned by return on assets (ROA). Interaction terms between ROA and each ownership variable are included. Firm size (log of total assets) and firm growth (annual change in total assets) serve as control variables. Estimation is conducted using Stata’s </w:t>
      </w:r>
      <w:proofErr w:type="spellStart"/>
      <w:r w:rsidRPr="00735D4F">
        <w:rPr>
          <w:rFonts w:asciiTheme="majorBidi" w:hAnsiTheme="majorBidi" w:cstheme="majorBidi"/>
          <w:sz w:val="20"/>
          <w:szCs w:val="20"/>
        </w:rPr>
        <w:t>qreg</w:t>
      </w:r>
      <w:proofErr w:type="spellEnd"/>
      <w:r w:rsidRPr="00735D4F">
        <w:rPr>
          <w:rFonts w:asciiTheme="majorBidi" w:hAnsiTheme="majorBidi" w:cstheme="majorBidi"/>
          <w:sz w:val="20"/>
          <w:szCs w:val="20"/>
        </w:rPr>
        <w:t xml:space="preserve"> command with bootstrapped standard errors.</w:t>
      </w:r>
    </w:p>
    <w:p w14:paraId="0B7A4688" w14:textId="77777777" w:rsidR="001E6B1A" w:rsidRPr="00735D4F" w:rsidRDefault="001E6B1A" w:rsidP="001E6B1A">
      <w:pPr>
        <w:spacing w:line="360" w:lineRule="auto"/>
        <w:contextualSpacing/>
        <w:jc w:val="both"/>
        <w:rPr>
          <w:rFonts w:asciiTheme="majorBidi" w:hAnsiTheme="majorBidi" w:cstheme="majorBidi"/>
          <w:sz w:val="20"/>
          <w:szCs w:val="20"/>
        </w:rPr>
      </w:pPr>
      <w:r w:rsidRPr="00735D4F">
        <w:rPr>
          <w:rFonts w:asciiTheme="majorBidi" w:hAnsiTheme="majorBidi" w:cstheme="majorBidi"/>
          <w:sz w:val="20"/>
          <w:szCs w:val="20"/>
        </w:rPr>
        <w:lastRenderedPageBreak/>
        <w:t xml:space="preserve">Model 2 adopts a panel quantile regression with fixed effects (PQR) using the </w:t>
      </w:r>
      <w:proofErr w:type="spellStart"/>
      <w:r w:rsidRPr="00735D4F">
        <w:rPr>
          <w:rFonts w:asciiTheme="majorBidi" w:hAnsiTheme="majorBidi" w:cstheme="majorBidi"/>
          <w:sz w:val="20"/>
          <w:szCs w:val="20"/>
        </w:rPr>
        <w:t>xtqreg</w:t>
      </w:r>
      <w:proofErr w:type="spellEnd"/>
      <w:r w:rsidRPr="00735D4F">
        <w:rPr>
          <w:rFonts w:asciiTheme="majorBidi" w:hAnsiTheme="majorBidi" w:cstheme="majorBidi"/>
          <w:sz w:val="20"/>
          <w:szCs w:val="20"/>
        </w:rPr>
        <w:t xml:space="preserve"> command. This specification accounts for time-invariant unobserved heterogeneity, enabling within-firm analysis over the ten-year period. While Model 1 captures between-firm variations, Model 2 identifies dynamic shifts in payout </w:t>
      </w:r>
      <w:proofErr w:type="spellStart"/>
      <w:r w:rsidRPr="00735D4F">
        <w:rPr>
          <w:rFonts w:asciiTheme="majorBidi" w:hAnsiTheme="majorBidi" w:cstheme="majorBidi"/>
          <w:sz w:val="20"/>
          <w:szCs w:val="20"/>
        </w:rPr>
        <w:t>behaviour</w:t>
      </w:r>
      <w:proofErr w:type="spellEnd"/>
      <w:r w:rsidRPr="00735D4F">
        <w:rPr>
          <w:rFonts w:asciiTheme="majorBidi" w:hAnsiTheme="majorBidi" w:cstheme="majorBidi"/>
          <w:sz w:val="20"/>
          <w:szCs w:val="20"/>
        </w:rPr>
        <w:t xml:space="preserve"> within individual banks. The estimation model is expressed as follows:</w:t>
      </w:r>
    </w:p>
    <w:p w14:paraId="6CF0814E" w14:textId="77777777" w:rsidR="001E6B1A" w:rsidRPr="00735D4F" w:rsidRDefault="001E6B1A" w:rsidP="001E6B1A">
      <w:pPr>
        <w:spacing w:line="360" w:lineRule="auto"/>
        <w:contextualSpacing/>
        <w:jc w:val="both"/>
        <w:rPr>
          <w:rFonts w:asciiTheme="majorBidi" w:hAnsiTheme="majorBidi" w:cstheme="majorBidi"/>
          <w:sz w:val="20"/>
          <w:szCs w:val="20"/>
        </w:rPr>
      </w:pPr>
      <w:proofErr w:type="spellStart"/>
      <w:r w:rsidRPr="00735D4F">
        <w:rPr>
          <w:rFonts w:asciiTheme="majorBidi" w:hAnsiTheme="majorBidi" w:cstheme="majorBidi"/>
          <w:i/>
          <w:iCs/>
          <w:sz w:val="20"/>
          <w:szCs w:val="20"/>
        </w:rPr>
        <w:t>Qτ</w:t>
      </w:r>
      <w:proofErr w:type="spellEnd"/>
      <w:r w:rsidRPr="00735D4F">
        <w:rPr>
          <w:rFonts w:asciiTheme="majorBidi" w:hAnsiTheme="majorBidi" w:cstheme="majorBidi"/>
          <w:i/>
          <w:iCs/>
          <w:sz w:val="20"/>
          <w:szCs w:val="20"/>
        </w:rPr>
        <w:t>(</w:t>
      </w:r>
      <w:proofErr w:type="spellStart"/>
      <w:r w:rsidRPr="00735D4F">
        <w:rPr>
          <w:rFonts w:asciiTheme="majorBidi" w:hAnsiTheme="majorBidi" w:cstheme="majorBidi"/>
          <w:i/>
          <w:iCs/>
          <w:sz w:val="20"/>
          <w:szCs w:val="20"/>
        </w:rPr>
        <w:t>DPO</w:t>
      </w:r>
      <w:r w:rsidRPr="00735D4F">
        <w:rPr>
          <w:rFonts w:asciiTheme="majorBidi" w:hAnsiTheme="majorBidi" w:cstheme="majorBidi"/>
          <w:i/>
          <w:iCs/>
          <w:sz w:val="20"/>
          <w:szCs w:val="20"/>
          <w:vertAlign w:val="subscript"/>
        </w:rPr>
        <w:t>it</w:t>
      </w:r>
      <w:proofErr w:type="spellEnd"/>
      <w:r w:rsidRPr="00735D4F">
        <w:rPr>
          <w:rFonts w:asciiTheme="majorBidi" w:hAnsiTheme="majorBidi" w:cstheme="majorBidi"/>
          <w:i/>
          <w:iCs/>
          <w:sz w:val="20"/>
          <w:szCs w:val="20"/>
        </w:rPr>
        <w:t>) = β</w:t>
      </w:r>
      <w:r w:rsidRPr="00735D4F">
        <w:rPr>
          <w:rFonts w:asciiTheme="majorBidi" w:hAnsiTheme="majorBidi" w:cstheme="majorBidi"/>
          <w:i/>
          <w:iCs/>
          <w:sz w:val="20"/>
          <w:szCs w:val="20"/>
          <w:vertAlign w:val="subscript"/>
        </w:rPr>
        <w:t>0</w:t>
      </w:r>
      <w:r w:rsidRPr="00735D4F">
        <w:rPr>
          <w:rFonts w:asciiTheme="majorBidi" w:hAnsiTheme="majorBidi" w:cstheme="majorBidi"/>
          <w:i/>
          <w:iCs/>
          <w:sz w:val="20"/>
          <w:szCs w:val="20"/>
        </w:rPr>
        <w:t>(τ) + β</w:t>
      </w:r>
      <w:r w:rsidRPr="00735D4F">
        <w:rPr>
          <w:rFonts w:asciiTheme="majorBidi" w:hAnsiTheme="majorBidi" w:cstheme="majorBidi"/>
          <w:i/>
          <w:iCs/>
          <w:sz w:val="20"/>
          <w:szCs w:val="20"/>
          <w:vertAlign w:val="subscript"/>
        </w:rPr>
        <w:t>1</w:t>
      </w:r>
      <w:r w:rsidRPr="00735D4F">
        <w:rPr>
          <w:rFonts w:asciiTheme="majorBidi" w:hAnsiTheme="majorBidi" w:cstheme="majorBidi"/>
          <w:i/>
          <w:iCs/>
          <w:sz w:val="20"/>
          <w:szCs w:val="20"/>
        </w:rPr>
        <w:t>(τ)</w:t>
      </w:r>
      <w:proofErr w:type="spellStart"/>
      <w:r w:rsidRPr="00735D4F">
        <w:rPr>
          <w:rFonts w:asciiTheme="majorBidi" w:hAnsiTheme="majorBidi" w:cstheme="majorBidi"/>
          <w:i/>
          <w:iCs/>
          <w:sz w:val="20"/>
          <w:szCs w:val="20"/>
        </w:rPr>
        <w:t>MGO</w:t>
      </w:r>
      <w:r w:rsidRPr="00735D4F">
        <w:rPr>
          <w:rFonts w:asciiTheme="majorBidi" w:hAnsiTheme="majorBidi" w:cstheme="majorBidi"/>
          <w:i/>
          <w:iCs/>
          <w:sz w:val="20"/>
          <w:szCs w:val="20"/>
          <w:vertAlign w:val="subscript"/>
        </w:rPr>
        <w:t>it</w:t>
      </w:r>
      <w:proofErr w:type="spellEnd"/>
      <w:r w:rsidRPr="00735D4F">
        <w:rPr>
          <w:rFonts w:asciiTheme="majorBidi" w:hAnsiTheme="majorBidi" w:cstheme="majorBidi"/>
          <w:i/>
          <w:iCs/>
          <w:sz w:val="20"/>
          <w:szCs w:val="20"/>
        </w:rPr>
        <w:t xml:space="preserve"> + β</w:t>
      </w:r>
      <w:r w:rsidRPr="00735D4F">
        <w:rPr>
          <w:rFonts w:asciiTheme="majorBidi" w:hAnsiTheme="majorBidi" w:cstheme="majorBidi"/>
          <w:i/>
          <w:iCs/>
          <w:sz w:val="20"/>
          <w:szCs w:val="20"/>
          <w:vertAlign w:val="subscript"/>
        </w:rPr>
        <w:t>2</w:t>
      </w:r>
      <w:r w:rsidRPr="00735D4F">
        <w:rPr>
          <w:rFonts w:asciiTheme="majorBidi" w:hAnsiTheme="majorBidi" w:cstheme="majorBidi"/>
          <w:i/>
          <w:iCs/>
          <w:sz w:val="20"/>
          <w:szCs w:val="20"/>
        </w:rPr>
        <w:t>(τ)</w:t>
      </w:r>
      <w:proofErr w:type="spellStart"/>
      <w:r w:rsidRPr="00735D4F">
        <w:rPr>
          <w:rFonts w:asciiTheme="majorBidi" w:hAnsiTheme="majorBidi" w:cstheme="majorBidi"/>
          <w:i/>
          <w:iCs/>
          <w:sz w:val="20"/>
          <w:szCs w:val="20"/>
        </w:rPr>
        <w:t>INST</w:t>
      </w:r>
      <w:r w:rsidRPr="00735D4F">
        <w:rPr>
          <w:rFonts w:asciiTheme="majorBidi" w:hAnsiTheme="majorBidi" w:cstheme="majorBidi"/>
          <w:i/>
          <w:iCs/>
          <w:sz w:val="20"/>
          <w:szCs w:val="20"/>
          <w:vertAlign w:val="subscript"/>
        </w:rPr>
        <w:t>it</w:t>
      </w:r>
      <w:proofErr w:type="spellEnd"/>
      <w:r w:rsidRPr="00735D4F">
        <w:rPr>
          <w:rFonts w:asciiTheme="majorBidi" w:hAnsiTheme="majorBidi" w:cstheme="majorBidi"/>
          <w:i/>
          <w:iCs/>
          <w:sz w:val="20"/>
          <w:szCs w:val="20"/>
          <w:vertAlign w:val="subscript"/>
        </w:rPr>
        <w:t xml:space="preserve"> </w:t>
      </w:r>
      <w:r w:rsidRPr="00735D4F">
        <w:rPr>
          <w:rFonts w:asciiTheme="majorBidi" w:hAnsiTheme="majorBidi" w:cstheme="majorBidi"/>
          <w:i/>
          <w:iCs/>
          <w:sz w:val="20"/>
          <w:szCs w:val="20"/>
        </w:rPr>
        <w:t>+ β</w:t>
      </w:r>
      <w:r w:rsidRPr="00735D4F">
        <w:rPr>
          <w:rFonts w:asciiTheme="majorBidi" w:hAnsiTheme="majorBidi" w:cstheme="majorBidi"/>
          <w:i/>
          <w:iCs/>
          <w:sz w:val="20"/>
          <w:szCs w:val="20"/>
          <w:vertAlign w:val="subscript"/>
        </w:rPr>
        <w:t>3</w:t>
      </w:r>
      <w:r w:rsidRPr="00735D4F">
        <w:rPr>
          <w:rFonts w:asciiTheme="majorBidi" w:hAnsiTheme="majorBidi" w:cstheme="majorBidi"/>
          <w:i/>
          <w:iCs/>
          <w:sz w:val="20"/>
          <w:szCs w:val="20"/>
        </w:rPr>
        <w:t>(τ)</w:t>
      </w:r>
      <w:proofErr w:type="spellStart"/>
      <w:r w:rsidRPr="00735D4F">
        <w:rPr>
          <w:rFonts w:asciiTheme="majorBidi" w:hAnsiTheme="majorBidi" w:cstheme="majorBidi"/>
          <w:i/>
          <w:iCs/>
          <w:sz w:val="20"/>
          <w:szCs w:val="20"/>
        </w:rPr>
        <w:t>FRO</w:t>
      </w:r>
      <w:r w:rsidRPr="00735D4F">
        <w:rPr>
          <w:rFonts w:asciiTheme="majorBidi" w:hAnsiTheme="majorBidi" w:cstheme="majorBidi"/>
          <w:i/>
          <w:iCs/>
          <w:sz w:val="20"/>
          <w:szCs w:val="20"/>
          <w:vertAlign w:val="subscript"/>
        </w:rPr>
        <w:t>it</w:t>
      </w:r>
      <w:proofErr w:type="spellEnd"/>
      <w:r w:rsidRPr="00735D4F">
        <w:rPr>
          <w:rFonts w:asciiTheme="majorBidi" w:hAnsiTheme="majorBidi" w:cstheme="majorBidi"/>
          <w:i/>
          <w:iCs/>
          <w:sz w:val="20"/>
          <w:szCs w:val="20"/>
        </w:rPr>
        <w:t xml:space="preserve"> + β</w:t>
      </w:r>
      <w:r w:rsidRPr="00735D4F">
        <w:rPr>
          <w:rFonts w:asciiTheme="majorBidi" w:hAnsiTheme="majorBidi" w:cstheme="majorBidi"/>
          <w:i/>
          <w:iCs/>
          <w:sz w:val="20"/>
          <w:szCs w:val="20"/>
          <w:vertAlign w:val="subscript"/>
        </w:rPr>
        <w:t>4</w:t>
      </w:r>
      <w:r w:rsidRPr="00735D4F">
        <w:rPr>
          <w:rFonts w:asciiTheme="majorBidi" w:hAnsiTheme="majorBidi" w:cstheme="majorBidi"/>
          <w:i/>
          <w:iCs/>
          <w:sz w:val="20"/>
          <w:szCs w:val="20"/>
        </w:rPr>
        <w:t>(τ)</w:t>
      </w:r>
      <w:proofErr w:type="spellStart"/>
      <w:r w:rsidRPr="00735D4F">
        <w:rPr>
          <w:rFonts w:asciiTheme="majorBidi" w:hAnsiTheme="majorBidi" w:cstheme="majorBidi"/>
          <w:i/>
          <w:iCs/>
          <w:sz w:val="20"/>
          <w:szCs w:val="20"/>
        </w:rPr>
        <w:t>ROA</w:t>
      </w:r>
      <w:r w:rsidRPr="00735D4F">
        <w:rPr>
          <w:rFonts w:asciiTheme="majorBidi" w:hAnsiTheme="majorBidi" w:cstheme="majorBidi"/>
          <w:i/>
          <w:iCs/>
          <w:sz w:val="20"/>
          <w:szCs w:val="20"/>
          <w:vertAlign w:val="subscript"/>
        </w:rPr>
        <w:t>it</w:t>
      </w:r>
      <w:proofErr w:type="spellEnd"/>
      <w:r w:rsidRPr="00735D4F">
        <w:rPr>
          <w:rFonts w:asciiTheme="majorBidi" w:hAnsiTheme="majorBidi" w:cstheme="majorBidi"/>
          <w:i/>
          <w:iCs/>
          <w:sz w:val="20"/>
          <w:szCs w:val="20"/>
        </w:rPr>
        <w:t xml:space="preserve"> + β</w:t>
      </w:r>
      <w:r w:rsidRPr="00735D4F">
        <w:rPr>
          <w:rFonts w:asciiTheme="majorBidi" w:hAnsiTheme="majorBidi" w:cstheme="majorBidi"/>
          <w:i/>
          <w:iCs/>
          <w:sz w:val="20"/>
          <w:szCs w:val="20"/>
          <w:vertAlign w:val="subscript"/>
        </w:rPr>
        <w:t>5</w:t>
      </w:r>
      <w:r w:rsidRPr="00735D4F">
        <w:rPr>
          <w:rFonts w:asciiTheme="majorBidi" w:hAnsiTheme="majorBidi" w:cstheme="majorBidi"/>
          <w:i/>
          <w:iCs/>
          <w:sz w:val="20"/>
          <w:szCs w:val="20"/>
        </w:rPr>
        <w:t>(τ)(MGO×ROA)</w:t>
      </w:r>
      <w:r w:rsidRPr="00735D4F">
        <w:rPr>
          <w:rFonts w:asciiTheme="majorBidi" w:hAnsiTheme="majorBidi" w:cstheme="majorBidi"/>
          <w:i/>
          <w:iCs/>
          <w:sz w:val="20"/>
          <w:szCs w:val="20"/>
          <w:vertAlign w:val="subscript"/>
        </w:rPr>
        <w:t>it</w:t>
      </w:r>
      <w:r w:rsidRPr="00735D4F">
        <w:rPr>
          <w:rFonts w:asciiTheme="majorBidi" w:hAnsiTheme="majorBidi" w:cstheme="majorBidi"/>
          <w:i/>
          <w:iCs/>
          <w:sz w:val="20"/>
          <w:szCs w:val="20"/>
        </w:rPr>
        <w:t xml:space="preserve"> + β</w:t>
      </w:r>
      <w:r w:rsidRPr="00735D4F">
        <w:rPr>
          <w:rFonts w:asciiTheme="majorBidi" w:hAnsiTheme="majorBidi" w:cstheme="majorBidi"/>
          <w:i/>
          <w:iCs/>
          <w:sz w:val="20"/>
          <w:szCs w:val="20"/>
          <w:vertAlign w:val="subscript"/>
        </w:rPr>
        <w:t>6</w:t>
      </w:r>
      <w:r w:rsidRPr="00735D4F">
        <w:rPr>
          <w:rFonts w:asciiTheme="majorBidi" w:hAnsiTheme="majorBidi" w:cstheme="majorBidi"/>
          <w:i/>
          <w:iCs/>
          <w:sz w:val="20"/>
          <w:szCs w:val="20"/>
        </w:rPr>
        <w:t>(τ)(INST×ROA)</w:t>
      </w:r>
      <w:r w:rsidRPr="00735D4F">
        <w:rPr>
          <w:rFonts w:asciiTheme="majorBidi" w:hAnsiTheme="majorBidi" w:cstheme="majorBidi"/>
          <w:i/>
          <w:iCs/>
          <w:sz w:val="20"/>
          <w:szCs w:val="20"/>
          <w:vertAlign w:val="subscript"/>
        </w:rPr>
        <w:t>it</w:t>
      </w:r>
      <w:r w:rsidRPr="00735D4F">
        <w:rPr>
          <w:rFonts w:asciiTheme="majorBidi" w:hAnsiTheme="majorBidi" w:cstheme="majorBidi"/>
          <w:i/>
          <w:iCs/>
          <w:sz w:val="20"/>
          <w:szCs w:val="20"/>
        </w:rPr>
        <w:t xml:space="preserve"> + β</w:t>
      </w:r>
      <w:r w:rsidRPr="00735D4F">
        <w:rPr>
          <w:rFonts w:asciiTheme="majorBidi" w:hAnsiTheme="majorBidi" w:cstheme="majorBidi"/>
          <w:i/>
          <w:iCs/>
          <w:sz w:val="20"/>
          <w:szCs w:val="20"/>
          <w:vertAlign w:val="subscript"/>
        </w:rPr>
        <w:t>7</w:t>
      </w:r>
      <w:r w:rsidRPr="00735D4F">
        <w:rPr>
          <w:rFonts w:asciiTheme="majorBidi" w:hAnsiTheme="majorBidi" w:cstheme="majorBidi"/>
          <w:i/>
          <w:iCs/>
          <w:sz w:val="20"/>
          <w:szCs w:val="20"/>
        </w:rPr>
        <w:t>(τ)(FRO×ROA)</w:t>
      </w:r>
      <w:r w:rsidRPr="00735D4F">
        <w:rPr>
          <w:rFonts w:asciiTheme="majorBidi" w:hAnsiTheme="majorBidi" w:cstheme="majorBidi"/>
          <w:i/>
          <w:iCs/>
          <w:sz w:val="20"/>
          <w:szCs w:val="20"/>
          <w:vertAlign w:val="subscript"/>
        </w:rPr>
        <w:t>it</w:t>
      </w:r>
      <w:r w:rsidRPr="00735D4F">
        <w:rPr>
          <w:rFonts w:asciiTheme="majorBidi" w:hAnsiTheme="majorBidi" w:cstheme="majorBidi"/>
          <w:i/>
          <w:iCs/>
          <w:sz w:val="20"/>
          <w:szCs w:val="20"/>
        </w:rPr>
        <w:t xml:space="preserve"> + β</w:t>
      </w:r>
      <w:r w:rsidRPr="00735D4F">
        <w:rPr>
          <w:rFonts w:asciiTheme="majorBidi" w:hAnsiTheme="majorBidi" w:cstheme="majorBidi"/>
          <w:i/>
          <w:iCs/>
          <w:sz w:val="20"/>
          <w:szCs w:val="20"/>
          <w:vertAlign w:val="subscript"/>
        </w:rPr>
        <w:t>8</w:t>
      </w:r>
      <w:r w:rsidRPr="00735D4F">
        <w:rPr>
          <w:rFonts w:asciiTheme="majorBidi" w:hAnsiTheme="majorBidi" w:cstheme="majorBidi"/>
          <w:i/>
          <w:iCs/>
          <w:sz w:val="20"/>
          <w:szCs w:val="20"/>
        </w:rPr>
        <w:t>(τ)</w:t>
      </w:r>
      <w:proofErr w:type="spellStart"/>
      <w:r w:rsidRPr="00735D4F">
        <w:rPr>
          <w:rFonts w:asciiTheme="majorBidi" w:hAnsiTheme="majorBidi" w:cstheme="majorBidi"/>
          <w:i/>
          <w:iCs/>
          <w:sz w:val="20"/>
          <w:szCs w:val="20"/>
        </w:rPr>
        <w:t>Controls</w:t>
      </w:r>
      <w:r w:rsidRPr="00735D4F">
        <w:rPr>
          <w:rFonts w:asciiTheme="majorBidi" w:hAnsiTheme="majorBidi" w:cstheme="majorBidi"/>
          <w:i/>
          <w:iCs/>
          <w:sz w:val="20"/>
          <w:szCs w:val="20"/>
          <w:vertAlign w:val="subscript"/>
        </w:rPr>
        <w:t>it</w:t>
      </w:r>
      <w:proofErr w:type="spellEnd"/>
      <w:r w:rsidRPr="00735D4F">
        <w:rPr>
          <w:rFonts w:asciiTheme="majorBidi" w:hAnsiTheme="majorBidi" w:cstheme="majorBidi"/>
          <w:i/>
          <w:iCs/>
          <w:sz w:val="20"/>
          <w:szCs w:val="20"/>
        </w:rPr>
        <w:t xml:space="preserve"> + </w:t>
      </w:r>
      <w:proofErr w:type="spellStart"/>
      <w:r w:rsidRPr="00735D4F">
        <w:rPr>
          <w:rFonts w:asciiTheme="majorBidi" w:hAnsiTheme="majorBidi" w:cstheme="majorBidi"/>
          <w:i/>
          <w:iCs/>
          <w:sz w:val="20"/>
          <w:szCs w:val="20"/>
        </w:rPr>
        <w:t>ε</w:t>
      </w:r>
      <w:r w:rsidRPr="00735D4F">
        <w:rPr>
          <w:rFonts w:asciiTheme="majorBidi" w:hAnsiTheme="majorBidi" w:cstheme="majorBidi"/>
          <w:i/>
          <w:iCs/>
          <w:sz w:val="20"/>
          <w:szCs w:val="20"/>
          <w:vertAlign w:val="subscript"/>
        </w:rPr>
        <w:t>it</w:t>
      </w:r>
      <w:proofErr w:type="spellEnd"/>
      <w:r w:rsidRPr="00735D4F">
        <w:rPr>
          <w:rFonts w:asciiTheme="majorBidi" w:hAnsiTheme="majorBidi" w:cstheme="majorBidi"/>
          <w:i/>
          <w:iCs/>
          <w:sz w:val="20"/>
          <w:szCs w:val="20"/>
        </w:rPr>
        <w:t>(τ)</w:t>
      </w:r>
      <w:r w:rsidRPr="00735D4F">
        <w:rPr>
          <w:rFonts w:asciiTheme="majorBidi" w:hAnsiTheme="majorBidi" w:cstheme="majorBidi"/>
          <w:i/>
          <w:iCs/>
          <w:sz w:val="20"/>
          <w:szCs w:val="20"/>
        </w:rPr>
        <w:tab/>
      </w:r>
      <w:r w:rsidRPr="00735D4F">
        <w:rPr>
          <w:rFonts w:asciiTheme="majorBidi" w:hAnsiTheme="majorBidi" w:cstheme="majorBidi"/>
          <w:i/>
          <w:iCs/>
          <w:sz w:val="20"/>
          <w:szCs w:val="20"/>
        </w:rPr>
        <w:tab/>
      </w:r>
      <w:r w:rsidRPr="00735D4F">
        <w:rPr>
          <w:rFonts w:asciiTheme="majorBidi" w:hAnsiTheme="majorBidi" w:cstheme="majorBidi"/>
          <w:i/>
          <w:iCs/>
          <w:sz w:val="20"/>
          <w:szCs w:val="20"/>
        </w:rPr>
        <w:tab/>
      </w:r>
      <w:r w:rsidRPr="00735D4F">
        <w:rPr>
          <w:rFonts w:asciiTheme="majorBidi" w:hAnsiTheme="majorBidi" w:cstheme="majorBidi"/>
          <w:i/>
          <w:iCs/>
          <w:sz w:val="20"/>
          <w:szCs w:val="20"/>
        </w:rPr>
        <w:tab/>
        <w:t>(1)</w:t>
      </w:r>
      <w:r w:rsidRPr="00735D4F">
        <w:rPr>
          <w:rFonts w:asciiTheme="majorBidi" w:hAnsiTheme="majorBidi" w:cstheme="majorBidi"/>
          <w:i/>
          <w:iCs/>
          <w:sz w:val="20"/>
          <w:szCs w:val="20"/>
        </w:rPr>
        <w:br/>
      </w:r>
      <w:r w:rsidRPr="00735D4F">
        <w:rPr>
          <w:rFonts w:asciiTheme="majorBidi" w:hAnsiTheme="majorBidi" w:cstheme="majorBidi"/>
          <w:sz w:val="20"/>
          <w:szCs w:val="20"/>
        </w:rPr>
        <w:t xml:space="preserve">where </w:t>
      </w:r>
      <w:proofErr w:type="spellStart"/>
      <w:r w:rsidRPr="00735D4F">
        <w:rPr>
          <w:rFonts w:asciiTheme="majorBidi" w:hAnsiTheme="majorBidi" w:cstheme="majorBidi"/>
          <w:sz w:val="20"/>
          <w:szCs w:val="20"/>
        </w:rPr>
        <w:t>Qτ</w:t>
      </w:r>
      <w:proofErr w:type="spellEnd"/>
      <w:r w:rsidRPr="00735D4F">
        <w:rPr>
          <w:rFonts w:asciiTheme="majorBidi" w:hAnsiTheme="majorBidi" w:cstheme="majorBidi"/>
          <w:sz w:val="20"/>
          <w:szCs w:val="20"/>
        </w:rPr>
        <w:t>(</w:t>
      </w:r>
      <w:proofErr w:type="spellStart"/>
      <w:r w:rsidRPr="00735D4F">
        <w:rPr>
          <w:rFonts w:asciiTheme="majorBidi" w:hAnsiTheme="majorBidi" w:cstheme="majorBidi"/>
          <w:sz w:val="20"/>
          <w:szCs w:val="20"/>
        </w:rPr>
        <w:t>DPO</w:t>
      </w:r>
      <w:r w:rsidRPr="00735D4F">
        <w:rPr>
          <w:rFonts w:asciiTheme="majorBidi" w:hAnsiTheme="majorBidi" w:cstheme="majorBidi"/>
          <w:sz w:val="20"/>
          <w:szCs w:val="20"/>
          <w:vertAlign w:val="subscript"/>
        </w:rPr>
        <w:t>it</w:t>
      </w:r>
      <w:proofErr w:type="spellEnd"/>
      <w:r w:rsidRPr="00735D4F">
        <w:rPr>
          <w:rFonts w:asciiTheme="majorBidi" w:hAnsiTheme="majorBidi" w:cstheme="majorBidi"/>
          <w:sz w:val="20"/>
          <w:szCs w:val="20"/>
        </w:rPr>
        <w:t>) denotes the τ-</w:t>
      </w:r>
      <w:proofErr w:type="spellStart"/>
      <w:r w:rsidRPr="00735D4F">
        <w:rPr>
          <w:rFonts w:asciiTheme="majorBidi" w:hAnsiTheme="majorBidi" w:cstheme="majorBidi"/>
          <w:sz w:val="20"/>
          <w:szCs w:val="20"/>
        </w:rPr>
        <w:t>th</w:t>
      </w:r>
      <w:proofErr w:type="spellEnd"/>
      <w:r w:rsidRPr="00735D4F">
        <w:rPr>
          <w:rFonts w:asciiTheme="majorBidi" w:hAnsiTheme="majorBidi" w:cstheme="majorBidi"/>
          <w:sz w:val="20"/>
          <w:szCs w:val="20"/>
        </w:rPr>
        <w:t xml:space="preserve"> conditional quantile of the dividend payout ratio for firm </w:t>
      </w:r>
      <w:proofErr w:type="spellStart"/>
      <w:r w:rsidRPr="00735D4F">
        <w:rPr>
          <w:rFonts w:asciiTheme="majorBidi" w:hAnsiTheme="majorBidi" w:cstheme="majorBidi"/>
          <w:i/>
          <w:iCs/>
          <w:sz w:val="20"/>
          <w:szCs w:val="20"/>
        </w:rPr>
        <w:t>i</w:t>
      </w:r>
      <w:proofErr w:type="spellEnd"/>
      <w:r w:rsidRPr="00735D4F">
        <w:rPr>
          <w:rFonts w:asciiTheme="majorBidi" w:hAnsiTheme="majorBidi" w:cstheme="majorBidi"/>
          <w:sz w:val="20"/>
          <w:szCs w:val="20"/>
        </w:rPr>
        <w:t xml:space="preserve"> in year </w:t>
      </w:r>
      <w:r w:rsidRPr="00735D4F">
        <w:rPr>
          <w:rFonts w:asciiTheme="majorBidi" w:hAnsiTheme="majorBidi" w:cstheme="majorBidi"/>
          <w:i/>
          <w:iCs/>
          <w:sz w:val="20"/>
          <w:szCs w:val="20"/>
        </w:rPr>
        <w:t>t</w:t>
      </w:r>
      <w:r w:rsidRPr="00735D4F">
        <w:rPr>
          <w:rFonts w:asciiTheme="majorBidi" w:hAnsiTheme="majorBidi" w:cstheme="majorBidi"/>
          <w:sz w:val="20"/>
          <w:szCs w:val="20"/>
        </w:rPr>
        <w:t>. All explanatory variables are as previously defined. The interaction terms capture the moderating effect of profitability on the relationship between ownership structure and dividend decisions across the conditional distribution of DPO.</w:t>
      </w:r>
    </w:p>
    <w:p w14:paraId="619D8C7D" w14:textId="77777777" w:rsidR="001E6B1A" w:rsidRPr="00735D4F" w:rsidRDefault="001E6B1A" w:rsidP="001E6B1A">
      <w:pPr>
        <w:pStyle w:val="Heading2"/>
        <w:spacing w:line="360" w:lineRule="auto"/>
        <w:contextualSpacing/>
        <w:rPr>
          <w:rFonts w:asciiTheme="majorBidi" w:hAnsiTheme="majorBidi" w:cstheme="majorBidi"/>
          <w:b/>
          <w:bCs/>
          <w:color w:val="auto"/>
          <w:sz w:val="20"/>
          <w:szCs w:val="20"/>
        </w:rPr>
      </w:pPr>
      <w:r w:rsidRPr="00735D4F">
        <w:rPr>
          <w:rFonts w:asciiTheme="majorBidi" w:hAnsiTheme="majorBidi" w:cstheme="majorBidi"/>
          <w:b/>
          <w:bCs/>
          <w:color w:val="auto"/>
          <w:sz w:val="20"/>
          <w:szCs w:val="20"/>
        </w:rPr>
        <w:t>3.3 Estimation Procedure and Robustness Checks</w:t>
      </w:r>
    </w:p>
    <w:p w14:paraId="74237AB0" w14:textId="77777777" w:rsidR="001E6B1A" w:rsidRPr="00735D4F" w:rsidRDefault="001E6B1A" w:rsidP="001E6B1A">
      <w:pPr>
        <w:spacing w:line="360" w:lineRule="auto"/>
        <w:contextualSpacing/>
        <w:jc w:val="both"/>
        <w:rPr>
          <w:rFonts w:asciiTheme="majorBidi" w:hAnsiTheme="majorBidi" w:cstheme="majorBidi"/>
          <w:sz w:val="20"/>
          <w:szCs w:val="20"/>
        </w:rPr>
      </w:pPr>
      <w:r w:rsidRPr="00735D4F">
        <w:rPr>
          <w:rFonts w:asciiTheme="majorBidi" w:hAnsiTheme="majorBidi" w:cstheme="majorBidi"/>
          <w:sz w:val="20"/>
          <w:szCs w:val="20"/>
        </w:rPr>
        <w:t xml:space="preserve">This study adopts a two-tier estimation approach to ensure empirical robustness. Model 1 uses cross-sectional quantile regression at the 25th, 50th, and 75th percentiles of DPO to examine how ownership and profitability affect dividend decisions across payout levels. Interaction terms between ROA and ownership variables assess conditional effects. Standard errors are bootstrapped using 500 replications via the </w:t>
      </w:r>
      <w:proofErr w:type="spellStart"/>
      <w:r w:rsidRPr="00735D4F">
        <w:rPr>
          <w:rFonts w:asciiTheme="majorBidi" w:hAnsiTheme="majorBidi" w:cstheme="majorBidi"/>
          <w:sz w:val="20"/>
          <w:szCs w:val="20"/>
        </w:rPr>
        <w:t>bsqreg</w:t>
      </w:r>
      <w:proofErr w:type="spellEnd"/>
      <w:r w:rsidRPr="00735D4F">
        <w:rPr>
          <w:rFonts w:asciiTheme="majorBidi" w:hAnsiTheme="majorBidi" w:cstheme="majorBidi"/>
          <w:sz w:val="20"/>
          <w:szCs w:val="20"/>
        </w:rPr>
        <w:t xml:space="preserve"> command to address non-normality and heteroskedasticity. Model 2 applies fixed effects panel quantile regression (</w:t>
      </w:r>
      <w:proofErr w:type="spellStart"/>
      <w:r w:rsidRPr="00735D4F">
        <w:rPr>
          <w:rFonts w:asciiTheme="majorBidi" w:hAnsiTheme="majorBidi" w:cstheme="majorBidi"/>
          <w:sz w:val="20"/>
          <w:szCs w:val="20"/>
        </w:rPr>
        <w:t>xtqreg</w:t>
      </w:r>
      <w:proofErr w:type="spellEnd"/>
      <w:r w:rsidRPr="00735D4F">
        <w:rPr>
          <w:rFonts w:asciiTheme="majorBidi" w:hAnsiTheme="majorBidi" w:cstheme="majorBidi"/>
          <w:sz w:val="20"/>
          <w:szCs w:val="20"/>
        </w:rPr>
        <w:t>) to control for time-invariant firm-specific factors, allowing identification of within-firm changes in response to shifts in ownership and profitability. Estimating both models at the same quantiles permits coefficient comparison. Diagnostic checks confirmed model validity. VIF results indicated no multicollinearity. The Breusch–Pagan/Cook–Weisberg test supported robust estimation. Wald tests confirmed joint significance at each quantile. All estimations were conducted in Stata 19.5. The combined use of cross-sectional and panel models strengthens the credibility and internal validity of the findings.</w:t>
      </w:r>
    </w:p>
    <w:p w14:paraId="1026A5A1" w14:textId="77777777" w:rsidR="001E6B1A" w:rsidRPr="00735D4F" w:rsidRDefault="001E6B1A" w:rsidP="001E6B1A">
      <w:pPr>
        <w:spacing w:line="360" w:lineRule="auto"/>
        <w:contextualSpacing/>
        <w:rPr>
          <w:rFonts w:asciiTheme="majorBidi" w:hAnsiTheme="majorBidi" w:cstheme="majorBidi"/>
          <w:sz w:val="20"/>
          <w:szCs w:val="20"/>
        </w:rPr>
      </w:pPr>
      <w:r w:rsidRPr="00735D4F">
        <w:rPr>
          <w:rFonts w:asciiTheme="majorBidi" w:hAnsiTheme="majorBidi" w:cstheme="majorBidi"/>
          <w:b/>
          <w:bCs/>
          <w:sz w:val="20"/>
          <w:szCs w:val="20"/>
        </w:rPr>
        <w:t>4. Results and Discussion</w:t>
      </w:r>
    </w:p>
    <w:p w14:paraId="35ACD659" w14:textId="77777777" w:rsidR="001E6B1A" w:rsidRPr="00735D4F" w:rsidRDefault="001E6B1A" w:rsidP="001E6B1A">
      <w:pPr>
        <w:spacing w:line="360" w:lineRule="auto"/>
        <w:contextualSpacing/>
        <w:jc w:val="both"/>
        <w:rPr>
          <w:rFonts w:asciiTheme="majorBidi" w:hAnsiTheme="majorBidi" w:cstheme="majorBidi"/>
          <w:sz w:val="20"/>
          <w:szCs w:val="20"/>
        </w:rPr>
      </w:pPr>
      <w:r w:rsidRPr="00735D4F">
        <w:rPr>
          <w:rFonts w:asciiTheme="majorBidi" w:hAnsiTheme="majorBidi" w:cstheme="majorBidi"/>
          <w:sz w:val="20"/>
          <w:szCs w:val="20"/>
        </w:rPr>
        <w:t xml:space="preserve">This section presents the empirical findings from the study, structured around descriptive analysis, correlation diagnostics, and model estimation outputs. The estimation follows a twofold strategy: (1) cross-sectional bootstrapped moderated quantile regressions (BMQ25, BMQ50, BMQ75) using </w:t>
      </w:r>
      <w:proofErr w:type="spellStart"/>
      <w:r w:rsidRPr="00735D4F">
        <w:rPr>
          <w:rFonts w:asciiTheme="majorBidi" w:hAnsiTheme="majorBidi" w:cstheme="majorBidi"/>
          <w:i/>
          <w:iCs/>
          <w:sz w:val="20"/>
          <w:szCs w:val="20"/>
        </w:rPr>
        <w:t>bsqreg</w:t>
      </w:r>
      <w:proofErr w:type="spellEnd"/>
      <w:r w:rsidRPr="00735D4F">
        <w:rPr>
          <w:rFonts w:asciiTheme="majorBidi" w:hAnsiTheme="majorBidi" w:cstheme="majorBidi"/>
          <w:sz w:val="20"/>
          <w:szCs w:val="20"/>
        </w:rPr>
        <w:t xml:space="preserve">, and (2) panel quantile regression with fixed effects (PQR25, PQR50, PQR75), using </w:t>
      </w:r>
      <w:proofErr w:type="spellStart"/>
      <w:r w:rsidRPr="00735D4F">
        <w:rPr>
          <w:rFonts w:asciiTheme="majorBidi" w:hAnsiTheme="majorBidi" w:cstheme="majorBidi"/>
          <w:i/>
          <w:iCs/>
          <w:sz w:val="20"/>
          <w:szCs w:val="20"/>
        </w:rPr>
        <w:t>xtqreg</w:t>
      </w:r>
      <w:proofErr w:type="spellEnd"/>
      <w:r w:rsidRPr="00735D4F">
        <w:rPr>
          <w:rFonts w:asciiTheme="majorBidi" w:hAnsiTheme="majorBidi" w:cstheme="majorBidi"/>
          <w:sz w:val="20"/>
          <w:szCs w:val="20"/>
        </w:rPr>
        <w:t>. The results offer nuanced insights into how firm-specific factors influence dividend payout decisions across the conditional distribution of dividend policy, thereby addressing prior methodological limitations and context-specific gaps in Sub-Saharan financial markets.</w:t>
      </w:r>
    </w:p>
    <w:p w14:paraId="42A7EB66" w14:textId="77777777" w:rsidR="001E6B1A" w:rsidRPr="00735D4F" w:rsidRDefault="001E6B1A" w:rsidP="001E6B1A">
      <w:pPr>
        <w:pStyle w:val="Heading3"/>
        <w:spacing w:line="360" w:lineRule="auto"/>
        <w:contextualSpacing/>
        <w:rPr>
          <w:rFonts w:asciiTheme="majorBidi" w:hAnsiTheme="majorBidi" w:cstheme="majorBidi"/>
          <w:b/>
          <w:bCs/>
          <w:color w:val="auto"/>
          <w:sz w:val="20"/>
          <w:szCs w:val="20"/>
        </w:rPr>
      </w:pPr>
      <w:r w:rsidRPr="00735D4F">
        <w:rPr>
          <w:rFonts w:asciiTheme="majorBidi" w:hAnsiTheme="majorBidi" w:cstheme="majorBidi"/>
          <w:b/>
          <w:bCs/>
          <w:color w:val="auto"/>
          <w:sz w:val="20"/>
          <w:szCs w:val="20"/>
        </w:rPr>
        <w:t>4.1 Descriptive Statistics</w:t>
      </w:r>
    </w:p>
    <w:p w14:paraId="3EFE8471" w14:textId="77777777" w:rsidR="001E6B1A" w:rsidRPr="00735D4F" w:rsidRDefault="001E6B1A" w:rsidP="001E6B1A">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b/>
          <w:bCs/>
          <w:kern w:val="0"/>
          <w:sz w:val="20"/>
          <w:szCs w:val="20"/>
        </w:rPr>
        <w:t xml:space="preserve">Table 2: Descriptive Statistics </w:t>
      </w:r>
    </w:p>
    <w:tbl>
      <w:tblPr>
        <w:tblW w:w="0" w:type="auto"/>
        <w:tblLayout w:type="fixed"/>
        <w:tblLook w:val="0000" w:firstRow="0" w:lastRow="0" w:firstColumn="0" w:lastColumn="0" w:noHBand="0" w:noVBand="0"/>
      </w:tblPr>
      <w:tblGrid>
        <w:gridCol w:w="2508"/>
        <w:gridCol w:w="800"/>
        <w:gridCol w:w="1400"/>
        <w:gridCol w:w="1400"/>
        <w:gridCol w:w="1400"/>
        <w:gridCol w:w="1400"/>
      </w:tblGrid>
      <w:tr w:rsidR="001E6B1A" w:rsidRPr="00735D4F" w14:paraId="267B7794" w14:textId="77777777" w:rsidTr="00035652">
        <w:tc>
          <w:tcPr>
            <w:tcW w:w="2508" w:type="dxa"/>
            <w:tcBorders>
              <w:top w:val="single" w:sz="4" w:space="0" w:color="auto"/>
              <w:left w:val="nil"/>
              <w:bottom w:val="single" w:sz="10" w:space="0" w:color="auto"/>
              <w:right w:val="nil"/>
            </w:tcBorders>
          </w:tcPr>
          <w:p w14:paraId="452BBB77" w14:textId="77777777" w:rsidR="001E6B1A" w:rsidRPr="00735D4F" w:rsidRDefault="001E6B1A" w:rsidP="00035652">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kern w:val="0"/>
                <w:sz w:val="20"/>
                <w:szCs w:val="20"/>
              </w:rPr>
              <w:t xml:space="preserve"> Variable</w:t>
            </w:r>
          </w:p>
        </w:tc>
        <w:tc>
          <w:tcPr>
            <w:tcW w:w="800" w:type="dxa"/>
            <w:tcBorders>
              <w:top w:val="single" w:sz="4" w:space="0" w:color="auto"/>
              <w:left w:val="nil"/>
              <w:bottom w:val="single" w:sz="10" w:space="0" w:color="auto"/>
              <w:right w:val="nil"/>
            </w:tcBorders>
          </w:tcPr>
          <w:p w14:paraId="39C3AAF5"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 xml:space="preserve"> </w:t>
            </w:r>
            <w:proofErr w:type="spellStart"/>
            <w:r w:rsidRPr="00735D4F">
              <w:rPr>
                <w:rFonts w:asciiTheme="majorBidi" w:hAnsiTheme="majorBidi" w:cstheme="majorBidi"/>
                <w:kern w:val="0"/>
                <w:sz w:val="20"/>
                <w:szCs w:val="20"/>
              </w:rPr>
              <w:t>Obs</w:t>
            </w:r>
            <w:proofErr w:type="spellEnd"/>
          </w:p>
        </w:tc>
        <w:tc>
          <w:tcPr>
            <w:tcW w:w="1400" w:type="dxa"/>
            <w:tcBorders>
              <w:top w:val="single" w:sz="4" w:space="0" w:color="auto"/>
              <w:left w:val="nil"/>
              <w:bottom w:val="single" w:sz="10" w:space="0" w:color="auto"/>
              <w:right w:val="nil"/>
            </w:tcBorders>
          </w:tcPr>
          <w:p w14:paraId="228253F8"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 xml:space="preserve"> Mean</w:t>
            </w:r>
          </w:p>
        </w:tc>
        <w:tc>
          <w:tcPr>
            <w:tcW w:w="1400" w:type="dxa"/>
            <w:tcBorders>
              <w:top w:val="single" w:sz="4" w:space="0" w:color="auto"/>
              <w:left w:val="nil"/>
              <w:bottom w:val="single" w:sz="10" w:space="0" w:color="auto"/>
              <w:right w:val="nil"/>
            </w:tcBorders>
          </w:tcPr>
          <w:p w14:paraId="7CDC1833"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 xml:space="preserve"> Std. Dev.</w:t>
            </w:r>
          </w:p>
        </w:tc>
        <w:tc>
          <w:tcPr>
            <w:tcW w:w="1400" w:type="dxa"/>
            <w:tcBorders>
              <w:top w:val="single" w:sz="4" w:space="0" w:color="auto"/>
              <w:left w:val="nil"/>
              <w:bottom w:val="single" w:sz="10" w:space="0" w:color="auto"/>
              <w:right w:val="nil"/>
            </w:tcBorders>
          </w:tcPr>
          <w:p w14:paraId="229944D4"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 xml:space="preserve"> Min</w:t>
            </w:r>
          </w:p>
        </w:tc>
        <w:tc>
          <w:tcPr>
            <w:tcW w:w="1400" w:type="dxa"/>
            <w:tcBorders>
              <w:top w:val="single" w:sz="4" w:space="0" w:color="auto"/>
              <w:left w:val="nil"/>
              <w:bottom w:val="single" w:sz="10" w:space="0" w:color="auto"/>
              <w:right w:val="nil"/>
            </w:tcBorders>
          </w:tcPr>
          <w:p w14:paraId="6CF24CDC"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 xml:space="preserve"> Max</w:t>
            </w:r>
          </w:p>
        </w:tc>
      </w:tr>
      <w:tr w:rsidR="001E6B1A" w:rsidRPr="00735D4F" w14:paraId="149E641B" w14:textId="77777777" w:rsidTr="00035652">
        <w:tc>
          <w:tcPr>
            <w:tcW w:w="2508" w:type="dxa"/>
            <w:tcBorders>
              <w:top w:val="nil"/>
              <w:left w:val="nil"/>
              <w:bottom w:val="nil"/>
              <w:right w:val="nil"/>
            </w:tcBorders>
          </w:tcPr>
          <w:p w14:paraId="69A732B8" w14:textId="77777777" w:rsidR="001E6B1A" w:rsidRPr="00735D4F" w:rsidRDefault="001E6B1A" w:rsidP="00035652">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kern w:val="0"/>
                <w:sz w:val="20"/>
                <w:szCs w:val="20"/>
              </w:rPr>
              <w:t xml:space="preserve"> DPO</w:t>
            </w:r>
          </w:p>
        </w:tc>
        <w:tc>
          <w:tcPr>
            <w:tcW w:w="800" w:type="dxa"/>
            <w:tcBorders>
              <w:top w:val="nil"/>
              <w:left w:val="nil"/>
              <w:bottom w:val="nil"/>
              <w:right w:val="nil"/>
            </w:tcBorders>
          </w:tcPr>
          <w:p w14:paraId="4E51A166"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144</w:t>
            </w:r>
          </w:p>
        </w:tc>
        <w:tc>
          <w:tcPr>
            <w:tcW w:w="1400" w:type="dxa"/>
            <w:tcBorders>
              <w:top w:val="nil"/>
              <w:left w:val="nil"/>
              <w:bottom w:val="nil"/>
              <w:right w:val="nil"/>
            </w:tcBorders>
          </w:tcPr>
          <w:p w14:paraId="2CA996C1"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23.519</w:t>
            </w:r>
          </w:p>
        </w:tc>
        <w:tc>
          <w:tcPr>
            <w:tcW w:w="1400" w:type="dxa"/>
            <w:tcBorders>
              <w:top w:val="nil"/>
              <w:left w:val="nil"/>
              <w:bottom w:val="nil"/>
              <w:right w:val="nil"/>
            </w:tcBorders>
          </w:tcPr>
          <w:p w14:paraId="010935A5"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19.346</w:t>
            </w:r>
          </w:p>
        </w:tc>
        <w:tc>
          <w:tcPr>
            <w:tcW w:w="1400" w:type="dxa"/>
            <w:tcBorders>
              <w:top w:val="nil"/>
              <w:left w:val="nil"/>
              <w:bottom w:val="nil"/>
              <w:right w:val="nil"/>
            </w:tcBorders>
          </w:tcPr>
          <w:p w14:paraId="595BB203"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w:t>
            </w:r>
          </w:p>
        </w:tc>
        <w:tc>
          <w:tcPr>
            <w:tcW w:w="1400" w:type="dxa"/>
            <w:tcBorders>
              <w:top w:val="nil"/>
              <w:left w:val="nil"/>
              <w:bottom w:val="nil"/>
              <w:right w:val="nil"/>
            </w:tcBorders>
          </w:tcPr>
          <w:p w14:paraId="2DC90A57"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84.853</w:t>
            </w:r>
          </w:p>
        </w:tc>
      </w:tr>
      <w:tr w:rsidR="001E6B1A" w:rsidRPr="00735D4F" w14:paraId="76DFB6F9" w14:textId="77777777" w:rsidTr="00035652">
        <w:tc>
          <w:tcPr>
            <w:tcW w:w="2508" w:type="dxa"/>
            <w:tcBorders>
              <w:top w:val="nil"/>
              <w:left w:val="nil"/>
              <w:bottom w:val="nil"/>
              <w:right w:val="nil"/>
            </w:tcBorders>
          </w:tcPr>
          <w:p w14:paraId="1B7311A3" w14:textId="77777777" w:rsidR="001E6B1A" w:rsidRPr="00735D4F" w:rsidRDefault="001E6B1A" w:rsidP="00035652">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kern w:val="0"/>
                <w:sz w:val="20"/>
                <w:szCs w:val="20"/>
              </w:rPr>
              <w:t xml:space="preserve"> MGO</w:t>
            </w:r>
          </w:p>
        </w:tc>
        <w:tc>
          <w:tcPr>
            <w:tcW w:w="800" w:type="dxa"/>
            <w:tcBorders>
              <w:top w:val="nil"/>
              <w:left w:val="nil"/>
              <w:bottom w:val="nil"/>
              <w:right w:val="nil"/>
            </w:tcBorders>
          </w:tcPr>
          <w:p w14:paraId="28786C0A"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144</w:t>
            </w:r>
          </w:p>
        </w:tc>
        <w:tc>
          <w:tcPr>
            <w:tcW w:w="1400" w:type="dxa"/>
            <w:tcBorders>
              <w:top w:val="nil"/>
              <w:left w:val="nil"/>
              <w:bottom w:val="nil"/>
              <w:right w:val="nil"/>
            </w:tcBorders>
          </w:tcPr>
          <w:p w14:paraId="2ED57C99"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13.042</w:t>
            </w:r>
          </w:p>
        </w:tc>
        <w:tc>
          <w:tcPr>
            <w:tcW w:w="1400" w:type="dxa"/>
            <w:tcBorders>
              <w:top w:val="nil"/>
              <w:left w:val="nil"/>
              <w:bottom w:val="nil"/>
              <w:right w:val="nil"/>
            </w:tcBorders>
          </w:tcPr>
          <w:p w14:paraId="4F19BF91"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14.548</w:t>
            </w:r>
          </w:p>
        </w:tc>
        <w:tc>
          <w:tcPr>
            <w:tcW w:w="1400" w:type="dxa"/>
            <w:tcBorders>
              <w:top w:val="nil"/>
              <w:left w:val="nil"/>
              <w:bottom w:val="nil"/>
              <w:right w:val="nil"/>
            </w:tcBorders>
          </w:tcPr>
          <w:p w14:paraId="29D6EA2E"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5.5</w:t>
            </w:r>
          </w:p>
        </w:tc>
        <w:tc>
          <w:tcPr>
            <w:tcW w:w="1400" w:type="dxa"/>
            <w:tcBorders>
              <w:top w:val="nil"/>
              <w:left w:val="nil"/>
              <w:bottom w:val="nil"/>
              <w:right w:val="nil"/>
            </w:tcBorders>
          </w:tcPr>
          <w:p w14:paraId="34E2ABA5"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79.961</w:t>
            </w:r>
          </w:p>
        </w:tc>
      </w:tr>
      <w:tr w:rsidR="001E6B1A" w:rsidRPr="00735D4F" w14:paraId="1153A090" w14:textId="77777777" w:rsidTr="00035652">
        <w:tc>
          <w:tcPr>
            <w:tcW w:w="2508" w:type="dxa"/>
            <w:tcBorders>
              <w:top w:val="nil"/>
              <w:left w:val="nil"/>
              <w:bottom w:val="nil"/>
              <w:right w:val="nil"/>
            </w:tcBorders>
          </w:tcPr>
          <w:p w14:paraId="7F7B6D15" w14:textId="77777777" w:rsidR="001E6B1A" w:rsidRPr="00735D4F" w:rsidRDefault="001E6B1A" w:rsidP="00035652">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kern w:val="0"/>
                <w:sz w:val="20"/>
                <w:szCs w:val="20"/>
              </w:rPr>
              <w:t xml:space="preserve"> INST</w:t>
            </w:r>
          </w:p>
        </w:tc>
        <w:tc>
          <w:tcPr>
            <w:tcW w:w="800" w:type="dxa"/>
            <w:tcBorders>
              <w:top w:val="nil"/>
              <w:left w:val="nil"/>
              <w:bottom w:val="nil"/>
              <w:right w:val="nil"/>
            </w:tcBorders>
          </w:tcPr>
          <w:p w14:paraId="3D14BDEF"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144</w:t>
            </w:r>
          </w:p>
        </w:tc>
        <w:tc>
          <w:tcPr>
            <w:tcW w:w="1400" w:type="dxa"/>
            <w:tcBorders>
              <w:top w:val="nil"/>
              <w:left w:val="nil"/>
              <w:bottom w:val="nil"/>
              <w:right w:val="nil"/>
            </w:tcBorders>
          </w:tcPr>
          <w:p w14:paraId="5FC744AD"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36.799</w:t>
            </w:r>
          </w:p>
        </w:tc>
        <w:tc>
          <w:tcPr>
            <w:tcW w:w="1400" w:type="dxa"/>
            <w:tcBorders>
              <w:top w:val="nil"/>
              <w:left w:val="nil"/>
              <w:bottom w:val="nil"/>
              <w:right w:val="nil"/>
            </w:tcBorders>
          </w:tcPr>
          <w:p w14:paraId="7AA28C4B"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17.91</w:t>
            </w:r>
          </w:p>
        </w:tc>
        <w:tc>
          <w:tcPr>
            <w:tcW w:w="1400" w:type="dxa"/>
            <w:tcBorders>
              <w:top w:val="nil"/>
              <w:left w:val="nil"/>
              <w:bottom w:val="nil"/>
              <w:right w:val="nil"/>
            </w:tcBorders>
          </w:tcPr>
          <w:p w14:paraId="48ED0538"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25</w:t>
            </w:r>
          </w:p>
        </w:tc>
        <w:tc>
          <w:tcPr>
            <w:tcW w:w="1400" w:type="dxa"/>
            <w:tcBorders>
              <w:top w:val="nil"/>
              <w:left w:val="nil"/>
              <w:bottom w:val="nil"/>
              <w:right w:val="nil"/>
            </w:tcBorders>
          </w:tcPr>
          <w:p w14:paraId="47EE0571"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91</w:t>
            </w:r>
          </w:p>
        </w:tc>
      </w:tr>
      <w:tr w:rsidR="001E6B1A" w:rsidRPr="00735D4F" w14:paraId="20BC476B" w14:textId="77777777" w:rsidTr="00035652">
        <w:tc>
          <w:tcPr>
            <w:tcW w:w="2508" w:type="dxa"/>
            <w:tcBorders>
              <w:top w:val="nil"/>
              <w:left w:val="nil"/>
              <w:bottom w:val="nil"/>
              <w:right w:val="nil"/>
            </w:tcBorders>
          </w:tcPr>
          <w:p w14:paraId="504365FD" w14:textId="77777777" w:rsidR="001E6B1A" w:rsidRPr="00735D4F" w:rsidRDefault="001E6B1A" w:rsidP="00035652">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kern w:val="0"/>
                <w:sz w:val="20"/>
                <w:szCs w:val="20"/>
              </w:rPr>
              <w:t xml:space="preserve"> FRO</w:t>
            </w:r>
          </w:p>
        </w:tc>
        <w:tc>
          <w:tcPr>
            <w:tcW w:w="800" w:type="dxa"/>
            <w:tcBorders>
              <w:top w:val="nil"/>
              <w:left w:val="nil"/>
              <w:bottom w:val="nil"/>
              <w:right w:val="nil"/>
            </w:tcBorders>
          </w:tcPr>
          <w:p w14:paraId="44AC8529"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144</w:t>
            </w:r>
          </w:p>
        </w:tc>
        <w:tc>
          <w:tcPr>
            <w:tcW w:w="1400" w:type="dxa"/>
            <w:tcBorders>
              <w:top w:val="nil"/>
              <w:left w:val="nil"/>
              <w:bottom w:val="nil"/>
              <w:right w:val="nil"/>
            </w:tcBorders>
          </w:tcPr>
          <w:p w14:paraId="297D3F1A"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5.193</w:t>
            </w:r>
          </w:p>
        </w:tc>
        <w:tc>
          <w:tcPr>
            <w:tcW w:w="1400" w:type="dxa"/>
            <w:tcBorders>
              <w:top w:val="nil"/>
              <w:left w:val="nil"/>
              <w:bottom w:val="nil"/>
              <w:right w:val="nil"/>
            </w:tcBorders>
          </w:tcPr>
          <w:p w14:paraId="44EA8DAE"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18</w:t>
            </w:r>
          </w:p>
        </w:tc>
        <w:tc>
          <w:tcPr>
            <w:tcW w:w="1400" w:type="dxa"/>
            <w:tcBorders>
              <w:top w:val="nil"/>
              <w:left w:val="nil"/>
              <w:bottom w:val="nil"/>
              <w:right w:val="nil"/>
            </w:tcBorders>
          </w:tcPr>
          <w:p w14:paraId="754A1FC1"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w:t>
            </w:r>
          </w:p>
        </w:tc>
        <w:tc>
          <w:tcPr>
            <w:tcW w:w="1400" w:type="dxa"/>
            <w:tcBorders>
              <w:top w:val="nil"/>
              <w:left w:val="nil"/>
              <w:bottom w:val="nil"/>
              <w:right w:val="nil"/>
            </w:tcBorders>
          </w:tcPr>
          <w:p w14:paraId="37B11D42"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67.55</w:t>
            </w:r>
          </w:p>
        </w:tc>
      </w:tr>
      <w:tr w:rsidR="001E6B1A" w:rsidRPr="00735D4F" w14:paraId="63DABA4D" w14:textId="77777777" w:rsidTr="00035652">
        <w:tc>
          <w:tcPr>
            <w:tcW w:w="2508" w:type="dxa"/>
            <w:tcBorders>
              <w:top w:val="nil"/>
              <w:left w:val="nil"/>
              <w:bottom w:val="nil"/>
              <w:right w:val="nil"/>
            </w:tcBorders>
          </w:tcPr>
          <w:p w14:paraId="720C908F" w14:textId="77777777" w:rsidR="001E6B1A" w:rsidRPr="00735D4F" w:rsidRDefault="001E6B1A" w:rsidP="00035652">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kern w:val="0"/>
                <w:sz w:val="20"/>
                <w:szCs w:val="20"/>
              </w:rPr>
              <w:t xml:space="preserve"> ROA</w:t>
            </w:r>
          </w:p>
        </w:tc>
        <w:tc>
          <w:tcPr>
            <w:tcW w:w="800" w:type="dxa"/>
            <w:tcBorders>
              <w:top w:val="nil"/>
              <w:left w:val="nil"/>
              <w:bottom w:val="nil"/>
              <w:right w:val="nil"/>
            </w:tcBorders>
          </w:tcPr>
          <w:p w14:paraId="6712C318"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144</w:t>
            </w:r>
          </w:p>
        </w:tc>
        <w:tc>
          <w:tcPr>
            <w:tcW w:w="1400" w:type="dxa"/>
            <w:tcBorders>
              <w:top w:val="nil"/>
              <w:left w:val="nil"/>
              <w:bottom w:val="nil"/>
              <w:right w:val="nil"/>
            </w:tcBorders>
          </w:tcPr>
          <w:p w14:paraId="55D36761"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1.744</w:t>
            </w:r>
          </w:p>
        </w:tc>
        <w:tc>
          <w:tcPr>
            <w:tcW w:w="1400" w:type="dxa"/>
            <w:tcBorders>
              <w:top w:val="nil"/>
              <w:left w:val="nil"/>
              <w:bottom w:val="nil"/>
              <w:right w:val="nil"/>
            </w:tcBorders>
          </w:tcPr>
          <w:p w14:paraId="2A31D127"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1.69</w:t>
            </w:r>
          </w:p>
        </w:tc>
        <w:tc>
          <w:tcPr>
            <w:tcW w:w="1400" w:type="dxa"/>
            <w:tcBorders>
              <w:top w:val="nil"/>
              <w:left w:val="nil"/>
              <w:bottom w:val="nil"/>
              <w:right w:val="nil"/>
            </w:tcBorders>
          </w:tcPr>
          <w:p w14:paraId="543181A2"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-9.532</w:t>
            </w:r>
          </w:p>
        </w:tc>
        <w:tc>
          <w:tcPr>
            <w:tcW w:w="1400" w:type="dxa"/>
            <w:tcBorders>
              <w:top w:val="nil"/>
              <w:left w:val="nil"/>
              <w:bottom w:val="nil"/>
              <w:right w:val="nil"/>
            </w:tcBorders>
          </w:tcPr>
          <w:p w14:paraId="0A471419"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5.617</w:t>
            </w:r>
          </w:p>
        </w:tc>
      </w:tr>
      <w:tr w:rsidR="001E6B1A" w:rsidRPr="00735D4F" w14:paraId="4F105821" w14:textId="77777777" w:rsidTr="00035652">
        <w:tc>
          <w:tcPr>
            <w:tcW w:w="2508" w:type="dxa"/>
            <w:tcBorders>
              <w:top w:val="nil"/>
              <w:left w:val="nil"/>
              <w:bottom w:val="nil"/>
              <w:right w:val="nil"/>
            </w:tcBorders>
          </w:tcPr>
          <w:p w14:paraId="592A1727" w14:textId="77777777" w:rsidR="001E6B1A" w:rsidRPr="00735D4F" w:rsidRDefault="001E6B1A" w:rsidP="00035652">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kern w:val="0"/>
                <w:sz w:val="20"/>
                <w:szCs w:val="20"/>
              </w:rPr>
              <w:t xml:space="preserve"> </w:t>
            </w:r>
            <w:proofErr w:type="spellStart"/>
            <w:r w:rsidRPr="00735D4F">
              <w:rPr>
                <w:rFonts w:asciiTheme="majorBidi" w:hAnsiTheme="majorBidi" w:cstheme="majorBidi"/>
                <w:kern w:val="0"/>
                <w:sz w:val="20"/>
                <w:szCs w:val="20"/>
              </w:rPr>
              <w:t>Fsize</w:t>
            </w:r>
            <w:proofErr w:type="spellEnd"/>
          </w:p>
        </w:tc>
        <w:tc>
          <w:tcPr>
            <w:tcW w:w="800" w:type="dxa"/>
            <w:tcBorders>
              <w:top w:val="nil"/>
              <w:left w:val="nil"/>
              <w:bottom w:val="nil"/>
              <w:right w:val="nil"/>
            </w:tcBorders>
          </w:tcPr>
          <w:p w14:paraId="3EC724AF"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144</w:t>
            </w:r>
          </w:p>
        </w:tc>
        <w:tc>
          <w:tcPr>
            <w:tcW w:w="1400" w:type="dxa"/>
            <w:tcBorders>
              <w:top w:val="nil"/>
              <w:left w:val="nil"/>
              <w:bottom w:val="nil"/>
              <w:right w:val="nil"/>
            </w:tcBorders>
          </w:tcPr>
          <w:p w14:paraId="78D72E87"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17.658</w:t>
            </w:r>
          </w:p>
        </w:tc>
        <w:tc>
          <w:tcPr>
            <w:tcW w:w="1400" w:type="dxa"/>
            <w:tcBorders>
              <w:top w:val="nil"/>
              <w:left w:val="nil"/>
              <w:bottom w:val="nil"/>
              <w:right w:val="nil"/>
            </w:tcBorders>
          </w:tcPr>
          <w:p w14:paraId="7220F2E4"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.812</w:t>
            </w:r>
          </w:p>
        </w:tc>
        <w:tc>
          <w:tcPr>
            <w:tcW w:w="1400" w:type="dxa"/>
            <w:tcBorders>
              <w:top w:val="nil"/>
              <w:left w:val="nil"/>
              <w:bottom w:val="nil"/>
              <w:right w:val="nil"/>
            </w:tcBorders>
          </w:tcPr>
          <w:p w14:paraId="75130CC9"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15.869</w:t>
            </w:r>
          </w:p>
        </w:tc>
        <w:tc>
          <w:tcPr>
            <w:tcW w:w="1400" w:type="dxa"/>
            <w:tcBorders>
              <w:top w:val="nil"/>
              <w:left w:val="nil"/>
              <w:bottom w:val="nil"/>
              <w:right w:val="nil"/>
            </w:tcBorders>
          </w:tcPr>
          <w:p w14:paraId="76DE73E0"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19.496</w:t>
            </w:r>
          </w:p>
        </w:tc>
      </w:tr>
      <w:tr w:rsidR="001E6B1A" w:rsidRPr="00735D4F" w14:paraId="74E0A3F1" w14:textId="77777777" w:rsidTr="00035652">
        <w:tc>
          <w:tcPr>
            <w:tcW w:w="2508" w:type="dxa"/>
            <w:tcBorders>
              <w:top w:val="nil"/>
              <w:left w:val="nil"/>
              <w:bottom w:val="nil"/>
              <w:right w:val="nil"/>
            </w:tcBorders>
          </w:tcPr>
          <w:p w14:paraId="4111B84A" w14:textId="77777777" w:rsidR="001E6B1A" w:rsidRPr="00735D4F" w:rsidRDefault="001E6B1A" w:rsidP="00035652">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kern w:val="0"/>
                <w:sz w:val="20"/>
                <w:szCs w:val="20"/>
              </w:rPr>
              <w:t xml:space="preserve"> GRT</w:t>
            </w:r>
          </w:p>
        </w:tc>
        <w:tc>
          <w:tcPr>
            <w:tcW w:w="800" w:type="dxa"/>
            <w:tcBorders>
              <w:top w:val="nil"/>
              <w:left w:val="nil"/>
              <w:bottom w:val="nil"/>
              <w:right w:val="nil"/>
            </w:tcBorders>
          </w:tcPr>
          <w:p w14:paraId="5FD7C19A"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144</w:t>
            </w:r>
          </w:p>
        </w:tc>
        <w:tc>
          <w:tcPr>
            <w:tcW w:w="1400" w:type="dxa"/>
            <w:tcBorders>
              <w:top w:val="nil"/>
              <w:left w:val="nil"/>
              <w:bottom w:val="nil"/>
              <w:right w:val="nil"/>
            </w:tcBorders>
          </w:tcPr>
          <w:p w14:paraId="732B1F29"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12.253</w:t>
            </w:r>
          </w:p>
        </w:tc>
        <w:tc>
          <w:tcPr>
            <w:tcW w:w="1400" w:type="dxa"/>
            <w:tcBorders>
              <w:top w:val="nil"/>
              <w:left w:val="nil"/>
              <w:bottom w:val="nil"/>
              <w:right w:val="nil"/>
            </w:tcBorders>
          </w:tcPr>
          <w:p w14:paraId="58576F83"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26.269</w:t>
            </w:r>
          </w:p>
        </w:tc>
        <w:tc>
          <w:tcPr>
            <w:tcW w:w="1400" w:type="dxa"/>
            <w:tcBorders>
              <w:top w:val="nil"/>
              <w:left w:val="nil"/>
              <w:bottom w:val="nil"/>
              <w:right w:val="nil"/>
            </w:tcBorders>
          </w:tcPr>
          <w:p w14:paraId="2D5DEC1A"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-193.6</w:t>
            </w:r>
          </w:p>
        </w:tc>
        <w:tc>
          <w:tcPr>
            <w:tcW w:w="1400" w:type="dxa"/>
            <w:tcBorders>
              <w:top w:val="nil"/>
              <w:left w:val="nil"/>
              <w:bottom w:val="nil"/>
              <w:right w:val="nil"/>
            </w:tcBorders>
          </w:tcPr>
          <w:p w14:paraId="0737706C"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92</w:t>
            </w:r>
          </w:p>
        </w:tc>
      </w:tr>
    </w:tbl>
    <w:p w14:paraId="68FE440B" w14:textId="77777777" w:rsidR="001E6B1A" w:rsidRPr="00735D4F" w:rsidRDefault="001E6B1A" w:rsidP="001E6B1A">
      <w:pPr>
        <w:widowControl w:val="0"/>
        <w:autoSpaceDE w:val="0"/>
        <w:autoSpaceDN w:val="0"/>
        <w:adjustRightInd w:val="0"/>
        <w:spacing w:after="0" w:line="240" w:lineRule="auto"/>
        <w:rPr>
          <w:rFonts w:asciiTheme="majorBidi" w:hAnsiTheme="majorBidi" w:cstheme="majorBidi"/>
          <w:sz w:val="20"/>
          <w:szCs w:val="20"/>
        </w:rPr>
      </w:pPr>
      <w:r w:rsidRPr="00735D4F">
        <w:rPr>
          <w:rFonts w:asciiTheme="majorBidi" w:hAnsiTheme="majorBidi" w:cstheme="majorBidi"/>
          <w:b/>
          <w:bCs/>
          <w:kern w:val="0"/>
          <w:sz w:val="20"/>
          <w:szCs w:val="20"/>
        </w:rPr>
        <w:t xml:space="preserve">Source: </w:t>
      </w:r>
      <w:r w:rsidRPr="00735D4F">
        <w:rPr>
          <w:rFonts w:asciiTheme="majorBidi" w:hAnsiTheme="majorBidi" w:cstheme="majorBidi"/>
          <w:kern w:val="0"/>
          <w:sz w:val="20"/>
          <w:szCs w:val="20"/>
        </w:rPr>
        <w:t xml:space="preserve">Processed data through </w:t>
      </w:r>
      <w:proofErr w:type="spellStart"/>
      <w:r w:rsidRPr="00735D4F">
        <w:rPr>
          <w:rFonts w:asciiTheme="majorBidi" w:hAnsiTheme="majorBidi" w:cstheme="majorBidi"/>
          <w:kern w:val="0"/>
          <w:sz w:val="20"/>
          <w:szCs w:val="20"/>
        </w:rPr>
        <w:t>StataNow</w:t>
      </w:r>
      <w:proofErr w:type="spellEnd"/>
      <w:r w:rsidRPr="00735D4F">
        <w:rPr>
          <w:rFonts w:asciiTheme="majorBidi" w:hAnsiTheme="majorBidi" w:cstheme="majorBidi"/>
          <w:kern w:val="0"/>
          <w:sz w:val="20"/>
          <w:szCs w:val="20"/>
        </w:rPr>
        <w:t xml:space="preserve"> 19.5 by authors (2025) </w:t>
      </w:r>
      <w:r w:rsidRPr="00735D4F">
        <w:rPr>
          <w:rFonts w:asciiTheme="majorBidi" w:hAnsiTheme="majorBidi" w:cstheme="majorBidi"/>
          <w:b/>
          <w:bCs/>
          <w:kern w:val="0"/>
          <w:sz w:val="20"/>
          <w:szCs w:val="20"/>
        </w:rPr>
        <w:br/>
      </w:r>
    </w:p>
    <w:p w14:paraId="7D853E9F" w14:textId="77777777" w:rsidR="001E6B1A" w:rsidRPr="00735D4F" w:rsidRDefault="001E6B1A" w:rsidP="001E6B1A">
      <w:pPr>
        <w:spacing w:line="360" w:lineRule="auto"/>
        <w:contextualSpacing/>
        <w:jc w:val="both"/>
        <w:rPr>
          <w:rFonts w:asciiTheme="majorBidi" w:hAnsiTheme="majorBidi" w:cstheme="majorBidi"/>
          <w:sz w:val="20"/>
          <w:szCs w:val="20"/>
        </w:rPr>
      </w:pPr>
      <w:r w:rsidRPr="00735D4F">
        <w:rPr>
          <w:rFonts w:asciiTheme="majorBidi" w:hAnsiTheme="majorBidi" w:cstheme="majorBidi"/>
          <w:sz w:val="20"/>
          <w:szCs w:val="20"/>
        </w:rPr>
        <w:t xml:space="preserve">Table 2 </w:t>
      </w:r>
      <w:proofErr w:type="spellStart"/>
      <w:r w:rsidRPr="00735D4F">
        <w:rPr>
          <w:rFonts w:asciiTheme="majorBidi" w:hAnsiTheme="majorBidi" w:cstheme="majorBidi"/>
          <w:sz w:val="20"/>
          <w:szCs w:val="20"/>
        </w:rPr>
        <w:t>summarises</w:t>
      </w:r>
      <w:proofErr w:type="spellEnd"/>
      <w:r w:rsidRPr="00735D4F">
        <w:rPr>
          <w:rFonts w:asciiTheme="majorBidi" w:hAnsiTheme="majorBidi" w:cstheme="majorBidi"/>
          <w:sz w:val="20"/>
          <w:szCs w:val="20"/>
        </w:rPr>
        <w:t xml:space="preserve"> the key features of the variables used in the regression models. The mean dividend payout ratio (DPO) is 23.52%, with a standard deviation of 19.35%, indicating moderate dispersion among banks’ payout </w:t>
      </w:r>
      <w:proofErr w:type="spellStart"/>
      <w:r w:rsidRPr="00735D4F">
        <w:rPr>
          <w:rFonts w:asciiTheme="majorBidi" w:hAnsiTheme="majorBidi" w:cstheme="majorBidi"/>
          <w:sz w:val="20"/>
          <w:szCs w:val="20"/>
        </w:rPr>
        <w:lastRenderedPageBreak/>
        <w:t>behaviours</w:t>
      </w:r>
      <w:proofErr w:type="spellEnd"/>
      <w:r w:rsidRPr="00735D4F">
        <w:rPr>
          <w:rFonts w:asciiTheme="majorBidi" w:hAnsiTheme="majorBidi" w:cstheme="majorBidi"/>
          <w:sz w:val="20"/>
          <w:szCs w:val="20"/>
        </w:rPr>
        <w:t>. Managerial ownership (MGO) averages 13.04% with a minimum threshold set at 5.5% to eliminate near-zero distortions. Institutional ownership (INST) also displays a wide distribution (</w:t>
      </w:r>
      <w:proofErr w:type="gramStart"/>
      <w:r w:rsidRPr="00735D4F">
        <w:rPr>
          <w:rFonts w:asciiTheme="majorBidi" w:hAnsiTheme="majorBidi" w:cstheme="majorBidi"/>
          <w:sz w:val="20"/>
          <w:szCs w:val="20"/>
        </w:rPr>
        <w:t>mean =</w:t>
      </w:r>
      <w:proofErr w:type="gramEnd"/>
      <w:r w:rsidRPr="00735D4F">
        <w:rPr>
          <w:rFonts w:asciiTheme="majorBidi" w:hAnsiTheme="majorBidi" w:cstheme="majorBidi"/>
          <w:sz w:val="20"/>
          <w:szCs w:val="20"/>
        </w:rPr>
        <w:t xml:space="preserve"> 36.80%; std. dev. = 17.91%) with a floor of 25%, reflecting substantial block-holder influence in the sample. Foreign ownership (FRO) has a mean of 5.19% but exhibits significant variation (std. dev. = 18.00%), suggesting a skewed distribution with some banks hosting substantial foreign investors. Return on assets (ROA), the moderating variable, ranges from -9.53% to 5.62% with an average of 1.74%, capturing divergent levels of profitability across firms. Firm size, proxied by the natural logarithm of total assets, is relatively stable (</w:t>
      </w:r>
      <w:proofErr w:type="gramStart"/>
      <w:r w:rsidRPr="00735D4F">
        <w:rPr>
          <w:rFonts w:asciiTheme="majorBidi" w:hAnsiTheme="majorBidi" w:cstheme="majorBidi"/>
          <w:sz w:val="20"/>
          <w:szCs w:val="20"/>
        </w:rPr>
        <w:t>mean =</w:t>
      </w:r>
      <w:proofErr w:type="gramEnd"/>
      <w:r w:rsidRPr="00735D4F">
        <w:rPr>
          <w:rFonts w:asciiTheme="majorBidi" w:hAnsiTheme="majorBidi" w:cstheme="majorBidi"/>
          <w:sz w:val="20"/>
          <w:szCs w:val="20"/>
        </w:rPr>
        <w:t xml:space="preserve"> 17.66), while GRT (percentage change in total assets) has a mean of 12.25% but is highly dispersed (std. dev. = 26.27), with some extreme negative values indicating contraction in certain banks. These patterns suggest the presence of heterogeneity in ownership structures, financial performance, and payout policies, justifying the use of quantile regression techniques to explore conditional effects across the distribution.</w:t>
      </w:r>
    </w:p>
    <w:p w14:paraId="7BC057CA" w14:textId="77777777" w:rsidR="001E6B1A" w:rsidRPr="00735D4F" w:rsidRDefault="001E6B1A" w:rsidP="001E6B1A">
      <w:pPr>
        <w:pStyle w:val="Heading3"/>
        <w:spacing w:line="360" w:lineRule="auto"/>
        <w:contextualSpacing/>
        <w:rPr>
          <w:rFonts w:asciiTheme="majorBidi" w:hAnsiTheme="majorBidi" w:cstheme="majorBidi"/>
          <w:b/>
          <w:bCs/>
          <w:sz w:val="20"/>
          <w:szCs w:val="20"/>
        </w:rPr>
      </w:pPr>
      <w:r w:rsidRPr="00735D4F">
        <w:rPr>
          <w:rFonts w:asciiTheme="majorBidi" w:hAnsiTheme="majorBidi" w:cstheme="majorBidi"/>
          <w:b/>
          <w:bCs/>
          <w:sz w:val="20"/>
          <w:szCs w:val="20"/>
        </w:rPr>
        <w:t>4.2 Correlation Matrix</w:t>
      </w:r>
    </w:p>
    <w:p w14:paraId="1CF4CE4E" w14:textId="77777777" w:rsidR="001E6B1A" w:rsidRPr="00735D4F" w:rsidRDefault="001E6B1A" w:rsidP="001E6B1A">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b/>
          <w:bCs/>
          <w:kern w:val="0"/>
          <w:sz w:val="20"/>
          <w:szCs w:val="20"/>
        </w:rPr>
        <w:t xml:space="preserve">Table 3: Matrix of correlations </w:t>
      </w:r>
    </w:p>
    <w:tbl>
      <w:tblPr>
        <w:tblW w:w="8219" w:type="dxa"/>
        <w:tblLayout w:type="fixed"/>
        <w:tblLook w:val="0000" w:firstRow="0" w:lastRow="0" w:firstColumn="0" w:lastColumn="0" w:noHBand="0" w:noVBand="0"/>
      </w:tblPr>
      <w:tblGrid>
        <w:gridCol w:w="1018"/>
        <w:gridCol w:w="1028"/>
        <w:gridCol w:w="1028"/>
        <w:gridCol w:w="1028"/>
        <w:gridCol w:w="1028"/>
        <w:gridCol w:w="1028"/>
        <w:gridCol w:w="1028"/>
        <w:gridCol w:w="1033"/>
      </w:tblGrid>
      <w:tr w:rsidR="001E6B1A" w:rsidRPr="00735D4F" w14:paraId="15029007" w14:textId="77777777" w:rsidTr="00035652">
        <w:trPr>
          <w:trHeight w:val="227"/>
        </w:trPr>
        <w:tc>
          <w:tcPr>
            <w:tcW w:w="1018" w:type="dxa"/>
            <w:tcBorders>
              <w:top w:val="single" w:sz="4" w:space="0" w:color="auto"/>
              <w:left w:val="nil"/>
              <w:bottom w:val="single" w:sz="10" w:space="0" w:color="auto"/>
              <w:right w:val="nil"/>
            </w:tcBorders>
          </w:tcPr>
          <w:p w14:paraId="769B4BCB" w14:textId="77777777" w:rsidR="001E6B1A" w:rsidRPr="00735D4F" w:rsidRDefault="001E6B1A" w:rsidP="00035652">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kern w:val="0"/>
                <w:sz w:val="20"/>
                <w:szCs w:val="20"/>
              </w:rPr>
              <w:t xml:space="preserve">  Variables</w:t>
            </w:r>
          </w:p>
        </w:tc>
        <w:tc>
          <w:tcPr>
            <w:tcW w:w="1028" w:type="dxa"/>
            <w:tcBorders>
              <w:top w:val="single" w:sz="4" w:space="0" w:color="auto"/>
              <w:left w:val="nil"/>
              <w:bottom w:val="single" w:sz="10" w:space="0" w:color="auto"/>
              <w:right w:val="nil"/>
            </w:tcBorders>
          </w:tcPr>
          <w:p w14:paraId="3EB79332"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 xml:space="preserve">  (1)</w:t>
            </w:r>
          </w:p>
        </w:tc>
        <w:tc>
          <w:tcPr>
            <w:tcW w:w="1028" w:type="dxa"/>
            <w:tcBorders>
              <w:top w:val="single" w:sz="4" w:space="0" w:color="auto"/>
              <w:left w:val="nil"/>
              <w:bottom w:val="single" w:sz="10" w:space="0" w:color="auto"/>
              <w:right w:val="nil"/>
            </w:tcBorders>
          </w:tcPr>
          <w:p w14:paraId="2396C719"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 xml:space="preserve">  (2)</w:t>
            </w:r>
          </w:p>
        </w:tc>
        <w:tc>
          <w:tcPr>
            <w:tcW w:w="1028" w:type="dxa"/>
            <w:tcBorders>
              <w:top w:val="single" w:sz="4" w:space="0" w:color="auto"/>
              <w:left w:val="nil"/>
              <w:bottom w:val="single" w:sz="10" w:space="0" w:color="auto"/>
              <w:right w:val="nil"/>
            </w:tcBorders>
          </w:tcPr>
          <w:p w14:paraId="6A60CD11"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 xml:space="preserve">  (3)</w:t>
            </w:r>
          </w:p>
        </w:tc>
        <w:tc>
          <w:tcPr>
            <w:tcW w:w="1028" w:type="dxa"/>
            <w:tcBorders>
              <w:top w:val="single" w:sz="4" w:space="0" w:color="auto"/>
              <w:left w:val="nil"/>
              <w:bottom w:val="single" w:sz="10" w:space="0" w:color="auto"/>
              <w:right w:val="nil"/>
            </w:tcBorders>
          </w:tcPr>
          <w:p w14:paraId="1EA7EDDA"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 xml:space="preserve">  (4)</w:t>
            </w:r>
          </w:p>
        </w:tc>
        <w:tc>
          <w:tcPr>
            <w:tcW w:w="1028" w:type="dxa"/>
            <w:tcBorders>
              <w:top w:val="single" w:sz="4" w:space="0" w:color="auto"/>
              <w:left w:val="nil"/>
              <w:bottom w:val="single" w:sz="10" w:space="0" w:color="auto"/>
              <w:right w:val="nil"/>
            </w:tcBorders>
          </w:tcPr>
          <w:p w14:paraId="2B5C9485"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 xml:space="preserve">  (5)</w:t>
            </w:r>
          </w:p>
        </w:tc>
        <w:tc>
          <w:tcPr>
            <w:tcW w:w="1028" w:type="dxa"/>
            <w:tcBorders>
              <w:top w:val="single" w:sz="4" w:space="0" w:color="auto"/>
              <w:left w:val="nil"/>
              <w:bottom w:val="single" w:sz="10" w:space="0" w:color="auto"/>
              <w:right w:val="nil"/>
            </w:tcBorders>
          </w:tcPr>
          <w:p w14:paraId="19BA815E"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 xml:space="preserve">  (6)</w:t>
            </w:r>
          </w:p>
        </w:tc>
        <w:tc>
          <w:tcPr>
            <w:tcW w:w="1033" w:type="dxa"/>
            <w:tcBorders>
              <w:top w:val="single" w:sz="4" w:space="0" w:color="auto"/>
              <w:left w:val="nil"/>
              <w:bottom w:val="single" w:sz="10" w:space="0" w:color="auto"/>
              <w:right w:val="nil"/>
            </w:tcBorders>
          </w:tcPr>
          <w:p w14:paraId="2301BED4"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 xml:space="preserve">  (7)</w:t>
            </w:r>
          </w:p>
        </w:tc>
      </w:tr>
      <w:tr w:rsidR="001E6B1A" w:rsidRPr="00735D4F" w14:paraId="5FA77382" w14:textId="77777777" w:rsidTr="00035652">
        <w:trPr>
          <w:gridAfter w:val="6"/>
          <w:wAfter w:w="6173" w:type="dxa"/>
          <w:trHeight w:val="227"/>
        </w:trPr>
        <w:tc>
          <w:tcPr>
            <w:tcW w:w="1018" w:type="dxa"/>
            <w:tcBorders>
              <w:top w:val="nil"/>
              <w:left w:val="nil"/>
              <w:bottom w:val="nil"/>
              <w:right w:val="nil"/>
            </w:tcBorders>
          </w:tcPr>
          <w:p w14:paraId="1E5C1B2F" w14:textId="77777777" w:rsidR="001E6B1A" w:rsidRPr="00735D4F" w:rsidRDefault="001E6B1A" w:rsidP="00035652">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kern w:val="0"/>
                <w:sz w:val="20"/>
                <w:szCs w:val="20"/>
              </w:rPr>
              <w:t xml:space="preserve"> (1) DPO</w:t>
            </w:r>
          </w:p>
        </w:tc>
        <w:tc>
          <w:tcPr>
            <w:tcW w:w="1028" w:type="dxa"/>
            <w:tcBorders>
              <w:top w:val="nil"/>
              <w:left w:val="nil"/>
              <w:bottom w:val="nil"/>
              <w:right w:val="nil"/>
            </w:tcBorders>
          </w:tcPr>
          <w:p w14:paraId="4E8BAE38"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1.000</w:t>
            </w:r>
          </w:p>
        </w:tc>
      </w:tr>
      <w:tr w:rsidR="001E6B1A" w:rsidRPr="00735D4F" w14:paraId="61817FBF" w14:textId="77777777" w:rsidTr="00035652">
        <w:trPr>
          <w:gridAfter w:val="5"/>
          <w:wAfter w:w="5145" w:type="dxa"/>
          <w:trHeight w:val="219"/>
        </w:trPr>
        <w:tc>
          <w:tcPr>
            <w:tcW w:w="1018" w:type="dxa"/>
            <w:tcBorders>
              <w:top w:val="nil"/>
              <w:left w:val="nil"/>
              <w:bottom w:val="nil"/>
              <w:right w:val="nil"/>
            </w:tcBorders>
          </w:tcPr>
          <w:p w14:paraId="360721E9" w14:textId="77777777" w:rsidR="001E6B1A" w:rsidRPr="00735D4F" w:rsidRDefault="001E6B1A" w:rsidP="00035652">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kern w:val="0"/>
                <w:sz w:val="20"/>
                <w:szCs w:val="20"/>
              </w:rPr>
              <w:t xml:space="preserve"> (2) MGO</w:t>
            </w:r>
          </w:p>
        </w:tc>
        <w:tc>
          <w:tcPr>
            <w:tcW w:w="1028" w:type="dxa"/>
            <w:tcBorders>
              <w:top w:val="nil"/>
              <w:left w:val="nil"/>
              <w:bottom w:val="nil"/>
              <w:right w:val="nil"/>
            </w:tcBorders>
          </w:tcPr>
          <w:p w14:paraId="4AACBFC3"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-0.232</w:t>
            </w:r>
          </w:p>
        </w:tc>
        <w:tc>
          <w:tcPr>
            <w:tcW w:w="1028" w:type="dxa"/>
            <w:tcBorders>
              <w:top w:val="nil"/>
              <w:left w:val="nil"/>
              <w:bottom w:val="nil"/>
              <w:right w:val="nil"/>
            </w:tcBorders>
          </w:tcPr>
          <w:p w14:paraId="604566B1"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1.000</w:t>
            </w:r>
          </w:p>
        </w:tc>
      </w:tr>
      <w:tr w:rsidR="001E6B1A" w:rsidRPr="00735D4F" w14:paraId="2568C759" w14:textId="77777777" w:rsidTr="00035652">
        <w:trPr>
          <w:gridAfter w:val="4"/>
          <w:wAfter w:w="4117" w:type="dxa"/>
          <w:trHeight w:val="227"/>
        </w:trPr>
        <w:tc>
          <w:tcPr>
            <w:tcW w:w="1018" w:type="dxa"/>
            <w:tcBorders>
              <w:top w:val="nil"/>
              <w:left w:val="nil"/>
              <w:bottom w:val="nil"/>
              <w:right w:val="nil"/>
            </w:tcBorders>
          </w:tcPr>
          <w:p w14:paraId="400EAE5C" w14:textId="77777777" w:rsidR="001E6B1A" w:rsidRPr="00735D4F" w:rsidRDefault="001E6B1A" w:rsidP="00035652">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kern w:val="0"/>
                <w:sz w:val="20"/>
                <w:szCs w:val="20"/>
              </w:rPr>
              <w:t xml:space="preserve"> (3) INST</w:t>
            </w:r>
          </w:p>
        </w:tc>
        <w:tc>
          <w:tcPr>
            <w:tcW w:w="1028" w:type="dxa"/>
            <w:tcBorders>
              <w:top w:val="nil"/>
              <w:left w:val="nil"/>
              <w:bottom w:val="nil"/>
              <w:right w:val="nil"/>
            </w:tcBorders>
          </w:tcPr>
          <w:p w14:paraId="0E43CF73"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-0.240</w:t>
            </w:r>
          </w:p>
        </w:tc>
        <w:tc>
          <w:tcPr>
            <w:tcW w:w="1028" w:type="dxa"/>
            <w:tcBorders>
              <w:top w:val="nil"/>
              <w:left w:val="nil"/>
              <w:bottom w:val="nil"/>
              <w:right w:val="nil"/>
            </w:tcBorders>
          </w:tcPr>
          <w:p w14:paraId="5A7A21F4"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0.040</w:t>
            </w:r>
          </w:p>
        </w:tc>
        <w:tc>
          <w:tcPr>
            <w:tcW w:w="1028" w:type="dxa"/>
            <w:tcBorders>
              <w:top w:val="nil"/>
              <w:left w:val="nil"/>
              <w:bottom w:val="nil"/>
              <w:right w:val="nil"/>
            </w:tcBorders>
          </w:tcPr>
          <w:p w14:paraId="1A7569CE"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1.000</w:t>
            </w:r>
          </w:p>
        </w:tc>
      </w:tr>
      <w:tr w:rsidR="001E6B1A" w:rsidRPr="00735D4F" w14:paraId="47E96FFB" w14:textId="77777777" w:rsidTr="00035652">
        <w:trPr>
          <w:gridAfter w:val="3"/>
          <w:wAfter w:w="3089" w:type="dxa"/>
          <w:trHeight w:val="219"/>
        </w:trPr>
        <w:tc>
          <w:tcPr>
            <w:tcW w:w="1018" w:type="dxa"/>
            <w:tcBorders>
              <w:top w:val="nil"/>
              <w:left w:val="nil"/>
              <w:bottom w:val="nil"/>
              <w:right w:val="nil"/>
            </w:tcBorders>
          </w:tcPr>
          <w:p w14:paraId="3FB46E0F" w14:textId="77777777" w:rsidR="001E6B1A" w:rsidRPr="00735D4F" w:rsidRDefault="001E6B1A" w:rsidP="00035652">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kern w:val="0"/>
                <w:sz w:val="20"/>
                <w:szCs w:val="20"/>
              </w:rPr>
              <w:t xml:space="preserve"> (4) FRO</w:t>
            </w:r>
          </w:p>
        </w:tc>
        <w:tc>
          <w:tcPr>
            <w:tcW w:w="1028" w:type="dxa"/>
            <w:tcBorders>
              <w:top w:val="nil"/>
              <w:left w:val="nil"/>
              <w:bottom w:val="nil"/>
              <w:right w:val="nil"/>
            </w:tcBorders>
          </w:tcPr>
          <w:p w14:paraId="07EF0F4B"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0.343</w:t>
            </w:r>
          </w:p>
        </w:tc>
        <w:tc>
          <w:tcPr>
            <w:tcW w:w="1028" w:type="dxa"/>
            <w:tcBorders>
              <w:top w:val="nil"/>
              <w:left w:val="nil"/>
              <w:bottom w:val="nil"/>
              <w:right w:val="nil"/>
            </w:tcBorders>
          </w:tcPr>
          <w:p w14:paraId="792A5B8D"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-0.136</w:t>
            </w:r>
          </w:p>
        </w:tc>
        <w:tc>
          <w:tcPr>
            <w:tcW w:w="1028" w:type="dxa"/>
            <w:tcBorders>
              <w:top w:val="nil"/>
              <w:left w:val="nil"/>
              <w:bottom w:val="nil"/>
              <w:right w:val="nil"/>
            </w:tcBorders>
          </w:tcPr>
          <w:p w14:paraId="69072FF9"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0.291</w:t>
            </w:r>
          </w:p>
        </w:tc>
        <w:tc>
          <w:tcPr>
            <w:tcW w:w="1028" w:type="dxa"/>
            <w:tcBorders>
              <w:top w:val="nil"/>
              <w:left w:val="nil"/>
              <w:bottom w:val="nil"/>
              <w:right w:val="nil"/>
            </w:tcBorders>
          </w:tcPr>
          <w:p w14:paraId="53C8581F"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1.000</w:t>
            </w:r>
          </w:p>
        </w:tc>
      </w:tr>
      <w:tr w:rsidR="001E6B1A" w:rsidRPr="00735D4F" w14:paraId="2806CCD8" w14:textId="77777777" w:rsidTr="00035652">
        <w:trPr>
          <w:gridAfter w:val="2"/>
          <w:wAfter w:w="2061" w:type="dxa"/>
          <w:trHeight w:val="227"/>
        </w:trPr>
        <w:tc>
          <w:tcPr>
            <w:tcW w:w="1018" w:type="dxa"/>
            <w:tcBorders>
              <w:top w:val="nil"/>
              <w:left w:val="nil"/>
              <w:bottom w:val="nil"/>
              <w:right w:val="nil"/>
            </w:tcBorders>
          </w:tcPr>
          <w:p w14:paraId="6179DE67" w14:textId="77777777" w:rsidR="001E6B1A" w:rsidRPr="00735D4F" w:rsidRDefault="001E6B1A" w:rsidP="00035652">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kern w:val="0"/>
                <w:sz w:val="20"/>
                <w:szCs w:val="20"/>
              </w:rPr>
              <w:t xml:space="preserve"> (5) ROA</w:t>
            </w:r>
          </w:p>
        </w:tc>
        <w:tc>
          <w:tcPr>
            <w:tcW w:w="1028" w:type="dxa"/>
            <w:tcBorders>
              <w:top w:val="nil"/>
              <w:left w:val="nil"/>
              <w:bottom w:val="nil"/>
              <w:right w:val="nil"/>
            </w:tcBorders>
          </w:tcPr>
          <w:p w14:paraId="1B55F6AD"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0.373</w:t>
            </w:r>
          </w:p>
        </w:tc>
        <w:tc>
          <w:tcPr>
            <w:tcW w:w="1028" w:type="dxa"/>
            <w:tcBorders>
              <w:top w:val="nil"/>
              <w:left w:val="nil"/>
              <w:bottom w:val="nil"/>
              <w:right w:val="nil"/>
            </w:tcBorders>
          </w:tcPr>
          <w:p w14:paraId="4BE51BD8"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-0.388</w:t>
            </w:r>
          </w:p>
        </w:tc>
        <w:tc>
          <w:tcPr>
            <w:tcW w:w="1028" w:type="dxa"/>
            <w:tcBorders>
              <w:top w:val="nil"/>
              <w:left w:val="nil"/>
              <w:bottom w:val="nil"/>
              <w:right w:val="nil"/>
            </w:tcBorders>
          </w:tcPr>
          <w:p w14:paraId="2F6A14DF"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-0.123</w:t>
            </w:r>
          </w:p>
        </w:tc>
        <w:tc>
          <w:tcPr>
            <w:tcW w:w="1028" w:type="dxa"/>
            <w:tcBorders>
              <w:top w:val="nil"/>
              <w:left w:val="nil"/>
              <w:bottom w:val="nil"/>
              <w:right w:val="nil"/>
            </w:tcBorders>
          </w:tcPr>
          <w:p w14:paraId="13AF7BF7"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0.213</w:t>
            </w:r>
          </w:p>
        </w:tc>
        <w:tc>
          <w:tcPr>
            <w:tcW w:w="1028" w:type="dxa"/>
            <w:tcBorders>
              <w:top w:val="nil"/>
              <w:left w:val="nil"/>
              <w:bottom w:val="nil"/>
              <w:right w:val="nil"/>
            </w:tcBorders>
          </w:tcPr>
          <w:p w14:paraId="4E337B1C"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1.000</w:t>
            </w:r>
          </w:p>
        </w:tc>
      </w:tr>
      <w:tr w:rsidR="001E6B1A" w:rsidRPr="00735D4F" w14:paraId="4F798D32" w14:textId="77777777" w:rsidTr="00035652">
        <w:trPr>
          <w:gridAfter w:val="1"/>
          <w:wAfter w:w="1033" w:type="dxa"/>
          <w:trHeight w:val="227"/>
        </w:trPr>
        <w:tc>
          <w:tcPr>
            <w:tcW w:w="1018" w:type="dxa"/>
            <w:tcBorders>
              <w:top w:val="nil"/>
              <w:left w:val="nil"/>
              <w:bottom w:val="nil"/>
              <w:right w:val="nil"/>
            </w:tcBorders>
          </w:tcPr>
          <w:p w14:paraId="27ED54FC" w14:textId="77777777" w:rsidR="001E6B1A" w:rsidRPr="00735D4F" w:rsidRDefault="001E6B1A" w:rsidP="00035652">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kern w:val="0"/>
                <w:sz w:val="20"/>
                <w:szCs w:val="20"/>
              </w:rPr>
              <w:t xml:space="preserve"> (6) </w:t>
            </w:r>
            <w:proofErr w:type="spellStart"/>
            <w:r w:rsidRPr="00735D4F">
              <w:rPr>
                <w:rFonts w:asciiTheme="majorBidi" w:hAnsiTheme="majorBidi" w:cstheme="majorBidi"/>
                <w:kern w:val="0"/>
                <w:sz w:val="20"/>
                <w:szCs w:val="20"/>
              </w:rPr>
              <w:t>Fsize</w:t>
            </w:r>
            <w:proofErr w:type="spellEnd"/>
          </w:p>
        </w:tc>
        <w:tc>
          <w:tcPr>
            <w:tcW w:w="1028" w:type="dxa"/>
            <w:tcBorders>
              <w:top w:val="nil"/>
              <w:left w:val="nil"/>
              <w:bottom w:val="nil"/>
              <w:right w:val="nil"/>
            </w:tcBorders>
          </w:tcPr>
          <w:p w14:paraId="56E20B35"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0.345</w:t>
            </w:r>
          </w:p>
        </w:tc>
        <w:tc>
          <w:tcPr>
            <w:tcW w:w="1028" w:type="dxa"/>
            <w:tcBorders>
              <w:top w:val="nil"/>
              <w:left w:val="nil"/>
              <w:bottom w:val="nil"/>
              <w:right w:val="nil"/>
            </w:tcBorders>
          </w:tcPr>
          <w:p w14:paraId="38D4CAEB"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-0.429</w:t>
            </w:r>
          </w:p>
        </w:tc>
        <w:tc>
          <w:tcPr>
            <w:tcW w:w="1028" w:type="dxa"/>
            <w:tcBorders>
              <w:top w:val="nil"/>
              <w:left w:val="nil"/>
              <w:bottom w:val="nil"/>
              <w:right w:val="nil"/>
            </w:tcBorders>
          </w:tcPr>
          <w:p w14:paraId="56796AF8"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-0.313</w:t>
            </w:r>
          </w:p>
        </w:tc>
        <w:tc>
          <w:tcPr>
            <w:tcW w:w="1028" w:type="dxa"/>
            <w:tcBorders>
              <w:top w:val="nil"/>
              <w:left w:val="nil"/>
              <w:bottom w:val="nil"/>
              <w:right w:val="nil"/>
            </w:tcBorders>
          </w:tcPr>
          <w:p w14:paraId="0B097E85"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-0.180</w:t>
            </w:r>
          </w:p>
        </w:tc>
        <w:tc>
          <w:tcPr>
            <w:tcW w:w="1028" w:type="dxa"/>
            <w:tcBorders>
              <w:top w:val="nil"/>
              <w:left w:val="nil"/>
              <w:bottom w:val="nil"/>
              <w:right w:val="nil"/>
            </w:tcBorders>
          </w:tcPr>
          <w:p w14:paraId="0647604E"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0.295</w:t>
            </w:r>
          </w:p>
        </w:tc>
        <w:tc>
          <w:tcPr>
            <w:tcW w:w="1028" w:type="dxa"/>
            <w:tcBorders>
              <w:top w:val="nil"/>
              <w:left w:val="nil"/>
              <w:bottom w:val="nil"/>
              <w:right w:val="nil"/>
            </w:tcBorders>
          </w:tcPr>
          <w:p w14:paraId="7B463559"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1.000</w:t>
            </w:r>
          </w:p>
        </w:tc>
      </w:tr>
      <w:tr w:rsidR="001E6B1A" w:rsidRPr="00735D4F" w14:paraId="2046A6F7" w14:textId="77777777" w:rsidTr="00035652">
        <w:trPr>
          <w:trHeight w:val="449"/>
        </w:trPr>
        <w:tc>
          <w:tcPr>
            <w:tcW w:w="1018" w:type="dxa"/>
            <w:tcBorders>
              <w:top w:val="nil"/>
              <w:left w:val="nil"/>
              <w:bottom w:val="nil"/>
              <w:right w:val="nil"/>
            </w:tcBorders>
          </w:tcPr>
          <w:p w14:paraId="052A865E" w14:textId="77777777" w:rsidR="001E6B1A" w:rsidRPr="00735D4F" w:rsidRDefault="001E6B1A" w:rsidP="00035652">
            <w:pPr>
              <w:widowControl w:val="0"/>
              <w:autoSpaceDE w:val="0"/>
              <w:autoSpaceDN w:val="0"/>
              <w:adjustRightInd w:val="0"/>
              <w:spacing w:after="0" w:line="240" w:lineRule="auto"/>
              <w:rPr>
                <w:rFonts w:asciiTheme="majorBidi" w:hAnsiTheme="majorBidi" w:cstheme="majorBidi"/>
                <w:kern w:val="0"/>
                <w:sz w:val="20"/>
                <w:szCs w:val="20"/>
              </w:rPr>
            </w:pPr>
            <w:r w:rsidRPr="00735D4F">
              <w:rPr>
                <w:rFonts w:asciiTheme="majorBidi" w:hAnsiTheme="majorBidi" w:cstheme="majorBidi"/>
                <w:kern w:val="0"/>
                <w:sz w:val="20"/>
                <w:szCs w:val="20"/>
              </w:rPr>
              <w:t xml:space="preserve"> (7) GRT</w:t>
            </w:r>
          </w:p>
        </w:tc>
        <w:tc>
          <w:tcPr>
            <w:tcW w:w="1028" w:type="dxa"/>
            <w:tcBorders>
              <w:top w:val="nil"/>
              <w:left w:val="nil"/>
              <w:bottom w:val="nil"/>
              <w:right w:val="nil"/>
            </w:tcBorders>
          </w:tcPr>
          <w:p w14:paraId="4B717766"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-0.027</w:t>
            </w:r>
          </w:p>
        </w:tc>
        <w:tc>
          <w:tcPr>
            <w:tcW w:w="1028" w:type="dxa"/>
            <w:tcBorders>
              <w:top w:val="nil"/>
              <w:left w:val="nil"/>
              <w:bottom w:val="nil"/>
              <w:right w:val="nil"/>
            </w:tcBorders>
          </w:tcPr>
          <w:p w14:paraId="5AFE672F"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-0.040</w:t>
            </w:r>
          </w:p>
        </w:tc>
        <w:tc>
          <w:tcPr>
            <w:tcW w:w="1028" w:type="dxa"/>
            <w:tcBorders>
              <w:top w:val="nil"/>
              <w:left w:val="nil"/>
              <w:bottom w:val="nil"/>
              <w:right w:val="nil"/>
            </w:tcBorders>
          </w:tcPr>
          <w:p w14:paraId="6CC95BD3"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-0.219</w:t>
            </w:r>
          </w:p>
        </w:tc>
        <w:tc>
          <w:tcPr>
            <w:tcW w:w="1028" w:type="dxa"/>
            <w:tcBorders>
              <w:top w:val="nil"/>
              <w:left w:val="nil"/>
              <w:bottom w:val="nil"/>
              <w:right w:val="nil"/>
            </w:tcBorders>
          </w:tcPr>
          <w:p w14:paraId="03D4A11F"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-0.039</w:t>
            </w:r>
          </w:p>
        </w:tc>
        <w:tc>
          <w:tcPr>
            <w:tcW w:w="1028" w:type="dxa"/>
            <w:tcBorders>
              <w:top w:val="nil"/>
              <w:left w:val="nil"/>
              <w:bottom w:val="nil"/>
              <w:right w:val="nil"/>
            </w:tcBorders>
          </w:tcPr>
          <w:p w14:paraId="0F35D24B"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0.125</w:t>
            </w:r>
          </w:p>
        </w:tc>
        <w:tc>
          <w:tcPr>
            <w:tcW w:w="1028" w:type="dxa"/>
            <w:tcBorders>
              <w:top w:val="nil"/>
              <w:left w:val="nil"/>
              <w:bottom w:val="nil"/>
              <w:right w:val="nil"/>
            </w:tcBorders>
          </w:tcPr>
          <w:p w14:paraId="1ED14B49"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-0.081</w:t>
            </w:r>
          </w:p>
        </w:tc>
        <w:tc>
          <w:tcPr>
            <w:tcW w:w="1033" w:type="dxa"/>
            <w:tcBorders>
              <w:top w:val="nil"/>
              <w:left w:val="nil"/>
              <w:bottom w:val="nil"/>
              <w:right w:val="nil"/>
            </w:tcBorders>
          </w:tcPr>
          <w:p w14:paraId="5E41E04C" w14:textId="77777777" w:rsidR="001E6B1A" w:rsidRPr="00735D4F" w:rsidRDefault="001E6B1A" w:rsidP="00035652">
            <w:pPr>
              <w:widowControl w:val="0"/>
              <w:autoSpaceDE w:val="0"/>
              <w:autoSpaceDN w:val="0"/>
              <w:adjustRightInd w:val="0"/>
              <w:spacing w:after="0" w:line="240" w:lineRule="auto"/>
              <w:jc w:val="right"/>
              <w:rPr>
                <w:rFonts w:asciiTheme="majorBidi" w:hAnsiTheme="majorBidi" w:cstheme="majorBidi"/>
                <w:kern w:val="0"/>
                <w:sz w:val="20"/>
                <w:szCs w:val="20"/>
              </w:rPr>
            </w:pPr>
            <w:r w:rsidRPr="00735D4F">
              <w:rPr>
                <w:rFonts w:asciiTheme="majorBidi" w:hAnsiTheme="majorBidi" w:cstheme="majorBidi"/>
                <w:kern w:val="0"/>
                <w:sz w:val="20"/>
                <w:szCs w:val="20"/>
              </w:rPr>
              <w:t>1.000</w:t>
            </w:r>
          </w:p>
        </w:tc>
      </w:tr>
    </w:tbl>
    <w:p w14:paraId="51802606" w14:textId="77777777" w:rsidR="001E6B1A" w:rsidRPr="00735D4F" w:rsidRDefault="001E6B1A" w:rsidP="001E6B1A">
      <w:pPr>
        <w:rPr>
          <w:rFonts w:asciiTheme="majorBidi" w:hAnsiTheme="majorBidi" w:cstheme="majorBidi"/>
          <w:sz w:val="20"/>
          <w:szCs w:val="20"/>
        </w:rPr>
      </w:pPr>
      <w:r w:rsidRPr="00735D4F">
        <w:rPr>
          <w:rFonts w:asciiTheme="majorBidi" w:hAnsiTheme="majorBidi" w:cstheme="majorBidi"/>
          <w:b/>
          <w:bCs/>
          <w:kern w:val="0"/>
          <w:sz w:val="20"/>
          <w:szCs w:val="20"/>
        </w:rPr>
        <w:t xml:space="preserve">Source: </w:t>
      </w:r>
      <w:r w:rsidRPr="00735D4F">
        <w:rPr>
          <w:rFonts w:asciiTheme="majorBidi" w:hAnsiTheme="majorBidi" w:cstheme="majorBidi"/>
          <w:kern w:val="0"/>
          <w:sz w:val="20"/>
          <w:szCs w:val="20"/>
        </w:rPr>
        <w:t xml:space="preserve">Processed data through </w:t>
      </w:r>
      <w:proofErr w:type="spellStart"/>
      <w:r w:rsidRPr="00735D4F">
        <w:rPr>
          <w:rFonts w:asciiTheme="majorBidi" w:hAnsiTheme="majorBidi" w:cstheme="majorBidi"/>
          <w:kern w:val="0"/>
          <w:sz w:val="20"/>
          <w:szCs w:val="20"/>
        </w:rPr>
        <w:t>StataNow</w:t>
      </w:r>
      <w:proofErr w:type="spellEnd"/>
      <w:r w:rsidRPr="00735D4F">
        <w:rPr>
          <w:rFonts w:asciiTheme="majorBidi" w:hAnsiTheme="majorBidi" w:cstheme="majorBidi"/>
          <w:kern w:val="0"/>
          <w:sz w:val="20"/>
          <w:szCs w:val="20"/>
        </w:rPr>
        <w:t xml:space="preserve"> 19.5 by authors (2025) </w:t>
      </w:r>
    </w:p>
    <w:p w14:paraId="3C3F9B48" w14:textId="77777777" w:rsidR="001E6B1A" w:rsidRPr="00735D4F" w:rsidRDefault="001E6B1A" w:rsidP="001E6B1A">
      <w:pPr>
        <w:spacing w:line="360" w:lineRule="auto"/>
        <w:contextualSpacing/>
        <w:jc w:val="both"/>
        <w:rPr>
          <w:rFonts w:asciiTheme="majorBidi" w:hAnsiTheme="majorBidi" w:cstheme="majorBidi"/>
          <w:sz w:val="20"/>
          <w:szCs w:val="20"/>
        </w:rPr>
      </w:pPr>
      <w:r w:rsidRPr="00735D4F">
        <w:rPr>
          <w:rFonts w:asciiTheme="majorBidi" w:hAnsiTheme="majorBidi" w:cstheme="majorBidi"/>
          <w:sz w:val="20"/>
          <w:szCs w:val="20"/>
        </w:rPr>
        <w:t xml:space="preserve">Table 3 presents the Pearson correlation matrix. The dividend payout ratio (DPO) is positively associated with foreign ownership (r = 0.343), return on assets (r = 0.373), and firm size (r = 0.345), suggesting that more profitable, larger banks with foreign investors are likely to distribute higher dividends. In contrast, DPO is negatively correlated with managerial ownership (r = -0.232) and institutional ownership (r = -0.240), consistent with theoretical arguments that entrenched managers and institutional block-holders may </w:t>
      </w:r>
      <w:proofErr w:type="spellStart"/>
      <w:r w:rsidRPr="00735D4F">
        <w:rPr>
          <w:rFonts w:asciiTheme="majorBidi" w:hAnsiTheme="majorBidi" w:cstheme="majorBidi"/>
          <w:sz w:val="20"/>
          <w:szCs w:val="20"/>
        </w:rPr>
        <w:t>favour</w:t>
      </w:r>
      <w:proofErr w:type="spellEnd"/>
      <w:r w:rsidRPr="00735D4F">
        <w:rPr>
          <w:rFonts w:asciiTheme="majorBidi" w:hAnsiTheme="majorBidi" w:cstheme="majorBidi"/>
          <w:sz w:val="20"/>
          <w:szCs w:val="20"/>
        </w:rPr>
        <w:t xml:space="preserve"> earnings retention. Multicollinearity appears minimal, as inter-variable correlations among predictors remain modest. Notably, the highest correlation between any two independent variables is between ROA and </w:t>
      </w:r>
      <w:proofErr w:type="spellStart"/>
      <w:r w:rsidRPr="00735D4F">
        <w:rPr>
          <w:rFonts w:asciiTheme="majorBidi" w:hAnsiTheme="majorBidi" w:cstheme="majorBidi"/>
          <w:sz w:val="20"/>
          <w:szCs w:val="20"/>
        </w:rPr>
        <w:t>Fsize</w:t>
      </w:r>
      <w:proofErr w:type="spellEnd"/>
      <w:r w:rsidRPr="00735D4F">
        <w:rPr>
          <w:rFonts w:asciiTheme="majorBidi" w:hAnsiTheme="majorBidi" w:cstheme="majorBidi"/>
          <w:sz w:val="20"/>
          <w:szCs w:val="20"/>
        </w:rPr>
        <w:t xml:space="preserve"> (r = 0.295), far below critical multicollinearity thresholds. This is corroborated by subsequent variance inflation factor (VIF) diagnostics. The negative correlation between ROA and MGO (r = -0.388) hints at a potential agency conflict in less profitable firms, while ROA’s positive association with DPO reinforces its role as a key driver of payout policy.</w:t>
      </w:r>
    </w:p>
    <w:p w14:paraId="6F34F098" w14:textId="77777777" w:rsidR="001E6B1A" w:rsidRPr="00735D4F" w:rsidRDefault="001E6B1A" w:rsidP="001E6B1A">
      <w:pPr>
        <w:pStyle w:val="Heading3"/>
        <w:spacing w:line="360" w:lineRule="auto"/>
        <w:contextualSpacing/>
        <w:rPr>
          <w:rFonts w:asciiTheme="majorBidi" w:hAnsiTheme="majorBidi" w:cstheme="majorBidi"/>
          <w:b/>
          <w:bCs/>
          <w:color w:val="auto"/>
          <w:sz w:val="20"/>
          <w:szCs w:val="20"/>
        </w:rPr>
      </w:pPr>
      <w:r w:rsidRPr="00735D4F">
        <w:rPr>
          <w:rFonts w:asciiTheme="majorBidi" w:hAnsiTheme="majorBidi" w:cstheme="majorBidi"/>
          <w:b/>
          <w:bCs/>
          <w:color w:val="auto"/>
          <w:sz w:val="20"/>
          <w:szCs w:val="20"/>
        </w:rPr>
        <w:t>4.3 Diagnostic Tests</w:t>
      </w:r>
    </w:p>
    <w:p w14:paraId="5CFEF672" w14:textId="77777777" w:rsidR="001E6B1A" w:rsidRPr="00735D4F" w:rsidRDefault="001E6B1A" w:rsidP="001E6B1A">
      <w:pPr>
        <w:spacing w:line="360" w:lineRule="auto"/>
        <w:contextualSpacing/>
        <w:jc w:val="both"/>
        <w:rPr>
          <w:rFonts w:asciiTheme="majorBidi" w:hAnsiTheme="majorBidi" w:cstheme="majorBidi"/>
          <w:sz w:val="20"/>
          <w:szCs w:val="20"/>
        </w:rPr>
      </w:pPr>
      <w:r w:rsidRPr="00735D4F">
        <w:rPr>
          <w:rFonts w:asciiTheme="majorBidi" w:hAnsiTheme="majorBidi" w:cstheme="majorBidi"/>
          <w:sz w:val="20"/>
          <w:szCs w:val="20"/>
        </w:rPr>
        <w:t xml:space="preserve">Pre-estimation diagnostics were conducted to assess potential multicollinearity and heteroskedasticity, which could bias standard errors and compromise inferential validity (Gujarati &amp; Porter, 2009; Wooldridge, 2013). The Variance Inflation Factor (VIF) analysis indicated no multicollinearity concerns, as all values fell substantially below the critical threshold of 10 (Hair et al., 2010), with the highest VIF of 1.54 (for firm size) and a mean VIF of 1.32 confirming minimal inter-variable correlation. Heteroskedasticity was evaluated using the Breusch–Pagan/Cook–Weisberg test, which yielded a chi-squared statistic of 1.43 (p = 0.2317), failing to reject the null hypothesis of </w:t>
      </w:r>
      <w:proofErr w:type="spellStart"/>
      <w:r w:rsidRPr="00735D4F">
        <w:rPr>
          <w:rFonts w:asciiTheme="majorBidi" w:hAnsiTheme="majorBidi" w:cstheme="majorBidi"/>
          <w:sz w:val="20"/>
          <w:szCs w:val="20"/>
        </w:rPr>
        <w:t>homoskedastic</w:t>
      </w:r>
      <w:proofErr w:type="spellEnd"/>
      <w:r w:rsidRPr="00735D4F">
        <w:rPr>
          <w:rFonts w:asciiTheme="majorBidi" w:hAnsiTheme="majorBidi" w:cstheme="majorBidi"/>
          <w:sz w:val="20"/>
          <w:szCs w:val="20"/>
        </w:rPr>
        <w:t xml:space="preserve"> errors (Cameron &amp; Trivedi, 2009). This supports the validity of ordinary least </w:t>
      </w:r>
      <w:r w:rsidRPr="00735D4F">
        <w:rPr>
          <w:rFonts w:asciiTheme="majorBidi" w:hAnsiTheme="majorBidi" w:cstheme="majorBidi"/>
          <w:sz w:val="20"/>
          <w:szCs w:val="20"/>
        </w:rPr>
        <w:lastRenderedPageBreak/>
        <w:t>squares (OLS) estimation under classical assumptions. Nevertheless, given the characteristically non-normal distribution and latent conditional heteroskedasticity inherent in financial datasets, quantile regression techniques remain analytically appropriate to ensure robustness across conditional distributions (</w:t>
      </w:r>
      <w:proofErr w:type="spellStart"/>
      <w:r w:rsidRPr="00735D4F">
        <w:rPr>
          <w:rFonts w:asciiTheme="majorBidi" w:hAnsiTheme="majorBidi" w:cstheme="majorBidi"/>
          <w:sz w:val="20"/>
          <w:szCs w:val="20"/>
        </w:rPr>
        <w:t>Koenker</w:t>
      </w:r>
      <w:proofErr w:type="spellEnd"/>
      <w:r w:rsidRPr="00735D4F">
        <w:rPr>
          <w:rFonts w:asciiTheme="majorBidi" w:hAnsiTheme="majorBidi" w:cstheme="majorBidi"/>
          <w:sz w:val="20"/>
          <w:szCs w:val="20"/>
        </w:rPr>
        <w:t xml:space="preserve"> &amp; Hallock, 2001).</w:t>
      </w:r>
    </w:p>
    <w:p w14:paraId="3C415DBD" w14:textId="77777777" w:rsidR="001E6B1A" w:rsidRPr="00735D4F" w:rsidRDefault="001E6B1A" w:rsidP="001E6B1A">
      <w:pPr>
        <w:pStyle w:val="Heading3"/>
        <w:numPr>
          <w:ilvl w:val="1"/>
          <w:numId w:val="33"/>
        </w:numPr>
        <w:spacing w:line="360" w:lineRule="auto"/>
        <w:contextualSpacing/>
        <w:rPr>
          <w:rFonts w:asciiTheme="majorBidi" w:hAnsiTheme="majorBidi" w:cstheme="majorBidi"/>
          <w:b/>
          <w:bCs/>
          <w:color w:val="auto"/>
          <w:sz w:val="20"/>
          <w:szCs w:val="20"/>
        </w:rPr>
      </w:pPr>
      <w:r w:rsidRPr="00735D4F">
        <w:rPr>
          <w:rFonts w:asciiTheme="majorBidi" w:hAnsiTheme="majorBidi" w:cstheme="majorBidi"/>
          <w:b/>
          <w:bCs/>
          <w:color w:val="auto"/>
          <w:sz w:val="20"/>
          <w:szCs w:val="20"/>
        </w:rPr>
        <w:t>Regression Results and Discussion</w:t>
      </w:r>
    </w:p>
    <w:p w14:paraId="32B5EBD6" w14:textId="77777777" w:rsidR="001E6B1A" w:rsidRPr="00735D4F" w:rsidRDefault="001E6B1A" w:rsidP="001E6B1A">
      <w:pPr>
        <w:spacing w:before="100" w:beforeAutospacing="1" w:after="100" w:afterAutospacing="1" w:line="360" w:lineRule="auto"/>
        <w:contextualSpacing/>
        <w:jc w:val="both"/>
        <w:rPr>
          <w:rFonts w:ascii="Times New Roman" w:eastAsia="Times New Roman" w:hAnsi="Times New Roman" w:cs="Times New Roman"/>
          <w:kern w:val="0"/>
          <w:sz w:val="20"/>
          <w:szCs w:val="20"/>
          <w14:ligatures w14:val="none"/>
        </w:rPr>
      </w:pPr>
      <w:r w:rsidRPr="00735D4F">
        <w:rPr>
          <w:rFonts w:ascii="Times New Roman" w:eastAsia="Times New Roman" w:hAnsi="Times New Roman" w:cs="Times New Roman"/>
          <w:kern w:val="0"/>
          <w:sz w:val="20"/>
          <w:szCs w:val="20"/>
          <w14:ligatures w14:val="none"/>
        </w:rPr>
        <w:t xml:space="preserve">This section presents and interprets the results of the quantile regression models as shown in Table 4, focusing on the role of ownership structure and profitability in shaping dividend payout </w:t>
      </w:r>
      <w:proofErr w:type="spellStart"/>
      <w:r w:rsidRPr="00735D4F">
        <w:rPr>
          <w:rFonts w:ascii="Times New Roman" w:eastAsia="Times New Roman" w:hAnsi="Times New Roman" w:cs="Times New Roman"/>
          <w:kern w:val="0"/>
          <w:sz w:val="20"/>
          <w:szCs w:val="20"/>
          <w14:ligatures w14:val="none"/>
        </w:rPr>
        <w:t>behaviour</w:t>
      </w:r>
      <w:proofErr w:type="spellEnd"/>
      <w:r w:rsidRPr="00735D4F">
        <w:rPr>
          <w:rFonts w:ascii="Times New Roman" w:eastAsia="Times New Roman" w:hAnsi="Times New Roman" w:cs="Times New Roman"/>
          <w:kern w:val="0"/>
          <w:sz w:val="20"/>
          <w:szCs w:val="20"/>
          <w14:ligatures w14:val="none"/>
        </w:rPr>
        <w:t>. Results are discussed by variable group, aligned with hypotheses H1–H5, and reflect the outcomes from both Model 1 and Model 2.</w:t>
      </w:r>
    </w:p>
    <w:p w14:paraId="082531DC" w14:textId="77777777" w:rsidR="001E6B1A" w:rsidRPr="00735D4F" w:rsidRDefault="001E6B1A" w:rsidP="001E6B1A">
      <w:pPr>
        <w:spacing w:line="240" w:lineRule="auto"/>
        <w:contextualSpacing/>
        <w:rPr>
          <w:rFonts w:asciiTheme="majorBidi" w:hAnsiTheme="majorBidi" w:cstheme="majorBidi"/>
          <w:sz w:val="20"/>
          <w:szCs w:val="20"/>
        </w:rPr>
      </w:pPr>
      <w:r w:rsidRPr="00735D4F">
        <w:rPr>
          <w:rFonts w:asciiTheme="majorBidi" w:hAnsiTheme="majorBidi" w:cstheme="majorBidi"/>
          <w:b/>
          <w:bCs/>
          <w:sz w:val="20"/>
          <w:szCs w:val="20"/>
        </w:rPr>
        <w:t>Table 4:</w:t>
      </w:r>
      <w:r w:rsidRPr="00735D4F">
        <w:rPr>
          <w:rFonts w:asciiTheme="majorBidi" w:hAnsiTheme="majorBidi" w:cstheme="majorBidi"/>
          <w:sz w:val="20"/>
          <w:szCs w:val="20"/>
        </w:rPr>
        <w:t xml:space="preserve"> Quantile Regression Results (Models 1 and 2)</w:t>
      </w:r>
    </w:p>
    <w:tbl>
      <w:tblPr>
        <w:tblStyle w:val="TableGrid"/>
        <w:tblW w:w="0" w:type="auto"/>
        <w:tblLook w:val="04A0" w:firstRow="1" w:lastRow="0" w:firstColumn="1" w:lastColumn="0" w:noHBand="0" w:noVBand="1"/>
      </w:tblPr>
      <w:tblGrid>
        <w:gridCol w:w="1234"/>
        <w:gridCol w:w="1234"/>
        <w:gridCol w:w="1234"/>
        <w:gridCol w:w="1234"/>
        <w:gridCol w:w="1234"/>
        <w:gridCol w:w="1234"/>
        <w:gridCol w:w="1234"/>
      </w:tblGrid>
      <w:tr w:rsidR="001E6B1A" w:rsidRPr="00735D4F" w14:paraId="51928593" w14:textId="77777777" w:rsidTr="00035652">
        <w:tc>
          <w:tcPr>
            <w:tcW w:w="1234" w:type="dxa"/>
          </w:tcPr>
          <w:p w14:paraId="15F6727B" w14:textId="77777777" w:rsidR="001E6B1A" w:rsidRPr="00735D4F" w:rsidRDefault="001E6B1A" w:rsidP="00035652">
            <w:pPr>
              <w:rPr>
                <w:rFonts w:asciiTheme="majorBidi" w:hAnsiTheme="majorBidi" w:cstheme="majorBidi"/>
                <w:sz w:val="20"/>
                <w:szCs w:val="20"/>
              </w:rPr>
            </w:pPr>
          </w:p>
        </w:tc>
        <w:tc>
          <w:tcPr>
            <w:tcW w:w="3702" w:type="dxa"/>
            <w:gridSpan w:val="3"/>
          </w:tcPr>
          <w:p w14:paraId="2A929CF2" w14:textId="77777777" w:rsidR="001E6B1A" w:rsidRPr="00735D4F" w:rsidRDefault="001E6B1A" w:rsidP="00035652">
            <w:pPr>
              <w:jc w:val="center"/>
              <w:rPr>
                <w:rFonts w:asciiTheme="majorBidi" w:hAnsiTheme="majorBidi" w:cstheme="majorBidi"/>
                <w:b/>
                <w:bCs/>
                <w:sz w:val="20"/>
                <w:szCs w:val="20"/>
              </w:rPr>
            </w:pPr>
            <w:r w:rsidRPr="00735D4F">
              <w:rPr>
                <w:rFonts w:asciiTheme="majorBidi" w:hAnsiTheme="majorBidi" w:cstheme="majorBidi"/>
                <w:b/>
                <w:bCs/>
                <w:sz w:val="20"/>
                <w:szCs w:val="20"/>
              </w:rPr>
              <w:t>Model 1(τ = 0.25, 0.50, 0.75)</w:t>
            </w:r>
          </w:p>
        </w:tc>
        <w:tc>
          <w:tcPr>
            <w:tcW w:w="3702" w:type="dxa"/>
            <w:gridSpan w:val="3"/>
          </w:tcPr>
          <w:p w14:paraId="559BB599" w14:textId="77777777" w:rsidR="001E6B1A" w:rsidRPr="00735D4F" w:rsidRDefault="001E6B1A" w:rsidP="00035652">
            <w:pPr>
              <w:jc w:val="center"/>
              <w:rPr>
                <w:rFonts w:asciiTheme="majorBidi" w:hAnsiTheme="majorBidi" w:cstheme="majorBidi"/>
                <w:b/>
                <w:bCs/>
                <w:sz w:val="20"/>
                <w:szCs w:val="20"/>
              </w:rPr>
            </w:pPr>
            <w:r w:rsidRPr="00735D4F">
              <w:rPr>
                <w:rFonts w:asciiTheme="majorBidi" w:hAnsiTheme="majorBidi" w:cstheme="majorBidi"/>
                <w:b/>
                <w:bCs/>
                <w:sz w:val="20"/>
                <w:szCs w:val="20"/>
              </w:rPr>
              <w:t>Model 2(τ = 0.25, 0.50, 0.75)</w:t>
            </w:r>
          </w:p>
        </w:tc>
      </w:tr>
      <w:tr w:rsidR="001E6B1A" w:rsidRPr="00735D4F" w14:paraId="110E7758" w14:textId="77777777" w:rsidTr="00035652">
        <w:tc>
          <w:tcPr>
            <w:tcW w:w="1234" w:type="dxa"/>
          </w:tcPr>
          <w:p w14:paraId="7D1B2DD1"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Variable</w:t>
            </w:r>
          </w:p>
        </w:tc>
        <w:tc>
          <w:tcPr>
            <w:tcW w:w="1234" w:type="dxa"/>
          </w:tcPr>
          <w:p w14:paraId="16B9ADD4"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(BMQ25)</w:t>
            </w:r>
          </w:p>
        </w:tc>
        <w:tc>
          <w:tcPr>
            <w:tcW w:w="1234" w:type="dxa"/>
          </w:tcPr>
          <w:p w14:paraId="6C4E5E14"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(BMQ50)</w:t>
            </w:r>
          </w:p>
        </w:tc>
        <w:tc>
          <w:tcPr>
            <w:tcW w:w="1234" w:type="dxa"/>
          </w:tcPr>
          <w:p w14:paraId="157C0AB9"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(BMQ75)</w:t>
            </w:r>
          </w:p>
        </w:tc>
        <w:tc>
          <w:tcPr>
            <w:tcW w:w="1234" w:type="dxa"/>
          </w:tcPr>
          <w:p w14:paraId="52B40C95"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(PQR25)</w:t>
            </w:r>
          </w:p>
        </w:tc>
        <w:tc>
          <w:tcPr>
            <w:tcW w:w="1234" w:type="dxa"/>
          </w:tcPr>
          <w:p w14:paraId="6053A4DE"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(PQR50)</w:t>
            </w:r>
          </w:p>
        </w:tc>
        <w:tc>
          <w:tcPr>
            <w:tcW w:w="1234" w:type="dxa"/>
          </w:tcPr>
          <w:p w14:paraId="03E8B257"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(PQR75)</w:t>
            </w:r>
          </w:p>
        </w:tc>
      </w:tr>
      <w:tr w:rsidR="001E6B1A" w:rsidRPr="00735D4F" w14:paraId="67EBA092" w14:textId="77777777" w:rsidTr="00035652">
        <w:tc>
          <w:tcPr>
            <w:tcW w:w="1234" w:type="dxa"/>
          </w:tcPr>
          <w:p w14:paraId="7305263C"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MGO</w:t>
            </w:r>
          </w:p>
        </w:tc>
        <w:tc>
          <w:tcPr>
            <w:tcW w:w="1234" w:type="dxa"/>
          </w:tcPr>
          <w:p w14:paraId="2798BFA3"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0.097</w:t>
            </w:r>
            <w:r w:rsidRPr="00735D4F">
              <w:rPr>
                <w:rFonts w:asciiTheme="majorBidi" w:hAnsiTheme="majorBidi" w:cstheme="majorBidi"/>
                <w:sz w:val="20"/>
                <w:szCs w:val="20"/>
              </w:rPr>
              <w:br/>
              <w:t>(0.068)</w:t>
            </w:r>
          </w:p>
        </w:tc>
        <w:tc>
          <w:tcPr>
            <w:tcW w:w="1234" w:type="dxa"/>
          </w:tcPr>
          <w:p w14:paraId="29FCA32A"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0.073</w:t>
            </w:r>
            <w:r w:rsidRPr="00735D4F">
              <w:rPr>
                <w:rFonts w:asciiTheme="majorBidi" w:hAnsiTheme="majorBidi" w:cstheme="majorBidi"/>
                <w:sz w:val="20"/>
                <w:szCs w:val="20"/>
              </w:rPr>
              <w:br/>
              <w:t>(0.131)</w:t>
            </w:r>
          </w:p>
        </w:tc>
        <w:tc>
          <w:tcPr>
            <w:tcW w:w="1234" w:type="dxa"/>
          </w:tcPr>
          <w:p w14:paraId="5C0C38A8"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0.141</w:t>
            </w:r>
            <w:r w:rsidRPr="00735D4F">
              <w:rPr>
                <w:rFonts w:asciiTheme="majorBidi" w:hAnsiTheme="majorBidi" w:cstheme="majorBidi"/>
                <w:sz w:val="20"/>
                <w:szCs w:val="20"/>
              </w:rPr>
              <w:br/>
              <w:t>(0.175)</w:t>
            </w:r>
          </w:p>
        </w:tc>
        <w:tc>
          <w:tcPr>
            <w:tcW w:w="1234" w:type="dxa"/>
          </w:tcPr>
          <w:p w14:paraId="5BE659EC"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0.225 **</w:t>
            </w:r>
            <w:r w:rsidRPr="00735D4F">
              <w:rPr>
                <w:rFonts w:asciiTheme="majorBidi" w:hAnsiTheme="majorBidi" w:cstheme="majorBidi"/>
                <w:sz w:val="20"/>
                <w:szCs w:val="20"/>
              </w:rPr>
              <w:br/>
              <w:t>(0.099)</w:t>
            </w:r>
          </w:p>
        </w:tc>
        <w:tc>
          <w:tcPr>
            <w:tcW w:w="1234" w:type="dxa"/>
          </w:tcPr>
          <w:p w14:paraId="2F14AB38"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0.178 **</w:t>
            </w:r>
            <w:r w:rsidRPr="00735D4F">
              <w:rPr>
                <w:rFonts w:asciiTheme="majorBidi" w:hAnsiTheme="majorBidi" w:cstheme="majorBidi"/>
                <w:sz w:val="20"/>
                <w:szCs w:val="20"/>
              </w:rPr>
              <w:br/>
              <w:t>(0.087)</w:t>
            </w:r>
          </w:p>
        </w:tc>
        <w:tc>
          <w:tcPr>
            <w:tcW w:w="1234" w:type="dxa"/>
          </w:tcPr>
          <w:p w14:paraId="46F9602E"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0.050</w:t>
            </w:r>
            <w:r w:rsidRPr="00735D4F">
              <w:rPr>
                <w:rFonts w:asciiTheme="majorBidi" w:hAnsiTheme="majorBidi" w:cstheme="majorBidi"/>
                <w:sz w:val="20"/>
                <w:szCs w:val="20"/>
              </w:rPr>
              <w:br/>
              <w:t>(0.142)</w:t>
            </w:r>
          </w:p>
        </w:tc>
      </w:tr>
      <w:tr w:rsidR="001E6B1A" w:rsidRPr="00735D4F" w14:paraId="5AD1AFB7" w14:textId="77777777" w:rsidTr="00035652">
        <w:tc>
          <w:tcPr>
            <w:tcW w:w="1234" w:type="dxa"/>
          </w:tcPr>
          <w:p w14:paraId="557BF567"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INST</w:t>
            </w:r>
          </w:p>
        </w:tc>
        <w:tc>
          <w:tcPr>
            <w:tcW w:w="1234" w:type="dxa"/>
          </w:tcPr>
          <w:p w14:paraId="0F824DA2"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-0.336 ***</w:t>
            </w:r>
            <w:r w:rsidRPr="00735D4F">
              <w:rPr>
                <w:rFonts w:asciiTheme="majorBidi" w:hAnsiTheme="majorBidi" w:cstheme="majorBidi"/>
                <w:sz w:val="20"/>
                <w:szCs w:val="20"/>
              </w:rPr>
              <w:br/>
              <w:t>(0.064)</w:t>
            </w:r>
          </w:p>
        </w:tc>
        <w:tc>
          <w:tcPr>
            <w:tcW w:w="1234" w:type="dxa"/>
          </w:tcPr>
          <w:p w14:paraId="14E8F1D5"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-0.348 ***</w:t>
            </w:r>
            <w:r w:rsidRPr="00735D4F">
              <w:rPr>
                <w:rFonts w:asciiTheme="majorBidi" w:hAnsiTheme="majorBidi" w:cstheme="majorBidi"/>
                <w:sz w:val="20"/>
                <w:szCs w:val="20"/>
              </w:rPr>
              <w:br/>
              <w:t>(0.102)</w:t>
            </w:r>
          </w:p>
        </w:tc>
        <w:tc>
          <w:tcPr>
            <w:tcW w:w="1234" w:type="dxa"/>
          </w:tcPr>
          <w:p w14:paraId="479231C6"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-0.464 ***</w:t>
            </w:r>
            <w:r w:rsidRPr="00735D4F">
              <w:rPr>
                <w:rFonts w:asciiTheme="majorBidi" w:hAnsiTheme="majorBidi" w:cstheme="majorBidi"/>
                <w:sz w:val="20"/>
                <w:szCs w:val="20"/>
              </w:rPr>
              <w:br/>
              <w:t>(0.169)</w:t>
            </w:r>
          </w:p>
        </w:tc>
        <w:tc>
          <w:tcPr>
            <w:tcW w:w="1234" w:type="dxa"/>
          </w:tcPr>
          <w:p w14:paraId="4E8C5803"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-0.155</w:t>
            </w:r>
            <w:r w:rsidRPr="00735D4F">
              <w:rPr>
                <w:rFonts w:asciiTheme="majorBidi" w:hAnsiTheme="majorBidi" w:cstheme="majorBidi"/>
                <w:sz w:val="20"/>
                <w:szCs w:val="20"/>
              </w:rPr>
              <w:br/>
              <w:t>(0.125)</w:t>
            </w:r>
          </w:p>
        </w:tc>
        <w:tc>
          <w:tcPr>
            <w:tcW w:w="1234" w:type="dxa"/>
          </w:tcPr>
          <w:p w14:paraId="7919582F"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-0.153</w:t>
            </w:r>
            <w:r w:rsidRPr="00735D4F">
              <w:rPr>
                <w:rFonts w:asciiTheme="majorBidi" w:hAnsiTheme="majorBidi" w:cstheme="majorBidi"/>
                <w:sz w:val="20"/>
                <w:szCs w:val="20"/>
              </w:rPr>
              <w:br/>
              <w:t>(0.108)</w:t>
            </w:r>
          </w:p>
        </w:tc>
        <w:tc>
          <w:tcPr>
            <w:tcW w:w="1234" w:type="dxa"/>
          </w:tcPr>
          <w:p w14:paraId="5C58EEE5"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-0.148</w:t>
            </w:r>
            <w:r w:rsidRPr="00735D4F">
              <w:rPr>
                <w:rFonts w:asciiTheme="majorBidi" w:hAnsiTheme="majorBidi" w:cstheme="majorBidi"/>
                <w:sz w:val="20"/>
                <w:szCs w:val="20"/>
              </w:rPr>
              <w:br/>
              <w:t>(0.178)</w:t>
            </w:r>
          </w:p>
        </w:tc>
      </w:tr>
      <w:tr w:rsidR="001E6B1A" w:rsidRPr="00735D4F" w14:paraId="4518B743" w14:textId="77777777" w:rsidTr="00035652">
        <w:tc>
          <w:tcPr>
            <w:tcW w:w="1234" w:type="dxa"/>
          </w:tcPr>
          <w:p w14:paraId="394EE83B"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FRO</w:t>
            </w:r>
          </w:p>
        </w:tc>
        <w:tc>
          <w:tcPr>
            <w:tcW w:w="1234" w:type="dxa"/>
          </w:tcPr>
          <w:p w14:paraId="232FF6BA"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1.876 ***</w:t>
            </w:r>
            <w:r w:rsidRPr="00735D4F">
              <w:rPr>
                <w:rFonts w:asciiTheme="majorBidi" w:hAnsiTheme="majorBidi" w:cstheme="majorBidi"/>
                <w:sz w:val="20"/>
                <w:szCs w:val="20"/>
              </w:rPr>
              <w:br/>
              <w:t>(0.506)</w:t>
            </w:r>
          </w:p>
        </w:tc>
        <w:tc>
          <w:tcPr>
            <w:tcW w:w="1234" w:type="dxa"/>
          </w:tcPr>
          <w:p w14:paraId="02190881"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1.756 ***</w:t>
            </w:r>
            <w:r w:rsidRPr="00735D4F">
              <w:rPr>
                <w:rFonts w:asciiTheme="majorBidi" w:hAnsiTheme="majorBidi" w:cstheme="majorBidi"/>
                <w:sz w:val="20"/>
                <w:szCs w:val="20"/>
              </w:rPr>
              <w:br/>
              <w:t>(0.133)</w:t>
            </w:r>
          </w:p>
        </w:tc>
        <w:tc>
          <w:tcPr>
            <w:tcW w:w="1234" w:type="dxa"/>
          </w:tcPr>
          <w:p w14:paraId="1567E28E"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1.680 *</w:t>
            </w:r>
            <w:r w:rsidRPr="00735D4F">
              <w:rPr>
                <w:rFonts w:asciiTheme="majorBidi" w:hAnsiTheme="majorBidi" w:cstheme="majorBidi"/>
                <w:sz w:val="20"/>
                <w:szCs w:val="20"/>
              </w:rPr>
              <w:br/>
              <w:t>(0.168)</w:t>
            </w:r>
          </w:p>
        </w:tc>
        <w:tc>
          <w:tcPr>
            <w:tcW w:w="1234" w:type="dxa"/>
          </w:tcPr>
          <w:p w14:paraId="4D6B2313"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1.454 ***</w:t>
            </w:r>
            <w:r w:rsidRPr="00735D4F">
              <w:rPr>
                <w:rFonts w:asciiTheme="majorBidi" w:hAnsiTheme="majorBidi" w:cstheme="majorBidi"/>
                <w:sz w:val="20"/>
                <w:szCs w:val="20"/>
              </w:rPr>
              <w:br/>
              <w:t>(0.226)</w:t>
            </w:r>
          </w:p>
        </w:tc>
        <w:tc>
          <w:tcPr>
            <w:tcW w:w="1234" w:type="dxa"/>
          </w:tcPr>
          <w:p w14:paraId="222D774E"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1.452 ***</w:t>
            </w:r>
            <w:r w:rsidRPr="00735D4F">
              <w:rPr>
                <w:rFonts w:asciiTheme="majorBidi" w:hAnsiTheme="majorBidi" w:cstheme="majorBidi"/>
                <w:sz w:val="20"/>
                <w:szCs w:val="20"/>
              </w:rPr>
              <w:br/>
              <w:t>(0.196)</w:t>
            </w:r>
          </w:p>
        </w:tc>
        <w:tc>
          <w:tcPr>
            <w:tcW w:w="1234" w:type="dxa"/>
          </w:tcPr>
          <w:p w14:paraId="4546B84A"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1.444 ***</w:t>
            </w:r>
            <w:r w:rsidRPr="00735D4F">
              <w:rPr>
                <w:rFonts w:asciiTheme="majorBidi" w:hAnsiTheme="majorBidi" w:cstheme="majorBidi"/>
                <w:sz w:val="20"/>
                <w:szCs w:val="20"/>
              </w:rPr>
              <w:br/>
              <w:t>(0.321)</w:t>
            </w:r>
          </w:p>
        </w:tc>
      </w:tr>
      <w:tr w:rsidR="001E6B1A" w:rsidRPr="00735D4F" w14:paraId="4EC0F1E1" w14:textId="77777777" w:rsidTr="00035652">
        <w:tc>
          <w:tcPr>
            <w:tcW w:w="1234" w:type="dxa"/>
          </w:tcPr>
          <w:p w14:paraId="603B7103"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ROA</w:t>
            </w:r>
          </w:p>
        </w:tc>
        <w:tc>
          <w:tcPr>
            <w:tcW w:w="1234" w:type="dxa"/>
          </w:tcPr>
          <w:p w14:paraId="636B5A9A"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3.539 ***</w:t>
            </w:r>
            <w:r w:rsidRPr="00735D4F">
              <w:rPr>
                <w:rFonts w:asciiTheme="majorBidi" w:hAnsiTheme="majorBidi" w:cstheme="majorBidi"/>
                <w:sz w:val="20"/>
                <w:szCs w:val="20"/>
              </w:rPr>
              <w:br/>
              <w:t>(1.153)</w:t>
            </w:r>
          </w:p>
        </w:tc>
        <w:tc>
          <w:tcPr>
            <w:tcW w:w="1234" w:type="dxa"/>
          </w:tcPr>
          <w:p w14:paraId="287FAFF8"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3.721 *</w:t>
            </w:r>
            <w:r w:rsidRPr="00735D4F">
              <w:rPr>
                <w:rFonts w:asciiTheme="majorBidi" w:hAnsiTheme="majorBidi" w:cstheme="majorBidi"/>
                <w:sz w:val="20"/>
                <w:szCs w:val="20"/>
              </w:rPr>
              <w:br/>
              <w:t>(2.239)</w:t>
            </w:r>
          </w:p>
        </w:tc>
        <w:tc>
          <w:tcPr>
            <w:tcW w:w="1234" w:type="dxa"/>
          </w:tcPr>
          <w:p w14:paraId="458E97C2"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4.264 *</w:t>
            </w:r>
            <w:r w:rsidRPr="00735D4F">
              <w:rPr>
                <w:rFonts w:asciiTheme="majorBidi" w:hAnsiTheme="majorBidi" w:cstheme="majorBidi"/>
                <w:sz w:val="20"/>
                <w:szCs w:val="20"/>
              </w:rPr>
              <w:br/>
              <w:t>(2.523)</w:t>
            </w:r>
          </w:p>
        </w:tc>
        <w:tc>
          <w:tcPr>
            <w:tcW w:w="1234" w:type="dxa"/>
          </w:tcPr>
          <w:p w14:paraId="0A60BF14"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-1.513</w:t>
            </w:r>
            <w:r w:rsidRPr="00735D4F">
              <w:rPr>
                <w:rFonts w:asciiTheme="majorBidi" w:hAnsiTheme="majorBidi" w:cstheme="majorBidi"/>
                <w:sz w:val="20"/>
                <w:szCs w:val="20"/>
              </w:rPr>
              <w:br/>
              <w:t>(2.070)</w:t>
            </w:r>
          </w:p>
        </w:tc>
        <w:tc>
          <w:tcPr>
            <w:tcW w:w="1234" w:type="dxa"/>
          </w:tcPr>
          <w:p w14:paraId="3C8F0E53"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-2.024</w:t>
            </w:r>
            <w:r w:rsidRPr="00735D4F">
              <w:rPr>
                <w:rFonts w:asciiTheme="majorBidi" w:hAnsiTheme="majorBidi" w:cstheme="majorBidi"/>
                <w:sz w:val="20"/>
                <w:szCs w:val="20"/>
              </w:rPr>
              <w:br/>
              <w:t>(1.799)</w:t>
            </w:r>
          </w:p>
        </w:tc>
        <w:tc>
          <w:tcPr>
            <w:tcW w:w="1234" w:type="dxa"/>
          </w:tcPr>
          <w:p w14:paraId="5725587F"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-3.407</w:t>
            </w:r>
            <w:r w:rsidRPr="00735D4F">
              <w:rPr>
                <w:rFonts w:asciiTheme="majorBidi" w:hAnsiTheme="majorBidi" w:cstheme="majorBidi"/>
                <w:sz w:val="20"/>
                <w:szCs w:val="20"/>
              </w:rPr>
              <w:br/>
              <w:t>(2.948)</w:t>
            </w:r>
          </w:p>
        </w:tc>
      </w:tr>
      <w:tr w:rsidR="001E6B1A" w:rsidRPr="00735D4F" w14:paraId="7A18CF4E" w14:textId="77777777" w:rsidTr="00035652">
        <w:tc>
          <w:tcPr>
            <w:tcW w:w="1234" w:type="dxa"/>
          </w:tcPr>
          <w:p w14:paraId="5B0C143C"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MGO_ROA</w:t>
            </w:r>
          </w:p>
        </w:tc>
        <w:tc>
          <w:tcPr>
            <w:tcW w:w="1234" w:type="dxa"/>
          </w:tcPr>
          <w:p w14:paraId="79713748"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-0.101 ***</w:t>
            </w:r>
            <w:r w:rsidRPr="00735D4F">
              <w:rPr>
                <w:rFonts w:asciiTheme="majorBidi" w:hAnsiTheme="majorBidi" w:cstheme="majorBidi"/>
                <w:sz w:val="20"/>
                <w:szCs w:val="20"/>
              </w:rPr>
              <w:br/>
              <w:t>(0.024)</w:t>
            </w:r>
          </w:p>
        </w:tc>
        <w:tc>
          <w:tcPr>
            <w:tcW w:w="1234" w:type="dxa"/>
          </w:tcPr>
          <w:p w14:paraId="0762BE2B"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-0.071</w:t>
            </w:r>
            <w:r w:rsidRPr="00735D4F">
              <w:rPr>
                <w:rFonts w:asciiTheme="majorBidi" w:hAnsiTheme="majorBidi" w:cstheme="majorBidi"/>
                <w:sz w:val="20"/>
                <w:szCs w:val="20"/>
              </w:rPr>
              <w:br/>
              <w:t>(0.091)</w:t>
            </w:r>
          </w:p>
        </w:tc>
        <w:tc>
          <w:tcPr>
            <w:tcW w:w="1234" w:type="dxa"/>
          </w:tcPr>
          <w:p w14:paraId="72263895"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-0.099</w:t>
            </w:r>
            <w:r w:rsidRPr="00735D4F">
              <w:rPr>
                <w:rFonts w:asciiTheme="majorBidi" w:hAnsiTheme="majorBidi" w:cstheme="majorBidi"/>
                <w:sz w:val="20"/>
                <w:szCs w:val="20"/>
              </w:rPr>
              <w:br/>
              <w:t>(0.083)</w:t>
            </w:r>
          </w:p>
        </w:tc>
        <w:tc>
          <w:tcPr>
            <w:tcW w:w="1234" w:type="dxa"/>
          </w:tcPr>
          <w:p w14:paraId="3F55987A"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-0.011</w:t>
            </w:r>
            <w:r w:rsidRPr="00735D4F">
              <w:rPr>
                <w:rFonts w:asciiTheme="majorBidi" w:hAnsiTheme="majorBidi" w:cstheme="majorBidi"/>
                <w:sz w:val="20"/>
                <w:szCs w:val="20"/>
              </w:rPr>
              <w:br/>
              <w:t>(0.035)</w:t>
            </w:r>
          </w:p>
        </w:tc>
        <w:tc>
          <w:tcPr>
            <w:tcW w:w="1234" w:type="dxa"/>
          </w:tcPr>
          <w:p w14:paraId="51C74CF9"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-0.006</w:t>
            </w:r>
            <w:r w:rsidRPr="00735D4F">
              <w:rPr>
                <w:rFonts w:asciiTheme="majorBidi" w:hAnsiTheme="majorBidi" w:cstheme="majorBidi"/>
                <w:sz w:val="20"/>
                <w:szCs w:val="20"/>
              </w:rPr>
              <w:br/>
              <w:t>(0.030)</w:t>
            </w:r>
          </w:p>
        </w:tc>
        <w:tc>
          <w:tcPr>
            <w:tcW w:w="1234" w:type="dxa"/>
          </w:tcPr>
          <w:p w14:paraId="65E0BF53"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0.008</w:t>
            </w:r>
            <w:r w:rsidRPr="00735D4F">
              <w:rPr>
                <w:rFonts w:asciiTheme="majorBidi" w:hAnsiTheme="majorBidi" w:cstheme="majorBidi"/>
                <w:sz w:val="20"/>
                <w:szCs w:val="20"/>
              </w:rPr>
              <w:br/>
              <w:t>(0.050)</w:t>
            </w:r>
          </w:p>
        </w:tc>
      </w:tr>
      <w:tr w:rsidR="001E6B1A" w:rsidRPr="00735D4F" w14:paraId="0606FF93" w14:textId="77777777" w:rsidTr="00035652">
        <w:tc>
          <w:tcPr>
            <w:tcW w:w="1234" w:type="dxa"/>
          </w:tcPr>
          <w:p w14:paraId="24D5E2B7"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FRO_ROA</w:t>
            </w:r>
          </w:p>
        </w:tc>
        <w:tc>
          <w:tcPr>
            <w:tcW w:w="1234" w:type="dxa"/>
          </w:tcPr>
          <w:p w14:paraId="3C67583A"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-0.486 ***</w:t>
            </w:r>
            <w:r w:rsidRPr="00735D4F">
              <w:rPr>
                <w:rFonts w:asciiTheme="majorBidi" w:hAnsiTheme="majorBidi" w:cstheme="majorBidi"/>
                <w:sz w:val="20"/>
                <w:szCs w:val="20"/>
              </w:rPr>
              <w:br/>
              <w:t>(0.148)</w:t>
            </w:r>
          </w:p>
        </w:tc>
        <w:tc>
          <w:tcPr>
            <w:tcW w:w="1234" w:type="dxa"/>
          </w:tcPr>
          <w:p w14:paraId="63B0896D"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-0.423 ***</w:t>
            </w:r>
            <w:r w:rsidRPr="00735D4F">
              <w:rPr>
                <w:rFonts w:asciiTheme="majorBidi" w:hAnsiTheme="majorBidi" w:cstheme="majorBidi"/>
                <w:sz w:val="20"/>
                <w:szCs w:val="20"/>
              </w:rPr>
              <w:br/>
              <w:t>(0.070)</w:t>
            </w:r>
          </w:p>
        </w:tc>
        <w:tc>
          <w:tcPr>
            <w:tcW w:w="1234" w:type="dxa"/>
          </w:tcPr>
          <w:p w14:paraId="06950B12"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-0.453 **</w:t>
            </w:r>
            <w:r w:rsidRPr="00735D4F">
              <w:rPr>
                <w:rFonts w:asciiTheme="majorBidi" w:hAnsiTheme="majorBidi" w:cstheme="majorBidi"/>
                <w:sz w:val="20"/>
                <w:szCs w:val="20"/>
              </w:rPr>
              <w:br/>
              <w:t>(0.142)</w:t>
            </w:r>
          </w:p>
        </w:tc>
        <w:tc>
          <w:tcPr>
            <w:tcW w:w="1234" w:type="dxa"/>
          </w:tcPr>
          <w:p w14:paraId="1ED6574E"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-0.420 ***</w:t>
            </w:r>
            <w:r w:rsidRPr="00735D4F">
              <w:rPr>
                <w:rFonts w:asciiTheme="majorBidi" w:hAnsiTheme="majorBidi" w:cstheme="majorBidi"/>
                <w:sz w:val="20"/>
                <w:szCs w:val="20"/>
              </w:rPr>
              <w:br/>
              <w:t>(0.081)</w:t>
            </w:r>
          </w:p>
        </w:tc>
        <w:tc>
          <w:tcPr>
            <w:tcW w:w="1234" w:type="dxa"/>
          </w:tcPr>
          <w:p w14:paraId="1FE013CB"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-0.408 ***</w:t>
            </w:r>
            <w:r w:rsidRPr="00735D4F">
              <w:rPr>
                <w:rFonts w:asciiTheme="majorBidi" w:hAnsiTheme="majorBidi" w:cstheme="majorBidi"/>
                <w:sz w:val="20"/>
                <w:szCs w:val="20"/>
              </w:rPr>
              <w:br/>
              <w:t>(0.070)</w:t>
            </w:r>
          </w:p>
        </w:tc>
        <w:tc>
          <w:tcPr>
            <w:tcW w:w="1234" w:type="dxa"/>
          </w:tcPr>
          <w:p w14:paraId="72641F05"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-0.376 ***</w:t>
            </w:r>
            <w:r w:rsidRPr="00735D4F">
              <w:rPr>
                <w:rFonts w:asciiTheme="majorBidi" w:hAnsiTheme="majorBidi" w:cstheme="majorBidi"/>
                <w:sz w:val="20"/>
                <w:szCs w:val="20"/>
              </w:rPr>
              <w:br/>
              <w:t>(0.116)</w:t>
            </w:r>
          </w:p>
        </w:tc>
      </w:tr>
      <w:tr w:rsidR="001E6B1A" w:rsidRPr="00735D4F" w14:paraId="3BB9A4F0" w14:textId="77777777" w:rsidTr="00035652">
        <w:tc>
          <w:tcPr>
            <w:tcW w:w="1234" w:type="dxa"/>
          </w:tcPr>
          <w:p w14:paraId="55876E83"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INST_ROA</w:t>
            </w:r>
          </w:p>
        </w:tc>
        <w:tc>
          <w:tcPr>
            <w:tcW w:w="1234" w:type="dxa"/>
          </w:tcPr>
          <w:p w14:paraId="47A775B3"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6.124 *</w:t>
            </w:r>
            <w:r w:rsidRPr="00735D4F">
              <w:rPr>
                <w:rFonts w:asciiTheme="majorBidi" w:hAnsiTheme="majorBidi" w:cstheme="majorBidi"/>
                <w:sz w:val="20"/>
                <w:szCs w:val="20"/>
              </w:rPr>
              <w:br/>
              <w:t>(3.408)</w:t>
            </w:r>
          </w:p>
        </w:tc>
        <w:tc>
          <w:tcPr>
            <w:tcW w:w="1234" w:type="dxa"/>
          </w:tcPr>
          <w:p w14:paraId="7E5B3342"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2.559</w:t>
            </w:r>
            <w:r w:rsidRPr="00735D4F">
              <w:rPr>
                <w:rFonts w:asciiTheme="majorBidi" w:hAnsiTheme="majorBidi" w:cstheme="majorBidi"/>
                <w:sz w:val="20"/>
                <w:szCs w:val="20"/>
              </w:rPr>
              <w:br/>
              <w:t>(4.504)</w:t>
            </w:r>
          </w:p>
        </w:tc>
        <w:tc>
          <w:tcPr>
            <w:tcW w:w="1234" w:type="dxa"/>
          </w:tcPr>
          <w:p w14:paraId="0BCA6603"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6.956</w:t>
            </w:r>
            <w:r w:rsidRPr="00735D4F">
              <w:rPr>
                <w:rFonts w:asciiTheme="majorBidi" w:hAnsiTheme="majorBidi" w:cstheme="majorBidi"/>
                <w:sz w:val="20"/>
                <w:szCs w:val="20"/>
              </w:rPr>
              <w:br/>
              <w:t>(8.029)</w:t>
            </w:r>
          </w:p>
        </w:tc>
        <w:tc>
          <w:tcPr>
            <w:tcW w:w="1234" w:type="dxa"/>
          </w:tcPr>
          <w:p w14:paraId="6EB83E74"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5.066</w:t>
            </w:r>
            <w:r w:rsidRPr="00735D4F">
              <w:rPr>
                <w:rFonts w:asciiTheme="majorBidi" w:hAnsiTheme="majorBidi" w:cstheme="majorBidi"/>
                <w:sz w:val="20"/>
                <w:szCs w:val="20"/>
              </w:rPr>
              <w:br/>
              <w:t>(3.460)</w:t>
            </w:r>
          </w:p>
        </w:tc>
        <w:tc>
          <w:tcPr>
            <w:tcW w:w="1234" w:type="dxa"/>
          </w:tcPr>
          <w:p w14:paraId="2D40DF47"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5.020 *</w:t>
            </w:r>
            <w:r w:rsidRPr="00735D4F">
              <w:rPr>
                <w:rFonts w:asciiTheme="majorBidi" w:hAnsiTheme="majorBidi" w:cstheme="majorBidi"/>
                <w:sz w:val="20"/>
                <w:szCs w:val="20"/>
              </w:rPr>
              <w:br/>
              <w:t>(2.989)</w:t>
            </w:r>
          </w:p>
        </w:tc>
        <w:tc>
          <w:tcPr>
            <w:tcW w:w="1234" w:type="dxa"/>
          </w:tcPr>
          <w:p w14:paraId="2CC27971"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4.896</w:t>
            </w:r>
            <w:r w:rsidRPr="00735D4F">
              <w:rPr>
                <w:rFonts w:asciiTheme="majorBidi" w:hAnsiTheme="majorBidi" w:cstheme="majorBidi"/>
                <w:sz w:val="20"/>
                <w:szCs w:val="20"/>
              </w:rPr>
              <w:br/>
              <w:t>(4.905)</w:t>
            </w:r>
          </w:p>
        </w:tc>
      </w:tr>
      <w:tr w:rsidR="001E6B1A" w:rsidRPr="00735D4F" w14:paraId="2580A624" w14:textId="77777777" w:rsidTr="00035652">
        <w:tc>
          <w:tcPr>
            <w:tcW w:w="1234" w:type="dxa"/>
          </w:tcPr>
          <w:p w14:paraId="5BF97090" w14:textId="77777777" w:rsidR="001E6B1A" w:rsidRPr="00735D4F" w:rsidRDefault="001E6B1A" w:rsidP="00035652">
            <w:pPr>
              <w:rPr>
                <w:rFonts w:asciiTheme="majorBidi" w:hAnsiTheme="majorBidi" w:cstheme="majorBidi"/>
                <w:sz w:val="20"/>
                <w:szCs w:val="20"/>
              </w:rPr>
            </w:pPr>
            <w:proofErr w:type="spellStart"/>
            <w:r w:rsidRPr="00735D4F">
              <w:rPr>
                <w:rFonts w:asciiTheme="majorBidi" w:hAnsiTheme="majorBidi" w:cstheme="majorBidi"/>
                <w:sz w:val="20"/>
                <w:szCs w:val="20"/>
              </w:rPr>
              <w:t>Fsize</w:t>
            </w:r>
            <w:proofErr w:type="spellEnd"/>
          </w:p>
        </w:tc>
        <w:tc>
          <w:tcPr>
            <w:tcW w:w="1234" w:type="dxa"/>
          </w:tcPr>
          <w:p w14:paraId="0B603B4D"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5.507 ***</w:t>
            </w:r>
            <w:r w:rsidRPr="00735D4F">
              <w:rPr>
                <w:rFonts w:asciiTheme="majorBidi" w:hAnsiTheme="majorBidi" w:cstheme="majorBidi"/>
                <w:sz w:val="20"/>
                <w:szCs w:val="20"/>
              </w:rPr>
              <w:br/>
              <w:t>(1.016)</w:t>
            </w:r>
          </w:p>
        </w:tc>
        <w:tc>
          <w:tcPr>
            <w:tcW w:w="1234" w:type="dxa"/>
          </w:tcPr>
          <w:p w14:paraId="05CFBD89"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8.467 ***</w:t>
            </w:r>
            <w:r w:rsidRPr="00735D4F">
              <w:rPr>
                <w:rFonts w:asciiTheme="majorBidi" w:hAnsiTheme="majorBidi" w:cstheme="majorBidi"/>
                <w:sz w:val="20"/>
                <w:szCs w:val="20"/>
              </w:rPr>
              <w:br/>
              <w:t>(2.937)</w:t>
            </w:r>
          </w:p>
        </w:tc>
        <w:tc>
          <w:tcPr>
            <w:tcW w:w="1234" w:type="dxa"/>
          </w:tcPr>
          <w:p w14:paraId="0DA6EBF7"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3.840</w:t>
            </w:r>
            <w:r w:rsidRPr="00735D4F">
              <w:rPr>
                <w:rFonts w:asciiTheme="majorBidi" w:hAnsiTheme="majorBidi" w:cstheme="majorBidi"/>
                <w:sz w:val="20"/>
                <w:szCs w:val="20"/>
              </w:rPr>
              <w:br/>
              <w:t>(3.613)</w:t>
            </w:r>
          </w:p>
        </w:tc>
        <w:tc>
          <w:tcPr>
            <w:tcW w:w="1234" w:type="dxa"/>
          </w:tcPr>
          <w:p w14:paraId="57B7293D"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4.237</w:t>
            </w:r>
            <w:r w:rsidRPr="00735D4F">
              <w:rPr>
                <w:rFonts w:asciiTheme="majorBidi" w:hAnsiTheme="majorBidi" w:cstheme="majorBidi"/>
                <w:sz w:val="20"/>
                <w:szCs w:val="20"/>
              </w:rPr>
              <w:br/>
              <w:t>(3.021)</w:t>
            </w:r>
          </w:p>
        </w:tc>
        <w:tc>
          <w:tcPr>
            <w:tcW w:w="1234" w:type="dxa"/>
          </w:tcPr>
          <w:p w14:paraId="28B5E014"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2.844</w:t>
            </w:r>
            <w:r w:rsidRPr="00735D4F">
              <w:rPr>
                <w:rFonts w:asciiTheme="majorBidi" w:hAnsiTheme="majorBidi" w:cstheme="majorBidi"/>
                <w:sz w:val="20"/>
                <w:szCs w:val="20"/>
              </w:rPr>
              <w:br/>
              <w:t>(2.653)</w:t>
            </w:r>
          </w:p>
        </w:tc>
        <w:tc>
          <w:tcPr>
            <w:tcW w:w="1234" w:type="dxa"/>
          </w:tcPr>
          <w:p w14:paraId="64622DB7"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-0.922</w:t>
            </w:r>
            <w:r w:rsidRPr="00735D4F">
              <w:rPr>
                <w:rFonts w:asciiTheme="majorBidi" w:hAnsiTheme="majorBidi" w:cstheme="majorBidi"/>
                <w:sz w:val="20"/>
                <w:szCs w:val="20"/>
              </w:rPr>
              <w:br/>
              <w:t>(4.336)</w:t>
            </w:r>
          </w:p>
        </w:tc>
      </w:tr>
      <w:tr w:rsidR="001E6B1A" w:rsidRPr="00735D4F" w14:paraId="04E3D69A" w14:textId="77777777" w:rsidTr="00035652">
        <w:tc>
          <w:tcPr>
            <w:tcW w:w="1234" w:type="dxa"/>
          </w:tcPr>
          <w:p w14:paraId="537272B1"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GROWTH</w:t>
            </w:r>
          </w:p>
        </w:tc>
        <w:tc>
          <w:tcPr>
            <w:tcW w:w="1234" w:type="dxa"/>
          </w:tcPr>
          <w:p w14:paraId="68A6D24E"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-0.008</w:t>
            </w:r>
            <w:r w:rsidRPr="00735D4F">
              <w:rPr>
                <w:rFonts w:asciiTheme="majorBidi" w:hAnsiTheme="majorBidi" w:cstheme="majorBidi"/>
                <w:sz w:val="20"/>
                <w:szCs w:val="20"/>
              </w:rPr>
              <w:br/>
              <w:t>(0.031)</w:t>
            </w:r>
          </w:p>
        </w:tc>
        <w:tc>
          <w:tcPr>
            <w:tcW w:w="1234" w:type="dxa"/>
          </w:tcPr>
          <w:p w14:paraId="62DEEAA7"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-0.037</w:t>
            </w:r>
            <w:r w:rsidRPr="00735D4F">
              <w:rPr>
                <w:rFonts w:asciiTheme="majorBidi" w:hAnsiTheme="majorBidi" w:cstheme="majorBidi"/>
                <w:sz w:val="20"/>
                <w:szCs w:val="20"/>
              </w:rPr>
              <w:br/>
              <w:t>(0.092)</w:t>
            </w:r>
          </w:p>
        </w:tc>
        <w:tc>
          <w:tcPr>
            <w:tcW w:w="1234" w:type="dxa"/>
          </w:tcPr>
          <w:p w14:paraId="1CDCED39"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-0.145</w:t>
            </w:r>
            <w:r w:rsidRPr="00735D4F">
              <w:rPr>
                <w:rFonts w:asciiTheme="majorBidi" w:hAnsiTheme="majorBidi" w:cstheme="majorBidi"/>
                <w:sz w:val="20"/>
                <w:szCs w:val="20"/>
              </w:rPr>
              <w:br/>
              <w:t>(0.101)</w:t>
            </w:r>
          </w:p>
        </w:tc>
        <w:tc>
          <w:tcPr>
            <w:tcW w:w="1234" w:type="dxa"/>
          </w:tcPr>
          <w:p w14:paraId="62857467"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-0.019</w:t>
            </w:r>
            <w:r w:rsidRPr="00735D4F">
              <w:rPr>
                <w:rFonts w:asciiTheme="majorBidi" w:hAnsiTheme="majorBidi" w:cstheme="majorBidi"/>
                <w:sz w:val="20"/>
                <w:szCs w:val="20"/>
              </w:rPr>
              <w:br/>
              <w:t>(0.051)</w:t>
            </w:r>
          </w:p>
        </w:tc>
        <w:tc>
          <w:tcPr>
            <w:tcW w:w="1234" w:type="dxa"/>
          </w:tcPr>
          <w:p w14:paraId="34CF854F"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-0.033</w:t>
            </w:r>
            <w:r w:rsidRPr="00735D4F">
              <w:rPr>
                <w:rFonts w:asciiTheme="majorBidi" w:hAnsiTheme="majorBidi" w:cstheme="majorBidi"/>
                <w:sz w:val="20"/>
                <w:szCs w:val="20"/>
              </w:rPr>
              <w:br/>
              <w:t>(0.044)</w:t>
            </w:r>
          </w:p>
        </w:tc>
        <w:tc>
          <w:tcPr>
            <w:tcW w:w="1234" w:type="dxa"/>
          </w:tcPr>
          <w:p w14:paraId="183A0523"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-0.070</w:t>
            </w:r>
            <w:r w:rsidRPr="00735D4F">
              <w:rPr>
                <w:rFonts w:asciiTheme="majorBidi" w:hAnsiTheme="majorBidi" w:cstheme="majorBidi"/>
                <w:sz w:val="20"/>
                <w:szCs w:val="20"/>
              </w:rPr>
              <w:br/>
              <w:t>(0.072)</w:t>
            </w:r>
          </w:p>
        </w:tc>
      </w:tr>
      <w:tr w:rsidR="001E6B1A" w:rsidRPr="00735D4F" w14:paraId="25A03340" w14:textId="77777777" w:rsidTr="00035652">
        <w:tc>
          <w:tcPr>
            <w:tcW w:w="1234" w:type="dxa"/>
          </w:tcPr>
          <w:p w14:paraId="33AC7EFA"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Intercept</w:t>
            </w:r>
          </w:p>
        </w:tc>
        <w:tc>
          <w:tcPr>
            <w:tcW w:w="1234" w:type="dxa"/>
          </w:tcPr>
          <w:p w14:paraId="7B901D06"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-80.715 ***</w:t>
            </w:r>
            <w:r w:rsidRPr="00735D4F">
              <w:rPr>
                <w:rFonts w:asciiTheme="majorBidi" w:hAnsiTheme="majorBidi" w:cstheme="majorBidi"/>
                <w:sz w:val="20"/>
                <w:szCs w:val="20"/>
              </w:rPr>
              <w:br/>
              <w:t>(17.459)</w:t>
            </w:r>
          </w:p>
        </w:tc>
        <w:tc>
          <w:tcPr>
            <w:tcW w:w="1234" w:type="dxa"/>
          </w:tcPr>
          <w:p w14:paraId="62B67812"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-125.749 **</w:t>
            </w:r>
            <w:r w:rsidRPr="00735D4F">
              <w:rPr>
                <w:rFonts w:asciiTheme="majorBidi" w:hAnsiTheme="majorBidi" w:cstheme="majorBidi"/>
                <w:sz w:val="20"/>
                <w:szCs w:val="20"/>
              </w:rPr>
              <w:br/>
              <w:t>(52.360)</w:t>
            </w:r>
          </w:p>
        </w:tc>
        <w:tc>
          <w:tcPr>
            <w:tcW w:w="1234" w:type="dxa"/>
          </w:tcPr>
          <w:p w14:paraId="0D29455A" w14:textId="77777777" w:rsidR="001E6B1A" w:rsidRPr="00735D4F" w:rsidRDefault="001E6B1A" w:rsidP="00035652">
            <w:pPr>
              <w:rPr>
                <w:rFonts w:asciiTheme="majorBidi" w:hAnsiTheme="majorBidi" w:cstheme="majorBidi"/>
                <w:sz w:val="20"/>
                <w:szCs w:val="20"/>
              </w:rPr>
            </w:pPr>
            <w:r w:rsidRPr="00735D4F">
              <w:rPr>
                <w:rFonts w:asciiTheme="majorBidi" w:hAnsiTheme="majorBidi" w:cstheme="majorBidi"/>
                <w:sz w:val="20"/>
                <w:szCs w:val="20"/>
              </w:rPr>
              <w:t>-32.152</w:t>
            </w:r>
            <w:r w:rsidRPr="00735D4F">
              <w:rPr>
                <w:rFonts w:asciiTheme="majorBidi" w:hAnsiTheme="majorBidi" w:cstheme="majorBidi"/>
                <w:sz w:val="20"/>
                <w:szCs w:val="20"/>
              </w:rPr>
              <w:br/>
              <w:t>(68.164)</w:t>
            </w:r>
          </w:p>
        </w:tc>
        <w:tc>
          <w:tcPr>
            <w:tcW w:w="1234" w:type="dxa"/>
          </w:tcPr>
          <w:p w14:paraId="03563603" w14:textId="77777777" w:rsidR="001E6B1A" w:rsidRPr="00735D4F" w:rsidRDefault="001E6B1A" w:rsidP="00035652">
            <w:pPr>
              <w:rPr>
                <w:rFonts w:asciiTheme="majorBidi" w:hAnsiTheme="majorBidi" w:cstheme="majorBidi"/>
                <w:sz w:val="20"/>
                <w:szCs w:val="20"/>
              </w:rPr>
            </w:pPr>
          </w:p>
        </w:tc>
        <w:tc>
          <w:tcPr>
            <w:tcW w:w="1234" w:type="dxa"/>
          </w:tcPr>
          <w:p w14:paraId="1D62B9EE" w14:textId="77777777" w:rsidR="001E6B1A" w:rsidRPr="00735D4F" w:rsidRDefault="001E6B1A" w:rsidP="00035652">
            <w:pPr>
              <w:rPr>
                <w:rFonts w:asciiTheme="majorBidi" w:hAnsiTheme="majorBidi" w:cstheme="majorBidi"/>
                <w:sz w:val="20"/>
                <w:szCs w:val="20"/>
              </w:rPr>
            </w:pPr>
          </w:p>
        </w:tc>
        <w:tc>
          <w:tcPr>
            <w:tcW w:w="1234" w:type="dxa"/>
          </w:tcPr>
          <w:p w14:paraId="6F8392B6" w14:textId="77777777" w:rsidR="001E6B1A" w:rsidRPr="00735D4F" w:rsidRDefault="001E6B1A" w:rsidP="00035652">
            <w:pPr>
              <w:rPr>
                <w:rFonts w:asciiTheme="majorBidi" w:hAnsiTheme="majorBidi" w:cstheme="majorBidi"/>
                <w:sz w:val="20"/>
                <w:szCs w:val="20"/>
              </w:rPr>
            </w:pPr>
          </w:p>
        </w:tc>
      </w:tr>
    </w:tbl>
    <w:p w14:paraId="0DDADDB8" w14:textId="77777777" w:rsidR="001E6B1A" w:rsidRPr="00735D4F" w:rsidRDefault="001E6B1A" w:rsidP="001E6B1A">
      <w:pPr>
        <w:rPr>
          <w:rFonts w:asciiTheme="majorBidi" w:hAnsiTheme="majorBidi" w:cstheme="majorBidi"/>
          <w:sz w:val="20"/>
          <w:szCs w:val="20"/>
        </w:rPr>
      </w:pPr>
      <w:r w:rsidRPr="00735D4F">
        <w:rPr>
          <w:rFonts w:asciiTheme="majorBidi" w:hAnsiTheme="majorBidi" w:cstheme="majorBidi"/>
          <w:sz w:val="20"/>
          <w:szCs w:val="20"/>
        </w:rPr>
        <w:t>Note: Standard errors are in parentheses. *** p&lt;0.01, ** p&lt;0.05, * p&lt;0.1.</w:t>
      </w:r>
    </w:p>
    <w:p w14:paraId="2078898D" w14:textId="77777777" w:rsidR="001E6B1A" w:rsidRPr="00735D4F" w:rsidRDefault="001E6B1A" w:rsidP="001E6B1A">
      <w:pPr>
        <w:spacing w:line="240" w:lineRule="auto"/>
        <w:contextualSpacing/>
        <w:rPr>
          <w:rFonts w:asciiTheme="majorBidi" w:hAnsiTheme="majorBidi" w:cstheme="majorBidi"/>
          <w:sz w:val="20"/>
          <w:szCs w:val="20"/>
        </w:rPr>
      </w:pPr>
    </w:p>
    <w:p w14:paraId="4B41B86B" w14:textId="77777777" w:rsidR="001E6B1A" w:rsidRPr="00735D4F" w:rsidRDefault="001E6B1A" w:rsidP="001E6B1A">
      <w:pPr>
        <w:pStyle w:val="Heading3"/>
        <w:rPr>
          <w:rFonts w:asciiTheme="majorBidi" w:hAnsiTheme="majorBidi" w:cstheme="majorBidi"/>
          <w:b/>
          <w:bCs/>
          <w:color w:val="auto"/>
          <w:sz w:val="24"/>
          <w:szCs w:val="24"/>
        </w:rPr>
      </w:pPr>
      <w:r w:rsidRPr="00735D4F">
        <w:rPr>
          <w:rFonts w:asciiTheme="majorBidi" w:hAnsiTheme="majorBidi" w:cstheme="majorBidi"/>
          <w:b/>
          <w:bCs/>
          <w:color w:val="auto"/>
          <w:sz w:val="24"/>
          <w:szCs w:val="24"/>
        </w:rPr>
        <w:t xml:space="preserve">4.4.1 </w:t>
      </w:r>
      <w:proofErr w:type="gramStart"/>
      <w:r w:rsidRPr="00735D4F">
        <w:rPr>
          <w:rFonts w:asciiTheme="majorBidi" w:hAnsiTheme="majorBidi" w:cstheme="majorBidi"/>
          <w:b/>
          <w:bCs/>
          <w:color w:val="auto"/>
          <w:sz w:val="24"/>
          <w:szCs w:val="24"/>
        </w:rPr>
        <w:t>Ownership  Structure</w:t>
      </w:r>
      <w:proofErr w:type="gramEnd"/>
      <w:r w:rsidRPr="00735D4F">
        <w:rPr>
          <w:rFonts w:asciiTheme="majorBidi" w:hAnsiTheme="majorBidi" w:cstheme="majorBidi"/>
          <w:b/>
          <w:bCs/>
          <w:color w:val="auto"/>
          <w:sz w:val="24"/>
          <w:szCs w:val="24"/>
        </w:rPr>
        <w:t xml:space="preserve">  and Dividend Payouts</w:t>
      </w:r>
    </w:p>
    <w:p w14:paraId="334CC4AD" w14:textId="77777777" w:rsidR="001E6B1A" w:rsidRPr="00CA45AE" w:rsidRDefault="001E6B1A" w:rsidP="001E6B1A">
      <w:pPr>
        <w:spacing w:line="360" w:lineRule="auto"/>
        <w:contextualSpacing/>
        <w:jc w:val="both"/>
        <w:rPr>
          <w:rFonts w:asciiTheme="majorBidi" w:hAnsiTheme="majorBidi" w:cstheme="majorBidi"/>
          <w:sz w:val="20"/>
          <w:szCs w:val="20"/>
          <w:lang w:val="en-NG"/>
        </w:rPr>
      </w:pPr>
      <w:r w:rsidRPr="00CA45AE">
        <w:rPr>
          <w:rFonts w:asciiTheme="majorBidi" w:hAnsiTheme="majorBidi" w:cstheme="majorBidi"/>
          <w:sz w:val="20"/>
          <w:szCs w:val="20"/>
          <w:lang w:val="en-NG"/>
        </w:rPr>
        <w:t>The analysis of ownership structure and dividend payout reveals complex patterns across quantiles and model specifications. Hypothesis 1, which proposed an inverse relationship between managerial ownership (MGO) and dividend payout, was not supported. On the contrary, MGO exhibited a consistently positive influence across all quantiles. Although this effect was statistically insignificant in the pooled cross-sectional model (Model 1), it attained significance at the 25th and 50th quantiles in the fixed effects model (Model 2). This suggests that managerial ownership may strengthen dividend payouts, particularly among low and median dividend-paying banks, by aligning managerial interests with those of shareholders.</w:t>
      </w:r>
    </w:p>
    <w:p w14:paraId="2321F897" w14:textId="77777777" w:rsidR="001E6B1A" w:rsidRPr="00CA45AE" w:rsidRDefault="001E6B1A" w:rsidP="001E6B1A">
      <w:pPr>
        <w:spacing w:line="360" w:lineRule="auto"/>
        <w:contextualSpacing/>
        <w:jc w:val="both"/>
        <w:rPr>
          <w:rFonts w:asciiTheme="majorBidi" w:hAnsiTheme="majorBidi" w:cstheme="majorBidi"/>
          <w:sz w:val="20"/>
          <w:szCs w:val="20"/>
          <w:lang w:val="en-NG"/>
        </w:rPr>
      </w:pPr>
      <w:r w:rsidRPr="00CA45AE">
        <w:rPr>
          <w:rFonts w:asciiTheme="majorBidi" w:hAnsiTheme="majorBidi" w:cstheme="majorBidi"/>
          <w:sz w:val="20"/>
          <w:szCs w:val="20"/>
          <w:lang w:val="en-NG"/>
        </w:rPr>
        <w:t>Hypothesis 2 anticipated a positive effect of institutional ownership (INST) on dividend payouts. However, the results present partial support at best. In Model 1, INST demonstrated significant negative effects across all quantiles, contradicting theoretical expectations. Yet, this relationship became statistically insignificant in Model 2, implying that the observed negative association in Model 1 may be driven more by between-firm differences than by within-firm behavioural dynamics.</w:t>
      </w:r>
    </w:p>
    <w:p w14:paraId="694A873A" w14:textId="77777777" w:rsidR="001E6B1A" w:rsidRPr="00CA45AE" w:rsidRDefault="001E6B1A" w:rsidP="001E6B1A">
      <w:pPr>
        <w:spacing w:line="360" w:lineRule="auto"/>
        <w:contextualSpacing/>
        <w:jc w:val="both"/>
        <w:rPr>
          <w:rFonts w:asciiTheme="majorBidi" w:hAnsiTheme="majorBidi" w:cstheme="majorBidi"/>
          <w:sz w:val="20"/>
          <w:szCs w:val="20"/>
          <w:lang w:val="en-NG"/>
        </w:rPr>
      </w:pPr>
      <w:r w:rsidRPr="00CA45AE">
        <w:rPr>
          <w:rFonts w:asciiTheme="majorBidi" w:hAnsiTheme="majorBidi" w:cstheme="majorBidi"/>
          <w:sz w:val="20"/>
          <w:szCs w:val="20"/>
          <w:lang w:val="en-NG"/>
        </w:rPr>
        <w:lastRenderedPageBreak/>
        <w:t>Hypothesis 3, which posited a positive influence of foreign ownership (FRO) on dividend policy, is strongly supported by the empirical evidence. FRO consistently exhibited positive and significant coefficients across all quantiles in both models, underscoring the role of foreign investors as proponents of regular dividend payments in environments where governance mechanisms are relatively weak.</w:t>
      </w:r>
    </w:p>
    <w:p w14:paraId="6B32BC1F" w14:textId="77777777" w:rsidR="001E6B1A" w:rsidRPr="00CA45AE" w:rsidRDefault="001E6B1A" w:rsidP="001E6B1A">
      <w:pPr>
        <w:spacing w:line="360" w:lineRule="auto"/>
        <w:contextualSpacing/>
        <w:jc w:val="both"/>
        <w:rPr>
          <w:rFonts w:asciiTheme="majorBidi" w:hAnsiTheme="majorBidi" w:cstheme="majorBidi"/>
          <w:sz w:val="20"/>
          <w:szCs w:val="20"/>
          <w:lang w:val="en-NG"/>
        </w:rPr>
      </w:pPr>
      <w:proofErr w:type="gramStart"/>
      <w:r w:rsidRPr="00CA45AE">
        <w:rPr>
          <w:rFonts w:asciiTheme="majorBidi" w:hAnsiTheme="majorBidi" w:cstheme="majorBidi"/>
          <w:sz w:val="20"/>
          <w:szCs w:val="20"/>
          <w:lang w:val="en-NG"/>
        </w:rPr>
        <w:t>With regard to</w:t>
      </w:r>
      <w:proofErr w:type="gramEnd"/>
      <w:r w:rsidRPr="00CA45AE">
        <w:rPr>
          <w:rFonts w:asciiTheme="majorBidi" w:hAnsiTheme="majorBidi" w:cstheme="majorBidi"/>
          <w:sz w:val="20"/>
          <w:szCs w:val="20"/>
          <w:lang w:val="en-NG"/>
        </w:rPr>
        <w:t xml:space="preserve"> Hypothesis 4, which focused on the direct impact of profitability (ROA) on dividend payout, the findings are mixed. ROA was positively and significantly associated with dividend payouts in Model 1, consistent with predictions from signalling and free cash flow theories. However, this relationship became negative and insignificant in the fixed effects model, suggesting that unobserved firm-specific characteristics may confound the profitability–dividend link.</w:t>
      </w:r>
    </w:p>
    <w:p w14:paraId="1467DB5D" w14:textId="77777777" w:rsidR="001E6B1A" w:rsidRPr="00CA45AE" w:rsidRDefault="001E6B1A" w:rsidP="001E6B1A">
      <w:pPr>
        <w:spacing w:line="360" w:lineRule="auto"/>
        <w:contextualSpacing/>
        <w:jc w:val="both"/>
        <w:rPr>
          <w:rFonts w:asciiTheme="majorBidi" w:hAnsiTheme="majorBidi" w:cstheme="majorBidi"/>
          <w:sz w:val="20"/>
          <w:szCs w:val="20"/>
          <w:lang w:val="en-NG"/>
        </w:rPr>
      </w:pPr>
      <w:r w:rsidRPr="00CA45AE">
        <w:rPr>
          <w:rFonts w:asciiTheme="majorBidi" w:hAnsiTheme="majorBidi" w:cstheme="majorBidi"/>
          <w:sz w:val="20"/>
          <w:szCs w:val="20"/>
          <w:lang w:val="en-NG"/>
        </w:rPr>
        <w:t>Finally, the examination of Hypothesis 5, which investigated the moderating role of profitability, yielded nuanced results. The interaction between ROA and MGO showed a significant negative effect at the 25th quantile in Model 1, implying that higher profitability may dampen the incremental influence of managerial ownership on dividends among lower-paying banks. The interaction between ROA and INST was weak and statistically inconsistent, offering little evidence of a systematic moderating effect. In contrast, ROA significantly and consistently attenuated the positive relationship between FRO and dividend payouts across all quantiles and models. This suggests that foreign investors may prefer dividend stability over performance-contingent payouts, particularly in contexts where earnings volatility is high or where returns are decoupled from profitability.</w:t>
      </w:r>
    </w:p>
    <w:p w14:paraId="6F573A0D" w14:textId="77777777" w:rsidR="001E6B1A" w:rsidRPr="00735D4F" w:rsidRDefault="001E6B1A" w:rsidP="001E6B1A">
      <w:pPr>
        <w:spacing w:line="360" w:lineRule="auto"/>
        <w:contextualSpacing/>
        <w:jc w:val="both"/>
        <w:rPr>
          <w:rFonts w:asciiTheme="majorBidi" w:hAnsiTheme="majorBidi" w:cstheme="majorBidi"/>
          <w:sz w:val="20"/>
          <w:szCs w:val="20"/>
        </w:rPr>
      </w:pPr>
      <w:r w:rsidRPr="00735D4F">
        <w:rPr>
          <w:rFonts w:asciiTheme="majorBidi" w:hAnsiTheme="majorBidi" w:cstheme="majorBidi"/>
          <w:b/>
          <w:bCs/>
          <w:sz w:val="20"/>
          <w:szCs w:val="20"/>
        </w:rPr>
        <w:t>4.5 Control Variables and Their Effects</w:t>
      </w:r>
    </w:p>
    <w:p w14:paraId="005AF891" w14:textId="77777777" w:rsidR="001E6B1A" w:rsidRPr="00735D4F" w:rsidRDefault="001E6B1A" w:rsidP="001E6B1A">
      <w:pPr>
        <w:spacing w:line="360" w:lineRule="auto"/>
        <w:contextualSpacing/>
        <w:jc w:val="both"/>
        <w:rPr>
          <w:rFonts w:asciiTheme="majorBidi" w:hAnsiTheme="majorBidi" w:cstheme="majorBidi"/>
          <w:sz w:val="20"/>
          <w:szCs w:val="20"/>
        </w:rPr>
      </w:pPr>
      <w:r w:rsidRPr="00735D4F">
        <w:rPr>
          <w:rFonts w:asciiTheme="majorBidi" w:hAnsiTheme="majorBidi" w:cstheme="majorBidi"/>
          <w:sz w:val="20"/>
          <w:szCs w:val="20"/>
        </w:rPr>
        <w:t xml:space="preserve">Firm size showed a positive and significant effect on dividend payouts in Model 1, especially at the 25th and 50th percentiles, indicating that larger banks are more likely to distribute dividends. However, this influence weakened in Model 2, becoming insignificant at the upper quantile, suggesting that size matters more for cross-sectional differences than for within-firm changes. Growth, proxied by asset expansion, consistently demonstrated a negative association with dividends across both models, though often statistically insignificant. This pattern supports life cycle and residual dividend theories, which argue that high-growth firms </w:t>
      </w:r>
      <w:proofErr w:type="spellStart"/>
      <w:r w:rsidRPr="00735D4F">
        <w:rPr>
          <w:rFonts w:asciiTheme="majorBidi" w:hAnsiTheme="majorBidi" w:cstheme="majorBidi"/>
          <w:sz w:val="20"/>
          <w:szCs w:val="20"/>
        </w:rPr>
        <w:t>prioritise</w:t>
      </w:r>
      <w:proofErr w:type="spellEnd"/>
      <w:r w:rsidRPr="00735D4F">
        <w:rPr>
          <w:rFonts w:asciiTheme="majorBidi" w:hAnsiTheme="majorBidi" w:cstheme="majorBidi"/>
          <w:sz w:val="20"/>
          <w:szCs w:val="20"/>
        </w:rPr>
        <w:t xml:space="preserve"> reinvestment over payouts. Overall, the control variables reinforce the idea that firm-specific characteristics significantly shape dividend policy, while profitability’s interaction with ownership structure adds further complexity to the dividend-setting </w:t>
      </w:r>
      <w:proofErr w:type="spellStart"/>
      <w:r w:rsidRPr="00735D4F">
        <w:rPr>
          <w:rFonts w:asciiTheme="majorBidi" w:hAnsiTheme="majorBidi" w:cstheme="majorBidi"/>
          <w:sz w:val="20"/>
          <w:szCs w:val="20"/>
        </w:rPr>
        <w:t>behaviour</w:t>
      </w:r>
      <w:proofErr w:type="spellEnd"/>
      <w:r w:rsidRPr="00735D4F">
        <w:rPr>
          <w:rFonts w:asciiTheme="majorBidi" w:hAnsiTheme="majorBidi" w:cstheme="majorBidi"/>
          <w:sz w:val="20"/>
          <w:szCs w:val="20"/>
        </w:rPr>
        <w:t xml:space="preserve"> of Nigerian banks.</w:t>
      </w:r>
    </w:p>
    <w:p w14:paraId="3CFE7F42" w14:textId="77777777" w:rsidR="001E6B1A" w:rsidRPr="00173979" w:rsidRDefault="001E6B1A" w:rsidP="001E6B1A">
      <w:pPr>
        <w:pStyle w:val="Heading2"/>
        <w:rPr>
          <w:rFonts w:asciiTheme="majorBidi" w:hAnsiTheme="majorBidi" w:cstheme="majorBidi"/>
          <w:b/>
          <w:bCs/>
          <w:color w:val="auto"/>
          <w:sz w:val="20"/>
          <w:szCs w:val="20"/>
          <w:highlight w:val="yellow"/>
        </w:rPr>
      </w:pPr>
      <w:r w:rsidRPr="00173979">
        <w:rPr>
          <w:rFonts w:asciiTheme="majorBidi" w:hAnsiTheme="majorBidi" w:cstheme="majorBidi"/>
          <w:b/>
          <w:bCs/>
          <w:color w:val="auto"/>
          <w:sz w:val="20"/>
          <w:szCs w:val="20"/>
          <w:highlight w:val="yellow"/>
        </w:rPr>
        <w:t>5. Conclusion and Recommendations</w:t>
      </w:r>
    </w:p>
    <w:p w14:paraId="0A64E3BE" w14:textId="77777777" w:rsidR="001E6B1A" w:rsidRPr="00173979" w:rsidRDefault="001E6B1A" w:rsidP="001E6B1A">
      <w:pPr>
        <w:spacing w:line="360" w:lineRule="auto"/>
        <w:contextualSpacing/>
        <w:jc w:val="both"/>
        <w:rPr>
          <w:rFonts w:asciiTheme="majorBidi" w:hAnsiTheme="majorBidi" w:cstheme="majorBidi"/>
          <w:sz w:val="20"/>
          <w:szCs w:val="20"/>
          <w:highlight w:val="yellow"/>
          <w:lang w:val="en-NG"/>
        </w:rPr>
      </w:pPr>
      <w:r w:rsidRPr="00173979">
        <w:rPr>
          <w:rFonts w:asciiTheme="majorBidi" w:hAnsiTheme="majorBidi" w:cstheme="majorBidi"/>
          <w:sz w:val="20"/>
          <w:szCs w:val="20"/>
          <w:highlight w:val="yellow"/>
          <w:lang w:val="en-NG"/>
        </w:rPr>
        <w:t>This study investigated the influence of ownership structure on dividend policy in Nigerian deposit money banks, with profitability (ROA) examined as a moderating variable. Using panel quantile regression models, the research evaluated both between-firm and within-firm dynamics, thereby enhancing the methodological robustness of the findings. The analysis confirmed that foreign ownership exerts a consistent and statistically significant positive influence on dividend payout ratios across all quantiles and model specifications. This suggests that foreign investors in Nigeria’s banking sector prioritise transparency and stable shareholder returns, even after controlling for firm-specific characteristics. The effect of institutional ownership, however, proved less stable. While it showed a negative relationship with dividend payout in the cross-sectional analysis, this effect lost statistical significance when fixed effects were introduced. This indicates that the institutional ownership–dividend nexus may be contingent on firm-specific or contextual factors, such as reinvestment strategies or differing mandates of domestic institutional investors.</w:t>
      </w:r>
    </w:p>
    <w:p w14:paraId="5B81ACF0" w14:textId="77777777" w:rsidR="001E6B1A" w:rsidRPr="00173979" w:rsidRDefault="001E6B1A" w:rsidP="001E6B1A">
      <w:pPr>
        <w:spacing w:line="360" w:lineRule="auto"/>
        <w:contextualSpacing/>
        <w:jc w:val="both"/>
        <w:rPr>
          <w:rFonts w:asciiTheme="majorBidi" w:hAnsiTheme="majorBidi" w:cstheme="majorBidi"/>
          <w:sz w:val="20"/>
          <w:szCs w:val="20"/>
          <w:highlight w:val="yellow"/>
          <w:lang w:val="en-NG"/>
        </w:rPr>
      </w:pPr>
      <w:r w:rsidRPr="00173979">
        <w:rPr>
          <w:rFonts w:asciiTheme="majorBidi" w:hAnsiTheme="majorBidi" w:cstheme="majorBidi"/>
          <w:sz w:val="20"/>
          <w:szCs w:val="20"/>
          <w:highlight w:val="yellow"/>
          <w:lang w:val="en-NG"/>
        </w:rPr>
        <w:lastRenderedPageBreak/>
        <w:t>Managerial ownership revealed a positive relationship with dividend payouts, particularly among lower and median dividend-paying banks. This supports the view that modest levels of managerial ownership can align interests and reduce agency costs. However, this effect was statistically significant only in the fixed effects model at the lower quantiles, suggesting limited robustness. The direct effect of profitability (ROA) on dividends was not consistently significant across models. While a positive relationship was found in Model 1, this disappeared in Model 2, indicating that profitability alone may not be a reliable driver of dividend policy once unobserved firm characteristics are controlled.</w:t>
      </w:r>
    </w:p>
    <w:p w14:paraId="18D466E1" w14:textId="77777777" w:rsidR="001E6B1A" w:rsidRPr="00173979" w:rsidRDefault="001E6B1A" w:rsidP="001E6B1A">
      <w:pPr>
        <w:spacing w:line="360" w:lineRule="auto"/>
        <w:contextualSpacing/>
        <w:jc w:val="both"/>
        <w:rPr>
          <w:rFonts w:asciiTheme="majorBidi" w:hAnsiTheme="majorBidi" w:cstheme="majorBidi"/>
          <w:sz w:val="20"/>
          <w:szCs w:val="20"/>
          <w:highlight w:val="yellow"/>
          <w:lang w:val="en-NG"/>
        </w:rPr>
      </w:pPr>
      <w:proofErr w:type="gramStart"/>
      <w:r w:rsidRPr="00173979">
        <w:rPr>
          <w:rFonts w:asciiTheme="majorBidi" w:hAnsiTheme="majorBidi" w:cstheme="majorBidi"/>
          <w:sz w:val="20"/>
          <w:szCs w:val="20"/>
          <w:highlight w:val="yellow"/>
          <w:lang w:val="en-NG"/>
        </w:rPr>
        <w:t>With regard to</w:t>
      </w:r>
      <w:proofErr w:type="gramEnd"/>
      <w:r w:rsidRPr="00173979">
        <w:rPr>
          <w:rFonts w:asciiTheme="majorBidi" w:hAnsiTheme="majorBidi" w:cstheme="majorBidi"/>
          <w:sz w:val="20"/>
          <w:szCs w:val="20"/>
          <w:highlight w:val="yellow"/>
          <w:lang w:val="en-NG"/>
        </w:rPr>
        <w:t xml:space="preserve"> moderation, profitability weakened the positive influence of foreign ownership on dividend payout, suggesting that foreign investors may prefer dividend stability over performance-driven payouts. The moderating effects of profitability on managerial and institutional ownership were found to be weak and statistically insignificant in the fixed effects model, implying that such interactions are more reflective of cross-sectional variation than persistent within-firm dynamics.</w:t>
      </w:r>
    </w:p>
    <w:p w14:paraId="277B8A99" w14:textId="77777777" w:rsidR="001E6B1A" w:rsidRPr="00173979" w:rsidRDefault="001E6B1A" w:rsidP="001E6B1A">
      <w:pPr>
        <w:spacing w:line="360" w:lineRule="auto"/>
        <w:contextualSpacing/>
        <w:jc w:val="both"/>
        <w:rPr>
          <w:rFonts w:asciiTheme="majorBidi" w:hAnsiTheme="majorBidi" w:cstheme="majorBidi"/>
          <w:sz w:val="20"/>
          <w:szCs w:val="20"/>
          <w:highlight w:val="yellow"/>
          <w:lang w:val="en-NG"/>
        </w:rPr>
      </w:pPr>
      <w:r w:rsidRPr="00173979">
        <w:rPr>
          <w:rFonts w:asciiTheme="majorBidi" w:hAnsiTheme="majorBidi" w:cstheme="majorBidi"/>
          <w:sz w:val="20"/>
          <w:szCs w:val="20"/>
          <w:highlight w:val="yellow"/>
          <w:lang w:val="en-NG"/>
        </w:rPr>
        <w:t>Taken together, these findings underscore the importance of distinguishing between short-term cross-sectional patterns and persistent within-firm effects when analysing dividend policy. The use of panel quantile regression adds analytical depth by uncovering heterogeneous effects across the distribution of dividend payouts, rather than relying solely on mean-based inference.</w:t>
      </w:r>
    </w:p>
    <w:p w14:paraId="4980E6A6" w14:textId="77777777" w:rsidR="001E6B1A" w:rsidRPr="00173979" w:rsidRDefault="001E6B1A" w:rsidP="001E6B1A">
      <w:pPr>
        <w:pStyle w:val="Heading2"/>
        <w:rPr>
          <w:rFonts w:asciiTheme="majorBidi" w:hAnsiTheme="majorBidi" w:cstheme="majorBidi"/>
          <w:b/>
          <w:bCs/>
          <w:sz w:val="20"/>
          <w:szCs w:val="20"/>
          <w:highlight w:val="yellow"/>
          <w:lang w:val="en-NG"/>
        </w:rPr>
      </w:pPr>
      <w:r w:rsidRPr="00173979">
        <w:rPr>
          <w:rFonts w:asciiTheme="majorBidi" w:hAnsiTheme="majorBidi" w:cstheme="majorBidi"/>
          <w:b/>
          <w:bCs/>
          <w:sz w:val="20"/>
          <w:szCs w:val="20"/>
          <w:highlight w:val="yellow"/>
          <w:lang w:val="en-NG"/>
        </w:rPr>
        <w:t>5.1 Recommendations</w:t>
      </w:r>
    </w:p>
    <w:p w14:paraId="711D4AB0" w14:textId="77777777" w:rsidR="001E6B1A" w:rsidRPr="00173979" w:rsidRDefault="001E6B1A" w:rsidP="001E6B1A">
      <w:pPr>
        <w:spacing w:line="360" w:lineRule="auto"/>
        <w:contextualSpacing/>
        <w:jc w:val="both"/>
        <w:rPr>
          <w:rFonts w:asciiTheme="majorBidi" w:hAnsiTheme="majorBidi" w:cstheme="majorBidi"/>
          <w:sz w:val="20"/>
          <w:szCs w:val="20"/>
          <w:highlight w:val="yellow"/>
          <w:lang w:val="en-NG"/>
        </w:rPr>
      </w:pPr>
      <w:r w:rsidRPr="00173979">
        <w:rPr>
          <w:rFonts w:asciiTheme="majorBidi" w:hAnsiTheme="majorBidi" w:cstheme="majorBidi"/>
          <w:sz w:val="20"/>
          <w:szCs w:val="20"/>
          <w:highlight w:val="yellow"/>
          <w:lang w:val="en-NG"/>
        </w:rPr>
        <w:t>Based on the findings, several policy and managerial recommendations emerge:</w:t>
      </w:r>
    </w:p>
    <w:p w14:paraId="0BC740B8" w14:textId="77777777" w:rsidR="001E6B1A" w:rsidRPr="00173979" w:rsidRDefault="001E6B1A" w:rsidP="001E6B1A">
      <w:pPr>
        <w:numPr>
          <w:ilvl w:val="0"/>
          <w:numId w:val="35"/>
        </w:numPr>
        <w:spacing w:line="360" w:lineRule="auto"/>
        <w:contextualSpacing/>
        <w:jc w:val="both"/>
        <w:rPr>
          <w:rFonts w:asciiTheme="majorBidi" w:hAnsiTheme="majorBidi" w:cstheme="majorBidi"/>
          <w:sz w:val="20"/>
          <w:szCs w:val="20"/>
          <w:highlight w:val="yellow"/>
          <w:lang w:val="en-NG"/>
        </w:rPr>
      </w:pPr>
      <w:r w:rsidRPr="00173979">
        <w:rPr>
          <w:rFonts w:asciiTheme="majorBidi" w:hAnsiTheme="majorBidi" w:cstheme="majorBidi"/>
          <w:sz w:val="20"/>
          <w:szCs w:val="20"/>
          <w:highlight w:val="yellow"/>
          <w:lang w:val="en-NG"/>
        </w:rPr>
        <w:t>For policymakers and regulators, especially the Central Bank of Nigeria and the Nigerian Exchange Group, efforts should be made to create a conducive regulatory environment that attracts and retains foreign investors, given their stabilising effect on dividend policy. Strengthening investor protection and financial transparency can reinforce this role.</w:t>
      </w:r>
    </w:p>
    <w:p w14:paraId="760A9334" w14:textId="77777777" w:rsidR="001E6B1A" w:rsidRPr="00173979" w:rsidRDefault="001E6B1A" w:rsidP="001E6B1A">
      <w:pPr>
        <w:numPr>
          <w:ilvl w:val="0"/>
          <w:numId w:val="35"/>
        </w:numPr>
        <w:spacing w:line="360" w:lineRule="auto"/>
        <w:contextualSpacing/>
        <w:jc w:val="both"/>
        <w:rPr>
          <w:rFonts w:asciiTheme="majorBidi" w:hAnsiTheme="majorBidi" w:cstheme="majorBidi"/>
          <w:sz w:val="20"/>
          <w:szCs w:val="20"/>
          <w:highlight w:val="yellow"/>
          <w:lang w:val="en-NG"/>
        </w:rPr>
      </w:pPr>
      <w:r w:rsidRPr="00173979">
        <w:rPr>
          <w:rFonts w:asciiTheme="majorBidi" w:hAnsiTheme="majorBidi" w:cstheme="majorBidi"/>
          <w:sz w:val="20"/>
          <w:szCs w:val="20"/>
          <w:highlight w:val="yellow"/>
          <w:lang w:val="en-NG"/>
        </w:rPr>
        <w:t>For bank boards and corporate managers, the positive association between managerial ownership and dividend payouts suggests that incentive alignment through equity participation may help reduce agency costs. However, this must be carefully managed to avoid managerial entrenchment.</w:t>
      </w:r>
    </w:p>
    <w:p w14:paraId="0EBE3338" w14:textId="77777777" w:rsidR="001E6B1A" w:rsidRPr="00173979" w:rsidRDefault="001E6B1A" w:rsidP="001E6B1A">
      <w:pPr>
        <w:numPr>
          <w:ilvl w:val="0"/>
          <w:numId w:val="35"/>
        </w:numPr>
        <w:spacing w:line="360" w:lineRule="auto"/>
        <w:contextualSpacing/>
        <w:jc w:val="both"/>
        <w:rPr>
          <w:rFonts w:asciiTheme="majorBidi" w:hAnsiTheme="majorBidi" w:cstheme="majorBidi"/>
          <w:sz w:val="20"/>
          <w:szCs w:val="20"/>
          <w:highlight w:val="yellow"/>
          <w:lang w:val="en-NG"/>
        </w:rPr>
      </w:pPr>
      <w:r w:rsidRPr="00173979">
        <w:rPr>
          <w:rFonts w:asciiTheme="majorBidi" w:hAnsiTheme="majorBidi" w:cstheme="majorBidi"/>
          <w:sz w:val="20"/>
          <w:szCs w:val="20"/>
          <w:highlight w:val="yellow"/>
          <w:lang w:val="en-NG"/>
        </w:rPr>
        <w:t>For institutional investors, the findings highlight the need to reassess dividend expectations and engagement strategies. Their influence appears context-specific and may be improved through stronger governance activism and better alignment of investment goals with shareholder interests.</w:t>
      </w:r>
    </w:p>
    <w:p w14:paraId="31BFB29A" w14:textId="77777777" w:rsidR="001E6B1A" w:rsidRPr="00173979" w:rsidRDefault="001E6B1A" w:rsidP="001E6B1A">
      <w:pPr>
        <w:numPr>
          <w:ilvl w:val="0"/>
          <w:numId w:val="35"/>
        </w:numPr>
        <w:spacing w:line="360" w:lineRule="auto"/>
        <w:contextualSpacing/>
        <w:jc w:val="both"/>
        <w:rPr>
          <w:rFonts w:asciiTheme="majorBidi" w:hAnsiTheme="majorBidi" w:cstheme="majorBidi"/>
          <w:sz w:val="20"/>
          <w:szCs w:val="20"/>
          <w:highlight w:val="yellow"/>
          <w:lang w:val="en-NG"/>
        </w:rPr>
      </w:pPr>
      <w:r w:rsidRPr="00173979">
        <w:rPr>
          <w:rFonts w:asciiTheme="majorBidi" w:hAnsiTheme="majorBidi" w:cstheme="majorBidi"/>
          <w:sz w:val="20"/>
          <w:szCs w:val="20"/>
          <w:highlight w:val="yellow"/>
          <w:lang w:val="en-NG"/>
        </w:rPr>
        <w:t>For future researchers, it is recommended that more advanced techniques such as dynamic quantile regression or instrumental variable quantile regression be employed to address potential endogeneity concerns. Additionally, extending the study beyond listed banks to include private and regional banks across Sub-Saharan Africa would enhance the external validity and regional relevance of the findings.</w:t>
      </w:r>
    </w:p>
    <w:p w14:paraId="22338DD2" w14:textId="77777777" w:rsidR="001E6B1A" w:rsidRPr="00173979" w:rsidRDefault="001E6B1A" w:rsidP="001E6B1A">
      <w:pPr>
        <w:numPr>
          <w:ilvl w:val="0"/>
          <w:numId w:val="35"/>
        </w:numPr>
        <w:spacing w:line="360" w:lineRule="auto"/>
        <w:contextualSpacing/>
        <w:jc w:val="both"/>
        <w:rPr>
          <w:rFonts w:asciiTheme="majorBidi" w:hAnsiTheme="majorBidi" w:cstheme="majorBidi"/>
          <w:sz w:val="20"/>
          <w:szCs w:val="20"/>
          <w:highlight w:val="yellow"/>
          <w:lang w:val="en-NG"/>
        </w:rPr>
      </w:pPr>
      <w:r w:rsidRPr="00173979">
        <w:rPr>
          <w:rFonts w:asciiTheme="majorBidi" w:hAnsiTheme="majorBidi" w:cstheme="majorBidi"/>
          <w:sz w:val="20"/>
          <w:szCs w:val="20"/>
          <w:highlight w:val="yellow"/>
          <w:lang w:val="en-NG"/>
        </w:rPr>
        <w:t>Finally, incorporating additional moderating variables such as board independence, audit quality, and macroeconomic volatility could offer richer insights into the governance–dividend interface in emerging financial markets.</w:t>
      </w:r>
    </w:p>
    <w:p w14:paraId="2ED47CE5" w14:textId="77777777" w:rsidR="001E6B1A" w:rsidRPr="00173979" w:rsidRDefault="001E6B1A" w:rsidP="001E6B1A">
      <w:pPr>
        <w:pStyle w:val="Heading2"/>
        <w:rPr>
          <w:rFonts w:asciiTheme="majorBidi" w:hAnsiTheme="majorBidi" w:cstheme="majorBidi"/>
          <w:b/>
          <w:bCs/>
          <w:color w:val="auto"/>
          <w:sz w:val="20"/>
          <w:szCs w:val="20"/>
          <w:highlight w:val="yellow"/>
          <w:lang w:val="en-NG"/>
        </w:rPr>
      </w:pPr>
      <w:r w:rsidRPr="00173979">
        <w:rPr>
          <w:rFonts w:asciiTheme="majorBidi" w:hAnsiTheme="majorBidi" w:cstheme="majorBidi"/>
          <w:b/>
          <w:bCs/>
          <w:color w:val="auto"/>
          <w:sz w:val="20"/>
          <w:szCs w:val="20"/>
          <w:highlight w:val="yellow"/>
          <w:lang w:val="en-NG"/>
        </w:rPr>
        <w:t xml:space="preserve">5.2 Limitations </w:t>
      </w:r>
    </w:p>
    <w:p w14:paraId="28C81B3C" w14:textId="77777777" w:rsidR="001E6B1A" w:rsidRPr="00735D4F" w:rsidRDefault="001E6B1A" w:rsidP="001E6B1A">
      <w:pPr>
        <w:spacing w:line="360" w:lineRule="auto"/>
        <w:ind w:left="720"/>
        <w:contextualSpacing/>
        <w:jc w:val="both"/>
        <w:rPr>
          <w:rFonts w:asciiTheme="majorBidi" w:hAnsiTheme="majorBidi" w:cstheme="majorBidi"/>
          <w:sz w:val="20"/>
          <w:szCs w:val="20"/>
          <w:lang w:val="en-NG"/>
        </w:rPr>
      </w:pPr>
      <w:r w:rsidRPr="00173979">
        <w:rPr>
          <w:rFonts w:ascii="Times New Roman" w:eastAsia="Times New Roman" w:hAnsi="Times New Roman" w:cs="Times New Roman"/>
          <w:kern w:val="0"/>
          <w:sz w:val="24"/>
          <w:szCs w:val="24"/>
          <w:highlight w:val="yellow"/>
          <w:lang w:val="en-NG"/>
          <w14:ligatures w14:val="none"/>
        </w:rPr>
        <w:t xml:space="preserve">Despite the methodological rigour of this study, several limitations must be acknowledged. First, the sample is restricted to listed deposit money banks in Nigeria, which may limit the generalisability of the findings to other sectors or regions within </w:t>
      </w:r>
      <w:r w:rsidRPr="00173979">
        <w:rPr>
          <w:rFonts w:ascii="Times New Roman" w:eastAsia="Times New Roman" w:hAnsi="Times New Roman" w:cs="Times New Roman"/>
          <w:kern w:val="0"/>
          <w:sz w:val="24"/>
          <w:szCs w:val="24"/>
          <w:highlight w:val="yellow"/>
          <w:lang w:val="en-NG"/>
          <w14:ligatures w14:val="none"/>
        </w:rPr>
        <w:lastRenderedPageBreak/>
        <w:t>Sub-Saharan Africa. Second, the study does not address potential endogeneity between ownership structure and dividend decisions, which may bias estimates. Third, although quantile regression accounts for distributional heterogeneity, it does not capture dynamic adjustments or causal pathways. Lastly, the exclusion of qualitative governance variables such as board independence or shareholder activism may have limited the scope of explanatory mechanisms behind dividend policy.</w:t>
      </w:r>
    </w:p>
    <w:p w14:paraId="1FC98F8F" w14:textId="77777777" w:rsidR="001E6B1A" w:rsidRPr="00735D4F" w:rsidRDefault="001E6B1A" w:rsidP="001E6B1A">
      <w:pPr>
        <w:spacing w:line="360" w:lineRule="auto"/>
        <w:ind w:left="360"/>
        <w:contextualSpacing/>
        <w:jc w:val="both"/>
        <w:rPr>
          <w:rFonts w:asciiTheme="majorBidi" w:hAnsiTheme="majorBidi" w:cstheme="majorBidi"/>
          <w:sz w:val="20"/>
          <w:szCs w:val="20"/>
          <w:lang w:val="en-NG"/>
        </w:rPr>
      </w:pPr>
    </w:p>
    <w:p w14:paraId="129534B9" w14:textId="77777777" w:rsidR="001E6B1A" w:rsidRPr="00735D4F" w:rsidRDefault="001E6B1A" w:rsidP="001E6B1A">
      <w:pPr>
        <w:pStyle w:val="Heading2"/>
        <w:rPr>
          <w:rFonts w:asciiTheme="majorBidi" w:hAnsiTheme="majorBidi" w:cstheme="majorBidi"/>
          <w:b/>
          <w:bCs/>
          <w:sz w:val="20"/>
          <w:szCs w:val="20"/>
        </w:rPr>
      </w:pPr>
      <w:r w:rsidRPr="00735D4F">
        <w:rPr>
          <w:rFonts w:asciiTheme="majorBidi" w:hAnsiTheme="majorBidi" w:cstheme="majorBidi"/>
          <w:b/>
          <w:bCs/>
          <w:sz w:val="20"/>
          <w:szCs w:val="20"/>
        </w:rPr>
        <w:t>References</w:t>
      </w:r>
    </w:p>
    <w:p w14:paraId="01145389"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 xml:space="preserve">Akilla, A. E., Adeleke, E. O., Ogundele, O. S., &amp; </w:t>
      </w:r>
      <w:proofErr w:type="spellStart"/>
      <w:r w:rsidRPr="00735D4F">
        <w:rPr>
          <w:rFonts w:asciiTheme="majorBidi" w:hAnsiTheme="majorBidi" w:cstheme="majorBidi"/>
          <w:sz w:val="20"/>
          <w:szCs w:val="20"/>
        </w:rPr>
        <w:t>Anisulowo</w:t>
      </w:r>
      <w:proofErr w:type="spellEnd"/>
      <w:r w:rsidRPr="00735D4F">
        <w:rPr>
          <w:rFonts w:asciiTheme="majorBidi" w:hAnsiTheme="majorBidi" w:cstheme="majorBidi"/>
          <w:sz w:val="20"/>
          <w:szCs w:val="20"/>
        </w:rPr>
        <w:t xml:space="preserve">, T. A. (2024). Ownership structure and dividend policy of selected deposit money banks in Nigeria. </w:t>
      </w:r>
      <w:r w:rsidRPr="00735D4F">
        <w:rPr>
          <w:rFonts w:asciiTheme="majorBidi" w:hAnsiTheme="majorBidi" w:cstheme="majorBidi"/>
          <w:i/>
          <w:iCs/>
          <w:sz w:val="20"/>
          <w:szCs w:val="20"/>
        </w:rPr>
        <w:t>Adeleke University Journal of Business and Social Sciences, 4</w:t>
      </w:r>
      <w:r w:rsidRPr="00735D4F">
        <w:rPr>
          <w:rFonts w:asciiTheme="majorBidi" w:hAnsiTheme="majorBidi" w:cstheme="majorBidi"/>
          <w:sz w:val="20"/>
          <w:szCs w:val="20"/>
        </w:rPr>
        <w:t>(2), 208–211.</w:t>
      </w:r>
    </w:p>
    <w:p w14:paraId="03D55656"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 xml:space="preserve">Akpadaka, O. S., Farouk, M. A., &amp; Dang, D. Y. (2024). How Do Profitability and Institutional Ownership Drive Value through Dividend Policy? Evidence from Nigeria. </w:t>
      </w:r>
      <w:r w:rsidRPr="00735D4F">
        <w:rPr>
          <w:rFonts w:asciiTheme="majorBidi" w:hAnsiTheme="majorBidi" w:cstheme="majorBidi"/>
          <w:i/>
          <w:iCs/>
          <w:sz w:val="20"/>
          <w:szCs w:val="20"/>
        </w:rPr>
        <w:t>Accounting and Finance Research</w:t>
      </w:r>
      <w:r w:rsidRPr="00735D4F">
        <w:rPr>
          <w:rFonts w:asciiTheme="majorBidi" w:hAnsiTheme="majorBidi" w:cstheme="majorBidi"/>
          <w:sz w:val="20"/>
          <w:szCs w:val="20"/>
        </w:rPr>
        <w:t xml:space="preserve">, </w:t>
      </w:r>
      <w:r w:rsidRPr="00735D4F">
        <w:rPr>
          <w:rFonts w:asciiTheme="majorBidi" w:hAnsiTheme="majorBidi" w:cstheme="majorBidi"/>
          <w:i/>
          <w:iCs/>
          <w:sz w:val="20"/>
          <w:szCs w:val="20"/>
        </w:rPr>
        <w:t>13</w:t>
      </w:r>
      <w:r w:rsidRPr="00735D4F">
        <w:rPr>
          <w:rFonts w:asciiTheme="majorBidi" w:hAnsiTheme="majorBidi" w:cstheme="majorBidi"/>
          <w:sz w:val="20"/>
          <w:szCs w:val="20"/>
        </w:rPr>
        <w:t xml:space="preserve">(2), 129. </w:t>
      </w:r>
      <w:hyperlink r:id="rId15" w:history="1">
        <w:r w:rsidRPr="00735D4F">
          <w:rPr>
            <w:rStyle w:val="Hyperlink"/>
            <w:rFonts w:asciiTheme="majorBidi" w:hAnsiTheme="majorBidi" w:cstheme="majorBidi"/>
            <w:sz w:val="20"/>
            <w:szCs w:val="20"/>
          </w:rPr>
          <w:t>https://doi.org/10.5430/afr.v13n2p129</w:t>
        </w:r>
      </w:hyperlink>
      <w:r w:rsidRPr="00735D4F">
        <w:rPr>
          <w:rFonts w:asciiTheme="majorBidi" w:hAnsiTheme="majorBidi" w:cstheme="majorBidi"/>
          <w:sz w:val="20"/>
          <w:szCs w:val="20"/>
        </w:rPr>
        <w:t xml:space="preserve"> </w:t>
      </w:r>
    </w:p>
    <w:p w14:paraId="2A5DD120"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 xml:space="preserve">Akpadaka, O. S., Farouk, M. A., Dang, D. Y., &amp; Fodio, M. I. (2024b). Does profitability moderate the relationship between the leverage and dividend policy of manufacturing firms in Nigeria and South Africa? </w:t>
      </w:r>
      <w:r w:rsidRPr="00735D4F">
        <w:rPr>
          <w:rFonts w:asciiTheme="majorBidi" w:hAnsiTheme="majorBidi" w:cstheme="majorBidi"/>
          <w:i/>
          <w:iCs/>
          <w:sz w:val="20"/>
          <w:szCs w:val="20"/>
        </w:rPr>
        <w:t>Journal of Risk and Financial Management, 17</w:t>
      </w:r>
      <w:r w:rsidRPr="00735D4F">
        <w:rPr>
          <w:rFonts w:asciiTheme="majorBidi" w:hAnsiTheme="majorBidi" w:cstheme="majorBidi"/>
          <w:sz w:val="20"/>
          <w:szCs w:val="20"/>
        </w:rPr>
        <w:t xml:space="preserve">(12), 563. </w:t>
      </w:r>
      <w:hyperlink r:id="rId16" w:tgtFrame="_new" w:history="1">
        <w:r w:rsidRPr="00735D4F">
          <w:rPr>
            <w:rStyle w:val="Hyperlink"/>
            <w:rFonts w:asciiTheme="majorBidi" w:hAnsiTheme="majorBidi" w:cstheme="majorBidi"/>
            <w:sz w:val="20"/>
            <w:szCs w:val="20"/>
          </w:rPr>
          <w:t>https://doi.org/10.3390/jrfm17120563</w:t>
        </w:r>
      </w:hyperlink>
    </w:p>
    <w:p w14:paraId="6C2C7A38"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AlGhazali, A., Al-Yahyaee, K. H., Fairchild, R., &amp; Guney, Y. (2024). What do dividend changes reveal? Theory and evidence from a unique environment. </w:t>
      </w:r>
      <w:r w:rsidRPr="00735D4F">
        <w:rPr>
          <w:rFonts w:asciiTheme="majorBidi" w:hAnsiTheme="majorBidi" w:cstheme="majorBidi"/>
          <w:i/>
          <w:iCs/>
          <w:sz w:val="20"/>
          <w:szCs w:val="20"/>
        </w:rPr>
        <w:t>Review of Quantitative Finance and Accounting</w:t>
      </w:r>
      <w:r w:rsidRPr="00735D4F">
        <w:rPr>
          <w:rFonts w:asciiTheme="majorBidi" w:hAnsiTheme="majorBidi" w:cstheme="majorBidi"/>
          <w:sz w:val="20"/>
          <w:szCs w:val="20"/>
        </w:rPr>
        <w:t>, </w:t>
      </w:r>
      <w:r w:rsidRPr="00735D4F">
        <w:rPr>
          <w:rFonts w:asciiTheme="majorBidi" w:hAnsiTheme="majorBidi" w:cstheme="majorBidi"/>
          <w:i/>
          <w:iCs/>
          <w:sz w:val="20"/>
          <w:szCs w:val="20"/>
        </w:rPr>
        <w:t>62</w:t>
      </w:r>
      <w:r w:rsidRPr="00735D4F">
        <w:rPr>
          <w:rFonts w:asciiTheme="majorBidi" w:hAnsiTheme="majorBidi" w:cstheme="majorBidi"/>
          <w:sz w:val="20"/>
          <w:szCs w:val="20"/>
        </w:rPr>
        <w:t>(2), 499-552.</w:t>
      </w:r>
    </w:p>
    <w:p w14:paraId="01599CBD"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Alhalabi, T., Castro, V., &amp; Wood, J. (2023). Bank dividend payout policy and debt seniority: Evidence from US Banks. </w:t>
      </w:r>
      <w:r w:rsidRPr="00735D4F">
        <w:rPr>
          <w:rFonts w:asciiTheme="majorBidi" w:hAnsiTheme="majorBidi" w:cstheme="majorBidi"/>
          <w:i/>
          <w:iCs/>
          <w:sz w:val="20"/>
          <w:szCs w:val="20"/>
        </w:rPr>
        <w:t>Financial Markets, Institutions and Instruments</w:t>
      </w:r>
      <w:r w:rsidRPr="00735D4F">
        <w:rPr>
          <w:rFonts w:asciiTheme="majorBidi" w:hAnsiTheme="majorBidi" w:cstheme="majorBidi"/>
          <w:sz w:val="20"/>
          <w:szCs w:val="20"/>
        </w:rPr>
        <w:t>, 32(5), 285–340. </w:t>
      </w:r>
      <w:hyperlink r:id="rId17" w:tgtFrame="_blank" w:history="1">
        <w:r w:rsidRPr="00735D4F">
          <w:rPr>
            <w:rStyle w:val="Hyperlink"/>
            <w:rFonts w:asciiTheme="majorBidi" w:hAnsiTheme="majorBidi" w:cstheme="majorBidi"/>
            <w:sz w:val="20"/>
            <w:szCs w:val="20"/>
          </w:rPr>
          <w:t>https://doi.org/10.1111/fmii.12183</w:t>
        </w:r>
      </w:hyperlink>
    </w:p>
    <w:p w14:paraId="65DEA732" w14:textId="77777777" w:rsidR="001E6B1A" w:rsidRPr="00735D4F" w:rsidRDefault="001E6B1A" w:rsidP="001E6B1A">
      <w:pPr>
        <w:spacing w:line="360" w:lineRule="auto"/>
        <w:ind w:left="1077" w:hanging="720"/>
        <w:contextualSpacing/>
      </w:pPr>
      <w:r w:rsidRPr="00735D4F">
        <w:rPr>
          <w:rFonts w:asciiTheme="majorBidi" w:hAnsiTheme="majorBidi" w:cstheme="majorBidi"/>
          <w:sz w:val="20"/>
          <w:szCs w:val="20"/>
        </w:rPr>
        <w:t>Al-Matari, E. M. (2025). Ownership structure and earnings management: The role of environmental sustainability as moderator variable. A further analysis. Saudi evidence. </w:t>
      </w:r>
      <w:r w:rsidRPr="00735D4F">
        <w:rPr>
          <w:rFonts w:asciiTheme="majorBidi" w:hAnsiTheme="majorBidi" w:cstheme="majorBidi"/>
          <w:i/>
          <w:iCs/>
          <w:sz w:val="20"/>
          <w:szCs w:val="20"/>
        </w:rPr>
        <w:t>Cogent Business &amp; Management</w:t>
      </w:r>
      <w:r w:rsidRPr="00735D4F">
        <w:rPr>
          <w:rFonts w:asciiTheme="majorBidi" w:hAnsiTheme="majorBidi" w:cstheme="majorBidi"/>
          <w:sz w:val="20"/>
          <w:szCs w:val="20"/>
        </w:rPr>
        <w:t>, 12(1). </w:t>
      </w:r>
      <w:hyperlink r:id="rId18" w:tgtFrame="_blank" w:history="1">
        <w:r w:rsidRPr="00735D4F">
          <w:rPr>
            <w:rStyle w:val="Hyperlink"/>
            <w:rFonts w:asciiTheme="majorBidi" w:hAnsiTheme="majorBidi" w:cstheme="majorBidi"/>
            <w:sz w:val="20"/>
            <w:szCs w:val="20"/>
          </w:rPr>
          <w:t>https://doi.org/10.1080/23311975.2025.2504131</w:t>
        </w:r>
      </w:hyperlink>
    </w:p>
    <w:p w14:paraId="29C10D45" w14:textId="77777777" w:rsidR="001E6B1A" w:rsidRPr="00735D4F" w:rsidRDefault="001E6B1A" w:rsidP="001E6B1A">
      <w:pPr>
        <w:spacing w:line="360" w:lineRule="auto"/>
        <w:ind w:left="1077" w:hanging="720"/>
        <w:contextualSpacing/>
        <w:rPr>
          <w:rFonts w:asciiTheme="majorBidi" w:hAnsiTheme="majorBidi" w:cstheme="majorBidi"/>
          <w:sz w:val="20"/>
          <w:szCs w:val="20"/>
        </w:rPr>
      </w:pPr>
      <w:proofErr w:type="spellStart"/>
      <w:r w:rsidRPr="00735D4F">
        <w:rPr>
          <w:rFonts w:asciiTheme="majorBidi" w:hAnsiTheme="majorBidi" w:cstheme="majorBidi"/>
          <w:sz w:val="20"/>
          <w:szCs w:val="20"/>
        </w:rPr>
        <w:t>Alshdaifat</w:t>
      </w:r>
      <w:proofErr w:type="spellEnd"/>
      <w:r w:rsidRPr="00735D4F">
        <w:rPr>
          <w:rFonts w:asciiTheme="majorBidi" w:hAnsiTheme="majorBidi" w:cstheme="majorBidi"/>
          <w:sz w:val="20"/>
          <w:szCs w:val="20"/>
        </w:rPr>
        <w:t xml:space="preserve">, S. M., </w:t>
      </w:r>
      <w:proofErr w:type="spellStart"/>
      <w:r w:rsidRPr="00735D4F">
        <w:rPr>
          <w:rFonts w:asciiTheme="majorBidi" w:hAnsiTheme="majorBidi" w:cstheme="majorBidi"/>
          <w:sz w:val="20"/>
          <w:szCs w:val="20"/>
        </w:rPr>
        <w:t>Alharasis</w:t>
      </w:r>
      <w:proofErr w:type="spellEnd"/>
      <w:r w:rsidRPr="00735D4F">
        <w:rPr>
          <w:rFonts w:asciiTheme="majorBidi" w:hAnsiTheme="majorBidi" w:cstheme="majorBidi"/>
          <w:sz w:val="20"/>
          <w:szCs w:val="20"/>
        </w:rPr>
        <w:t>, E. E., Ab Aziz, N. H., Bataineh, I., &amp; Al Amosh, H. (2025). Governance in crisis: do different types of ownership influence firm performance in GCC countries amid Covid-19? </w:t>
      </w:r>
      <w:r w:rsidRPr="00735D4F">
        <w:rPr>
          <w:rFonts w:asciiTheme="majorBidi" w:hAnsiTheme="majorBidi" w:cstheme="majorBidi"/>
          <w:i/>
          <w:iCs/>
          <w:sz w:val="20"/>
          <w:szCs w:val="20"/>
        </w:rPr>
        <w:t>Cogent Business &amp; Management</w:t>
      </w:r>
      <w:r w:rsidRPr="00735D4F">
        <w:rPr>
          <w:rFonts w:asciiTheme="majorBidi" w:hAnsiTheme="majorBidi" w:cstheme="majorBidi"/>
          <w:sz w:val="20"/>
          <w:szCs w:val="20"/>
        </w:rPr>
        <w:t>, </w:t>
      </w:r>
      <w:r w:rsidRPr="00735D4F">
        <w:rPr>
          <w:rFonts w:asciiTheme="majorBidi" w:hAnsiTheme="majorBidi" w:cstheme="majorBidi"/>
          <w:i/>
          <w:iCs/>
          <w:sz w:val="20"/>
          <w:szCs w:val="20"/>
        </w:rPr>
        <w:t>12</w:t>
      </w:r>
      <w:r w:rsidRPr="00735D4F">
        <w:rPr>
          <w:rFonts w:asciiTheme="majorBidi" w:hAnsiTheme="majorBidi" w:cstheme="majorBidi"/>
          <w:sz w:val="20"/>
          <w:szCs w:val="20"/>
        </w:rPr>
        <w:t xml:space="preserve">(1). </w:t>
      </w:r>
      <w:hyperlink r:id="rId19" w:history="1">
        <w:r w:rsidRPr="00735D4F">
          <w:rPr>
            <w:rStyle w:val="Hyperlink"/>
            <w:rFonts w:asciiTheme="majorBidi" w:hAnsiTheme="majorBidi" w:cstheme="majorBidi"/>
            <w:sz w:val="20"/>
            <w:szCs w:val="20"/>
          </w:rPr>
          <w:t>https://doi.org/10.1080/23311975.2025.2463576</w:t>
        </w:r>
      </w:hyperlink>
      <w:r w:rsidRPr="00735D4F">
        <w:rPr>
          <w:rFonts w:asciiTheme="majorBidi" w:hAnsiTheme="majorBidi" w:cstheme="majorBidi"/>
          <w:sz w:val="20"/>
          <w:szCs w:val="20"/>
        </w:rPr>
        <w:t xml:space="preserve"> </w:t>
      </w:r>
    </w:p>
    <w:p w14:paraId="6E26E8C7" w14:textId="77777777" w:rsidR="001E6B1A" w:rsidRPr="00735D4F" w:rsidRDefault="001E6B1A" w:rsidP="001E6B1A">
      <w:pPr>
        <w:spacing w:line="360" w:lineRule="auto"/>
        <w:ind w:left="1077" w:hanging="720"/>
        <w:contextualSpacing/>
      </w:pPr>
      <w:proofErr w:type="spellStart"/>
      <w:r w:rsidRPr="00735D4F">
        <w:rPr>
          <w:rFonts w:asciiTheme="majorBidi" w:hAnsiTheme="majorBidi" w:cstheme="majorBidi"/>
          <w:sz w:val="20"/>
          <w:szCs w:val="20"/>
        </w:rPr>
        <w:t>Arhinful</w:t>
      </w:r>
      <w:proofErr w:type="spellEnd"/>
      <w:r w:rsidRPr="00735D4F">
        <w:rPr>
          <w:rFonts w:asciiTheme="majorBidi" w:hAnsiTheme="majorBidi" w:cstheme="majorBidi"/>
          <w:sz w:val="20"/>
          <w:szCs w:val="20"/>
        </w:rPr>
        <w:t>, R., Obeng, H. A., Mensah, L., &amp; Mensah, C. C. (2025). Signaling Sustainability: The impact of sustainable finance on dividend policy among firms listed on the London Stock Exchange. </w:t>
      </w:r>
      <w:r w:rsidRPr="00735D4F">
        <w:rPr>
          <w:rFonts w:asciiTheme="majorBidi" w:hAnsiTheme="majorBidi" w:cstheme="majorBidi"/>
          <w:i/>
          <w:iCs/>
          <w:sz w:val="20"/>
          <w:szCs w:val="20"/>
        </w:rPr>
        <w:t>Business Strategy and the Environment</w:t>
      </w:r>
      <w:r w:rsidRPr="00735D4F">
        <w:rPr>
          <w:rFonts w:asciiTheme="majorBidi" w:hAnsiTheme="majorBidi" w:cstheme="majorBidi"/>
          <w:sz w:val="20"/>
          <w:szCs w:val="20"/>
        </w:rPr>
        <w:t>. Advance online publication. </w:t>
      </w:r>
      <w:hyperlink r:id="rId20" w:tgtFrame="_blank" w:history="1">
        <w:r w:rsidRPr="00735D4F">
          <w:rPr>
            <w:rStyle w:val="Hyperlink"/>
            <w:rFonts w:asciiTheme="majorBidi" w:hAnsiTheme="majorBidi" w:cstheme="majorBidi"/>
            <w:sz w:val="20"/>
            <w:szCs w:val="20"/>
          </w:rPr>
          <w:t>https://doi.org/10.1002/bse.70020</w:t>
        </w:r>
      </w:hyperlink>
    </w:p>
    <w:p w14:paraId="65BD1CE4"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Aslam, H., Masood, A., ul Hassan, N., &amp; Shahbaz Yaqub, M. (2023). Dividend Policy and Ownership Concentration: An Empirical Analysis of the Non-Financial Sector of Pakistan. </w:t>
      </w:r>
      <w:r w:rsidRPr="00735D4F">
        <w:rPr>
          <w:rFonts w:asciiTheme="majorBidi" w:hAnsiTheme="majorBidi" w:cstheme="majorBidi"/>
          <w:i/>
          <w:iCs/>
          <w:sz w:val="20"/>
          <w:szCs w:val="20"/>
        </w:rPr>
        <w:t>Asian Finance Research Journal (AFRJ)</w:t>
      </w:r>
      <w:r w:rsidRPr="00735D4F">
        <w:rPr>
          <w:rFonts w:asciiTheme="majorBidi" w:hAnsiTheme="majorBidi" w:cstheme="majorBidi"/>
          <w:sz w:val="20"/>
          <w:szCs w:val="20"/>
        </w:rPr>
        <w:t>, </w:t>
      </w:r>
      <w:r w:rsidRPr="00735D4F">
        <w:rPr>
          <w:rFonts w:asciiTheme="majorBidi" w:hAnsiTheme="majorBidi" w:cstheme="majorBidi"/>
          <w:i/>
          <w:iCs/>
          <w:sz w:val="20"/>
          <w:szCs w:val="20"/>
        </w:rPr>
        <w:t>5</w:t>
      </w:r>
      <w:r w:rsidRPr="00735D4F">
        <w:rPr>
          <w:rFonts w:asciiTheme="majorBidi" w:hAnsiTheme="majorBidi" w:cstheme="majorBidi"/>
          <w:sz w:val="20"/>
          <w:szCs w:val="20"/>
        </w:rPr>
        <w:t xml:space="preserve">(1). Retrieved from </w:t>
      </w:r>
      <w:hyperlink r:id="rId21" w:history="1">
        <w:r w:rsidRPr="00735D4F">
          <w:rPr>
            <w:rStyle w:val="Hyperlink"/>
            <w:rFonts w:asciiTheme="majorBidi" w:hAnsiTheme="majorBidi" w:cstheme="majorBidi"/>
            <w:sz w:val="20"/>
            <w:szCs w:val="20"/>
          </w:rPr>
          <w:t>https://journals.uol.edu.pk/afrj/article/view/2934</w:t>
        </w:r>
      </w:hyperlink>
      <w:r w:rsidRPr="00735D4F">
        <w:rPr>
          <w:rFonts w:asciiTheme="majorBidi" w:hAnsiTheme="majorBidi" w:cstheme="majorBidi"/>
          <w:sz w:val="20"/>
          <w:szCs w:val="20"/>
        </w:rPr>
        <w:t xml:space="preserve"> </w:t>
      </w:r>
    </w:p>
    <w:p w14:paraId="230A47BF" w14:textId="77777777" w:rsidR="001E6B1A" w:rsidRPr="00735D4F" w:rsidRDefault="001E6B1A" w:rsidP="001E6B1A">
      <w:pPr>
        <w:spacing w:line="360" w:lineRule="auto"/>
        <w:ind w:left="1077" w:hanging="720"/>
        <w:contextualSpacing/>
      </w:pPr>
      <w:r w:rsidRPr="00735D4F">
        <w:rPr>
          <w:rFonts w:asciiTheme="majorBidi" w:hAnsiTheme="majorBidi" w:cstheme="majorBidi"/>
          <w:sz w:val="20"/>
          <w:szCs w:val="20"/>
        </w:rPr>
        <w:lastRenderedPageBreak/>
        <w:t>Azeem, M., Ahmad, N., Majid, S., Rehman, J. U., &amp; Nafees, B. (2023). Corporate governance, financial constraints, and dividend policy: Evidence from Pakistan. </w:t>
      </w:r>
      <w:r w:rsidRPr="00735D4F">
        <w:rPr>
          <w:rFonts w:asciiTheme="majorBidi" w:hAnsiTheme="majorBidi" w:cstheme="majorBidi"/>
          <w:i/>
          <w:iCs/>
          <w:sz w:val="20"/>
          <w:szCs w:val="20"/>
        </w:rPr>
        <w:t>Cogent Economics &amp; Finance</w:t>
      </w:r>
      <w:r w:rsidRPr="00735D4F">
        <w:rPr>
          <w:rFonts w:asciiTheme="majorBidi" w:hAnsiTheme="majorBidi" w:cstheme="majorBidi"/>
          <w:sz w:val="20"/>
          <w:szCs w:val="20"/>
        </w:rPr>
        <w:t>, 11(2), 2243709. </w:t>
      </w:r>
      <w:hyperlink r:id="rId22" w:tgtFrame="_blank" w:history="1">
        <w:r w:rsidRPr="00735D4F">
          <w:rPr>
            <w:rStyle w:val="Hyperlink"/>
            <w:rFonts w:asciiTheme="majorBidi" w:hAnsiTheme="majorBidi" w:cstheme="majorBidi"/>
            <w:sz w:val="20"/>
            <w:szCs w:val="20"/>
          </w:rPr>
          <w:t>https://doi.org/10.1080/23322039.2023.2243709</w:t>
        </w:r>
      </w:hyperlink>
    </w:p>
    <w:p w14:paraId="5C6F39F6"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 xml:space="preserve">Bataineh, H. (2020). The impact of ownership structure on dividend policy of listed firms in Jordan. </w:t>
      </w:r>
      <w:r w:rsidRPr="00735D4F">
        <w:rPr>
          <w:rFonts w:asciiTheme="majorBidi" w:hAnsiTheme="majorBidi" w:cstheme="majorBidi"/>
          <w:i/>
          <w:iCs/>
          <w:sz w:val="20"/>
          <w:szCs w:val="20"/>
        </w:rPr>
        <w:t>Cogent Business &amp; Management</w:t>
      </w:r>
      <w:r w:rsidRPr="00735D4F">
        <w:rPr>
          <w:rFonts w:asciiTheme="majorBidi" w:hAnsiTheme="majorBidi" w:cstheme="majorBidi"/>
          <w:sz w:val="20"/>
          <w:szCs w:val="20"/>
        </w:rPr>
        <w:t xml:space="preserve">, </w:t>
      </w:r>
      <w:r w:rsidRPr="00735D4F">
        <w:rPr>
          <w:rFonts w:asciiTheme="majorBidi" w:hAnsiTheme="majorBidi" w:cstheme="majorBidi"/>
          <w:i/>
          <w:iCs/>
          <w:sz w:val="20"/>
          <w:szCs w:val="20"/>
        </w:rPr>
        <w:t>8</w:t>
      </w:r>
      <w:r w:rsidRPr="00735D4F">
        <w:rPr>
          <w:rFonts w:asciiTheme="majorBidi" w:hAnsiTheme="majorBidi" w:cstheme="majorBidi"/>
          <w:sz w:val="20"/>
          <w:szCs w:val="20"/>
        </w:rPr>
        <w:t xml:space="preserve">(1). </w:t>
      </w:r>
      <w:hyperlink r:id="rId23" w:history="1">
        <w:r w:rsidRPr="00735D4F">
          <w:rPr>
            <w:rStyle w:val="Hyperlink"/>
            <w:rFonts w:asciiTheme="majorBidi" w:hAnsiTheme="majorBidi" w:cstheme="majorBidi"/>
            <w:sz w:val="20"/>
            <w:szCs w:val="20"/>
          </w:rPr>
          <w:t>https://doi.org/10.1080/23311975.2020.1863175</w:t>
        </w:r>
      </w:hyperlink>
      <w:r w:rsidRPr="00735D4F">
        <w:rPr>
          <w:rFonts w:asciiTheme="majorBidi" w:hAnsiTheme="majorBidi" w:cstheme="majorBidi"/>
          <w:sz w:val="20"/>
          <w:szCs w:val="20"/>
        </w:rPr>
        <w:t xml:space="preserve"> </w:t>
      </w:r>
    </w:p>
    <w:p w14:paraId="320F6876" w14:textId="77777777" w:rsidR="001E6B1A" w:rsidRPr="00735D4F" w:rsidRDefault="001E6B1A" w:rsidP="001E6B1A">
      <w:pPr>
        <w:spacing w:line="360" w:lineRule="auto"/>
        <w:ind w:left="1077" w:hanging="720"/>
        <w:contextualSpacing/>
      </w:pPr>
      <w:r w:rsidRPr="00735D4F">
        <w:rPr>
          <w:rFonts w:asciiTheme="majorBidi" w:hAnsiTheme="majorBidi" w:cstheme="majorBidi"/>
          <w:sz w:val="20"/>
          <w:szCs w:val="20"/>
        </w:rPr>
        <w:t>Bechter, C. (2024). The Dynamics of Dividends and Profitability: Analyzing ratios and their impact on business strategies and risks of banks. </w:t>
      </w:r>
      <w:r w:rsidRPr="00735D4F">
        <w:rPr>
          <w:rFonts w:asciiTheme="majorBidi" w:hAnsiTheme="majorBidi" w:cstheme="majorBidi"/>
          <w:i/>
          <w:iCs/>
          <w:sz w:val="20"/>
          <w:szCs w:val="20"/>
        </w:rPr>
        <w:t>European Journal of Management, Economics and Business</w:t>
      </w:r>
      <w:r w:rsidRPr="00735D4F">
        <w:rPr>
          <w:rFonts w:asciiTheme="majorBidi" w:hAnsiTheme="majorBidi" w:cstheme="majorBidi"/>
          <w:sz w:val="20"/>
          <w:szCs w:val="20"/>
        </w:rPr>
        <w:t>, 1(3), 76–85. </w:t>
      </w:r>
      <w:hyperlink r:id="rId24" w:tgtFrame="_blank" w:history="1">
        <w:r w:rsidRPr="00735D4F">
          <w:rPr>
            <w:rStyle w:val="Hyperlink"/>
            <w:rFonts w:asciiTheme="majorBidi" w:hAnsiTheme="majorBidi" w:cstheme="majorBidi"/>
            <w:sz w:val="20"/>
            <w:szCs w:val="20"/>
          </w:rPr>
          <w:t>https://doi.org/10.59324/ejmeb.2024.1(3).07</w:t>
        </w:r>
      </w:hyperlink>
    </w:p>
    <w:p w14:paraId="14274565"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Berle, A. A., &amp; Means, G. C. (1991). </w:t>
      </w:r>
      <w:r w:rsidRPr="00735D4F">
        <w:rPr>
          <w:rFonts w:asciiTheme="majorBidi" w:hAnsiTheme="majorBidi" w:cstheme="majorBidi"/>
          <w:i/>
          <w:iCs/>
          <w:sz w:val="20"/>
          <w:szCs w:val="20"/>
        </w:rPr>
        <w:t>The modern corporation and private property</w:t>
      </w:r>
      <w:r w:rsidRPr="00735D4F">
        <w:rPr>
          <w:rFonts w:asciiTheme="majorBidi" w:hAnsiTheme="majorBidi" w:cstheme="majorBidi"/>
          <w:sz w:val="20"/>
          <w:szCs w:val="20"/>
        </w:rPr>
        <w:t xml:space="preserve">. Transaction Publishers. </w:t>
      </w:r>
    </w:p>
    <w:p w14:paraId="419DF4F4"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 xml:space="preserve">Bhattacharya, S. (1979). Imperfect information, dividend policy, and “the bird in the hand” fallacy. </w:t>
      </w:r>
      <w:r w:rsidRPr="00735D4F">
        <w:rPr>
          <w:rFonts w:asciiTheme="majorBidi" w:hAnsiTheme="majorBidi" w:cstheme="majorBidi"/>
          <w:i/>
          <w:iCs/>
          <w:sz w:val="20"/>
          <w:szCs w:val="20"/>
        </w:rPr>
        <w:t>The Bell Journal of Economics</w:t>
      </w:r>
      <w:r w:rsidRPr="00735D4F">
        <w:rPr>
          <w:rFonts w:asciiTheme="majorBidi" w:hAnsiTheme="majorBidi" w:cstheme="majorBidi"/>
          <w:sz w:val="20"/>
          <w:szCs w:val="20"/>
        </w:rPr>
        <w:t xml:space="preserve">, </w:t>
      </w:r>
      <w:r w:rsidRPr="00735D4F">
        <w:rPr>
          <w:rFonts w:asciiTheme="majorBidi" w:hAnsiTheme="majorBidi" w:cstheme="majorBidi"/>
          <w:i/>
          <w:iCs/>
          <w:sz w:val="20"/>
          <w:szCs w:val="20"/>
        </w:rPr>
        <w:t>10</w:t>
      </w:r>
      <w:r w:rsidRPr="00735D4F">
        <w:rPr>
          <w:rFonts w:asciiTheme="majorBidi" w:hAnsiTheme="majorBidi" w:cstheme="majorBidi"/>
          <w:sz w:val="20"/>
          <w:szCs w:val="20"/>
        </w:rPr>
        <w:t>(1), 259–270. https://doi.org/10.2307/3003330</w:t>
      </w:r>
    </w:p>
    <w:p w14:paraId="63CB167F"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 xml:space="preserve">Cameron, A. C., &amp; Trivedi, P. K. (2009). </w:t>
      </w:r>
      <w:proofErr w:type="spellStart"/>
      <w:r w:rsidRPr="00735D4F">
        <w:rPr>
          <w:rFonts w:asciiTheme="majorBidi" w:hAnsiTheme="majorBidi" w:cstheme="majorBidi"/>
          <w:i/>
          <w:iCs/>
          <w:sz w:val="20"/>
          <w:szCs w:val="20"/>
        </w:rPr>
        <w:t>Microeconometrics</w:t>
      </w:r>
      <w:proofErr w:type="spellEnd"/>
      <w:r w:rsidRPr="00735D4F">
        <w:rPr>
          <w:rFonts w:asciiTheme="majorBidi" w:hAnsiTheme="majorBidi" w:cstheme="majorBidi"/>
          <w:i/>
          <w:iCs/>
          <w:sz w:val="20"/>
          <w:szCs w:val="20"/>
        </w:rPr>
        <w:t xml:space="preserve"> using Stata</w:t>
      </w:r>
      <w:r w:rsidRPr="00735D4F">
        <w:rPr>
          <w:rFonts w:asciiTheme="majorBidi" w:hAnsiTheme="majorBidi" w:cstheme="majorBidi"/>
          <w:sz w:val="20"/>
          <w:szCs w:val="20"/>
        </w:rPr>
        <w:t xml:space="preserve"> (Rev. ed.). Stata Press.</w:t>
      </w:r>
    </w:p>
    <w:p w14:paraId="012AE886"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Danni, W., &amp; Qi, Z. (2024). Analyzing the Influence of Dividend Policy on Corporate Value: A Financial Perspective with Haier as a Case Study. </w:t>
      </w:r>
      <w:r w:rsidRPr="00735D4F">
        <w:rPr>
          <w:rFonts w:asciiTheme="majorBidi" w:hAnsiTheme="majorBidi" w:cstheme="majorBidi"/>
          <w:i/>
          <w:iCs/>
          <w:sz w:val="20"/>
          <w:szCs w:val="20"/>
        </w:rPr>
        <w:t>Journal of Accounting Business and Management (JABM)</w:t>
      </w:r>
      <w:r w:rsidRPr="00735D4F">
        <w:rPr>
          <w:rFonts w:asciiTheme="majorBidi" w:hAnsiTheme="majorBidi" w:cstheme="majorBidi"/>
          <w:sz w:val="20"/>
          <w:szCs w:val="20"/>
        </w:rPr>
        <w:t>, 32(1), 199. </w:t>
      </w:r>
      <w:hyperlink r:id="rId25" w:tgtFrame="_blank" w:history="1">
        <w:r w:rsidRPr="00735D4F">
          <w:rPr>
            <w:rStyle w:val="Hyperlink"/>
            <w:rFonts w:asciiTheme="majorBidi" w:hAnsiTheme="majorBidi" w:cstheme="majorBidi"/>
            <w:sz w:val="20"/>
            <w:szCs w:val="20"/>
          </w:rPr>
          <w:t>https://doi.org/10.31966/jabminternational.v32i1.1464</w:t>
        </w:r>
      </w:hyperlink>
    </w:p>
    <w:p w14:paraId="6626FCBF" w14:textId="77777777" w:rsidR="001E6B1A" w:rsidRPr="00735D4F" w:rsidRDefault="001E6B1A" w:rsidP="001E6B1A">
      <w:pPr>
        <w:spacing w:line="360" w:lineRule="auto"/>
        <w:ind w:left="1077" w:hanging="720"/>
        <w:contextualSpacing/>
      </w:pPr>
      <w:r w:rsidRPr="00735D4F">
        <w:rPr>
          <w:rFonts w:asciiTheme="majorBidi" w:hAnsiTheme="majorBidi" w:cstheme="majorBidi"/>
          <w:sz w:val="20"/>
          <w:szCs w:val="20"/>
        </w:rPr>
        <w:t xml:space="preserve">Dewasiri, N. J., </w:t>
      </w:r>
      <w:proofErr w:type="spellStart"/>
      <w:r w:rsidRPr="00735D4F">
        <w:rPr>
          <w:rFonts w:asciiTheme="majorBidi" w:hAnsiTheme="majorBidi" w:cstheme="majorBidi"/>
          <w:sz w:val="20"/>
          <w:szCs w:val="20"/>
        </w:rPr>
        <w:t>Koralalage</w:t>
      </w:r>
      <w:proofErr w:type="spellEnd"/>
      <w:r w:rsidRPr="00735D4F">
        <w:rPr>
          <w:rFonts w:asciiTheme="majorBidi" w:hAnsiTheme="majorBidi" w:cstheme="majorBidi"/>
          <w:sz w:val="20"/>
          <w:szCs w:val="20"/>
        </w:rPr>
        <w:t xml:space="preserve">, W. B. Y., Azeez, A. A., Jayarathne, P., </w:t>
      </w:r>
      <w:proofErr w:type="spellStart"/>
      <w:r w:rsidRPr="00735D4F">
        <w:rPr>
          <w:rFonts w:asciiTheme="majorBidi" w:hAnsiTheme="majorBidi" w:cstheme="majorBidi"/>
          <w:sz w:val="20"/>
          <w:szCs w:val="20"/>
        </w:rPr>
        <w:t>Kuruppuarachchi</w:t>
      </w:r>
      <w:proofErr w:type="spellEnd"/>
      <w:r w:rsidRPr="00735D4F">
        <w:rPr>
          <w:rFonts w:asciiTheme="majorBidi" w:hAnsiTheme="majorBidi" w:cstheme="majorBidi"/>
          <w:sz w:val="20"/>
          <w:szCs w:val="20"/>
        </w:rPr>
        <w:t>, D., &amp; Weerasinghe, V. (2019). Determinants of dividend policy: Evidence from an emerging and developing market. </w:t>
      </w:r>
      <w:r w:rsidRPr="00735D4F">
        <w:rPr>
          <w:rFonts w:asciiTheme="majorBidi" w:hAnsiTheme="majorBidi" w:cstheme="majorBidi"/>
          <w:i/>
          <w:iCs/>
          <w:sz w:val="20"/>
          <w:szCs w:val="20"/>
        </w:rPr>
        <w:t>Managerial Finance</w:t>
      </w:r>
      <w:r w:rsidRPr="00735D4F">
        <w:rPr>
          <w:rFonts w:asciiTheme="majorBidi" w:hAnsiTheme="majorBidi" w:cstheme="majorBidi"/>
          <w:sz w:val="20"/>
          <w:szCs w:val="20"/>
        </w:rPr>
        <w:t>, 45(3), 413–429. </w:t>
      </w:r>
      <w:hyperlink r:id="rId26" w:tgtFrame="_blank" w:history="1">
        <w:r w:rsidRPr="00735D4F">
          <w:rPr>
            <w:rStyle w:val="Hyperlink"/>
            <w:rFonts w:asciiTheme="majorBidi" w:hAnsiTheme="majorBidi" w:cstheme="majorBidi"/>
            <w:sz w:val="20"/>
            <w:szCs w:val="20"/>
          </w:rPr>
          <w:t>https://doi.org/10.1108/MF-09-2017-0331</w:t>
        </w:r>
      </w:hyperlink>
    </w:p>
    <w:p w14:paraId="00BB21B4" w14:textId="77777777" w:rsidR="001E6B1A" w:rsidRPr="00735D4F" w:rsidRDefault="001E6B1A" w:rsidP="001E6B1A">
      <w:pPr>
        <w:spacing w:line="360" w:lineRule="auto"/>
        <w:ind w:left="1077" w:hanging="720"/>
        <w:contextualSpacing/>
        <w:rPr>
          <w:rFonts w:asciiTheme="majorBidi" w:hAnsiTheme="majorBidi" w:cstheme="majorBidi"/>
          <w:sz w:val="20"/>
          <w:szCs w:val="20"/>
        </w:rPr>
      </w:pPr>
      <w:proofErr w:type="spellStart"/>
      <w:r w:rsidRPr="00735D4F">
        <w:rPr>
          <w:rFonts w:asciiTheme="majorBidi" w:hAnsiTheme="majorBidi" w:cstheme="majorBidi"/>
          <w:sz w:val="20"/>
          <w:szCs w:val="20"/>
        </w:rPr>
        <w:t>Duqi</w:t>
      </w:r>
      <w:proofErr w:type="spellEnd"/>
      <w:r w:rsidRPr="00735D4F">
        <w:rPr>
          <w:rFonts w:asciiTheme="majorBidi" w:hAnsiTheme="majorBidi" w:cstheme="majorBidi"/>
          <w:sz w:val="20"/>
          <w:szCs w:val="20"/>
        </w:rPr>
        <w:t xml:space="preserve">, A., Jaafar, A., &amp; Warsame, M. H. (2020). Payout policy and ownership structure: the case of </w:t>
      </w:r>
      <w:proofErr w:type="spellStart"/>
      <w:r w:rsidRPr="00735D4F">
        <w:rPr>
          <w:rFonts w:asciiTheme="majorBidi" w:hAnsiTheme="majorBidi" w:cstheme="majorBidi"/>
          <w:sz w:val="20"/>
          <w:szCs w:val="20"/>
        </w:rPr>
        <w:t>islamic</w:t>
      </w:r>
      <w:proofErr w:type="spellEnd"/>
      <w:r w:rsidRPr="00735D4F">
        <w:rPr>
          <w:rFonts w:asciiTheme="majorBidi" w:hAnsiTheme="majorBidi" w:cstheme="majorBidi"/>
          <w:sz w:val="20"/>
          <w:szCs w:val="20"/>
        </w:rPr>
        <w:t xml:space="preserve"> and conventional banks. The British Accounting Review, 52(1), 100826. </w:t>
      </w:r>
      <w:hyperlink r:id="rId27" w:history="1">
        <w:r w:rsidRPr="00735D4F">
          <w:rPr>
            <w:rStyle w:val="Hyperlink"/>
            <w:rFonts w:asciiTheme="majorBidi" w:hAnsiTheme="majorBidi" w:cstheme="majorBidi"/>
            <w:sz w:val="20"/>
            <w:szCs w:val="20"/>
          </w:rPr>
          <w:t>https://doi.org/10.1016/j.bar.2019.03.001</w:t>
        </w:r>
      </w:hyperlink>
      <w:r w:rsidRPr="00735D4F">
        <w:rPr>
          <w:rFonts w:asciiTheme="majorBidi" w:hAnsiTheme="majorBidi" w:cstheme="majorBidi"/>
          <w:sz w:val="20"/>
          <w:szCs w:val="20"/>
        </w:rPr>
        <w:t xml:space="preserve"> </w:t>
      </w:r>
    </w:p>
    <w:p w14:paraId="2608AE10"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Faccio, M., Lang, L. H. P., &amp; Young, L. (2001). Dividends and expropriation. </w:t>
      </w:r>
      <w:r w:rsidRPr="00735D4F">
        <w:rPr>
          <w:rFonts w:asciiTheme="majorBidi" w:hAnsiTheme="majorBidi" w:cstheme="majorBidi"/>
          <w:i/>
          <w:iCs/>
          <w:sz w:val="20"/>
          <w:szCs w:val="20"/>
        </w:rPr>
        <w:t>American economic review</w:t>
      </w:r>
      <w:r w:rsidRPr="00735D4F">
        <w:rPr>
          <w:rFonts w:asciiTheme="majorBidi" w:hAnsiTheme="majorBidi" w:cstheme="majorBidi"/>
          <w:sz w:val="20"/>
          <w:szCs w:val="20"/>
        </w:rPr>
        <w:t>, </w:t>
      </w:r>
      <w:r w:rsidRPr="00735D4F">
        <w:rPr>
          <w:rFonts w:asciiTheme="majorBidi" w:hAnsiTheme="majorBidi" w:cstheme="majorBidi"/>
          <w:i/>
          <w:iCs/>
          <w:sz w:val="20"/>
          <w:szCs w:val="20"/>
        </w:rPr>
        <w:t>91</w:t>
      </w:r>
      <w:r w:rsidRPr="00735D4F">
        <w:rPr>
          <w:rFonts w:asciiTheme="majorBidi" w:hAnsiTheme="majorBidi" w:cstheme="majorBidi"/>
          <w:sz w:val="20"/>
          <w:szCs w:val="20"/>
        </w:rPr>
        <w:t xml:space="preserve">(1), 54-78. </w:t>
      </w:r>
    </w:p>
    <w:p w14:paraId="360A7415" w14:textId="77777777" w:rsidR="001E6B1A" w:rsidRPr="00735D4F" w:rsidRDefault="001E6B1A" w:rsidP="001E6B1A">
      <w:pPr>
        <w:spacing w:line="360" w:lineRule="auto"/>
        <w:ind w:left="1077" w:hanging="720"/>
        <w:contextualSpacing/>
      </w:pPr>
      <w:r w:rsidRPr="00735D4F">
        <w:rPr>
          <w:rFonts w:asciiTheme="majorBidi" w:hAnsiTheme="majorBidi" w:cstheme="majorBidi"/>
          <w:sz w:val="20"/>
          <w:szCs w:val="20"/>
          <w:lang w:val="pt-BR"/>
        </w:rPr>
        <w:t xml:space="preserve">Fama, E. F., &amp; French, K. R. (2001). </w:t>
      </w:r>
      <w:r w:rsidRPr="00735D4F">
        <w:rPr>
          <w:rFonts w:asciiTheme="majorBidi" w:hAnsiTheme="majorBidi" w:cstheme="majorBidi"/>
          <w:sz w:val="20"/>
          <w:szCs w:val="20"/>
        </w:rPr>
        <w:t>Disappearing dividends: Changing firm characteristics or lower propensity to pay? </w:t>
      </w:r>
      <w:r w:rsidRPr="00735D4F">
        <w:rPr>
          <w:rFonts w:asciiTheme="majorBidi" w:hAnsiTheme="majorBidi" w:cstheme="majorBidi"/>
          <w:i/>
          <w:iCs/>
          <w:sz w:val="20"/>
          <w:szCs w:val="20"/>
        </w:rPr>
        <w:t>Journal of Financial Economics</w:t>
      </w:r>
      <w:r w:rsidRPr="00735D4F">
        <w:rPr>
          <w:rFonts w:asciiTheme="majorBidi" w:hAnsiTheme="majorBidi" w:cstheme="majorBidi"/>
          <w:sz w:val="20"/>
          <w:szCs w:val="20"/>
        </w:rPr>
        <w:t>, 60(1), 3–43. </w:t>
      </w:r>
      <w:hyperlink r:id="rId28" w:tgtFrame="_blank" w:history="1">
        <w:r w:rsidRPr="00735D4F">
          <w:rPr>
            <w:rStyle w:val="Hyperlink"/>
            <w:rFonts w:asciiTheme="majorBidi" w:hAnsiTheme="majorBidi" w:cstheme="majorBidi"/>
            <w:sz w:val="20"/>
            <w:szCs w:val="20"/>
          </w:rPr>
          <w:t>https://doi.org/10.1016/S0304-405X(01)00038-1</w:t>
        </w:r>
      </w:hyperlink>
    </w:p>
    <w:p w14:paraId="4A14078F" w14:textId="77777777" w:rsidR="001E6B1A" w:rsidRPr="00735D4F" w:rsidRDefault="001E6B1A" w:rsidP="001E6B1A">
      <w:pPr>
        <w:spacing w:line="360" w:lineRule="auto"/>
        <w:ind w:left="1077" w:hanging="720"/>
        <w:contextualSpacing/>
        <w:rPr>
          <w:rFonts w:asciiTheme="majorBidi" w:hAnsiTheme="majorBidi" w:cstheme="majorBidi"/>
          <w:sz w:val="20"/>
          <w:szCs w:val="20"/>
          <w:lang w:val="en-NG"/>
        </w:rPr>
      </w:pPr>
      <w:r w:rsidRPr="00735D4F">
        <w:rPr>
          <w:rFonts w:asciiTheme="majorBidi" w:hAnsiTheme="majorBidi" w:cstheme="majorBidi"/>
          <w:sz w:val="20"/>
          <w:szCs w:val="20"/>
          <w:lang w:val="en-NG"/>
        </w:rPr>
        <w:t xml:space="preserve">Farouk, M. A., Fatah, L. a. A., Shehu, T. M., &amp; Aliyu, A. A. (2022). Ownership Structure, Financial Performance and Dividend Payout Ratio of Listed Commercial Banks </w:t>
      </w:r>
      <w:proofErr w:type="gramStart"/>
      <w:r w:rsidRPr="00735D4F">
        <w:rPr>
          <w:rFonts w:asciiTheme="majorBidi" w:hAnsiTheme="majorBidi" w:cstheme="majorBidi"/>
          <w:sz w:val="20"/>
          <w:szCs w:val="20"/>
          <w:lang w:val="en-NG"/>
        </w:rPr>
        <w:t>In</w:t>
      </w:r>
      <w:proofErr w:type="gramEnd"/>
      <w:r w:rsidRPr="00735D4F">
        <w:rPr>
          <w:rFonts w:asciiTheme="majorBidi" w:hAnsiTheme="majorBidi" w:cstheme="majorBidi"/>
          <w:sz w:val="20"/>
          <w:szCs w:val="20"/>
          <w:lang w:val="en-NG"/>
        </w:rPr>
        <w:t xml:space="preserve"> Nigeria. </w:t>
      </w:r>
      <w:r w:rsidRPr="00735D4F">
        <w:rPr>
          <w:rFonts w:asciiTheme="majorBidi" w:hAnsiTheme="majorBidi" w:cstheme="majorBidi"/>
          <w:i/>
          <w:iCs/>
          <w:sz w:val="20"/>
          <w:szCs w:val="20"/>
          <w:lang w:val="en-NG"/>
        </w:rPr>
        <w:t>Indo-Asian Journal of Finance and Accounting</w:t>
      </w:r>
      <w:r w:rsidRPr="00735D4F">
        <w:rPr>
          <w:rFonts w:asciiTheme="majorBidi" w:hAnsiTheme="majorBidi" w:cstheme="majorBidi"/>
          <w:sz w:val="20"/>
          <w:szCs w:val="20"/>
          <w:lang w:val="en-NG"/>
        </w:rPr>
        <w:t xml:space="preserve">, </w:t>
      </w:r>
      <w:r w:rsidRPr="00735D4F">
        <w:rPr>
          <w:rFonts w:asciiTheme="majorBidi" w:hAnsiTheme="majorBidi" w:cstheme="majorBidi"/>
          <w:i/>
          <w:iCs/>
          <w:sz w:val="20"/>
          <w:szCs w:val="20"/>
          <w:lang w:val="en-NG"/>
        </w:rPr>
        <w:t>3</w:t>
      </w:r>
      <w:r w:rsidRPr="00735D4F">
        <w:rPr>
          <w:rFonts w:asciiTheme="majorBidi" w:hAnsiTheme="majorBidi" w:cstheme="majorBidi"/>
          <w:sz w:val="20"/>
          <w:szCs w:val="20"/>
          <w:lang w:val="en-NG"/>
        </w:rPr>
        <w:t xml:space="preserve">(1), 1–17. </w:t>
      </w:r>
      <w:hyperlink r:id="rId29" w:history="1">
        <w:r w:rsidRPr="00735D4F">
          <w:rPr>
            <w:rStyle w:val="Hyperlink"/>
            <w:rFonts w:asciiTheme="majorBidi" w:hAnsiTheme="majorBidi" w:cstheme="majorBidi"/>
            <w:sz w:val="20"/>
            <w:szCs w:val="20"/>
            <w:lang w:val="en-NG"/>
          </w:rPr>
          <w:t>https://doi.org/10.47509/iajfa.2022.v03i01.01</w:t>
        </w:r>
      </w:hyperlink>
      <w:r w:rsidRPr="00735D4F">
        <w:rPr>
          <w:rFonts w:asciiTheme="majorBidi" w:hAnsiTheme="majorBidi" w:cstheme="majorBidi"/>
          <w:sz w:val="20"/>
          <w:szCs w:val="20"/>
          <w:lang w:val="en-NG"/>
        </w:rPr>
        <w:t xml:space="preserve"> </w:t>
      </w:r>
    </w:p>
    <w:p w14:paraId="7D72C479"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lang w:val="pt-BR"/>
        </w:rPr>
        <w:t xml:space="preserve">Gujarati, D. N., &amp; Porter, D. C. (2009). </w:t>
      </w:r>
      <w:r w:rsidRPr="00735D4F">
        <w:rPr>
          <w:rFonts w:asciiTheme="majorBidi" w:hAnsiTheme="majorBidi" w:cstheme="majorBidi"/>
          <w:i/>
          <w:iCs/>
          <w:sz w:val="20"/>
          <w:szCs w:val="20"/>
        </w:rPr>
        <w:t>Basic econometrics</w:t>
      </w:r>
      <w:r w:rsidRPr="00735D4F">
        <w:rPr>
          <w:rFonts w:asciiTheme="majorBidi" w:hAnsiTheme="majorBidi" w:cstheme="majorBidi"/>
          <w:sz w:val="20"/>
          <w:szCs w:val="20"/>
        </w:rPr>
        <w:t xml:space="preserve"> (5th ed.). McGraw-Hill/Irwin.</w:t>
      </w:r>
    </w:p>
    <w:p w14:paraId="36E859C2"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 xml:space="preserve">Hair, J. F., Black, W. C., Babin, B. J., &amp; Anderson, R. E. (2010). </w:t>
      </w:r>
      <w:r w:rsidRPr="00735D4F">
        <w:rPr>
          <w:rFonts w:asciiTheme="majorBidi" w:hAnsiTheme="majorBidi" w:cstheme="majorBidi"/>
          <w:i/>
          <w:iCs/>
          <w:sz w:val="20"/>
          <w:szCs w:val="20"/>
        </w:rPr>
        <w:t>Multivariate data analysis</w:t>
      </w:r>
      <w:r w:rsidRPr="00735D4F">
        <w:rPr>
          <w:rFonts w:asciiTheme="majorBidi" w:hAnsiTheme="majorBidi" w:cstheme="majorBidi"/>
          <w:sz w:val="20"/>
          <w:szCs w:val="20"/>
        </w:rPr>
        <w:t xml:space="preserve"> (7th ed.). Pearson.</w:t>
      </w:r>
    </w:p>
    <w:p w14:paraId="0AC82E70" w14:textId="77777777" w:rsidR="001E6B1A" w:rsidRPr="00735D4F" w:rsidRDefault="001E6B1A" w:rsidP="001E6B1A">
      <w:pPr>
        <w:spacing w:line="360" w:lineRule="auto"/>
        <w:ind w:left="1077" w:hanging="720"/>
        <w:contextualSpacing/>
      </w:pPr>
      <w:r w:rsidRPr="00735D4F">
        <w:rPr>
          <w:rFonts w:asciiTheme="majorBidi" w:hAnsiTheme="majorBidi" w:cstheme="majorBidi"/>
          <w:sz w:val="20"/>
          <w:szCs w:val="20"/>
        </w:rPr>
        <w:t>Hong, N. T. H., &amp; Linh, T. K. (2022). Institutional investors, corporate governance and firm performance in an emerging market: Evidence from Vietnam. </w:t>
      </w:r>
      <w:r w:rsidRPr="00735D4F">
        <w:rPr>
          <w:rFonts w:asciiTheme="majorBidi" w:hAnsiTheme="majorBidi" w:cstheme="majorBidi"/>
          <w:i/>
          <w:iCs/>
          <w:sz w:val="20"/>
          <w:szCs w:val="20"/>
        </w:rPr>
        <w:t>Cogent Economics &amp; Finance</w:t>
      </w:r>
      <w:r w:rsidRPr="00735D4F">
        <w:rPr>
          <w:rFonts w:asciiTheme="majorBidi" w:hAnsiTheme="majorBidi" w:cstheme="majorBidi"/>
          <w:sz w:val="20"/>
          <w:szCs w:val="20"/>
        </w:rPr>
        <w:t>, 11(1), 2159735. </w:t>
      </w:r>
      <w:hyperlink r:id="rId30" w:tgtFrame="_blank" w:history="1">
        <w:r w:rsidRPr="00735D4F">
          <w:rPr>
            <w:rStyle w:val="Hyperlink"/>
            <w:rFonts w:asciiTheme="majorBidi" w:hAnsiTheme="majorBidi" w:cstheme="majorBidi"/>
            <w:sz w:val="20"/>
            <w:szCs w:val="20"/>
          </w:rPr>
          <w:t>https://doi.org/10.1080/23322039.2022.2159735</w:t>
        </w:r>
      </w:hyperlink>
    </w:p>
    <w:p w14:paraId="3CAA32B0"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Idris, S. (2023). Foreign Ownership and Dividend Pay-Out of Listed Consumer Goods Firms in Nigeria: The Mediating Role of Profitability. </w:t>
      </w:r>
      <w:r w:rsidRPr="00735D4F">
        <w:rPr>
          <w:rFonts w:asciiTheme="majorBidi" w:hAnsiTheme="majorBidi" w:cstheme="majorBidi"/>
          <w:i/>
          <w:iCs/>
          <w:sz w:val="20"/>
          <w:szCs w:val="20"/>
        </w:rPr>
        <w:t>African Banking and Finance Review Journal</w:t>
      </w:r>
      <w:r w:rsidRPr="00735D4F">
        <w:rPr>
          <w:rFonts w:asciiTheme="majorBidi" w:hAnsiTheme="majorBidi" w:cstheme="majorBidi"/>
          <w:sz w:val="20"/>
          <w:szCs w:val="20"/>
        </w:rPr>
        <w:t>, </w:t>
      </w:r>
      <w:r w:rsidRPr="00735D4F">
        <w:rPr>
          <w:rFonts w:asciiTheme="majorBidi" w:hAnsiTheme="majorBidi" w:cstheme="majorBidi"/>
          <w:i/>
          <w:iCs/>
          <w:sz w:val="20"/>
          <w:szCs w:val="20"/>
        </w:rPr>
        <w:t>6</w:t>
      </w:r>
      <w:r w:rsidRPr="00735D4F">
        <w:rPr>
          <w:rFonts w:asciiTheme="majorBidi" w:hAnsiTheme="majorBidi" w:cstheme="majorBidi"/>
          <w:sz w:val="20"/>
          <w:szCs w:val="20"/>
        </w:rPr>
        <w:t>(6), 121-141.</w:t>
      </w:r>
    </w:p>
    <w:p w14:paraId="68676606"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 xml:space="preserve">Ismail, A. F., &amp; </w:t>
      </w:r>
      <w:proofErr w:type="spellStart"/>
      <w:r w:rsidRPr="00735D4F">
        <w:rPr>
          <w:rFonts w:asciiTheme="majorBidi" w:hAnsiTheme="majorBidi" w:cstheme="majorBidi"/>
          <w:sz w:val="20"/>
          <w:szCs w:val="20"/>
        </w:rPr>
        <w:t>Anridho</w:t>
      </w:r>
      <w:proofErr w:type="spellEnd"/>
      <w:r w:rsidRPr="00735D4F">
        <w:rPr>
          <w:rFonts w:asciiTheme="majorBidi" w:hAnsiTheme="majorBidi" w:cstheme="majorBidi"/>
          <w:sz w:val="20"/>
          <w:szCs w:val="20"/>
        </w:rPr>
        <w:t xml:space="preserve">, N. (2024). The managerial and government ownership effect on dividend policy: The moderating role of investment opportunities. </w:t>
      </w:r>
      <w:proofErr w:type="spellStart"/>
      <w:r w:rsidRPr="00735D4F">
        <w:rPr>
          <w:rFonts w:asciiTheme="majorBidi" w:hAnsiTheme="majorBidi" w:cstheme="majorBidi"/>
          <w:i/>
          <w:iCs/>
          <w:sz w:val="20"/>
          <w:szCs w:val="20"/>
        </w:rPr>
        <w:t>Jurnal</w:t>
      </w:r>
      <w:proofErr w:type="spellEnd"/>
      <w:r w:rsidRPr="00735D4F">
        <w:rPr>
          <w:rFonts w:asciiTheme="majorBidi" w:hAnsiTheme="majorBidi" w:cstheme="majorBidi"/>
          <w:i/>
          <w:iCs/>
          <w:sz w:val="20"/>
          <w:szCs w:val="20"/>
        </w:rPr>
        <w:t xml:space="preserve"> </w:t>
      </w:r>
      <w:proofErr w:type="spellStart"/>
      <w:r w:rsidRPr="00735D4F">
        <w:rPr>
          <w:rFonts w:asciiTheme="majorBidi" w:hAnsiTheme="majorBidi" w:cstheme="majorBidi"/>
          <w:i/>
          <w:iCs/>
          <w:sz w:val="20"/>
          <w:szCs w:val="20"/>
        </w:rPr>
        <w:t>Dinamika</w:t>
      </w:r>
      <w:proofErr w:type="spellEnd"/>
      <w:r w:rsidRPr="00735D4F">
        <w:rPr>
          <w:rFonts w:asciiTheme="majorBidi" w:hAnsiTheme="majorBidi" w:cstheme="majorBidi"/>
          <w:i/>
          <w:iCs/>
          <w:sz w:val="20"/>
          <w:szCs w:val="20"/>
        </w:rPr>
        <w:t xml:space="preserve"> Akuntansi, 16</w:t>
      </w:r>
      <w:r w:rsidRPr="00735D4F">
        <w:rPr>
          <w:rFonts w:asciiTheme="majorBidi" w:hAnsiTheme="majorBidi" w:cstheme="majorBidi"/>
          <w:sz w:val="20"/>
          <w:szCs w:val="20"/>
        </w:rPr>
        <w:t xml:space="preserve">(2), 187–201. </w:t>
      </w:r>
      <w:hyperlink r:id="rId31" w:tgtFrame="_new" w:history="1">
        <w:r w:rsidRPr="00735D4F">
          <w:rPr>
            <w:rStyle w:val="Hyperlink"/>
            <w:rFonts w:asciiTheme="majorBidi" w:hAnsiTheme="majorBidi" w:cstheme="majorBidi"/>
            <w:sz w:val="20"/>
            <w:szCs w:val="20"/>
          </w:rPr>
          <w:t>https://doi.org/10.15294/jda.v16i2.6560</w:t>
        </w:r>
      </w:hyperlink>
    </w:p>
    <w:p w14:paraId="61C1D715" w14:textId="77777777" w:rsidR="001E6B1A" w:rsidRPr="00735D4F" w:rsidRDefault="001E6B1A" w:rsidP="001E6B1A">
      <w:pPr>
        <w:spacing w:line="360" w:lineRule="auto"/>
        <w:ind w:left="1077" w:hanging="720"/>
        <w:contextualSpacing/>
        <w:rPr>
          <w:rFonts w:asciiTheme="majorBidi" w:hAnsiTheme="majorBidi" w:cstheme="majorBidi"/>
          <w:sz w:val="20"/>
          <w:szCs w:val="20"/>
        </w:rPr>
      </w:pPr>
      <w:proofErr w:type="spellStart"/>
      <w:r w:rsidRPr="00735D4F">
        <w:rPr>
          <w:rFonts w:asciiTheme="majorBidi" w:hAnsiTheme="majorBidi" w:cstheme="majorBidi"/>
          <w:sz w:val="20"/>
          <w:szCs w:val="20"/>
        </w:rPr>
        <w:lastRenderedPageBreak/>
        <w:t>Januarsi</w:t>
      </w:r>
      <w:proofErr w:type="spellEnd"/>
      <w:r w:rsidRPr="00735D4F">
        <w:rPr>
          <w:rFonts w:asciiTheme="majorBidi" w:hAnsiTheme="majorBidi" w:cstheme="majorBidi"/>
          <w:sz w:val="20"/>
          <w:szCs w:val="20"/>
        </w:rPr>
        <w:t xml:space="preserve">, Y., &amp; Sanusi, F. (2024). Profitability and dividend policy: How does free cash flow explain this </w:t>
      </w:r>
      <w:proofErr w:type="gramStart"/>
      <w:r w:rsidRPr="00735D4F">
        <w:rPr>
          <w:rFonts w:asciiTheme="majorBidi" w:hAnsiTheme="majorBidi" w:cstheme="majorBidi"/>
          <w:sz w:val="20"/>
          <w:szCs w:val="20"/>
        </w:rPr>
        <w:t>relationship?.</w:t>
      </w:r>
      <w:proofErr w:type="gramEnd"/>
      <w:r w:rsidRPr="00735D4F">
        <w:rPr>
          <w:rFonts w:asciiTheme="majorBidi" w:hAnsiTheme="majorBidi" w:cstheme="majorBidi"/>
          <w:sz w:val="20"/>
          <w:szCs w:val="20"/>
        </w:rPr>
        <w:t> </w:t>
      </w:r>
      <w:proofErr w:type="spellStart"/>
      <w:r w:rsidRPr="00735D4F">
        <w:rPr>
          <w:rFonts w:asciiTheme="majorBidi" w:hAnsiTheme="majorBidi" w:cstheme="majorBidi"/>
          <w:i/>
          <w:iCs/>
          <w:sz w:val="20"/>
          <w:szCs w:val="20"/>
        </w:rPr>
        <w:t>Jurnal</w:t>
      </w:r>
      <w:proofErr w:type="spellEnd"/>
      <w:r w:rsidRPr="00735D4F">
        <w:rPr>
          <w:rFonts w:asciiTheme="majorBidi" w:hAnsiTheme="majorBidi" w:cstheme="majorBidi"/>
          <w:i/>
          <w:iCs/>
          <w:sz w:val="20"/>
          <w:szCs w:val="20"/>
        </w:rPr>
        <w:t xml:space="preserve"> </w:t>
      </w:r>
      <w:proofErr w:type="spellStart"/>
      <w:r w:rsidRPr="00735D4F">
        <w:rPr>
          <w:rFonts w:asciiTheme="majorBidi" w:hAnsiTheme="majorBidi" w:cstheme="majorBidi"/>
          <w:i/>
          <w:iCs/>
          <w:sz w:val="20"/>
          <w:szCs w:val="20"/>
        </w:rPr>
        <w:t>Siasat</w:t>
      </w:r>
      <w:proofErr w:type="spellEnd"/>
      <w:r w:rsidRPr="00735D4F">
        <w:rPr>
          <w:rFonts w:asciiTheme="majorBidi" w:hAnsiTheme="majorBidi" w:cstheme="majorBidi"/>
          <w:i/>
          <w:iCs/>
          <w:sz w:val="20"/>
          <w:szCs w:val="20"/>
        </w:rPr>
        <w:t xml:space="preserve"> </w:t>
      </w:r>
      <w:proofErr w:type="spellStart"/>
      <w:r w:rsidRPr="00735D4F">
        <w:rPr>
          <w:rFonts w:asciiTheme="majorBidi" w:hAnsiTheme="majorBidi" w:cstheme="majorBidi"/>
          <w:i/>
          <w:iCs/>
          <w:sz w:val="20"/>
          <w:szCs w:val="20"/>
        </w:rPr>
        <w:t>Bisnis</w:t>
      </w:r>
      <w:proofErr w:type="spellEnd"/>
      <w:r w:rsidRPr="00735D4F">
        <w:rPr>
          <w:rFonts w:asciiTheme="majorBidi" w:hAnsiTheme="majorBidi" w:cstheme="majorBidi"/>
          <w:sz w:val="20"/>
          <w:szCs w:val="20"/>
        </w:rPr>
        <w:t>, 56-70.</w:t>
      </w:r>
    </w:p>
    <w:p w14:paraId="646537D7" w14:textId="77777777" w:rsidR="001E6B1A" w:rsidRPr="00735D4F" w:rsidRDefault="001E6B1A" w:rsidP="001E6B1A">
      <w:pPr>
        <w:spacing w:line="360" w:lineRule="auto"/>
        <w:ind w:left="1077" w:hanging="720"/>
        <w:contextualSpacing/>
      </w:pPr>
      <w:r w:rsidRPr="00735D4F">
        <w:rPr>
          <w:rFonts w:asciiTheme="majorBidi" w:hAnsiTheme="majorBidi" w:cstheme="majorBidi"/>
          <w:sz w:val="20"/>
          <w:szCs w:val="20"/>
        </w:rPr>
        <w:t>Jensen, M. C., &amp; Meckling, W. H. (1976). Theory of the firm: Managerial behavior, agency costs and ownership structure. </w:t>
      </w:r>
      <w:r w:rsidRPr="00735D4F">
        <w:rPr>
          <w:rFonts w:asciiTheme="majorBidi" w:hAnsiTheme="majorBidi" w:cstheme="majorBidi"/>
          <w:i/>
          <w:iCs/>
          <w:sz w:val="20"/>
          <w:szCs w:val="20"/>
        </w:rPr>
        <w:t>Journal of Financial Economics</w:t>
      </w:r>
      <w:r w:rsidRPr="00735D4F">
        <w:rPr>
          <w:rFonts w:asciiTheme="majorBidi" w:hAnsiTheme="majorBidi" w:cstheme="majorBidi"/>
          <w:sz w:val="20"/>
          <w:szCs w:val="20"/>
        </w:rPr>
        <w:t>, 3(4), 305–360. </w:t>
      </w:r>
      <w:hyperlink r:id="rId32" w:tgtFrame="_blank" w:history="1">
        <w:r w:rsidRPr="00735D4F">
          <w:rPr>
            <w:rStyle w:val="Hyperlink"/>
            <w:rFonts w:asciiTheme="majorBidi" w:hAnsiTheme="majorBidi" w:cstheme="majorBidi"/>
            <w:sz w:val="20"/>
            <w:szCs w:val="20"/>
          </w:rPr>
          <w:t>https://doi.org/10.1016/0304-405X(76)90026-X</w:t>
        </w:r>
      </w:hyperlink>
    </w:p>
    <w:p w14:paraId="1A1C0C93"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173979">
        <w:rPr>
          <w:rFonts w:asciiTheme="majorBidi" w:hAnsiTheme="majorBidi" w:cstheme="majorBidi"/>
          <w:sz w:val="20"/>
          <w:szCs w:val="20"/>
          <w:lang w:val="pt-BR"/>
        </w:rPr>
        <w:t xml:space="preserve">Karim, A. K. A., Young, F. C. Y. F. C., Purnamasari, Y. F. P. Y. F., Febrianto, H. G. F. H. G., Zatira, D. Z. D., &amp; Fitriana, A. I. F. A. I. (2025). </w:t>
      </w:r>
      <w:r w:rsidRPr="00735D4F">
        <w:rPr>
          <w:rFonts w:asciiTheme="majorBidi" w:hAnsiTheme="majorBidi" w:cstheme="majorBidi"/>
          <w:sz w:val="20"/>
          <w:szCs w:val="20"/>
        </w:rPr>
        <w:t xml:space="preserve">The Moderating Effect of Profitability on Dividend Policy </w:t>
      </w:r>
      <w:proofErr w:type="gramStart"/>
      <w:r w:rsidRPr="00735D4F">
        <w:rPr>
          <w:rFonts w:asciiTheme="majorBidi" w:hAnsiTheme="majorBidi" w:cstheme="majorBidi"/>
          <w:sz w:val="20"/>
          <w:szCs w:val="20"/>
        </w:rPr>
        <w:t>In</w:t>
      </w:r>
      <w:proofErr w:type="gramEnd"/>
      <w:r w:rsidRPr="00735D4F">
        <w:rPr>
          <w:rFonts w:asciiTheme="majorBidi" w:hAnsiTheme="majorBidi" w:cstheme="majorBidi"/>
          <w:sz w:val="20"/>
          <w:szCs w:val="20"/>
        </w:rPr>
        <w:t xml:space="preserve"> Indonesian Infrastructure Companies. </w:t>
      </w:r>
      <w:r w:rsidRPr="00735D4F">
        <w:rPr>
          <w:rFonts w:asciiTheme="majorBidi" w:hAnsiTheme="majorBidi" w:cstheme="majorBidi"/>
          <w:i/>
          <w:iCs/>
          <w:sz w:val="20"/>
          <w:szCs w:val="20"/>
        </w:rPr>
        <w:t>JRAK</w:t>
      </w:r>
      <w:r w:rsidRPr="00735D4F">
        <w:rPr>
          <w:rFonts w:asciiTheme="majorBidi" w:hAnsiTheme="majorBidi" w:cstheme="majorBidi"/>
          <w:sz w:val="20"/>
          <w:szCs w:val="20"/>
        </w:rPr>
        <w:t xml:space="preserve">, </w:t>
      </w:r>
      <w:r w:rsidRPr="00735D4F">
        <w:rPr>
          <w:rFonts w:asciiTheme="majorBidi" w:hAnsiTheme="majorBidi" w:cstheme="majorBidi"/>
          <w:i/>
          <w:iCs/>
          <w:sz w:val="20"/>
          <w:szCs w:val="20"/>
        </w:rPr>
        <w:t>17</w:t>
      </w:r>
      <w:r w:rsidRPr="00735D4F">
        <w:rPr>
          <w:rFonts w:asciiTheme="majorBidi" w:hAnsiTheme="majorBidi" w:cstheme="majorBidi"/>
          <w:sz w:val="20"/>
          <w:szCs w:val="20"/>
        </w:rPr>
        <w:t xml:space="preserve">(2), 159–174. </w:t>
      </w:r>
      <w:hyperlink r:id="rId33" w:history="1">
        <w:r w:rsidRPr="00735D4F">
          <w:rPr>
            <w:rStyle w:val="Hyperlink"/>
            <w:rFonts w:asciiTheme="majorBidi" w:hAnsiTheme="majorBidi" w:cstheme="majorBidi"/>
            <w:sz w:val="20"/>
            <w:szCs w:val="20"/>
          </w:rPr>
          <w:t>Https://Doi.Org/10.23969/Jrak.V17i2.22566</w:t>
        </w:r>
      </w:hyperlink>
    </w:p>
    <w:p w14:paraId="411B123C" w14:textId="77777777" w:rsidR="001E6B1A" w:rsidRPr="00735D4F" w:rsidRDefault="001E6B1A" w:rsidP="001E6B1A">
      <w:pPr>
        <w:spacing w:line="360" w:lineRule="auto"/>
        <w:ind w:left="1077" w:hanging="720"/>
        <w:contextualSpacing/>
        <w:rPr>
          <w:rFonts w:asciiTheme="majorBidi" w:hAnsiTheme="majorBidi" w:cstheme="majorBidi"/>
          <w:sz w:val="20"/>
          <w:szCs w:val="20"/>
          <w:lang w:val="en-NG"/>
        </w:rPr>
      </w:pPr>
      <w:proofErr w:type="spellStart"/>
      <w:r w:rsidRPr="00E06967">
        <w:rPr>
          <w:rFonts w:asciiTheme="majorBidi" w:hAnsiTheme="majorBidi" w:cstheme="majorBidi"/>
          <w:sz w:val="20"/>
          <w:szCs w:val="20"/>
          <w:lang w:val="en-NG"/>
        </w:rPr>
        <w:t>Koenker</w:t>
      </w:r>
      <w:proofErr w:type="spellEnd"/>
      <w:r w:rsidRPr="00E06967">
        <w:rPr>
          <w:rFonts w:asciiTheme="majorBidi" w:hAnsiTheme="majorBidi" w:cstheme="majorBidi"/>
          <w:sz w:val="20"/>
          <w:szCs w:val="20"/>
          <w:lang w:val="en-NG"/>
        </w:rPr>
        <w:t xml:space="preserve">, R., &amp; </w:t>
      </w:r>
      <w:proofErr w:type="spellStart"/>
      <w:r w:rsidRPr="00E06967">
        <w:rPr>
          <w:rFonts w:asciiTheme="majorBidi" w:hAnsiTheme="majorBidi" w:cstheme="majorBidi"/>
          <w:sz w:val="20"/>
          <w:szCs w:val="20"/>
          <w:lang w:val="en-NG"/>
        </w:rPr>
        <w:t>Hallock</w:t>
      </w:r>
      <w:proofErr w:type="spellEnd"/>
      <w:r w:rsidRPr="00E06967">
        <w:rPr>
          <w:rFonts w:asciiTheme="majorBidi" w:hAnsiTheme="majorBidi" w:cstheme="majorBidi"/>
          <w:sz w:val="20"/>
          <w:szCs w:val="20"/>
          <w:lang w:val="en-NG"/>
        </w:rPr>
        <w:t xml:space="preserve">, K. F. (2001). Quantile regression. </w:t>
      </w:r>
      <w:r w:rsidRPr="00E06967">
        <w:rPr>
          <w:rFonts w:asciiTheme="majorBidi" w:hAnsiTheme="majorBidi" w:cstheme="majorBidi"/>
          <w:i/>
          <w:iCs/>
          <w:sz w:val="20"/>
          <w:szCs w:val="20"/>
          <w:lang w:val="en-NG"/>
        </w:rPr>
        <w:t>The Journal of Economic Perspectives</w:t>
      </w:r>
      <w:r w:rsidRPr="00E06967">
        <w:rPr>
          <w:rFonts w:asciiTheme="majorBidi" w:hAnsiTheme="majorBidi" w:cstheme="majorBidi"/>
          <w:sz w:val="20"/>
          <w:szCs w:val="20"/>
          <w:lang w:val="en-NG"/>
        </w:rPr>
        <w:t xml:space="preserve">, </w:t>
      </w:r>
      <w:r w:rsidRPr="00E06967">
        <w:rPr>
          <w:rFonts w:asciiTheme="majorBidi" w:hAnsiTheme="majorBidi" w:cstheme="majorBidi"/>
          <w:i/>
          <w:iCs/>
          <w:sz w:val="20"/>
          <w:szCs w:val="20"/>
          <w:lang w:val="en-NG"/>
        </w:rPr>
        <w:t>15</w:t>
      </w:r>
      <w:r w:rsidRPr="00E06967">
        <w:rPr>
          <w:rFonts w:asciiTheme="majorBidi" w:hAnsiTheme="majorBidi" w:cstheme="majorBidi"/>
          <w:sz w:val="20"/>
          <w:szCs w:val="20"/>
          <w:lang w:val="en-NG"/>
        </w:rPr>
        <w:t xml:space="preserve">(4), 143–156. </w:t>
      </w:r>
      <w:hyperlink r:id="rId34" w:history="1">
        <w:r w:rsidRPr="00E06967">
          <w:rPr>
            <w:rStyle w:val="Hyperlink"/>
            <w:rFonts w:asciiTheme="majorBidi" w:hAnsiTheme="majorBidi" w:cstheme="majorBidi"/>
            <w:sz w:val="20"/>
            <w:szCs w:val="20"/>
            <w:lang w:val="en-NG"/>
          </w:rPr>
          <w:t>https://doi.org/10.1257/jep.15.4.143</w:t>
        </w:r>
      </w:hyperlink>
      <w:r w:rsidRPr="00735D4F">
        <w:rPr>
          <w:rFonts w:asciiTheme="majorBidi" w:hAnsiTheme="majorBidi" w:cstheme="majorBidi"/>
          <w:sz w:val="20"/>
          <w:szCs w:val="20"/>
          <w:lang w:val="en-NG"/>
        </w:rPr>
        <w:t xml:space="preserve"> </w:t>
      </w:r>
    </w:p>
    <w:p w14:paraId="46974F6E" w14:textId="77777777" w:rsidR="001E6B1A" w:rsidRPr="00735D4F" w:rsidRDefault="001E6B1A" w:rsidP="001E6B1A">
      <w:pPr>
        <w:spacing w:line="360" w:lineRule="auto"/>
        <w:ind w:left="1077" w:hanging="720"/>
        <w:contextualSpacing/>
      </w:pPr>
      <w:r w:rsidRPr="00735D4F">
        <w:rPr>
          <w:rFonts w:asciiTheme="majorBidi" w:hAnsiTheme="majorBidi" w:cstheme="majorBidi"/>
          <w:sz w:val="20"/>
          <w:szCs w:val="20"/>
          <w:lang w:val="en-GB"/>
        </w:rPr>
        <w:t xml:space="preserve">La Porta, R., Lopez-de-Silanes, F., Shleifer, A., &amp; </w:t>
      </w:r>
      <w:proofErr w:type="spellStart"/>
      <w:r w:rsidRPr="00735D4F">
        <w:rPr>
          <w:rFonts w:asciiTheme="majorBidi" w:hAnsiTheme="majorBidi" w:cstheme="majorBidi"/>
          <w:sz w:val="20"/>
          <w:szCs w:val="20"/>
          <w:lang w:val="en-GB"/>
        </w:rPr>
        <w:t>Vishny</w:t>
      </w:r>
      <w:proofErr w:type="spellEnd"/>
      <w:r w:rsidRPr="00735D4F">
        <w:rPr>
          <w:rFonts w:asciiTheme="majorBidi" w:hAnsiTheme="majorBidi" w:cstheme="majorBidi"/>
          <w:sz w:val="20"/>
          <w:szCs w:val="20"/>
          <w:lang w:val="en-GB"/>
        </w:rPr>
        <w:t xml:space="preserve">, R. W. (2000). </w:t>
      </w:r>
      <w:r w:rsidRPr="00735D4F">
        <w:rPr>
          <w:rFonts w:asciiTheme="majorBidi" w:hAnsiTheme="majorBidi" w:cstheme="majorBidi"/>
          <w:sz w:val="20"/>
          <w:szCs w:val="20"/>
        </w:rPr>
        <w:t>Agency problems and dividend policies around the world. </w:t>
      </w:r>
      <w:r w:rsidRPr="00735D4F">
        <w:rPr>
          <w:rFonts w:asciiTheme="majorBidi" w:hAnsiTheme="majorBidi" w:cstheme="majorBidi"/>
          <w:i/>
          <w:iCs/>
          <w:sz w:val="20"/>
          <w:szCs w:val="20"/>
        </w:rPr>
        <w:t>Journal of Finance</w:t>
      </w:r>
      <w:r w:rsidRPr="00735D4F">
        <w:rPr>
          <w:rFonts w:asciiTheme="majorBidi" w:hAnsiTheme="majorBidi" w:cstheme="majorBidi"/>
          <w:sz w:val="20"/>
          <w:szCs w:val="20"/>
        </w:rPr>
        <w:t>, 55(1), 1–33. </w:t>
      </w:r>
      <w:hyperlink r:id="rId35" w:tgtFrame="_blank" w:history="1">
        <w:r w:rsidRPr="00735D4F">
          <w:rPr>
            <w:rStyle w:val="Hyperlink"/>
            <w:rFonts w:asciiTheme="majorBidi" w:hAnsiTheme="majorBidi" w:cstheme="majorBidi"/>
            <w:sz w:val="20"/>
            <w:szCs w:val="20"/>
            <w:lang w:val="en-GB"/>
          </w:rPr>
          <w:t>https://doi.org/10.1111/0022-1082.00199</w:t>
        </w:r>
      </w:hyperlink>
    </w:p>
    <w:p w14:paraId="35CEFB50" w14:textId="77777777" w:rsidR="001E6B1A" w:rsidRPr="00735D4F" w:rsidRDefault="001E6B1A" w:rsidP="001E6B1A">
      <w:pPr>
        <w:spacing w:line="360" w:lineRule="auto"/>
        <w:ind w:left="1077" w:hanging="720"/>
        <w:contextualSpacing/>
        <w:rPr>
          <w:rFonts w:asciiTheme="majorBidi" w:hAnsiTheme="majorBidi" w:cstheme="majorBidi"/>
          <w:sz w:val="20"/>
          <w:szCs w:val="20"/>
        </w:rPr>
      </w:pPr>
      <w:proofErr w:type="spellStart"/>
      <w:r w:rsidRPr="00735D4F">
        <w:rPr>
          <w:rFonts w:asciiTheme="majorBidi" w:hAnsiTheme="majorBidi" w:cstheme="majorBidi"/>
          <w:sz w:val="20"/>
          <w:szCs w:val="20"/>
        </w:rPr>
        <w:t>Loncan</w:t>
      </w:r>
      <w:proofErr w:type="spellEnd"/>
      <w:r w:rsidRPr="00735D4F">
        <w:rPr>
          <w:rFonts w:asciiTheme="majorBidi" w:hAnsiTheme="majorBidi" w:cstheme="majorBidi"/>
          <w:sz w:val="20"/>
          <w:szCs w:val="20"/>
        </w:rPr>
        <w:t>, T. (2020). Foreign institutional ownership and corporate cash holdings: evidence from emerging economies. International Review of Financial Analysis, 71, 101295. https://doi.org/10.1016/j.irfa.2018.12.003</w:t>
      </w:r>
    </w:p>
    <w:p w14:paraId="608C096C"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lang w:val="pt-BR"/>
        </w:rPr>
        <w:t xml:space="preserve">Lubis, R. K., Darmadi, S., Pratiwi, T. A., Windara, P. F., Lutvian, S., &amp; Firas, R. (2025). </w:t>
      </w:r>
      <w:r w:rsidRPr="00735D4F">
        <w:rPr>
          <w:rFonts w:asciiTheme="majorBidi" w:hAnsiTheme="majorBidi" w:cstheme="majorBidi"/>
          <w:sz w:val="20"/>
          <w:szCs w:val="20"/>
        </w:rPr>
        <w:t>Managerial ownership as a corporate governance mechanism in shaping leverage decisions: Insights from Indonesia. </w:t>
      </w:r>
      <w:r w:rsidRPr="00735D4F">
        <w:rPr>
          <w:rFonts w:asciiTheme="majorBidi" w:hAnsiTheme="majorBidi" w:cstheme="majorBidi"/>
          <w:i/>
          <w:iCs/>
          <w:sz w:val="20"/>
          <w:szCs w:val="20"/>
          <w:lang w:val="en-GB"/>
        </w:rPr>
        <w:t>Cogent Business &amp; Management</w:t>
      </w:r>
      <w:r w:rsidRPr="00735D4F">
        <w:rPr>
          <w:rFonts w:asciiTheme="majorBidi" w:hAnsiTheme="majorBidi" w:cstheme="majorBidi"/>
          <w:sz w:val="20"/>
          <w:szCs w:val="20"/>
          <w:lang w:val="en-GB"/>
        </w:rPr>
        <w:t>, 12(1). </w:t>
      </w:r>
      <w:hyperlink r:id="rId36" w:tgtFrame="_blank" w:history="1">
        <w:r w:rsidRPr="00735D4F">
          <w:rPr>
            <w:rStyle w:val="Hyperlink"/>
            <w:rFonts w:asciiTheme="majorBidi" w:hAnsiTheme="majorBidi" w:cstheme="majorBidi"/>
            <w:sz w:val="20"/>
            <w:szCs w:val="20"/>
            <w:lang w:val="en-GB"/>
          </w:rPr>
          <w:t>https://doi.org/10.1080/23311975.2025.2473043</w:t>
        </w:r>
      </w:hyperlink>
    </w:p>
    <w:p w14:paraId="77525A82"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 xml:space="preserve">Miller, M. H., &amp; Rock, K. (1985). Dividend policy under asymmetric information. </w:t>
      </w:r>
      <w:r w:rsidRPr="00735D4F">
        <w:rPr>
          <w:rFonts w:asciiTheme="majorBidi" w:hAnsiTheme="majorBidi" w:cstheme="majorBidi"/>
          <w:i/>
          <w:iCs/>
          <w:sz w:val="20"/>
          <w:szCs w:val="20"/>
        </w:rPr>
        <w:t>The Journal of Finance</w:t>
      </w:r>
      <w:r w:rsidRPr="00735D4F">
        <w:rPr>
          <w:rFonts w:asciiTheme="majorBidi" w:hAnsiTheme="majorBidi" w:cstheme="majorBidi"/>
          <w:sz w:val="20"/>
          <w:szCs w:val="20"/>
        </w:rPr>
        <w:t xml:space="preserve">, </w:t>
      </w:r>
      <w:r w:rsidRPr="00735D4F">
        <w:rPr>
          <w:rFonts w:asciiTheme="majorBidi" w:hAnsiTheme="majorBidi" w:cstheme="majorBidi"/>
          <w:i/>
          <w:iCs/>
          <w:sz w:val="20"/>
          <w:szCs w:val="20"/>
        </w:rPr>
        <w:t>40</w:t>
      </w:r>
      <w:r w:rsidRPr="00735D4F">
        <w:rPr>
          <w:rFonts w:asciiTheme="majorBidi" w:hAnsiTheme="majorBidi" w:cstheme="majorBidi"/>
          <w:sz w:val="20"/>
          <w:szCs w:val="20"/>
        </w:rPr>
        <w:t xml:space="preserve">(4), 1031–1051. </w:t>
      </w:r>
      <w:hyperlink r:id="rId37" w:history="1">
        <w:r w:rsidRPr="00735D4F">
          <w:rPr>
            <w:rStyle w:val="Hyperlink"/>
            <w:rFonts w:asciiTheme="majorBidi" w:hAnsiTheme="majorBidi" w:cstheme="majorBidi"/>
            <w:sz w:val="20"/>
            <w:szCs w:val="20"/>
          </w:rPr>
          <w:t>https://doi.org/10.1111/j.1540-6261.1985.tb02362.x</w:t>
        </w:r>
      </w:hyperlink>
      <w:r w:rsidRPr="00735D4F">
        <w:rPr>
          <w:rFonts w:asciiTheme="majorBidi" w:hAnsiTheme="majorBidi" w:cstheme="majorBidi"/>
          <w:sz w:val="20"/>
          <w:szCs w:val="20"/>
        </w:rPr>
        <w:t xml:space="preserve"> </w:t>
      </w:r>
    </w:p>
    <w:p w14:paraId="2D672B1C"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 xml:space="preserve">Morck, R., Shleifer, A., &amp; </w:t>
      </w:r>
      <w:proofErr w:type="spellStart"/>
      <w:r w:rsidRPr="00735D4F">
        <w:rPr>
          <w:rFonts w:asciiTheme="majorBidi" w:hAnsiTheme="majorBidi" w:cstheme="majorBidi"/>
          <w:sz w:val="20"/>
          <w:szCs w:val="20"/>
        </w:rPr>
        <w:t>Vishny</w:t>
      </w:r>
      <w:proofErr w:type="spellEnd"/>
      <w:r w:rsidRPr="00735D4F">
        <w:rPr>
          <w:rFonts w:asciiTheme="majorBidi" w:hAnsiTheme="majorBidi" w:cstheme="majorBidi"/>
          <w:sz w:val="20"/>
          <w:szCs w:val="20"/>
        </w:rPr>
        <w:t xml:space="preserve">, R. W. (1988). Management ownership and market valuation: An empirical analysis. </w:t>
      </w:r>
      <w:r w:rsidRPr="00735D4F">
        <w:rPr>
          <w:rFonts w:asciiTheme="majorBidi" w:hAnsiTheme="majorBidi" w:cstheme="majorBidi"/>
          <w:i/>
          <w:iCs/>
          <w:sz w:val="20"/>
          <w:szCs w:val="20"/>
        </w:rPr>
        <w:t>Journal of Financial Economics, 20</w:t>
      </w:r>
      <w:r w:rsidRPr="00735D4F">
        <w:rPr>
          <w:rFonts w:asciiTheme="majorBidi" w:hAnsiTheme="majorBidi" w:cstheme="majorBidi"/>
          <w:sz w:val="20"/>
          <w:szCs w:val="20"/>
        </w:rPr>
        <w:t>, 293–315. https://doi.org/10.1016/0304-405X(88)90048-7</w:t>
      </w:r>
    </w:p>
    <w:p w14:paraId="69ED8AA4"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lang w:val="en-GB"/>
        </w:rPr>
        <w:t xml:space="preserve">Munir, Q., Akram, B., &amp; Abbas, S. A. (2024). </w:t>
      </w:r>
      <w:r w:rsidRPr="00735D4F">
        <w:rPr>
          <w:rFonts w:asciiTheme="majorBidi" w:hAnsiTheme="majorBidi" w:cstheme="majorBidi"/>
          <w:sz w:val="20"/>
          <w:szCs w:val="20"/>
        </w:rPr>
        <w:t>Understanding stock price dynamics with dividend-related metrics and financial indicators in Pakistan's non-financial sectors. </w:t>
      </w:r>
      <w:r w:rsidRPr="00735D4F">
        <w:rPr>
          <w:rFonts w:asciiTheme="majorBidi" w:hAnsiTheme="majorBidi" w:cstheme="majorBidi"/>
          <w:i/>
          <w:iCs/>
          <w:sz w:val="20"/>
          <w:szCs w:val="20"/>
        </w:rPr>
        <w:t>Journal of Business and Economic Options</w:t>
      </w:r>
      <w:r w:rsidRPr="00735D4F">
        <w:rPr>
          <w:rFonts w:asciiTheme="majorBidi" w:hAnsiTheme="majorBidi" w:cstheme="majorBidi"/>
          <w:sz w:val="20"/>
          <w:szCs w:val="20"/>
        </w:rPr>
        <w:t>, 7(1), 1–9.</w:t>
      </w:r>
    </w:p>
    <w:p w14:paraId="58EC9BA1"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 xml:space="preserve">Nel, G., </w:t>
      </w:r>
      <w:proofErr w:type="spellStart"/>
      <w:r w:rsidRPr="00735D4F">
        <w:rPr>
          <w:rFonts w:asciiTheme="majorBidi" w:hAnsiTheme="majorBidi" w:cstheme="majorBidi"/>
          <w:sz w:val="20"/>
          <w:szCs w:val="20"/>
        </w:rPr>
        <w:t>Jachi</w:t>
      </w:r>
      <w:proofErr w:type="spellEnd"/>
      <w:r w:rsidRPr="00735D4F">
        <w:rPr>
          <w:rFonts w:asciiTheme="majorBidi" w:hAnsiTheme="majorBidi" w:cstheme="majorBidi"/>
          <w:sz w:val="20"/>
          <w:szCs w:val="20"/>
        </w:rPr>
        <w:t>, M., &amp; Scholtz, H. (2024). The impact of institutional and managerial ownership on the pay-performance relationship: Evidence from JSE-listed firms. </w:t>
      </w:r>
      <w:r w:rsidRPr="00735D4F">
        <w:rPr>
          <w:rFonts w:asciiTheme="majorBidi" w:hAnsiTheme="majorBidi" w:cstheme="majorBidi"/>
          <w:i/>
          <w:iCs/>
          <w:sz w:val="20"/>
          <w:szCs w:val="20"/>
        </w:rPr>
        <w:t>Journal of Management &amp; Governance</w:t>
      </w:r>
      <w:r w:rsidRPr="00735D4F">
        <w:rPr>
          <w:rFonts w:asciiTheme="majorBidi" w:hAnsiTheme="majorBidi" w:cstheme="majorBidi"/>
          <w:sz w:val="20"/>
          <w:szCs w:val="20"/>
        </w:rPr>
        <w:t>. Advance online publication. </w:t>
      </w:r>
      <w:hyperlink r:id="rId38" w:tgtFrame="_blank" w:history="1">
        <w:r w:rsidRPr="00735D4F">
          <w:rPr>
            <w:rStyle w:val="Hyperlink"/>
            <w:rFonts w:asciiTheme="majorBidi" w:hAnsiTheme="majorBidi" w:cstheme="majorBidi"/>
            <w:sz w:val="20"/>
            <w:szCs w:val="20"/>
          </w:rPr>
          <w:t>https://doi.org/10.1007/s10997-024-09725-9</w:t>
        </w:r>
      </w:hyperlink>
    </w:p>
    <w:p w14:paraId="081B5877" w14:textId="77777777" w:rsidR="001E6B1A" w:rsidRPr="00735D4F" w:rsidRDefault="001E6B1A" w:rsidP="001E6B1A">
      <w:pPr>
        <w:spacing w:line="360" w:lineRule="auto"/>
        <w:ind w:left="1077" w:hanging="720"/>
        <w:contextualSpacing/>
        <w:rPr>
          <w:rFonts w:asciiTheme="majorBidi" w:hAnsiTheme="majorBidi" w:cstheme="majorBidi"/>
          <w:sz w:val="20"/>
          <w:szCs w:val="20"/>
        </w:rPr>
      </w:pPr>
      <w:proofErr w:type="spellStart"/>
      <w:r w:rsidRPr="00735D4F">
        <w:rPr>
          <w:rFonts w:asciiTheme="majorBidi" w:hAnsiTheme="majorBidi" w:cstheme="majorBidi"/>
          <w:sz w:val="20"/>
          <w:szCs w:val="20"/>
          <w:lang w:val="fr-FR"/>
        </w:rPr>
        <w:t>Nworie</w:t>
      </w:r>
      <w:proofErr w:type="spellEnd"/>
      <w:r w:rsidRPr="00735D4F">
        <w:rPr>
          <w:rFonts w:asciiTheme="majorBidi" w:hAnsiTheme="majorBidi" w:cstheme="majorBidi"/>
          <w:sz w:val="20"/>
          <w:szCs w:val="20"/>
          <w:lang w:val="fr-FR"/>
        </w:rPr>
        <w:t xml:space="preserve">, G. O., </w:t>
      </w:r>
      <w:proofErr w:type="spellStart"/>
      <w:r w:rsidRPr="00735D4F">
        <w:rPr>
          <w:rFonts w:asciiTheme="majorBidi" w:hAnsiTheme="majorBidi" w:cstheme="majorBidi"/>
          <w:sz w:val="20"/>
          <w:szCs w:val="20"/>
          <w:lang w:val="fr-FR"/>
        </w:rPr>
        <w:t>Oduche</w:t>
      </w:r>
      <w:proofErr w:type="spellEnd"/>
      <w:r w:rsidRPr="00735D4F">
        <w:rPr>
          <w:rFonts w:asciiTheme="majorBidi" w:hAnsiTheme="majorBidi" w:cstheme="majorBidi"/>
          <w:sz w:val="20"/>
          <w:szCs w:val="20"/>
          <w:lang w:val="fr-FR"/>
        </w:rPr>
        <w:t>, I. J., &amp; Cyril-</w:t>
      </w:r>
      <w:proofErr w:type="spellStart"/>
      <w:r w:rsidRPr="00735D4F">
        <w:rPr>
          <w:rFonts w:asciiTheme="majorBidi" w:hAnsiTheme="majorBidi" w:cstheme="majorBidi"/>
          <w:sz w:val="20"/>
          <w:szCs w:val="20"/>
          <w:lang w:val="fr-FR"/>
        </w:rPr>
        <w:t>Nwuche</w:t>
      </w:r>
      <w:proofErr w:type="spellEnd"/>
      <w:r w:rsidRPr="00735D4F">
        <w:rPr>
          <w:rFonts w:asciiTheme="majorBidi" w:hAnsiTheme="majorBidi" w:cstheme="majorBidi"/>
          <w:sz w:val="20"/>
          <w:szCs w:val="20"/>
          <w:lang w:val="fr-FR"/>
        </w:rPr>
        <w:t xml:space="preserve">, O. F. (2024). </w:t>
      </w:r>
      <w:r w:rsidRPr="00735D4F">
        <w:rPr>
          <w:rFonts w:asciiTheme="majorBidi" w:hAnsiTheme="majorBidi" w:cstheme="majorBidi"/>
          <w:sz w:val="20"/>
          <w:szCs w:val="20"/>
        </w:rPr>
        <w:t>Signaling theory in action: How dividends affect shareholder investment decisions in Nigerian deposit money banks. </w:t>
      </w:r>
      <w:r w:rsidRPr="00735D4F">
        <w:rPr>
          <w:rFonts w:asciiTheme="majorBidi" w:hAnsiTheme="majorBidi" w:cstheme="majorBidi"/>
          <w:i/>
          <w:iCs/>
          <w:sz w:val="20"/>
          <w:szCs w:val="20"/>
        </w:rPr>
        <w:t>Asian Journal of Economics, Business and Accounting</w:t>
      </w:r>
      <w:r w:rsidRPr="00735D4F">
        <w:rPr>
          <w:rFonts w:asciiTheme="majorBidi" w:hAnsiTheme="majorBidi" w:cstheme="majorBidi"/>
          <w:sz w:val="20"/>
          <w:szCs w:val="20"/>
        </w:rPr>
        <w:t>, 24(7), 506-515. </w:t>
      </w:r>
      <w:hyperlink r:id="rId39" w:tgtFrame="_blank" w:history="1">
        <w:r w:rsidRPr="00735D4F">
          <w:rPr>
            <w:rStyle w:val="Hyperlink"/>
            <w:rFonts w:asciiTheme="majorBidi" w:hAnsiTheme="majorBidi" w:cstheme="majorBidi"/>
            <w:sz w:val="20"/>
            <w:szCs w:val="20"/>
          </w:rPr>
          <w:t>https://doi.org/10.9734/ajeba/2024/v24i71426</w:t>
        </w:r>
      </w:hyperlink>
    </w:p>
    <w:p w14:paraId="1C1D9311"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Sinha, P., &amp; Kumar, A. (2024). Do dividends signal earnings quality in the emerging markets? Large sample evidence from India. </w:t>
      </w:r>
      <w:r w:rsidRPr="00735D4F">
        <w:rPr>
          <w:rFonts w:asciiTheme="majorBidi" w:hAnsiTheme="majorBidi" w:cstheme="majorBidi"/>
          <w:i/>
          <w:iCs/>
          <w:sz w:val="20"/>
          <w:szCs w:val="20"/>
        </w:rPr>
        <w:t>International Journal of System Assurance Engineering and Management</w:t>
      </w:r>
      <w:r w:rsidRPr="00735D4F">
        <w:rPr>
          <w:rFonts w:asciiTheme="majorBidi" w:hAnsiTheme="majorBidi" w:cstheme="majorBidi"/>
          <w:sz w:val="20"/>
          <w:szCs w:val="20"/>
        </w:rPr>
        <w:t>, 1-21.</w:t>
      </w:r>
    </w:p>
    <w:p w14:paraId="359FB1BE"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lastRenderedPageBreak/>
        <w:t xml:space="preserve">Susilo, B. W., </w:t>
      </w:r>
      <w:proofErr w:type="spellStart"/>
      <w:r w:rsidRPr="00735D4F">
        <w:rPr>
          <w:rFonts w:asciiTheme="majorBidi" w:hAnsiTheme="majorBidi" w:cstheme="majorBidi"/>
          <w:sz w:val="20"/>
          <w:szCs w:val="20"/>
        </w:rPr>
        <w:t>Chandrarin</w:t>
      </w:r>
      <w:proofErr w:type="spellEnd"/>
      <w:r w:rsidRPr="00735D4F">
        <w:rPr>
          <w:rFonts w:asciiTheme="majorBidi" w:hAnsiTheme="majorBidi" w:cstheme="majorBidi"/>
          <w:sz w:val="20"/>
          <w:szCs w:val="20"/>
        </w:rPr>
        <w:t xml:space="preserve">, G., &amp; Asih, P. (2021). The effect of profitability on dividend policy and firm value: A case study of Indonesian manufacturing company. </w:t>
      </w:r>
      <w:r w:rsidRPr="00735D4F">
        <w:rPr>
          <w:rFonts w:asciiTheme="majorBidi" w:hAnsiTheme="majorBidi" w:cstheme="majorBidi"/>
          <w:i/>
          <w:iCs/>
          <w:sz w:val="20"/>
          <w:szCs w:val="20"/>
        </w:rPr>
        <w:t>International Journal of Advances in Scientific Research and Engineering, 7</w:t>
      </w:r>
      <w:r w:rsidRPr="00735D4F">
        <w:rPr>
          <w:rFonts w:asciiTheme="majorBidi" w:hAnsiTheme="majorBidi" w:cstheme="majorBidi"/>
          <w:sz w:val="20"/>
          <w:szCs w:val="20"/>
        </w:rPr>
        <w:t xml:space="preserve">(8), 70–76. </w:t>
      </w:r>
      <w:hyperlink r:id="rId40" w:tgtFrame="_new" w:history="1">
        <w:r w:rsidRPr="00735D4F">
          <w:rPr>
            <w:rStyle w:val="Hyperlink"/>
            <w:rFonts w:asciiTheme="majorBidi" w:hAnsiTheme="majorBidi" w:cstheme="majorBidi"/>
            <w:sz w:val="20"/>
            <w:szCs w:val="20"/>
          </w:rPr>
          <w:t>https://doi.org/10.31695/ijasre.2021.34068</w:t>
        </w:r>
      </w:hyperlink>
    </w:p>
    <w:p w14:paraId="4A729333"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 xml:space="preserve">Tawfik, O. I., Rashid, A. R. A., Elbaz, M. M., &amp; Madbouly, A. (2024). The effects of managerial entrenchments on the relationship between cash holdings and corporate financial objectives in GCC countries. </w:t>
      </w:r>
      <w:r w:rsidRPr="00735D4F">
        <w:rPr>
          <w:rFonts w:asciiTheme="majorBidi" w:hAnsiTheme="majorBidi" w:cstheme="majorBidi"/>
          <w:i/>
          <w:iCs/>
          <w:sz w:val="20"/>
          <w:szCs w:val="20"/>
        </w:rPr>
        <w:t>Cogent Business &amp; Management</w:t>
      </w:r>
      <w:r w:rsidRPr="00735D4F">
        <w:rPr>
          <w:rFonts w:asciiTheme="majorBidi" w:hAnsiTheme="majorBidi" w:cstheme="majorBidi"/>
          <w:sz w:val="20"/>
          <w:szCs w:val="20"/>
        </w:rPr>
        <w:t xml:space="preserve">, </w:t>
      </w:r>
      <w:r w:rsidRPr="00735D4F">
        <w:rPr>
          <w:rFonts w:asciiTheme="majorBidi" w:hAnsiTheme="majorBidi" w:cstheme="majorBidi"/>
          <w:i/>
          <w:iCs/>
          <w:sz w:val="20"/>
          <w:szCs w:val="20"/>
        </w:rPr>
        <w:t>11</w:t>
      </w:r>
      <w:r w:rsidRPr="00735D4F">
        <w:rPr>
          <w:rFonts w:asciiTheme="majorBidi" w:hAnsiTheme="majorBidi" w:cstheme="majorBidi"/>
          <w:sz w:val="20"/>
          <w:szCs w:val="20"/>
        </w:rPr>
        <w:t xml:space="preserve">(1). </w:t>
      </w:r>
      <w:hyperlink r:id="rId41" w:history="1">
        <w:r w:rsidRPr="00735D4F">
          <w:rPr>
            <w:rStyle w:val="Hyperlink"/>
            <w:rFonts w:asciiTheme="majorBidi" w:hAnsiTheme="majorBidi" w:cstheme="majorBidi"/>
            <w:sz w:val="20"/>
            <w:szCs w:val="20"/>
          </w:rPr>
          <w:t>https://doi.org/10.1080/23311975.2024.2396045</w:t>
        </w:r>
      </w:hyperlink>
      <w:r w:rsidRPr="00735D4F">
        <w:rPr>
          <w:rFonts w:asciiTheme="majorBidi" w:hAnsiTheme="majorBidi" w:cstheme="majorBidi"/>
          <w:sz w:val="20"/>
          <w:szCs w:val="20"/>
        </w:rPr>
        <w:t xml:space="preserve"> </w:t>
      </w:r>
    </w:p>
    <w:p w14:paraId="2885E8D1" w14:textId="77777777" w:rsidR="001E6B1A" w:rsidRPr="00735D4F" w:rsidRDefault="001E6B1A" w:rsidP="001E6B1A">
      <w:pPr>
        <w:spacing w:line="360" w:lineRule="auto"/>
        <w:ind w:left="1077" w:hanging="720"/>
        <w:contextualSpacing/>
        <w:rPr>
          <w:rFonts w:asciiTheme="majorBidi" w:hAnsiTheme="majorBidi" w:cstheme="majorBidi"/>
          <w:sz w:val="20"/>
          <w:szCs w:val="20"/>
        </w:rPr>
      </w:pPr>
      <w:proofErr w:type="spellStart"/>
      <w:r w:rsidRPr="00735D4F">
        <w:rPr>
          <w:rFonts w:asciiTheme="majorBidi" w:hAnsiTheme="majorBidi" w:cstheme="majorBidi"/>
          <w:sz w:val="20"/>
          <w:szCs w:val="20"/>
        </w:rPr>
        <w:t>Tayachi</w:t>
      </w:r>
      <w:proofErr w:type="spellEnd"/>
      <w:r w:rsidRPr="00735D4F">
        <w:rPr>
          <w:rFonts w:asciiTheme="majorBidi" w:hAnsiTheme="majorBidi" w:cstheme="majorBidi"/>
          <w:sz w:val="20"/>
          <w:szCs w:val="20"/>
        </w:rPr>
        <w:t xml:space="preserve">, T., </w:t>
      </w:r>
      <w:proofErr w:type="spellStart"/>
      <w:r w:rsidRPr="00735D4F">
        <w:rPr>
          <w:rFonts w:asciiTheme="majorBidi" w:hAnsiTheme="majorBidi" w:cstheme="majorBidi"/>
          <w:sz w:val="20"/>
          <w:szCs w:val="20"/>
        </w:rPr>
        <w:t>Hunjra</w:t>
      </w:r>
      <w:proofErr w:type="spellEnd"/>
      <w:r w:rsidRPr="00735D4F">
        <w:rPr>
          <w:rFonts w:asciiTheme="majorBidi" w:hAnsiTheme="majorBidi" w:cstheme="majorBidi"/>
          <w:sz w:val="20"/>
          <w:szCs w:val="20"/>
        </w:rPr>
        <w:t xml:space="preserve">, A. I., Jones, K., Mehmood, R., &amp; Al‐Faryan, M. A. S. (2021). How does ownership structure affect the financing and dividend decisions of </w:t>
      </w:r>
      <w:proofErr w:type="gramStart"/>
      <w:r w:rsidRPr="00735D4F">
        <w:rPr>
          <w:rFonts w:asciiTheme="majorBidi" w:hAnsiTheme="majorBidi" w:cstheme="majorBidi"/>
          <w:sz w:val="20"/>
          <w:szCs w:val="20"/>
        </w:rPr>
        <w:t>firm?.</w:t>
      </w:r>
      <w:proofErr w:type="gramEnd"/>
      <w:r w:rsidRPr="00735D4F">
        <w:rPr>
          <w:rFonts w:asciiTheme="majorBidi" w:hAnsiTheme="majorBidi" w:cstheme="majorBidi"/>
          <w:sz w:val="20"/>
          <w:szCs w:val="20"/>
        </w:rPr>
        <w:t xml:space="preserve"> Journal of Financial Reporting and Accounting, 21(3), 729-746. </w:t>
      </w:r>
      <w:hyperlink r:id="rId42" w:history="1">
        <w:r w:rsidRPr="00735D4F">
          <w:rPr>
            <w:rStyle w:val="Hyperlink"/>
            <w:rFonts w:asciiTheme="majorBidi" w:hAnsiTheme="majorBidi" w:cstheme="majorBidi"/>
            <w:sz w:val="20"/>
            <w:szCs w:val="20"/>
          </w:rPr>
          <w:t>https://doi.org/10.1108/jfra-09-2021-0291</w:t>
        </w:r>
      </w:hyperlink>
      <w:r w:rsidRPr="00735D4F">
        <w:rPr>
          <w:rFonts w:asciiTheme="majorBidi" w:hAnsiTheme="majorBidi" w:cstheme="majorBidi"/>
          <w:sz w:val="20"/>
          <w:szCs w:val="20"/>
        </w:rPr>
        <w:t xml:space="preserve"> </w:t>
      </w:r>
    </w:p>
    <w:p w14:paraId="344152DF" w14:textId="77777777" w:rsidR="001E6B1A" w:rsidRPr="00735D4F" w:rsidRDefault="001E6B1A" w:rsidP="001E6B1A">
      <w:pPr>
        <w:spacing w:line="360" w:lineRule="auto"/>
        <w:ind w:left="1077" w:hanging="720"/>
        <w:contextualSpacing/>
      </w:pPr>
      <w:r w:rsidRPr="00735D4F">
        <w:rPr>
          <w:rFonts w:asciiTheme="majorBidi" w:hAnsiTheme="majorBidi" w:cstheme="majorBidi"/>
          <w:sz w:val="20"/>
          <w:szCs w:val="20"/>
        </w:rPr>
        <w:t>Tayeh, M., Mustafa, R., &amp; Bino, A. (2023). Ownership structure and agency costs: Evidence from the insurance industry in Jordan. </w:t>
      </w:r>
      <w:r w:rsidRPr="00735D4F">
        <w:rPr>
          <w:rFonts w:asciiTheme="majorBidi" w:hAnsiTheme="majorBidi" w:cstheme="majorBidi"/>
          <w:i/>
          <w:iCs/>
          <w:sz w:val="20"/>
          <w:szCs w:val="20"/>
        </w:rPr>
        <w:t>Journal of Economics, Finance and Administrative Science</w:t>
      </w:r>
      <w:r w:rsidRPr="00735D4F">
        <w:rPr>
          <w:rFonts w:asciiTheme="majorBidi" w:hAnsiTheme="majorBidi" w:cstheme="majorBidi"/>
          <w:sz w:val="20"/>
          <w:szCs w:val="20"/>
        </w:rPr>
        <w:t>, 28(56), 287–302. </w:t>
      </w:r>
      <w:hyperlink r:id="rId43" w:tgtFrame="_blank" w:history="1">
        <w:r w:rsidRPr="00735D4F">
          <w:rPr>
            <w:rStyle w:val="Hyperlink"/>
            <w:rFonts w:asciiTheme="majorBidi" w:hAnsiTheme="majorBidi" w:cstheme="majorBidi"/>
            <w:sz w:val="20"/>
            <w:szCs w:val="20"/>
          </w:rPr>
          <w:t>https://doi.org/10.1108/JEFAS-12-2021-0257</w:t>
        </w:r>
      </w:hyperlink>
    </w:p>
    <w:p w14:paraId="491510A6"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 xml:space="preserve">Tran, Q. T. (2024). Industry environment and dividend policy. In </w:t>
      </w:r>
      <w:r w:rsidRPr="00735D4F">
        <w:rPr>
          <w:rFonts w:asciiTheme="majorBidi" w:hAnsiTheme="majorBidi" w:cstheme="majorBidi"/>
          <w:i/>
          <w:iCs/>
          <w:sz w:val="20"/>
          <w:szCs w:val="20"/>
        </w:rPr>
        <w:t>Emerald Publishing Limited eBooks</w:t>
      </w:r>
      <w:r w:rsidRPr="00735D4F">
        <w:rPr>
          <w:rFonts w:asciiTheme="majorBidi" w:hAnsiTheme="majorBidi" w:cstheme="majorBidi"/>
          <w:sz w:val="20"/>
          <w:szCs w:val="20"/>
        </w:rPr>
        <w:t xml:space="preserve"> (pp. 57–66). </w:t>
      </w:r>
      <w:hyperlink r:id="rId44" w:history="1">
        <w:r w:rsidRPr="00735D4F">
          <w:rPr>
            <w:rStyle w:val="Hyperlink"/>
            <w:rFonts w:asciiTheme="majorBidi" w:hAnsiTheme="majorBidi" w:cstheme="majorBidi"/>
            <w:sz w:val="20"/>
            <w:szCs w:val="20"/>
          </w:rPr>
          <w:t>https://doi.org/10.1108/978-1-83797-987-520241007</w:t>
        </w:r>
      </w:hyperlink>
      <w:r w:rsidRPr="00735D4F">
        <w:rPr>
          <w:rFonts w:asciiTheme="majorBidi" w:hAnsiTheme="majorBidi" w:cstheme="majorBidi"/>
          <w:sz w:val="20"/>
          <w:szCs w:val="20"/>
        </w:rPr>
        <w:t xml:space="preserve"> </w:t>
      </w:r>
    </w:p>
    <w:p w14:paraId="482C8FC3" w14:textId="77777777" w:rsidR="001E6B1A" w:rsidRPr="00735D4F" w:rsidRDefault="001E6B1A" w:rsidP="001E6B1A">
      <w:pPr>
        <w:spacing w:line="360" w:lineRule="auto"/>
        <w:ind w:left="1077" w:hanging="720"/>
        <w:contextualSpacing/>
      </w:pPr>
      <w:r w:rsidRPr="00735D4F">
        <w:rPr>
          <w:rFonts w:asciiTheme="majorBidi" w:hAnsiTheme="majorBidi" w:cstheme="majorBidi"/>
          <w:sz w:val="20"/>
          <w:szCs w:val="20"/>
        </w:rPr>
        <w:t>Vijayakumaran, R. (2020). Impact of managerial ownership on investment and liquidity constraints: Evidence from Chinese listed companies. </w:t>
      </w:r>
      <w:r w:rsidRPr="00735D4F">
        <w:rPr>
          <w:rFonts w:asciiTheme="majorBidi" w:hAnsiTheme="majorBidi" w:cstheme="majorBidi"/>
          <w:i/>
          <w:iCs/>
          <w:sz w:val="20"/>
          <w:szCs w:val="20"/>
        </w:rPr>
        <w:t>Research in International Business and Finance</w:t>
      </w:r>
      <w:r w:rsidRPr="00735D4F">
        <w:rPr>
          <w:rFonts w:asciiTheme="majorBidi" w:hAnsiTheme="majorBidi" w:cstheme="majorBidi"/>
          <w:sz w:val="20"/>
          <w:szCs w:val="20"/>
        </w:rPr>
        <w:t>, 55, 101321. </w:t>
      </w:r>
      <w:hyperlink r:id="rId45" w:tgtFrame="_blank" w:history="1">
        <w:r w:rsidRPr="00735D4F">
          <w:rPr>
            <w:rStyle w:val="Hyperlink"/>
            <w:rFonts w:asciiTheme="majorBidi" w:hAnsiTheme="majorBidi" w:cstheme="majorBidi"/>
            <w:sz w:val="20"/>
            <w:szCs w:val="20"/>
          </w:rPr>
          <w:t>https://doi.org/10.1016/j.ribaf.2020.101321</w:t>
        </w:r>
      </w:hyperlink>
    </w:p>
    <w:p w14:paraId="70941569" w14:textId="77777777" w:rsidR="001E6B1A" w:rsidRPr="00735D4F"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Wijaya, H. (2023). Cash holdings, dividend payout, and corporate value: the role of institutional investors. Journal of Accounting and Strategic Finance, 5(2), 302-315. https://doi.org/10.33005/jasf.v5i2.307</w:t>
      </w:r>
    </w:p>
    <w:p w14:paraId="7C065AB9" w14:textId="77777777" w:rsidR="001E6B1A" w:rsidRPr="00735D4F" w:rsidRDefault="001E6B1A" w:rsidP="001E6B1A">
      <w:pPr>
        <w:spacing w:line="360" w:lineRule="auto"/>
        <w:ind w:left="1077" w:hanging="720"/>
        <w:contextualSpacing/>
      </w:pPr>
      <w:r w:rsidRPr="00735D4F">
        <w:rPr>
          <w:rFonts w:asciiTheme="majorBidi" w:hAnsiTheme="majorBidi" w:cstheme="majorBidi"/>
          <w:sz w:val="20"/>
          <w:szCs w:val="20"/>
        </w:rPr>
        <w:t>Yahaya, O. A. (2025). Institutional ownership and firm performance. </w:t>
      </w:r>
      <w:r w:rsidRPr="00735D4F">
        <w:rPr>
          <w:rFonts w:asciiTheme="majorBidi" w:hAnsiTheme="majorBidi" w:cstheme="majorBidi"/>
          <w:i/>
          <w:iCs/>
          <w:sz w:val="20"/>
          <w:szCs w:val="20"/>
        </w:rPr>
        <w:t>SSRN Electronic Journal</w:t>
      </w:r>
      <w:r w:rsidRPr="00735D4F">
        <w:rPr>
          <w:rFonts w:asciiTheme="majorBidi" w:hAnsiTheme="majorBidi" w:cstheme="majorBidi"/>
          <w:sz w:val="20"/>
          <w:szCs w:val="20"/>
        </w:rPr>
        <w:t>. </w:t>
      </w:r>
      <w:hyperlink r:id="rId46" w:tgtFrame="_blank" w:history="1">
        <w:r w:rsidRPr="00735D4F">
          <w:rPr>
            <w:rStyle w:val="Hyperlink"/>
            <w:rFonts w:asciiTheme="majorBidi" w:hAnsiTheme="majorBidi" w:cstheme="majorBidi"/>
            <w:sz w:val="20"/>
            <w:szCs w:val="20"/>
          </w:rPr>
          <w:t>https://doi.org/10.2139/ssrn.5216573</w:t>
        </w:r>
      </w:hyperlink>
    </w:p>
    <w:p w14:paraId="1AD35588" w14:textId="77777777" w:rsidR="001E6B1A" w:rsidRDefault="001E6B1A" w:rsidP="001E6B1A">
      <w:pPr>
        <w:spacing w:line="360" w:lineRule="auto"/>
        <w:ind w:left="1077" w:hanging="720"/>
        <w:contextualSpacing/>
        <w:rPr>
          <w:rFonts w:asciiTheme="majorBidi" w:hAnsiTheme="majorBidi" w:cstheme="majorBidi"/>
          <w:sz w:val="20"/>
          <w:szCs w:val="20"/>
        </w:rPr>
      </w:pPr>
      <w:r w:rsidRPr="00735D4F">
        <w:rPr>
          <w:rFonts w:asciiTheme="majorBidi" w:hAnsiTheme="majorBidi" w:cstheme="majorBidi"/>
          <w:sz w:val="20"/>
          <w:szCs w:val="20"/>
        </w:rPr>
        <w:t xml:space="preserve">Yahaya, O. A. (2025b). Could a board share ownership encourage a dividend payout policy? </w:t>
      </w:r>
      <w:r w:rsidRPr="00735D4F">
        <w:rPr>
          <w:rFonts w:asciiTheme="majorBidi" w:hAnsiTheme="majorBidi" w:cstheme="majorBidi"/>
          <w:i/>
          <w:iCs/>
          <w:sz w:val="20"/>
          <w:szCs w:val="20"/>
        </w:rPr>
        <w:t>SSRN Electronic Journal</w:t>
      </w:r>
      <w:r w:rsidRPr="00735D4F">
        <w:rPr>
          <w:rFonts w:asciiTheme="majorBidi" w:hAnsiTheme="majorBidi" w:cstheme="majorBidi"/>
          <w:sz w:val="20"/>
          <w:szCs w:val="20"/>
        </w:rPr>
        <w:t xml:space="preserve">. </w:t>
      </w:r>
      <w:hyperlink r:id="rId47" w:history="1">
        <w:r w:rsidRPr="00735D4F">
          <w:rPr>
            <w:rStyle w:val="Hyperlink"/>
            <w:rFonts w:asciiTheme="majorBidi" w:hAnsiTheme="majorBidi" w:cstheme="majorBidi"/>
            <w:sz w:val="20"/>
            <w:szCs w:val="20"/>
          </w:rPr>
          <w:t>https://doi.org/10.2139/ssrn.5272049</w:t>
        </w:r>
      </w:hyperlink>
    </w:p>
    <w:p w14:paraId="388512A8" w14:textId="77777777" w:rsidR="001E6B1A" w:rsidRPr="005931A6" w:rsidRDefault="001E6B1A" w:rsidP="001E6B1A">
      <w:pPr>
        <w:spacing w:line="360" w:lineRule="auto"/>
        <w:ind w:left="1077" w:hanging="720"/>
        <w:contextualSpacing/>
        <w:rPr>
          <w:rFonts w:asciiTheme="majorBidi" w:hAnsiTheme="majorBidi" w:cstheme="majorBidi"/>
          <w:sz w:val="20"/>
          <w:szCs w:val="20"/>
        </w:rPr>
      </w:pPr>
    </w:p>
    <w:p w14:paraId="64297F1C" w14:textId="77777777" w:rsidR="001E6B1A" w:rsidRPr="00223895" w:rsidRDefault="001E6B1A" w:rsidP="001E6B1A">
      <w:pPr>
        <w:spacing w:line="360" w:lineRule="auto"/>
        <w:ind w:left="1077" w:hanging="720"/>
        <w:contextualSpacing/>
        <w:rPr>
          <w:rFonts w:asciiTheme="majorBidi" w:hAnsiTheme="majorBidi" w:cstheme="majorBidi"/>
          <w:sz w:val="20"/>
          <w:szCs w:val="20"/>
        </w:rPr>
      </w:pPr>
    </w:p>
    <w:p w14:paraId="26FE4B56" w14:textId="77777777" w:rsidR="001E6B1A" w:rsidRPr="003C36A6" w:rsidRDefault="001E6B1A" w:rsidP="001E6B1A">
      <w:pPr>
        <w:spacing w:line="360" w:lineRule="auto"/>
        <w:ind w:left="1077" w:hanging="720"/>
        <w:contextualSpacing/>
        <w:rPr>
          <w:rFonts w:asciiTheme="majorBidi" w:hAnsiTheme="majorBidi" w:cstheme="majorBidi"/>
          <w:sz w:val="20"/>
          <w:szCs w:val="20"/>
        </w:rPr>
      </w:pPr>
    </w:p>
    <w:p w14:paraId="049CE6E1" w14:textId="77777777" w:rsidR="001E6B1A" w:rsidRPr="003C36A6" w:rsidRDefault="001E6B1A" w:rsidP="001E6B1A">
      <w:pPr>
        <w:spacing w:line="360" w:lineRule="auto"/>
        <w:ind w:left="1077" w:hanging="720"/>
        <w:contextualSpacing/>
        <w:rPr>
          <w:rFonts w:asciiTheme="majorBidi" w:hAnsiTheme="majorBidi" w:cstheme="majorBidi"/>
          <w:sz w:val="20"/>
          <w:szCs w:val="20"/>
        </w:rPr>
      </w:pPr>
    </w:p>
    <w:p w14:paraId="4AEF825D" w14:textId="5CE3FFA3" w:rsidR="00D04062" w:rsidRPr="001E6B1A" w:rsidRDefault="00D04062" w:rsidP="001E6B1A"/>
    <w:sectPr w:rsidR="00D04062" w:rsidRPr="001E6B1A">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E90BC" w14:textId="77777777" w:rsidR="00DF3680" w:rsidRDefault="00DF3680" w:rsidP="00F059E7">
      <w:pPr>
        <w:spacing w:after="0" w:line="240" w:lineRule="auto"/>
      </w:pPr>
      <w:r>
        <w:separator/>
      </w:r>
    </w:p>
  </w:endnote>
  <w:endnote w:type="continuationSeparator" w:id="0">
    <w:p w14:paraId="25258B7D" w14:textId="77777777" w:rsidR="00DF3680" w:rsidRDefault="00DF3680" w:rsidP="00F0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268C" w14:textId="77777777" w:rsidR="00F059E7" w:rsidRDefault="00F05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17123" w14:textId="77777777" w:rsidR="00F059E7" w:rsidRDefault="00F05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DAF4" w14:textId="77777777" w:rsidR="00F059E7" w:rsidRDefault="00F05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23A62" w14:textId="77777777" w:rsidR="00DF3680" w:rsidRDefault="00DF3680" w:rsidP="00F059E7">
      <w:pPr>
        <w:spacing w:after="0" w:line="240" w:lineRule="auto"/>
      </w:pPr>
      <w:r>
        <w:separator/>
      </w:r>
    </w:p>
  </w:footnote>
  <w:footnote w:type="continuationSeparator" w:id="0">
    <w:p w14:paraId="5D29F4A7" w14:textId="77777777" w:rsidR="00DF3680" w:rsidRDefault="00DF3680" w:rsidP="00F0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9810" w14:textId="61A291C5" w:rsidR="00F059E7" w:rsidRDefault="00000000">
    <w:pPr>
      <w:pStyle w:val="Header"/>
    </w:pPr>
    <w:r>
      <w:rPr>
        <w:noProof/>
      </w:rPr>
      <w:pict w14:anchorId="5BA19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899079"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56C3" w14:textId="5AE335A1" w:rsidR="00F059E7" w:rsidRDefault="00000000">
    <w:pPr>
      <w:pStyle w:val="Header"/>
    </w:pPr>
    <w:r>
      <w:rPr>
        <w:noProof/>
      </w:rPr>
      <w:pict w14:anchorId="0ADCF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899080"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1205" w14:textId="41269F05" w:rsidR="00F059E7" w:rsidRDefault="00000000">
    <w:pPr>
      <w:pStyle w:val="Header"/>
    </w:pPr>
    <w:r>
      <w:rPr>
        <w:noProof/>
      </w:rPr>
      <w:pict w14:anchorId="22EB8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899078"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78A56B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375ABF5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E77E4E4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3D5C54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3392CCC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6"/>
    <w:multiLevelType w:val="multilevel"/>
    <w:tmpl w:val="792276C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7"/>
    <w:multiLevelType w:val="multilevel"/>
    <w:tmpl w:val="3B7A0D6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10E8022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41DC19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EB5CB02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27E614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F338658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multilevel"/>
    <w:tmpl w:val="0BDE9F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DF3EE618"/>
    <w:lvl w:ilvl="0">
      <w:start w:val="1"/>
      <w:numFmt w:val="decimal"/>
      <w:lvlText w:val="%1."/>
      <w:lvlJc w:val="left"/>
      <w:pPr>
        <w:tabs>
          <w:tab w:val="left" w:pos="360"/>
        </w:tabs>
        <w:ind w:left="36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 w15:restartNumberingAfterBreak="0">
    <w:nsid w:val="0000000F"/>
    <w:multiLevelType w:val="multilevel"/>
    <w:tmpl w:val="214E380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multilevel"/>
    <w:tmpl w:val="40520B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multilevel"/>
    <w:tmpl w:val="930CC7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multilevel"/>
    <w:tmpl w:val="C3D68D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13"/>
    <w:multiLevelType w:val="multilevel"/>
    <w:tmpl w:val="FD28984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4"/>
    <w:multiLevelType w:val="multilevel"/>
    <w:tmpl w:val="FBC8DF9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15"/>
    <w:multiLevelType w:val="multilevel"/>
    <w:tmpl w:val="28B2AE7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16"/>
    <w:multiLevelType w:val="multilevel"/>
    <w:tmpl w:val="C1265F1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15:restartNumberingAfterBreak="0">
    <w:nsid w:val="00000017"/>
    <w:multiLevelType w:val="multilevel"/>
    <w:tmpl w:val="4E347DD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00000018"/>
    <w:multiLevelType w:val="multilevel"/>
    <w:tmpl w:val="4E104DF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multilevel"/>
    <w:tmpl w:val="7E865EE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A"/>
    <w:multiLevelType w:val="multilevel"/>
    <w:tmpl w:val="0068FEC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 w15:restartNumberingAfterBreak="0">
    <w:nsid w:val="0000001B"/>
    <w:multiLevelType w:val="multilevel"/>
    <w:tmpl w:val="F420F0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0000001C"/>
    <w:multiLevelType w:val="multilevel"/>
    <w:tmpl w:val="A808C1D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 w15:restartNumberingAfterBreak="0">
    <w:nsid w:val="07AE4FAE"/>
    <w:multiLevelType w:val="multilevel"/>
    <w:tmpl w:val="359E4DA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5976E43"/>
    <w:multiLevelType w:val="hybridMultilevel"/>
    <w:tmpl w:val="8BE40E5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35C747D3"/>
    <w:multiLevelType w:val="multilevel"/>
    <w:tmpl w:val="B16C06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361F11C1"/>
    <w:multiLevelType w:val="hybridMultilevel"/>
    <w:tmpl w:val="AAFC2D44"/>
    <w:lvl w:ilvl="0" w:tplc="E5627F9E">
      <w:start w:val="1"/>
      <w:numFmt w:val="bullet"/>
      <w:lvlText w:val=""/>
      <w:lvlJc w:val="left"/>
      <w:pPr>
        <w:ind w:left="720" w:hanging="360"/>
      </w:pPr>
      <w:rPr>
        <w:rFonts w:ascii="Symbol" w:hAnsi="Symbol"/>
      </w:rPr>
    </w:lvl>
    <w:lvl w:ilvl="1" w:tplc="33C8EBB6">
      <w:start w:val="1"/>
      <w:numFmt w:val="bullet"/>
      <w:lvlText w:val=""/>
      <w:lvlJc w:val="left"/>
      <w:pPr>
        <w:ind w:left="720" w:hanging="360"/>
      </w:pPr>
      <w:rPr>
        <w:rFonts w:ascii="Symbol" w:hAnsi="Symbol"/>
      </w:rPr>
    </w:lvl>
    <w:lvl w:ilvl="2" w:tplc="509CE9C6">
      <w:start w:val="1"/>
      <w:numFmt w:val="bullet"/>
      <w:lvlText w:val=""/>
      <w:lvlJc w:val="left"/>
      <w:pPr>
        <w:ind w:left="720" w:hanging="360"/>
      </w:pPr>
      <w:rPr>
        <w:rFonts w:ascii="Symbol" w:hAnsi="Symbol"/>
      </w:rPr>
    </w:lvl>
    <w:lvl w:ilvl="3" w:tplc="D79AAB34">
      <w:start w:val="1"/>
      <w:numFmt w:val="bullet"/>
      <w:lvlText w:val=""/>
      <w:lvlJc w:val="left"/>
      <w:pPr>
        <w:ind w:left="720" w:hanging="360"/>
      </w:pPr>
      <w:rPr>
        <w:rFonts w:ascii="Symbol" w:hAnsi="Symbol"/>
      </w:rPr>
    </w:lvl>
    <w:lvl w:ilvl="4" w:tplc="57387D00">
      <w:start w:val="1"/>
      <w:numFmt w:val="bullet"/>
      <w:lvlText w:val=""/>
      <w:lvlJc w:val="left"/>
      <w:pPr>
        <w:ind w:left="720" w:hanging="360"/>
      </w:pPr>
      <w:rPr>
        <w:rFonts w:ascii="Symbol" w:hAnsi="Symbol"/>
      </w:rPr>
    </w:lvl>
    <w:lvl w:ilvl="5" w:tplc="0DBEA9EE">
      <w:start w:val="1"/>
      <w:numFmt w:val="bullet"/>
      <w:lvlText w:val=""/>
      <w:lvlJc w:val="left"/>
      <w:pPr>
        <w:ind w:left="720" w:hanging="360"/>
      </w:pPr>
      <w:rPr>
        <w:rFonts w:ascii="Symbol" w:hAnsi="Symbol"/>
      </w:rPr>
    </w:lvl>
    <w:lvl w:ilvl="6" w:tplc="85C2E526">
      <w:start w:val="1"/>
      <w:numFmt w:val="bullet"/>
      <w:lvlText w:val=""/>
      <w:lvlJc w:val="left"/>
      <w:pPr>
        <w:ind w:left="720" w:hanging="360"/>
      </w:pPr>
      <w:rPr>
        <w:rFonts w:ascii="Symbol" w:hAnsi="Symbol"/>
      </w:rPr>
    </w:lvl>
    <w:lvl w:ilvl="7" w:tplc="850480B0">
      <w:start w:val="1"/>
      <w:numFmt w:val="bullet"/>
      <w:lvlText w:val=""/>
      <w:lvlJc w:val="left"/>
      <w:pPr>
        <w:ind w:left="720" w:hanging="360"/>
      </w:pPr>
      <w:rPr>
        <w:rFonts w:ascii="Symbol" w:hAnsi="Symbol"/>
      </w:rPr>
    </w:lvl>
    <w:lvl w:ilvl="8" w:tplc="595805FA">
      <w:start w:val="1"/>
      <w:numFmt w:val="bullet"/>
      <w:lvlText w:val=""/>
      <w:lvlJc w:val="left"/>
      <w:pPr>
        <w:ind w:left="720" w:hanging="360"/>
      </w:pPr>
      <w:rPr>
        <w:rFonts w:ascii="Symbol" w:hAnsi="Symbol"/>
      </w:rPr>
    </w:lvl>
  </w:abstractNum>
  <w:abstractNum w:abstractNumId="32" w15:restartNumberingAfterBreak="0">
    <w:nsid w:val="37893D3E"/>
    <w:multiLevelType w:val="multilevel"/>
    <w:tmpl w:val="76761E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ADC39F3"/>
    <w:multiLevelType w:val="multilevel"/>
    <w:tmpl w:val="DDFCC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7BB1835"/>
    <w:multiLevelType w:val="multilevel"/>
    <w:tmpl w:val="B2F4F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043228"/>
    <w:multiLevelType w:val="multilevel"/>
    <w:tmpl w:val="B16C06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987199877">
    <w:abstractNumId w:val="13"/>
  </w:num>
  <w:num w:numId="2" w16cid:durableId="194777871">
    <w:abstractNumId w:val="21"/>
  </w:num>
  <w:num w:numId="3" w16cid:durableId="1233392247">
    <w:abstractNumId w:val="4"/>
  </w:num>
  <w:num w:numId="4" w16cid:durableId="1015156594">
    <w:abstractNumId w:val="30"/>
  </w:num>
  <w:num w:numId="5" w16cid:durableId="251740739">
    <w:abstractNumId w:val="23"/>
  </w:num>
  <w:num w:numId="6" w16cid:durableId="1346245392">
    <w:abstractNumId w:val="17"/>
  </w:num>
  <w:num w:numId="7" w16cid:durableId="1316110248">
    <w:abstractNumId w:val="5"/>
  </w:num>
  <w:num w:numId="8" w16cid:durableId="412314500">
    <w:abstractNumId w:val="12"/>
  </w:num>
  <w:num w:numId="9" w16cid:durableId="1796873210">
    <w:abstractNumId w:val="14"/>
  </w:num>
  <w:num w:numId="10" w16cid:durableId="592057998">
    <w:abstractNumId w:val="25"/>
  </w:num>
  <w:num w:numId="11" w16cid:durableId="1946495795">
    <w:abstractNumId w:val="9"/>
  </w:num>
  <w:num w:numId="12" w16cid:durableId="1859149875">
    <w:abstractNumId w:val="3"/>
  </w:num>
  <w:num w:numId="13" w16cid:durableId="1742826110">
    <w:abstractNumId w:val="19"/>
  </w:num>
  <w:num w:numId="14" w16cid:durableId="1328286059">
    <w:abstractNumId w:val="15"/>
  </w:num>
  <w:num w:numId="15" w16cid:durableId="391774299">
    <w:abstractNumId w:val="1"/>
  </w:num>
  <w:num w:numId="16" w16cid:durableId="2058360436">
    <w:abstractNumId w:val="24"/>
  </w:num>
  <w:num w:numId="17" w16cid:durableId="1173036123">
    <w:abstractNumId w:val="2"/>
  </w:num>
  <w:num w:numId="18" w16cid:durableId="2083213534">
    <w:abstractNumId w:val="20"/>
  </w:num>
  <w:num w:numId="19" w16cid:durableId="875388795">
    <w:abstractNumId w:val="7"/>
  </w:num>
  <w:num w:numId="20" w16cid:durableId="214705334">
    <w:abstractNumId w:val="26"/>
  </w:num>
  <w:num w:numId="21" w16cid:durableId="2145652611">
    <w:abstractNumId w:val="18"/>
  </w:num>
  <w:num w:numId="22" w16cid:durableId="632293110">
    <w:abstractNumId w:val="11"/>
  </w:num>
  <w:num w:numId="23" w16cid:durableId="1182278672">
    <w:abstractNumId w:val="16"/>
  </w:num>
  <w:num w:numId="24" w16cid:durableId="791901120">
    <w:abstractNumId w:val="10"/>
  </w:num>
  <w:num w:numId="25" w16cid:durableId="1220705590">
    <w:abstractNumId w:val="6"/>
  </w:num>
  <w:num w:numId="26" w16cid:durableId="2050033774">
    <w:abstractNumId w:val="27"/>
  </w:num>
  <w:num w:numId="27" w16cid:durableId="31199628">
    <w:abstractNumId w:val="8"/>
  </w:num>
  <w:num w:numId="28" w16cid:durableId="2104835310">
    <w:abstractNumId w:val="0"/>
  </w:num>
  <w:num w:numId="29" w16cid:durableId="1260061618">
    <w:abstractNumId w:val="22"/>
  </w:num>
  <w:num w:numId="30" w16cid:durableId="2129426908">
    <w:abstractNumId w:val="33"/>
  </w:num>
  <w:num w:numId="31" w16cid:durableId="334304890">
    <w:abstractNumId w:val="29"/>
  </w:num>
  <w:num w:numId="32" w16cid:durableId="1251742189">
    <w:abstractNumId w:val="28"/>
  </w:num>
  <w:num w:numId="33" w16cid:durableId="898594447">
    <w:abstractNumId w:val="32"/>
  </w:num>
  <w:num w:numId="34" w16cid:durableId="1283537004">
    <w:abstractNumId w:val="31"/>
  </w:num>
  <w:num w:numId="35" w16cid:durableId="89045672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62"/>
    <w:rsid w:val="000032AA"/>
    <w:rsid w:val="000045D5"/>
    <w:rsid w:val="00006BE1"/>
    <w:rsid w:val="00010846"/>
    <w:rsid w:val="000110FC"/>
    <w:rsid w:val="00011832"/>
    <w:rsid w:val="00023C25"/>
    <w:rsid w:val="00026F6B"/>
    <w:rsid w:val="000309F6"/>
    <w:rsid w:val="00033416"/>
    <w:rsid w:val="00035204"/>
    <w:rsid w:val="00047A23"/>
    <w:rsid w:val="0006013F"/>
    <w:rsid w:val="000608F4"/>
    <w:rsid w:val="00061B98"/>
    <w:rsid w:val="0006696A"/>
    <w:rsid w:val="00067FEC"/>
    <w:rsid w:val="00075BA8"/>
    <w:rsid w:val="0007684C"/>
    <w:rsid w:val="00077184"/>
    <w:rsid w:val="000835D5"/>
    <w:rsid w:val="000856F1"/>
    <w:rsid w:val="0009060D"/>
    <w:rsid w:val="00090D4B"/>
    <w:rsid w:val="000919A2"/>
    <w:rsid w:val="0009269B"/>
    <w:rsid w:val="000949AF"/>
    <w:rsid w:val="000A2054"/>
    <w:rsid w:val="000A314E"/>
    <w:rsid w:val="000A7F5F"/>
    <w:rsid w:val="000B06A4"/>
    <w:rsid w:val="000B0F48"/>
    <w:rsid w:val="000B4317"/>
    <w:rsid w:val="000B61B0"/>
    <w:rsid w:val="000B7406"/>
    <w:rsid w:val="000C076F"/>
    <w:rsid w:val="000C5498"/>
    <w:rsid w:val="000C77C1"/>
    <w:rsid w:val="000C7E43"/>
    <w:rsid w:val="000D025F"/>
    <w:rsid w:val="000D45DD"/>
    <w:rsid w:val="000D5FE1"/>
    <w:rsid w:val="000D75C4"/>
    <w:rsid w:val="000E27EA"/>
    <w:rsid w:val="000E614F"/>
    <w:rsid w:val="000F0303"/>
    <w:rsid w:val="000F2DC8"/>
    <w:rsid w:val="000F42A4"/>
    <w:rsid w:val="000F473C"/>
    <w:rsid w:val="000F4D36"/>
    <w:rsid w:val="000F51B2"/>
    <w:rsid w:val="000F726C"/>
    <w:rsid w:val="000F7573"/>
    <w:rsid w:val="00100D70"/>
    <w:rsid w:val="00100F68"/>
    <w:rsid w:val="0010502F"/>
    <w:rsid w:val="00105C5C"/>
    <w:rsid w:val="00105C8C"/>
    <w:rsid w:val="00107E32"/>
    <w:rsid w:val="00112FBF"/>
    <w:rsid w:val="00114541"/>
    <w:rsid w:val="00123FF6"/>
    <w:rsid w:val="001263E3"/>
    <w:rsid w:val="001264DE"/>
    <w:rsid w:val="00127A3B"/>
    <w:rsid w:val="001310AB"/>
    <w:rsid w:val="00136FE6"/>
    <w:rsid w:val="001411D3"/>
    <w:rsid w:val="0014410C"/>
    <w:rsid w:val="00150CE1"/>
    <w:rsid w:val="00152812"/>
    <w:rsid w:val="0016135C"/>
    <w:rsid w:val="00161369"/>
    <w:rsid w:val="001622C5"/>
    <w:rsid w:val="00163862"/>
    <w:rsid w:val="001638BA"/>
    <w:rsid w:val="00163CF7"/>
    <w:rsid w:val="00166C08"/>
    <w:rsid w:val="00170F43"/>
    <w:rsid w:val="00171A70"/>
    <w:rsid w:val="00173979"/>
    <w:rsid w:val="00177B57"/>
    <w:rsid w:val="0018408B"/>
    <w:rsid w:val="0018529D"/>
    <w:rsid w:val="00191D90"/>
    <w:rsid w:val="001967D3"/>
    <w:rsid w:val="001A2355"/>
    <w:rsid w:val="001A2EB8"/>
    <w:rsid w:val="001A7EEF"/>
    <w:rsid w:val="001B0F1C"/>
    <w:rsid w:val="001B1920"/>
    <w:rsid w:val="001B19B6"/>
    <w:rsid w:val="001C0551"/>
    <w:rsid w:val="001C0792"/>
    <w:rsid w:val="001C0A28"/>
    <w:rsid w:val="001C1780"/>
    <w:rsid w:val="001C2D42"/>
    <w:rsid w:val="001C5B82"/>
    <w:rsid w:val="001C6037"/>
    <w:rsid w:val="001D02BA"/>
    <w:rsid w:val="001D09DF"/>
    <w:rsid w:val="001D2255"/>
    <w:rsid w:val="001D29CF"/>
    <w:rsid w:val="001D2AB5"/>
    <w:rsid w:val="001D2C05"/>
    <w:rsid w:val="001D6C1F"/>
    <w:rsid w:val="001E27B0"/>
    <w:rsid w:val="001E357C"/>
    <w:rsid w:val="001E41D2"/>
    <w:rsid w:val="001E56C2"/>
    <w:rsid w:val="001E58D4"/>
    <w:rsid w:val="001E5C8E"/>
    <w:rsid w:val="001E6985"/>
    <w:rsid w:val="001E6B1A"/>
    <w:rsid w:val="001F241C"/>
    <w:rsid w:val="001F2F28"/>
    <w:rsid w:val="001F3384"/>
    <w:rsid w:val="0020016D"/>
    <w:rsid w:val="002011B9"/>
    <w:rsid w:val="00201E1E"/>
    <w:rsid w:val="00202ECC"/>
    <w:rsid w:val="00205198"/>
    <w:rsid w:val="00206ECD"/>
    <w:rsid w:val="00207AB0"/>
    <w:rsid w:val="0021384C"/>
    <w:rsid w:val="0021579B"/>
    <w:rsid w:val="00217A86"/>
    <w:rsid w:val="00223895"/>
    <w:rsid w:val="00226AB3"/>
    <w:rsid w:val="00236AFF"/>
    <w:rsid w:val="0024580D"/>
    <w:rsid w:val="0025090B"/>
    <w:rsid w:val="002515C9"/>
    <w:rsid w:val="002521FB"/>
    <w:rsid w:val="00254D22"/>
    <w:rsid w:val="00257F14"/>
    <w:rsid w:val="002610C2"/>
    <w:rsid w:val="00262094"/>
    <w:rsid w:val="0026654C"/>
    <w:rsid w:val="0027226E"/>
    <w:rsid w:val="00272DBA"/>
    <w:rsid w:val="002776EF"/>
    <w:rsid w:val="00281735"/>
    <w:rsid w:val="002838E9"/>
    <w:rsid w:val="002857AB"/>
    <w:rsid w:val="0029144C"/>
    <w:rsid w:val="00294156"/>
    <w:rsid w:val="00297173"/>
    <w:rsid w:val="002A0C7E"/>
    <w:rsid w:val="002A1368"/>
    <w:rsid w:val="002A1937"/>
    <w:rsid w:val="002A5F2B"/>
    <w:rsid w:val="002A68CC"/>
    <w:rsid w:val="002A7D26"/>
    <w:rsid w:val="002B340B"/>
    <w:rsid w:val="002B4EA9"/>
    <w:rsid w:val="002C7B12"/>
    <w:rsid w:val="002F0E64"/>
    <w:rsid w:val="002F5DED"/>
    <w:rsid w:val="003004F8"/>
    <w:rsid w:val="00300DB0"/>
    <w:rsid w:val="00303A5E"/>
    <w:rsid w:val="00303CA0"/>
    <w:rsid w:val="00304CF4"/>
    <w:rsid w:val="00306B41"/>
    <w:rsid w:val="003117CC"/>
    <w:rsid w:val="00312A8D"/>
    <w:rsid w:val="00322FEA"/>
    <w:rsid w:val="00330CBF"/>
    <w:rsid w:val="003318E6"/>
    <w:rsid w:val="00333351"/>
    <w:rsid w:val="00334DB9"/>
    <w:rsid w:val="00336208"/>
    <w:rsid w:val="00337731"/>
    <w:rsid w:val="00337CB7"/>
    <w:rsid w:val="00342448"/>
    <w:rsid w:val="0034427F"/>
    <w:rsid w:val="00346CA5"/>
    <w:rsid w:val="00347949"/>
    <w:rsid w:val="003507CC"/>
    <w:rsid w:val="003508D9"/>
    <w:rsid w:val="0035118D"/>
    <w:rsid w:val="00351F1B"/>
    <w:rsid w:val="003550F5"/>
    <w:rsid w:val="00371603"/>
    <w:rsid w:val="003806E1"/>
    <w:rsid w:val="003851CC"/>
    <w:rsid w:val="00390A0F"/>
    <w:rsid w:val="00396FFA"/>
    <w:rsid w:val="00397A90"/>
    <w:rsid w:val="003A07E8"/>
    <w:rsid w:val="003A0BD0"/>
    <w:rsid w:val="003B467C"/>
    <w:rsid w:val="003B4D0F"/>
    <w:rsid w:val="003B6495"/>
    <w:rsid w:val="003C36A6"/>
    <w:rsid w:val="003C6247"/>
    <w:rsid w:val="003C78BD"/>
    <w:rsid w:val="003D1004"/>
    <w:rsid w:val="003D11C3"/>
    <w:rsid w:val="003D132A"/>
    <w:rsid w:val="003D1BB3"/>
    <w:rsid w:val="003D28FD"/>
    <w:rsid w:val="003D5809"/>
    <w:rsid w:val="003E334D"/>
    <w:rsid w:val="003E3D1E"/>
    <w:rsid w:val="003E4320"/>
    <w:rsid w:val="003F0AF9"/>
    <w:rsid w:val="003F747F"/>
    <w:rsid w:val="004025CF"/>
    <w:rsid w:val="004130B0"/>
    <w:rsid w:val="004138AE"/>
    <w:rsid w:val="00422A8C"/>
    <w:rsid w:val="00423D14"/>
    <w:rsid w:val="00425AF5"/>
    <w:rsid w:val="00425C3D"/>
    <w:rsid w:val="004301DD"/>
    <w:rsid w:val="00431608"/>
    <w:rsid w:val="00436A6F"/>
    <w:rsid w:val="00440904"/>
    <w:rsid w:val="00456664"/>
    <w:rsid w:val="00463235"/>
    <w:rsid w:val="00470F6E"/>
    <w:rsid w:val="004720C9"/>
    <w:rsid w:val="00472EC8"/>
    <w:rsid w:val="0047689A"/>
    <w:rsid w:val="0047757B"/>
    <w:rsid w:val="00480192"/>
    <w:rsid w:val="004825C6"/>
    <w:rsid w:val="00487143"/>
    <w:rsid w:val="004937CC"/>
    <w:rsid w:val="00497E79"/>
    <w:rsid w:val="004A7C22"/>
    <w:rsid w:val="004B1539"/>
    <w:rsid w:val="004B16A9"/>
    <w:rsid w:val="004B42B8"/>
    <w:rsid w:val="004B5F63"/>
    <w:rsid w:val="004B61DA"/>
    <w:rsid w:val="004B7442"/>
    <w:rsid w:val="004C0724"/>
    <w:rsid w:val="004C61F7"/>
    <w:rsid w:val="004C76AA"/>
    <w:rsid w:val="004C7B30"/>
    <w:rsid w:val="004D027D"/>
    <w:rsid w:val="004D1070"/>
    <w:rsid w:val="004D61DA"/>
    <w:rsid w:val="004E0F8D"/>
    <w:rsid w:val="004E64B0"/>
    <w:rsid w:val="004F6CA5"/>
    <w:rsid w:val="00500AB3"/>
    <w:rsid w:val="00501336"/>
    <w:rsid w:val="005050D7"/>
    <w:rsid w:val="0050722E"/>
    <w:rsid w:val="00511DE5"/>
    <w:rsid w:val="00513864"/>
    <w:rsid w:val="00521C31"/>
    <w:rsid w:val="005229F1"/>
    <w:rsid w:val="005324A8"/>
    <w:rsid w:val="005331F7"/>
    <w:rsid w:val="00533ED6"/>
    <w:rsid w:val="00536C4F"/>
    <w:rsid w:val="0053723C"/>
    <w:rsid w:val="005402D2"/>
    <w:rsid w:val="00542139"/>
    <w:rsid w:val="00546494"/>
    <w:rsid w:val="00550D91"/>
    <w:rsid w:val="00552149"/>
    <w:rsid w:val="005524C9"/>
    <w:rsid w:val="00552F94"/>
    <w:rsid w:val="005652D7"/>
    <w:rsid w:val="0056796E"/>
    <w:rsid w:val="00567BA0"/>
    <w:rsid w:val="00567D18"/>
    <w:rsid w:val="00570614"/>
    <w:rsid w:val="00572CFE"/>
    <w:rsid w:val="00573897"/>
    <w:rsid w:val="005772F5"/>
    <w:rsid w:val="00577E2A"/>
    <w:rsid w:val="00584059"/>
    <w:rsid w:val="00585329"/>
    <w:rsid w:val="00585549"/>
    <w:rsid w:val="00587EDF"/>
    <w:rsid w:val="00590495"/>
    <w:rsid w:val="00592371"/>
    <w:rsid w:val="00592841"/>
    <w:rsid w:val="005931A6"/>
    <w:rsid w:val="005A317A"/>
    <w:rsid w:val="005A75D8"/>
    <w:rsid w:val="005B0925"/>
    <w:rsid w:val="005B143C"/>
    <w:rsid w:val="005B5A34"/>
    <w:rsid w:val="005C4A4F"/>
    <w:rsid w:val="005C6D1D"/>
    <w:rsid w:val="005C70C3"/>
    <w:rsid w:val="005D07F4"/>
    <w:rsid w:val="005D5288"/>
    <w:rsid w:val="005D5F5F"/>
    <w:rsid w:val="005E2C0B"/>
    <w:rsid w:val="005E7342"/>
    <w:rsid w:val="005F45B6"/>
    <w:rsid w:val="0060345F"/>
    <w:rsid w:val="00611B8E"/>
    <w:rsid w:val="006133EC"/>
    <w:rsid w:val="0061497B"/>
    <w:rsid w:val="006165AD"/>
    <w:rsid w:val="00616FEC"/>
    <w:rsid w:val="00622228"/>
    <w:rsid w:val="00624C47"/>
    <w:rsid w:val="0062611E"/>
    <w:rsid w:val="00631F63"/>
    <w:rsid w:val="006331A1"/>
    <w:rsid w:val="00634CAD"/>
    <w:rsid w:val="00635CF7"/>
    <w:rsid w:val="00660375"/>
    <w:rsid w:val="006605C5"/>
    <w:rsid w:val="0066197E"/>
    <w:rsid w:val="00661B09"/>
    <w:rsid w:val="00665AC9"/>
    <w:rsid w:val="00667357"/>
    <w:rsid w:val="00670691"/>
    <w:rsid w:val="0067315F"/>
    <w:rsid w:val="00674CE9"/>
    <w:rsid w:val="0068292E"/>
    <w:rsid w:val="00692DBA"/>
    <w:rsid w:val="00693ABC"/>
    <w:rsid w:val="00694C69"/>
    <w:rsid w:val="006954C6"/>
    <w:rsid w:val="006A2140"/>
    <w:rsid w:val="006A531B"/>
    <w:rsid w:val="006A6588"/>
    <w:rsid w:val="006A76C3"/>
    <w:rsid w:val="006B3139"/>
    <w:rsid w:val="006B71FC"/>
    <w:rsid w:val="006C4355"/>
    <w:rsid w:val="006C6636"/>
    <w:rsid w:val="006D3513"/>
    <w:rsid w:val="006D4E19"/>
    <w:rsid w:val="006D6015"/>
    <w:rsid w:val="006D6E46"/>
    <w:rsid w:val="006D7E5E"/>
    <w:rsid w:val="006E12E6"/>
    <w:rsid w:val="006E7CDF"/>
    <w:rsid w:val="006F079C"/>
    <w:rsid w:val="006F1B69"/>
    <w:rsid w:val="006F2FE9"/>
    <w:rsid w:val="006F368D"/>
    <w:rsid w:val="006F5F7E"/>
    <w:rsid w:val="006F7860"/>
    <w:rsid w:val="00704776"/>
    <w:rsid w:val="007071B8"/>
    <w:rsid w:val="0071172A"/>
    <w:rsid w:val="00715C4A"/>
    <w:rsid w:val="00716ABA"/>
    <w:rsid w:val="00722EAD"/>
    <w:rsid w:val="00723071"/>
    <w:rsid w:val="00725E35"/>
    <w:rsid w:val="007262DF"/>
    <w:rsid w:val="00727118"/>
    <w:rsid w:val="00733ACC"/>
    <w:rsid w:val="00734175"/>
    <w:rsid w:val="00734C0A"/>
    <w:rsid w:val="00740F93"/>
    <w:rsid w:val="0074397C"/>
    <w:rsid w:val="007448F3"/>
    <w:rsid w:val="00750129"/>
    <w:rsid w:val="007536D0"/>
    <w:rsid w:val="00755B15"/>
    <w:rsid w:val="00755E87"/>
    <w:rsid w:val="00762E34"/>
    <w:rsid w:val="00764E9E"/>
    <w:rsid w:val="0076572B"/>
    <w:rsid w:val="00771A83"/>
    <w:rsid w:val="00771C20"/>
    <w:rsid w:val="00772D66"/>
    <w:rsid w:val="00773CB8"/>
    <w:rsid w:val="007824B9"/>
    <w:rsid w:val="00786FDA"/>
    <w:rsid w:val="00794553"/>
    <w:rsid w:val="00794709"/>
    <w:rsid w:val="00795460"/>
    <w:rsid w:val="00796826"/>
    <w:rsid w:val="007A47C2"/>
    <w:rsid w:val="007B0E56"/>
    <w:rsid w:val="007B3701"/>
    <w:rsid w:val="007B4E1D"/>
    <w:rsid w:val="007C5C31"/>
    <w:rsid w:val="007C7AAE"/>
    <w:rsid w:val="007D0E8D"/>
    <w:rsid w:val="007D163D"/>
    <w:rsid w:val="007D20FC"/>
    <w:rsid w:val="007D3BF9"/>
    <w:rsid w:val="007D4526"/>
    <w:rsid w:val="007D729A"/>
    <w:rsid w:val="007E0A9D"/>
    <w:rsid w:val="007F1C06"/>
    <w:rsid w:val="007F3CF1"/>
    <w:rsid w:val="007F4B35"/>
    <w:rsid w:val="007F7535"/>
    <w:rsid w:val="00800985"/>
    <w:rsid w:val="00801372"/>
    <w:rsid w:val="00804FFD"/>
    <w:rsid w:val="00817648"/>
    <w:rsid w:val="00820975"/>
    <w:rsid w:val="008254EB"/>
    <w:rsid w:val="00826470"/>
    <w:rsid w:val="00827DDC"/>
    <w:rsid w:val="00833548"/>
    <w:rsid w:val="00844A1E"/>
    <w:rsid w:val="00847E62"/>
    <w:rsid w:val="00850E84"/>
    <w:rsid w:val="0085199C"/>
    <w:rsid w:val="0085241F"/>
    <w:rsid w:val="008530E1"/>
    <w:rsid w:val="008531CD"/>
    <w:rsid w:val="00854435"/>
    <w:rsid w:val="00857D3D"/>
    <w:rsid w:val="008610CC"/>
    <w:rsid w:val="00864C33"/>
    <w:rsid w:val="00865809"/>
    <w:rsid w:val="00874F4C"/>
    <w:rsid w:val="00875DD4"/>
    <w:rsid w:val="00875DDB"/>
    <w:rsid w:val="00880393"/>
    <w:rsid w:val="00880614"/>
    <w:rsid w:val="00882E2B"/>
    <w:rsid w:val="0088799E"/>
    <w:rsid w:val="00892CF5"/>
    <w:rsid w:val="00893F8E"/>
    <w:rsid w:val="008A2190"/>
    <w:rsid w:val="008A3568"/>
    <w:rsid w:val="008B0DE9"/>
    <w:rsid w:val="008B4EEA"/>
    <w:rsid w:val="008C38D7"/>
    <w:rsid w:val="008D1B24"/>
    <w:rsid w:val="008D1D1A"/>
    <w:rsid w:val="008D31CC"/>
    <w:rsid w:val="008E2C47"/>
    <w:rsid w:val="008E2E24"/>
    <w:rsid w:val="008E361C"/>
    <w:rsid w:val="008E37C3"/>
    <w:rsid w:val="008E3838"/>
    <w:rsid w:val="008E517F"/>
    <w:rsid w:val="008E52CD"/>
    <w:rsid w:val="008E6FA5"/>
    <w:rsid w:val="008F084B"/>
    <w:rsid w:val="008F1C51"/>
    <w:rsid w:val="008F2B10"/>
    <w:rsid w:val="008F7EE1"/>
    <w:rsid w:val="00905C83"/>
    <w:rsid w:val="00915063"/>
    <w:rsid w:val="0091578C"/>
    <w:rsid w:val="009200D2"/>
    <w:rsid w:val="0092205B"/>
    <w:rsid w:val="00927EE5"/>
    <w:rsid w:val="00930193"/>
    <w:rsid w:val="009308F1"/>
    <w:rsid w:val="00930C7F"/>
    <w:rsid w:val="00931282"/>
    <w:rsid w:val="00943E8A"/>
    <w:rsid w:val="00946E74"/>
    <w:rsid w:val="00947A82"/>
    <w:rsid w:val="00950B70"/>
    <w:rsid w:val="00951369"/>
    <w:rsid w:val="0095727F"/>
    <w:rsid w:val="00963501"/>
    <w:rsid w:val="00963C0C"/>
    <w:rsid w:val="00964B43"/>
    <w:rsid w:val="0096545B"/>
    <w:rsid w:val="00970339"/>
    <w:rsid w:val="00970A91"/>
    <w:rsid w:val="009717B0"/>
    <w:rsid w:val="009728AA"/>
    <w:rsid w:val="00983A31"/>
    <w:rsid w:val="00984E29"/>
    <w:rsid w:val="00987B67"/>
    <w:rsid w:val="00991E74"/>
    <w:rsid w:val="00993E6F"/>
    <w:rsid w:val="00995CBE"/>
    <w:rsid w:val="009A491D"/>
    <w:rsid w:val="009B1925"/>
    <w:rsid w:val="009B4859"/>
    <w:rsid w:val="009B4A79"/>
    <w:rsid w:val="009C1BE8"/>
    <w:rsid w:val="009C4239"/>
    <w:rsid w:val="009C5103"/>
    <w:rsid w:val="009C6477"/>
    <w:rsid w:val="009E26E6"/>
    <w:rsid w:val="009E5C76"/>
    <w:rsid w:val="009E72AA"/>
    <w:rsid w:val="009F0ED6"/>
    <w:rsid w:val="009F6348"/>
    <w:rsid w:val="00A0777D"/>
    <w:rsid w:val="00A1295D"/>
    <w:rsid w:val="00A144CA"/>
    <w:rsid w:val="00A25684"/>
    <w:rsid w:val="00A25D69"/>
    <w:rsid w:val="00A26266"/>
    <w:rsid w:val="00A2719C"/>
    <w:rsid w:val="00A27247"/>
    <w:rsid w:val="00A339AC"/>
    <w:rsid w:val="00A33E53"/>
    <w:rsid w:val="00A34C03"/>
    <w:rsid w:val="00A36025"/>
    <w:rsid w:val="00A404C0"/>
    <w:rsid w:val="00A4080D"/>
    <w:rsid w:val="00A44055"/>
    <w:rsid w:val="00A47F12"/>
    <w:rsid w:val="00A50C0E"/>
    <w:rsid w:val="00A51438"/>
    <w:rsid w:val="00A573AD"/>
    <w:rsid w:val="00A5769D"/>
    <w:rsid w:val="00A578B9"/>
    <w:rsid w:val="00A578F3"/>
    <w:rsid w:val="00A61140"/>
    <w:rsid w:val="00A629D6"/>
    <w:rsid w:val="00A6754C"/>
    <w:rsid w:val="00A67C19"/>
    <w:rsid w:val="00A75BA4"/>
    <w:rsid w:val="00A816A9"/>
    <w:rsid w:val="00A81DF6"/>
    <w:rsid w:val="00A824DF"/>
    <w:rsid w:val="00A900DD"/>
    <w:rsid w:val="00A93211"/>
    <w:rsid w:val="00A93732"/>
    <w:rsid w:val="00A9576F"/>
    <w:rsid w:val="00A972E7"/>
    <w:rsid w:val="00A973D8"/>
    <w:rsid w:val="00AA41FC"/>
    <w:rsid w:val="00AA4BD7"/>
    <w:rsid w:val="00AA5809"/>
    <w:rsid w:val="00AB4E29"/>
    <w:rsid w:val="00AB5A7E"/>
    <w:rsid w:val="00AC0BD8"/>
    <w:rsid w:val="00AC0DFF"/>
    <w:rsid w:val="00AC18E4"/>
    <w:rsid w:val="00AC5E83"/>
    <w:rsid w:val="00AC6F15"/>
    <w:rsid w:val="00AC714E"/>
    <w:rsid w:val="00AC7FBD"/>
    <w:rsid w:val="00AD4E7F"/>
    <w:rsid w:val="00AD61BC"/>
    <w:rsid w:val="00AF1929"/>
    <w:rsid w:val="00AF483A"/>
    <w:rsid w:val="00AF57B7"/>
    <w:rsid w:val="00B000A8"/>
    <w:rsid w:val="00B02B1F"/>
    <w:rsid w:val="00B0415E"/>
    <w:rsid w:val="00B0546E"/>
    <w:rsid w:val="00B0756D"/>
    <w:rsid w:val="00B07C15"/>
    <w:rsid w:val="00B1529E"/>
    <w:rsid w:val="00B23DB3"/>
    <w:rsid w:val="00B333DB"/>
    <w:rsid w:val="00B366B0"/>
    <w:rsid w:val="00B371EB"/>
    <w:rsid w:val="00B46FE6"/>
    <w:rsid w:val="00B50E49"/>
    <w:rsid w:val="00B5119D"/>
    <w:rsid w:val="00B54CC7"/>
    <w:rsid w:val="00B6148D"/>
    <w:rsid w:val="00B664D1"/>
    <w:rsid w:val="00B7651F"/>
    <w:rsid w:val="00B77D83"/>
    <w:rsid w:val="00B92188"/>
    <w:rsid w:val="00B93BED"/>
    <w:rsid w:val="00B94BC8"/>
    <w:rsid w:val="00B95319"/>
    <w:rsid w:val="00BA289C"/>
    <w:rsid w:val="00BA2940"/>
    <w:rsid w:val="00BA545C"/>
    <w:rsid w:val="00BA7A12"/>
    <w:rsid w:val="00BB120F"/>
    <w:rsid w:val="00BB7C2D"/>
    <w:rsid w:val="00BB7D99"/>
    <w:rsid w:val="00BC0761"/>
    <w:rsid w:val="00BC455E"/>
    <w:rsid w:val="00BC45F7"/>
    <w:rsid w:val="00BC4A1A"/>
    <w:rsid w:val="00BC67E2"/>
    <w:rsid w:val="00BC778E"/>
    <w:rsid w:val="00BD03D3"/>
    <w:rsid w:val="00BD5704"/>
    <w:rsid w:val="00BE12EB"/>
    <w:rsid w:val="00BE4FDD"/>
    <w:rsid w:val="00BF073D"/>
    <w:rsid w:val="00C0086A"/>
    <w:rsid w:val="00C0436F"/>
    <w:rsid w:val="00C06D0C"/>
    <w:rsid w:val="00C10051"/>
    <w:rsid w:val="00C1284D"/>
    <w:rsid w:val="00C167FD"/>
    <w:rsid w:val="00C178D2"/>
    <w:rsid w:val="00C20219"/>
    <w:rsid w:val="00C22F94"/>
    <w:rsid w:val="00C22FC3"/>
    <w:rsid w:val="00C231B8"/>
    <w:rsid w:val="00C249F7"/>
    <w:rsid w:val="00C24CA2"/>
    <w:rsid w:val="00C275DE"/>
    <w:rsid w:val="00C319DE"/>
    <w:rsid w:val="00C35934"/>
    <w:rsid w:val="00C36287"/>
    <w:rsid w:val="00C4407E"/>
    <w:rsid w:val="00C509AA"/>
    <w:rsid w:val="00C52122"/>
    <w:rsid w:val="00C53CDF"/>
    <w:rsid w:val="00C55DF1"/>
    <w:rsid w:val="00C6064E"/>
    <w:rsid w:val="00C6164F"/>
    <w:rsid w:val="00C61FA0"/>
    <w:rsid w:val="00C652A3"/>
    <w:rsid w:val="00C67C66"/>
    <w:rsid w:val="00C72350"/>
    <w:rsid w:val="00C751D6"/>
    <w:rsid w:val="00C75BC4"/>
    <w:rsid w:val="00C77C5E"/>
    <w:rsid w:val="00C804AB"/>
    <w:rsid w:val="00C8249F"/>
    <w:rsid w:val="00C84090"/>
    <w:rsid w:val="00C850B3"/>
    <w:rsid w:val="00C85B0D"/>
    <w:rsid w:val="00C85F76"/>
    <w:rsid w:val="00C86C56"/>
    <w:rsid w:val="00C976F0"/>
    <w:rsid w:val="00CA0FF9"/>
    <w:rsid w:val="00CA1AFA"/>
    <w:rsid w:val="00CA1CA2"/>
    <w:rsid w:val="00CA59D2"/>
    <w:rsid w:val="00CB0227"/>
    <w:rsid w:val="00CB0550"/>
    <w:rsid w:val="00CB12F3"/>
    <w:rsid w:val="00CB2F4F"/>
    <w:rsid w:val="00CB442A"/>
    <w:rsid w:val="00CC1525"/>
    <w:rsid w:val="00CC388E"/>
    <w:rsid w:val="00CC4973"/>
    <w:rsid w:val="00CC6567"/>
    <w:rsid w:val="00CC769C"/>
    <w:rsid w:val="00CD20AF"/>
    <w:rsid w:val="00CD29FA"/>
    <w:rsid w:val="00CD404A"/>
    <w:rsid w:val="00CD446F"/>
    <w:rsid w:val="00CD5357"/>
    <w:rsid w:val="00CD66B0"/>
    <w:rsid w:val="00CE0E9C"/>
    <w:rsid w:val="00CE29E2"/>
    <w:rsid w:val="00CE5B27"/>
    <w:rsid w:val="00CF1288"/>
    <w:rsid w:val="00CF13F3"/>
    <w:rsid w:val="00CF17EA"/>
    <w:rsid w:val="00CF51E0"/>
    <w:rsid w:val="00CF762D"/>
    <w:rsid w:val="00D01059"/>
    <w:rsid w:val="00D04062"/>
    <w:rsid w:val="00D13216"/>
    <w:rsid w:val="00D138F8"/>
    <w:rsid w:val="00D14FC7"/>
    <w:rsid w:val="00D15646"/>
    <w:rsid w:val="00D161E4"/>
    <w:rsid w:val="00D16E9D"/>
    <w:rsid w:val="00D17B6C"/>
    <w:rsid w:val="00D22766"/>
    <w:rsid w:val="00D231E0"/>
    <w:rsid w:val="00D238B5"/>
    <w:rsid w:val="00D26063"/>
    <w:rsid w:val="00D269C8"/>
    <w:rsid w:val="00D30DA7"/>
    <w:rsid w:val="00D32F99"/>
    <w:rsid w:val="00D33093"/>
    <w:rsid w:val="00D35C87"/>
    <w:rsid w:val="00D36DF5"/>
    <w:rsid w:val="00D401A5"/>
    <w:rsid w:val="00D403BC"/>
    <w:rsid w:val="00D40B6B"/>
    <w:rsid w:val="00D46243"/>
    <w:rsid w:val="00D471F8"/>
    <w:rsid w:val="00D47DFA"/>
    <w:rsid w:val="00D50B07"/>
    <w:rsid w:val="00D52A86"/>
    <w:rsid w:val="00D53C0C"/>
    <w:rsid w:val="00D549BE"/>
    <w:rsid w:val="00D559DA"/>
    <w:rsid w:val="00D6029A"/>
    <w:rsid w:val="00D65901"/>
    <w:rsid w:val="00D719BF"/>
    <w:rsid w:val="00D72560"/>
    <w:rsid w:val="00D74E78"/>
    <w:rsid w:val="00D76B4D"/>
    <w:rsid w:val="00D82CC8"/>
    <w:rsid w:val="00D855A9"/>
    <w:rsid w:val="00D866B4"/>
    <w:rsid w:val="00DA2AF3"/>
    <w:rsid w:val="00DB032A"/>
    <w:rsid w:val="00DB0EFB"/>
    <w:rsid w:val="00DB1EC9"/>
    <w:rsid w:val="00DB38AB"/>
    <w:rsid w:val="00DB4278"/>
    <w:rsid w:val="00DB554A"/>
    <w:rsid w:val="00DB5A04"/>
    <w:rsid w:val="00DB63D7"/>
    <w:rsid w:val="00DB6AD4"/>
    <w:rsid w:val="00DC000A"/>
    <w:rsid w:val="00DC1569"/>
    <w:rsid w:val="00DC622F"/>
    <w:rsid w:val="00DD1B49"/>
    <w:rsid w:val="00DD344F"/>
    <w:rsid w:val="00DD34B1"/>
    <w:rsid w:val="00DD350C"/>
    <w:rsid w:val="00DE023F"/>
    <w:rsid w:val="00DE11F8"/>
    <w:rsid w:val="00DE5841"/>
    <w:rsid w:val="00DE5D24"/>
    <w:rsid w:val="00DE6967"/>
    <w:rsid w:val="00DF1708"/>
    <w:rsid w:val="00DF3680"/>
    <w:rsid w:val="00DF3D82"/>
    <w:rsid w:val="00DF59B7"/>
    <w:rsid w:val="00DF766B"/>
    <w:rsid w:val="00E04145"/>
    <w:rsid w:val="00E07557"/>
    <w:rsid w:val="00E10023"/>
    <w:rsid w:val="00E155F3"/>
    <w:rsid w:val="00E16CBC"/>
    <w:rsid w:val="00E17C36"/>
    <w:rsid w:val="00E233EF"/>
    <w:rsid w:val="00E354C1"/>
    <w:rsid w:val="00E36B15"/>
    <w:rsid w:val="00E400D3"/>
    <w:rsid w:val="00E40A71"/>
    <w:rsid w:val="00E4257D"/>
    <w:rsid w:val="00E4267E"/>
    <w:rsid w:val="00E47A2B"/>
    <w:rsid w:val="00E51D38"/>
    <w:rsid w:val="00E53D52"/>
    <w:rsid w:val="00E53DA5"/>
    <w:rsid w:val="00E561D0"/>
    <w:rsid w:val="00E64F68"/>
    <w:rsid w:val="00E6681B"/>
    <w:rsid w:val="00E674E1"/>
    <w:rsid w:val="00E71166"/>
    <w:rsid w:val="00E73687"/>
    <w:rsid w:val="00E74485"/>
    <w:rsid w:val="00E8407E"/>
    <w:rsid w:val="00E858E0"/>
    <w:rsid w:val="00E905A1"/>
    <w:rsid w:val="00E93BBC"/>
    <w:rsid w:val="00E94445"/>
    <w:rsid w:val="00EA3198"/>
    <w:rsid w:val="00EA4D94"/>
    <w:rsid w:val="00EB06E9"/>
    <w:rsid w:val="00EB3308"/>
    <w:rsid w:val="00EB43A2"/>
    <w:rsid w:val="00EB5516"/>
    <w:rsid w:val="00EC0821"/>
    <w:rsid w:val="00EC3BD7"/>
    <w:rsid w:val="00EC3BE6"/>
    <w:rsid w:val="00EC489B"/>
    <w:rsid w:val="00EC4F7F"/>
    <w:rsid w:val="00EC5962"/>
    <w:rsid w:val="00EC6177"/>
    <w:rsid w:val="00EC7449"/>
    <w:rsid w:val="00ED5C54"/>
    <w:rsid w:val="00EE16AE"/>
    <w:rsid w:val="00EF5552"/>
    <w:rsid w:val="00EF5A0E"/>
    <w:rsid w:val="00EF6FF5"/>
    <w:rsid w:val="00F0392B"/>
    <w:rsid w:val="00F05748"/>
    <w:rsid w:val="00F059E7"/>
    <w:rsid w:val="00F06E2F"/>
    <w:rsid w:val="00F15149"/>
    <w:rsid w:val="00F1582A"/>
    <w:rsid w:val="00F17A05"/>
    <w:rsid w:val="00F17C0B"/>
    <w:rsid w:val="00F26A3D"/>
    <w:rsid w:val="00F275FA"/>
    <w:rsid w:val="00F349B3"/>
    <w:rsid w:val="00F362E5"/>
    <w:rsid w:val="00F479F6"/>
    <w:rsid w:val="00F5356D"/>
    <w:rsid w:val="00F557EF"/>
    <w:rsid w:val="00F55970"/>
    <w:rsid w:val="00F56695"/>
    <w:rsid w:val="00F6438D"/>
    <w:rsid w:val="00F65106"/>
    <w:rsid w:val="00F66012"/>
    <w:rsid w:val="00F66864"/>
    <w:rsid w:val="00F67C54"/>
    <w:rsid w:val="00F70C81"/>
    <w:rsid w:val="00F725AF"/>
    <w:rsid w:val="00F7468A"/>
    <w:rsid w:val="00F76287"/>
    <w:rsid w:val="00F77C6C"/>
    <w:rsid w:val="00F80208"/>
    <w:rsid w:val="00F82F3F"/>
    <w:rsid w:val="00F87821"/>
    <w:rsid w:val="00F90505"/>
    <w:rsid w:val="00F9059C"/>
    <w:rsid w:val="00F91BDF"/>
    <w:rsid w:val="00F92610"/>
    <w:rsid w:val="00F940FA"/>
    <w:rsid w:val="00F941F3"/>
    <w:rsid w:val="00FA0C31"/>
    <w:rsid w:val="00FA2B4C"/>
    <w:rsid w:val="00FA61A6"/>
    <w:rsid w:val="00FB3121"/>
    <w:rsid w:val="00FB5756"/>
    <w:rsid w:val="00FB7E73"/>
    <w:rsid w:val="00FC1F7D"/>
    <w:rsid w:val="00FC5503"/>
    <w:rsid w:val="00FC65D8"/>
    <w:rsid w:val="00FE4FC4"/>
    <w:rsid w:val="00FF2697"/>
    <w:rsid w:val="00FF2FDB"/>
    <w:rsid w:val="00FF34B4"/>
    <w:rsid w:val="00FF3AEF"/>
    <w:rsid w:val="00FF72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F8091"/>
  <w15:docId w15:val="{A5BBDB9A-BD97-4A4F-B9D8-5BBC9A89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DengXian" w:hAnsi="Aptos" w:cs="Arial"/>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eastAsia="DengXian Light" w:hAnsi="Aptos Display" w:cs="Times New Roman"/>
      <w:color w:val="0F4761"/>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ptos Display" w:eastAsia="DengXian Light" w:hAnsi="Aptos Display" w:cs="Times New Roman"/>
      <w:color w:val="0F4761"/>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DengXian Light" w:cs="Times New Roman"/>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DengXian Light" w:cs="Times New Roman"/>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DengXian Light" w:cs="Times New Roman"/>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DengXian Light" w:cs="Times New Roma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DengXian Light" w:cs="Times New Roman"/>
      <w:color w:val="595959"/>
    </w:rPr>
  </w:style>
  <w:style w:type="paragraph" w:styleId="Heading8">
    <w:name w:val="heading 8"/>
    <w:basedOn w:val="Normal"/>
    <w:next w:val="Normal"/>
    <w:link w:val="Heading8Char"/>
    <w:uiPriority w:val="9"/>
    <w:qFormat/>
    <w:pPr>
      <w:keepNext/>
      <w:keepLines/>
      <w:spacing w:after="0"/>
      <w:outlineLvl w:val="7"/>
    </w:pPr>
    <w:rPr>
      <w:rFonts w:eastAsia="DengXian Light" w:cs="Times New Roman"/>
      <w:i/>
      <w:iCs/>
      <w:color w:val="272727"/>
    </w:rPr>
  </w:style>
  <w:style w:type="paragraph" w:styleId="Heading9">
    <w:name w:val="heading 9"/>
    <w:basedOn w:val="Normal"/>
    <w:next w:val="Normal"/>
    <w:link w:val="Heading9Char"/>
    <w:uiPriority w:val="9"/>
    <w:qFormat/>
    <w:pPr>
      <w:keepNext/>
      <w:keepLines/>
      <w:spacing w:after="0"/>
      <w:outlineLvl w:val="8"/>
    </w:pPr>
    <w:rPr>
      <w:rFonts w:eastAsia="DengXian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DengXian Light" w:hAnsi="Aptos Display" w:cs="Times New Roman"/>
      <w:color w:val="0F4761"/>
      <w:sz w:val="40"/>
      <w:szCs w:val="40"/>
    </w:rPr>
  </w:style>
  <w:style w:type="character" w:customStyle="1" w:styleId="Heading2Char">
    <w:name w:val="Heading 2 Char"/>
    <w:basedOn w:val="DefaultParagraphFont"/>
    <w:link w:val="Heading2"/>
    <w:uiPriority w:val="9"/>
    <w:rPr>
      <w:rFonts w:ascii="Aptos Display" w:eastAsia="DengXian Light" w:hAnsi="Aptos Display" w:cs="Times New Roman"/>
      <w:color w:val="0F4761"/>
      <w:sz w:val="32"/>
      <w:szCs w:val="32"/>
    </w:rPr>
  </w:style>
  <w:style w:type="character" w:customStyle="1" w:styleId="Heading3Char">
    <w:name w:val="Heading 3 Char"/>
    <w:basedOn w:val="DefaultParagraphFont"/>
    <w:link w:val="Heading3"/>
    <w:uiPriority w:val="9"/>
    <w:rPr>
      <w:rFonts w:eastAsia="DengXian Light" w:cs="Times New Roman"/>
      <w:color w:val="0F4761"/>
      <w:sz w:val="28"/>
      <w:szCs w:val="28"/>
    </w:rPr>
  </w:style>
  <w:style w:type="character" w:customStyle="1" w:styleId="Heading4Char">
    <w:name w:val="Heading 4 Char"/>
    <w:basedOn w:val="DefaultParagraphFont"/>
    <w:link w:val="Heading4"/>
    <w:uiPriority w:val="9"/>
    <w:rPr>
      <w:rFonts w:eastAsia="DengXian Light" w:cs="Times New Roman"/>
      <w:i/>
      <w:iCs/>
      <w:color w:val="0F4761"/>
    </w:rPr>
  </w:style>
  <w:style w:type="character" w:customStyle="1" w:styleId="Heading5Char">
    <w:name w:val="Heading 5 Char"/>
    <w:basedOn w:val="DefaultParagraphFont"/>
    <w:link w:val="Heading5"/>
    <w:uiPriority w:val="9"/>
    <w:rPr>
      <w:rFonts w:eastAsia="DengXian Light" w:cs="Times New Roman"/>
      <w:color w:val="0F4761"/>
    </w:rPr>
  </w:style>
  <w:style w:type="character" w:customStyle="1" w:styleId="Heading6Char">
    <w:name w:val="Heading 6 Char"/>
    <w:basedOn w:val="DefaultParagraphFont"/>
    <w:link w:val="Heading6"/>
    <w:uiPriority w:val="9"/>
    <w:rPr>
      <w:rFonts w:eastAsia="DengXian Light" w:cs="Times New Roman"/>
      <w:i/>
      <w:iCs/>
      <w:color w:val="595959"/>
    </w:rPr>
  </w:style>
  <w:style w:type="character" w:customStyle="1" w:styleId="Heading7Char">
    <w:name w:val="Heading 7 Char"/>
    <w:basedOn w:val="DefaultParagraphFont"/>
    <w:link w:val="Heading7"/>
    <w:uiPriority w:val="9"/>
    <w:rPr>
      <w:rFonts w:eastAsia="DengXian Light" w:cs="Times New Roman"/>
      <w:color w:val="595959"/>
    </w:rPr>
  </w:style>
  <w:style w:type="character" w:customStyle="1" w:styleId="Heading8Char">
    <w:name w:val="Heading 8 Char"/>
    <w:basedOn w:val="DefaultParagraphFont"/>
    <w:link w:val="Heading8"/>
    <w:uiPriority w:val="9"/>
    <w:rPr>
      <w:rFonts w:eastAsia="DengXian Light" w:cs="Times New Roman"/>
      <w:i/>
      <w:iCs/>
      <w:color w:val="272727"/>
    </w:rPr>
  </w:style>
  <w:style w:type="character" w:customStyle="1" w:styleId="Heading9Char">
    <w:name w:val="Heading 9 Char"/>
    <w:basedOn w:val="DefaultParagraphFont"/>
    <w:link w:val="Heading9"/>
    <w:uiPriority w:val="9"/>
    <w:rPr>
      <w:rFonts w:eastAsia="DengXian Light" w:cs="Times New Roman"/>
      <w:color w:val="272727"/>
    </w:rPr>
  </w:style>
  <w:style w:type="paragraph" w:styleId="Title">
    <w:name w:val="Title"/>
    <w:basedOn w:val="Normal"/>
    <w:next w:val="Normal"/>
    <w:link w:val="TitleChar"/>
    <w:uiPriority w:val="10"/>
    <w:qFormat/>
    <w:pPr>
      <w:spacing w:after="80" w:line="240" w:lineRule="auto"/>
      <w:contextualSpacing/>
    </w:pPr>
    <w:rPr>
      <w:rFonts w:ascii="Aptos Display" w:eastAsia="DengXian Light" w:hAnsi="Aptos Display" w:cs="Times New Roman"/>
      <w:spacing w:val="-10"/>
      <w:kern w:val="28"/>
      <w:sz w:val="56"/>
      <w:szCs w:val="56"/>
    </w:rPr>
  </w:style>
  <w:style w:type="character" w:customStyle="1" w:styleId="TitleChar">
    <w:name w:val="Title Char"/>
    <w:basedOn w:val="DefaultParagraphFont"/>
    <w:link w:val="Title"/>
    <w:uiPriority w:val="10"/>
    <w:rPr>
      <w:rFonts w:ascii="Aptos Display" w:eastAsia="DengXian Light" w:hAnsi="Aptos Display" w:cs="Times New Roman"/>
      <w:spacing w:val="-10"/>
      <w:kern w:val="28"/>
      <w:sz w:val="56"/>
      <w:szCs w:val="56"/>
    </w:rPr>
  </w:style>
  <w:style w:type="paragraph" w:styleId="Subtitle">
    <w:name w:val="Subtitle"/>
    <w:basedOn w:val="Normal"/>
    <w:next w:val="Normal"/>
    <w:link w:val="SubtitleChar"/>
    <w:uiPriority w:val="11"/>
    <w:qFormat/>
    <w:pPr>
      <w:numPr>
        <w:ilvl w:val="1"/>
      </w:numPr>
    </w:pPr>
    <w:rPr>
      <w:rFonts w:eastAsia="DengXian Light" w:cs="Times New Roman"/>
      <w:color w:val="595959"/>
      <w:spacing w:val="15"/>
      <w:sz w:val="28"/>
      <w:szCs w:val="28"/>
    </w:rPr>
  </w:style>
  <w:style w:type="character" w:customStyle="1" w:styleId="SubtitleChar">
    <w:name w:val="Subtitle Char"/>
    <w:basedOn w:val="DefaultParagraphFont"/>
    <w:link w:val="Subtitle"/>
    <w:uiPriority w:val="11"/>
    <w:rPr>
      <w:rFonts w:eastAsia="DengXian Light" w:cs="Times New Roma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pPr>
      <w:spacing w:after="0" w:line="240" w:lineRule="auto"/>
    </w:pPr>
    <w:rPr>
      <w:rFonts w:ascii="Calibri" w:eastAsia="SimSun" w:hAnsi="Calibri"/>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rPr>
      <w:rFonts w:ascii="Times New Roman" w:hAnsi="Times New Roman" w:cs="Times New Roman"/>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728AA"/>
    <w:rPr>
      <w:b/>
      <w:bCs/>
    </w:rPr>
  </w:style>
  <w:style w:type="character" w:customStyle="1" w:styleId="CommentSubjectChar">
    <w:name w:val="Comment Subject Char"/>
    <w:basedOn w:val="CommentTextChar"/>
    <w:link w:val="CommentSubject"/>
    <w:uiPriority w:val="99"/>
    <w:semiHidden/>
    <w:rsid w:val="009728AA"/>
    <w:rPr>
      <w:b/>
      <w:bCs/>
      <w:sz w:val="20"/>
      <w:szCs w:val="20"/>
    </w:rPr>
  </w:style>
  <w:style w:type="character" w:styleId="Hyperlink">
    <w:name w:val="Hyperlink"/>
    <w:basedOn w:val="DefaultParagraphFont"/>
    <w:uiPriority w:val="99"/>
    <w:unhideWhenUsed/>
    <w:rsid w:val="009728AA"/>
    <w:rPr>
      <w:color w:val="0000FF" w:themeColor="hyperlink"/>
      <w:u w:val="single"/>
    </w:rPr>
  </w:style>
  <w:style w:type="character" w:customStyle="1" w:styleId="UnresolvedMention1">
    <w:name w:val="Unresolved Mention1"/>
    <w:basedOn w:val="DefaultParagraphFont"/>
    <w:uiPriority w:val="99"/>
    <w:semiHidden/>
    <w:unhideWhenUsed/>
    <w:rsid w:val="009728AA"/>
    <w:rPr>
      <w:color w:val="605E5C"/>
      <w:shd w:val="clear" w:color="auto" w:fill="E1DFDD"/>
    </w:rPr>
  </w:style>
  <w:style w:type="character" w:styleId="FollowedHyperlink">
    <w:name w:val="FollowedHyperlink"/>
    <w:basedOn w:val="DefaultParagraphFont"/>
    <w:uiPriority w:val="99"/>
    <w:semiHidden/>
    <w:unhideWhenUsed/>
    <w:rsid w:val="001D6C1F"/>
    <w:rPr>
      <w:color w:val="800080" w:themeColor="followedHyperlink"/>
      <w:u w:val="single"/>
    </w:rPr>
  </w:style>
  <w:style w:type="paragraph" w:styleId="Header">
    <w:name w:val="header"/>
    <w:basedOn w:val="Normal"/>
    <w:link w:val="HeaderChar"/>
    <w:uiPriority w:val="99"/>
    <w:unhideWhenUsed/>
    <w:rsid w:val="00F05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E7"/>
  </w:style>
  <w:style w:type="paragraph" w:styleId="Footer">
    <w:name w:val="footer"/>
    <w:basedOn w:val="Normal"/>
    <w:link w:val="FooterChar"/>
    <w:uiPriority w:val="99"/>
    <w:unhideWhenUsed/>
    <w:rsid w:val="00F05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9678">
      <w:bodyDiv w:val="1"/>
      <w:marLeft w:val="0"/>
      <w:marRight w:val="0"/>
      <w:marTop w:val="0"/>
      <w:marBottom w:val="0"/>
      <w:divBdr>
        <w:top w:val="none" w:sz="0" w:space="0" w:color="auto"/>
        <w:left w:val="none" w:sz="0" w:space="0" w:color="auto"/>
        <w:bottom w:val="none" w:sz="0" w:space="0" w:color="auto"/>
        <w:right w:val="none" w:sz="0" w:space="0" w:color="auto"/>
      </w:divBdr>
      <w:divsChild>
        <w:div w:id="613102365">
          <w:marLeft w:val="0"/>
          <w:marRight w:val="0"/>
          <w:marTop w:val="0"/>
          <w:marBottom w:val="0"/>
          <w:divBdr>
            <w:top w:val="none" w:sz="0" w:space="0" w:color="auto"/>
            <w:left w:val="none" w:sz="0" w:space="0" w:color="auto"/>
            <w:bottom w:val="none" w:sz="0" w:space="0" w:color="auto"/>
            <w:right w:val="none" w:sz="0" w:space="0" w:color="auto"/>
          </w:divBdr>
          <w:divsChild>
            <w:div w:id="895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971">
      <w:bodyDiv w:val="1"/>
      <w:marLeft w:val="0"/>
      <w:marRight w:val="0"/>
      <w:marTop w:val="0"/>
      <w:marBottom w:val="0"/>
      <w:divBdr>
        <w:top w:val="none" w:sz="0" w:space="0" w:color="auto"/>
        <w:left w:val="none" w:sz="0" w:space="0" w:color="auto"/>
        <w:bottom w:val="none" w:sz="0" w:space="0" w:color="auto"/>
        <w:right w:val="none" w:sz="0" w:space="0" w:color="auto"/>
      </w:divBdr>
    </w:div>
    <w:div w:id="31881211">
      <w:bodyDiv w:val="1"/>
      <w:marLeft w:val="0"/>
      <w:marRight w:val="0"/>
      <w:marTop w:val="0"/>
      <w:marBottom w:val="0"/>
      <w:divBdr>
        <w:top w:val="none" w:sz="0" w:space="0" w:color="auto"/>
        <w:left w:val="none" w:sz="0" w:space="0" w:color="auto"/>
        <w:bottom w:val="none" w:sz="0" w:space="0" w:color="auto"/>
        <w:right w:val="none" w:sz="0" w:space="0" w:color="auto"/>
      </w:divBdr>
    </w:div>
    <w:div w:id="32079186">
      <w:bodyDiv w:val="1"/>
      <w:marLeft w:val="0"/>
      <w:marRight w:val="0"/>
      <w:marTop w:val="0"/>
      <w:marBottom w:val="0"/>
      <w:divBdr>
        <w:top w:val="none" w:sz="0" w:space="0" w:color="auto"/>
        <w:left w:val="none" w:sz="0" w:space="0" w:color="auto"/>
        <w:bottom w:val="none" w:sz="0" w:space="0" w:color="auto"/>
        <w:right w:val="none" w:sz="0" w:space="0" w:color="auto"/>
      </w:divBdr>
      <w:divsChild>
        <w:div w:id="41297406">
          <w:marLeft w:val="0"/>
          <w:marRight w:val="0"/>
          <w:marTop w:val="0"/>
          <w:marBottom w:val="0"/>
          <w:divBdr>
            <w:top w:val="none" w:sz="0" w:space="0" w:color="auto"/>
            <w:left w:val="none" w:sz="0" w:space="0" w:color="auto"/>
            <w:bottom w:val="none" w:sz="0" w:space="0" w:color="auto"/>
            <w:right w:val="none" w:sz="0" w:space="0" w:color="auto"/>
          </w:divBdr>
          <w:divsChild>
            <w:div w:id="922422126">
              <w:marLeft w:val="0"/>
              <w:marRight w:val="0"/>
              <w:marTop w:val="0"/>
              <w:marBottom w:val="0"/>
              <w:divBdr>
                <w:top w:val="none" w:sz="0" w:space="0" w:color="auto"/>
                <w:left w:val="none" w:sz="0" w:space="0" w:color="auto"/>
                <w:bottom w:val="none" w:sz="0" w:space="0" w:color="auto"/>
                <w:right w:val="none" w:sz="0" w:space="0" w:color="auto"/>
              </w:divBdr>
              <w:divsChild>
                <w:div w:id="669606069">
                  <w:marLeft w:val="0"/>
                  <w:marRight w:val="0"/>
                  <w:marTop w:val="0"/>
                  <w:marBottom w:val="0"/>
                  <w:divBdr>
                    <w:top w:val="none" w:sz="0" w:space="0" w:color="auto"/>
                    <w:left w:val="none" w:sz="0" w:space="0" w:color="auto"/>
                    <w:bottom w:val="none" w:sz="0" w:space="0" w:color="auto"/>
                    <w:right w:val="none" w:sz="0" w:space="0" w:color="auto"/>
                  </w:divBdr>
                  <w:divsChild>
                    <w:div w:id="1367831516">
                      <w:marLeft w:val="0"/>
                      <w:marRight w:val="0"/>
                      <w:marTop w:val="0"/>
                      <w:marBottom w:val="0"/>
                      <w:divBdr>
                        <w:top w:val="none" w:sz="0" w:space="0" w:color="auto"/>
                        <w:left w:val="none" w:sz="0" w:space="0" w:color="auto"/>
                        <w:bottom w:val="none" w:sz="0" w:space="0" w:color="auto"/>
                        <w:right w:val="none" w:sz="0" w:space="0" w:color="auto"/>
                      </w:divBdr>
                      <w:divsChild>
                        <w:div w:id="455562511">
                          <w:marLeft w:val="0"/>
                          <w:marRight w:val="0"/>
                          <w:marTop w:val="0"/>
                          <w:marBottom w:val="0"/>
                          <w:divBdr>
                            <w:top w:val="none" w:sz="0" w:space="0" w:color="auto"/>
                            <w:left w:val="none" w:sz="0" w:space="0" w:color="auto"/>
                            <w:bottom w:val="none" w:sz="0" w:space="0" w:color="auto"/>
                            <w:right w:val="none" w:sz="0" w:space="0" w:color="auto"/>
                          </w:divBdr>
                          <w:divsChild>
                            <w:div w:id="2012752022">
                              <w:marLeft w:val="0"/>
                              <w:marRight w:val="0"/>
                              <w:marTop w:val="0"/>
                              <w:marBottom w:val="0"/>
                              <w:divBdr>
                                <w:top w:val="none" w:sz="0" w:space="0" w:color="auto"/>
                                <w:left w:val="none" w:sz="0" w:space="0" w:color="auto"/>
                                <w:bottom w:val="none" w:sz="0" w:space="0" w:color="auto"/>
                                <w:right w:val="none" w:sz="0" w:space="0" w:color="auto"/>
                              </w:divBdr>
                              <w:divsChild>
                                <w:div w:id="1506434231">
                                  <w:marLeft w:val="0"/>
                                  <w:marRight w:val="0"/>
                                  <w:marTop w:val="0"/>
                                  <w:marBottom w:val="0"/>
                                  <w:divBdr>
                                    <w:top w:val="none" w:sz="0" w:space="0" w:color="auto"/>
                                    <w:left w:val="none" w:sz="0" w:space="0" w:color="auto"/>
                                    <w:bottom w:val="none" w:sz="0" w:space="0" w:color="auto"/>
                                    <w:right w:val="none" w:sz="0" w:space="0" w:color="auto"/>
                                  </w:divBdr>
                                  <w:divsChild>
                                    <w:div w:id="2976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9805">
                      <w:marLeft w:val="0"/>
                      <w:marRight w:val="0"/>
                      <w:marTop w:val="0"/>
                      <w:marBottom w:val="0"/>
                      <w:divBdr>
                        <w:top w:val="none" w:sz="0" w:space="0" w:color="auto"/>
                        <w:left w:val="none" w:sz="0" w:space="0" w:color="auto"/>
                        <w:bottom w:val="none" w:sz="0" w:space="0" w:color="auto"/>
                        <w:right w:val="none" w:sz="0" w:space="0" w:color="auto"/>
                      </w:divBdr>
                      <w:divsChild>
                        <w:div w:id="20121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84284">
      <w:bodyDiv w:val="1"/>
      <w:marLeft w:val="0"/>
      <w:marRight w:val="0"/>
      <w:marTop w:val="0"/>
      <w:marBottom w:val="0"/>
      <w:divBdr>
        <w:top w:val="none" w:sz="0" w:space="0" w:color="auto"/>
        <w:left w:val="none" w:sz="0" w:space="0" w:color="auto"/>
        <w:bottom w:val="none" w:sz="0" w:space="0" w:color="auto"/>
        <w:right w:val="none" w:sz="0" w:space="0" w:color="auto"/>
      </w:divBdr>
    </w:div>
    <w:div w:id="68814032">
      <w:bodyDiv w:val="1"/>
      <w:marLeft w:val="0"/>
      <w:marRight w:val="0"/>
      <w:marTop w:val="0"/>
      <w:marBottom w:val="0"/>
      <w:divBdr>
        <w:top w:val="none" w:sz="0" w:space="0" w:color="auto"/>
        <w:left w:val="none" w:sz="0" w:space="0" w:color="auto"/>
        <w:bottom w:val="none" w:sz="0" w:space="0" w:color="auto"/>
        <w:right w:val="none" w:sz="0" w:space="0" w:color="auto"/>
      </w:divBdr>
    </w:div>
    <w:div w:id="82722199">
      <w:bodyDiv w:val="1"/>
      <w:marLeft w:val="0"/>
      <w:marRight w:val="0"/>
      <w:marTop w:val="0"/>
      <w:marBottom w:val="0"/>
      <w:divBdr>
        <w:top w:val="none" w:sz="0" w:space="0" w:color="auto"/>
        <w:left w:val="none" w:sz="0" w:space="0" w:color="auto"/>
        <w:bottom w:val="none" w:sz="0" w:space="0" w:color="auto"/>
        <w:right w:val="none" w:sz="0" w:space="0" w:color="auto"/>
      </w:divBdr>
    </w:div>
    <w:div w:id="93987118">
      <w:bodyDiv w:val="1"/>
      <w:marLeft w:val="0"/>
      <w:marRight w:val="0"/>
      <w:marTop w:val="0"/>
      <w:marBottom w:val="0"/>
      <w:divBdr>
        <w:top w:val="none" w:sz="0" w:space="0" w:color="auto"/>
        <w:left w:val="none" w:sz="0" w:space="0" w:color="auto"/>
        <w:bottom w:val="none" w:sz="0" w:space="0" w:color="auto"/>
        <w:right w:val="none" w:sz="0" w:space="0" w:color="auto"/>
      </w:divBdr>
    </w:div>
    <w:div w:id="106431507">
      <w:bodyDiv w:val="1"/>
      <w:marLeft w:val="0"/>
      <w:marRight w:val="0"/>
      <w:marTop w:val="0"/>
      <w:marBottom w:val="0"/>
      <w:divBdr>
        <w:top w:val="none" w:sz="0" w:space="0" w:color="auto"/>
        <w:left w:val="none" w:sz="0" w:space="0" w:color="auto"/>
        <w:bottom w:val="none" w:sz="0" w:space="0" w:color="auto"/>
        <w:right w:val="none" w:sz="0" w:space="0" w:color="auto"/>
      </w:divBdr>
    </w:div>
    <w:div w:id="109475834">
      <w:bodyDiv w:val="1"/>
      <w:marLeft w:val="0"/>
      <w:marRight w:val="0"/>
      <w:marTop w:val="0"/>
      <w:marBottom w:val="0"/>
      <w:divBdr>
        <w:top w:val="none" w:sz="0" w:space="0" w:color="auto"/>
        <w:left w:val="none" w:sz="0" w:space="0" w:color="auto"/>
        <w:bottom w:val="none" w:sz="0" w:space="0" w:color="auto"/>
        <w:right w:val="none" w:sz="0" w:space="0" w:color="auto"/>
      </w:divBdr>
      <w:divsChild>
        <w:div w:id="1536700179">
          <w:marLeft w:val="-720"/>
          <w:marRight w:val="0"/>
          <w:marTop w:val="0"/>
          <w:marBottom w:val="0"/>
          <w:divBdr>
            <w:top w:val="none" w:sz="0" w:space="0" w:color="auto"/>
            <w:left w:val="none" w:sz="0" w:space="0" w:color="auto"/>
            <w:bottom w:val="none" w:sz="0" w:space="0" w:color="auto"/>
            <w:right w:val="none" w:sz="0" w:space="0" w:color="auto"/>
          </w:divBdr>
        </w:div>
      </w:divsChild>
    </w:div>
    <w:div w:id="118648066">
      <w:bodyDiv w:val="1"/>
      <w:marLeft w:val="0"/>
      <w:marRight w:val="0"/>
      <w:marTop w:val="0"/>
      <w:marBottom w:val="0"/>
      <w:divBdr>
        <w:top w:val="none" w:sz="0" w:space="0" w:color="auto"/>
        <w:left w:val="none" w:sz="0" w:space="0" w:color="auto"/>
        <w:bottom w:val="none" w:sz="0" w:space="0" w:color="auto"/>
        <w:right w:val="none" w:sz="0" w:space="0" w:color="auto"/>
      </w:divBdr>
      <w:divsChild>
        <w:div w:id="1554317425">
          <w:marLeft w:val="-720"/>
          <w:marRight w:val="0"/>
          <w:marTop w:val="0"/>
          <w:marBottom w:val="0"/>
          <w:divBdr>
            <w:top w:val="none" w:sz="0" w:space="0" w:color="auto"/>
            <w:left w:val="none" w:sz="0" w:space="0" w:color="auto"/>
            <w:bottom w:val="none" w:sz="0" w:space="0" w:color="auto"/>
            <w:right w:val="none" w:sz="0" w:space="0" w:color="auto"/>
          </w:divBdr>
        </w:div>
      </w:divsChild>
    </w:div>
    <w:div w:id="119153793">
      <w:bodyDiv w:val="1"/>
      <w:marLeft w:val="0"/>
      <w:marRight w:val="0"/>
      <w:marTop w:val="0"/>
      <w:marBottom w:val="0"/>
      <w:divBdr>
        <w:top w:val="none" w:sz="0" w:space="0" w:color="auto"/>
        <w:left w:val="none" w:sz="0" w:space="0" w:color="auto"/>
        <w:bottom w:val="none" w:sz="0" w:space="0" w:color="auto"/>
        <w:right w:val="none" w:sz="0" w:space="0" w:color="auto"/>
      </w:divBdr>
    </w:div>
    <w:div w:id="125201007">
      <w:bodyDiv w:val="1"/>
      <w:marLeft w:val="0"/>
      <w:marRight w:val="0"/>
      <w:marTop w:val="0"/>
      <w:marBottom w:val="0"/>
      <w:divBdr>
        <w:top w:val="none" w:sz="0" w:space="0" w:color="auto"/>
        <w:left w:val="none" w:sz="0" w:space="0" w:color="auto"/>
        <w:bottom w:val="none" w:sz="0" w:space="0" w:color="auto"/>
        <w:right w:val="none" w:sz="0" w:space="0" w:color="auto"/>
      </w:divBdr>
    </w:div>
    <w:div w:id="128985593">
      <w:bodyDiv w:val="1"/>
      <w:marLeft w:val="0"/>
      <w:marRight w:val="0"/>
      <w:marTop w:val="0"/>
      <w:marBottom w:val="0"/>
      <w:divBdr>
        <w:top w:val="none" w:sz="0" w:space="0" w:color="auto"/>
        <w:left w:val="none" w:sz="0" w:space="0" w:color="auto"/>
        <w:bottom w:val="none" w:sz="0" w:space="0" w:color="auto"/>
        <w:right w:val="none" w:sz="0" w:space="0" w:color="auto"/>
      </w:divBdr>
    </w:div>
    <w:div w:id="163253116">
      <w:bodyDiv w:val="1"/>
      <w:marLeft w:val="0"/>
      <w:marRight w:val="0"/>
      <w:marTop w:val="0"/>
      <w:marBottom w:val="0"/>
      <w:divBdr>
        <w:top w:val="none" w:sz="0" w:space="0" w:color="auto"/>
        <w:left w:val="none" w:sz="0" w:space="0" w:color="auto"/>
        <w:bottom w:val="none" w:sz="0" w:space="0" w:color="auto"/>
        <w:right w:val="none" w:sz="0" w:space="0" w:color="auto"/>
      </w:divBdr>
    </w:div>
    <w:div w:id="164787688">
      <w:bodyDiv w:val="1"/>
      <w:marLeft w:val="0"/>
      <w:marRight w:val="0"/>
      <w:marTop w:val="0"/>
      <w:marBottom w:val="0"/>
      <w:divBdr>
        <w:top w:val="none" w:sz="0" w:space="0" w:color="auto"/>
        <w:left w:val="none" w:sz="0" w:space="0" w:color="auto"/>
        <w:bottom w:val="none" w:sz="0" w:space="0" w:color="auto"/>
        <w:right w:val="none" w:sz="0" w:space="0" w:color="auto"/>
      </w:divBdr>
    </w:div>
    <w:div w:id="174194859">
      <w:bodyDiv w:val="1"/>
      <w:marLeft w:val="0"/>
      <w:marRight w:val="0"/>
      <w:marTop w:val="0"/>
      <w:marBottom w:val="0"/>
      <w:divBdr>
        <w:top w:val="none" w:sz="0" w:space="0" w:color="auto"/>
        <w:left w:val="none" w:sz="0" w:space="0" w:color="auto"/>
        <w:bottom w:val="none" w:sz="0" w:space="0" w:color="auto"/>
        <w:right w:val="none" w:sz="0" w:space="0" w:color="auto"/>
      </w:divBdr>
    </w:div>
    <w:div w:id="193930581">
      <w:bodyDiv w:val="1"/>
      <w:marLeft w:val="0"/>
      <w:marRight w:val="0"/>
      <w:marTop w:val="0"/>
      <w:marBottom w:val="0"/>
      <w:divBdr>
        <w:top w:val="none" w:sz="0" w:space="0" w:color="auto"/>
        <w:left w:val="none" w:sz="0" w:space="0" w:color="auto"/>
        <w:bottom w:val="none" w:sz="0" w:space="0" w:color="auto"/>
        <w:right w:val="none" w:sz="0" w:space="0" w:color="auto"/>
      </w:divBdr>
    </w:div>
    <w:div w:id="196092108">
      <w:bodyDiv w:val="1"/>
      <w:marLeft w:val="0"/>
      <w:marRight w:val="0"/>
      <w:marTop w:val="0"/>
      <w:marBottom w:val="0"/>
      <w:divBdr>
        <w:top w:val="none" w:sz="0" w:space="0" w:color="auto"/>
        <w:left w:val="none" w:sz="0" w:space="0" w:color="auto"/>
        <w:bottom w:val="none" w:sz="0" w:space="0" w:color="auto"/>
        <w:right w:val="none" w:sz="0" w:space="0" w:color="auto"/>
      </w:divBdr>
    </w:div>
    <w:div w:id="201989943">
      <w:bodyDiv w:val="1"/>
      <w:marLeft w:val="0"/>
      <w:marRight w:val="0"/>
      <w:marTop w:val="0"/>
      <w:marBottom w:val="0"/>
      <w:divBdr>
        <w:top w:val="none" w:sz="0" w:space="0" w:color="auto"/>
        <w:left w:val="none" w:sz="0" w:space="0" w:color="auto"/>
        <w:bottom w:val="none" w:sz="0" w:space="0" w:color="auto"/>
        <w:right w:val="none" w:sz="0" w:space="0" w:color="auto"/>
      </w:divBdr>
      <w:divsChild>
        <w:div w:id="909078719">
          <w:marLeft w:val="-720"/>
          <w:marRight w:val="0"/>
          <w:marTop w:val="0"/>
          <w:marBottom w:val="0"/>
          <w:divBdr>
            <w:top w:val="none" w:sz="0" w:space="0" w:color="auto"/>
            <w:left w:val="none" w:sz="0" w:space="0" w:color="auto"/>
            <w:bottom w:val="none" w:sz="0" w:space="0" w:color="auto"/>
            <w:right w:val="none" w:sz="0" w:space="0" w:color="auto"/>
          </w:divBdr>
        </w:div>
      </w:divsChild>
    </w:div>
    <w:div w:id="215557267">
      <w:bodyDiv w:val="1"/>
      <w:marLeft w:val="0"/>
      <w:marRight w:val="0"/>
      <w:marTop w:val="0"/>
      <w:marBottom w:val="0"/>
      <w:divBdr>
        <w:top w:val="none" w:sz="0" w:space="0" w:color="auto"/>
        <w:left w:val="none" w:sz="0" w:space="0" w:color="auto"/>
        <w:bottom w:val="none" w:sz="0" w:space="0" w:color="auto"/>
        <w:right w:val="none" w:sz="0" w:space="0" w:color="auto"/>
      </w:divBdr>
    </w:div>
    <w:div w:id="220412056">
      <w:bodyDiv w:val="1"/>
      <w:marLeft w:val="0"/>
      <w:marRight w:val="0"/>
      <w:marTop w:val="0"/>
      <w:marBottom w:val="0"/>
      <w:divBdr>
        <w:top w:val="none" w:sz="0" w:space="0" w:color="auto"/>
        <w:left w:val="none" w:sz="0" w:space="0" w:color="auto"/>
        <w:bottom w:val="none" w:sz="0" w:space="0" w:color="auto"/>
        <w:right w:val="none" w:sz="0" w:space="0" w:color="auto"/>
      </w:divBdr>
    </w:div>
    <w:div w:id="223876958">
      <w:bodyDiv w:val="1"/>
      <w:marLeft w:val="0"/>
      <w:marRight w:val="0"/>
      <w:marTop w:val="0"/>
      <w:marBottom w:val="0"/>
      <w:divBdr>
        <w:top w:val="none" w:sz="0" w:space="0" w:color="auto"/>
        <w:left w:val="none" w:sz="0" w:space="0" w:color="auto"/>
        <w:bottom w:val="none" w:sz="0" w:space="0" w:color="auto"/>
        <w:right w:val="none" w:sz="0" w:space="0" w:color="auto"/>
      </w:divBdr>
    </w:div>
    <w:div w:id="250704418">
      <w:bodyDiv w:val="1"/>
      <w:marLeft w:val="0"/>
      <w:marRight w:val="0"/>
      <w:marTop w:val="0"/>
      <w:marBottom w:val="0"/>
      <w:divBdr>
        <w:top w:val="none" w:sz="0" w:space="0" w:color="auto"/>
        <w:left w:val="none" w:sz="0" w:space="0" w:color="auto"/>
        <w:bottom w:val="none" w:sz="0" w:space="0" w:color="auto"/>
        <w:right w:val="none" w:sz="0" w:space="0" w:color="auto"/>
      </w:divBdr>
    </w:div>
    <w:div w:id="265502346">
      <w:bodyDiv w:val="1"/>
      <w:marLeft w:val="0"/>
      <w:marRight w:val="0"/>
      <w:marTop w:val="0"/>
      <w:marBottom w:val="0"/>
      <w:divBdr>
        <w:top w:val="none" w:sz="0" w:space="0" w:color="auto"/>
        <w:left w:val="none" w:sz="0" w:space="0" w:color="auto"/>
        <w:bottom w:val="none" w:sz="0" w:space="0" w:color="auto"/>
        <w:right w:val="none" w:sz="0" w:space="0" w:color="auto"/>
      </w:divBdr>
    </w:div>
    <w:div w:id="310453492">
      <w:bodyDiv w:val="1"/>
      <w:marLeft w:val="0"/>
      <w:marRight w:val="0"/>
      <w:marTop w:val="0"/>
      <w:marBottom w:val="0"/>
      <w:divBdr>
        <w:top w:val="none" w:sz="0" w:space="0" w:color="auto"/>
        <w:left w:val="none" w:sz="0" w:space="0" w:color="auto"/>
        <w:bottom w:val="none" w:sz="0" w:space="0" w:color="auto"/>
        <w:right w:val="none" w:sz="0" w:space="0" w:color="auto"/>
      </w:divBdr>
    </w:div>
    <w:div w:id="310604102">
      <w:bodyDiv w:val="1"/>
      <w:marLeft w:val="0"/>
      <w:marRight w:val="0"/>
      <w:marTop w:val="0"/>
      <w:marBottom w:val="0"/>
      <w:divBdr>
        <w:top w:val="none" w:sz="0" w:space="0" w:color="auto"/>
        <w:left w:val="none" w:sz="0" w:space="0" w:color="auto"/>
        <w:bottom w:val="none" w:sz="0" w:space="0" w:color="auto"/>
        <w:right w:val="none" w:sz="0" w:space="0" w:color="auto"/>
      </w:divBdr>
    </w:div>
    <w:div w:id="331881128">
      <w:bodyDiv w:val="1"/>
      <w:marLeft w:val="0"/>
      <w:marRight w:val="0"/>
      <w:marTop w:val="0"/>
      <w:marBottom w:val="0"/>
      <w:divBdr>
        <w:top w:val="none" w:sz="0" w:space="0" w:color="auto"/>
        <w:left w:val="none" w:sz="0" w:space="0" w:color="auto"/>
        <w:bottom w:val="none" w:sz="0" w:space="0" w:color="auto"/>
        <w:right w:val="none" w:sz="0" w:space="0" w:color="auto"/>
      </w:divBdr>
    </w:div>
    <w:div w:id="334117874">
      <w:bodyDiv w:val="1"/>
      <w:marLeft w:val="0"/>
      <w:marRight w:val="0"/>
      <w:marTop w:val="0"/>
      <w:marBottom w:val="0"/>
      <w:divBdr>
        <w:top w:val="none" w:sz="0" w:space="0" w:color="auto"/>
        <w:left w:val="none" w:sz="0" w:space="0" w:color="auto"/>
        <w:bottom w:val="none" w:sz="0" w:space="0" w:color="auto"/>
        <w:right w:val="none" w:sz="0" w:space="0" w:color="auto"/>
      </w:divBdr>
    </w:div>
    <w:div w:id="335159838">
      <w:bodyDiv w:val="1"/>
      <w:marLeft w:val="0"/>
      <w:marRight w:val="0"/>
      <w:marTop w:val="0"/>
      <w:marBottom w:val="0"/>
      <w:divBdr>
        <w:top w:val="none" w:sz="0" w:space="0" w:color="auto"/>
        <w:left w:val="none" w:sz="0" w:space="0" w:color="auto"/>
        <w:bottom w:val="none" w:sz="0" w:space="0" w:color="auto"/>
        <w:right w:val="none" w:sz="0" w:space="0" w:color="auto"/>
      </w:divBdr>
    </w:div>
    <w:div w:id="378938678">
      <w:bodyDiv w:val="1"/>
      <w:marLeft w:val="0"/>
      <w:marRight w:val="0"/>
      <w:marTop w:val="0"/>
      <w:marBottom w:val="0"/>
      <w:divBdr>
        <w:top w:val="none" w:sz="0" w:space="0" w:color="auto"/>
        <w:left w:val="none" w:sz="0" w:space="0" w:color="auto"/>
        <w:bottom w:val="none" w:sz="0" w:space="0" w:color="auto"/>
        <w:right w:val="none" w:sz="0" w:space="0" w:color="auto"/>
      </w:divBdr>
    </w:div>
    <w:div w:id="399987467">
      <w:bodyDiv w:val="1"/>
      <w:marLeft w:val="0"/>
      <w:marRight w:val="0"/>
      <w:marTop w:val="0"/>
      <w:marBottom w:val="0"/>
      <w:divBdr>
        <w:top w:val="none" w:sz="0" w:space="0" w:color="auto"/>
        <w:left w:val="none" w:sz="0" w:space="0" w:color="auto"/>
        <w:bottom w:val="none" w:sz="0" w:space="0" w:color="auto"/>
        <w:right w:val="none" w:sz="0" w:space="0" w:color="auto"/>
      </w:divBdr>
      <w:divsChild>
        <w:div w:id="285552243">
          <w:marLeft w:val="0"/>
          <w:marRight w:val="0"/>
          <w:marTop w:val="0"/>
          <w:marBottom w:val="0"/>
          <w:divBdr>
            <w:top w:val="none" w:sz="0" w:space="0" w:color="auto"/>
            <w:left w:val="none" w:sz="0" w:space="0" w:color="auto"/>
            <w:bottom w:val="none" w:sz="0" w:space="0" w:color="auto"/>
            <w:right w:val="none" w:sz="0" w:space="0" w:color="auto"/>
          </w:divBdr>
          <w:divsChild>
            <w:div w:id="7607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923">
      <w:bodyDiv w:val="1"/>
      <w:marLeft w:val="0"/>
      <w:marRight w:val="0"/>
      <w:marTop w:val="0"/>
      <w:marBottom w:val="0"/>
      <w:divBdr>
        <w:top w:val="none" w:sz="0" w:space="0" w:color="auto"/>
        <w:left w:val="none" w:sz="0" w:space="0" w:color="auto"/>
        <w:bottom w:val="none" w:sz="0" w:space="0" w:color="auto"/>
        <w:right w:val="none" w:sz="0" w:space="0" w:color="auto"/>
      </w:divBdr>
    </w:div>
    <w:div w:id="409620534">
      <w:bodyDiv w:val="1"/>
      <w:marLeft w:val="0"/>
      <w:marRight w:val="0"/>
      <w:marTop w:val="0"/>
      <w:marBottom w:val="0"/>
      <w:divBdr>
        <w:top w:val="none" w:sz="0" w:space="0" w:color="auto"/>
        <w:left w:val="none" w:sz="0" w:space="0" w:color="auto"/>
        <w:bottom w:val="none" w:sz="0" w:space="0" w:color="auto"/>
        <w:right w:val="none" w:sz="0" w:space="0" w:color="auto"/>
      </w:divBdr>
    </w:div>
    <w:div w:id="411780928">
      <w:bodyDiv w:val="1"/>
      <w:marLeft w:val="0"/>
      <w:marRight w:val="0"/>
      <w:marTop w:val="0"/>
      <w:marBottom w:val="0"/>
      <w:divBdr>
        <w:top w:val="none" w:sz="0" w:space="0" w:color="auto"/>
        <w:left w:val="none" w:sz="0" w:space="0" w:color="auto"/>
        <w:bottom w:val="none" w:sz="0" w:space="0" w:color="auto"/>
        <w:right w:val="none" w:sz="0" w:space="0" w:color="auto"/>
      </w:divBdr>
    </w:div>
    <w:div w:id="418599784">
      <w:bodyDiv w:val="1"/>
      <w:marLeft w:val="0"/>
      <w:marRight w:val="0"/>
      <w:marTop w:val="0"/>
      <w:marBottom w:val="0"/>
      <w:divBdr>
        <w:top w:val="none" w:sz="0" w:space="0" w:color="auto"/>
        <w:left w:val="none" w:sz="0" w:space="0" w:color="auto"/>
        <w:bottom w:val="none" w:sz="0" w:space="0" w:color="auto"/>
        <w:right w:val="none" w:sz="0" w:space="0" w:color="auto"/>
      </w:divBdr>
    </w:div>
    <w:div w:id="426312221">
      <w:bodyDiv w:val="1"/>
      <w:marLeft w:val="0"/>
      <w:marRight w:val="0"/>
      <w:marTop w:val="0"/>
      <w:marBottom w:val="0"/>
      <w:divBdr>
        <w:top w:val="none" w:sz="0" w:space="0" w:color="auto"/>
        <w:left w:val="none" w:sz="0" w:space="0" w:color="auto"/>
        <w:bottom w:val="none" w:sz="0" w:space="0" w:color="auto"/>
        <w:right w:val="none" w:sz="0" w:space="0" w:color="auto"/>
      </w:divBdr>
    </w:div>
    <w:div w:id="438336250">
      <w:bodyDiv w:val="1"/>
      <w:marLeft w:val="0"/>
      <w:marRight w:val="0"/>
      <w:marTop w:val="0"/>
      <w:marBottom w:val="0"/>
      <w:divBdr>
        <w:top w:val="none" w:sz="0" w:space="0" w:color="auto"/>
        <w:left w:val="none" w:sz="0" w:space="0" w:color="auto"/>
        <w:bottom w:val="none" w:sz="0" w:space="0" w:color="auto"/>
        <w:right w:val="none" w:sz="0" w:space="0" w:color="auto"/>
      </w:divBdr>
    </w:div>
    <w:div w:id="465467227">
      <w:bodyDiv w:val="1"/>
      <w:marLeft w:val="0"/>
      <w:marRight w:val="0"/>
      <w:marTop w:val="0"/>
      <w:marBottom w:val="0"/>
      <w:divBdr>
        <w:top w:val="none" w:sz="0" w:space="0" w:color="auto"/>
        <w:left w:val="none" w:sz="0" w:space="0" w:color="auto"/>
        <w:bottom w:val="none" w:sz="0" w:space="0" w:color="auto"/>
        <w:right w:val="none" w:sz="0" w:space="0" w:color="auto"/>
      </w:divBdr>
    </w:div>
    <w:div w:id="497889329">
      <w:bodyDiv w:val="1"/>
      <w:marLeft w:val="0"/>
      <w:marRight w:val="0"/>
      <w:marTop w:val="0"/>
      <w:marBottom w:val="0"/>
      <w:divBdr>
        <w:top w:val="none" w:sz="0" w:space="0" w:color="auto"/>
        <w:left w:val="none" w:sz="0" w:space="0" w:color="auto"/>
        <w:bottom w:val="none" w:sz="0" w:space="0" w:color="auto"/>
        <w:right w:val="none" w:sz="0" w:space="0" w:color="auto"/>
      </w:divBdr>
      <w:divsChild>
        <w:div w:id="1486582689">
          <w:marLeft w:val="-720"/>
          <w:marRight w:val="0"/>
          <w:marTop w:val="0"/>
          <w:marBottom w:val="0"/>
          <w:divBdr>
            <w:top w:val="none" w:sz="0" w:space="0" w:color="auto"/>
            <w:left w:val="none" w:sz="0" w:space="0" w:color="auto"/>
            <w:bottom w:val="none" w:sz="0" w:space="0" w:color="auto"/>
            <w:right w:val="none" w:sz="0" w:space="0" w:color="auto"/>
          </w:divBdr>
        </w:div>
      </w:divsChild>
    </w:div>
    <w:div w:id="549608752">
      <w:bodyDiv w:val="1"/>
      <w:marLeft w:val="0"/>
      <w:marRight w:val="0"/>
      <w:marTop w:val="0"/>
      <w:marBottom w:val="0"/>
      <w:divBdr>
        <w:top w:val="none" w:sz="0" w:space="0" w:color="auto"/>
        <w:left w:val="none" w:sz="0" w:space="0" w:color="auto"/>
        <w:bottom w:val="none" w:sz="0" w:space="0" w:color="auto"/>
        <w:right w:val="none" w:sz="0" w:space="0" w:color="auto"/>
      </w:divBdr>
    </w:div>
    <w:div w:id="554706588">
      <w:bodyDiv w:val="1"/>
      <w:marLeft w:val="0"/>
      <w:marRight w:val="0"/>
      <w:marTop w:val="0"/>
      <w:marBottom w:val="0"/>
      <w:divBdr>
        <w:top w:val="none" w:sz="0" w:space="0" w:color="auto"/>
        <w:left w:val="none" w:sz="0" w:space="0" w:color="auto"/>
        <w:bottom w:val="none" w:sz="0" w:space="0" w:color="auto"/>
        <w:right w:val="none" w:sz="0" w:space="0" w:color="auto"/>
      </w:divBdr>
    </w:div>
    <w:div w:id="561790579">
      <w:bodyDiv w:val="1"/>
      <w:marLeft w:val="0"/>
      <w:marRight w:val="0"/>
      <w:marTop w:val="0"/>
      <w:marBottom w:val="0"/>
      <w:divBdr>
        <w:top w:val="none" w:sz="0" w:space="0" w:color="auto"/>
        <w:left w:val="none" w:sz="0" w:space="0" w:color="auto"/>
        <w:bottom w:val="none" w:sz="0" w:space="0" w:color="auto"/>
        <w:right w:val="none" w:sz="0" w:space="0" w:color="auto"/>
      </w:divBdr>
    </w:div>
    <w:div w:id="566570444">
      <w:bodyDiv w:val="1"/>
      <w:marLeft w:val="0"/>
      <w:marRight w:val="0"/>
      <w:marTop w:val="0"/>
      <w:marBottom w:val="0"/>
      <w:divBdr>
        <w:top w:val="none" w:sz="0" w:space="0" w:color="auto"/>
        <w:left w:val="none" w:sz="0" w:space="0" w:color="auto"/>
        <w:bottom w:val="none" w:sz="0" w:space="0" w:color="auto"/>
        <w:right w:val="none" w:sz="0" w:space="0" w:color="auto"/>
      </w:divBdr>
    </w:div>
    <w:div w:id="601105052">
      <w:bodyDiv w:val="1"/>
      <w:marLeft w:val="0"/>
      <w:marRight w:val="0"/>
      <w:marTop w:val="0"/>
      <w:marBottom w:val="0"/>
      <w:divBdr>
        <w:top w:val="none" w:sz="0" w:space="0" w:color="auto"/>
        <w:left w:val="none" w:sz="0" w:space="0" w:color="auto"/>
        <w:bottom w:val="none" w:sz="0" w:space="0" w:color="auto"/>
        <w:right w:val="none" w:sz="0" w:space="0" w:color="auto"/>
      </w:divBdr>
    </w:div>
    <w:div w:id="674117793">
      <w:bodyDiv w:val="1"/>
      <w:marLeft w:val="0"/>
      <w:marRight w:val="0"/>
      <w:marTop w:val="0"/>
      <w:marBottom w:val="0"/>
      <w:divBdr>
        <w:top w:val="none" w:sz="0" w:space="0" w:color="auto"/>
        <w:left w:val="none" w:sz="0" w:space="0" w:color="auto"/>
        <w:bottom w:val="none" w:sz="0" w:space="0" w:color="auto"/>
        <w:right w:val="none" w:sz="0" w:space="0" w:color="auto"/>
      </w:divBdr>
    </w:div>
    <w:div w:id="674378901">
      <w:bodyDiv w:val="1"/>
      <w:marLeft w:val="0"/>
      <w:marRight w:val="0"/>
      <w:marTop w:val="0"/>
      <w:marBottom w:val="0"/>
      <w:divBdr>
        <w:top w:val="none" w:sz="0" w:space="0" w:color="auto"/>
        <w:left w:val="none" w:sz="0" w:space="0" w:color="auto"/>
        <w:bottom w:val="none" w:sz="0" w:space="0" w:color="auto"/>
        <w:right w:val="none" w:sz="0" w:space="0" w:color="auto"/>
      </w:divBdr>
    </w:div>
    <w:div w:id="708339043">
      <w:bodyDiv w:val="1"/>
      <w:marLeft w:val="0"/>
      <w:marRight w:val="0"/>
      <w:marTop w:val="0"/>
      <w:marBottom w:val="0"/>
      <w:divBdr>
        <w:top w:val="none" w:sz="0" w:space="0" w:color="auto"/>
        <w:left w:val="none" w:sz="0" w:space="0" w:color="auto"/>
        <w:bottom w:val="none" w:sz="0" w:space="0" w:color="auto"/>
        <w:right w:val="none" w:sz="0" w:space="0" w:color="auto"/>
      </w:divBdr>
    </w:div>
    <w:div w:id="723065051">
      <w:bodyDiv w:val="1"/>
      <w:marLeft w:val="0"/>
      <w:marRight w:val="0"/>
      <w:marTop w:val="0"/>
      <w:marBottom w:val="0"/>
      <w:divBdr>
        <w:top w:val="none" w:sz="0" w:space="0" w:color="auto"/>
        <w:left w:val="none" w:sz="0" w:space="0" w:color="auto"/>
        <w:bottom w:val="none" w:sz="0" w:space="0" w:color="auto"/>
        <w:right w:val="none" w:sz="0" w:space="0" w:color="auto"/>
      </w:divBdr>
    </w:div>
    <w:div w:id="724303938">
      <w:bodyDiv w:val="1"/>
      <w:marLeft w:val="0"/>
      <w:marRight w:val="0"/>
      <w:marTop w:val="0"/>
      <w:marBottom w:val="0"/>
      <w:divBdr>
        <w:top w:val="none" w:sz="0" w:space="0" w:color="auto"/>
        <w:left w:val="none" w:sz="0" w:space="0" w:color="auto"/>
        <w:bottom w:val="none" w:sz="0" w:space="0" w:color="auto"/>
        <w:right w:val="none" w:sz="0" w:space="0" w:color="auto"/>
      </w:divBdr>
    </w:div>
    <w:div w:id="746264859">
      <w:bodyDiv w:val="1"/>
      <w:marLeft w:val="0"/>
      <w:marRight w:val="0"/>
      <w:marTop w:val="0"/>
      <w:marBottom w:val="0"/>
      <w:divBdr>
        <w:top w:val="none" w:sz="0" w:space="0" w:color="auto"/>
        <w:left w:val="none" w:sz="0" w:space="0" w:color="auto"/>
        <w:bottom w:val="none" w:sz="0" w:space="0" w:color="auto"/>
        <w:right w:val="none" w:sz="0" w:space="0" w:color="auto"/>
      </w:divBdr>
    </w:div>
    <w:div w:id="757825499">
      <w:bodyDiv w:val="1"/>
      <w:marLeft w:val="0"/>
      <w:marRight w:val="0"/>
      <w:marTop w:val="0"/>
      <w:marBottom w:val="0"/>
      <w:divBdr>
        <w:top w:val="none" w:sz="0" w:space="0" w:color="auto"/>
        <w:left w:val="none" w:sz="0" w:space="0" w:color="auto"/>
        <w:bottom w:val="none" w:sz="0" w:space="0" w:color="auto"/>
        <w:right w:val="none" w:sz="0" w:space="0" w:color="auto"/>
      </w:divBdr>
      <w:divsChild>
        <w:div w:id="1732116975">
          <w:marLeft w:val="-720"/>
          <w:marRight w:val="0"/>
          <w:marTop w:val="0"/>
          <w:marBottom w:val="0"/>
          <w:divBdr>
            <w:top w:val="none" w:sz="0" w:space="0" w:color="auto"/>
            <w:left w:val="none" w:sz="0" w:space="0" w:color="auto"/>
            <w:bottom w:val="none" w:sz="0" w:space="0" w:color="auto"/>
            <w:right w:val="none" w:sz="0" w:space="0" w:color="auto"/>
          </w:divBdr>
        </w:div>
      </w:divsChild>
    </w:div>
    <w:div w:id="759177819">
      <w:bodyDiv w:val="1"/>
      <w:marLeft w:val="0"/>
      <w:marRight w:val="0"/>
      <w:marTop w:val="0"/>
      <w:marBottom w:val="0"/>
      <w:divBdr>
        <w:top w:val="none" w:sz="0" w:space="0" w:color="auto"/>
        <w:left w:val="none" w:sz="0" w:space="0" w:color="auto"/>
        <w:bottom w:val="none" w:sz="0" w:space="0" w:color="auto"/>
        <w:right w:val="none" w:sz="0" w:space="0" w:color="auto"/>
      </w:divBdr>
    </w:div>
    <w:div w:id="783308374">
      <w:bodyDiv w:val="1"/>
      <w:marLeft w:val="0"/>
      <w:marRight w:val="0"/>
      <w:marTop w:val="0"/>
      <w:marBottom w:val="0"/>
      <w:divBdr>
        <w:top w:val="none" w:sz="0" w:space="0" w:color="auto"/>
        <w:left w:val="none" w:sz="0" w:space="0" w:color="auto"/>
        <w:bottom w:val="none" w:sz="0" w:space="0" w:color="auto"/>
        <w:right w:val="none" w:sz="0" w:space="0" w:color="auto"/>
      </w:divBdr>
    </w:div>
    <w:div w:id="809906159">
      <w:bodyDiv w:val="1"/>
      <w:marLeft w:val="0"/>
      <w:marRight w:val="0"/>
      <w:marTop w:val="0"/>
      <w:marBottom w:val="0"/>
      <w:divBdr>
        <w:top w:val="none" w:sz="0" w:space="0" w:color="auto"/>
        <w:left w:val="none" w:sz="0" w:space="0" w:color="auto"/>
        <w:bottom w:val="none" w:sz="0" w:space="0" w:color="auto"/>
        <w:right w:val="none" w:sz="0" w:space="0" w:color="auto"/>
      </w:divBdr>
    </w:div>
    <w:div w:id="816264145">
      <w:bodyDiv w:val="1"/>
      <w:marLeft w:val="0"/>
      <w:marRight w:val="0"/>
      <w:marTop w:val="0"/>
      <w:marBottom w:val="0"/>
      <w:divBdr>
        <w:top w:val="none" w:sz="0" w:space="0" w:color="auto"/>
        <w:left w:val="none" w:sz="0" w:space="0" w:color="auto"/>
        <w:bottom w:val="none" w:sz="0" w:space="0" w:color="auto"/>
        <w:right w:val="none" w:sz="0" w:space="0" w:color="auto"/>
      </w:divBdr>
    </w:div>
    <w:div w:id="824668569">
      <w:bodyDiv w:val="1"/>
      <w:marLeft w:val="0"/>
      <w:marRight w:val="0"/>
      <w:marTop w:val="0"/>
      <w:marBottom w:val="0"/>
      <w:divBdr>
        <w:top w:val="none" w:sz="0" w:space="0" w:color="auto"/>
        <w:left w:val="none" w:sz="0" w:space="0" w:color="auto"/>
        <w:bottom w:val="none" w:sz="0" w:space="0" w:color="auto"/>
        <w:right w:val="none" w:sz="0" w:space="0" w:color="auto"/>
      </w:divBdr>
    </w:div>
    <w:div w:id="845289929">
      <w:bodyDiv w:val="1"/>
      <w:marLeft w:val="0"/>
      <w:marRight w:val="0"/>
      <w:marTop w:val="0"/>
      <w:marBottom w:val="0"/>
      <w:divBdr>
        <w:top w:val="none" w:sz="0" w:space="0" w:color="auto"/>
        <w:left w:val="none" w:sz="0" w:space="0" w:color="auto"/>
        <w:bottom w:val="none" w:sz="0" w:space="0" w:color="auto"/>
        <w:right w:val="none" w:sz="0" w:space="0" w:color="auto"/>
      </w:divBdr>
    </w:div>
    <w:div w:id="855926275">
      <w:bodyDiv w:val="1"/>
      <w:marLeft w:val="0"/>
      <w:marRight w:val="0"/>
      <w:marTop w:val="0"/>
      <w:marBottom w:val="0"/>
      <w:divBdr>
        <w:top w:val="none" w:sz="0" w:space="0" w:color="auto"/>
        <w:left w:val="none" w:sz="0" w:space="0" w:color="auto"/>
        <w:bottom w:val="none" w:sz="0" w:space="0" w:color="auto"/>
        <w:right w:val="none" w:sz="0" w:space="0" w:color="auto"/>
      </w:divBdr>
      <w:divsChild>
        <w:div w:id="2109883705">
          <w:marLeft w:val="-720"/>
          <w:marRight w:val="0"/>
          <w:marTop w:val="0"/>
          <w:marBottom w:val="0"/>
          <w:divBdr>
            <w:top w:val="none" w:sz="0" w:space="0" w:color="auto"/>
            <w:left w:val="none" w:sz="0" w:space="0" w:color="auto"/>
            <w:bottom w:val="none" w:sz="0" w:space="0" w:color="auto"/>
            <w:right w:val="none" w:sz="0" w:space="0" w:color="auto"/>
          </w:divBdr>
        </w:div>
      </w:divsChild>
    </w:div>
    <w:div w:id="856039863">
      <w:bodyDiv w:val="1"/>
      <w:marLeft w:val="0"/>
      <w:marRight w:val="0"/>
      <w:marTop w:val="0"/>
      <w:marBottom w:val="0"/>
      <w:divBdr>
        <w:top w:val="none" w:sz="0" w:space="0" w:color="auto"/>
        <w:left w:val="none" w:sz="0" w:space="0" w:color="auto"/>
        <w:bottom w:val="none" w:sz="0" w:space="0" w:color="auto"/>
        <w:right w:val="none" w:sz="0" w:space="0" w:color="auto"/>
      </w:divBdr>
    </w:div>
    <w:div w:id="869226521">
      <w:bodyDiv w:val="1"/>
      <w:marLeft w:val="0"/>
      <w:marRight w:val="0"/>
      <w:marTop w:val="0"/>
      <w:marBottom w:val="0"/>
      <w:divBdr>
        <w:top w:val="none" w:sz="0" w:space="0" w:color="auto"/>
        <w:left w:val="none" w:sz="0" w:space="0" w:color="auto"/>
        <w:bottom w:val="none" w:sz="0" w:space="0" w:color="auto"/>
        <w:right w:val="none" w:sz="0" w:space="0" w:color="auto"/>
      </w:divBdr>
    </w:div>
    <w:div w:id="917708936">
      <w:bodyDiv w:val="1"/>
      <w:marLeft w:val="0"/>
      <w:marRight w:val="0"/>
      <w:marTop w:val="0"/>
      <w:marBottom w:val="0"/>
      <w:divBdr>
        <w:top w:val="none" w:sz="0" w:space="0" w:color="auto"/>
        <w:left w:val="none" w:sz="0" w:space="0" w:color="auto"/>
        <w:bottom w:val="none" w:sz="0" w:space="0" w:color="auto"/>
        <w:right w:val="none" w:sz="0" w:space="0" w:color="auto"/>
      </w:divBdr>
    </w:div>
    <w:div w:id="931284020">
      <w:bodyDiv w:val="1"/>
      <w:marLeft w:val="0"/>
      <w:marRight w:val="0"/>
      <w:marTop w:val="0"/>
      <w:marBottom w:val="0"/>
      <w:divBdr>
        <w:top w:val="none" w:sz="0" w:space="0" w:color="auto"/>
        <w:left w:val="none" w:sz="0" w:space="0" w:color="auto"/>
        <w:bottom w:val="none" w:sz="0" w:space="0" w:color="auto"/>
        <w:right w:val="none" w:sz="0" w:space="0" w:color="auto"/>
      </w:divBdr>
    </w:div>
    <w:div w:id="941650035">
      <w:bodyDiv w:val="1"/>
      <w:marLeft w:val="0"/>
      <w:marRight w:val="0"/>
      <w:marTop w:val="0"/>
      <w:marBottom w:val="0"/>
      <w:divBdr>
        <w:top w:val="none" w:sz="0" w:space="0" w:color="auto"/>
        <w:left w:val="none" w:sz="0" w:space="0" w:color="auto"/>
        <w:bottom w:val="none" w:sz="0" w:space="0" w:color="auto"/>
        <w:right w:val="none" w:sz="0" w:space="0" w:color="auto"/>
      </w:divBdr>
    </w:div>
    <w:div w:id="946154604">
      <w:bodyDiv w:val="1"/>
      <w:marLeft w:val="0"/>
      <w:marRight w:val="0"/>
      <w:marTop w:val="0"/>
      <w:marBottom w:val="0"/>
      <w:divBdr>
        <w:top w:val="none" w:sz="0" w:space="0" w:color="auto"/>
        <w:left w:val="none" w:sz="0" w:space="0" w:color="auto"/>
        <w:bottom w:val="none" w:sz="0" w:space="0" w:color="auto"/>
        <w:right w:val="none" w:sz="0" w:space="0" w:color="auto"/>
      </w:divBdr>
    </w:div>
    <w:div w:id="948926639">
      <w:bodyDiv w:val="1"/>
      <w:marLeft w:val="0"/>
      <w:marRight w:val="0"/>
      <w:marTop w:val="0"/>
      <w:marBottom w:val="0"/>
      <w:divBdr>
        <w:top w:val="none" w:sz="0" w:space="0" w:color="auto"/>
        <w:left w:val="none" w:sz="0" w:space="0" w:color="auto"/>
        <w:bottom w:val="none" w:sz="0" w:space="0" w:color="auto"/>
        <w:right w:val="none" w:sz="0" w:space="0" w:color="auto"/>
      </w:divBdr>
    </w:div>
    <w:div w:id="953906007">
      <w:bodyDiv w:val="1"/>
      <w:marLeft w:val="0"/>
      <w:marRight w:val="0"/>
      <w:marTop w:val="0"/>
      <w:marBottom w:val="0"/>
      <w:divBdr>
        <w:top w:val="none" w:sz="0" w:space="0" w:color="auto"/>
        <w:left w:val="none" w:sz="0" w:space="0" w:color="auto"/>
        <w:bottom w:val="none" w:sz="0" w:space="0" w:color="auto"/>
        <w:right w:val="none" w:sz="0" w:space="0" w:color="auto"/>
      </w:divBdr>
      <w:divsChild>
        <w:div w:id="1957783821">
          <w:marLeft w:val="-720"/>
          <w:marRight w:val="0"/>
          <w:marTop w:val="0"/>
          <w:marBottom w:val="0"/>
          <w:divBdr>
            <w:top w:val="none" w:sz="0" w:space="0" w:color="auto"/>
            <w:left w:val="none" w:sz="0" w:space="0" w:color="auto"/>
            <w:bottom w:val="none" w:sz="0" w:space="0" w:color="auto"/>
            <w:right w:val="none" w:sz="0" w:space="0" w:color="auto"/>
          </w:divBdr>
        </w:div>
      </w:divsChild>
    </w:div>
    <w:div w:id="961421674">
      <w:bodyDiv w:val="1"/>
      <w:marLeft w:val="0"/>
      <w:marRight w:val="0"/>
      <w:marTop w:val="0"/>
      <w:marBottom w:val="0"/>
      <w:divBdr>
        <w:top w:val="none" w:sz="0" w:space="0" w:color="auto"/>
        <w:left w:val="none" w:sz="0" w:space="0" w:color="auto"/>
        <w:bottom w:val="none" w:sz="0" w:space="0" w:color="auto"/>
        <w:right w:val="none" w:sz="0" w:space="0" w:color="auto"/>
      </w:divBdr>
    </w:div>
    <w:div w:id="980187252">
      <w:bodyDiv w:val="1"/>
      <w:marLeft w:val="0"/>
      <w:marRight w:val="0"/>
      <w:marTop w:val="0"/>
      <w:marBottom w:val="0"/>
      <w:divBdr>
        <w:top w:val="none" w:sz="0" w:space="0" w:color="auto"/>
        <w:left w:val="none" w:sz="0" w:space="0" w:color="auto"/>
        <w:bottom w:val="none" w:sz="0" w:space="0" w:color="auto"/>
        <w:right w:val="none" w:sz="0" w:space="0" w:color="auto"/>
      </w:divBdr>
    </w:div>
    <w:div w:id="1057628917">
      <w:bodyDiv w:val="1"/>
      <w:marLeft w:val="0"/>
      <w:marRight w:val="0"/>
      <w:marTop w:val="0"/>
      <w:marBottom w:val="0"/>
      <w:divBdr>
        <w:top w:val="none" w:sz="0" w:space="0" w:color="auto"/>
        <w:left w:val="none" w:sz="0" w:space="0" w:color="auto"/>
        <w:bottom w:val="none" w:sz="0" w:space="0" w:color="auto"/>
        <w:right w:val="none" w:sz="0" w:space="0" w:color="auto"/>
      </w:divBdr>
    </w:div>
    <w:div w:id="1079790668">
      <w:bodyDiv w:val="1"/>
      <w:marLeft w:val="0"/>
      <w:marRight w:val="0"/>
      <w:marTop w:val="0"/>
      <w:marBottom w:val="0"/>
      <w:divBdr>
        <w:top w:val="none" w:sz="0" w:space="0" w:color="auto"/>
        <w:left w:val="none" w:sz="0" w:space="0" w:color="auto"/>
        <w:bottom w:val="none" w:sz="0" w:space="0" w:color="auto"/>
        <w:right w:val="none" w:sz="0" w:space="0" w:color="auto"/>
      </w:divBdr>
    </w:div>
    <w:div w:id="1079907107">
      <w:bodyDiv w:val="1"/>
      <w:marLeft w:val="0"/>
      <w:marRight w:val="0"/>
      <w:marTop w:val="0"/>
      <w:marBottom w:val="0"/>
      <w:divBdr>
        <w:top w:val="none" w:sz="0" w:space="0" w:color="auto"/>
        <w:left w:val="none" w:sz="0" w:space="0" w:color="auto"/>
        <w:bottom w:val="none" w:sz="0" w:space="0" w:color="auto"/>
        <w:right w:val="none" w:sz="0" w:space="0" w:color="auto"/>
      </w:divBdr>
    </w:div>
    <w:div w:id="1086995483">
      <w:bodyDiv w:val="1"/>
      <w:marLeft w:val="0"/>
      <w:marRight w:val="0"/>
      <w:marTop w:val="0"/>
      <w:marBottom w:val="0"/>
      <w:divBdr>
        <w:top w:val="none" w:sz="0" w:space="0" w:color="auto"/>
        <w:left w:val="none" w:sz="0" w:space="0" w:color="auto"/>
        <w:bottom w:val="none" w:sz="0" w:space="0" w:color="auto"/>
        <w:right w:val="none" w:sz="0" w:space="0" w:color="auto"/>
      </w:divBdr>
    </w:div>
    <w:div w:id="1106654051">
      <w:bodyDiv w:val="1"/>
      <w:marLeft w:val="0"/>
      <w:marRight w:val="0"/>
      <w:marTop w:val="0"/>
      <w:marBottom w:val="0"/>
      <w:divBdr>
        <w:top w:val="none" w:sz="0" w:space="0" w:color="auto"/>
        <w:left w:val="none" w:sz="0" w:space="0" w:color="auto"/>
        <w:bottom w:val="none" w:sz="0" w:space="0" w:color="auto"/>
        <w:right w:val="none" w:sz="0" w:space="0" w:color="auto"/>
      </w:divBdr>
    </w:div>
    <w:div w:id="1121221688">
      <w:bodyDiv w:val="1"/>
      <w:marLeft w:val="0"/>
      <w:marRight w:val="0"/>
      <w:marTop w:val="0"/>
      <w:marBottom w:val="0"/>
      <w:divBdr>
        <w:top w:val="none" w:sz="0" w:space="0" w:color="auto"/>
        <w:left w:val="none" w:sz="0" w:space="0" w:color="auto"/>
        <w:bottom w:val="none" w:sz="0" w:space="0" w:color="auto"/>
        <w:right w:val="none" w:sz="0" w:space="0" w:color="auto"/>
      </w:divBdr>
    </w:div>
    <w:div w:id="1126197637">
      <w:bodyDiv w:val="1"/>
      <w:marLeft w:val="0"/>
      <w:marRight w:val="0"/>
      <w:marTop w:val="0"/>
      <w:marBottom w:val="0"/>
      <w:divBdr>
        <w:top w:val="none" w:sz="0" w:space="0" w:color="auto"/>
        <w:left w:val="none" w:sz="0" w:space="0" w:color="auto"/>
        <w:bottom w:val="none" w:sz="0" w:space="0" w:color="auto"/>
        <w:right w:val="none" w:sz="0" w:space="0" w:color="auto"/>
      </w:divBdr>
    </w:div>
    <w:div w:id="1145703507">
      <w:bodyDiv w:val="1"/>
      <w:marLeft w:val="0"/>
      <w:marRight w:val="0"/>
      <w:marTop w:val="0"/>
      <w:marBottom w:val="0"/>
      <w:divBdr>
        <w:top w:val="none" w:sz="0" w:space="0" w:color="auto"/>
        <w:left w:val="none" w:sz="0" w:space="0" w:color="auto"/>
        <w:bottom w:val="none" w:sz="0" w:space="0" w:color="auto"/>
        <w:right w:val="none" w:sz="0" w:space="0" w:color="auto"/>
      </w:divBdr>
    </w:div>
    <w:div w:id="1146052399">
      <w:bodyDiv w:val="1"/>
      <w:marLeft w:val="0"/>
      <w:marRight w:val="0"/>
      <w:marTop w:val="0"/>
      <w:marBottom w:val="0"/>
      <w:divBdr>
        <w:top w:val="none" w:sz="0" w:space="0" w:color="auto"/>
        <w:left w:val="none" w:sz="0" w:space="0" w:color="auto"/>
        <w:bottom w:val="none" w:sz="0" w:space="0" w:color="auto"/>
        <w:right w:val="none" w:sz="0" w:space="0" w:color="auto"/>
      </w:divBdr>
    </w:div>
    <w:div w:id="1150245495">
      <w:bodyDiv w:val="1"/>
      <w:marLeft w:val="0"/>
      <w:marRight w:val="0"/>
      <w:marTop w:val="0"/>
      <w:marBottom w:val="0"/>
      <w:divBdr>
        <w:top w:val="none" w:sz="0" w:space="0" w:color="auto"/>
        <w:left w:val="none" w:sz="0" w:space="0" w:color="auto"/>
        <w:bottom w:val="none" w:sz="0" w:space="0" w:color="auto"/>
        <w:right w:val="none" w:sz="0" w:space="0" w:color="auto"/>
      </w:divBdr>
      <w:divsChild>
        <w:div w:id="767694216">
          <w:marLeft w:val="0"/>
          <w:marRight w:val="0"/>
          <w:marTop w:val="100"/>
          <w:marBottom w:val="100"/>
          <w:divBdr>
            <w:top w:val="none" w:sz="0" w:space="0" w:color="auto"/>
            <w:left w:val="none" w:sz="0" w:space="0" w:color="auto"/>
            <w:bottom w:val="none" w:sz="0" w:space="0" w:color="auto"/>
            <w:right w:val="none" w:sz="0" w:space="0" w:color="auto"/>
          </w:divBdr>
          <w:divsChild>
            <w:div w:id="439499054">
              <w:marLeft w:val="0"/>
              <w:marRight w:val="0"/>
              <w:marTop w:val="0"/>
              <w:marBottom w:val="0"/>
              <w:divBdr>
                <w:top w:val="none" w:sz="0" w:space="0" w:color="auto"/>
                <w:left w:val="none" w:sz="0" w:space="0" w:color="auto"/>
                <w:bottom w:val="none" w:sz="0" w:space="0" w:color="auto"/>
                <w:right w:val="none" w:sz="0" w:space="0" w:color="auto"/>
              </w:divBdr>
              <w:divsChild>
                <w:div w:id="3680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83045">
      <w:bodyDiv w:val="1"/>
      <w:marLeft w:val="0"/>
      <w:marRight w:val="0"/>
      <w:marTop w:val="0"/>
      <w:marBottom w:val="0"/>
      <w:divBdr>
        <w:top w:val="none" w:sz="0" w:space="0" w:color="auto"/>
        <w:left w:val="none" w:sz="0" w:space="0" w:color="auto"/>
        <w:bottom w:val="none" w:sz="0" w:space="0" w:color="auto"/>
        <w:right w:val="none" w:sz="0" w:space="0" w:color="auto"/>
      </w:divBdr>
    </w:div>
    <w:div w:id="1175341907">
      <w:bodyDiv w:val="1"/>
      <w:marLeft w:val="0"/>
      <w:marRight w:val="0"/>
      <w:marTop w:val="0"/>
      <w:marBottom w:val="0"/>
      <w:divBdr>
        <w:top w:val="none" w:sz="0" w:space="0" w:color="auto"/>
        <w:left w:val="none" w:sz="0" w:space="0" w:color="auto"/>
        <w:bottom w:val="none" w:sz="0" w:space="0" w:color="auto"/>
        <w:right w:val="none" w:sz="0" w:space="0" w:color="auto"/>
      </w:divBdr>
    </w:div>
    <w:div w:id="1183281780">
      <w:bodyDiv w:val="1"/>
      <w:marLeft w:val="0"/>
      <w:marRight w:val="0"/>
      <w:marTop w:val="0"/>
      <w:marBottom w:val="0"/>
      <w:divBdr>
        <w:top w:val="none" w:sz="0" w:space="0" w:color="auto"/>
        <w:left w:val="none" w:sz="0" w:space="0" w:color="auto"/>
        <w:bottom w:val="none" w:sz="0" w:space="0" w:color="auto"/>
        <w:right w:val="none" w:sz="0" w:space="0" w:color="auto"/>
      </w:divBdr>
    </w:div>
    <w:div w:id="1200171397">
      <w:bodyDiv w:val="1"/>
      <w:marLeft w:val="0"/>
      <w:marRight w:val="0"/>
      <w:marTop w:val="0"/>
      <w:marBottom w:val="0"/>
      <w:divBdr>
        <w:top w:val="none" w:sz="0" w:space="0" w:color="auto"/>
        <w:left w:val="none" w:sz="0" w:space="0" w:color="auto"/>
        <w:bottom w:val="none" w:sz="0" w:space="0" w:color="auto"/>
        <w:right w:val="none" w:sz="0" w:space="0" w:color="auto"/>
      </w:divBdr>
    </w:div>
    <w:div w:id="1215311104">
      <w:bodyDiv w:val="1"/>
      <w:marLeft w:val="0"/>
      <w:marRight w:val="0"/>
      <w:marTop w:val="0"/>
      <w:marBottom w:val="0"/>
      <w:divBdr>
        <w:top w:val="none" w:sz="0" w:space="0" w:color="auto"/>
        <w:left w:val="none" w:sz="0" w:space="0" w:color="auto"/>
        <w:bottom w:val="none" w:sz="0" w:space="0" w:color="auto"/>
        <w:right w:val="none" w:sz="0" w:space="0" w:color="auto"/>
      </w:divBdr>
    </w:div>
    <w:div w:id="1223491917">
      <w:bodyDiv w:val="1"/>
      <w:marLeft w:val="0"/>
      <w:marRight w:val="0"/>
      <w:marTop w:val="0"/>
      <w:marBottom w:val="0"/>
      <w:divBdr>
        <w:top w:val="none" w:sz="0" w:space="0" w:color="auto"/>
        <w:left w:val="none" w:sz="0" w:space="0" w:color="auto"/>
        <w:bottom w:val="none" w:sz="0" w:space="0" w:color="auto"/>
        <w:right w:val="none" w:sz="0" w:space="0" w:color="auto"/>
      </w:divBdr>
    </w:div>
    <w:div w:id="1224608427">
      <w:bodyDiv w:val="1"/>
      <w:marLeft w:val="0"/>
      <w:marRight w:val="0"/>
      <w:marTop w:val="0"/>
      <w:marBottom w:val="0"/>
      <w:divBdr>
        <w:top w:val="none" w:sz="0" w:space="0" w:color="auto"/>
        <w:left w:val="none" w:sz="0" w:space="0" w:color="auto"/>
        <w:bottom w:val="none" w:sz="0" w:space="0" w:color="auto"/>
        <w:right w:val="none" w:sz="0" w:space="0" w:color="auto"/>
      </w:divBdr>
    </w:div>
    <w:div w:id="1225027435">
      <w:bodyDiv w:val="1"/>
      <w:marLeft w:val="0"/>
      <w:marRight w:val="0"/>
      <w:marTop w:val="0"/>
      <w:marBottom w:val="0"/>
      <w:divBdr>
        <w:top w:val="none" w:sz="0" w:space="0" w:color="auto"/>
        <w:left w:val="none" w:sz="0" w:space="0" w:color="auto"/>
        <w:bottom w:val="none" w:sz="0" w:space="0" w:color="auto"/>
        <w:right w:val="none" w:sz="0" w:space="0" w:color="auto"/>
      </w:divBdr>
    </w:div>
    <w:div w:id="1237739638">
      <w:bodyDiv w:val="1"/>
      <w:marLeft w:val="0"/>
      <w:marRight w:val="0"/>
      <w:marTop w:val="0"/>
      <w:marBottom w:val="0"/>
      <w:divBdr>
        <w:top w:val="none" w:sz="0" w:space="0" w:color="auto"/>
        <w:left w:val="none" w:sz="0" w:space="0" w:color="auto"/>
        <w:bottom w:val="none" w:sz="0" w:space="0" w:color="auto"/>
        <w:right w:val="none" w:sz="0" w:space="0" w:color="auto"/>
      </w:divBdr>
    </w:div>
    <w:div w:id="1278756267">
      <w:bodyDiv w:val="1"/>
      <w:marLeft w:val="0"/>
      <w:marRight w:val="0"/>
      <w:marTop w:val="0"/>
      <w:marBottom w:val="0"/>
      <w:divBdr>
        <w:top w:val="none" w:sz="0" w:space="0" w:color="auto"/>
        <w:left w:val="none" w:sz="0" w:space="0" w:color="auto"/>
        <w:bottom w:val="none" w:sz="0" w:space="0" w:color="auto"/>
        <w:right w:val="none" w:sz="0" w:space="0" w:color="auto"/>
      </w:divBdr>
    </w:div>
    <w:div w:id="1315140597">
      <w:bodyDiv w:val="1"/>
      <w:marLeft w:val="0"/>
      <w:marRight w:val="0"/>
      <w:marTop w:val="0"/>
      <w:marBottom w:val="0"/>
      <w:divBdr>
        <w:top w:val="none" w:sz="0" w:space="0" w:color="auto"/>
        <w:left w:val="none" w:sz="0" w:space="0" w:color="auto"/>
        <w:bottom w:val="none" w:sz="0" w:space="0" w:color="auto"/>
        <w:right w:val="none" w:sz="0" w:space="0" w:color="auto"/>
      </w:divBdr>
      <w:divsChild>
        <w:div w:id="2056825">
          <w:marLeft w:val="-720"/>
          <w:marRight w:val="0"/>
          <w:marTop w:val="0"/>
          <w:marBottom w:val="0"/>
          <w:divBdr>
            <w:top w:val="none" w:sz="0" w:space="0" w:color="auto"/>
            <w:left w:val="none" w:sz="0" w:space="0" w:color="auto"/>
            <w:bottom w:val="none" w:sz="0" w:space="0" w:color="auto"/>
            <w:right w:val="none" w:sz="0" w:space="0" w:color="auto"/>
          </w:divBdr>
        </w:div>
      </w:divsChild>
    </w:div>
    <w:div w:id="1319267191">
      <w:bodyDiv w:val="1"/>
      <w:marLeft w:val="0"/>
      <w:marRight w:val="0"/>
      <w:marTop w:val="0"/>
      <w:marBottom w:val="0"/>
      <w:divBdr>
        <w:top w:val="none" w:sz="0" w:space="0" w:color="auto"/>
        <w:left w:val="none" w:sz="0" w:space="0" w:color="auto"/>
        <w:bottom w:val="none" w:sz="0" w:space="0" w:color="auto"/>
        <w:right w:val="none" w:sz="0" w:space="0" w:color="auto"/>
      </w:divBdr>
    </w:div>
    <w:div w:id="1325007845">
      <w:bodyDiv w:val="1"/>
      <w:marLeft w:val="0"/>
      <w:marRight w:val="0"/>
      <w:marTop w:val="0"/>
      <w:marBottom w:val="0"/>
      <w:divBdr>
        <w:top w:val="none" w:sz="0" w:space="0" w:color="auto"/>
        <w:left w:val="none" w:sz="0" w:space="0" w:color="auto"/>
        <w:bottom w:val="none" w:sz="0" w:space="0" w:color="auto"/>
        <w:right w:val="none" w:sz="0" w:space="0" w:color="auto"/>
      </w:divBdr>
    </w:div>
    <w:div w:id="1362513082">
      <w:bodyDiv w:val="1"/>
      <w:marLeft w:val="0"/>
      <w:marRight w:val="0"/>
      <w:marTop w:val="0"/>
      <w:marBottom w:val="0"/>
      <w:divBdr>
        <w:top w:val="none" w:sz="0" w:space="0" w:color="auto"/>
        <w:left w:val="none" w:sz="0" w:space="0" w:color="auto"/>
        <w:bottom w:val="none" w:sz="0" w:space="0" w:color="auto"/>
        <w:right w:val="none" w:sz="0" w:space="0" w:color="auto"/>
      </w:divBdr>
    </w:div>
    <w:div w:id="1376537628">
      <w:bodyDiv w:val="1"/>
      <w:marLeft w:val="0"/>
      <w:marRight w:val="0"/>
      <w:marTop w:val="0"/>
      <w:marBottom w:val="0"/>
      <w:divBdr>
        <w:top w:val="none" w:sz="0" w:space="0" w:color="auto"/>
        <w:left w:val="none" w:sz="0" w:space="0" w:color="auto"/>
        <w:bottom w:val="none" w:sz="0" w:space="0" w:color="auto"/>
        <w:right w:val="none" w:sz="0" w:space="0" w:color="auto"/>
      </w:divBdr>
    </w:div>
    <w:div w:id="1393046003">
      <w:bodyDiv w:val="1"/>
      <w:marLeft w:val="0"/>
      <w:marRight w:val="0"/>
      <w:marTop w:val="0"/>
      <w:marBottom w:val="0"/>
      <w:divBdr>
        <w:top w:val="none" w:sz="0" w:space="0" w:color="auto"/>
        <w:left w:val="none" w:sz="0" w:space="0" w:color="auto"/>
        <w:bottom w:val="none" w:sz="0" w:space="0" w:color="auto"/>
        <w:right w:val="none" w:sz="0" w:space="0" w:color="auto"/>
      </w:divBdr>
      <w:divsChild>
        <w:div w:id="1682077900">
          <w:marLeft w:val="-720"/>
          <w:marRight w:val="0"/>
          <w:marTop w:val="0"/>
          <w:marBottom w:val="0"/>
          <w:divBdr>
            <w:top w:val="none" w:sz="0" w:space="0" w:color="auto"/>
            <w:left w:val="none" w:sz="0" w:space="0" w:color="auto"/>
            <w:bottom w:val="none" w:sz="0" w:space="0" w:color="auto"/>
            <w:right w:val="none" w:sz="0" w:space="0" w:color="auto"/>
          </w:divBdr>
        </w:div>
      </w:divsChild>
    </w:div>
    <w:div w:id="1401715067">
      <w:bodyDiv w:val="1"/>
      <w:marLeft w:val="0"/>
      <w:marRight w:val="0"/>
      <w:marTop w:val="0"/>
      <w:marBottom w:val="0"/>
      <w:divBdr>
        <w:top w:val="none" w:sz="0" w:space="0" w:color="auto"/>
        <w:left w:val="none" w:sz="0" w:space="0" w:color="auto"/>
        <w:bottom w:val="none" w:sz="0" w:space="0" w:color="auto"/>
        <w:right w:val="none" w:sz="0" w:space="0" w:color="auto"/>
      </w:divBdr>
    </w:div>
    <w:div w:id="1414660776">
      <w:bodyDiv w:val="1"/>
      <w:marLeft w:val="0"/>
      <w:marRight w:val="0"/>
      <w:marTop w:val="0"/>
      <w:marBottom w:val="0"/>
      <w:divBdr>
        <w:top w:val="none" w:sz="0" w:space="0" w:color="auto"/>
        <w:left w:val="none" w:sz="0" w:space="0" w:color="auto"/>
        <w:bottom w:val="none" w:sz="0" w:space="0" w:color="auto"/>
        <w:right w:val="none" w:sz="0" w:space="0" w:color="auto"/>
      </w:divBdr>
    </w:div>
    <w:div w:id="1431469030">
      <w:bodyDiv w:val="1"/>
      <w:marLeft w:val="0"/>
      <w:marRight w:val="0"/>
      <w:marTop w:val="0"/>
      <w:marBottom w:val="0"/>
      <w:divBdr>
        <w:top w:val="none" w:sz="0" w:space="0" w:color="auto"/>
        <w:left w:val="none" w:sz="0" w:space="0" w:color="auto"/>
        <w:bottom w:val="none" w:sz="0" w:space="0" w:color="auto"/>
        <w:right w:val="none" w:sz="0" w:space="0" w:color="auto"/>
      </w:divBdr>
    </w:div>
    <w:div w:id="1433091714">
      <w:bodyDiv w:val="1"/>
      <w:marLeft w:val="0"/>
      <w:marRight w:val="0"/>
      <w:marTop w:val="0"/>
      <w:marBottom w:val="0"/>
      <w:divBdr>
        <w:top w:val="none" w:sz="0" w:space="0" w:color="auto"/>
        <w:left w:val="none" w:sz="0" w:space="0" w:color="auto"/>
        <w:bottom w:val="none" w:sz="0" w:space="0" w:color="auto"/>
        <w:right w:val="none" w:sz="0" w:space="0" w:color="auto"/>
      </w:divBdr>
    </w:div>
    <w:div w:id="1454252949">
      <w:bodyDiv w:val="1"/>
      <w:marLeft w:val="0"/>
      <w:marRight w:val="0"/>
      <w:marTop w:val="0"/>
      <w:marBottom w:val="0"/>
      <w:divBdr>
        <w:top w:val="none" w:sz="0" w:space="0" w:color="auto"/>
        <w:left w:val="none" w:sz="0" w:space="0" w:color="auto"/>
        <w:bottom w:val="none" w:sz="0" w:space="0" w:color="auto"/>
        <w:right w:val="none" w:sz="0" w:space="0" w:color="auto"/>
      </w:divBdr>
      <w:divsChild>
        <w:div w:id="592518835">
          <w:marLeft w:val="-720"/>
          <w:marRight w:val="0"/>
          <w:marTop w:val="0"/>
          <w:marBottom w:val="0"/>
          <w:divBdr>
            <w:top w:val="none" w:sz="0" w:space="0" w:color="auto"/>
            <w:left w:val="none" w:sz="0" w:space="0" w:color="auto"/>
            <w:bottom w:val="none" w:sz="0" w:space="0" w:color="auto"/>
            <w:right w:val="none" w:sz="0" w:space="0" w:color="auto"/>
          </w:divBdr>
        </w:div>
      </w:divsChild>
    </w:div>
    <w:div w:id="1460614278">
      <w:bodyDiv w:val="1"/>
      <w:marLeft w:val="0"/>
      <w:marRight w:val="0"/>
      <w:marTop w:val="0"/>
      <w:marBottom w:val="0"/>
      <w:divBdr>
        <w:top w:val="none" w:sz="0" w:space="0" w:color="auto"/>
        <w:left w:val="none" w:sz="0" w:space="0" w:color="auto"/>
        <w:bottom w:val="none" w:sz="0" w:space="0" w:color="auto"/>
        <w:right w:val="none" w:sz="0" w:space="0" w:color="auto"/>
      </w:divBdr>
    </w:div>
    <w:div w:id="1462845296">
      <w:bodyDiv w:val="1"/>
      <w:marLeft w:val="0"/>
      <w:marRight w:val="0"/>
      <w:marTop w:val="0"/>
      <w:marBottom w:val="0"/>
      <w:divBdr>
        <w:top w:val="none" w:sz="0" w:space="0" w:color="auto"/>
        <w:left w:val="none" w:sz="0" w:space="0" w:color="auto"/>
        <w:bottom w:val="none" w:sz="0" w:space="0" w:color="auto"/>
        <w:right w:val="none" w:sz="0" w:space="0" w:color="auto"/>
      </w:divBdr>
    </w:div>
    <w:div w:id="1463232223">
      <w:bodyDiv w:val="1"/>
      <w:marLeft w:val="0"/>
      <w:marRight w:val="0"/>
      <w:marTop w:val="0"/>
      <w:marBottom w:val="0"/>
      <w:divBdr>
        <w:top w:val="none" w:sz="0" w:space="0" w:color="auto"/>
        <w:left w:val="none" w:sz="0" w:space="0" w:color="auto"/>
        <w:bottom w:val="none" w:sz="0" w:space="0" w:color="auto"/>
        <w:right w:val="none" w:sz="0" w:space="0" w:color="auto"/>
      </w:divBdr>
      <w:divsChild>
        <w:div w:id="774442834">
          <w:marLeft w:val="0"/>
          <w:marRight w:val="0"/>
          <w:marTop w:val="0"/>
          <w:marBottom w:val="0"/>
          <w:divBdr>
            <w:top w:val="none" w:sz="0" w:space="0" w:color="auto"/>
            <w:left w:val="none" w:sz="0" w:space="0" w:color="auto"/>
            <w:bottom w:val="none" w:sz="0" w:space="0" w:color="auto"/>
            <w:right w:val="none" w:sz="0" w:space="0" w:color="auto"/>
          </w:divBdr>
          <w:divsChild>
            <w:div w:id="1778482549">
              <w:marLeft w:val="0"/>
              <w:marRight w:val="0"/>
              <w:marTop w:val="0"/>
              <w:marBottom w:val="0"/>
              <w:divBdr>
                <w:top w:val="none" w:sz="0" w:space="0" w:color="auto"/>
                <w:left w:val="none" w:sz="0" w:space="0" w:color="auto"/>
                <w:bottom w:val="none" w:sz="0" w:space="0" w:color="auto"/>
                <w:right w:val="none" w:sz="0" w:space="0" w:color="auto"/>
              </w:divBdr>
              <w:divsChild>
                <w:div w:id="784810608">
                  <w:marLeft w:val="0"/>
                  <w:marRight w:val="0"/>
                  <w:marTop w:val="0"/>
                  <w:marBottom w:val="0"/>
                  <w:divBdr>
                    <w:top w:val="none" w:sz="0" w:space="0" w:color="auto"/>
                    <w:left w:val="none" w:sz="0" w:space="0" w:color="auto"/>
                    <w:bottom w:val="none" w:sz="0" w:space="0" w:color="auto"/>
                    <w:right w:val="none" w:sz="0" w:space="0" w:color="auto"/>
                  </w:divBdr>
                  <w:divsChild>
                    <w:div w:id="1524442462">
                      <w:marLeft w:val="0"/>
                      <w:marRight w:val="0"/>
                      <w:marTop w:val="0"/>
                      <w:marBottom w:val="0"/>
                      <w:divBdr>
                        <w:top w:val="none" w:sz="0" w:space="0" w:color="auto"/>
                        <w:left w:val="none" w:sz="0" w:space="0" w:color="auto"/>
                        <w:bottom w:val="none" w:sz="0" w:space="0" w:color="auto"/>
                        <w:right w:val="none" w:sz="0" w:space="0" w:color="auto"/>
                      </w:divBdr>
                      <w:divsChild>
                        <w:div w:id="123623836">
                          <w:marLeft w:val="0"/>
                          <w:marRight w:val="0"/>
                          <w:marTop w:val="0"/>
                          <w:marBottom w:val="0"/>
                          <w:divBdr>
                            <w:top w:val="none" w:sz="0" w:space="0" w:color="auto"/>
                            <w:left w:val="none" w:sz="0" w:space="0" w:color="auto"/>
                            <w:bottom w:val="none" w:sz="0" w:space="0" w:color="auto"/>
                            <w:right w:val="none" w:sz="0" w:space="0" w:color="auto"/>
                          </w:divBdr>
                          <w:divsChild>
                            <w:div w:id="145241532">
                              <w:marLeft w:val="0"/>
                              <w:marRight w:val="0"/>
                              <w:marTop w:val="0"/>
                              <w:marBottom w:val="0"/>
                              <w:divBdr>
                                <w:top w:val="none" w:sz="0" w:space="0" w:color="auto"/>
                                <w:left w:val="none" w:sz="0" w:space="0" w:color="auto"/>
                                <w:bottom w:val="none" w:sz="0" w:space="0" w:color="auto"/>
                                <w:right w:val="none" w:sz="0" w:space="0" w:color="auto"/>
                              </w:divBdr>
                              <w:divsChild>
                                <w:div w:id="560334982">
                                  <w:marLeft w:val="0"/>
                                  <w:marRight w:val="0"/>
                                  <w:marTop w:val="0"/>
                                  <w:marBottom w:val="0"/>
                                  <w:divBdr>
                                    <w:top w:val="none" w:sz="0" w:space="0" w:color="auto"/>
                                    <w:left w:val="none" w:sz="0" w:space="0" w:color="auto"/>
                                    <w:bottom w:val="none" w:sz="0" w:space="0" w:color="auto"/>
                                    <w:right w:val="none" w:sz="0" w:space="0" w:color="auto"/>
                                  </w:divBdr>
                                  <w:divsChild>
                                    <w:div w:id="8092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28309">
                      <w:marLeft w:val="0"/>
                      <w:marRight w:val="0"/>
                      <w:marTop w:val="0"/>
                      <w:marBottom w:val="0"/>
                      <w:divBdr>
                        <w:top w:val="none" w:sz="0" w:space="0" w:color="auto"/>
                        <w:left w:val="none" w:sz="0" w:space="0" w:color="auto"/>
                        <w:bottom w:val="none" w:sz="0" w:space="0" w:color="auto"/>
                        <w:right w:val="none" w:sz="0" w:space="0" w:color="auto"/>
                      </w:divBdr>
                      <w:divsChild>
                        <w:div w:id="4567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748149">
      <w:bodyDiv w:val="1"/>
      <w:marLeft w:val="0"/>
      <w:marRight w:val="0"/>
      <w:marTop w:val="0"/>
      <w:marBottom w:val="0"/>
      <w:divBdr>
        <w:top w:val="none" w:sz="0" w:space="0" w:color="auto"/>
        <w:left w:val="none" w:sz="0" w:space="0" w:color="auto"/>
        <w:bottom w:val="none" w:sz="0" w:space="0" w:color="auto"/>
        <w:right w:val="none" w:sz="0" w:space="0" w:color="auto"/>
      </w:divBdr>
    </w:div>
    <w:div w:id="1492989171">
      <w:bodyDiv w:val="1"/>
      <w:marLeft w:val="0"/>
      <w:marRight w:val="0"/>
      <w:marTop w:val="0"/>
      <w:marBottom w:val="0"/>
      <w:divBdr>
        <w:top w:val="none" w:sz="0" w:space="0" w:color="auto"/>
        <w:left w:val="none" w:sz="0" w:space="0" w:color="auto"/>
        <w:bottom w:val="none" w:sz="0" w:space="0" w:color="auto"/>
        <w:right w:val="none" w:sz="0" w:space="0" w:color="auto"/>
      </w:divBdr>
    </w:div>
    <w:div w:id="1508012150">
      <w:bodyDiv w:val="1"/>
      <w:marLeft w:val="0"/>
      <w:marRight w:val="0"/>
      <w:marTop w:val="0"/>
      <w:marBottom w:val="0"/>
      <w:divBdr>
        <w:top w:val="none" w:sz="0" w:space="0" w:color="auto"/>
        <w:left w:val="none" w:sz="0" w:space="0" w:color="auto"/>
        <w:bottom w:val="none" w:sz="0" w:space="0" w:color="auto"/>
        <w:right w:val="none" w:sz="0" w:space="0" w:color="auto"/>
      </w:divBdr>
    </w:div>
    <w:div w:id="1546873250">
      <w:bodyDiv w:val="1"/>
      <w:marLeft w:val="0"/>
      <w:marRight w:val="0"/>
      <w:marTop w:val="0"/>
      <w:marBottom w:val="0"/>
      <w:divBdr>
        <w:top w:val="none" w:sz="0" w:space="0" w:color="auto"/>
        <w:left w:val="none" w:sz="0" w:space="0" w:color="auto"/>
        <w:bottom w:val="none" w:sz="0" w:space="0" w:color="auto"/>
        <w:right w:val="none" w:sz="0" w:space="0" w:color="auto"/>
      </w:divBdr>
      <w:divsChild>
        <w:div w:id="2112385872">
          <w:marLeft w:val="-720"/>
          <w:marRight w:val="0"/>
          <w:marTop w:val="0"/>
          <w:marBottom w:val="0"/>
          <w:divBdr>
            <w:top w:val="none" w:sz="0" w:space="0" w:color="auto"/>
            <w:left w:val="none" w:sz="0" w:space="0" w:color="auto"/>
            <w:bottom w:val="none" w:sz="0" w:space="0" w:color="auto"/>
            <w:right w:val="none" w:sz="0" w:space="0" w:color="auto"/>
          </w:divBdr>
        </w:div>
      </w:divsChild>
    </w:div>
    <w:div w:id="1553347022">
      <w:bodyDiv w:val="1"/>
      <w:marLeft w:val="0"/>
      <w:marRight w:val="0"/>
      <w:marTop w:val="0"/>
      <w:marBottom w:val="0"/>
      <w:divBdr>
        <w:top w:val="none" w:sz="0" w:space="0" w:color="auto"/>
        <w:left w:val="none" w:sz="0" w:space="0" w:color="auto"/>
        <w:bottom w:val="none" w:sz="0" w:space="0" w:color="auto"/>
        <w:right w:val="none" w:sz="0" w:space="0" w:color="auto"/>
      </w:divBdr>
    </w:div>
    <w:div w:id="1560821382">
      <w:bodyDiv w:val="1"/>
      <w:marLeft w:val="0"/>
      <w:marRight w:val="0"/>
      <w:marTop w:val="0"/>
      <w:marBottom w:val="0"/>
      <w:divBdr>
        <w:top w:val="none" w:sz="0" w:space="0" w:color="auto"/>
        <w:left w:val="none" w:sz="0" w:space="0" w:color="auto"/>
        <w:bottom w:val="none" w:sz="0" w:space="0" w:color="auto"/>
        <w:right w:val="none" w:sz="0" w:space="0" w:color="auto"/>
      </w:divBdr>
    </w:div>
    <w:div w:id="1578369084">
      <w:bodyDiv w:val="1"/>
      <w:marLeft w:val="0"/>
      <w:marRight w:val="0"/>
      <w:marTop w:val="0"/>
      <w:marBottom w:val="0"/>
      <w:divBdr>
        <w:top w:val="none" w:sz="0" w:space="0" w:color="auto"/>
        <w:left w:val="none" w:sz="0" w:space="0" w:color="auto"/>
        <w:bottom w:val="none" w:sz="0" w:space="0" w:color="auto"/>
        <w:right w:val="none" w:sz="0" w:space="0" w:color="auto"/>
      </w:divBdr>
    </w:div>
    <w:div w:id="1590890323">
      <w:bodyDiv w:val="1"/>
      <w:marLeft w:val="0"/>
      <w:marRight w:val="0"/>
      <w:marTop w:val="0"/>
      <w:marBottom w:val="0"/>
      <w:divBdr>
        <w:top w:val="none" w:sz="0" w:space="0" w:color="auto"/>
        <w:left w:val="none" w:sz="0" w:space="0" w:color="auto"/>
        <w:bottom w:val="none" w:sz="0" w:space="0" w:color="auto"/>
        <w:right w:val="none" w:sz="0" w:space="0" w:color="auto"/>
      </w:divBdr>
    </w:div>
    <w:div w:id="1598440808">
      <w:bodyDiv w:val="1"/>
      <w:marLeft w:val="0"/>
      <w:marRight w:val="0"/>
      <w:marTop w:val="0"/>
      <w:marBottom w:val="0"/>
      <w:divBdr>
        <w:top w:val="none" w:sz="0" w:space="0" w:color="auto"/>
        <w:left w:val="none" w:sz="0" w:space="0" w:color="auto"/>
        <w:bottom w:val="none" w:sz="0" w:space="0" w:color="auto"/>
        <w:right w:val="none" w:sz="0" w:space="0" w:color="auto"/>
      </w:divBdr>
    </w:div>
    <w:div w:id="1602688253">
      <w:bodyDiv w:val="1"/>
      <w:marLeft w:val="0"/>
      <w:marRight w:val="0"/>
      <w:marTop w:val="0"/>
      <w:marBottom w:val="0"/>
      <w:divBdr>
        <w:top w:val="none" w:sz="0" w:space="0" w:color="auto"/>
        <w:left w:val="none" w:sz="0" w:space="0" w:color="auto"/>
        <w:bottom w:val="none" w:sz="0" w:space="0" w:color="auto"/>
        <w:right w:val="none" w:sz="0" w:space="0" w:color="auto"/>
      </w:divBdr>
    </w:div>
    <w:div w:id="1602906908">
      <w:bodyDiv w:val="1"/>
      <w:marLeft w:val="0"/>
      <w:marRight w:val="0"/>
      <w:marTop w:val="0"/>
      <w:marBottom w:val="0"/>
      <w:divBdr>
        <w:top w:val="none" w:sz="0" w:space="0" w:color="auto"/>
        <w:left w:val="none" w:sz="0" w:space="0" w:color="auto"/>
        <w:bottom w:val="none" w:sz="0" w:space="0" w:color="auto"/>
        <w:right w:val="none" w:sz="0" w:space="0" w:color="auto"/>
      </w:divBdr>
      <w:divsChild>
        <w:div w:id="1756125787">
          <w:marLeft w:val="0"/>
          <w:marRight w:val="0"/>
          <w:marTop w:val="100"/>
          <w:marBottom w:val="10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21292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20404">
      <w:bodyDiv w:val="1"/>
      <w:marLeft w:val="0"/>
      <w:marRight w:val="0"/>
      <w:marTop w:val="0"/>
      <w:marBottom w:val="0"/>
      <w:divBdr>
        <w:top w:val="none" w:sz="0" w:space="0" w:color="auto"/>
        <w:left w:val="none" w:sz="0" w:space="0" w:color="auto"/>
        <w:bottom w:val="none" w:sz="0" w:space="0" w:color="auto"/>
        <w:right w:val="none" w:sz="0" w:space="0" w:color="auto"/>
      </w:divBdr>
    </w:div>
    <w:div w:id="1639724730">
      <w:bodyDiv w:val="1"/>
      <w:marLeft w:val="0"/>
      <w:marRight w:val="0"/>
      <w:marTop w:val="0"/>
      <w:marBottom w:val="0"/>
      <w:divBdr>
        <w:top w:val="none" w:sz="0" w:space="0" w:color="auto"/>
        <w:left w:val="none" w:sz="0" w:space="0" w:color="auto"/>
        <w:bottom w:val="none" w:sz="0" w:space="0" w:color="auto"/>
        <w:right w:val="none" w:sz="0" w:space="0" w:color="auto"/>
      </w:divBdr>
    </w:div>
    <w:div w:id="1648048398">
      <w:bodyDiv w:val="1"/>
      <w:marLeft w:val="0"/>
      <w:marRight w:val="0"/>
      <w:marTop w:val="0"/>
      <w:marBottom w:val="0"/>
      <w:divBdr>
        <w:top w:val="none" w:sz="0" w:space="0" w:color="auto"/>
        <w:left w:val="none" w:sz="0" w:space="0" w:color="auto"/>
        <w:bottom w:val="none" w:sz="0" w:space="0" w:color="auto"/>
        <w:right w:val="none" w:sz="0" w:space="0" w:color="auto"/>
      </w:divBdr>
    </w:div>
    <w:div w:id="1665935329">
      <w:bodyDiv w:val="1"/>
      <w:marLeft w:val="0"/>
      <w:marRight w:val="0"/>
      <w:marTop w:val="0"/>
      <w:marBottom w:val="0"/>
      <w:divBdr>
        <w:top w:val="none" w:sz="0" w:space="0" w:color="auto"/>
        <w:left w:val="none" w:sz="0" w:space="0" w:color="auto"/>
        <w:bottom w:val="none" w:sz="0" w:space="0" w:color="auto"/>
        <w:right w:val="none" w:sz="0" w:space="0" w:color="auto"/>
      </w:divBdr>
    </w:div>
    <w:div w:id="1690836400">
      <w:bodyDiv w:val="1"/>
      <w:marLeft w:val="0"/>
      <w:marRight w:val="0"/>
      <w:marTop w:val="0"/>
      <w:marBottom w:val="0"/>
      <w:divBdr>
        <w:top w:val="none" w:sz="0" w:space="0" w:color="auto"/>
        <w:left w:val="none" w:sz="0" w:space="0" w:color="auto"/>
        <w:bottom w:val="none" w:sz="0" w:space="0" w:color="auto"/>
        <w:right w:val="none" w:sz="0" w:space="0" w:color="auto"/>
      </w:divBdr>
    </w:div>
    <w:div w:id="1705594707">
      <w:bodyDiv w:val="1"/>
      <w:marLeft w:val="0"/>
      <w:marRight w:val="0"/>
      <w:marTop w:val="0"/>
      <w:marBottom w:val="0"/>
      <w:divBdr>
        <w:top w:val="none" w:sz="0" w:space="0" w:color="auto"/>
        <w:left w:val="none" w:sz="0" w:space="0" w:color="auto"/>
        <w:bottom w:val="none" w:sz="0" w:space="0" w:color="auto"/>
        <w:right w:val="none" w:sz="0" w:space="0" w:color="auto"/>
      </w:divBdr>
    </w:div>
    <w:div w:id="1720204004">
      <w:bodyDiv w:val="1"/>
      <w:marLeft w:val="0"/>
      <w:marRight w:val="0"/>
      <w:marTop w:val="0"/>
      <w:marBottom w:val="0"/>
      <w:divBdr>
        <w:top w:val="none" w:sz="0" w:space="0" w:color="auto"/>
        <w:left w:val="none" w:sz="0" w:space="0" w:color="auto"/>
        <w:bottom w:val="none" w:sz="0" w:space="0" w:color="auto"/>
        <w:right w:val="none" w:sz="0" w:space="0" w:color="auto"/>
      </w:divBdr>
    </w:div>
    <w:div w:id="1722047574">
      <w:bodyDiv w:val="1"/>
      <w:marLeft w:val="0"/>
      <w:marRight w:val="0"/>
      <w:marTop w:val="0"/>
      <w:marBottom w:val="0"/>
      <w:divBdr>
        <w:top w:val="none" w:sz="0" w:space="0" w:color="auto"/>
        <w:left w:val="none" w:sz="0" w:space="0" w:color="auto"/>
        <w:bottom w:val="none" w:sz="0" w:space="0" w:color="auto"/>
        <w:right w:val="none" w:sz="0" w:space="0" w:color="auto"/>
      </w:divBdr>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
    <w:div w:id="1772243715">
      <w:bodyDiv w:val="1"/>
      <w:marLeft w:val="0"/>
      <w:marRight w:val="0"/>
      <w:marTop w:val="0"/>
      <w:marBottom w:val="0"/>
      <w:divBdr>
        <w:top w:val="none" w:sz="0" w:space="0" w:color="auto"/>
        <w:left w:val="none" w:sz="0" w:space="0" w:color="auto"/>
        <w:bottom w:val="none" w:sz="0" w:space="0" w:color="auto"/>
        <w:right w:val="none" w:sz="0" w:space="0" w:color="auto"/>
      </w:divBdr>
    </w:div>
    <w:div w:id="1785494540">
      <w:bodyDiv w:val="1"/>
      <w:marLeft w:val="0"/>
      <w:marRight w:val="0"/>
      <w:marTop w:val="0"/>
      <w:marBottom w:val="0"/>
      <w:divBdr>
        <w:top w:val="none" w:sz="0" w:space="0" w:color="auto"/>
        <w:left w:val="none" w:sz="0" w:space="0" w:color="auto"/>
        <w:bottom w:val="none" w:sz="0" w:space="0" w:color="auto"/>
        <w:right w:val="none" w:sz="0" w:space="0" w:color="auto"/>
      </w:divBdr>
      <w:divsChild>
        <w:div w:id="1300846501">
          <w:marLeft w:val="-720"/>
          <w:marRight w:val="0"/>
          <w:marTop w:val="0"/>
          <w:marBottom w:val="0"/>
          <w:divBdr>
            <w:top w:val="none" w:sz="0" w:space="0" w:color="auto"/>
            <w:left w:val="none" w:sz="0" w:space="0" w:color="auto"/>
            <w:bottom w:val="none" w:sz="0" w:space="0" w:color="auto"/>
            <w:right w:val="none" w:sz="0" w:space="0" w:color="auto"/>
          </w:divBdr>
        </w:div>
      </w:divsChild>
    </w:div>
    <w:div w:id="1799642650">
      <w:bodyDiv w:val="1"/>
      <w:marLeft w:val="0"/>
      <w:marRight w:val="0"/>
      <w:marTop w:val="0"/>
      <w:marBottom w:val="0"/>
      <w:divBdr>
        <w:top w:val="none" w:sz="0" w:space="0" w:color="auto"/>
        <w:left w:val="none" w:sz="0" w:space="0" w:color="auto"/>
        <w:bottom w:val="none" w:sz="0" w:space="0" w:color="auto"/>
        <w:right w:val="none" w:sz="0" w:space="0" w:color="auto"/>
      </w:divBdr>
    </w:div>
    <w:div w:id="1801461535">
      <w:bodyDiv w:val="1"/>
      <w:marLeft w:val="0"/>
      <w:marRight w:val="0"/>
      <w:marTop w:val="0"/>
      <w:marBottom w:val="0"/>
      <w:divBdr>
        <w:top w:val="none" w:sz="0" w:space="0" w:color="auto"/>
        <w:left w:val="none" w:sz="0" w:space="0" w:color="auto"/>
        <w:bottom w:val="none" w:sz="0" w:space="0" w:color="auto"/>
        <w:right w:val="none" w:sz="0" w:space="0" w:color="auto"/>
      </w:divBdr>
      <w:divsChild>
        <w:div w:id="1143883944">
          <w:marLeft w:val="-720"/>
          <w:marRight w:val="0"/>
          <w:marTop w:val="0"/>
          <w:marBottom w:val="0"/>
          <w:divBdr>
            <w:top w:val="none" w:sz="0" w:space="0" w:color="auto"/>
            <w:left w:val="none" w:sz="0" w:space="0" w:color="auto"/>
            <w:bottom w:val="none" w:sz="0" w:space="0" w:color="auto"/>
            <w:right w:val="none" w:sz="0" w:space="0" w:color="auto"/>
          </w:divBdr>
        </w:div>
      </w:divsChild>
    </w:div>
    <w:div w:id="1803040366">
      <w:bodyDiv w:val="1"/>
      <w:marLeft w:val="0"/>
      <w:marRight w:val="0"/>
      <w:marTop w:val="0"/>
      <w:marBottom w:val="0"/>
      <w:divBdr>
        <w:top w:val="none" w:sz="0" w:space="0" w:color="auto"/>
        <w:left w:val="none" w:sz="0" w:space="0" w:color="auto"/>
        <w:bottom w:val="none" w:sz="0" w:space="0" w:color="auto"/>
        <w:right w:val="none" w:sz="0" w:space="0" w:color="auto"/>
      </w:divBdr>
      <w:divsChild>
        <w:div w:id="1300502392">
          <w:marLeft w:val="-720"/>
          <w:marRight w:val="0"/>
          <w:marTop w:val="0"/>
          <w:marBottom w:val="0"/>
          <w:divBdr>
            <w:top w:val="none" w:sz="0" w:space="0" w:color="auto"/>
            <w:left w:val="none" w:sz="0" w:space="0" w:color="auto"/>
            <w:bottom w:val="none" w:sz="0" w:space="0" w:color="auto"/>
            <w:right w:val="none" w:sz="0" w:space="0" w:color="auto"/>
          </w:divBdr>
        </w:div>
      </w:divsChild>
    </w:div>
    <w:div w:id="1805267116">
      <w:bodyDiv w:val="1"/>
      <w:marLeft w:val="0"/>
      <w:marRight w:val="0"/>
      <w:marTop w:val="0"/>
      <w:marBottom w:val="0"/>
      <w:divBdr>
        <w:top w:val="none" w:sz="0" w:space="0" w:color="auto"/>
        <w:left w:val="none" w:sz="0" w:space="0" w:color="auto"/>
        <w:bottom w:val="none" w:sz="0" w:space="0" w:color="auto"/>
        <w:right w:val="none" w:sz="0" w:space="0" w:color="auto"/>
      </w:divBdr>
    </w:div>
    <w:div w:id="1826433533">
      <w:bodyDiv w:val="1"/>
      <w:marLeft w:val="0"/>
      <w:marRight w:val="0"/>
      <w:marTop w:val="0"/>
      <w:marBottom w:val="0"/>
      <w:divBdr>
        <w:top w:val="none" w:sz="0" w:space="0" w:color="auto"/>
        <w:left w:val="none" w:sz="0" w:space="0" w:color="auto"/>
        <w:bottom w:val="none" w:sz="0" w:space="0" w:color="auto"/>
        <w:right w:val="none" w:sz="0" w:space="0" w:color="auto"/>
      </w:divBdr>
    </w:div>
    <w:div w:id="1836066875">
      <w:bodyDiv w:val="1"/>
      <w:marLeft w:val="0"/>
      <w:marRight w:val="0"/>
      <w:marTop w:val="0"/>
      <w:marBottom w:val="0"/>
      <w:divBdr>
        <w:top w:val="none" w:sz="0" w:space="0" w:color="auto"/>
        <w:left w:val="none" w:sz="0" w:space="0" w:color="auto"/>
        <w:bottom w:val="none" w:sz="0" w:space="0" w:color="auto"/>
        <w:right w:val="none" w:sz="0" w:space="0" w:color="auto"/>
      </w:divBdr>
    </w:div>
    <w:div w:id="1911116812">
      <w:bodyDiv w:val="1"/>
      <w:marLeft w:val="0"/>
      <w:marRight w:val="0"/>
      <w:marTop w:val="0"/>
      <w:marBottom w:val="0"/>
      <w:divBdr>
        <w:top w:val="none" w:sz="0" w:space="0" w:color="auto"/>
        <w:left w:val="none" w:sz="0" w:space="0" w:color="auto"/>
        <w:bottom w:val="none" w:sz="0" w:space="0" w:color="auto"/>
        <w:right w:val="none" w:sz="0" w:space="0" w:color="auto"/>
      </w:divBdr>
    </w:div>
    <w:div w:id="1915582795">
      <w:bodyDiv w:val="1"/>
      <w:marLeft w:val="0"/>
      <w:marRight w:val="0"/>
      <w:marTop w:val="0"/>
      <w:marBottom w:val="0"/>
      <w:divBdr>
        <w:top w:val="none" w:sz="0" w:space="0" w:color="auto"/>
        <w:left w:val="none" w:sz="0" w:space="0" w:color="auto"/>
        <w:bottom w:val="none" w:sz="0" w:space="0" w:color="auto"/>
        <w:right w:val="none" w:sz="0" w:space="0" w:color="auto"/>
      </w:divBdr>
    </w:div>
    <w:div w:id="1974559799">
      <w:bodyDiv w:val="1"/>
      <w:marLeft w:val="0"/>
      <w:marRight w:val="0"/>
      <w:marTop w:val="0"/>
      <w:marBottom w:val="0"/>
      <w:divBdr>
        <w:top w:val="none" w:sz="0" w:space="0" w:color="auto"/>
        <w:left w:val="none" w:sz="0" w:space="0" w:color="auto"/>
        <w:bottom w:val="none" w:sz="0" w:space="0" w:color="auto"/>
        <w:right w:val="none" w:sz="0" w:space="0" w:color="auto"/>
      </w:divBdr>
    </w:div>
    <w:div w:id="2020769099">
      <w:bodyDiv w:val="1"/>
      <w:marLeft w:val="0"/>
      <w:marRight w:val="0"/>
      <w:marTop w:val="0"/>
      <w:marBottom w:val="0"/>
      <w:divBdr>
        <w:top w:val="none" w:sz="0" w:space="0" w:color="auto"/>
        <w:left w:val="none" w:sz="0" w:space="0" w:color="auto"/>
        <w:bottom w:val="none" w:sz="0" w:space="0" w:color="auto"/>
        <w:right w:val="none" w:sz="0" w:space="0" w:color="auto"/>
      </w:divBdr>
      <w:divsChild>
        <w:div w:id="445467213">
          <w:marLeft w:val="-720"/>
          <w:marRight w:val="0"/>
          <w:marTop w:val="0"/>
          <w:marBottom w:val="0"/>
          <w:divBdr>
            <w:top w:val="none" w:sz="0" w:space="0" w:color="auto"/>
            <w:left w:val="none" w:sz="0" w:space="0" w:color="auto"/>
            <w:bottom w:val="none" w:sz="0" w:space="0" w:color="auto"/>
            <w:right w:val="none" w:sz="0" w:space="0" w:color="auto"/>
          </w:divBdr>
        </w:div>
      </w:divsChild>
    </w:div>
    <w:div w:id="2039813782">
      <w:bodyDiv w:val="1"/>
      <w:marLeft w:val="0"/>
      <w:marRight w:val="0"/>
      <w:marTop w:val="0"/>
      <w:marBottom w:val="0"/>
      <w:divBdr>
        <w:top w:val="none" w:sz="0" w:space="0" w:color="auto"/>
        <w:left w:val="none" w:sz="0" w:space="0" w:color="auto"/>
        <w:bottom w:val="none" w:sz="0" w:space="0" w:color="auto"/>
        <w:right w:val="none" w:sz="0" w:space="0" w:color="auto"/>
      </w:divBdr>
    </w:div>
    <w:div w:id="2046363634">
      <w:bodyDiv w:val="1"/>
      <w:marLeft w:val="0"/>
      <w:marRight w:val="0"/>
      <w:marTop w:val="0"/>
      <w:marBottom w:val="0"/>
      <w:divBdr>
        <w:top w:val="none" w:sz="0" w:space="0" w:color="auto"/>
        <w:left w:val="none" w:sz="0" w:space="0" w:color="auto"/>
        <w:bottom w:val="none" w:sz="0" w:space="0" w:color="auto"/>
        <w:right w:val="none" w:sz="0" w:space="0" w:color="auto"/>
      </w:divBdr>
    </w:div>
    <w:div w:id="2049455645">
      <w:bodyDiv w:val="1"/>
      <w:marLeft w:val="0"/>
      <w:marRight w:val="0"/>
      <w:marTop w:val="0"/>
      <w:marBottom w:val="0"/>
      <w:divBdr>
        <w:top w:val="none" w:sz="0" w:space="0" w:color="auto"/>
        <w:left w:val="none" w:sz="0" w:space="0" w:color="auto"/>
        <w:bottom w:val="none" w:sz="0" w:space="0" w:color="auto"/>
        <w:right w:val="none" w:sz="0" w:space="0" w:color="auto"/>
      </w:divBdr>
    </w:div>
    <w:div w:id="2057195211">
      <w:bodyDiv w:val="1"/>
      <w:marLeft w:val="0"/>
      <w:marRight w:val="0"/>
      <w:marTop w:val="0"/>
      <w:marBottom w:val="0"/>
      <w:divBdr>
        <w:top w:val="none" w:sz="0" w:space="0" w:color="auto"/>
        <w:left w:val="none" w:sz="0" w:space="0" w:color="auto"/>
        <w:bottom w:val="none" w:sz="0" w:space="0" w:color="auto"/>
        <w:right w:val="none" w:sz="0" w:space="0" w:color="auto"/>
      </w:divBdr>
    </w:div>
    <w:div w:id="2059356696">
      <w:bodyDiv w:val="1"/>
      <w:marLeft w:val="0"/>
      <w:marRight w:val="0"/>
      <w:marTop w:val="0"/>
      <w:marBottom w:val="0"/>
      <w:divBdr>
        <w:top w:val="none" w:sz="0" w:space="0" w:color="auto"/>
        <w:left w:val="none" w:sz="0" w:space="0" w:color="auto"/>
        <w:bottom w:val="none" w:sz="0" w:space="0" w:color="auto"/>
        <w:right w:val="none" w:sz="0" w:space="0" w:color="auto"/>
      </w:divBdr>
    </w:div>
    <w:div w:id="2064208811">
      <w:bodyDiv w:val="1"/>
      <w:marLeft w:val="0"/>
      <w:marRight w:val="0"/>
      <w:marTop w:val="0"/>
      <w:marBottom w:val="0"/>
      <w:divBdr>
        <w:top w:val="none" w:sz="0" w:space="0" w:color="auto"/>
        <w:left w:val="none" w:sz="0" w:space="0" w:color="auto"/>
        <w:bottom w:val="none" w:sz="0" w:space="0" w:color="auto"/>
        <w:right w:val="none" w:sz="0" w:space="0" w:color="auto"/>
      </w:divBdr>
    </w:div>
    <w:div w:id="2065054601">
      <w:bodyDiv w:val="1"/>
      <w:marLeft w:val="0"/>
      <w:marRight w:val="0"/>
      <w:marTop w:val="0"/>
      <w:marBottom w:val="0"/>
      <w:divBdr>
        <w:top w:val="none" w:sz="0" w:space="0" w:color="auto"/>
        <w:left w:val="none" w:sz="0" w:space="0" w:color="auto"/>
        <w:bottom w:val="none" w:sz="0" w:space="0" w:color="auto"/>
        <w:right w:val="none" w:sz="0" w:space="0" w:color="auto"/>
      </w:divBdr>
    </w:div>
    <w:div w:id="2078436424">
      <w:bodyDiv w:val="1"/>
      <w:marLeft w:val="0"/>
      <w:marRight w:val="0"/>
      <w:marTop w:val="0"/>
      <w:marBottom w:val="0"/>
      <w:divBdr>
        <w:top w:val="none" w:sz="0" w:space="0" w:color="auto"/>
        <w:left w:val="none" w:sz="0" w:space="0" w:color="auto"/>
        <w:bottom w:val="none" w:sz="0" w:space="0" w:color="auto"/>
        <w:right w:val="none" w:sz="0" w:space="0" w:color="auto"/>
      </w:divBdr>
    </w:div>
    <w:div w:id="2097358530">
      <w:bodyDiv w:val="1"/>
      <w:marLeft w:val="0"/>
      <w:marRight w:val="0"/>
      <w:marTop w:val="0"/>
      <w:marBottom w:val="0"/>
      <w:divBdr>
        <w:top w:val="none" w:sz="0" w:space="0" w:color="auto"/>
        <w:left w:val="none" w:sz="0" w:space="0" w:color="auto"/>
        <w:bottom w:val="none" w:sz="0" w:space="0" w:color="auto"/>
        <w:right w:val="none" w:sz="0" w:space="0" w:color="auto"/>
      </w:divBdr>
    </w:div>
    <w:div w:id="2103455204">
      <w:bodyDiv w:val="1"/>
      <w:marLeft w:val="0"/>
      <w:marRight w:val="0"/>
      <w:marTop w:val="0"/>
      <w:marBottom w:val="0"/>
      <w:divBdr>
        <w:top w:val="none" w:sz="0" w:space="0" w:color="auto"/>
        <w:left w:val="none" w:sz="0" w:space="0" w:color="auto"/>
        <w:bottom w:val="none" w:sz="0" w:space="0" w:color="auto"/>
        <w:right w:val="none" w:sz="0" w:space="0" w:color="auto"/>
      </w:divBdr>
    </w:div>
    <w:div w:id="2113893479">
      <w:bodyDiv w:val="1"/>
      <w:marLeft w:val="0"/>
      <w:marRight w:val="0"/>
      <w:marTop w:val="0"/>
      <w:marBottom w:val="0"/>
      <w:divBdr>
        <w:top w:val="none" w:sz="0" w:space="0" w:color="auto"/>
        <w:left w:val="none" w:sz="0" w:space="0" w:color="auto"/>
        <w:bottom w:val="none" w:sz="0" w:space="0" w:color="auto"/>
        <w:right w:val="none" w:sz="0" w:space="0" w:color="auto"/>
      </w:divBdr>
    </w:div>
    <w:div w:id="2134979164">
      <w:bodyDiv w:val="1"/>
      <w:marLeft w:val="0"/>
      <w:marRight w:val="0"/>
      <w:marTop w:val="0"/>
      <w:marBottom w:val="0"/>
      <w:divBdr>
        <w:top w:val="none" w:sz="0" w:space="0" w:color="auto"/>
        <w:left w:val="none" w:sz="0" w:space="0" w:color="auto"/>
        <w:bottom w:val="none" w:sz="0" w:space="0" w:color="auto"/>
        <w:right w:val="none" w:sz="0" w:space="0" w:color="auto"/>
      </w:divBdr>
      <w:divsChild>
        <w:div w:id="1321302271">
          <w:marLeft w:val="-720"/>
          <w:marRight w:val="0"/>
          <w:marTop w:val="0"/>
          <w:marBottom w:val="0"/>
          <w:divBdr>
            <w:top w:val="none" w:sz="0" w:space="0" w:color="auto"/>
            <w:left w:val="none" w:sz="0" w:space="0" w:color="auto"/>
            <w:bottom w:val="none" w:sz="0" w:space="0" w:color="auto"/>
            <w:right w:val="none" w:sz="0" w:space="0" w:color="auto"/>
          </w:divBdr>
        </w:div>
      </w:divsChild>
    </w:div>
    <w:div w:id="2136558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doi.org/10.1080/23311975.2025.2504131" TargetMode="External"/><Relationship Id="rId26" Type="http://schemas.openxmlformats.org/officeDocument/2006/relationships/hyperlink" Target="https://doi.org/10.1108/MF-09-2017-0331" TargetMode="External"/><Relationship Id="rId39" Type="http://schemas.openxmlformats.org/officeDocument/2006/relationships/hyperlink" Target="https://doi.org/10.9734/ajeba/2024/v24i71426" TargetMode="External"/><Relationship Id="rId21" Type="http://schemas.openxmlformats.org/officeDocument/2006/relationships/hyperlink" Target="https://journals.uol.edu.pk/afrj/article/view/2934" TargetMode="External"/><Relationship Id="rId34" Type="http://schemas.openxmlformats.org/officeDocument/2006/relationships/hyperlink" Target="https://doi.org/10.1257/jep.15.4.143" TargetMode="External"/><Relationship Id="rId42" Type="http://schemas.openxmlformats.org/officeDocument/2006/relationships/hyperlink" Target="https://doi.org/10.1108/jfra-09-2021-0291" TargetMode="External"/><Relationship Id="rId47" Type="http://schemas.openxmlformats.org/officeDocument/2006/relationships/hyperlink" Target="https://doi.org/10.2139/ssrn.5272049"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doi.org/10.3390/jrfm17120563" TargetMode="External"/><Relationship Id="rId29" Type="http://schemas.openxmlformats.org/officeDocument/2006/relationships/hyperlink" Target="https://doi.org/10.47509/iajfa.2022.v03i01.01" TargetMode="External"/><Relationship Id="rId11" Type="http://schemas.openxmlformats.org/officeDocument/2006/relationships/settings" Target="settings.xml"/><Relationship Id="rId24" Type="http://schemas.openxmlformats.org/officeDocument/2006/relationships/hyperlink" Target="https://doi.org/10.59324/ejmeb.2024.1(3).07" TargetMode="External"/><Relationship Id="rId32" Type="http://schemas.openxmlformats.org/officeDocument/2006/relationships/hyperlink" Target="https://doi.org/10.1016/0304-405X(76)90026-X" TargetMode="External"/><Relationship Id="rId37" Type="http://schemas.openxmlformats.org/officeDocument/2006/relationships/hyperlink" Target="https://doi.org/10.1111/j.1540-6261.1985.tb02362.x" TargetMode="External"/><Relationship Id="rId40" Type="http://schemas.openxmlformats.org/officeDocument/2006/relationships/hyperlink" Target="https://doi.org/10.31695/ijasre.2021.34068" TargetMode="External"/><Relationship Id="rId45" Type="http://schemas.openxmlformats.org/officeDocument/2006/relationships/hyperlink" Target="https://doi.org/10.1016/j.ribaf.2020.101321" TargetMode="External"/><Relationship Id="rId53" Type="http://schemas.openxmlformats.org/officeDocument/2006/relationships/footer" Target="footer3.xml"/><Relationship Id="rId5" Type="http://schemas.openxmlformats.org/officeDocument/2006/relationships/customXml" Target="../customXml/item5.xml"/><Relationship Id="rId10" Type="http://schemas.openxmlformats.org/officeDocument/2006/relationships/styles" Target="styles.xml"/><Relationship Id="rId19" Type="http://schemas.openxmlformats.org/officeDocument/2006/relationships/hyperlink" Target="https://doi.org/10.1080/23311975.2025.2463576" TargetMode="External"/><Relationship Id="rId31" Type="http://schemas.openxmlformats.org/officeDocument/2006/relationships/hyperlink" Target="https://doi.org/10.15294/jda.v16i2.6560" TargetMode="External"/><Relationship Id="rId44" Type="http://schemas.openxmlformats.org/officeDocument/2006/relationships/hyperlink" Target="https://doi.org/10.1108/978-1-83797-987-520241007"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doi.org/10.1080/23322039.2023.2243709" TargetMode="External"/><Relationship Id="rId27" Type="http://schemas.openxmlformats.org/officeDocument/2006/relationships/hyperlink" Target="https://doi.org/10.1016/j.bar.2019.03.001" TargetMode="External"/><Relationship Id="rId30" Type="http://schemas.openxmlformats.org/officeDocument/2006/relationships/hyperlink" Target="https://doi.org/10.1080/23322039.2022.2159735" TargetMode="External"/><Relationship Id="rId35" Type="http://schemas.openxmlformats.org/officeDocument/2006/relationships/hyperlink" Target="https://doi.org/10.1111/0022-1082.00199" TargetMode="External"/><Relationship Id="rId43" Type="http://schemas.openxmlformats.org/officeDocument/2006/relationships/hyperlink" Target="https://doi.org/10.1108/JEFAS-12-2021-0257" TargetMode="External"/><Relationship Id="rId4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doi.org/10.1111/fmii.12183" TargetMode="External"/><Relationship Id="rId25" Type="http://schemas.openxmlformats.org/officeDocument/2006/relationships/hyperlink" Target="https://doi.org/10.31966/jabminternational.v32i1.1464" TargetMode="External"/><Relationship Id="rId33" Type="http://schemas.openxmlformats.org/officeDocument/2006/relationships/hyperlink" Target="Https://Doi.Org/10.23969/Jrak.V17i2.22566" TargetMode="External"/><Relationship Id="rId38" Type="http://schemas.openxmlformats.org/officeDocument/2006/relationships/hyperlink" Target="https://doi.org/10.1007/s10997-024-09725-9" TargetMode="External"/><Relationship Id="rId46" Type="http://schemas.openxmlformats.org/officeDocument/2006/relationships/hyperlink" Target="https://doi.org/10.2139/ssrn.5216573" TargetMode="External"/><Relationship Id="rId20" Type="http://schemas.openxmlformats.org/officeDocument/2006/relationships/hyperlink" Target="https://doi.org/10.1002/bse.70020" TargetMode="External"/><Relationship Id="rId41" Type="http://schemas.openxmlformats.org/officeDocument/2006/relationships/hyperlink" Target="https://doi.org/10.1080/23311975.2024.239604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doi.org/10.5430/afr.v13n2p129" TargetMode="External"/><Relationship Id="rId23" Type="http://schemas.openxmlformats.org/officeDocument/2006/relationships/hyperlink" Target="https://doi.org/10.1080/23311975.2020.1863175" TargetMode="External"/><Relationship Id="rId28" Type="http://schemas.openxmlformats.org/officeDocument/2006/relationships/hyperlink" Target="https://doi.org/10.1016/S0304-405X(01)00038-1" TargetMode="External"/><Relationship Id="rId36" Type="http://schemas.openxmlformats.org/officeDocument/2006/relationships/hyperlink" Target="https://doi.org/10.1080/23311975.2025.2473043"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E605CA-4443-4E00-963F-5672E5D7C19A}">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46EBC9B6-A83C-4952-96D2-4134A0282238}">
  <ds:schemaRefs>
    <ds:schemaRef ds:uri="http://www.wps.cn/android/officeDocument/2013/mofficeCustomData"/>
  </ds:schemaRefs>
</ds:datastoreItem>
</file>

<file path=customXml/itemProps2.xml><?xml version="1.0" encoding="utf-8"?>
<ds:datastoreItem xmlns:ds="http://schemas.openxmlformats.org/officeDocument/2006/customXml" ds:itemID="{60C0C587-7C2C-4DD1-98C4-9C1AE8A6DD39}">
  <ds:schemaRefs>
    <ds:schemaRef ds:uri="http://www.wps.cn/android/officeDocument/2013/mofficeCustomData"/>
  </ds:schemaRefs>
</ds:datastoreItem>
</file>

<file path=customXml/itemProps3.xml><?xml version="1.0" encoding="utf-8"?>
<ds:datastoreItem xmlns:ds="http://schemas.openxmlformats.org/officeDocument/2006/customXml" ds:itemID="{071397BE-4E80-430B-9925-D754A7209419}">
  <ds:schemaRefs>
    <ds:schemaRef ds:uri="http://schemas.openxmlformats.org/officeDocument/2006/bibliography"/>
  </ds:schemaRefs>
</ds:datastoreItem>
</file>

<file path=customXml/itemProps4.xml><?xml version="1.0" encoding="utf-8"?>
<ds:datastoreItem xmlns:ds="http://schemas.openxmlformats.org/officeDocument/2006/customXml" ds:itemID="{E09CF118-912C-4A5C-8B2E-11F0EBDC91EB}">
  <ds:schemaRefs>
    <ds:schemaRef ds:uri="http://www.wps.cn/android/officeDocument/2013/mofficeCustomData"/>
  </ds:schemaRefs>
</ds:datastoreItem>
</file>

<file path=customXml/itemProps5.xml><?xml version="1.0" encoding="utf-8"?>
<ds:datastoreItem xmlns:ds="http://schemas.openxmlformats.org/officeDocument/2006/customXml" ds:itemID="{812309DE-FAB7-4685-A4FA-92A2E41BD607}">
  <ds:schemaRefs>
    <ds:schemaRef ds:uri="http://www.wps.cn/android/officeDocument/2013/mofficeCustomData"/>
  </ds:schemaRefs>
</ds:datastoreItem>
</file>

<file path=customXml/itemProps6.xml><?xml version="1.0" encoding="utf-8"?>
<ds:datastoreItem xmlns:ds="http://schemas.openxmlformats.org/officeDocument/2006/customXml" ds:itemID="{487C8841-71FC-4169-A242-CA87C01FA695}">
  <ds:schemaRefs>
    <ds:schemaRef ds:uri="http://www.wps.cn/android/officeDocument/2013/mofficeCustomData"/>
  </ds:schemaRefs>
</ds:datastoreItem>
</file>

<file path=customXml/itemProps7.xml><?xml version="1.0" encoding="utf-8"?>
<ds:datastoreItem xmlns:ds="http://schemas.openxmlformats.org/officeDocument/2006/customXml" ds:itemID="{3B75090F-3B3E-4116-A959-7A2DEB1F2479}">
  <ds:schemaRefs>
    <ds:schemaRef ds:uri="http://www.wps.cn/android/officeDocument/2013/mofficeCustomData"/>
  </ds:schemaRefs>
</ds:datastoreItem>
</file>

<file path=customXml/itemProps8.xml><?xml version="1.0" encoding="utf-8"?>
<ds:datastoreItem xmlns:ds="http://schemas.openxmlformats.org/officeDocument/2006/customXml" ds:itemID="{4BA2A1D5-00D5-4E08-A9A5-F91CCF763ADD}">
  <ds:schemaRefs>
    <ds:schemaRef ds:uri="http://www.wps.cn/android/officeDocument/2013/mofficeCustomData"/>
  </ds:schemaRefs>
</ds:datastoreItem>
</file>

<file path=docMetadata/LabelInfo.xml><?xml version="1.0" encoding="utf-8"?>
<clbl:labelList xmlns:clbl="http://schemas.microsoft.com/office/2020/mipLabelMetadata">
  <clbl:label id="{6479eda9-a6bf-4259-ba8a-f27ac2ab3254}" enabled="0" method="" siteId="{6479eda9-a6bf-4259-ba8a-f27ac2ab3254}" removed="1"/>
</clbl:labelList>
</file>

<file path=docProps/app.xml><?xml version="1.0" encoding="utf-8"?>
<Properties xmlns="http://schemas.openxmlformats.org/officeDocument/2006/extended-properties" xmlns:vt="http://schemas.openxmlformats.org/officeDocument/2006/docPropsVTypes">
  <Template>Normal</Template>
  <TotalTime>4164</TotalTime>
  <Pages>15</Pages>
  <Words>7998</Words>
  <Characters>45592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53484</CharactersWithSpaces>
  <SharedDoc>false</SharedDoc>
  <HLinks>
    <vt:vector size="150" baseType="variant">
      <vt:variant>
        <vt:i4>786510</vt:i4>
      </vt:variant>
      <vt:variant>
        <vt:i4>72</vt:i4>
      </vt:variant>
      <vt:variant>
        <vt:i4>0</vt:i4>
      </vt:variant>
      <vt:variant>
        <vt:i4>5</vt:i4>
      </vt:variant>
      <vt:variant>
        <vt:lpwstr>https://doi.org/10.2139/ssrn.5216573</vt:lpwstr>
      </vt:variant>
      <vt:variant>
        <vt:lpwstr/>
      </vt:variant>
      <vt:variant>
        <vt:i4>2621549</vt:i4>
      </vt:variant>
      <vt:variant>
        <vt:i4>69</vt:i4>
      </vt:variant>
      <vt:variant>
        <vt:i4>0</vt:i4>
      </vt:variant>
      <vt:variant>
        <vt:i4>5</vt:i4>
      </vt:variant>
      <vt:variant>
        <vt:lpwstr>https://doi.org/10.1016/j.ribaf.2020.101321</vt:lpwstr>
      </vt:variant>
      <vt:variant>
        <vt:lpwstr/>
      </vt:variant>
      <vt:variant>
        <vt:i4>2097204</vt:i4>
      </vt:variant>
      <vt:variant>
        <vt:i4>66</vt:i4>
      </vt:variant>
      <vt:variant>
        <vt:i4>0</vt:i4>
      </vt:variant>
      <vt:variant>
        <vt:i4>5</vt:i4>
      </vt:variant>
      <vt:variant>
        <vt:lpwstr>https://doi.org/10.1108/JEFAS-12-2021-0257</vt:lpwstr>
      </vt:variant>
      <vt:variant>
        <vt:lpwstr/>
      </vt:variant>
      <vt:variant>
        <vt:i4>2687090</vt:i4>
      </vt:variant>
      <vt:variant>
        <vt:i4>63</vt:i4>
      </vt:variant>
      <vt:variant>
        <vt:i4>0</vt:i4>
      </vt:variant>
      <vt:variant>
        <vt:i4>5</vt:i4>
      </vt:variant>
      <vt:variant>
        <vt:lpwstr>https://doi.org/10.1111/j.1475-6803.1982.tb00299.x</vt:lpwstr>
      </vt:variant>
      <vt:variant>
        <vt:lpwstr/>
      </vt:variant>
      <vt:variant>
        <vt:i4>3670128</vt:i4>
      </vt:variant>
      <vt:variant>
        <vt:i4>60</vt:i4>
      </vt:variant>
      <vt:variant>
        <vt:i4>0</vt:i4>
      </vt:variant>
      <vt:variant>
        <vt:i4>5</vt:i4>
      </vt:variant>
      <vt:variant>
        <vt:lpwstr>https://doi.org/10.3846/jbem.2019.9857</vt:lpwstr>
      </vt:variant>
      <vt:variant>
        <vt:lpwstr/>
      </vt:variant>
      <vt:variant>
        <vt:i4>4980811</vt:i4>
      </vt:variant>
      <vt:variant>
        <vt:i4>57</vt:i4>
      </vt:variant>
      <vt:variant>
        <vt:i4>0</vt:i4>
      </vt:variant>
      <vt:variant>
        <vt:i4>5</vt:i4>
      </vt:variant>
      <vt:variant>
        <vt:lpwstr>https://doi.org/10.9734/ajeba/2024/v24i71426</vt:lpwstr>
      </vt:variant>
      <vt:variant>
        <vt:lpwstr/>
      </vt:variant>
      <vt:variant>
        <vt:i4>2293811</vt:i4>
      </vt:variant>
      <vt:variant>
        <vt:i4>54</vt:i4>
      </vt:variant>
      <vt:variant>
        <vt:i4>0</vt:i4>
      </vt:variant>
      <vt:variant>
        <vt:i4>5</vt:i4>
      </vt:variant>
      <vt:variant>
        <vt:lpwstr>https://doi.org/10.1007/s10997-024-09725-9</vt:lpwstr>
      </vt:variant>
      <vt:variant>
        <vt:lpwstr/>
      </vt:variant>
      <vt:variant>
        <vt:i4>5308437</vt:i4>
      </vt:variant>
      <vt:variant>
        <vt:i4>51</vt:i4>
      </vt:variant>
      <vt:variant>
        <vt:i4>0</vt:i4>
      </vt:variant>
      <vt:variant>
        <vt:i4>5</vt:i4>
      </vt:variant>
      <vt:variant>
        <vt:lpwstr>https://doi.org/10.1016/j.jeconom.2019.04.015</vt:lpwstr>
      </vt:variant>
      <vt:variant>
        <vt:lpwstr/>
      </vt:variant>
      <vt:variant>
        <vt:i4>524355</vt:i4>
      </vt:variant>
      <vt:variant>
        <vt:i4>48</vt:i4>
      </vt:variant>
      <vt:variant>
        <vt:i4>0</vt:i4>
      </vt:variant>
      <vt:variant>
        <vt:i4>5</vt:i4>
      </vt:variant>
      <vt:variant>
        <vt:lpwstr>https://doi.org/10.1080/23311975.2025.2473043</vt:lpwstr>
      </vt:variant>
      <vt:variant>
        <vt:lpwstr/>
      </vt:variant>
      <vt:variant>
        <vt:i4>3342459</vt:i4>
      </vt:variant>
      <vt:variant>
        <vt:i4>45</vt:i4>
      </vt:variant>
      <vt:variant>
        <vt:i4>0</vt:i4>
      </vt:variant>
      <vt:variant>
        <vt:i4>5</vt:i4>
      </vt:variant>
      <vt:variant>
        <vt:lpwstr>https://doi.org/10.1515/econ-2022-0041</vt:lpwstr>
      </vt:variant>
      <vt:variant>
        <vt:lpwstr/>
      </vt:variant>
      <vt:variant>
        <vt:i4>4063350</vt:i4>
      </vt:variant>
      <vt:variant>
        <vt:i4>42</vt:i4>
      </vt:variant>
      <vt:variant>
        <vt:i4>0</vt:i4>
      </vt:variant>
      <vt:variant>
        <vt:i4>5</vt:i4>
      </vt:variant>
      <vt:variant>
        <vt:lpwstr>https://doi.org/10.1111/0022-1082.00199</vt:lpwstr>
      </vt:variant>
      <vt:variant>
        <vt:lpwstr/>
      </vt:variant>
      <vt:variant>
        <vt:i4>3014760</vt:i4>
      </vt:variant>
      <vt:variant>
        <vt:i4>39</vt:i4>
      </vt:variant>
      <vt:variant>
        <vt:i4>0</vt:i4>
      </vt:variant>
      <vt:variant>
        <vt:i4>5</vt:i4>
      </vt:variant>
      <vt:variant>
        <vt:lpwstr>https://doi.org/10.2307/1913643</vt:lpwstr>
      </vt:variant>
      <vt:variant>
        <vt:lpwstr/>
      </vt:variant>
      <vt:variant>
        <vt:i4>5046280</vt:i4>
      </vt:variant>
      <vt:variant>
        <vt:i4>36</vt:i4>
      </vt:variant>
      <vt:variant>
        <vt:i4>0</vt:i4>
      </vt:variant>
      <vt:variant>
        <vt:i4>5</vt:i4>
      </vt:variant>
      <vt:variant>
        <vt:lpwstr>https://doi.org/10.1016/0304-405X(76)90026-X</vt:lpwstr>
      </vt:variant>
      <vt:variant>
        <vt:lpwstr/>
      </vt:variant>
      <vt:variant>
        <vt:i4>393286</vt:i4>
      </vt:variant>
      <vt:variant>
        <vt:i4>33</vt:i4>
      </vt:variant>
      <vt:variant>
        <vt:i4>0</vt:i4>
      </vt:variant>
      <vt:variant>
        <vt:i4>5</vt:i4>
      </vt:variant>
      <vt:variant>
        <vt:lpwstr>https://doi.org/10.1080/23322039.2022.2159735</vt:lpwstr>
      </vt:variant>
      <vt:variant>
        <vt:lpwstr/>
      </vt:variant>
      <vt:variant>
        <vt:i4>4194312</vt:i4>
      </vt:variant>
      <vt:variant>
        <vt:i4>30</vt:i4>
      </vt:variant>
      <vt:variant>
        <vt:i4>0</vt:i4>
      </vt:variant>
      <vt:variant>
        <vt:i4>5</vt:i4>
      </vt:variant>
      <vt:variant>
        <vt:lpwstr>https://doi.org/10.1016/S0304-405X(01)00038-1</vt:lpwstr>
      </vt:variant>
      <vt:variant>
        <vt:lpwstr/>
      </vt:variant>
      <vt:variant>
        <vt:i4>1572946</vt:i4>
      </vt:variant>
      <vt:variant>
        <vt:i4>27</vt:i4>
      </vt:variant>
      <vt:variant>
        <vt:i4>0</vt:i4>
      </vt:variant>
      <vt:variant>
        <vt:i4>5</vt:i4>
      </vt:variant>
      <vt:variant>
        <vt:lpwstr>https://doi.org/10.1177/0007650320930638</vt:lpwstr>
      </vt:variant>
      <vt:variant>
        <vt:lpwstr/>
      </vt:variant>
      <vt:variant>
        <vt:i4>7077943</vt:i4>
      </vt:variant>
      <vt:variant>
        <vt:i4>24</vt:i4>
      </vt:variant>
      <vt:variant>
        <vt:i4>0</vt:i4>
      </vt:variant>
      <vt:variant>
        <vt:i4>5</vt:i4>
      </vt:variant>
      <vt:variant>
        <vt:lpwstr>https://doi.org/10.1108/MF-09-2017-0331</vt:lpwstr>
      </vt:variant>
      <vt:variant>
        <vt:lpwstr/>
      </vt:variant>
      <vt:variant>
        <vt:i4>1966095</vt:i4>
      </vt:variant>
      <vt:variant>
        <vt:i4>21</vt:i4>
      </vt:variant>
      <vt:variant>
        <vt:i4>0</vt:i4>
      </vt:variant>
      <vt:variant>
        <vt:i4>5</vt:i4>
      </vt:variant>
      <vt:variant>
        <vt:lpwstr>https://doi.org/10.31966/jabminternational.v32i1.1464</vt:lpwstr>
      </vt:variant>
      <vt:variant>
        <vt:lpwstr/>
      </vt:variant>
      <vt:variant>
        <vt:i4>6094935</vt:i4>
      </vt:variant>
      <vt:variant>
        <vt:i4>18</vt:i4>
      </vt:variant>
      <vt:variant>
        <vt:i4>0</vt:i4>
      </vt:variant>
      <vt:variant>
        <vt:i4>5</vt:i4>
      </vt:variant>
      <vt:variant>
        <vt:lpwstr>https://doi.org/10.1111/j.1368-423X.2011.00349.x</vt:lpwstr>
      </vt:variant>
      <vt:variant>
        <vt:lpwstr/>
      </vt:variant>
      <vt:variant>
        <vt:i4>7995511</vt:i4>
      </vt:variant>
      <vt:variant>
        <vt:i4>15</vt:i4>
      </vt:variant>
      <vt:variant>
        <vt:i4>0</vt:i4>
      </vt:variant>
      <vt:variant>
        <vt:i4>5</vt:i4>
      </vt:variant>
      <vt:variant>
        <vt:lpwstr>https://doi.org/10.59324/ejmeb.2024.1(3).07</vt:lpwstr>
      </vt:variant>
      <vt:variant>
        <vt:lpwstr/>
      </vt:variant>
      <vt:variant>
        <vt:i4>786502</vt:i4>
      </vt:variant>
      <vt:variant>
        <vt:i4>12</vt:i4>
      </vt:variant>
      <vt:variant>
        <vt:i4>0</vt:i4>
      </vt:variant>
      <vt:variant>
        <vt:i4>5</vt:i4>
      </vt:variant>
      <vt:variant>
        <vt:lpwstr>https://doi.org/10.1080/23322039.2023.2243709</vt:lpwstr>
      </vt:variant>
      <vt:variant>
        <vt:lpwstr/>
      </vt:variant>
      <vt:variant>
        <vt:i4>4980824</vt:i4>
      </vt:variant>
      <vt:variant>
        <vt:i4>9</vt:i4>
      </vt:variant>
      <vt:variant>
        <vt:i4>0</vt:i4>
      </vt:variant>
      <vt:variant>
        <vt:i4>5</vt:i4>
      </vt:variant>
      <vt:variant>
        <vt:lpwstr>https://doi.org/10.1002/bse.70020</vt:lpwstr>
      </vt:variant>
      <vt:variant>
        <vt:lpwstr/>
      </vt:variant>
      <vt:variant>
        <vt:i4>5767232</vt:i4>
      </vt:variant>
      <vt:variant>
        <vt:i4>6</vt:i4>
      </vt:variant>
      <vt:variant>
        <vt:i4>0</vt:i4>
      </vt:variant>
      <vt:variant>
        <vt:i4>5</vt:i4>
      </vt:variant>
      <vt:variant>
        <vt:lpwstr>https://doi.org/10.1016/j.ememar.2021.100890</vt:lpwstr>
      </vt:variant>
      <vt:variant>
        <vt:lpwstr/>
      </vt:variant>
      <vt:variant>
        <vt:i4>589893</vt:i4>
      </vt:variant>
      <vt:variant>
        <vt:i4>3</vt:i4>
      </vt:variant>
      <vt:variant>
        <vt:i4>0</vt:i4>
      </vt:variant>
      <vt:variant>
        <vt:i4>5</vt:i4>
      </vt:variant>
      <vt:variant>
        <vt:lpwstr>https://doi.org/10.1080/23311975.2025.2504131</vt:lpwstr>
      </vt:variant>
      <vt:variant>
        <vt:lpwstr/>
      </vt:variant>
      <vt:variant>
        <vt:i4>2424945</vt:i4>
      </vt:variant>
      <vt:variant>
        <vt:i4>0</vt:i4>
      </vt:variant>
      <vt:variant>
        <vt:i4>0</vt:i4>
      </vt:variant>
      <vt:variant>
        <vt:i4>5</vt:i4>
      </vt:variant>
      <vt:variant>
        <vt:lpwstr>https://doi.org/10.1111/fmii.12183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Akpadaka</dc:creator>
  <cp:keywords/>
  <cp:lastModifiedBy>Akpadaka</cp:lastModifiedBy>
  <cp:revision>586</cp:revision>
  <dcterms:created xsi:type="dcterms:W3CDTF">2025-05-17T03:35:00Z</dcterms:created>
  <dcterms:modified xsi:type="dcterms:W3CDTF">2025-08-01T23:08:00Z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605d1f10c71c42c19bc74187458e93c6</vt:lpwstr>
  </property>
</Properties>
</file>