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FF095C" w14:textId="3086C644" w:rsidR="00080C2D" w:rsidRPr="00080C2D" w:rsidRDefault="00080C2D" w:rsidP="00080C2D">
      <w:pPr>
        <w:rPr>
          <w:rFonts w:asciiTheme="minorBidi" w:hAnsiTheme="minorBidi" w:cstheme="minorBidi"/>
          <w:b/>
          <w:bCs/>
          <w:color w:val="000000" w:themeColor="dark1"/>
          <w:kern w:val="24"/>
          <w:sz w:val="36"/>
          <w:szCs w:val="36"/>
        </w:rPr>
      </w:pPr>
      <w:r w:rsidRPr="00080C2D">
        <w:rPr>
          <w:rFonts w:asciiTheme="minorBidi" w:hAnsiTheme="minorBidi" w:cstheme="minorBidi"/>
          <w:b/>
          <w:bCs/>
          <w:color w:val="000000" w:themeColor="dark1"/>
          <w:kern w:val="24"/>
          <w:sz w:val="36"/>
          <w:szCs w:val="36"/>
        </w:rPr>
        <w:t>Pyogenic granuloma of the lacrimal sac: a case report</w:t>
      </w:r>
    </w:p>
    <w:p w14:paraId="438BC4A6" w14:textId="77777777" w:rsidR="00A258C3" w:rsidRPr="00790ADA" w:rsidRDefault="00A258C3" w:rsidP="00441B6F">
      <w:pPr>
        <w:pStyle w:val="Author"/>
        <w:spacing w:line="240" w:lineRule="auto"/>
        <w:jc w:val="both"/>
        <w:rPr>
          <w:rFonts w:ascii="Arial" w:hAnsi="Arial" w:cs="Arial"/>
          <w:sz w:val="36"/>
        </w:rPr>
      </w:pPr>
    </w:p>
    <w:p w14:paraId="60F9E194" w14:textId="77777777" w:rsidR="002C57D2" w:rsidRPr="00FB3A86" w:rsidRDefault="002C57D2" w:rsidP="00441B6F">
      <w:pPr>
        <w:pStyle w:val="Affiliation"/>
        <w:spacing w:after="0" w:line="240" w:lineRule="auto"/>
        <w:jc w:val="both"/>
        <w:rPr>
          <w:rFonts w:ascii="Arial" w:hAnsi="Arial" w:cs="Arial"/>
        </w:rPr>
      </w:pPr>
    </w:p>
    <w:p w14:paraId="6D4FE798" w14:textId="726AC1A4" w:rsidR="00B01FCD" w:rsidRPr="00FB3A86" w:rsidRDefault="002B60F0" w:rsidP="00441B6F">
      <w:pPr>
        <w:pStyle w:val="Copyright"/>
        <w:spacing w:after="0" w:line="240" w:lineRule="auto"/>
        <w:jc w:val="both"/>
        <w:rPr>
          <w:rFonts w:ascii="Arial" w:hAnsi="Arial" w:cs="Arial"/>
        </w:rPr>
        <w:sectPr w:rsidR="00B01FCD" w:rsidRPr="00FB3A86" w:rsidSect="0037297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7F113B0" wp14:editId="7A8C461D">
                <wp:extent cx="5303520" cy="635"/>
                <wp:effectExtent l="17145" t="11430" r="13335" b="17145"/>
                <wp:docPr id="136230500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24EE0B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6EB48496"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3074D38" w14:textId="77777777" w:rsidTr="001E44FE">
        <w:tc>
          <w:tcPr>
            <w:tcW w:w="9576" w:type="dxa"/>
            <w:shd w:val="clear" w:color="auto" w:fill="F2F2F2"/>
          </w:tcPr>
          <w:p w14:paraId="36C92A03" w14:textId="77777777" w:rsidR="00E3114E" w:rsidRDefault="00E3114E" w:rsidP="00441B6F">
            <w:pPr>
              <w:pStyle w:val="Body"/>
              <w:spacing w:after="0"/>
              <w:rPr>
                <w:rFonts w:ascii="Arial" w:eastAsia="Calibri" w:hAnsi="Arial" w:cs="Arial"/>
                <w:szCs w:val="22"/>
              </w:rPr>
            </w:pPr>
          </w:p>
          <w:p w14:paraId="068725A6" w14:textId="0C0D8C8D" w:rsidR="00BA1B01" w:rsidRPr="00FE46CB" w:rsidRDefault="00BA1B01" w:rsidP="00433E22">
            <w:pPr>
              <w:pStyle w:val="Body"/>
              <w:spacing w:after="0"/>
              <w:rPr>
                <w:rFonts w:ascii="Arial" w:eastAsia="Calibri" w:hAnsi="Arial" w:cs="Arial"/>
                <w:bCs/>
                <w:szCs w:val="22"/>
              </w:rPr>
            </w:pPr>
            <w:r w:rsidRPr="00BA1B01">
              <w:rPr>
                <w:rFonts w:ascii="Arial" w:eastAsia="Calibri" w:hAnsi="Arial" w:cs="Arial"/>
                <w:b/>
                <w:szCs w:val="22"/>
              </w:rPr>
              <w:t>Aims</w:t>
            </w:r>
            <w:r w:rsidR="00170EE9">
              <w:rPr>
                <w:rFonts w:ascii="Arial" w:eastAsia="Calibri" w:hAnsi="Arial" w:cs="Arial"/>
                <w:b/>
                <w:szCs w:val="22"/>
              </w:rPr>
              <w:t xml:space="preserve">: </w:t>
            </w:r>
            <w:r w:rsidR="002A7BC5">
              <w:rPr>
                <w:rFonts w:ascii="Arial" w:eastAsia="Calibri" w:hAnsi="Arial" w:cs="Arial"/>
                <w:bCs/>
                <w:szCs w:val="22"/>
              </w:rPr>
              <w:t>This study</w:t>
            </w:r>
            <w:r w:rsidR="00433E22" w:rsidRPr="00433E22">
              <w:rPr>
                <w:rFonts w:ascii="Arial" w:eastAsia="Calibri" w:hAnsi="Arial" w:cs="Arial"/>
                <w:bCs/>
                <w:szCs w:val="22"/>
              </w:rPr>
              <w:t xml:space="preserve"> report</w:t>
            </w:r>
            <w:r w:rsidR="002A7BC5">
              <w:rPr>
                <w:rFonts w:ascii="Arial" w:eastAsia="Calibri" w:hAnsi="Arial" w:cs="Arial"/>
                <w:bCs/>
                <w:szCs w:val="22"/>
              </w:rPr>
              <w:t>s</w:t>
            </w:r>
            <w:r w:rsidR="00433E22" w:rsidRPr="00433E22">
              <w:rPr>
                <w:rFonts w:ascii="Arial" w:eastAsia="Calibri" w:hAnsi="Arial" w:cs="Arial"/>
                <w:bCs/>
                <w:szCs w:val="22"/>
              </w:rPr>
              <w:t xml:space="preserve"> a rare case of pyogenic granuloma of the lacrimal sac as a cause of chronic dacryocystitis, and to summarize its clinical features, management, and outcomes.</w:t>
            </w:r>
          </w:p>
          <w:p w14:paraId="701FA116" w14:textId="77777777" w:rsidR="00080C2D" w:rsidRDefault="00170EE9" w:rsidP="00080C2D">
            <w:pPr>
              <w:rPr>
                <w:rFonts w:eastAsia="Calibri"/>
                <w:b/>
                <w:bCs/>
              </w:rPr>
            </w:pPr>
            <w:r w:rsidRPr="00170EE9">
              <w:rPr>
                <w:rFonts w:eastAsia="Calibri"/>
                <w:b/>
                <w:bCs/>
              </w:rPr>
              <w:t>Presentation</w:t>
            </w:r>
            <w:r w:rsidR="00060151">
              <w:rPr>
                <w:rFonts w:eastAsia="Calibri"/>
                <w:b/>
                <w:bCs/>
              </w:rPr>
              <w:t xml:space="preserve"> </w:t>
            </w:r>
            <w:r w:rsidRPr="00170EE9">
              <w:rPr>
                <w:rFonts w:eastAsia="Calibri"/>
                <w:b/>
                <w:bCs/>
              </w:rPr>
              <w:t>of</w:t>
            </w:r>
            <w:r w:rsidR="00060151">
              <w:rPr>
                <w:rFonts w:eastAsia="Calibri"/>
                <w:b/>
                <w:bCs/>
              </w:rPr>
              <w:t xml:space="preserve"> </w:t>
            </w:r>
            <w:r w:rsidRPr="00170EE9">
              <w:rPr>
                <w:rFonts w:eastAsia="Calibri"/>
                <w:b/>
                <w:bCs/>
              </w:rPr>
              <w:t>Case:</w:t>
            </w:r>
          </w:p>
          <w:p w14:paraId="04014016" w14:textId="3FDDF372" w:rsidR="00170EE9" w:rsidRDefault="00433E22" w:rsidP="00433E22">
            <w:pPr>
              <w:jc w:val="both"/>
              <w:rPr>
                <w:rFonts w:eastAsia="Calibri"/>
              </w:rPr>
            </w:pPr>
            <w:r w:rsidRPr="00433E22">
              <w:rPr>
                <w:rFonts w:eastAsia="Calibri"/>
              </w:rPr>
              <w:t>A 56-year-old man presented with chronic left dacryocystitis unresponsive to systemic antibiotics. Examination showed a reddish swelling over the lacrimal sac without reflux. External dacryocystorhinostomy revealed a 15 × 6 × 4 mm dark red mass, which was excised. Histopathology confirmed a pyogenic granuloma. Silicone intubation was performed. Recovery was uneventful, with no recurrence after two years.</w:t>
            </w:r>
            <w:r w:rsidR="00FD529F" w:rsidRPr="00FD529F">
              <w:rPr>
                <w:rFonts w:eastAsia="Calibri"/>
              </w:rPr>
              <w:t xml:space="preserve"> </w:t>
            </w:r>
          </w:p>
          <w:p w14:paraId="78BB537A" w14:textId="25FEB498" w:rsidR="00170EE9" w:rsidRPr="00BA1B01" w:rsidRDefault="00170EE9" w:rsidP="00234348">
            <w:pPr>
              <w:pStyle w:val="Body"/>
              <w:spacing w:after="0"/>
              <w:rPr>
                <w:rFonts w:ascii="Arial" w:eastAsia="Calibri" w:hAnsi="Arial" w:cs="Arial"/>
                <w:szCs w:val="22"/>
              </w:rPr>
            </w:pPr>
            <w:r w:rsidRPr="00170EE9">
              <w:rPr>
                <w:rFonts w:ascii="Arial" w:eastAsia="Calibri" w:hAnsi="Arial" w:cs="Arial"/>
                <w:b/>
                <w:bCs/>
                <w:szCs w:val="22"/>
              </w:rPr>
              <w:t>Discussion:</w:t>
            </w:r>
            <w:r w:rsidRPr="00170EE9">
              <w:rPr>
                <w:rFonts w:ascii="Arial" w:eastAsia="Calibri" w:hAnsi="Arial" w:cs="Arial"/>
                <w:szCs w:val="22"/>
              </w:rPr>
              <w:br/>
            </w:r>
            <w:r w:rsidR="00234348" w:rsidRPr="00234348">
              <w:rPr>
                <w:rFonts w:ascii="Arial" w:eastAsia="Calibri" w:hAnsi="Arial" w:cs="Arial"/>
                <w:szCs w:val="22"/>
              </w:rPr>
              <w:t>Pyogenic granuloma of the lacrimal sac is extremely rare (≈0.3% of lacrimal sac tumors), typically associated with trauma, foreign bodies, or arising spontaneously. It can mimic dacryocystitis and is often diagnosed intraoperatively. Histology shows benign vascular proliferation.</w:t>
            </w:r>
          </w:p>
          <w:p w14:paraId="3669DF15" w14:textId="7105F1F1" w:rsidR="00636EB2" w:rsidRDefault="00BA1B01" w:rsidP="00DD4EE7">
            <w:pPr>
              <w:pStyle w:val="Body"/>
              <w:spacing w:after="0"/>
              <w:rPr>
                <w:rFonts w:ascii="Arial" w:eastAsia="Calibri" w:hAnsi="Arial" w:cs="Arial"/>
                <w:b/>
                <w:bCs/>
                <w:szCs w:val="22"/>
              </w:rPr>
            </w:pPr>
            <w:r w:rsidRPr="00BA1B01">
              <w:rPr>
                <w:rFonts w:ascii="Arial" w:eastAsia="Calibri" w:hAnsi="Arial" w:cs="Arial"/>
                <w:b/>
                <w:bCs/>
                <w:szCs w:val="22"/>
              </w:rPr>
              <w:t>Conclusion</w:t>
            </w:r>
            <w:r w:rsidR="00DD4EE7">
              <w:rPr>
                <w:rFonts w:ascii="Arial" w:eastAsia="Calibri" w:hAnsi="Arial" w:cs="Arial"/>
                <w:b/>
                <w:bCs/>
                <w:szCs w:val="22"/>
              </w:rPr>
              <w:t xml:space="preserve">: </w:t>
            </w:r>
          </w:p>
          <w:p w14:paraId="169FFF06" w14:textId="5E1316D7" w:rsidR="00505F06" w:rsidRPr="00BA1B01" w:rsidRDefault="00234348" w:rsidP="00234348">
            <w:pPr>
              <w:pStyle w:val="Body"/>
              <w:spacing w:after="0"/>
              <w:rPr>
                <w:rFonts w:ascii="Arial" w:eastAsia="Calibri" w:hAnsi="Arial" w:cs="Arial"/>
                <w:szCs w:val="22"/>
              </w:rPr>
            </w:pPr>
            <w:r w:rsidRPr="00234348">
              <w:rPr>
                <w:rFonts w:ascii="Arial" w:eastAsia="Calibri" w:hAnsi="Arial" w:cs="Arial"/>
                <w:szCs w:val="22"/>
              </w:rPr>
              <w:t xml:space="preserve">Pyogenic granuloma should be considered in chronic dacryocystitis with atypical features. Routine histopathological examination of lacrimal sac tissue may aid diagnosis, and its presence does not impair dacryocystorhinostomy </w:t>
            </w:r>
            <w:proofErr w:type="gramStart"/>
            <w:r w:rsidRPr="00234348">
              <w:rPr>
                <w:rFonts w:ascii="Arial" w:eastAsia="Calibri" w:hAnsi="Arial" w:cs="Arial"/>
                <w:szCs w:val="22"/>
              </w:rPr>
              <w:t>outcomes.</w:t>
            </w:r>
            <w:r w:rsidR="00B7235A" w:rsidRPr="00B7235A">
              <w:rPr>
                <w:rFonts w:ascii="Arial" w:eastAsia="Calibri" w:hAnsi="Arial" w:cs="Arial"/>
                <w:szCs w:val="22"/>
              </w:rPr>
              <w:t>.</w:t>
            </w:r>
            <w:proofErr w:type="gramEnd"/>
          </w:p>
        </w:tc>
      </w:tr>
    </w:tbl>
    <w:p w14:paraId="1A2A0E20" w14:textId="77777777" w:rsidR="00636EB2" w:rsidRDefault="00636EB2" w:rsidP="00441B6F">
      <w:pPr>
        <w:pStyle w:val="Body"/>
        <w:spacing w:after="0"/>
        <w:rPr>
          <w:rFonts w:ascii="Arial" w:hAnsi="Arial" w:cs="Arial"/>
          <w:i/>
        </w:rPr>
      </w:pPr>
    </w:p>
    <w:p w14:paraId="7316F1EF" w14:textId="0F0C33F5" w:rsidR="00D022E3" w:rsidRPr="00D022E3" w:rsidRDefault="00A24E7E" w:rsidP="00E02DCF">
      <w:pPr>
        <w:pStyle w:val="Body"/>
        <w:spacing w:after="0"/>
        <w:rPr>
          <w:rFonts w:ascii="Arial" w:hAnsi="Arial" w:cs="Arial"/>
          <w:i/>
        </w:rPr>
      </w:pPr>
      <w:r>
        <w:rPr>
          <w:rFonts w:ascii="Arial" w:hAnsi="Arial" w:cs="Arial"/>
          <w:i/>
        </w:rPr>
        <w:t>Keywords</w:t>
      </w:r>
      <w:r w:rsidR="0044482D">
        <w:rPr>
          <w:rFonts w:ascii="Arial" w:hAnsi="Arial" w:cs="Arial"/>
          <w:i/>
        </w:rPr>
        <w:t>:</w:t>
      </w:r>
      <w:r w:rsidR="00D022E3">
        <w:rPr>
          <w:rFonts w:ascii="Arial" w:hAnsi="Arial" w:cs="Arial"/>
          <w:i/>
        </w:rPr>
        <w:t xml:space="preserve"> </w:t>
      </w:r>
      <w:r w:rsidR="00E02DCF" w:rsidRPr="00E02DCF">
        <w:rPr>
          <w:rFonts w:ascii="Arial" w:hAnsi="Arial" w:cs="Arial"/>
          <w:i/>
        </w:rPr>
        <w:t xml:space="preserve">pyogenic granuloma, lacrimal sac, dacryocystitis, dacryocystorhinostomy, benign </w:t>
      </w:r>
      <w:r w:rsidR="00E02DCF">
        <w:rPr>
          <w:rFonts w:ascii="Arial" w:hAnsi="Arial" w:cs="Arial"/>
          <w:i/>
        </w:rPr>
        <w:t>Tumor</w:t>
      </w:r>
    </w:p>
    <w:p w14:paraId="0DFE56C9" w14:textId="36DF3AE1" w:rsidR="0044482D" w:rsidRPr="00D022E3" w:rsidRDefault="0044482D" w:rsidP="00D022E3">
      <w:pPr>
        <w:pStyle w:val="Body"/>
        <w:spacing w:after="0"/>
        <w:rPr>
          <w:rFonts w:ascii="Arial" w:hAnsi="Arial" w:cs="Arial"/>
          <w:i/>
        </w:rPr>
      </w:pPr>
      <w:r w:rsidRPr="00D022E3">
        <w:rPr>
          <w:rFonts w:ascii="Arial" w:hAnsi="Arial" w:cs="Arial"/>
          <w:i/>
        </w:rPr>
        <w:t xml:space="preserve"> </w:t>
      </w:r>
    </w:p>
    <w:p w14:paraId="5A6C9E9E" w14:textId="7252B120" w:rsidR="00A24E7E" w:rsidRDefault="00A24E7E" w:rsidP="00441B6F">
      <w:pPr>
        <w:pStyle w:val="Body"/>
        <w:spacing w:after="0"/>
        <w:rPr>
          <w:rFonts w:ascii="Arial" w:hAnsi="Arial" w:cs="Arial"/>
          <w:i/>
        </w:rPr>
      </w:pPr>
    </w:p>
    <w:p w14:paraId="140DE7B2" w14:textId="77777777" w:rsidR="00790ADA" w:rsidRDefault="00790ADA" w:rsidP="00441B6F">
      <w:pPr>
        <w:pStyle w:val="Body"/>
        <w:spacing w:after="0"/>
        <w:rPr>
          <w:rFonts w:ascii="Arial" w:hAnsi="Arial" w:cs="Arial"/>
          <w:i/>
        </w:rPr>
      </w:pPr>
    </w:p>
    <w:p w14:paraId="3DEE87FA" w14:textId="1E7E2562" w:rsidR="007F7B32" w:rsidRDefault="00902823" w:rsidP="00FD0C43">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2E35179" w14:textId="77777777" w:rsidR="00790ADA" w:rsidRPr="00FB3A86" w:rsidRDefault="00790ADA" w:rsidP="00441B6F">
      <w:pPr>
        <w:pStyle w:val="AbstHead"/>
        <w:spacing w:after="0"/>
        <w:jc w:val="both"/>
        <w:rPr>
          <w:rFonts w:ascii="Arial" w:hAnsi="Arial" w:cs="Arial"/>
        </w:rPr>
      </w:pPr>
    </w:p>
    <w:p w14:paraId="4131D111" w14:textId="751F5E3D" w:rsidR="00CE4204" w:rsidRPr="00CE4204" w:rsidRDefault="0088631D" w:rsidP="00CE4204">
      <w:pPr>
        <w:spacing w:after="160" w:line="278" w:lineRule="auto"/>
        <w:jc w:val="both"/>
      </w:pPr>
      <w:r>
        <w:t xml:space="preserve"> </w:t>
      </w:r>
      <w:r w:rsidR="00CE4204" w:rsidRPr="00CE4204">
        <w:t xml:space="preserve">Pyogenic granuloma, also termed </w:t>
      </w:r>
      <w:r w:rsidR="00CE4204" w:rsidRPr="00CE4204">
        <w:rPr>
          <w:i/>
          <w:iCs/>
        </w:rPr>
        <w:t>lobular capillary hemangioma</w:t>
      </w:r>
      <w:r w:rsidR="00CE4204" w:rsidRPr="00CE4204">
        <w:t>, is a benign vascular proliferation of the skin or mucous membranes. It may occur at any age and affects both sexes (Mills SE et al., 1980</w:t>
      </w:r>
      <w:r w:rsidR="002A7BC5">
        <w:t xml:space="preserve">; </w:t>
      </w:r>
      <w:r w:rsidR="002A7BC5" w:rsidRPr="002A7BC5">
        <w:t>Ferry, 1989</w:t>
      </w:r>
      <w:r w:rsidR="00CE4204" w:rsidRPr="00CE4204">
        <w:t>). Clinically, it presents as a rapidly developing, friable, and highly vascular lesion, most commonly involving the head and neck region, including ocular adnexal sites (</w:t>
      </w:r>
      <w:proofErr w:type="spellStart"/>
      <w:r w:rsidR="00CE4204" w:rsidRPr="00CE4204">
        <w:t>Asiyo</w:t>
      </w:r>
      <w:proofErr w:type="spellEnd"/>
      <w:r w:rsidR="00CE4204" w:rsidRPr="00CE4204">
        <w:t>-Vogel MN &amp; Stefani FH, 1992</w:t>
      </w:r>
      <w:r w:rsidR="002A7BC5">
        <w:t xml:space="preserve">; </w:t>
      </w:r>
      <w:r w:rsidR="002A7BC5" w:rsidRPr="002A7BC5">
        <w:t>Herwig-Carl et al., 2019</w:t>
      </w:r>
      <w:r w:rsidR="00CE4204" w:rsidRPr="00CE4204">
        <w:t>). While frequently observed on cutaneous and oral surfaces, localization within the lacrimal sac is exceptionally uncommon and often underrecognized</w:t>
      </w:r>
      <w:r w:rsidR="002A7BC5">
        <w:t xml:space="preserve"> </w:t>
      </w:r>
      <w:r w:rsidR="002A7BC5" w:rsidRPr="002A7BC5">
        <w:t>(</w:t>
      </w:r>
      <w:proofErr w:type="spellStart"/>
      <w:r w:rsidR="002A7BC5" w:rsidRPr="002A7BC5">
        <w:t>Yazıcı</w:t>
      </w:r>
      <w:proofErr w:type="spellEnd"/>
      <w:r w:rsidR="002A7BC5" w:rsidRPr="002A7BC5">
        <w:t xml:space="preserve"> et al., 2009</w:t>
      </w:r>
      <w:r w:rsidR="002A7BC5">
        <w:t xml:space="preserve">; </w:t>
      </w:r>
      <w:bookmarkStart w:id="0" w:name="_GoBack"/>
      <w:bookmarkEnd w:id="0"/>
      <w:r w:rsidR="002A7BC5" w:rsidRPr="002A7BC5">
        <w:t>M</w:t>
      </w:r>
      <w:proofErr w:type="spellStart"/>
      <w:r w:rsidR="002A7BC5" w:rsidRPr="002A7BC5">
        <w:t xml:space="preserve">ietz </w:t>
      </w:r>
      <w:proofErr w:type="spellEnd"/>
      <w:r w:rsidR="002A7BC5" w:rsidRPr="002A7BC5">
        <w:t>et al., 1996)</w:t>
      </w:r>
      <w:r w:rsidR="00CE4204" w:rsidRPr="00CE4204">
        <w:t>.</w:t>
      </w:r>
    </w:p>
    <w:p w14:paraId="2F2E60CE" w14:textId="77777777" w:rsidR="00CE4204" w:rsidRPr="00CE4204" w:rsidRDefault="00CE4204" w:rsidP="00CE4204">
      <w:pPr>
        <w:spacing w:after="160" w:line="278" w:lineRule="auto"/>
        <w:jc w:val="both"/>
      </w:pPr>
      <w:r w:rsidRPr="00CE4204">
        <w:t>This study aims to present a case of pyogenic granuloma arising in the lacrimal sac, detailing its clinical presentation, surgical management, and postoperative outcome, and to emphasize the need to consider this entity in the differential diagnosis of chronic dacryocystitis, particularly in cases with atypical features.</w:t>
      </w:r>
    </w:p>
    <w:p w14:paraId="102DD78C" w14:textId="21447A55" w:rsidR="00821E9F" w:rsidRPr="00FB3A86" w:rsidRDefault="00821E9F" w:rsidP="00CE4204">
      <w:pPr>
        <w:spacing w:after="160" w:line="278" w:lineRule="auto"/>
        <w:jc w:val="both"/>
        <w:rPr>
          <w:rFonts w:ascii="Arial" w:hAnsi="Arial" w:cs="Arial"/>
        </w:rPr>
      </w:pPr>
    </w:p>
    <w:p w14:paraId="7F235D9E" w14:textId="31152FCE" w:rsidR="007F7B32" w:rsidRDefault="00902823" w:rsidP="000E1391">
      <w:pPr>
        <w:pStyle w:val="AbstHead"/>
        <w:spacing w:after="0"/>
        <w:jc w:val="both"/>
        <w:rPr>
          <w:rFonts w:ascii="Arial" w:hAnsi="Arial" w:cs="Arial"/>
        </w:rPr>
      </w:pPr>
      <w:r>
        <w:rPr>
          <w:rFonts w:ascii="Arial" w:hAnsi="Arial" w:cs="Arial"/>
        </w:rPr>
        <w:lastRenderedPageBreak/>
        <w:t xml:space="preserve">2. </w:t>
      </w:r>
      <w:r w:rsidR="000E1391" w:rsidRPr="000E1391">
        <w:rPr>
          <w:rFonts w:ascii="Arial" w:hAnsi="Arial" w:cs="Arial"/>
        </w:rPr>
        <w:t>PRESENTATION OF CASE</w:t>
      </w:r>
    </w:p>
    <w:p w14:paraId="05903C16" w14:textId="77777777" w:rsidR="000E1391" w:rsidRDefault="000E1391" w:rsidP="00441B6F">
      <w:pPr>
        <w:pStyle w:val="AbstHead"/>
        <w:spacing w:after="0"/>
        <w:jc w:val="both"/>
        <w:rPr>
          <w:rFonts w:ascii="Arial" w:hAnsi="Arial" w:cs="Arial"/>
        </w:rPr>
      </w:pPr>
    </w:p>
    <w:p w14:paraId="0C67B66B" w14:textId="6FAEF44F" w:rsidR="008806FB" w:rsidRPr="008806FB" w:rsidRDefault="008806FB" w:rsidP="003A428C">
      <w:pPr>
        <w:rPr>
          <w:rFonts w:asciiTheme="minorBidi" w:hAnsiTheme="minorBidi" w:cstheme="minorBidi"/>
          <w:color w:val="000000" w:themeColor="dark1"/>
          <w:kern w:val="24"/>
        </w:rPr>
      </w:pPr>
      <w:r w:rsidRPr="008806FB">
        <w:rPr>
          <w:rFonts w:asciiTheme="minorBidi" w:hAnsiTheme="minorBidi" w:cstheme="minorBidi"/>
          <w:color w:val="000000" w:themeColor="dark1"/>
          <w:kern w:val="24"/>
        </w:rPr>
        <w:t>A 56-year-old man, with no notable medical history, presented with chronic dacryocystitis in his left eye. He had been treated multiple times with systemic antibiotics by general practitioners. Upon examination, a reddish swelling was observed in the lacrimal sac region. No fluid reflux was observed upon sac</w:t>
      </w:r>
      <w:r w:rsidR="003A428C">
        <w:rPr>
          <w:rFonts w:asciiTheme="minorBidi" w:hAnsiTheme="minorBidi" w:cstheme="minorBidi"/>
          <w:color w:val="000000" w:themeColor="dark1"/>
          <w:kern w:val="24"/>
        </w:rPr>
        <w:t xml:space="preserve"> </w:t>
      </w:r>
      <w:r w:rsidR="003A428C" w:rsidRPr="003A428C">
        <w:rPr>
          <w:rFonts w:asciiTheme="minorBidi" w:hAnsiTheme="minorBidi" w:cstheme="minorBidi"/>
          <w:color w:val="000000" w:themeColor="dark1"/>
          <w:kern w:val="24"/>
        </w:rPr>
        <w:t>compression</w:t>
      </w:r>
      <w:r w:rsidR="00AC3851">
        <w:rPr>
          <w:rFonts w:asciiTheme="minorBidi" w:hAnsiTheme="minorBidi" w:cstheme="minorBidi"/>
          <w:color w:val="000000" w:themeColor="dark1"/>
          <w:kern w:val="24"/>
        </w:rPr>
        <w:t xml:space="preserve"> (Fig 1)</w:t>
      </w:r>
      <w:r w:rsidR="003A428C" w:rsidRPr="00541BD0">
        <w:rPr>
          <w:rFonts w:hAnsi="Calibri"/>
          <w:color w:val="000000" w:themeColor="dark1"/>
          <w:kern w:val="24"/>
          <w:sz w:val="36"/>
          <w:szCs w:val="36"/>
        </w:rPr>
        <w:t>.</w:t>
      </w:r>
      <w:r w:rsidR="003A428C" w:rsidRPr="00B54575">
        <w:rPr>
          <w:rFonts w:ascii="Times New Roman" w:hAnsi="Times New Roman"/>
          <w:noProof/>
        </w:rPr>
        <w:t xml:space="preserve"> </w:t>
      </w:r>
    </w:p>
    <w:p w14:paraId="320DC91D" w14:textId="55585CA0" w:rsidR="001E6FD5" w:rsidRDefault="00D41DA9" w:rsidP="003A428C">
      <w:pPr>
        <w:jc w:val="both"/>
        <w:rPr>
          <w:rFonts w:eastAsiaTheme="minorEastAsia"/>
        </w:rPr>
      </w:pPr>
      <w:r>
        <w:rPr>
          <w:noProof/>
        </w:rPr>
        <mc:AlternateContent>
          <mc:Choice Requires="wps">
            <w:drawing>
              <wp:anchor distT="0" distB="0" distL="114300" distR="114300" simplePos="0" relativeHeight="251664384" behindDoc="0" locked="0" layoutInCell="1" allowOverlap="1" wp14:anchorId="39E63C85" wp14:editId="58E07043">
                <wp:simplePos x="0" y="0"/>
                <wp:positionH relativeFrom="column">
                  <wp:posOffset>1463040</wp:posOffset>
                </wp:positionH>
                <wp:positionV relativeFrom="paragraph">
                  <wp:posOffset>785185</wp:posOffset>
                </wp:positionV>
                <wp:extent cx="1010093" cy="680484"/>
                <wp:effectExtent l="0" t="0" r="19050" b="24765"/>
                <wp:wrapNone/>
                <wp:docPr id="984045188" name="Rectangle: Rounded Corners 2"/>
                <wp:cNvGraphicFramePr/>
                <a:graphic xmlns:a="http://schemas.openxmlformats.org/drawingml/2006/main">
                  <a:graphicData uri="http://schemas.microsoft.com/office/word/2010/wordprocessingShape">
                    <wps:wsp>
                      <wps:cNvSpPr/>
                      <wps:spPr>
                        <a:xfrm>
                          <a:off x="0" y="0"/>
                          <a:ext cx="1010093" cy="680484"/>
                        </a:xfrm>
                        <a:prstGeom prst="round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oundrect w14:anchorId="3C42EF6B" id="Rectangle: Rounded Corners 2" o:spid="_x0000_s1026" style="position:absolute;margin-left:115.2pt;margin-top:61.85pt;width:79.55pt;height:53.6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" fillcolor="black [3200]" strokecolor="black [480]" strokeweight="2pt"/>
            </w:pict>
          </mc:Fallback>
        </mc:AlternateContent>
      </w:r>
      <w:r w:rsidR="003A428C">
        <w:rPr>
          <w:noProof/>
        </w:rPr>
        <w:drawing>
          <wp:anchor distT="0" distB="0" distL="114300" distR="114300" simplePos="0" relativeHeight="251659264" behindDoc="0" locked="0" layoutInCell="1" allowOverlap="1" wp14:anchorId="67CCF394" wp14:editId="70E5EA9A">
            <wp:simplePos x="0" y="0"/>
            <wp:positionH relativeFrom="column">
              <wp:posOffset>0</wp:posOffset>
            </wp:positionH>
            <wp:positionV relativeFrom="paragraph">
              <wp:posOffset>214415</wp:posOffset>
            </wp:positionV>
            <wp:extent cx="2901950" cy="1908810"/>
            <wp:effectExtent l="0" t="0" r="0" b="0"/>
            <wp:wrapTopAndBottom/>
            <wp:docPr id="2" name="Image 1">
              <a:extLst xmlns:a="http://schemas.openxmlformats.org/drawingml/2006/main">
                <a:ext uri="{FF2B5EF4-FFF2-40B4-BE49-F238E27FC236}">
                  <a16:creationId xmlns:a16="http://schemas.microsoft.com/office/drawing/2014/main" id="{70BE91AF-1A0D-3A6A-1A9F-5AE07A3A37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70BE91AF-1A0D-3A6A-1A9F-5AE07A3A37C6}"/>
                        </a:ext>
                      </a:extLst>
                    </pic:cNvPr>
                    <pic:cNvPicPr>
                      <a:picLocks noChangeAspect="1"/>
                    </pic:cNvPicPr>
                  </pic:nvPicPr>
                  <pic:blipFill>
                    <a:blip r:embed="rId14"/>
                    <a:stretch>
                      <a:fillRect/>
                    </a:stretch>
                  </pic:blipFill>
                  <pic:spPr>
                    <a:xfrm>
                      <a:off x="0" y="0"/>
                      <a:ext cx="2901950" cy="1908810"/>
                    </a:xfrm>
                    <a:prstGeom prst="rect">
                      <a:avLst/>
                    </a:prstGeom>
                  </pic:spPr>
                </pic:pic>
              </a:graphicData>
            </a:graphic>
          </wp:anchor>
        </w:drawing>
      </w:r>
      <w:r w:rsidR="008806FB">
        <w:rPr>
          <w:rFonts w:eastAsiaTheme="minorEastAsia"/>
        </w:rPr>
        <w:t xml:space="preserve">  </w:t>
      </w:r>
      <w:r w:rsidR="001E6FD5" w:rsidRPr="001431ED">
        <w:rPr>
          <w:rFonts w:eastAsiaTheme="minorEastAsia"/>
        </w:rPr>
        <w:t xml:space="preserve">      </w:t>
      </w:r>
    </w:p>
    <w:p w14:paraId="24E2B1C4" w14:textId="1E6E9CAA" w:rsidR="001E6FD5" w:rsidRDefault="001E6FD5" w:rsidP="00441B6F">
      <w:pPr>
        <w:pStyle w:val="Body"/>
        <w:spacing w:after="0"/>
        <w:rPr>
          <w:rFonts w:ascii="Arial" w:eastAsia="Calibri" w:hAnsi="Arial" w:cs="Arial"/>
          <w:szCs w:val="22"/>
        </w:rPr>
      </w:pPr>
    </w:p>
    <w:p w14:paraId="71F47C76" w14:textId="77777777" w:rsidR="003A428C" w:rsidRDefault="003A428C" w:rsidP="003A428C">
      <w:pPr>
        <w:spacing w:line="256" w:lineRule="auto"/>
        <w:rPr>
          <w:rFonts w:asciiTheme="minorBidi" w:eastAsia="Calibri" w:hAnsiTheme="minorBidi" w:cstheme="minorBidi"/>
          <w:b/>
          <w:bCs/>
          <w:color w:val="000000" w:themeColor="dark1"/>
        </w:rPr>
      </w:pPr>
      <w:r w:rsidRPr="003A428C">
        <w:rPr>
          <w:rFonts w:asciiTheme="minorBidi" w:eastAsia="Calibri" w:hAnsiTheme="minorBidi" w:cstheme="minorBidi"/>
          <w:b/>
          <w:bCs/>
          <w:color w:val="000000" w:themeColor="dark1"/>
        </w:rPr>
        <w:t>Fig</w:t>
      </w:r>
      <w:r>
        <w:rPr>
          <w:rFonts w:asciiTheme="minorBidi" w:eastAsia="Calibri" w:hAnsiTheme="minorBidi" w:cstheme="minorBidi"/>
          <w:b/>
          <w:bCs/>
          <w:color w:val="000000" w:themeColor="dark1"/>
        </w:rPr>
        <w:t>.</w:t>
      </w:r>
      <w:r w:rsidRPr="003A428C">
        <w:rPr>
          <w:rFonts w:asciiTheme="minorBidi" w:eastAsia="Calibri" w:hAnsiTheme="minorBidi" w:cstheme="minorBidi"/>
          <w:b/>
          <w:bCs/>
          <w:color w:val="000000" w:themeColor="dark1"/>
        </w:rPr>
        <w:t xml:space="preserve"> 1</w:t>
      </w:r>
      <w:r>
        <w:rPr>
          <w:rFonts w:asciiTheme="minorBidi" w:eastAsia="Calibri" w:hAnsiTheme="minorBidi" w:cstheme="minorBidi"/>
          <w:b/>
          <w:bCs/>
          <w:color w:val="000000" w:themeColor="dark1"/>
        </w:rPr>
        <w:t>.</w:t>
      </w:r>
      <w:r w:rsidRPr="003A428C">
        <w:rPr>
          <w:rFonts w:asciiTheme="minorBidi" w:eastAsia="Calibri" w:hAnsiTheme="minorBidi" w:cstheme="minorBidi"/>
          <w:b/>
          <w:bCs/>
          <w:color w:val="000000" w:themeColor="dark1"/>
        </w:rPr>
        <w:t xml:space="preserve"> Appearance of the pyogenic granuloma of </w:t>
      </w:r>
    </w:p>
    <w:p w14:paraId="57AD325D" w14:textId="41E10E75" w:rsidR="003A428C" w:rsidRDefault="003A428C" w:rsidP="003A428C">
      <w:pPr>
        <w:spacing w:line="256" w:lineRule="auto"/>
        <w:rPr>
          <w:rFonts w:asciiTheme="minorBidi" w:eastAsia="Calibri" w:hAnsiTheme="minorBidi" w:cstheme="minorBidi"/>
          <w:b/>
          <w:bCs/>
          <w:color w:val="000000" w:themeColor="dark1"/>
        </w:rPr>
      </w:pPr>
      <w:r w:rsidRPr="003A428C">
        <w:rPr>
          <w:rFonts w:asciiTheme="minorBidi" w:eastAsia="Calibri" w:hAnsiTheme="minorBidi" w:cstheme="minorBidi"/>
          <w:b/>
          <w:bCs/>
          <w:color w:val="000000" w:themeColor="dark1"/>
        </w:rPr>
        <w:t>the lacrimal sac</w:t>
      </w:r>
    </w:p>
    <w:p w14:paraId="1B676D4A" w14:textId="095C377B" w:rsidR="00790ADA" w:rsidRPr="003A428C" w:rsidRDefault="00790ADA" w:rsidP="00441B6F">
      <w:pPr>
        <w:pStyle w:val="Body"/>
        <w:spacing w:after="0"/>
        <w:rPr>
          <w:rFonts w:asciiTheme="minorBidi" w:hAnsiTheme="minorBidi" w:cstheme="minorBidi"/>
        </w:rPr>
      </w:pPr>
    </w:p>
    <w:p w14:paraId="7EF330F6" w14:textId="77777777" w:rsidR="00AC3851" w:rsidRDefault="003A428C" w:rsidP="00AC3851">
      <w:pPr>
        <w:jc w:val="both"/>
        <w:rPr>
          <w:rStyle w:val="Strong"/>
          <w:rFonts w:asciiTheme="minorBidi" w:hAnsiTheme="minorBidi" w:cstheme="minorBidi"/>
          <w:b w:val="0"/>
          <w:bCs w:val="0"/>
        </w:rPr>
      </w:pPr>
      <w:r w:rsidRPr="003A428C">
        <w:rPr>
          <w:rStyle w:val="Strong"/>
          <w:rFonts w:asciiTheme="minorBidi" w:hAnsiTheme="minorBidi" w:cstheme="minorBidi"/>
          <w:b w:val="0"/>
          <w:bCs w:val="0"/>
        </w:rPr>
        <w:t>We performed a conventional external dacryocystorhinostomy (DCR). When the lacrimal sac as opened, a dark red mass was discovered. The size of the mass was 15 x 6 x 4 mm</w:t>
      </w:r>
      <w:r w:rsidR="00AC3851">
        <w:rPr>
          <w:rStyle w:val="Strong"/>
          <w:rFonts w:asciiTheme="minorBidi" w:hAnsiTheme="minorBidi" w:cstheme="minorBidi"/>
          <w:b w:val="0"/>
          <w:bCs w:val="0"/>
        </w:rPr>
        <w:t xml:space="preserve"> </w:t>
      </w:r>
    </w:p>
    <w:p w14:paraId="757B4621" w14:textId="77777777" w:rsidR="00DF1D11" w:rsidRDefault="00AC3851" w:rsidP="00AC3851">
      <w:pPr>
        <w:jc w:val="both"/>
        <w:rPr>
          <w:rStyle w:val="Strong"/>
          <w:rFonts w:asciiTheme="minorBidi" w:hAnsiTheme="minorBidi" w:cstheme="minorBidi"/>
          <w:b w:val="0"/>
          <w:bCs w:val="0"/>
        </w:rPr>
      </w:pPr>
      <w:r>
        <w:rPr>
          <w:rFonts w:asciiTheme="minorBidi" w:hAnsiTheme="minorBidi" w:cstheme="minorBidi"/>
          <w:color w:val="000000" w:themeColor="dark1"/>
          <w:kern w:val="24"/>
        </w:rPr>
        <w:t>(Fig 2)</w:t>
      </w:r>
      <w:r w:rsidR="003A428C" w:rsidRPr="003A428C">
        <w:rPr>
          <w:rStyle w:val="Strong"/>
          <w:rFonts w:asciiTheme="minorBidi" w:hAnsiTheme="minorBidi" w:cstheme="minorBidi"/>
          <w:b w:val="0"/>
          <w:bCs w:val="0"/>
        </w:rPr>
        <w:t xml:space="preserve">. </w:t>
      </w:r>
    </w:p>
    <w:p w14:paraId="496B607C" w14:textId="3D198F1C" w:rsidR="00DF1D11" w:rsidRDefault="00DF1D11" w:rsidP="0044559D">
      <w:pPr>
        <w:tabs>
          <w:tab w:val="num" w:pos="720"/>
        </w:tabs>
        <w:jc w:val="both"/>
        <w:rPr>
          <w:rStyle w:val="Strong"/>
          <w:rFonts w:asciiTheme="minorBidi" w:hAnsiTheme="minorBidi" w:cstheme="minorBidi"/>
          <w:b w:val="0"/>
          <w:bCs w:val="0"/>
        </w:rPr>
      </w:pPr>
      <w:r w:rsidRPr="00DF1D11">
        <w:rPr>
          <w:rFonts w:asciiTheme="minorBidi" w:hAnsiTheme="minorBidi" w:cstheme="minorBidi"/>
        </w:rPr>
        <w:t xml:space="preserve">Before surgical intervention, several potential diagnoses were considered: </w:t>
      </w:r>
      <w:r>
        <w:rPr>
          <w:rFonts w:asciiTheme="minorBidi" w:hAnsiTheme="minorBidi" w:cstheme="minorBidi"/>
        </w:rPr>
        <w:t>c</w:t>
      </w:r>
      <w:r w:rsidRPr="00DF1D11">
        <w:rPr>
          <w:rFonts w:asciiTheme="minorBidi" w:hAnsiTheme="minorBidi" w:cstheme="minorBidi"/>
        </w:rPr>
        <w:t xml:space="preserve">hronic dacryocystitis secondary to nasolacrimal duct obstruction, </w:t>
      </w:r>
      <w:r>
        <w:rPr>
          <w:rFonts w:asciiTheme="minorBidi" w:hAnsiTheme="minorBidi" w:cstheme="minorBidi"/>
        </w:rPr>
        <w:t>l</w:t>
      </w:r>
      <w:r w:rsidRPr="00DF1D11">
        <w:rPr>
          <w:rFonts w:asciiTheme="minorBidi" w:hAnsiTheme="minorBidi" w:cstheme="minorBidi"/>
        </w:rPr>
        <w:t xml:space="preserve">acrimal sac tumors, including papilloma or adenocarcinoma, </w:t>
      </w:r>
      <w:proofErr w:type="spellStart"/>
      <w:r>
        <w:rPr>
          <w:rFonts w:asciiTheme="minorBidi" w:hAnsiTheme="minorBidi" w:cstheme="minorBidi"/>
        </w:rPr>
        <w:t>d</w:t>
      </w:r>
      <w:r w:rsidRPr="00DF1D11">
        <w:rPr>
          <w:rFonts w:asciiTheme="minorBidi" w:hAnsiTheme="minorBidi" w:cstheme="minorBidi"/>
        </w:rPr>
        <w:t>acryolithiasis</w:t>
      </w:r>
      <w:proofErr w:type="spellEnd"/>
      <w:r w:rsidRPr="00DF1D11">
        <w:rPr>
          <w:rFonts w:asciiTheme="minorBidi" w:hAnsiTheme="minorBidi" w:cstheme="minorBidi"/>
        </w:rPr>
        <w:t xml:space="preserve">, characterized by calcified obstructions within the lacrimal drainage system, </w:t>
      </w:r>
      <w:r>
        <w:rPr>
          <w:rFonts w:asciiTheme="minorBidi" w:hAnsiTheme="minorBidi" w:cstheme="minorBidi"/>
        </w:rPr>
        <w:t>f</w:t>
      </w:r>
      <w:r w:rsidRPr="00DF1D11">
        <w:rPr>
          <w:rFonts w:asciiTheme="minorBidi" w:hAnsiTheme="minorBidi" w:cstheme="minorBidi"/>
        </w:rPr>
        <w:t xml:space="preserve">oreign body granuloma, given the patient’s history of recurrent infections and </w:t>
      </w:r>
      <w:r>
        <w:rPr>
          <w:rFonts w:asciiTheme="minorBidi" w:hAnsiTheme="minorBidi" w:cstheme="minorBidi"/>
        </w:rPr>
        <w:t>o</w:t>
      </w:r>
      <w:r w:rsidRPr="00DF1D11">
        <w:rPr>
          <w:rFonts w:asciiTheme="minorBidi" w:hAnsiTheme="minorBidi" w:cstheme="minorBidi"/>
        </w:rPr>
        <w:t>ther vascular lesions, such as hemangioma or lymphangioma.</w:t>
      </w:r>
    </w:p>
    <w:p w14:paraId="68374169" w14:textId="77777777" w:rsidR="00204F59" w:rsidRDefault="003A428C" w:rsidP="00AC3851">
      <w:pPr>
        <w:jc w:val="both"/>
        <w:rPr>
          <w:rStyle w:val="Strong"/>
          <w:rFonts w:asciiTheme="minorBidi" w:hAnsiTheme="minorBidi" w:cstheme="minorBidi"/>
          <w:b w:val="0"/>
          <w:bCs w:val="0"/>
        </w:rPr>
      </w:pPr>
      <w:r w:rsidRPr="003A428C">
        <w:rPr>
          <w:rStyle w:val="Strong"/>
          <w:rFonts w:asciiTheme="minorBidi" w:hAnsiTheme="minorBidi" w:cstheme="minorBidi"/>
          <w:b w:val="0"/>
          <w:bCs w:val="0"/>
        </w:rPr>
        <w:t>After the   removal of the mass, the surgery was continued and completed with silicone intubation.</w:t>
      </w:r>
      <w:r w:rsidR="00AC3851">
        <w:rPr>
          <w:rStyle w:val="Strong"/>
          <w:rFonts w:asciiTheme="minorBidi" w:hAnsiTheme="minorBidi" w:cstheme="minorBidi"/>
          <w:b w:val="0"/>
          <w:bCs w:val="0"/>
        </w:rPr>
        <w:t xml:space="preserve"> </w:t>
      </w:r>
    </w:p>
    <w:p w14:paraId="70C64C04" w14:textId="77777777" w:rsidR="00204F59" w:rsidRDefault="00204F59" w:rsidP="00204F59">
      <w:pPr>
        <w:spacing w:after="160" w:line="278" w:lineRule="auto"/>
        <w:jc w:val="both"/>
        <w:rPr>
          <w:rFonts w:asciiTheme="minorBidi" w:hAnsiTheme="minorBidi" w:cstheme="minorBidi"/>
          <w:color w:val="000000" w:themeColor="dark1"/>
          <w:kern w:val="24"/>
        </w:rPr>
      </w:pPr>
      <w:r w:rsidRPr="000221C4">
        <w:rPr>
          <w:rFonts w:asciiTheme="minorBidi" w:hAnsiTheme="minorBidi" w:cstheme="minorBidi"/>
          <w:color w:val="000000" w:themeColor="dark1"/>
          <w:kern w:val="24"/>
        </w:rPr>
        <w:t xml:space="preserve">Histologic examination showed a pyogenic granuloma composed of benign vascular proliferation made up of small-caliber </w:t>
      </w:r>
      <w:proofErr w:type="spellStart"/>
      <w:r w:rsidRPr="000221C4">
        <w:rPr>
          <w:rFonts w:asciiTheme="minorBidi" w:hAnsiTheme="minorBidi" w:cstheme="minorBidi"/>
          <w:color w:val="000000" w:themeColor="dark1"/>
          <w:kern w:val="24"/>
        </w:rPr>
        <w:t>neovessels</w:t>
      </w:r>
      <w:proofErr w:type="spellEnd"/>
      <w:r w:rsidRPr="000221C4">
        <w:rPr>
          <w:rFonts w:asciiTheme="minorBidi" w:hAnsiTheme="minorBidi" w:cstheme="minorBidi"/>
          <w:color w:val="000000" w:themeColor="dark1"/>
          <w:kern w:val="24"/>
        </w:rPr>
        <w:t xml:space="preserve"> lined by regular, turgid endothelium and separated by fibrinous septa, without signs of neoplastic growth.</w:t>
      </w:r>
    </w:p>
    <w:p w14:paraId="556B7106" w14:textId="4D5A6E4D" w:rsidR="00043DDD" w:rsidRDefault="00043DDD" w:rsidP="00043DDD">
      <w:pPr>
        <w:spacing w:after="160" w:line="278" w:lineRule="auto"/>
        <w:jc w:val="both"/>
        <w:rPr>
          <w:rFonts w:asciiTheme="minorBidi" w:hAnsiTheme="minorBidi" w:cstheme="minorBidi"/>
          <w:color w:val="000000" w:themeColor="dark1"/>
          <w:kern w:val="24"/>
        </w:rPr>
      </w:pPr>
      <w:r w:rsidRPr="00043DDD">
        <w:rPr>
          <w:rFonts w:asciiTheme="minorBidi" w:hAnsiTheme="minorBidi" w:cstheme="minorBidi"/>
          <w:color w:val="000000" w:themeColor="dark1"/>
          <w:kern w:val="24"/>
        </w:rPr>
        <w:t>Two weeks after surgery, complete resolution of clinical signs and symptoms was observed, accompanied by satisfactory wound healing</w:t>
      </w:r>
      <w:r>
        <w:rPr>
          <w:rFonts w:asciiTheme="minorBidi" w:hAnsiTheme="minorBidi" w:cstheme="minorBidi"/>
          <w:color w:val="000000" w:themeColor="dark1"/>
          <w:kern w:val="24"/>
        </w:rPr>
        <w:t xml:space="preserve"> (Fig 3)</w:t>
      </w:r>
      <w:r w:rsidRPr="003A428C">
        <w:rPr>
          <w:rStyle w:val="Strong"/>
          <w:rFonts w:asciiTheme="minorBidi" w:hAnsiTheme="minorBidi" w:cstheme="minorBidi"/>
          <w:b w:val="0"/>
          <w:bCs w:val="0"/>
        </w:rPr>
        <w:t>.</w:t>
      </w:r>
    </w:p>
    <w:p w14:paraId="1D7A0F73" w14:textId="512D2E6A" w:rsidR="003A428C" w:rsidRPr="003A428C" w:rsidRDefault="003A428C" w:rsidP="00204F59">
      <w:pPr>
        <w:spacing w:after="160" w:line="278" w:lineRule="auto"/>
        <w:jc w:val="both"/>
        <w:rPr>
          <w:rStyle w:val="Strong"/>
          <w:rFonts w:asciiTheme="minorBidi" w:hAnsiTheme="minorBidi" w:cstheme="minorBidi"/>
          <w:b w:val="0"/>
          <w:bCs w:val="0"/>
        </w:rPr>
      </w:pPr>
      <w:r w:rsidRPr="003A428C">
        <w:rPr>
          <w:rStyle w:val="Strong"/>
          <w:rFonts w:asciiTheme="minorBidi" w:hAnsiTheme="minorBidi" w:cstheme="minorBidi"/>
          <w:b w:val="0"/>
          <w:bCs w:val="0"/>
        </w:rPr>
        <w:t>No recurrence was observed during a 2-year follow-up period</w:t>
      </w:r>
      <w:r w:rsidR="00AC3851">
        <w:rPr>
          <w:rStyle w:val="Strong"/>
          <w:rFonts w:asciiTheme="minorBidi" w:hAnsiTheme="minorBidi" w:cstheme="minorBidi"/>
          <w:b w:val="0"/>
          <w:bCs w:val="0"/>
        </w:rPr>
        <w:t xml:space="preserve"> </w:t>
      </w:r>
    </w:p>
    <w:p w14:paraId="7335F7D2" w14:textId="134B7662" w:rsidR="003A428C" w:rsidRDefault="003A428C" w:rsidP="003A428C">
      <w:pPr>
        <w:rPr>
          <w:rStyle w:val="Strong"/>
          <w:rFonts w:asciiTheme="minorBidi" w:hAnsiTheme="minorBidi" w:cstheme="minorBidi"/>
          <w:b w:val="0"/>
          <w:bCs w:val="0"/>
        </w:rPr>
      </w:pPr>
      <w:r>
        <w:rPr>
          <w:noProof/>
        </w:rPr>
        <w:lastRenderedPageBreak/>
        <w:drawing>
          <wp:anchor distT="0" distB="0" distL="114300" distR="114300" simplePos="0" relativeHeight="251661312" behindDoc="0" locked="0" layoutInCell="1" allowOverlap="1" wp14:anchorId="35B6D937" wp14:editId="3ECA5C60">
            <wp:simplePos x="0" y="0"/>
            <wp:positionH relativeFrom="column">
              <wp:posOffset>71755</wp:posOffset>
            </wp:positionH>
            <wp:positionV relativeFrom="paragraph">
              <wp:posOffset>209850</wp:posOffset>
            </wp:positionV>
            <wp:extent cx="3299106" cy="1975275"/>
            <wp:effectExtent l="0" t="0" r="3175" b="6350"/>
            <wp:wrapTopAndBottom/>
            <wp:docPr id="1723268668" name="Image 1" descr="Une image contenant Bleu sarcelle, bleu vert, Turquoise, personne&#10;&#10;Le contenu généré par l’IA peut être incorrect.">
              <a:extLst xmlns:a="http://schemas.openxmlformats.org/drawingml/2006/main">
                <a:ext uri="{FF2B5EF4-FFF2-40B4-BE49-F238E27FC236}">
                  <a16:creationId xmlns:a16="http://schemas.microsoft.com/office/drawing/2014/main" id="{28E17D2E-6D49-DF48-F6FE-068A2CCD56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268668" name="Image 1" descr="Une image contenant Bleu sarcelle, bleu vert, Turquoise, personne&#10;&#10;Le contenu généré par l’IA peut être incorrect.">
                      <a:extLst>
                        <a:ext uri="{FF2B5EF4-FFF2-40B4-BE49-F238E27FC236}">
                          <a16:creationId xmlns:a16="http://schemas.microsoft.com/office/drawing/2014/main" id="{28E17D2E-6D49-DF48-F6FE-068A2CCD5663}"/>
                        </a:ext>
                      </a:extLst>
                    </pic:cNvPr>
                    <pic:cNvPicPr>
                      <a:picLocks noChangeAspect="1"/>
                    </pic:cNvPicPr>
                  </pic:nvPicPr>
                  <pic:blipFill>
                    <a:blip r:embed="rId15"/>
                    <a:stretch>
                      <a:fillRect/>
                    </a:stretch>
                  </pic:blipFill>
                  <pic:spPr>
                    <a:xfrm>
                      <a:off x="0" y="0"/>
                      <a:ext cx="3299106" cy="1975275"/>
                    </a:xfrm>
                    <a:prstGeom prst="rect">
                      <a:avLst/>
                    </a:prstGeom>
                  </pic:spPr>
                </pic:pic>
              </a:graphicData>
            </a:graphic>
          </wp:anchor>
        </w:drawing>
      </w:r>
    </w:p>
    <w:p w14:paraId="48533220" w14:textId="77777777" w:rsidR="003A428C" w:rsidRDefault="003A428C" w:rsidP="003A428C">
      <w:pPr>
        <w:jc w:val="center"/>
        <w:rPr>
          <w:rFonts w:asciiTheme="minorBidi" w:hAnsiTheme="minorBidi" w:cstheme="minorBidi"/>
          <w:b/>
          <w:bCs/>
          <w:color w:val="000000" w:themeColor="dark1"/>
          <w:kern w:val="24"/>
        </w:rPr>
      </w:pPr>
    </w:p>
    <w:p w14:paraId="56A411E9" w14:textId="4E5993BF" w:rsidR="003A428C" w:rsidRDefault="003A428C" w:rsidP="003A428C">
      <w:pPr>
        <w:rPr>
          <w:rFonts w:asciiTheme="minorBidi" w:hAnsiTheme="minorBidi" w:cstheme="minorBidi"/>
          <w:b/>
          <w:bCs/>
          <w:color w:val="000000" w:themeColor="dark1"/>
          <w:kern w:val="24"/>
        </w:rPr>
      </w:pPr>
      <w:r w:rsidRPr="003A428C">
        <w:rPr>
          <w:rFonts w:asciiTheme="minorBidi" w:hAnsiTheme="minorBidi" w:cstheme="minorBidi"/>
          <w:b/>
          <w:bCs/>
          <w:color w:val="000000" w:themeColor="dark1"/>
          <w:kern w:val="24"/>
        </w:rPr>
        <w:t>Fig</w:t>
      </w:r>
      <w:r w:rsidR="00FD69A4">
        <w:rPr>
          <w:rFonts w:asciiTheme="minorBidi" w:hAnsiTheme="minorBidi" w:cstheme="minorBidi"/>
          <w:b/>
          <w:bCs/>
          <w:color w:val="000000" w:themeColor="dark1"/>
          <w:kern w:val="24"/>
        </w:rPr>
        <w:t>.</w:t>
      </w:r>
      <w:r w:rsidRPr="003A428C">
        <w:rPr>
          <w:rFonts w:asciiTheme="minorBidi" w:hAnsiTheme="minorBidi" w:cstheme="minorBidi"/>
          <w:b/>
          <w:bCs/>
          <w:color w:val="000000" w:themeColor="dark1"/>
          <w:kern w:val="24"/>
        </w:rPr>
        <w:t xml:space="preserve"> 2</w:t>
      </w:r>
      <w:r w:rsidR="00FD69A4">
        <w:rPr>
          <w:rFonts w:asciiTheme="minorBidi" w:hAnsiTheme="minorBidi" w:cstheme="minorBidi"/>
          <w:b/>
          <w:bCs/>
          <w:color w:val="000000" w:themeColor="dark1"/>
          <w:kern w:val="24"/>
        </w:rPr>
        <w:t>.</w:t>
      </w:r>
      <w:r w:rsidRPr="003A428C">
        <w:rPr>
          <w:rFonts w:asciiTheme="minorBidi" w:hAnsiTheme="minorBidi" w:cstheme="minorBidi"/>
          <w:b/>
          <w:bCs/>
          <w:color w:val="000000" w:themeColor="dark1"/>
          <w:kern w:val="24"/>
        </w:rPr>
        <w:t xml:space="preserve"> Macroscopic appearance of pyogenic granulomas</w:t>
      </w:r>
    </w:p>
    <w:p w14:paraId="361375D3" w14:textId="2E9ED873" w:rsidR="003A428C" w:rsidRPr="003A428C" w:rsidRDefault="003A428C" w:rsidP="003A428C">
      <w:pPr>
        <w:rPr>
          <w:rFonts w:asciiTheme="minorBidi" w:hAnsiTheme="minorBidi" w:cstheme="minorBidi"/>
          <w:b/>
          <w:bCs/>
          <w:color w:val="000000" w:themeColor="dark1"/>
          <w:kern w:val="24"/>
        </w:rPr>
      </w:pPr>
      <w:r w:rsidRPr="003A428C">
        <w:rPr>
          <w:rFonts w:asciiTheme="minorBidi" w:hAnsiTheme="minorBidi" w:cstheme="minorBidi"/>
          <w:b/>
          <w:bCs/>
          <w:color w:val="000000" w:themeColor="dark1"/>
          <w:kern w:val="24"/>
        </w:rPr>
        <w:t>after removal from the lacrimal sac</w:t>
      </w:r>
    </w:p>
    <w:p w14:paraId="6C5399C2" w14:textId="7E99C15B" w:rsidR="003A428C" w:rsidRDefault="002146B0" w:rsidP="003A428C">
      <w:pPr>
        <w:jc w:val="center"/>
        <w:rPr>
          <w:rFonts w:hAnsi="Aptos"/>
          <w:b/>
          <w:bCs/>
          <w:color w:val="000000" w:themeColor="dark1"/>
          <w:kern w:val="24"/>
          <w:sz w:val="32"/>
          <w:szCs w:val="32"/>
        </w:rPr>
      </w:pPr>
      <w:r>
        <w:rPr>
          <w:rFonts w:hAnsi="Aptos"/>
          <w:b/>
          <w:bCs/>
          <w:noProof/>
          <w:color w:val="000000" w:themeColor="dark1"/>
          <w:kern w:val="24"/>
          <w:sz w:val="32"/>
          <w:szCs w:val="32"/>
        </w:rPr>
        <mc:AlternateContent>
          <mc:Choice Requires="wps">
            <w:drawing>
              <wp:anchor distT="0" distB="0" distL="114300" distR="114300" simplePos="0" relativeHeight="251665408" behindDoc="0" locked="0" layoutInCell="1" allowOverlap="1" wp14:anchorId="6B9BBA6A" wp14:editId="090CEBE8">
                <wp:simplePos x="0" y="0"/>
                <wp:positionH relativeFrom="column">
                  <wp:posOffset>133970</wp:posOffset>
                </wp:positionH>
                <wp:positionV relativeFrom="paragraph">
                  <wp:posOffset>1007435</wp:posOffset>
                </wp:positionV>
                <wp:extent cx="2828261" cy="648586"/>
                <wp:effectExtent l="0" t="0" r="10795" b="18415"/>
                <wp:wrapNone/>
                <wp:docPr id="510505649" name="Rectangle 3"/>
                <wp:cNvGraphicFramePr/>
                <a:graphic xmlns:a="http://schemas.openxmlformats.org/drawingml/2006/main">
                  <a:graphicData uri="http://schemas.microsoft.com/office/word/2010/wordprocessingShape">
                    <wps:wsp>
                      <wps:cNvSpPr/>
                      <wps:spPr>
                        <a:xfrm>
                          <a:off x="0" y="0"/>
                          <a:ext cx="2828261" cy="648586"/>
                        </a:xfrm>
                        <a:prstGeom prst="rect">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DE38F8D" id="Rectangle 3" o:spid="_x0000_s1026" style="position:absolute;margin-left:10.55pt;margin-top:79.35pt;width:222.7pt;height:51.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" fillcolor="black [3200]" strokecolor="black [480]" strokeweight="2pt"/>
            </w:pict>
          </mc:Fallback>
        </mc:AlternateContent>
      </w:r>
    </w:p>
    <w:p w14:paraId="4CB8888C" w14:textId="6C2DF67F" w:rsidR="0046674F" w:rsidRDefault="0046674F" w:rsidP="003A428C">
      <w:pPr>
        <w:jc w:val="center"/>
        <w:rPr>
          <w:rFonts w:hAnsi="Aptos"/>
          <w:b/>
          <w:bCs/>
          <w:color w:val="000000" w:themeColor="dark1"/>
          <w:kern w:val="24"/>
          <w:sz w:val="32"/>
          <w:szCs w:val="32"/>
        </w:rPr>
      </w:pPr>
      <w:r>
        <w:rPr>
          <w:noProof/>
        </w:rPr>
        <w:drawing>
          <wp:anchor distT="0" distB="0" distL="114300" distR="114300" simplePos="0" relativeHeight="251663360" behindDoc="0" locked="0" layoutInCell="1" allowOverlap="1" wp14:anchorId="5E25C8AF" wp14:editId="755F154F">
            <wp:simplePos x="0" y="0"/>
            <wp:positionH relativeFrom="column">
              <wp:posOffset>0</wp:posOffset>
            </wp:positionH>
            <wp:positionV relativeFrom="paragraph">
              <wp:posOffset>229870</wp:posOffset>
            </wp:positionV>
            <wp:extent cx="3299106" cy="1994232"/>
            <wp:effectExtent l="0" t="0" r="3175" b="0"/>
            <wp:wrapTopAndBottom/>
            <wp:docPr id="944233973" name="Image 1" descr="Une image contenant peau, Visage humain, ride, gros plan&#10;&#10;Le contenu généré par l’IA peut être incorrect.">
              <a:extLst xmlns:a="http://schemas.openxmlformats.org/drawingml/2006/main">
                <a:ext uri="{FF2B5EF4-FFF2-40B4-BE49-F238E27FC236}">
                  <a16:creationId xmlns:a16="http://schemas.microsoft.com/office/drawing/2014/main" id="{D2EA97CE-68CD-F18D-0FC9-BBE7D1A3E9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33973" name="Image 1" descr="Une image contenant peau, Visage humain, ride, gros plan&#10;&#10;Le contenu généré par l’IA peut être incorrect.">
                      <a:extLst>
                        <a:ext uri="{FF2B5EF4-FFF2-40B4-BE49-F238E27FC236}">
                          <a16:creationId xmlns:a16="http://schemas.microsoft.com/office/drawing/2014/main" id="{D2EA97CE-68CD-F18D-0FC9-BBE7D1A3E966}"/>
                        </a:ext>
                      </a:extLst>
                    </pic:cNvPr>
                    <pic:cNvPicPr>
                      <a:picLocks noChangeAspect="1"/>
                    </pic:cNvPicPr>
                  </pic:nvPicPr>
                  <pic:blipFill>
                    <a:blip r:embed="rId16"/>
                    <a:stretch>
                      <a:fillRect/>
                    </a:stretch>
                  </pic:blipFill>
                  <pic:spPr>
                    <a:xfrm>
                      <a:off x="0" y="0"/>
                      <a:ext cx="3299106" cy="1994232"/>
                    </a:xfrm>
                    <a:prstGeom prst="rect">
                      <a:avLst/>
                    </a:prstGeom>
                  </pic:spPr>
                </pic:pic>
              </a:graphicData>
            </a:graphic>
          </wp:anchor>
        </w:drawing>
      </w:r>
    </w:p>
    <w:p w14:paraId="4FCD9A2A" w14:textId="33D68BEF" w:rsidR="00B00B63" w:rsidRPr="00B00B63" w:rsidRDefault="00B00B63" w:rsidP="00043DDD">
      <w:pPr>
        <w:rPr>
          <w:rFonts w:asciiTheme="minorBidi" w:hAnsiTheme="minorBidi" w:cstheme="minorBidi"/>
          <w:b/>
          <w:bCs/>
          <w:color w:val="000000" w:themeColor="dark1"/>
          <w:kern w:val="24"/>
        </w:rPr>
      </w:pPr>
      <w:r w:rsidRPr="00B00B63">
        <w:rPr>
          <w:rFonts w:asciiTheme="minorBidi" w:hAnsiTheme="minorBidi" w:cstheme="minorBidi"/>
          <w:b/>
          <w:bCs/>
          <w:color w:val="000000" w:themeColor="dark1"/>
          <w:kern w:val="24"/>
        </w:rPr>
        <w:t>Fig</w:t>
      </w:r>
      <w:r w:rsidR="00FD69A4">
        <w:rPr>
          <w:rFonts w:asciiTheme="minorBidi" w:hAnsiTheme="minorBidi" w:cstheme="minorBidi"/>
          <w:b/>
          <w:bCs/>
          <w:color w:val="000000" w:themeColor="dark1"/>
          <w:kern w:val="24"/>
        </w:rPr>
        <w:t>.</w:t>
      </w:r>
      <w:r w:rsidRPr="00B00B63">
        <w:rPr>
          <w:rFonts w:asciiTheme="minorBidi" w:hAnsiTheme="minorBidi" w:cstheme="minorBidi"/>
          <w:b/>
          <w:bCs/>
          <w:color w:val="000000" w:themeColor="dark1"/>
          <w:kern w:val="24"/>
        </w:rPr>
        <w:t>3</w:t>
      </w:r>
      <w:r w:rsidR="00FD69A4">
        <w:rPr>
          <w:rFonts w:asciiTheme="minorBidi" w:hAnsiTheme="minorBidi" w:cstheme="minorBidi"/>
          <w:b/>
          <w:bCs/>
          <w:color w:val="000000" w:themeColor="dark1"/>
          <w:kern w:val="24"/>
        </w:rPr>
        <w:t xml:space="preserve">. </w:t>
      </w:r>
      <w:r w:rsidR="00043DDD">
        <w:rPr>
          <w:rFonts w:asciiTheme="minorBidi" w:hAnsiTheme="minorBidi" w:cstheme="minorBidi"/>
          <w:b/>
          <w:bCs/>
        </w:rPr>
        <w:t>T</w:t>
      </w:r>
      <w:r w:rsidR="00043DDD" w:rsidRPr="00043DDD">
        <w:rPr>
          <w:rFonts w:asciiTheme="minorBidi" w:hAnsiTheme="minorBidi" w:cstheme="minorBidi"/>
          <w:b/>
          <w:bCs/>
        </w:rPr>
        <w:t>he postoperative appearance at 2 weeks, with good wound healing and resolution of symptoms</w:t>
      </w:r>
      <w:r w:rsidR="00043DDD" w:rsidRPr="00B00B63">
        <w:rPr>
          <w:rFonts w:asciiTheme="minorBidi" w:hAnsiTheme="minorBidi" w:cstheme="minorBidi"/>
          <w:b/>
          <w:bCs/>
          <w:color w:val="000000" w:themeColor="dark1"/>
          <w:kern w:val="24"/>
        </w:rPr>
        <w:t xml:space="preserve"> </w:t>
      </w:r>
    </w:p>
    <w:p w14:paraId="60BF8446" w14:textId="0618BFE3" w:rsidR="003A428C" w:rsidRDefault="003A428C" w:rsidP="003A428C">
      <w:pPr>
        <w:jc w:val="center"/>
        <w:rPr>
          <w:rFonts w:hAnsi="Aptos"/>
          <w:b/>
          <w:bCs/>
          <w:color w:val="000000" w:themeColor="dark1"/>
          <w:kern w:val="24"/>
          <w:sz w:val="32"/>
          <w:szCs w:val="32"/>
        </w:rPr>
      </w:pPr>
    </w:p>
    <w:p w14:paraId="5C52C665" w14:textId="25F36BFA" w:rsidR="003A428C" w:rsidRDefault="003A428C" w:rsidP="003A428C">
      <w:pPr>
        <w:rPr>
          <w:rStyle w:val="Strong"/>
          <w:rFonts w:asciiTheme="minorBidi" w:hAnsiTheme="minorBidi" w:cstheme="minorBidi"/>
          <w:b w:val="0"/>
          <w:bCs w:val="0"/>
        </w:rPr>
      </w:pPr>
    </w:p>
    <w:p w14:paraId="3CE79279" w14:textId="07EDF1EF" w:rsidR="003A428C" w:rsidRDefault="003A428C" w:rsidP="003A428C">
      <w:pPr>
        <w:rPr>
          <w:rStyle w:val="Strong"/>
          <w:rFonts w:asciiTheme="minorBidi" w:hAnsiTheme="minorBidi" w:cstheme="minorBidi"/>
          <w:b w:val="0"/>
          <w:bCs w:val="0"/>
        </w:rPr>
      </w:pPr>
    </w:p>
    <w:p w14:paraId="5AD45791" w14:textId="1BDBE6F8"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441E94DB" w14:textId="77777777" w:rsidR="00E135AF" w:rsidRDefault="00E135AF" w:rsidP="00441B6F">
      <w:pPr>
        <w:pStyle w:val="Head1"/>
        <w:spacing w:after="0"/>
        <w:jc w:val="both"/>
        <w:rPr>
          <w:rFonts w:ascii="Arial" w:hAnsi="Arial" w:cs="Arial"/>
        </w:rPr>
      </w:pPr>
    </w:p>
    <w:p w14:paraId="2F56B96A" w14:textId="77777777" w:rsidR="00CE4204" w:rsidRPr="00CE4204" w:rsidRDefault="00CE4204" w:rsidP="00CE4204">
      <w:pPr>
        <w:jc w:val="both"/>
        <w:rPr>
          <w:rFonts w:asciiTheme="minorBidi" w:hAnsiTheme="minorBidi" w:cstheme="minorBidi"/>
          <w:color w:val="000000" w:themeColor="dark1"/>
          <w:kern w:val="24"/>
        </w:rPr>
      </w:pPr>
      <w:r w:rsidRPr="00CE4204">
        <w:rPr>
          <w:rFonts w:asciiTheme="minorBidi" w:hAnsiTheme="minorBidi" w:cstheme="minorBidi"/>
          <w:color w:val="000000" w:themeColor="dark1"/>
          <w:kern w:val="24"/>
        </w:rPr>
        <w:t>Pyogenic granuloma exhibits a wide spectrum of clinical presentations; however, involvement of the lacrimal sac is exceptionally rare (</w:t>
      </w:r>
      <w:proofErr w:type="spellStart"/>
      <w:r w:rsidRPr="00CE4204">
        <w:rPr>
          <w:rFonts w:asciiTheme="minorBidi" w:hAnsiTheme="minorBidi" w:cstheme="minorBidi"/>
          <w:color w:val="000000" w:themeColor="dark1"/>
          <w:kern w:val="24"/>
        </w:rPr>
        <w:t>Vajawat</w:t>
      </w:r>
      <w:proofErr w:type="spellEnd"/>
      <w:r w:rsidRPr="00CE4204">
        <w:rPr>
          <w:rFonts w:asciiTheme="minorBidi" w:hAnsiTheme="minorBidi" w:cstheme="minorBidi"/>
          <w:color w:val="000000" w:themeColor="dark1"/>
          <w:kern w:val="24"/>
        </w:rPr>
        <w:t xml:space="preserve"> et al., 2015). Previous studies have reported a low frequency of pyogenic granuloma among lacrimal sac lesions. In three series totaling 741 lacrimal sac biopsy specimens, only two cases (0.3%) were identified as pyogenic granulomas (Anderson NG et al., 2003). In contrast, </w:t>
      </w:r>
      <w:proofErr w:type="spellStart"/>
      <w:r w:rsidRPr="00CE4204">
        <w:rPr>
          <w:rFonts w:asciiTheme="minorBidi" w:hAnsiTheme="minorBidi" w:cstheme="minorBidi"/>
          <w:color w:val="000000" w:themeColor="dark1"/>
          <w:kern w:val="24"/>
        </w:rPr>
        <w:t>Asiyo</w:t>
      </w:r>
      <w:proofErr w:type="spellEnd"/>
      <w:r w:rsidRPr="00CE4204">
        <w:rPr>
          <w:rFonts w:asciiTheme="minorBidi" w:hAnsiTheme="minorBidi" w:cstheme="minorBidi"/>
          <w:color w:val="000000" w:themeColor="dark1"/>
          <w:kern w:val="24"/>
        </w:rPr>
        <w:t>-Vogel and Stefani reported 8 cases of pyogenic granuloma among 15 lacrimal sac tumors (</w:t>
      </w:r>
      <w:proofErr w:type="spellStart"/>
      <w:r w:rsidRPr="00CE4204">
        <w:rPr>
          <w:rFonts w:asciiTheme="minorBidi" w:hAnsiTheme="minorBidi" w:cstheme="minorBidi"/>
          <w:color w:val="000000" w:themeColor="dark1"/>
          <w:kern w:val="24"/>
        </w:rPr>
        <w:t>Asiyo</w:t>
      </w:r>
      <w:proofErr w:type="spellEnd"/>
      <w:r w:rsidRPr="00CE4204">
        <w:rPr>
          <w:rFonts w:asciiTheme="minorBidi" w:hAnsiTheme="minorBidi" w:cstheme="minorBidi"/>
          <w:color w:val="000000" w:themeColor="dark1"/>
          <w:kern w:val="24"/>
        </w:rPr>
        <w:t xml:space="preserve">-Vogel MN &amp; Stefani FH, 1992). The present case illustrates that obstruction of the lacrimal drainage pathway may manifest as chronic dacryocystitis associated with a pyogenic granuloma. Similar lesions have been documented without preceding history, or following trauma, probing, or as a foreign body </w:t>
      </w:r>
      <w:r w:rsidRPr="00CE4204">
        <w:rPr>
          <w:rFonts w:asciiTheme="minorBidi" w:hAnsiTheme="minorBidi" w:cstheme="minorBidi"/>
          <w:color w:val="000000" w:themeColor="dark1"/>
          <w:kern w:val="24"/>
        </w:rPr>
        <w:lastRenderedPageBreak/>
        <w:t>reaction to retained materials such as hair, plastic tubes, or silicone intubation (</w:t>
      </w:r>
      <w:proofErr w:type="spellStart"/>
      <w:r w:rsidRPr="00CE4204">
        <w:rPr>
          <w:rFonts w:asciiTheme="minorBidi" w:hAnsiTheme="minorBidi" w:cstheme="minorBidi"/>
          <w:color w:val="000000" w:themeColor="dark1"/>
          <w:kern w:val="24"/>
        </w:rPr>
        <w:t>Asiyo</w:t>
      </w:r>
      <w:proofErr w:type="spellEnd"/>
      <w:r w:rsidRPr="00CE4204">
        <w:rPr>
          <w:rFonts w:asciiTheme="minorBidi" w:hAnsiTheme="minorBidi" w:cstheme="minorBidi"/>
          <w:color w:val="000000" w:themeColor="dark1"/>
          <w:kern w:val="24"/>
        </w:rPr>
        <w:t>-Vogel MN &amp; Stefani FH, 1992).</w:t>
      </w:r>
    </w:p>
    <w:p w14:paraId="2D13D22E" w14:textId="12390523" w:rsidR="00CE4204" w:rsidRPr="00CE4204" w:rsidRDefault="00CE4204" w:rsidP="00CE4204">
      <w:pPr>
        <w:jc w:val="both"/>
        <w:rPr>
          <w:rFonts w:asciiTheme="minorBidi" w:hAnsiTheme="minorBidi" w:cstheme="minorBidi"/>
          <w:color w:val="000000" w:themeColor="dark1"/>
          <w:kern w:val="24"/>
        </w:rPr>
      </w:pPr>
      <w:r w:rsidRPr="00CE4204">
        <w:rPr>
          <w:rFonts w:asciiTheme="minorBidi" w:hAnsiTheme="minorBidi" w:cstheme="minorBidi"/>
          <w:color w:val="000000" w:themeColor="dark1"/>
          <w:kern w:val="24"/>
        </w:rPr>
        <w:t>The reported male-to-female ratio for pyogenic granuloma is approximately 1:3, with most lacrimal sac cases occurring in women; no definitive explanation for this female predominance has been established (Jordan DR et al., 1994). Clinically, the onset is often insidious, with tumors presenting as erythematous, intermittently tender, and compressible masses. These may be associated with dacryocystocele formation or lacrimal fistula. Diagnosis is frequently incidental, being made intraoperatively or following histopathological examinatio</w:t>
      </w:r>
      <w:r w:rsidR="002A7BC5">
        <w:rPr>
          <w:rFonts w:asciiTheme="minorBidi" w:hAnsiTheme="minorBidi" w:cstheme="minorBidi"/>
          <w:color w:val="000000" w:themeColor="dark1"/>
          <w:kern w:val="24"/>
        </w:rPr>
        <w:t>n</w:t>
      </w:r>
      <w:r w:rsidRPr="00CE4204">
        <w:rPr>
          <w:rFonts w:asciiTheme="minorBidi" w:hAnsiTheme="minorBidi" w:cstheme="minorBidi"/>
          <w:color w:val="000000" w:themeColor="dark1"/>
          <w:kern w:val="24"/>
        </w:rPr>
        <w:t xml:space="preserve">. Histopathology typically reveals benign vascular proliferation composed of small-caliber </w:t>
      </w:r>
      <w:proofErr w:type="spellStart"/>
      <w:r w:rsidRPr="00CE4204">
        <w:rPr>
          <w:rFonts w:asciiTheme="minorBidi" w:hAnsiTheme="minorBidi" w:cstheme="minorBidi"/>
          <w:color w:val="000000" w:themeColor="dark1"/>
          <w:kern w:val="24"/>
        </w:rPr>
        <w:t>neovessels</w:t>
      </w:r>
      <w:proofErr w:type="spellEnd"/>
      <w:r w:rsidRPr="00CE4204">
        <w:rPr>
          <w:rFonts w:asciiTheme="minorBidi" w:hAnsiTheme="minorBidi" w:cstheme="minorBidi"/>
          <w:color w:val="000000" w:themeColor="dark1"/>
          <w:kern w:val="24"/>
        </w:rPr>
        <w:t xml:space="preserve"> lined by plump, regular endothelium and separated by fibrinous septa, without features of malignancy. Microorganisms are usually absent (</w:t>
      </w:r>
      <w:proofErr w:type="spellStart"/>
      <w:r w:rsidRPr="00CE4204">
        <w:rPr>
          <w:rFonts w:asciiTheme="minorBidi" w:hAnsiTheme="minorBidi" w:cstheme="minorBidi"/>
          <w:color w:val="000000" w:themeColor="dark1"/>
          <w:kern w:val="24"/>
        </w:rPr>
        <w:t>Asiyo</w:t>
      </w:r>
      <w:proofErr w:type="spellEnd"/>
      <w:r w:rsidRPr="00CE4204">
        <w:rPr>
          <w:rFonts w:asciiTheme="minorBidi" w:hAnsiTheme="minorBidi" w:cstheme="minorBidi"/>
          <w:color w:val="000000" w:themeColor="dark1"/>
          <w:kern w:val="24"/>
        </w:rPr>
        <w:t>-Vogel MN &amp; Stefani FH, 1992).</w:t>
      </w:r>
    </w:p>
    <w:p w14:paraId="6C72EACD" w14:textId="77777777" w:rsidR="00CE4204" w:rsidRPr="00CE4204" w:rsidRDefault="00CE4204" w:rsidP="00CE4204">
      <w:pPr>
        <w:jc w:val="both"/>
        <w:rPr>
          <w:rFonts w:asciiTheme="minorBidi" w:hAnsiTheme="minorBidi" w:cstheme="minorBidi"/>
          <w:color w:val="000000" w:themeColor="dark1"/>
          <w:kern w:val="24"/>
        </w:rPr>
      </w:pPr>
      <w:r w:rsidRPr="00CE4204">
        <w:rPr>
          <w:rFonts w:asciiTheme="minorBidi" w:hAnsiTheme="minorBidi" w:cstheme="minorBidi"/>
          <w:color w:val="000000" w:themeColor="dark1"/>
          <w:kern w:val="24"/>
        </w:rPr>
        <w:t>In the present case, the lesion was complicated by a dacryocystocele. Histological evaluation confirmed a pyogenic granuloma with the above-described features. Complete surgical excision, as performed here, is considered curative, with low recurrence rates, consistent with outcomes reported for oral pyogenic granulomas (Gul et al., 2021).</w:t>
      </w:r>
    </w:p>
    <w:p w14:paraId="452DE63E" w14:textId="77777777" w:rsidR="000221C4" w:rsidRDefault="000221C4" w:rsidP="000221C4">
      <w:pPr>
        <w:jc w:val="both"/>
        <w:rPr>
          <w:rFonts w:asciiTheme="minorBidi" w:hAnsiTheme="minorBidi" w:cstheme="minorBidi"/>
          <w:color w:val="000000" w:themeColor="dark1"/>
          <w:kern w:val="24"/>
        </w:rPr>
      </w:pPr>
    </w:p>
    <w:p w14:paraId="3C6EBC9F" w14:textId="4ED7DE86" w:rsidR="000221C4" w:rsidRPr="000221C4" w:rsidRDefault="000221C4" w:rsidP="000221C4">
      <w:pPr>
        <w:jc w:val="both"/>
        <w:rPr>
          <w:rFonts w:asciiTheme="minorBidi" w:hAnsiTheme="minorBidi" w:cstheme="minorBidi"/>
          <w:b/>
          <w:bCs/>
          <w:color w:val="000000" w:themeColor="dark1"/>
          <w:kern w:val="24"/>
          <w:sz w:val="22"/>
          <w:szCs w:val="22"/>
        </w:rPr>
      </w:pPr>
      <w:r w:rsidRPr="000221C4">
        <w:rPr>
          <w:rFonts w:asciiTheme="minorBidi" w:hAnsiTheme="minorBidi" w:cstheme="minorBidi"/>
          <w:b/>
          <w:bCs/>
          <w:color w:val="000000" w:themeColor="dark1"/>
          <w:kern w:val="24"/>
          <w:sz w:val="22"/>
          <w:szCs w:val="22"/>
        </w:rPr>
        <w:t xml:space="preserve">4. CONCLUSION </w:t>
      </w:r>
    </w:p>
    <w:p w14:paraId="2B5ACD1C" w14:textId="77777777" w:rsidR="00790ADA" w:rsidRPr="00FB3A86" w:rsidRDefault="00790ADA" w:rsidP="000221C4">
      <w:pPr>
        <w:pStyle w:val="ConcHead"/>
        <w:spacing w:after="0"/>
        <w:jc w:val="both"/>
        <w:rPr>
          <w:rFonts w:ascii="Arial" w:hAnsi="Arial" w:cs="Arial"/>
        </w:rPr>
      </w:pPr>
    </w:p>
    <w:p w14:paraId="211B7D37" w14:textId="77777777" w:rsidR="00C01FFE" w:rsidRPr="00C01FFE" w:rsidRDefault="00C01FFE" w:rsidP="00C01FFE">
      <w:pPr>
        <w:jc w:val="both"/>
        <w:rPr>
          <w:rFonts w:asciiTheme="minorBidi" w:hAnsiTheme="minorBidi" w:cstheme="minorBidi"/>
          <w:color w:val="000000" w:themeColor="dark1"/>
          <w:kern w:val="24"/>
        </w:rPr>
      </w:pPr>
      <w:r w:rsidRPr="00C01FFE">
        <w:rPr>
          <w:rFonts w:asciiTheme="minorBidi" w:hAnsiTheme="minorBidi" w:cstheme="minorBidi"/>
          <w:color w:val="000000" w:themeColor="dark1"/>
          <w:kern w:val="24"/>
        </w:rPr>
        <w:t>Multiple studies have consistently demonstrated that pyogenic granuloma is an infrequent finding among lacrimal sac lesions. However, with routine histopathological examination of lacrimal sac biopsies, the true incidence of pyogenic granuloma in this location may be underestimated and potentially higher than currently reported. Importantly, the presence of pyogenic granuloma does not appear to adversely impact the surgical outcomes of external dacryocystorhinostomy.</w:t>
      </w:r>
    </w:p>
    <w:p w14:paraId="40A1847A" w14:textId="77777777" w:rsidR="000E1391" w:rsidRDefault="000E1391" w:rsidP="00441B6F">
      <w:pPr>
        <w:pStyle w:val="Body"/>
        <w:spacing w:after="0"/>
        <w:rPr>
          <w:rFonts w:ascii="Arial" w:hAnsi="Arial" w:cs="Arial"/>
        </w:rPr>
      </w:pPr>
    </w:p>
    <w:p w14:paraId="7A6B0B78" w14:textId="77777777" w:rsidR="00DE2D13" w:rsidRDefault="00DE2D13" w:rsidP="00DE2D13">
      <w:pPr>
        <w:pStyle w:val="Body"/>
        <w:rPr>
          <w:rFonts w:ascii="Arial" w:hAnsi="Arial" w:cs="Arial"/>
          <w:b/>
          <w:bCs/>
        </w:rPr>
      </w:pPr>
      <w:r w:rsidRPr="00DE2D13">
        <w:rPr>
          <w:rFonts w:ascii="Arial" w:hAnsi="Arial" w:cs="Arial"/>
          <w:b/>
          <w:bCs/>
        </w:rPr>
        <w:t>CONSENT</w:t>
      </w:r>
    </w:p>
    <w:p w14:paraId="4062B2AD" w14:textId="12CB3BAE" w:rsidR="00E00D17" w:rsidRDefault="00E00D17" w:rsidP="00DE2D13">
      <w:pPr>
        <w:pStyle w:val="Body"/>
        <w:rPr>
          <w:rFonts w:ascii="Arial" w:hAnsi="Arial" w:cs="Arial"/>
        </w:rPr>
      </w:pPr>
      <w:r w:rsidRPr="00E00D17">
        <w:rPr>
          <w:rFonts w:ascii="Arial" w:hAnsi="Arial" w:cs="Arial"/>
        </w:rPr>
        <w:t>All authors declare that ‘written informed consent was obtained from the patient for publication of this case report and accompanying images.</w:t>
      </w:r>
    </w:p>
    <w:p w14:paraId="05675A79" w14:textId="12D3EF6E" w:rsidR="00E508BB" w:rsidRPr="00E508BB" w:rsidRDefault="00E508BB" w:rsidP="00DE2D13">
      <w:pPr>
        <w:pStyle w:val="Body"/>
        <w:rPr>
          <w:rFonts w:asciiTheme="minorBidi" w:hAnsiTheme="minorBidi" w:cstheme="minorBidi"/>
        </w:rPr>
      </w:pPr>
      <w:r w:rsidRPr="00E508BB">
        <w:rPr>
          <w:rFonts w:asciiTheme="minorBidi" w:hAnsiTheme="minorBidi" w:cstheme="minorBidi"/>
          <w:b/>
          <w:bCs/>
          <w:color w:val="2F312F"/>
          <w:bdr w:val="none" w:sz="0" w:space="0" w:color="auto" w:frame="1"/>
        </w:rPr>
        <w:t>DATA AVAILABILITY</w:t>
      </w:r>
    </w:p>
    <w:p w14:paraId="7383EFE2" w14:textId="1164A3FD" w:rsidR="00E508BB" w:rsidRPr="00E508BB" w:rsidRDefault="00E508BB" w:rsidP="00DE2D13">
      <w:pPr>
        <w:pStyle w:val="Body"/>
        <w:rPr>
          <w:rFonts w:asciiTheme="minorBidi" w:hAnsiTheme="minorBidi" w:cstheme="minorBidi"/>
        </w:rPr>
      </w:pPr>
      <w:r>
        <w:rPr>
          <w:rFonts w:asciiTheme="minorBidi" w:hAnsiTheme="minorBidi" w:cstheme="minorBidi"/>
          <w:color w:val="2F312F"/>
        </w:rPr>
        <w:t>N</w:t>
      </w:r>
      <w:r w:rsidRPr="00E508BB">
        <w:rPr>
          <w:rFonts w:asciiTheme="minorBidi" w:hAnsiTheme="minorBidi" w:cstheme="minorBidi"/>
          <w:color w:val="2F312F"/>
        </w:rPr>
        <w:t>ot applicable </w:t>
      </w:r>
    </w:p>
    <w:p w14:paraId="7D16EC99" w14:textId="77777777" w:rsidR="00DE2D13" w:rsidRPr="00DE2D13" w:rsidRDefault="00DE2D13" w:rsidP="00DE2D13">
      <w:pPr>
        <w:pStyle w:val="Body"/>
        <w:rPr>
          <w:rFonts w:ascii="Arial" w:hAnsi="Arial" w:cs="Arial"/>
          <w:b/>
          <w:bCs/>
        </w:rPr>
      </w:pPr>
      <w:r w:rsidRPr="00DE2D13">
        <w:rPr>
          <w:rFonts w:ascii="Arial" w:hAnsi="Arial" w:cs="Arial"/>
          <w:b/>
          <w:bCs/>
        </w:rPr>
        <w:t xml:space="preserve">ETHICAL APPROVAL </w:t>
      </w:r>
    </w:p>
    <w:p w14:paraId="4B7062F8" w14:textId="24BB55B7" w:rsidR="00DE2D13" w:rsidRDefault="00DE2D13" w:rsidP="00DE2D13">
      <w:pPr>
        <w:pStyle w:val="Body"/>
        <w:rPr>
          <w:rFonts w:ascii="Arial" w:hAnsi="Arial" w:cs="Arial"/>
        </w:rPr>
      </w:pPr>
      <w:r w:rsidRPr="00DE2D13">
        <w:rPr>
          <w:rFonts w:ascii="Arial" w:hAnsi="Arial" w:cs="Arial"/>
        </w:rPr>
        <w:t>As   per   international   standards   or   university standards   written   ethical   approval   has   been collected and preserved by the author(s).</w:t>
      </w:r>
    </w:p>
    <w:p w14:paraId="3A6E3A4E" w14:textId="7AC2B66F" w:rsidR="00A31B90" w:rsidRPr="00F756BA" w:rsidRDefault="00F756BA" w:rsidP="00A31B90">
      <w:pPr>
        <w:rPr>
          <w:rFonts w:ascii="Calibri" w:eastAsia="Calibri" w:hAnsi="Calibri"/>
          <w:b/>
          <w:bCs/>
          <w:kern w:val="2"/>
        </w:rPr>
      </w:pPr>
      <w:bookmarkStart w:id="1" w:name="_Hlk197682619"/>
      <w:bookmarkStart w:id="2" w:name="_Hlk180402183"/>
      <w:bookmarkStart w:id="3" w:name="_Hlk183680988"/>
      <w:r w:rsidRPr="00F756BA">
        <w:rPr>
          <w:rFonts w:ascii="Calibri" w:eastAsia="Calibri" w:hAnsi="Calibri"/>
          <w:b/>
          <w:bCs/>
          <w:kern w:val="2"/>
        </w:rPr>
        <w:t>DISCLAIMER (ARTIFICIAL INTELLIGENCE)</w:t>
      </w:r>
    </w:p>
    <w:p w14:paraId="31BFA1CC" w14:textId="1C075F92" w:rsidR="00A31B90" w:rsidRPr="00F756BA" w:rsidRDefault="00A31B90" w:rsidP="00A31B90">
      <w:pPr>
        <w:rPr>
          <w:rFonts w:ascii="Calibri" w:eastAsia="Calibri" w:hAnsi="Calibri"/>
          <w:kern w:val="2"/>
        </w:rPr>
      </w:pPr>
    </w:p>
    <w:p w14:paraId="1FAED253" w14:textId="4783548D" w:rsidR="00A31B90" w:rsidRPr="00021602" w:rsidRDefault="00A31B90" w:rsidP="00A31B90">
      <w:pPr>
        <w:rPr>
          <w:rFonts w:asciiTheme="minorBidi" w:eastAsia="Calibri" w:hAnsiTheme="minorBidi" w:cstheme="minorBidi"/>
          <w:kern w:val="2"/>
        </w:rPr>
      </w:pPr>
      <w:r w:rsidRPr="00021602">
        <w:rPr>
          <w:rFonts w:asciiTheme="minorBidi" w:eastAsia="Calibri" w:hAnsiTheme="minorBidi" w:cstheme="minorBidi"/>
          <w:kern w:val="2"/>
        </w:rPr>
        <w:t xml:space="preserve">Authors hereby declare that NO generative AI technologies such as Large Language Models (ChatGPT, COPILOT, etc.) and text-to-image generators have been used during the writing or editing of this manuscript. </w:t>
      </w:r>
    </w:p>
    <w:bookmarkEnd w:id="1"/>
    <w:bookmarkEnd w:id="2"/>
    <w:bookmarkEnd w:id="3"/>
    <w:p w14:paraId="10E84A11" w14:textId="77777777" w:rsidR="00A31B90" w:rsidRDefault="00A31B90" w:rsidP="00DE2D13">
      <w:pPr>
        <w:pStyle w:val="Body"/>
        <w:rPr>
          <w:rFonts w:ascii="Arial" w:hAnsi="Arial" w:cs="Arial"/>
        </w:rPr>
      </w:pPr>
    </w:p>
    <w:p w14:paraId="76BA25C3" w14:textId="77777777" w:rsidR="00860000" w:rsidRDefault="00860000" w:rsidP="00441B6F">
      <w:pPr>
        <w:pStyle w:val="ReferHead"/>
        <w:spacing w:after="0"/>
        <w:jc w:val="both"/>
        <w:rPr>
          <w:rFonts w:ascii="Arial" w:hAnsi="Arial" w:cs="Arial"/>
        </w:rPr>
      </w:pPr>
    </w:p>
    <w:p w14:paraId="5E47A63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C9D05C4" w14:textId="77777777" w:rsidR="00E508BB" w:rsidRDefault="00E508BB" w:rsidP="00441B6F">
      <w:pPr>
        <w:pStyle w:val="ReferHead"/>
        <w:spacing w:after="0"/>
        <w:jc w:val="both"/>
        <w:rPr>
          <w:rFonts w:ascii="Arial" w:hAnsi="Arial" w:cs="Arial"/>
        </w:rPr>
      </w:pPr>
    </w:p>
    <w:p w14:paraId="6A397652" w14:textId="77777777" w:rsidR="00A8508E" w:rsidRDefault="00A8508E" w:rsidP="00A8508E">
      <w:pPr>
        <w:jc w:val="both"/>
        <w:rPr>
          <w:rFonts w:asciiTheme="minorBidi" w:hAnsiTheme="minorBidi" w:cstheme="minorBidi"/>
          <w:color w:val="000000" w:themeColor="text1"/>
          <w:kern w:val="24"/>
        </w:rPr>
      </w:pPr>
    </w:p>
    <w:p w14:paraId="5CB53AC7" w14:textId="77777777" w:rsidR="004843B7" w:rsidRPr="004843B7" w:rsidRDefault="004843B7" w:rsidP="004843B7">
      <w:pPr>
        <w:rPr>
          <w:rFonts w:asciiTheme="minorBidi" w:hAnsiTheme="minorBidi" w:cstheme="minorBidi"/>
          <w:color w:val="000000" w:themeColor="text1"/>
          <w:kern w:val="24"/>
        </w:rPr>
      </w:pPr>
      <w:r w:rsidRPr="004843B7">
        <w:rPr>
          <w:rFonts w:asciiTheme="minorBidi" w:hAnsiTheme="minorBidi" w:cstheme="minorBidi"/>
          <w:color w:val="000000" w:themeColor="text1"/>
          <w:kern w:val="24"/>
        </w:rPr>
        <w:lastRenderedPageBreak/>
        <w:t xml:space="preserve">Mills SE, Cooper PH, Fechner RE. Lobular capillary hemangioma: the underlying lesion of pyogenic granuloma. A study of 73 cases from the oral and nasal mucous membranes. Am J Surg </w:t>
      </w:r>
      <w:proofErr w:type="spellStart"/>
      <w:r w:rsidRPr="004843B7">
        <w:rPr>
          <w:rFonts w:asciiTheme="minorBidi" w:hAnsiTheme="minorBidi" w:cstheme="minorBidi"/>
          <w:color w:val="000000" w:themeColor="text1"/>
          <w:kern w:val="24"/>
        </w:rPr>
        <w:t>Pathol</w:t>
      </w:r>
      <w:proofErr w:type="spellEnd"/>
      <w:r w:rsidRPr="004843B7">
        <w:rPr>
          <w:rFonts w:asciiTheme="minorBidi" w:hAnsiTheme="minorBidi" w:cstheme="minorBidi"/>
          <w:color w:val="000000" w:themeColor="text1"/>
          <w:kern w:val="24"/>
        </w:rPr>
        <w:t>. 1980 Oct;4(5):470–9.</w:t>
      </w:r>
    </w:p>
    <w:p w14:paraId="2F9CC986" w14:textId="77777777" w:rsidR="004843B7" w:rsidRPr="004843B7" w:rsidRDefault="004843B7" w:rsidP="004843B7">
      <w:pPr>
        <w:rPr>
          <w:rFonts w:asciiTheme="minorBidi" w:hAnsiTheme="minorBidi" w:cstheme="minorBidi"/>
          <w:color w:val="000000" w:themeColor="text1"/>
          <w:kern w:val="24"/>
        </w:rPr>
      </w:pPr>
      <w:r w:rsidRPr="004843B7">
        <w:rPr>
          <w:rFonts w:asciiTheme="minorBidi" w:hAnsiTheme="minorBidi" w:cstheme="minorBidi"/>
          <w:color w:val="000000" w:themeColor="text1"/>
          <w:kern w:val="24"/>
        </w:rPr>
        <w:t>PMID: 6107927</w:t>
      </w:r>
    </w:p>
    <w:p w14:paraId="2CEBDC5E" w14:textId="77777777" w:rsidR="004843B7" w:rsidRPr="004843B7" w:rsidRDefault="004843B7" w:rsidP="004843B7">
      <w:pPr>
        <w:rPr>
          <w:rFonts w:asciiTheme="minorBidi" w:hAnsiTheme="minorBidi" w:cstheme="minorBidi"/>
          <w:color w:val="000000" w:themeColor="text1"/>
          <w:kern w:val="24"/>
        </w:rPr>
      </w:pPr>
    </w:p>
    <w:p w14:paraId="6F71CEF3" w14:textId="77777777" w:rsidR="004843B7" w:rsidRPr="004843B7" w:rsidRDefault="004843B7" w:rsidP="004843B7">
      <w:pPr>
        <w:rPr>
          <w:rFonts w:asciiTheme="minorBidi" w:hAnsiTheme="minorBidi" w:cstheme="minorBidi"/>
          <w:color w:val="000000" w:themeColor="text1"/>
          <w:kern w:val="24"/>
        </w:rPr>
      </w:pPr>
      <w:proofErr w:type="spellStart"/>
      <w:r w:rsidRPr="004843B7">
        <w:rPr>
          <w:rFonts w:asciiTheme="minorBidi" w:hAnsiTheme="minorBidi" w:cstheme="minorBidi"/>
          <w:color w:val="000000" w:themeColor="text1"/>
          <w:kern w:val="24"/>
        </w:rPr>
        <w:t>Asiyo</w:t>
      </w:r>
      <w:proofErr w:type="spellEnd"/>
      <w:r w:rsidRPr="004843B7">
        <w:rPr>
          <w:rFonts w:asciiTheme="minorBidi" w:hAnsiTheme="minorBidi" w:cstheme="minorBidi"/>
          <w:color w:val="000000" w:themeColor="text1"/>
          <w:kern w:val="24"/>
        </w:rPr>
        <w:t>-Vogel MN, Stefani FH. Pyogenic granulomas of the lacrimal sac. Eye (Lond). 1992;6(Pt 1):97–101.</w:t>
      </w:r>
    </w:p>
    <w:p w14:paraId="7C1D2115" w14:textId="77777777" w:rsidR="004843B7" w:rsidRPr="004843B7" w:rsidRDefault="004843B7" w:rsidP="004843B7">
      <w:pPr>
        <w:rPr>
          <w:rFonts w:asciiTheme="minorBidi" w:hAnsiTheme="minorBidi" w:cstheme="minorBidi"/>
          <w:color w:val="000000" w:themeColor="text1"/>
          <w:kern w:val="24"/>
        </w:rPr>
      </w:pPr>
      <w:r w:rsidRPr="004843B7">
        <w:rPr>
          <w:rFonts w:asciiTheme="minorBidi" w:hAnsiTheme="minorBidi" w:cstheme="minorBidi"/>
          <w:color w:val="000000" w:themeColor="text1"/>
          <w:kern w:val="24"/>
        </w:rPr>
        <w:t>DOI: 10.1038/eye.1992.16</w:t>
      </w:r>
    </w:p>
    <w:p w14:paraId="048B168C" w14:textId="77777777" w:rsidR="004843B7" w:rsidRPr="004843B7" w:rsidRDefault="004843B7" w:rsidP="004843B7">
      <w:pPr>
        <w:rPr>
          <w:rFonts w:asciiTheme="minorBidi" w:hAnsiTheme="minorBidi" w:cstheme="minorBidi"/>
          <w:color w:val="000000" w:themeColor="text1"/>
          <w:kern w:val="24"/>
        </w:rPr>
      </w:pPr>
      <w:r w:rsidRPr="004843B7">
        <w:rPr>
          <w:rFonts w:asciiTheme="minorBidi" w:hAnsiTheme="minorBidi" w:cstheme="minorBidi"/>
          <w:color w:val="000000" w:themeColor="text1"/>
          <w:kern w:val="24"/>
        </w:rPr>
        <w:t>Link via Springer</w:t>
      </w:r>
    </w:p>
    <w:p w14:paraId="66ECAC55" w14:textId="77777777" w:rsidR="004843B7" w:rsidRPr="004843B7" w:rsidRDefault="004843B7" w:rsidP="004843B7">
      <w:pPr>
        <w:rPr>
          <w:rFonts w:asciiTheme="minorBidi" w:hAnsiTheme="minorBidi" w:cstheme="minorBidi"/>
          <w:color w:val="000000" w:themeColor="text1"/>
          <w:kern w:val="24"/>
        </w:rPr>
      </w:pPr>
    </w:p>
    <w:p w14:paraId="209C30EB" w14:textId="77777777" w:rsidR="004843B7" w:rsidRPr="004843B7" w:rsidRDefault="004843B7" w:rsidP="004843B7">
      <w:pPr>
        <w:rPr>
          <w:rFonts w:asciiTheme="minorBidi" w:hAnsiTheme="minorBidi" w:cstheme="minorBidi"/>
          <w:color w:val="000000" w:themeColor="text1"/>
          <w:kern w:val="24"/>
        </w:rPr>
      </w:pPr>
      <w:proofErr w:type="spellStart"/>
      <w:r w:rsidRPr="004843B7">
        <w:rPr>
          <w:rFonts w:asciiTheme="minorBidi" w:hAnsiTheme="minorBidi" w:cstheme="minorBidi"/>
          <w:color w:val="000000" w:themeColor="text1"/>
          <w:kern w:val="24"/>
        </w:rPr>
        <w:t>Vajawat</w:t>
      </w:r>
      <w:proofErr w:type="spellEnd"/>
      <w:r w:rsidRPr="004843B7">
        <w:rPr>
          <w:rFonts w:asciiTheme="minorBidi" w:hAnsiTheme="minorBidi" w:cstheme="minorBidi"/>
          <w:color w:val="000000" w:themeColor="text1"/>
          <w:kern w:val="24"/>
        </w:rPr>
        <w:t xml:space="preserve"> M, Deepika PC, Hegde U. Pyogenic Granuloma: An Unusual Presentation. Journal of Advances in Medicine and Medical Research. 2015;10(3):1–5.</w:t>
      </w:r>
    </w:p>
    <w:p w14:paraId="230D5A66" w14:textId="77777777" w:rsidR="004843B7" w:rsidRPr="004843B7" w:rsidRDefault="004843B7" w:rsidP="004843B7">
      <w:pPr>
        <w:rPr>
          <w:rFonts w:asciiTheme="minorBidi" w:hAnsiTheme="minorBidi" w:cstheme="minorBidi"/>
          <w:color w:val="000000" w:themeColor="text1"/>
          <w:kern w:val="24"/>
        </w:rPr>
      </w:pPr>
      <w:r w:rsidRPr="004843B7">
        <w:rPr>
          <w:rFonts w:asciiTheme="minorBidi" w:hAnsiTheme="minorBidi" w:cstheme="minorBidi"/>
          <w:color w:val="000000" w:themeColor="text1"/>
          <w:kern w:val="24"/>
        </w:rPr>
        <w:t>DOI: 10.9734/BJMMR/2015/17312</w:t>
      </w:r>
    </w:p>
    <w:p w14:paraId="5251C947" w14:textId="77777777" w:rsidR="004843B7" w:rsidRPr="004843B7" w:rsidRDefault="004843B7" w:rsidP="004843B7">
      <w:pPr>
        <w:rPr>
          <w:rFonts w:asciiTheme="minorBidi" w:hAnsiTheme="minorBidi" w:cstheme="minorBidi"/>
          <w:color w:val="000000" w:themeColor="text1"/>
          <w:kern w:val="24"/>
        </w:rPr>
      </w:pPr>
      <w:r w:rsidRPr="004843B7">
        <w:rPr>
          <w:rFonts w:asciiTheme="minorBidi" w:hAnsiTheme="minorBidi" w:cstheme="minorBidi"/>
          <w:color w:val="000000" w:themeColor="text1"/>
          <w:kern w:val="24"/>
        </w:rPr>
        <w:t>Full text</w:t>
      </w:r>
    </w:p>
    <w:p w14:paraId="26A39AE9" w14:textId="77777777" w:rsidR="004843B7" w:rsidRPr="004843B7" w:rsidRDefault="004843B7" w:rsidP="004843B7">
      <w:pPr>
        <w:rPr>
          <w:rFonts w:asciiTheme="minorBidi" w:hAnsiTheme="minorBidi" w:cstheme="minorBidi"/>
          <w:color w:val="000000" w:themeColor="text1"/>
          <w:kern w:val="24"/>
        </w:rPr>
      </w:pPr>
    </w:p>
    <w:p w14:paraId="6D7AA89F" w14:textId="77777777" w:rsidR="004843B7" w:rsidRPr="004843B7" w:rsidRDefault="004843B7" w:rsidP="004843B7">
      <w:pPr>
        <w:rPr>
          <w:rFonts w:asciiTheme="minorBidi" w:hAnsiTheme="minorBidi" w:cstheme="minorBidi"/>
          <w:color w:val="000000" w:themeColor="text1"/>
          <w:kern w:val="24"/>
        </w:rPr>
      </w:pPr>
      <w:r w:rsidRPr="004843B7">
        <w:rPr>
          <w:rFonts w:asciiTheme="minorBidi" w:hAnsiTheme="minorBidi" w:cstheme="minorBidi"/>
          <w:color w:val="000000" w:themeColor="text1"/>
          <w:kern w:val="24"/>
        </w:rPr>
        <w:t xml:space="preserve">Anderson NG, </w:t>
      </w:r>
      <w:proofErr w:type="spellStart"/>
      <w:r w:rsidRPr="004843B7">
        <w:rPr>
          <w:rFonts w:asciiTheme="minorBidi" w:hAnsiTheme="minorBidi" w:cstheme="minorBidi"/>
          <w:color w:val="000000" w:themeColor="text1"/>
          <w:kern w:val="24"/>
        </w:rPr>
        <w:t>Wojno</w:t>
      </w:r>
      <w:proofErr w:type="spellEnd"/>
      <w:r w:rsidRPr="004843B7">
        <w:rPr>
          <w:rFonts w:asciiTheme="minorBidi" w:hAnsiTheme="minorBidi" w:cstheme="minorBidi"/>
          <w:color w:val="000000" w:themeColor="text1"/>
          <w:kern w:val="24"/>
        </w:rPr>
        <w:t xml:space="preserve"> TH, </w:t>
      </w:r>
      <w:proofErr w:type="spellStart"/>
      <w:r w:rsidRPr="004843B7">
        <w:rPr>
          <w:rFonts w:asciiTheme="minorBidi" w:hAnsiTheme="minorBidi" w:cstheme="minorBidi"/>
          <w:color w:val="000000" w:themeColor="text1"/>
          <w:kern w:val="24"/>
        </w:rPr>
        <w:t>Grossniklaus</w:t>
      </w:r>
      <w:proofErr w:type="spellEnd"/>
      <w:r w:rsidRPr="004843B7">
        <w:rPr>
          <w:rFonts w:asciiTheme="minorBidi" w:hAnsiTheme="minorBidi" w:cstheme="minorBidi"/>
          <w:color w:val="000000" w:themeColor="text1"/>
          <w:kern w:val="24"/>
        </w:rPr>
        <w:t xml:space="preserve"> HE. Clinicopathologic findings from lacrimal sac biopsy specimens obtained during dacryocystorhinostomy. Ophthalmic </w:t>
      </w:r>
      <w:proofErr w:type="spellStart"/>
      <w:r w:rsidRPr="004843B7">
        <w:rPr>
          <w:rFonts w:asciiTheme="minorBidi" w:hAnsiTheme="minorBidi" w:cstheme="minorBidi"/>
          <w:color w:val="000000" w:themeColor="text1"/>
          <w:kern w:val="24"/>
        </w:rPr>
        <w:t>Plast</w:t>
      </w:r>
      <w:proofErr w:type="spellEnd"/>
      <w:r w:rsidRPr="004843B7">
        <w:rPr>
          <w:rFonts w:asciiTheme="minorBidi" w:hAnsiTheme="minorBidi" w:cstheme="minorBidi"/>
          <w:color w:val="000000" w:themeColor="text1"/>
          <w:kern w:val="24"/>
        </w:rPr>
        <w:t xml:space="preserve"> </w:t>
      </w:r>
      <w:proofErr w:type="spellStart"/>
      <w:r w:rsidRPr="004843B7">
        <w:rPr>
          <w:rFonts w:asciiTheme="minorBidi" w:hAnsiTheme="minorBidi" w:cstheme="minorBidi"/>
          <w:color w:val="000000" w:themeColor="text1"/>
          <w:kern w:val="24"/>
        </w:rPr>
        <w:t>Reconstr</w:t>
      </w:r>
      <w:proofErr w:type="spellEnd"/>
      <w:r w:rsidRPr="004843B7">
        <w:rPr>
          <w:rFonts w:asciiTheme="minorBidi" w:hAnsiTheme="minorBidi" w:cstheme="minorBidi"/>
          <w:color w:val="000000" w:themeColor="text1"/>
          <w:kern w:val="24"/>
        </w:rPr>
        <w:t xml:space="preserve"> Surg. 2003 May;19(3):173–6.</w:t>
      </w:r>
    </w:p>
    <w:p w14:paraId="15A3BCA6" w14:textId="77777777" w:rsidR="004843B7" w:rsidRPr="004843B7" w:rsidRDefault="004843B7" w:rsidP="004843B7">
      <w:pPr>
        <w:rPr>
          <w:rFonts w:asciiTheme="minorBidi" w:hAnsiTheme="minorBidi" w:cstheme="minorBidi"/>
          <w:color w:val="000000" w:themeColor="text1"/>
          <w:kern w:val="24"/>
        </w:rPr>
      </w:pPr>
      <w:r w:rsidRPr="004843B7">
        <w:rPr>
          <w:rFonts w:asciiTheme="minorBidi" w:hAnsiTheme="minorBidi" w:cstheme="minorBidi"/>
          <w:color w:val="000000" w:themeColor="text1"/>
          <w:kern w:val="24"/>
        </w:rPr>
        <w:t>PMID: 12731246</w:t>
      </w:r>
    </w:p>
    <w:p w14:paraId="4588DA89" w14:textId="77777777" w:rsidR="004843B7" w:rsidRPr="004843B7" w:rsidRDefault="004843B7" w:rsidP="004843B7">
      <w:pPr>
        <w:rPr>
          <w:rFonts w:asciiTheme="minorBidi" w:hAnsiTheme="minorBidi" w:cstheme="minorBidi"/>
          <w:color w:val="000000" w:themeColor="text1"/>
          <w:kern w:val="24"/>
        </w:rPr>
      </w:pPr>
    </w:p>
    <w:p w14:paraId="2E349662" w14:textId="77777777" w:rsidR="004843B7" w:rsidRPr="004843B7" w:rsidRDefault="004843B7" w:rsidP="004843B7">
      <w:pPr>
        <w:rPr>
          <w:rFonts w:asciiTheme="minorBidi" w:hAnsiTheme="minorBidi" w:cstheme="minorBidi"/>
          <w:color w:val="000000" w:themeColor="text1"/>
          <w:kern w:val="24"/>
        </w:rPr>
      </w:pPr>
      <w:r w:rsidRPr="004843B7">
        <w:rPr>
          <w:rFonts w:asciiTheme="minorBidi" w:hAnsiTheme="minorBidi" w:cstheme="minorBidi"/>
          <w:color w:val="000000" w:themeColor="text1"/>
          <w:kern w:val="24"/>
        </w:rPr>
        <w:t xml:space="preserve">Jordan DR, Brownstein S, Lee-Wing MW, </w:t>
      </w:r>
      <w:proofErr w:type="spellStart"/>
      <w:r w:rsidRPr="004843B7">
        <w:rPr>
          <w:rFonts w:asciiTheme="minorBidi" w:hAnsiTheme="minorBidi" w:cstheme="minorBidi"/>
          <w:color w:val="000000" w:themeColor="text1"/>
          <w:kern w:val="24"/>
        </w:rPr>
        <w:t>Rootman</w:t>
      </w:r>
      <w:proofErr w:type="spellEnd"/>
      <w:r w:rsidRPr="004843B7">
        <w:rPr>
          <w:rFonts w:asciiTheme="minorBidi" w:hAnsiTheme="minorBidi" w:cstheme="minorBidi"/>
          <w:color w:val="000000" w:themeColor="text1"/>
          <w:kern w:val="24"/>
        </w:rPr>
        <w:t xml:space="preserve"> J. Primary acquired nasolacrimal duct obstruction: a clinicopathologic report and biopsy technique. Ophthalmic </w:t>
      </w:r>
      <w:proofErr w:type="spellStart"/>
      <w:r w:rsidRPr="004843B7">
        <w:rPr>
          <w:rFonts w:asciiTheme="minorBidi" w:hAnsiTheme="minorBidi" w:cstheme="minorBidi"/>
          <w:color w:val="000000" w:themeColor="text1"/>
          <w:kern w:val="24"/>
        </w:rPr>
        <w:t>Plast</w:t>
      </w:r>
      <w:proofErr w:type="spellEnd"/>
      <w:r w:rsidRPr="004843B7">
        <w:rPr>
          <w:rFonts w:asciiTheme="minorBidi" w:hAnsiTheme="minorBidi" w:cstheme="minorBidi"/>
          <w:color w:val="000000" w:themeColor="text1"/>
          <w:kern w:val="24"/>
        </w:rPr>
        <w:t xml:space="preserve"> </w:t>
      </w:r>
      <w:proofErr w:type="spellStart"/>
      <w:r w:rsidRPr="004843B7">
        <w:rPr>
          <w:rFonts w:asciiTheme="minorBidi" w:hAnsiTheme="minorBidi" w:cstheme="minorBidi"/>
          <w:color w:val="000000" w:themeColor="text1"/>
          <w:kern w:val="24"/>
        </w:rPr>
        <w:t>Reconstr</w:t>
      </w:r>
      <w:proofErr w:type="spellEnd"/>
      <w:r w:rsidRPr="004843B7">
        <w:rPr>
          <w:rFonts w:asciiTheme="minorBidi" w:hAnsiTheme="minorBidi" w:cstheme="minorBidi"/>
          <w:color w:val="000000" w:themeColor="text1"/>
          <w:kern w:val="24"/>
        </w:rPr>
        <w:t xml:space="preserve"> Surg. 1994 Dec;10(4):196–200.</w:t>
      </w:r>
    </w:p>
    <w:p w14:paraId="3279F48F" w14:textId="77777777" w:rsidR="004843B7" w:rsidRPr="004843B7" w:rsidRDefault="004843B7" w:rsidP="004843B7">
      <w:pPr>
        <w:rPr>
          <w:rFonts w:asciiTheme="minorBidi" w:hAnsiTheme="minorBidi" w:cstheme="minorBidi"/>
          <w:color w:val="000000" w:themeColor="text1"/>
          <w:kern w:val="24"/>
        </w:rPr>
      </w:pPr>
      <w:r w:rsidRPr="004843B7">
        <w:rPr>
          <w:rFonts w:asciiTheme="minorBidi" w:hAnsiTheme="minorBidi" w:cstheme="minorBidi"/>
          <w:color w:val="000000" w:themeColor="text1"/>
          <w:kern w:val="24"/>
        </w:rPr>
        <w:t>PMID: 7864413</w:t>
      </w:r>
    </w:p>
    <w:p w14:paraId="30EFF832" w14:textId="77777777" w:rsidR="004843B7" w:rsidRPr="004843B7" w:rsidRDefault="004843B7" w:rsidP="004843B7">
      <w:pPr>
        <w:rPr>
          <w:rFonts w:asciiTheme="minorBidi" w:hAnsiTheme="minorBidi" w:cstheme="minorBidi"/>
          <w:color w:val="000000" w:themeColor="text1"/>
          <w:kern w:val="24"/>
        </w:rPr>
      </w:pPr>
    </w:p>
    <w:p w14:paraId="01116B5D" w14:textId="77777777" w:rsidR="004843B7" w:rsidRPr="004843B7" w:rsidRDefault="004843B7" w:rsidP="004843B7">
      <w:pPr>
        <w:rPr>
          <w:rFonts w:asciiTheme="minorBidi" w:hAnsiTheme="minorBidi" w:cstheme="minorBidi"/>
          <w:color w:val="000000" w:themeColor="text1"/>
          <w:kern w:val="24"/>
        </w:rPr>
      </w:pPr>
      <w:r w:rsidRPr="004843B7">
        <w:rPr>
          <w:rFonts w:asciiTheme="minorBidi" w:hAnsiTheme="minorBidi" w:cstheme="minorBidi"/>
          <w:color w:val="000000" w:themeColor="text1"/>
          <w:kern w:val="24"/>
        </w:rPr>
        <w:t>Gul A, Shahzad M, Abbasi AR, Shaikh TH, Khan TA, Jalbani B. Outcome of Surgical Excision for Managing the Oral Pyogenic Granuloma. Journal of Pharmaceutical Research International. 2021;33(32A):127–133.</w:t>
      </w:r>
    </w:p>
    <w:p w14:paraId="1450700E" w14:textId="77777777" w:rsidR="004843B7" w:rsidRPr="004843B7" w:rsidRDefault="004843B7" w:rsidP="004843B7">
      <w:pPr>
        <w:rPr>
          <w:rFonts w:asciiTheme="minorBidi" w:hAnsiTheme="minorBidi" w:cstheme="minorBidi"/>
          <w:color w:val="000000" w:themeColor="text1"/>
          <w:kern w:val="24"/>
        </w:rPr>
      </w:pPr>
      <w:r w:rsidRPr="004843B7">
        <w:rPr>
          <w:rFonts w:asciiTheme="minorBidi" w:hAnsiTheme="minorBidi" w:cstheme="minorBidi"/>
          <w:color w:val="000000" w:themeColor="text1"/>
          <w:kern w:val="24"/>
        </w:rPr>
        <w:t>DOI: 10.9734/</w:t>
      </w:r>
      <w:proofErr w:type="spellStart"/>
      <w:r w:rsidRPr="004843B7">
        <w:rPr>
          <w:rFonts w:asciiTheme="minorBidi" w:hAnsiTheme="minorBidi" w:cstheme="minorBidi"/>
          <w:color w:val="000000" w:themeColor="text1"/>
          <w:kern w:val="24"/>
        </w:rPr>
        <w:t>jpri</w:t>
      </w:r>
      <w:proofErr w:type="spellEnd"/>
      <w:r w:rsidRPr="004843B7">
        <w:rPr>
          <w:rFonts w:asciiTheme="minorBidi" w:hAnsiTheme="minorBidi" w:cstheme="minorBidi"/>
          <w:color w:val="000000" w:themeColor="text1"/>
          <w:kern w:val="24"/>
        </w:rPr>
        <w:t>/2021/v33i32A31724</w:t>
      </w:r>
    </w:p>
    <w:p w14:paraId="6479BB1C" w14:textId="0E295137" w:rsidR="00A8508E" w:rsidRDefault="00A8508E" w:rsidP="00A8508E">
      <w:pPr>
        <w:jc w:val="both"/>
        <w:rPr>
          <w:rFonts w:asciiTheme="minorBidi" w:hAnsiTheme="minorBidi" w:cstheme="minorBidi"/>
          <w:color w:val="000000" w:themeColor="text1"/>
          <w:kern w:val="24"/>
        </w:rPr>
      </w:pPr>
    </w:p>
    <w:p w14:paraId="621D5B9B" w14:textId="57341496" w:rsidR="002A7BC5" w:rsidRDefault="002A7BC5" w:rsidP="00A8508E">
      <w:pPr>
        <w:jc w:val="both"/>
        <w:rPr>
          <w:rFonts w:asciiTheme="minorBidi" w:hAnsiTheme="minorBidi" w:cstheme="minorBidi"/>
          <w:color w:val="000000" w:themeColor="text1"/>
          <w:kern w:val="24"/>
        </w:rPr>
      </w:pPr>
      <w:proofErr w:type="spellStart"/>
      <w:r w:rsidRPr="002A7BC5">
        <w:rPr>
          <w:rFonts w:asciiTheme="minorBidi" w:hAnsiTheme="minorBidi" w:cstheme="minorBidi"/>
          <w:color w:val="000000" w:themeColor="text1"/>
          <w:kern w:val="24"/>
        </w:rPr>
        <w:t>Yazıcı</w:t>
      </w:r>
      <w:proofErr w:type="spellEnd"/>
      <w:r w:rsidRPr="002A7BC5">
        <w:rPr>
          <w:rFonts w:asciiTheme="minorBidi" w:hAnsiTheme="minorBidi" w:cstheme="minorBidi"/>
          <w:color w:val="000000" w:themeColor="text1"/>
          <w:kern w:val="24"/>
        </w:rPr>
        <w:t xml:space="preserve">, B., </w:t>
      </w:r>
      <w:proofErr w:type="spellStart"/>
      <w:r w:rsidRPr="002A7BC5">
        <w:rPr>
          <w:rFonts w:asciiTheme="minorBidi" w:hAnsiTheme="minorBidi" w:cstheme="minorBidi"/>
          <w:color w:val="000000" w:themeColor="text1"/>
          <w:kern w:val="24"/>
        </w:rPr>
        <w:t>Ayvaz</w:t>
      </w:r>
      <w:proofErr w:type="spellEnd"/>
      <w:r w:rsidRPr="002A7BC5">
        <w:rPr>
          <w:rFonts w:asciiTheme="minorBidi" w:hAnsiTheme="minorBidi" w:cstheme="minorBidi"/>
          <w:color w:val="000000" w:themeColor="text1"/>
          <w:kern w:val="24"/>
        </w:rPr>
        <w:t>, A. T., &amp; Aker, S. (2009). Pyogenic granuloma of the lacrimal sac. International ophthalmology, 29(1), 57-60.</w:t>
      </w:r>
    </w:p>
    <w:p w14:paraId="0406B568" w14:textId="106A1460" w:rsidR="002A7BC5" w:rsidRDefault="002A7BC5" w:rsidP="00A8508E">
      <w:pPr>
        <w:jc w:val="both"/>
        <w:rPr>
          <w:rFonts w:asciiTheme="minorBidi" w:hAnsiTheme="minorBidi" w:cstheme="minorBidi"/>
          <w:color w:val="000000" w:themeColor="text1"/>
          <w:kern w:val="24"/>
        </w:rPr>
      </w:pPr>
    </w:p>
    <w:p w14:paraId="509C6630" w14:textId="41CEAC50" w:rsidR="002A7BC5" w:rsidRDefault="002A7BC5" w:rsidP="00A8508E">
      <w:pPr>
        <w:jc w:val="both"/>
        <w:rPr>
          <w:rFonts w:asciiTheme="minorBidi" w:hAnsiTheme="minorBidi" w:cstheme="minorBidi"/>
          <w:color w:val="000000" w:themeColor="text1"/>
          <w:kern w:val="24"/>
        </w:rPr>
      </w:pPr>
      <w:r w:rsidRPr="002A7BC5">
        <w:rPr>
          <w:rFonts w:asciiTheme="minorBidi" w:hAnsiTheme="minorBidi" w:cstheme="minorBidi"/>
          <w:color w:val="000000" w:themeColor="text1"/>
          <w:kern w:val="24"/>
        </w:rPr>
        <w:t>Ferry, A. P. (1989). Pyogenic granulomas of the eye and ocular adnexa: a study of 100 cases. Transactions of the American Ophthalmological Society, 87, 327.</w:t>
      </w:r>
    </w:p>
    <w:p w14:paraId="30B54A70" w14:textId="39483A53" w:rsidR="002A7BC5" w:rsidRDefault="002A7BC5" w:rsidP="00A8508E">
      <w:pPr>
        <w:jc w:val="both"/>
        <w:rPr>
          <w:rFonts w:asciiTheme="minorBidi" w:hAnsiTheme="minorBidi" w:cstheme="minorBidi"/>
          <w:color w:val="000000" w:themeColor="text1"/>
          <w:kern w:val="24"/>
        </w:rPr>
      </w:pPr>
    </w:p>
    <w:p w14:paraId="22F25A32" w14:textId="0E0A9F8B" w:rsidR="002A7BC5" w:rsidRDefault="002A7BC5" w:rsidP="00A8508E">
      <w:pPr>
        <w:jc w:val="both"/>
        <w:rPr>
          <w:rFonts w:asciiTheme="minorBidi" w:hAnsiTheme="minorBidi" w:cstheme="minorBidi"/>
          <w:color w:val="000000" w:themeColor="text1"/>
          <w:kern w:val="24"/>
        </w:rPr>
      </w:pPr>
      <w:r w:rsidRPr="002A7BC5">
        <w:rPr>
          <w:rFonts w:asciiTheme="minorBidi" w:hAnsiTheme="minorBidi" w:cstheme="minorBidi"/>
          <w:color w:val="000000" w:themeColor="text1"/>
          <w:kern w:val="24"/>
        </w:rPr>
        <w:t xml:space="preserve">Herwig-Carl, M. C., </w:t>
      </w:r>
      <w:proofErr w:type="spellStart"/>
      <w:r w:rsidRPr="002A7BC5">
        <w:rPr>
          <w:rFonts w:asciiTheme="minorBidi" w:hAnsiTheme="minorBidi" w:cstheme="minorBidi"/>
          <w:color w:val="000000" w:themeColor="text1"/>
          <w:kern w:val="24"/>
        </w:rPr>
        <w:t>Grossniklaus</w:t>
      </w:r>
      <w:proofErr w:type="spellEnd"/>
      <w:r w:rsidRPr="002A7BC5">
        <w:rPr>
          <w:rFonts w:asciiTheme="minorBidi" w:hAnsiTheme="minorBidi" w:cstheme="minorBidi"/>
          <w:color w:val="000000" w:themeColor="text1"/>
          <w:kern w:val="24"/>
        </w:rPr>
        <w:t xml:space="preserve">, H. E., Müller, P. L., </w:t>
      </w:r>
      <w:proofErr w:type="spellStart"/>
      <w:r w:rsidRPr="002A7BC5">
        <w:rPr>
          <w:rFonts w:asciiTheme="minorBidi" w:hAnsiTheme="minorBidi" w:cstheme="minorBidi"/>
          <w:color w:val="000000" w:themeColor="text1"/>
          <w:kern w:val="24"/>
        </w:rPr>
        <w:t>Atzrodt</w:t>
      </w:r>
      <w:proofErr w:type="spellEnd"/>
      <w:r w:rsidRPr="002A7BC5">
        <w:rPr>
          <w:rFonts w:asciiTheme="minorBidi" w:hAnsiTheme="minorBidi" w:cstheme="minorBidi"/>
          <w:color w:val="000000" w:themeColor="text1"/>
          <w:kern w:val="24"/>
        </w:rPr>
        <w:t xml:space="preserve">, L., Loeffler, K. U., &amp; </w:t>
      </w:r>
      <w:proofErr w:type="spellStart"/>
      <w:r w:rsidRPr="002A7BC5">
        <w:rPr>
          <w:rFonts w:asciiTheme="minorBidi" w:hAnsiTheme="minorBidi" w:cstheme="minorBidi"/>
          <w:color w:val="000000" w:themeColor="text1"/>
          <w:kern w:val="24"/>
        </w:rPr>
        <w:t>Auw-Haedrich</w:t>
      </w:r>
      <w:proofErr w:type="spellEnd"/>
      <w:r w:rsidRPr="002A7BC5">
        <w:rPr>
          <w:rFonts w:asciiTheme="minorBidi" w:hAnsiTheme="minorBidi" w:cstheme="minorBidi"/>
          <w:color w:val="000000" w:themeColor="text1"/>
          <w:kern w:val="24"/>
        </w:rPr>
        <w:t>, C. (2019). Pyogenic granuloma associated with conjunctival epithelial neoplasia: report of nine cases. British Journal of Ophthalmology, 103(10), 1469-1474.</w:t>
      </w:r>
    </w:p>
    <w:p w14:paraId="489750D1" w14:textId="70043A0A" w:rsidR="002A7BC5" w:rsidRDefault="002A7BC5" w:rsidP="00A8508E">
      <w:pPr>
        <w:jc w:val="both"/>
        <w:rPr>
          <w:rFonts w:asciiTheme="minorBidi" w:hAnsiTheme="minorBidi" w:cstheme="minorBidi"/>
          <w:color w:val="000000" w:themeColor="text1"/>
          <w:kern w:val="24"/>
        </w:rPr>
      </w:pPr>
    </w:p>
    <w:p w14:paraId="6D3382D9" w14:textId="5C7215A2" w:rsidR="002A7BC5" w:rsidRDefault="002A7BC5" w:rsidP="00A8508E">
      <w:pPr>
        <w:jc w:val="both"/>
        <w:rPr>
          <w:rFonts w:asciiTheme="minorBidi" w:hAnsiTheme="minorBidi" w:cstheme="minorBidi"/>
          <w:color w:val="000000" w:themeColor="text1"/>
          <w:kern w:val="24"/>
        </w:rPr>
      </w:pPr>
      <w:proofErr w:type="spellStart"/>
      <w:r w:rsidRPr="002A7BC5">
        <w:rPr>
          <w:rFonts w:asciiTheme="minorBidi" w:hAnsiTheme="minorBidi" w:cstheme="minorBidi"/>
          <w:color w:val="000000" w:themeColor="text1"/>
          <w:kern w:val="24"/>
        </w:rPr>
        <w:t>Mietz</w:t>
      </w:r>
      <w:proofErr w:type="spellEnd"/>
      <w:r w:rsidRPr="002A7BC5">
        <w:rPr>
          <w:rFonts w:asciiTheme="minorBidi" w:hAnsiTheme="minorBidi" w:cstheme="minorBidi"/>
          <w:color w:val="000000" w:themeColor="text1"/>
          <w:kern w:val="24"/>
        </w:rPr>
        <w:t xml:space="preserve">, H., Arnold, G., </w:t>
      </w:r>
      <w:proofErr w:type="spellStart"/>
      <w:r w:rsidRPr="002A7BC5">
        <w:rPr>
          <w:rFonts w:asciiTheme="minorBidi" w:hAnsiTheme="minorBidi" w:cstheme="minorBidi"/>
          <w:color w:val="000000" w:themeColor="text1"/>
          <w:kern w:val="24"/>
        </w:rPr>
        <w:t>Kirchhof</w:t>
      </w:r>
      <w:proofErr w:type="spellEnd"/>
      <w:r w:rsidRPr="002A7BC5">
        <w:rPr>
          <w:rFonts w:asciiTheme="minorBidi" w:hAnsiTheme="minorBidi" w:cstheme="minorBidi"/>
          <w:color w:val="000000" w:themeColor="text1"/>
          <w:kern w:val="24"/>
        </w:rPr>
        <w:t xml:space="preserve">, B., &amp; </w:t>
      </w:r>
      <w:proofErr w:type="spellStart"/>
      <w:r w:rsidRPr="002A7BC5">
        <w:rPr>
          <w:rFonts w:asciiTheme="minorBidi" w:hAnsiTheme="minorBidi" w:cstheme="minorBidi"/>
          <w:color w:val="000000" w:themeColor="text1"/>
          <w:kern w:val="24"/>
        </w:rPr>
        <w:t>Krieglstein</w:t>
      </w:r>
      <w:proofErr w:type="spellEnd"/>
      <w:r w:rsidRPr="002A7BC5">
        <w:rPr>
          <w:rFonts w:asciiTheme="minorBidi" w:hAnsiTheme="minorBidi" w:cstheme="minorBidi"/>
          <w:color w:val="000000" w:themeColor="text1"/>
          <w:kern w:val="24"/>
        </w:rPr>
        <w:t xml:space="preserve">, G. K. (1996). Pyogenic granuloma of the cornea: report of a case and review of the literature. </w:t>
      </w:r>
      <w:proofErr w:type="spellStart"/>
      <w:r w:rsidRPr="002A7BC5">
        <w:rPr>
          <w:rFonts w:asciiTheme="minorBidi" w:hAnsiTheme="minorBidi" w:cstheme="minorBidi"/>
          <w:color w:val="000000" w:themeColor="text1"/>
          <w:kern w:val="24"/>
        </w:rPr>
        <w:t>Graefe's</w:t>
      </w:r>
      <w:proofErr w:type="spellEnd"/>
      <w:r w:rsidRPr="002A7BC5">
        <w:rPr>
          <w:rFonts w:asciiTheme="minorBidi" w:hAnsiTheme="minorBidi" w:cstheme="minorBidi"/>
          <w:color w:val="000000" w:themeColor="text1"/>
          <w:kern w:val="24"/>
        </w:rPr>
        <w:t xml:space="preserve"> archive for clinical and experimental ophthalmology, 234(2), 131-136.</w:t>
      </w:r>
    </w:p>
    <w:sectPr w:rsidR="002A7BC5" w:rsidSect="00372978">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B97EE2" w14:textId="77777777" w:rsidR="001F22D9" w:rsidRDefault="001F22D9" w:rsidP="00C37E61">
      <w:r>
        <w:separator/>
      </w:r>
    </w:p>
  </w:endnote>
  <w:endnote w:type="continuationSeparator" w:id="0">
    <w:p w14:paraId="6578F2A9" w14:textId="77777777" w:rsidR="001F22D9" w:rsidRDefault="001F22D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00000000" w:usb1="E9DFFFFF" w:usb2="0000003F" w:usb3="00000000" w:csb0="003F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EB730" w14:textId="77777777" w:rsidR="00372978" w:rsidRDefault="003729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84281" w14:textId="77777777" w:rsidR="00372978" w:rsidRDefault="003729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E48B7" w14:textId="12BC0A93" w:rsidR="00754C9A" w:rsidRPr="00EB311F" w:rsidRDefault="00754C9A" w:rsidP="00EB31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C15062" w14:textId="77777777" w:rsidR="001F22D9" w:rsidRDefault="001F22D9" w:rsidP="00C37E61">
      <w:r>
        <w:separator/>
      </w:r>
    </w:p>
  </w:footnote>
  <w:footnote w:type="continuationSeparator" w:id="0">
    <w:p w14:paraId="732FC286" w14:textId="77777777" w:rsidR="001F22D9" w:rsidRDefault="001F22D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2F43D" w14:textId="2AC9FB62" w:rsidR="00372978" w:rsidRDefault="002A7BC5">
    <w:pPr>
      <w:pStyle w:val="Header"/>
    </w:pPr>
    <w:r>
      <w:rPr>
        <w:noProof/>
      </w:rPr>
      <w:pict w14:anchorId="52ABFB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223976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44928" w14:textId="0E99D51B" w:rsidR="00372978" w:rsidRDefault="002A7BC5">
    <w:pPr>
      <w:pStyle w:val="Header"/>
    </w:pPr>
    <w:r>
      <w:rPr>
        <w:noProof/>
      </w:rPr>
      <w:pict w14:anchorId="5DE0A7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223976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3E555" w14:textId="4307A4CC" w:rsidR="00296529" w:rsidRPr="00296529" w:rsidRDefault="002A7BC5" w:rsidP="00296529">
    <w:pPr>
      <w:ind w:left="2160"/>
      <w:jc w:val="center"/>
      <w:rPr>
        <w:rFonts w:ascii="Times New Roman" w:eastAsia="Calibri" w:hAnsi="Times New Roman"/>
        <w:i/>
        <w:sz w:val="18"/>
        <w:szCs w:val="22"/>
      </w:rPr>
    </w:pPr>
    <w:r>
      <w:rPr>
        <w:noProof/>
      </w:rPr>
      <w:pict w14:anchorId="6646BE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223976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9B1CD6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52225B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A0CA40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1FDB19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C9353F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B08D73C"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EA379AC"/>
    <w:multiLevelType w:val="hybridMultilevel"/>
    <w:tmpl w:val="04B25F9E"/>
    <w:lvl w:ilvl="0" w:tplc="2000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4B1F2476"/>
    <w:multiLevelType w:val="multilevel"/>
    <w:tmpl w:val="FDE61F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1"/>
  </w:num>
  <w:num w:numId="31">
    <w:abstractNumId w:val="9"/>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21602"/>
    <w:rsid w:val="000221C4"/>
    <w:rsid w:val="00030174"/>
    <w:rsid w:val="00032C9A"/>
    <w:rsid w:val="00043DDD"/>
    <w:rsid w:val="0004579C"/>
    <w:rsid w:val="000510C3"/>
    <w:rsid w:val="00060151"/>
    <w:rsid w:val="00080C2D"/>
    <w:rsid w:val="0009062A"/>
    <w:rsid w:val="000A47FA"/>
    <w:rsid w:val="000A65D3"/>
    <w:rsid w:val="000B0055"/>
    <w:rsid w:val="000B1E33"/>
    <w:rsid w:val="000D689F"/>
    <w:rsid w:val="000E1391"/>
    <w:rsid w:val="000E7B7B"/>
    <w:rsid w:val="000E7D62"/>
    <w:rsid w:val="00103357"/>
    <w:rsid w:val="0011703C"/>
    <w:rsid w:val="00120E1D"/>
    <w:rsid w:val="00123C9F"/>
    <w:rsid w:val="00126190"/>
    <w:rsid w:val="00130F17"/>
    <w:rsid w:val="001320BF"/>
    <w:rsid w:val="00163BC4"/>
    <w:rsid w:val="00170EE9"/>
    <w:rsid w:val="00171920"/>
    <w:rsid w:val="00191062"/>
    <w:rsid w:val="00192B72"/>
    <w:rsid w:val="001A29D8"/>
    <w:rsid w:val="001A5CAA"/>
    <w:rsid w:val="001B0427"/>
    <w:rsid w:val="001D3A51"/>
    <w:rsid w:val="001E10D2"/>
    <w:rsid w:val="001E25B4"/>
    <w:rsid w:val="001E44FE"/>
    <w:rsid w:val="001E6FD5"/>
    <w:rsid w:val="001F22D9"/>
    <w:rsid w:val="00200595"/>
    <w:rsid w:val="00204835"/>
    <w:rsid w:val="00204F59"/>
    <w:rsid w:val="002146B0"/>
    <w:rsid w:val="00231920"/>
    <w:rsid w:val="0023195C"/>
    <w:rsid w:val="00233A95"/>
    <w:rsid w:val="00234348"/>
    <w:rsid w:val="0024282C"/>
    <w:rsid w:val="002460DC"/>
    <w:rsid w:val="00250985"/>
    <w:rsid w:val="002556F6"/>
    <w:rsid w:val="00283105"/>
    <w:rsid w:val="00284C4C"/>
    <w:rsid w:val="00287E68"/>
    <w:rsid w:val="00296529"/>
    <w:rsid w:val="002A7BC5"/>
    <w:rsid w:val="002B27FB"/>
    <w:rsid w:val="002B60F0"/>
    <w:rsid w:val="002B685A"/>
    <w:rsid w:val="002C57D2"/>
    <w:rsid w:val="002D6407"/>
    <w:rsid w:val="002E0D56"/>
    <w:rsid w:val="003045F9"/>
    <w:rsid w:val="00315186"/>
    <w:rsid w:val="0033343E"/>
    <w:rsid w:val="003512C2"/>
    <w:rsid w:val="003613EC"/>
    <w:rsid w:val="00365870"/>
    <w:rsid w:val="00370A24"/>
    <w:rsid w:val="00371297"/>
    <w:rsid w:val="00371FB6"/>
    <w:rsid w:val="00372978"/>
    <w:rsid w:val="003763C1"/>
    <w:rsid w:val="00376BBE"/>
    <w:rsid w:val="0038525B"/>
    <w:rsid w:val="0039224F"/>
    <w:rsid w:val="003A428C"/>
    <w:rsid w:val="003A43A4"/>
    <w:rsid w:val="003A7E18"/>
    <w:rsid w:val="003C43EC"/>
    <w:rsid w:val="003C4C86"/>
    <w:rsid w:val="003C6258"/>
    <w:rsid w:val="003E2904"/>
    <w:rsid w:val="00401927"/>
    <w:rsid w:val="0041027F"/>
    <w:rsid w:val="00412475"/>
    <w:rsid w:val="00423789"/>
    <w:rsid w:val="00433E22"/>
    <w:rsid w:val="00440F43"/>
    <w:rsid w:val="00441B6F"/>
    <w:rsid w:val="00444582"/>
    <w:rsid w:val="0044482D"/>
    <w:rsid w:val="0044559D"/>
    <w:rsid w:val="00446221"/>
    <w:rsid w:val="00450E62"/>
    <w:rsid w:val="004539DB"/>
    <w:rsid w:val="0046674F"/>
    <w:rsid w:val="00471A80"/>
    <w:rsid w:val="004843B7"/>
    <w:rsid w:val="004938ED"/>
    <w:rsid w:val="004C4CFA"/>
    <w:rsid w:val="004D305E"/>
    <w:rsid w:val="004D4277"/>
    <w:rsid w:val="004D7218"/>
    <w:rsid w:val="00502516"/>
    <w:rsid w:val="00505F06"/>
    <w:rsid w:val="00506828"/>
    <w:rsid w:val="0053056E"/>
    <w:rsid w:val="00533812"/>
    <w:rsid w:val="00554FDA"/>
    <w:rsid w:val="005C784C"/>
    <w:rsid w:val="005D17F6"/>
    <w:rsid w:val="005E5539"/>
    <w:rsid w:val="00602BF5"/>
    <w:rsid w:val="00617FDD"/>
    <w:rsid w:val="00633614"/>
    <w:rsid w:val="00633F68"/>
    <w:rsid w:val="00636EB2"/>
    <w:rsid w:val="006375B8"/>
    <w:rsid w:val="0066510A"/>
    <w:rsid w:val="0066584A"/>
    <w:rsid w:val="00673F9F"/>
    <w:rsid w:val="0068540E"/>
    <w:rsid w:val="00686953"/>
    <w:rsid w:val="00687DEA"/>
    <w:rsid w:val="00687E67"/>
    <w:rsid w:val="006967F7"/>
    <w:rsid w:val="006A1F14"/>
    <w:rsid w:val="006A250C"/>
    <w:rsid w:val="006B21D3"/>
    <w:rsid w:val="006B57D0"/>
    <w:rsid w:val="006C6D54"/>
    <w:rsid w:val="006D30FF"/>
    <w:rsid w:val="006D6940"/>
    <w:rsid w:val="006F11EC"/>
    <w:rsid w:val="006F39DD"/>
    <w:rsid w:val="0070082C"/>
    <w:rsid w:val="007369E6"/>
    <w:rsid w:val="00746E59"/>
    <w:rsid w:val="00754C9A"/>
    <w:rsid w:val="0075599A"/>
    <w:rsid w:val="00761D52"/>
    <w:rsid w:val="0077749E"/>
    <w:rsid w:val="00790ADA"/>
    <w:rsid w:val="007A602E"/>
    <w:rsid w:val="007D2288"/>
    <w:rsid w:val="007E088F"/>
    <w:rsid w:val="007F7B32"/>
    <w:rsid w:val="00804BC2"/>
    <w:rsid w:val="00810D22"/>
    <w:rsid w:val="0081431A"/>
    <w:rsid w:val="00817C0A"/>
    <w:rsid w:val="00821E9F"/>
    <w:rsid w:val="0083216F"/>
    <w:rsid w:val="00860000"/>
    <w:rsid w:val="00863BD3"/>
    <w:rsid w:val="008641ED"/>
    <w:rsid w:val="00866D66"/>
    <w:rsid w:val="008671C6"/>
    <w:rsid w:val="00875803"/>
    <w:rsid w:val="008806FB"/>
    <w:rsid w:val="0088484A"/>
    <w:rsid w:val="0088631D"/>
    <w:rsid w:val="008B122F"/>
    <w:rsid w:val="008B459E"/>
    <w:rsid w:val="008E13AE"/>
    <w:rsid w:val="008E1506"/>
    <w:rsid w:val="008E710C"/>
    <w:rsid w:val="008F69D6"/>
    <w:rsid w:val="00902823"/>
    <w:rsid w:val="00915CA6"/>
    <w:rsid w:val="00927834"/>
    <w:rsid w:val="009500A6"/>
    <w:rsid w:val="00957C18"/>
    <w:rsid w:val="00963B4F"/>
    <w:rsid w:val="009659BA"/>
    <w:rsid w:val="00983040"/>
    <w:rsid w:val="009B2EF2"/>
    <w:rsid w:val="009B3FB9"/>
    <w:rsid w:val="009C2465"/>
    <w:rsid w:val="009D35A0"/>
    <w:rsid w:val="009D7EB7"/>
    <w:rsid w:val="009E048A"/>
    <w:rsid w:val="009E08E9"/>
    <w:rsid w:val="009E166D"/>
    <w:rsid w:val="009E3DB9"/>
    <w:rsid w:val="009E6E35"/>
    <w:rsid w:val="009F0EDA"/>
    <w:rsid w:val="00A03B96"/>
    <w:rsid w:val="00A05B19"/>
    <w:rsid w:val="00A1134E"/>
    <w:rsid w:val="00A24E7E"/>
    <w:rsid w:val="00A258C3"/>
    <w:rsid w:val="00A31B90"/>
    <w:rsid w:val="00A347C0"/>
    <w:rsid w:val="00A46427"/>
    <w:rsid w:val="00A51431"/>
    <w:rsid w:val="00A539AD"/>
    <w:rsid w:val="00A618A3"/>
    <w:rsid w:val="00A8508E"/>
    <w:rsid w:val="00A94063"/>
    <w:rsid w:val="00AA6219"/>
    <w:rsid w:val="00AA74E0"/>
    <w:rsid w:val="00AB1E6C"/>
    <w:rsid w:val="00AB703F"/>
    <w:rsid w:val="00AC3851"/>
    <w:rsid w:val="00AC6BB8"/>
    <w:rsid w:val="00AC74AD"/>
    <w:rsid w:val="00AE008F"/>
    <w:rsid w:val="00B00B63"/>
    <w:rsid w:val="00B01FCD"/>
    <w:rsid w:val="00B03FB0"/>
    <w:rsid w:val="00B1776C"/>
    <w:rsid w:val="00B52583"/>
    <w:rsid w:val="00B52896"/>
    <w:rsid w:val="00B67373"/>
    <w:rsid w:val="00B7235A"/>
    <w:rsid w:val="00B811A2"/>
    <w:rsid w:val="00B95236"/>
    <w:rsid w:val="00B96BD9"/>
    <w:rsid w:val="00BA1B01"/>
    <w:rsid w:val="00BA2641"/>
    <w:rsid w:val="00BA7ED1"/>
    <w:rsid w:val="00BB37AA"/>
    <w:rsid w:val="00BC53A0"/>
    <w:rsid w:val="00BD5EF6"/>
    <w:rsid w:val="00BE62AD"/>
    <w:rsid w:val="00BF121F"/>
    <w:rsid w:val="00BF1F80"/>
    <w:rsid w:val="00BF3F1A"/>
    <w:rsid w:val="00C01FFE"/>
    <w:rsid w:val="00C166EF"/>
    <w:rsid w:val="00C17EB0"/>
    <w:rsid w:val="00C27F5F"/>
    <w:rsid w:val="00C30A0F"/>
    <w:rsid w:val="00C37E61"/>
    <w:rsid w:val="00C70F1B"/>
    <w:rsid w:val="00C71A47"/>
    <w:rsid w:val="00C7464C"/>
    <w:rsid w:val="00C85588"/>
    <w:rsid w:val="00C900E2"/>
    <w:rsid w:val="00CB3399"/>
    <w:rsid w:val="00CC4E70"/>
    <w:rsid w:val="00CD6755"/>
    <w:rsid w:val="00CD6856"/>
    <w:rsid w:val="00CE0089"/>
    <w:rsid w:val="00CE4204"/>
    <w:rsid w:val="00CE793C"/>
    <w:rsid w:val="00CF193C"/>
    <w:rsid w:val="00D022E3"/>
    <w:rsid w:val="00D173F1"/>
    <w:rsid w:val="00D41DA9"/>
    <w:rsid w:val="00D74CB0"/>
    <w:rsid w:val="00D8295D"/>
    <w:rsid w:val="00DB6173"/>
    <w:rsid w:val="00DC2A65"/>
    <w:rsid w:val="00DD4EE7"/>
    <w:rsid w:val="00DE15F0"/>
    <w:rsid w:val="00DE2D13"/>
    <w:rsid w:val="00DE3734"/>
    <w:rsid w:val="00DE5663"/>
    <w:rsid w:val="00DE78AA"/>
    <w:rsid w:val="00DF0331"/>
    <w:rsid w:val="00DF1D11"/>
    <w:rsid w:val="00E00D17"/>
    <w:rsid w:val="00E02DCF"/>
    <w:rsid w:val="00E053D0"/>
    <w:rsid w:val="00E135AF"/>
    <w:rsid w:val="00E15994"/>
    <w:rsid w:val="00E22105"/>
    <w:rsid w:val="00E3114E"/>
    <w:rsid w:val="00E31A70"/>
    <w:rsid w:val="00E35B02"/>
    <w:rsid w:val="00E508BB"/>
    <w:rsid w:val="00E66496"/>
    <w:rsid w:val="00E66B35"/>
    <w:rsid w:val="00E66E10"/>
    <w:rsid w:val="00E76558"/>
    <w:rsid w:val="00E769F6"/>
    <w:rsid w:val="00E8407C"/>
    <w:rsid w:val="00E84F3C"/>
    <w:rsid w:val="00EA012C"/>
    <w:rsid w:val="00EB311F"/>
    <w:rsid w:val="00EC6A55"/>
    <w:rsid w:val="00ED0288"/>
    <w:rsid w:val="00EE52CB"/>
    <w:rsid w:val="00EE586B"/>
    <w:rsid w:val="00EF581D"/>
    <w:rsid w:val="00EF7FD8"/>
    <w:rsid w:val="00F04532"/>
    <w:rsid w:val="00F06F59"/>
    <w:rsid w:val="00F17988"/>
    <w:rsid w:val="00F469F0"/>
    <w:rsid w:val="00F51C5A"/>
    <w:rsid w:val="00F53273"/>
    <w:rsid w:val="00F755E4"/>
    <w:rsid w:val="00F756BA"/>
    <w:rsid w:val="00F77D02"/>
    <w:rsid w:val="00FB3A86"/>
    <w:rsid w:val="00FD0C43"/>
    <w:rsid w:val="00FD36C8"/>
    <w:rsid w:val="00FD529F"/>
    <w:rsid w:val="00FD69A4"/>
    <w:rsid w:val="00FE46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542ADE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semiHidden/>
    <w:unhideWhenUsed/>
    <w:qFormat/>
    <w:rsid w:val="00B811A2"/>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lang w:val="fr-FR"/>
      <w14:ligatures w14:val="standardContextual"/>
    </w:rPr>
  </w:style>
  <w:style w:type="paragraph" w:styleId="Heading9">
    <w:name w:val="heading 9"/>
    <w:basedOn w:val="Normal"/>
    <w:next w:val="Normal"/>
    <w:link w:val="Heading9Char"/>
    <w:semiHidden/>
    <w:unhideWhenUsed/>
    <w:qFormat/>
    <w:rsid w:val="00A8508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2B60F0"/>
    <w:pPr>
      <w:spacing w:before="100" w:beforeAutospacing="1" w:after="100" w:afterAutospacing="1"/>
    </w:pPr>
    <w:rPr>
      <w:rFonts w:ascii="Times New Roman" w:hAnsi="Times New Roman"/>
      <w:sz w:val="24"/>
      <w:szCs w:val="24"/>
      <w:lang w:val="fr-FR" w:eastAsia="fr-FR"/>
    </w:rPr>
  </w:style>
  <w:style w:type="paragraph" w:styleId="ListParagraph">
    <w:name w:val="List Paragraph"/>
    <w:qFormat/>
    <w:rsid w:val="00963B4F"/>
    <w:pPr>
      <w:pBdr>
        <w:top w:val="nil"/>
        <w:left w:val="nil"/>
        <w:bottom w:val="nil"/>
        <w:right w:val="nil"/>
        <w:between w:val="nil"/>
        <w:bar w:val="nil"/>
      </w:pBdr>
      <w:ind w:left="720"/>
    </w:pPr>
    <w:rPr>
      <w:rFonts w:ascii="Calibri" w:eastAsia="Arial Unicode MS" w:hAnsi="Calibri" w:cs="Arial Unicode MS"/>
      <w:color w:val="000000"/>
      <w:kern w:val="2"/>
      <w:sz w:val="24"/>
      <w:szCs w:val="24"/>
      <w:u w:color="000000"/>
      <w:bdr w:val="nil"/>
      <w:lang w:val="fr-FR" w:eastAsia="fr-FR"/>
    </w:rPr>
  </w:style>
  <w:style w:type="character" w:customStyle="1" w:styleId="Heading3Char">
    <w:name w:val="Heading 3 Char"/>
    <w:basedOn w:val="DefaultParagraphFont"/>
    <w:link w:val="Heading3"/>
    <w:uiPriority w:val="9"/>
    <w:semiHidden/>
    <w:rsid w:val="00B811A2"/>
    <w:rPr>
      <w:rFonts w:asciiTheme="minorHAnsi" w:eastAsiaTheme="majorEastAsia" w:hAnsiTheme="minorHAnsi" w:cstheme="majorBidi"/>
      <w:color w:val="365F91" w:themeColor="accent1" w:themeShade="BF"/>
      <w:kern w:val="2"/>
      <w:sz w:val="28"/>
      <w:szCs w:val="28"/>
      <w:lang w:val="fr-FR"/>
      <w14:ligatures w14:val="standardContextual"/>
    </w:rPr>
  </w:style>
  <w:style w:type="character" w:styleId="Strong">
    <w:name w:val="Strong"/>
    <w:basedOn w:val="DefaultParagraphFont"/>
    <w:qFormat/>
    <w:rsid w:val="003A428C"/>
    <w:rPr>
      <w:b/>
      <w:bCs/>
    </w:rPr>
  </w:style>
  <w:style w:type="character" w:customStyle="1" w:styleId="Heading9Char">
    <w:name w:val="Heading 9 Char"/>
    <w:basedOn w:val="DefaultParagraphFont"/>
    <w:link w:val="Heading9"/>
    <w:uiPriority w:val="9"/>
    <w:semiHidden/>
    <w:rsid w:val="00A8508E"/>
    <w:rPr>
      <w:rFonts w:asciiTheme="majorHAnsi" w:eastAsiaTheme="majorEastAsia" w:hAnsiTheme="majorHAnsi" w:cstheme="majorBidi"/>
      <w:i/>
      <w:iCs/>
      <w:color w:val="272727" w:themeColor="text1" w:themeTint="D8"/>
      <w:sz w:val="21"/>
      <w:szCs w:val="21"/>
    </w:rPr>
  </w:style>
  <w:style w:type="character" w:customStyle="1" w:styleId="UnresolvedMention2">
    <w:name w:val="Unresolved Mention2"/>
    <w:basedOn w:val="DefaultParagraphFont"/>
    <w:uiPriority w:val="99"/>
    <w:semiHidden/>
    <w:unhideWhenUsed/>
    <w:rsid w:val="004843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3100976">
      <w:bodyDiv w:val="1"/>
      <w:marLeft w:val="0"/>
      <w:marRight w:val="0"/>
      <w:marTop w:val="0"/>
      <w:marBottom w:val="0"/>
      <w:divBdr>
        <w:top w:val="none" w:sz="0" w:space="0" w:color="auto"/>
        <w:left w:val="none" w:sz="0" w:space="0" w:color="auto"/>
        <w:bottom w:val="none" w:sz="0" w:space="0" w:color="auto"/>
        <w:right w:val="none" w:sz="0" w:space="0" w:color="auto"/>
      </w:divBdr>
      <w:divsChild>
        <w:div w:id="1207524064">
          <w:marLeft w:val="0"/>
          <w:marRight w:val="0"/>
          <w:marTop w:val="0"/>
          <w:marBottom w:val="0"/>
          <w:divBdr>
            <w:top w:val="none" w:sz="0" w:space="0" w:color="auto"/>
            <w:left w:val="none" w:sz="0" w:space="0" w:color="auto"/>
            <w:bottom w:val="none" w:sz="0" w:space="0" w:color="auto"/>
            <w:right w:val="none" w:sz="0" w:space="0" w:color="auto"/>
          </w:divBdr>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39750-76E1-462C-8AA5-096EF142B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111</TotalTime>
  <Pages>5</Pages>
  <Words>1282</Words>
  <Characters>8019</Characters>
  <Application>Microsoft Office Word</Application>
  <DocSecurity>0</DocSecurity>
  <Lines>66</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9283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49</cp:revision>
  <cp:lastPrinted>1999-07-06T11:00:00Z</cp:lastPrinted>
  <dcterms:created xsi:type="dcterms:W3CDTF">2025-08-04T07:05:00Z</dcterms:created>
  <dcterms:modified xsi:type="dcterms:W3CDTF">2025-08-12T11:59:00Z</dcterms:modified>
</cp:coreProperties>
</file>