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8DCAA" w14:textId="77777777" w:rsidR="00754C9A" w:rsidRDefault="00754C9A" w:rsidP="00441B6F">
      <w:pPr>
        <w:pStyle w:val="Title"/>
        <w:spacing w:after="0"/>
        <w:jc w:val="both"/>
        <w:rPr>
          <w:rFonts w:ascii="Arial" w:hAnsi="Arial" w:cs="Arial"/>
        </w:rPr>
      </w:pPr>
    </w:p>
    <w:p w14:paraId="5FA4105E" w14:textId="77777777" w:rsidR="00A36348" w:rsidRPr="00A36348" w:rsidRDefault="00A36348" w:rsidP="0009207A">
      <w:pPr>
        <w:pStyle w:val="Author"/>
        <w:jc w:val="center"/>
        <w:rPr>
          <w:rFonts w:ascii="Arial" w:hAnsi="Arial" w:cs="Arial"/>
          <w:bCs/>
          <w:i/>
          <w:iCs/>
          <w:sz w:val="32"/>
          <w:szCs w:val="32"/>
          <w:u w:val="single"/>
        </w:rPr>
      </w:pPr>
      <w:r w:rsidRPr="00A36348">
        <w:rPr>
          <w:rFonts w:ascii="Arial" w:hAnsi="Arial" w:cs="Arial"/>
          <w:bCs/>
          <w:i/>
          <w:iCs/>
          <w:sz w:val="32"/>
          <w:szCs w:val="32"/>
          <w:u w:val="single"/>
        </w:rPr>
        <w:t xml:space="preserve">Case report </w:t>
      </w:r>
    </w:p>
    <w:p w14:paraId="7CDDA123" w14:textId="77777777" w:rsidR="00A36348" w:rsidRDefault="00A36348" w:rsidP="004A2489">
      <w:pPr>
        <w:pStyle w:val="Author"/>
        <w:spacing w:line="240" w:lineRule="auto"/>
        <w:rPr>
          <w:rFonts w:ascii="Arial" w:hAnsi="Arial" w:cs="Arial"/>
          <w:bCs/>
          <w:sz w:val="36"/>
          <w:szCs w:val="36"/>
          <w:lang w:val="en-GB"/>
        </w:rPr>
      </w:pPr>
    </w:p>
    <w:p w14:paraId="20C063A3" w14:textId="6407087D" w:rsidR="00F932DF" w:rsidRPr="006924D7" w:rsidRDefault="006924D7" w:rsidP="004A2489">
      <w:pPr>
        <w:pStyle w:val="Author"/>
        <w:spacing w:line="240" w:lineRule="auto"/>
        <w:rPr>
          <w:rFonts w:ascii="Arial" w:hAnsi="Arial" w:cs="Arial"/>
          <w:bCs/>
          <w:iCs/>
          <w:kern w:val="28"/>
          <w:sz w:val="36"/>
          <w:szCs w:val="36"/>
          <w:lang w:val="en-IN"/>
        </w:rPr>
      </w:pPr>
      <w:r w:rsidRPr="006924D7">
        <w:rPr>
          <w:rFonts w:ascii="Arial" w:hAnsi="Arial" w:cs="Arial"/>
          <w:bCs/>
          <w:sz w:val="36"/>
          <w:szCs w:val="36"/>
          <w:lang w:val="en-GB"/>
        </w:rPr>
        <w:t xml:space="preserve">Role </w:t>
      </w:r>
      <w:r>
        <w:rPr>
          <w:rFonts w:ascii="Arial" w:hAnsi="Arial" w:cs="Arial"/>
          <w:bCs/>
          <w:sz w:val="36"/>
          <w:szCs w:val="36"/>
          <w:lang w:val="en-GB"/>
        </w:rPr>
        <w:t>o</w:t>
      </w:r>
      <w:r w:rsidRPr="006924D7">
        <w:rPr>
          <w:rFonts w:ascii="Arial" w:hAnsi="Arial" w:cs="Arial"/>
          <w:bCs/>
          <w:sz w:val="36"/>
          <w:szCs w:val="36"/>
          <w:lang w:val="en-GB"/>
        </w:rPr>
        <w:t xml:space="preserve">f Immunohistochemistry </w:t>
      </w:r>
      <w:r>
        <w:rPr>
          <w:rFonts w:ascii="Arial" w:hAnsi="Arial" w:cs="Arial"/>
          <w:bCs/>
          <w:sz w:val="36"/>
          <w:szCs w:val="36"/>
          <w:lang w:val="en-GB"/>
        </w:rPr>
        <w:t>i</w:t>
      </w:r>
      <w:r w:rsidRPr="006924D7">
        <w:rPr>
          <w:rFonts w:ascii="Arial" w:hAnsi="Arial" w:cs="Arial"/>
          <w:bCs/>
          <w:sz w:val="36"/>
          <w:szCs w:val="36"/>
          <w:lang w:val="en-GB"/>
        </w:rPr>
        <w:t xml:space="preserve">n </w:t>
      </w:r>
      <w:r>
        <w:rPr>
          <w:rFonts w:ascii="Arial" w:hAnsi="Arial" w:cs="Arial"/>
          <w:bCs/>
          <w:sz w:val="36"/>
          <w:szCs w:val="36"/>
          <w:lang w:val="en-GB"/>
        </w:rPr>
        <w:t>a</w:t>
      </w:r>
      <w:r w:rsidRPr="006924D7">
        <w:rPr>
          <w:rFonts w:ascii="Arial" w:hAnsi="Arial" w:cs="Arial"/>
          <w:bCs/>
          <w:sz w:val="36"/>
          <w:szCs w:val="36"/>
          <w:lang w:val="en-GB"/>
        </w:rPr>
        <w:t xml:space="preserve"> Rare Case </w:t>
      </w:r>
      <w:r>
        <w:rPr>
          <w:rFonts w:ascii="Arial" w:hAnsi="Arial" w:cs="Arial"/>
          <w:bCs/>
          <w:sz w:val="36"/>
          <w:szCs w:val="36"/>
          <w:lang w:val="en-GB"/>
        </w:rPr>
        <w:t>o</w:t>
      </w:r>
      <w:r w:rsidRPr="006924D7">
        <w:rPr>
          <w:rFonts w:ascii="Arial" w:hAnsi="Arial" w:cs="Arial"/>
          <w:bCs/>
          <w:sz w:val="36"/>
          <w:szCs w:val="36"/>
          <w:lang w:val="en-GB"/>
        </w:rPr>
        <w:t xml:space="preserve">f Undifferentiated Soft Tissue Sarcoma </w:t>
      </w:r>
      <w:r>
        <w:rPr>
          <w:rFonts w:ascii="Arial" w:hAnsi="Arial" w:cs="Arial"/>
          <w:bCs/>
          <w:sz w:val="36"/>
          <w:szCs w:val="36"/>
          <w:lang w:val="en-GB"/>
        </w:rPr>
        <w:t>w</w:t>
      </w:r>
      <w:r w:rsidRPr="006924D7">
        <w:rPr>
          <w:rFonts w:ascii="Arial" w:hAnsi="Arial" w:cs="Arial"/>
          <w:bCs/>
          <w:sz w:val="36"/>
          <w:szCs w:val="36"/>
          <w:lang w:val="en-GB"/>
        </w:rPr>
        <w:t>ith Cytohistopathological Correlation</w:t>
      </w:r>
    </w:p>
    <w:p w14:paraId="50731DE4" w14:textId="77777777" w:rsidR="00A258C3" w:rsidRPr="006924D7" w:rsidRDefault="00A258C3" w:rsidP="00F932DF">
      <w:pPr>
        <w:pStyle w:val="Author"/>
        <w:spacing w:line="240" w:lineRule="auto"/>
        <w:jc w:val="center"/>
        <w:rPr>
          <w:rFonts w:ascii="Arial" w:hAnsi="Arial" w:cs="Arial"/>
          <w:sz w:val="36"/>
          <w:szCs w:val="36"/>
        </w:rPr>
      </w:pPr>
    </w:p>
    <w:p w14:paraId="04AE8E60" w14:textId="77777777" w:rsidR="00634CD3" w:rsidRDefault="00634CD3" w:rsidP="00441B6F">
      <w:pPr>
        <w:pStyle w:val="Copyright"/>
        <w:spacing w:after="0" w:line="240" w:lineRule="auto"/>
        <w:jc w:val="both"/>
        <w:rPr>
          <w:rFonts w:ascii="Arial" w:hAnsi="Arial" w:cs="Arial"/>
        </w:rPr>
      </w:pPr>
    </w:p>
    <w:p w14:paraId="27815DE7" w14:textId="77777777" w:rsidR="00634CD3" w:rsidRDefault="00634CD3" w:rsidP="00441B6F">
      <w:pPr>
        <w:pStyle w:val="Copyright"/>
        <w:spacing w:after="0" w:line="240" w:lineRule="auto"/>
        <w:jc w:val="both"/>
        <w:rPr>
          <w:rFonts w:ascii="Arial" w:hAnsi="Arial" w:cs="Arial"/>
        </w:rPr>
      </w:pPr>
    </w:p>
    <w:p w14:paraId="568249F0" w14:textId="77777777" w:rsidR="00634CD3" w:rsidRDefault="00634CD3" w:rsidP="00441B6F">
      <w:pPr>
        <w:pStyle w:val="Copyright"/>
        <w:spacing w:after="0" w:line="240" w:lineRule="auto"/>
        <w:jc w:val="both"/>
        <w:rPr>
          <w:rFonts w:ascii="Arial" w:hAnsi="Arial" w:cs="Arial"/>
        </w:rPr>
      </w:pPr>
    </w:p>
    <w:p w14:paraId="5274517F" w14:textId="77777777" w:rsidR="00634CD3" w:rsidRDefault="00634CD3" w:rsidP="00441B6F">
      <w:pPr>
        <w:pStyle w:val="Copyright"/>
        <w:spacing w:after="0" w:line="240" w:lineRule="auto"/>
        <w:jc w:val="both"/>
        <w:rPr>
          <w:rFonts w:ascii="Arial" w:hAnsi="Arial" w:cs="Arial"/>
        </w:rPr>
      </w:pPr>
    </w:p>
    <w:p w14:paraId="484EB59F" w14:textId="77777777" w:rsidR="00634CD3" w:rsidRDefault="00634CD3" w:rsidP="00441B6F">
      <w:pPr>
        <w:pStyle w:val="Copyright"/>
        <w:spacing w:after="0" w:line="240" w:lineRule="auto"/>
        <w:jc w:val="both"/>
        <w:rPr>
          <w:rFonts w:ascii="Arial" w:hAnsi="Arial" w:cs="Arial"/>
        </w:rPr>
      </w:pPr>
    </w:p>
    <w:p w14:paraId="1F73D344" w14:textId="77777777" w:rsidR="00634CD3" w:rsidRDefault="00634CD3" w:rsidP="00441B6F">
      <w:pPr>
        <w:pStyle w:val="Copyright"/>
        <w:spacing w:after="0" w:line="240" w:lineRule="auto"/>
        <w:jc w:val="both"/>
        <w:rPr>
          <w:rFonts w:ascii="Arial" w:hAnsi="Arial" w:cs="Arial"/>
        </w:rPr>
      </w:pPr>
    </w:p>
    <w:p w14:paraId="07D826E9" w14:textId="77777777" w:rsidR="00634CD3" w:rsidRDefault="00634CD3" w:rsidP="00441B6F">
      <w:pPr>
        <w:pStyle w:val="Copyright"/>
        <w:spacing w:after="0" w:line="240" w:lineRule="auto"/>
        <w:jc w:val="both"/>
        <w:rPr>
          <w:rFonts w:ascii="Arial" w:hAnsi="Arial" w:cs="Arial"/>
        </w:rPr>
      </w:pPr>
    </w:p>
    <w:p w14:paraId="5CB41EFA" w14:textId="1B378937" w:rsidR="00B01FCD" w:rsidRPr="00FB3A86" w:rsidRDefault="00B01FCD" w:rsidP="00441B6F">
      <w:pPr>
        <w:pStyle w:val="Copyright"/>
        <w:spacing w:after="0" w:line="240" w:lineRule="auto"/>
        <w:jc w:val="both"/>
        <w:rPr>
          <w:rFonts w:ascii="Arial" w:hAnsi="Arial" w:cs="Arial"/>
        </w:rPr>
        <w:sectPr w:rsidR="00B01FCD" w:rsidRPr="00FB3A86" w:rsidSect="005B7D74">
          <w:headerReference w:type="even" r:id="rId8"/>
          <w:headerReference w:type="default" r:id="rId9"/>
          <w:footerReference w:type="even" r:id="rId10"/>
          <w:footerReference w:type="default" r:id="rId11"/>
          <w:headerReference w:type="first" r:id="rId12"/>
          <w:footerReference w:type="first" r:id="rId13"/>
          <w:pgSz w:w="12240" w:h="15840" w:code="1"/>
          <w:pgMar w:top="568" w:right="2016" w:bottom="2016" w:left="2016" w:header="720" w:footer="720" w:gutter="0"/>
          <w:cols w:space="720"/>
          <w:docGrid w:linePitch="272"/>
        </w:sectPr>
      </w:pPr>
    </w:p>
    <w:p w14:paraId="1AECF6EA" w14:textId="4934176E"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AA91376" w14:textId="77777777" w:rsidTr="009A5512">
        <w:trPr>
          <w:jc w:val="center"/>
        </w:trPr>
        <w:tc>
          <w:tcPr>
            <w:tcW w:w="9576" w:type="dxa"/>
            <w:shd w:val="clear" w:color="auto" w:fill="F2F2F2"/>
          </w:tcPr>
          <w:p w14:paraId="498A9B4D" w14:textId="30F64DC5" w:rsidR="006924D7" w:rsidRPr="006924D7" w:rsidRDefault="006924D7" w:rsidP="006924D7">
            <w:pPr>
              <w:pStyle w:val="NormalWeb"/>
              <w:tabs>
                <w:tab w:val="left" w:pos="2780"/>
              </w:tabs>
              <w:rPr>
                <w:rFonts w:ascii="Arial" w:hAnsi="Arial" w:cs="Arial"/>
                <w:b/>
                <w:bCs/>
                <w:sz w:val="20"/>
                <w:szCs w:val="20"/>
              </w:rPr>
            </w:pPr>
            <w:r w:rsidRPr="006924D7">
              <w:rPr>
                <w:rFonts w:ascii="Arial" w:hAnsi="Arial" w:cs="Arial"/>
                <w:sz w:val="20"/>
                <w:szCs w:val="20"/>
              </w:rPr>
              <w:t xml:space="preserve">Soft tissue sarcomas (STS) constitute a rare subset of malignancies, posing diagnostic challenges due to their varied clinical and histopathological presentations. </w:t>
            </w:r>
            <w:r>
              <w:rPr>
                <w:rFonts w:ascii="Arial" w:hAnsi="Arial" w:cs="Arial"/>
                <w:sz w:val="20"/>
                <w:szCs w:val="20"/>
              </w:rPr>
              <w:t xml:space="preserve">This </w:t>
            </w:r>
            <w:r w:rsidRPr="006924D7">
              <w:rPr>
                <w:rFonts w:ascii="Arial" w:hAnsi="Arial" w:cs="Arial"/>
                <w:sz w:val="20"/>
                <w:szCs w:val="20"/>
              </w:rPr>
              <w:t xml:space="preserve">case </w:t>
            </w:r>
            <w:r>
              <w:rPr>
                <w:rFonts w:ascii="Arial" w:hAnsi="Arial" w:cs="Arial"/>
                <w:sz w:val="20"/>
                <w:szCs w:val="20"/>
              </w:rPr>
              <w:t>report describes a</w:t>
            </w:r>
            <w:r w:rsidRPr="006924D7">
              <w:rPr>
                <w:rFonts w:ascii="Arial" w:hAnsi="Arial" w:cs="Arial"/>
                <w:sz w:val="20"/>
                <w:szCs w:val="20"/>
              </w:rPr>
              <w:t xml:space="preserve"> </w:t>
            </w:r>
            <w:r>
              <w:rPr>
                <w:rFonts w:ascii="Arial" w:hAnsi="Arial" w:cs="Arial"/>
                <w:sz w:val="20"/>
                <w:szCs w:val="20"/>
              </w:rPr>
              <w:t xml:space="preserve">young adult </w:t>
            </w:r>
            <w:r w:rsidRPr="006924D7">
              <w:rPr>
                <w:rFonts w:ascii="Arial" w:hAnsi="Arial" w:cs="Arial"/>
                <w:sz w:val="20"/>
                <w:szCs w:val="20"/>
              </w:rPr>
              <w:t xml:space="preserve">female </w:t>
            </w:r>
            <w:r>
              <w:rPr>
                <w:rFonts w:ascii="Arial" w:hAnsi="Arial" w:cs="Arial"/>
                <w:sz w:val="20"/>
                <w:szCs w:val="20"/>
              </w:rPr>
              <w:t xml:space="preserve">who presented </w:t>
            </w:r>
            <w:r w:rsidRPr="006924D7">
              <w:rPr>
                <w:rFonts w:ascii="Arial" w:hAnsi="Arial" w:cs="Arial"/>
                <w:sz w:val="20"/>
                <w:szCs w:val="20"/>
              </w:rPr>
              <w:t>with a rapidly growing thigh mass initially misinterpreted as chronic hematoma on ultrasound examination. Subsequent cytological and histopathological correlation revealed features consistent with high-grade sarcoma, necessitating further characterization through immunohistochemistry (IHC). The tumour, displaying spindle cells with pleomorphic nuclei and abundant giant cells, posed a differential diagnosis, including pleomorphic leiomyosarcoma, liposarcoma, rhabdomyosarcoma, and malignant melanoma. Immunohistochemical examination was pivotal, confirming strong Vimentin positivity and a 30% Ki67 proliferation index while ruling out CDK4, Myogenin, MDM2, S100, SMA, and CD34 markers. This case underscores the critical role of IHC in accurate diagnosis and prognosis of challenging STS cases, advocating for a multidisciplinary approach to optimize patient management.</w:t>
            </w:r>
          </w:p>
          <w:p w14:paraId="34B47995" w14:textId="47FCD52B" w:rsidR="00505F06" w:rsidRPr="00DE42D4" w:rsidRDefault="00505F06" w:rsidP="00DE42D4">
            <w:pPr>
              <w:jc w:val="both"/>
              <w:rPr>
                <w:rFonts w:ascii="Arial" w:hAnsi="Arial" w:cs="Arial"/>
                <w:sz w:val="24"/>
                <w:szCs w:val="24"/>
              </w:rPr>
            </w:pPr>
          </w:p>
        </w:tc>
      </w:tr>
    </w:tbl>
    <w:p w14:paraId="767FD078" w14:textId="77777777" w:rsidR="00790ADA" w:rsidRDefault="00790ADA" w:rsidP="00441B6F">
      <w:pPr>
        <w:pStyle w:val="Body"/>
        <w:spacing w:after="0"/>
        <w:rPr>
          <w:rFonts w:ascii="Arial" w:hAnsi="Arial" w:cs="Arial"/>
          <w:i/>
        </w:rPr>
      </w:pPr>
    </w:p>
    <w:p w14:paraId="52C6F094" w14:textId="77777777" w:rsidR="009A5512" w:rsidRDefault="009A5512" w:rsidP="009A5512">
      <w:pPr>
        <w:pStyle w:val="Footer"/>
      </w:pPr>
    </w:p>
    <w:p w14:paraId="3939CDDB" w14:textId="2743FD72" w:rsidR="009A5512" w:rsidRDefault="009A5512" w:rsidP="009A5512">
      <w:pPr>
        <w:pStyle w:val="Body"/>
        <w:spacing w:after="0"/>
        <w:rPr>
          <w:rFonts w:ascii="Arial" w:hAnsi="Arial" w:cs="Arial"/>
          <w:i/>
        </w:rPr>
      </w:pPr>
      <w:r>
        <w:rPr>
          <w:rFonts w:ascii="Arial" w:hAnsi="Arial" w:cs="Arial"/>
          <w:i/>
        </w:rPr>
        <w:t xml:space="preserve">Keywords: </w:t>
      </w:r>
      <w:r w:rsidR="006924D7">
        <w:rPr>
          <w:rFonts w:ascii="Arial" w:eastAsia="Calibri" w:hAnsi="Arial" w:cs="Arial"/>
          <w:i/>
          <w:iCs/>
          <w:szCs w:val="22"/>
          <w:lang w:val="en-IN"/>
        </w:rPr>
        <w:t>Histopathology</w:t>
      </w:r>
      <w:r w:rsidRPr="00B941D1">
        <w:rPr>
          <w:rFonts w:ascii="Arial" w:eastAsia="Calibri" w:hAnsi="Arial" w:cs="Arial"/>
          <w:i/>
          <w:iCs/>
          <w:szCs w:val="22"/>
          <w:lang w:val="en-IN"/>
        </w:rPr>
        <w:t xml:space="preserve">, </w:t>
      </w:r>
      <w:r w:rsidR="006924D7">
        <w:rPr>
          <w:rFonts w:ascii="Arial" w:eastAsia="Calibri" w:hAnsi="Arial" w:cs="Arial"/>
          <w:i/>
          <w:iCs/>
          <w:szCs w:val="22"/>
          <w:lang w:val="en-IN"/>
        </w:rPr>
        <w:t>vimentin positive</w:t>
      </w:r>
      <w:r w:rsidRPr="00B941D1">
        <w:rPr>
          <w:rFonts w:ascii="Arial" w:eastAsia="Calibri" w:hAnsi="Arial" w:cs="Arial"/>
          <w:i/>
          <w:iCs/>
          <w:szCs w:val="22"/>
          <w:lang w:val="en-IN"/>
        </w:rPr>
        <w:t xml:space="preserve">, thigh </w:t>
      </w:r>
      <w:r w:rsidR="006924D7">
        <w:rPr>
          <w:rFonts w:ascii="Arial" w:eastAsia="Calibri" w:hAnsi="Arial" w:cs="Arial"/>
          <w:i/>
          <w:iCs/>
          <w:szCs w:val="22"/>
          <w:lang w:val="en-IN"/>
        </w:rPr>
        <w:t>mass</w:t>
      </w:r>
      <w:r w:rsidRPr="00B941D1">
        <w:rPr>
          <w:rFonts w:ascii="Arial" w:eastAsia="Calibri" w:hAnsi="Arial" w:cs="Arial"/>
          <w:i/>
          <w:iCs/>
          <w:szCs w:val="22"/>
          <w:lang w:val="en-IN"/>
        </w:rPr>
        <w:t xml:space="preserve">, </w:t>
      </w:r>
      <w:r w:rsidR="006924D7">
        <w:rPr>
          <w:rFonts w:ascii="Arial" w:eastAsia="Calibri" w:hAnsi="Arial" w:cs="Arial"/>
          <w:i/>
          <w:iCs/>
          <w:szCs w:val="22"/>
          <w:lang w:val="en-IN"/>
        </w:rPr>
        <w:t>i</w:t>
      </w:r>
      <w:r w:rsidRPr="00B941D1">
        <w:rPr>
          <w:rFonts w:ascii="Arial" w:eastAsia="Calibri" w:hAnsi="Arial" w:cs="Arial"/>
          <w:i/>
          <w:iCs/>
          <w:szCs w:val="22"/>
          <w:lang w:val="en-IN"/>
        </w:rPr>
        <w:t xml:space="preserve">mmunohistochemistry, </w:t>
      </w:r>
      <w:r w:rsidR="006924D7">
        <w:rPr>
          <w:rFonts w:ascii="Arial" w:eastAsia="Calibri" w:hAnsi="Arial" w:cs="Arial"/>
          <w:i/>
          <w:iCs/>
          <w:szCs w:val="22"/>
          <w:lang w:val="en-IN"/>
        </w:rPr>
        <w:t>s</w:t>
      </w:r>
      <w:r w:rsidRPr="00B941D1">
        <w:rPr>
          <w:rFonts w:ascii="Arial" w:eastAsia="Calibri" w:hAnsi="Arial" w:cs="Arial"/>
          <w:i/>
          <w:iCs/>
          <w:szCs w:val="22"/>
          <w:lang w:val="en-IN"/>
        </w:rPr>
        <w:t xml:space="preserve">oft tissue </w:t>
      </w:r>
      <w:r w:rsidR="006924D7">
        <w:rPr>
          <w:rFonts w:ascii="Arial" w:eastAsia="Calibri" w:hAnsi="Arial" w:cs="Arial"/>
          <w:i/>
          <w:iCs/>
          <w:szCs w:val="22"/>
          <w:lang w:val="en-IN"/>
        </w:rPr>
        <w:t>sarcoma</w:t>
      </w:r>
      <w:r w:rsidRPr="00B941D1">
        <w:rPr>
          <w:rFonts w:ascii="Arial" w:eastAsia="Calibri" w:hAnsi="Arial" w:cs="Arial"/>
          <w:i/>
          <w:iCs/>
          <w:szCs w:val="22"/>
          <w:lang w:val="en-IN"/>
        </w:rPr>
        <w:t>.</w:t>
      </w:r>
    </w:p>
    <w:p w14:paraId="521029C1" w14:textId="77777777" w:rsidR="009A5512" w:rsidRDefault="009A5512" w:rsidP="00441B6F">
      <w:pPr>
        <w:pStyle w:val="AbstHead"/>
        <w:spacing w:after="0"/>
        <w:jc w:val="both"/>
        <w:rPr>
          <w:rFonts w:ascii="Arial" w:hAnsi="Arial" w:cs="Arial"/>
        </w:rPr>
      </w:pPr>
    </w:p>
    <w:p w14:paraId="4365515C" w14:textId="294B8A9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0EF1249" w14:textId="77777777" w:rsidR="00790ADA" w:rsidRPr="00FB3A86" w:rsidRDefault="00790ADA" w:rsidP="00441B6F">
      <w:pPr>
        <w:pStyle w:val="AbstHead"/>
        <w:spacing w:after="0"/>
        <w:jc w:val="both"/>
        <w:rPr>
          <w:rFonts w:ascii="Arial" w:hAnsi="Arial" w:cs="Arial"/>
        </w:rPr>
      </w:pPr>
    </w:p>
    <w:p w14:paraId="78573311" w14:textId="0BFFFCFD" w:rsidR="006924D7" w:rsidRPr="006924D7" w:rsidRDefault="006924D7" w:rsidP="006924D7">
      <w:pPr>
        <w:pStyle w:val="NormalWeb"/>
        <w:rPr>
          <w:rFonts w:ascii="Arial" w:hAnsi="Arial" w:cs="Arial"/>
          <w:sz w:val="20"/>
          <w:szCs w:val="20"/>
        </w:rPr>
      </w:pPr>
      <w:r w:rsidRPr="006924D7">
        <w:rPr>
          <w:rFonts w:ascii="Arial" w:hAnsi="Arial" w:cs="Arial"/>
          <w:sz w:val="20"/>
          <w:szCs w:val="20"/>
        </w:rPr>
        <w:t>Soft tissue sarcomas account for less than 1% of all malignant neoplasms. Undifferentiated soft tissue sarcoma is a high-grade aggressive tumour with mesenchymal differentiation [1]. With two incidence peaks, one at age 50 and the other at age 80, the average age of diagnosis is 60 years, with male predominance. It usually manifests in the head, neck, viscera, retroperitoneum, and extremities during life’s sixth and seventh decades [2]. There are more than 100 distinct histologic subtypes of soft tissue tumours, most of which are STS, according to the fifth edition of the World Health Organisation (WHO) Classification of Tumours of Soft Tissue and Bone.</w:t>
      </w:r>
      <w:r w:rsidR="0031245E">
        <w:rPr>
          <w:rFonts w:ascii="Arial" w:hAnsi="Arial" w:cs="Arial"/>
          <w:sz w:val="20"/>
          <w:szCs w:val="20"/>
        </w:rPr>
        <w:t>[3]</w:t>
      </w:r>
      <w:r w:rsidRPr="006924D7">
        <w:rPr>
          <w:rFonts w:ascii="Arial" w:hAnsi="Arial" w:cs="Arial"/>
          <w:sz w:val="20"/>
          <w:szCs w:val="20"/>
        </w:rPr>
        <w:t xml:space="preserve"> Each of these subtypes has its own distinct clinical, prognostic, and therapeutic characteristics. When examining all adult STS, liposarcoma, leiomyosarcoma, and undifferentiated pleomorphic sarcoma (UPS) are the most prevalent histotypes. Soft tissue tumours are typically classified using an assumed cell lineage method considering morphologic, immunohistochemical, and genetic characteristics. Histologically, immunohistochemical staining is generally used to make the diagnosis. Molecular testing, such as reverse transcriptase-polymerase chain reaction or fluorescence in situ hybridization, can also help because these methods can identify mutations, translocations, and recurrent gene amplifications specific to certain histologic subtypes of sarcoma [</w:t>
      </w:r>
      <w:r w:rsidR="0031245E">
        <w:rPr>
          <w:rFonts w:ascii="Arial" w:hAnsi="Arial" w:cs="Arial"/>
          <w:sz w:val="20"/>
          <w:szCs w:val="20"/>
        </w:rPr>
        <w:t>4</w:t>
      </w:r>
      <w:r w:rsidRPr="006924D7">
        <w:rPr>
          <w:rFonts w:ascii="Arial" w:hAnsi="Arial" w:cs="Arial"/>
          <w:sz w:val="20"/>
          <w:szCs w:val="20"/>
        </w:rPr>
        <w:t>].</w:t>
      </w:r>
      <w:r w:rsidR="00F06F34" w:rsidRPr="00F06F34">
        <w:rPr>
          <w:rStyle w:val="Strong"/>
        </w:rPr>
        <w:t xml:space="preserve"> </w:t>
      </w:r>
      <w:r w:rsidR="00F06F34" w:rsidRPr="00F06F34">
        <w:rPr>
          <w:rFonts w:ascii="Arial" w:hAnsi="Arial" w:cs="Arial"/>
          <w:sz w:val="20"/>
          <w:szCs w:val="20"/>
        </w:rPr>
        <w:t>Sarcomas can be grouped into 3 main types based on their genetic changes- 1. Sarcomas with specific gene fusions - Example: Synovial sarcoma, which has a unique SYT-SSX fusion gene. 2. Sarcomas with single, known mutations – Example: Gastrointestinal stromal tumors (GISTs), which usually have a mutation in the c-KIT gene. 3. Sarcomas with many complex genetic changes– Example: Undifferentiated pleomorphic sarcoma (UPS) and leiomyosarcoma, which</w:t>
      </w:r>
      <w:r w:rsidR="00F06F34">
        <w:rPr>
          <w:rFonts w:ascii="Arial" w:hAnsi="Arial" w:cs="Arial"/>
          <w:sz w:val="20"/>
          <w:szCs w:val="20"/>
        </w:rPr>
        <w:t xml:space="preserve"> </w:t>
      </w:r>
      <w:r w:rsidR="00F06F34" w:rsidRPr="00F06F34">
        <w:rPr>
          <w:rFonts w:ascii="Arial" w:hAnsi="Arial" w:cs="Arial"/>
          <w:sz w:val="20"/>
          <w:szCs w:val="20"/>
        </w:rPr>
        <w:lastRenderedPageBreak/>
        <w:t>don't have a clear or specific genetic pattern.</w:t>
      </w:r>
      <w:r w:rsidR="00F06F34">
        <w:rPr>
          <w:rFonts w:ascii="Arial" w:hAnsi="Arial" w:cs="Arial"/>
          <w:sz w:val="20"/>
          <w:szCs w:val="20"/>
        </w:rPr>
        <w:t xml:space="preserve"> </w:t>
      </w:r>
      <w:r w:rsidR="00F06F34" w:rsidRPr="00F06F34">
        <w:rPr>
          <w:rFonts w:ascii="Arial" w:hAnsi="Arial" w:cs="Arial"/>
          <w:sz w:val="20"/>
          <w:szCs w:val="20"/>
        </w:rPr>
        <w:t>As research advances, doctors are now using both histology and genetic mutations to make more accurate diagnoses and treatment decisions</w:t>
      </w:r>
      <w:r w:rsidR="00F06F34">
        <w:rPr>
          <w:rFonts w:ascii="Arial" w:hAnsi="Arial" w:cs="Arial"/>
          <w:sz w:val="20"/>
          <w:szCs w:val="20"/>
        </w:rPr>
        <w:t xml:space="preserve"> [</w:t>
      </w:r>
      <w:r w:rsidR="0031245E">
        <w:rPr>
          <w:rFonts w:ascii="Arial" w:hAnsi="Arial" w:cs="Arial"/>
          <w:sz w:val="20"/>
          <w:szCs w:val="20"/>
        </w:rPr>
        <w:t>4</w:t>
      </w:r>
      <w:r w:rsidR="00F06F34">
        <w:rPr>
          <w:rFonts w:ascii="Arial" w:hAnsi="Arial" w:cs="Arial"/>
          <w:sz w:val="20"/>
          <w:szCs w:val="20"/>
        </w:rPr>
        <w:t xml:space="preserve">]. </w:t>
      </w:r>
      <w:r w:rsidRPr="006924D7">
        <w:rPr>
          <w:rFonts w:ascii="Arial" w:hAnsi="Arial" w:cs="Arial"/>
          <w:sz w:val="20"/>
          <w:szCs w:val="20"/>
        </w:rPr>
        <w:t>Initially, the nature of the tumour is benign, eventually leading to its locally malignant nature with a wide variety of presentation and thus forming a diagnostic challenge.</w:t>
      </w:r>
      <w:r w:rsidR="00A02F92">
        <w:rPr>
          <w:rFonts w:ascii="Arial" w:hAnsi="Arial" w:cs="Arial"/>
          <w:sz w:val="20"/>
          <w:szCs w:val="20"/>
        </w:rPr>
        <w:t xml:space="preserve"> </w:t>
      </w:r>
      <w:r w:rsidRPr="006924D7">
        <w:rPr>
          <w:rFonts w:ascii="Arial" w:hAnsi="Arial" w:cs="Arial"/>
          <w:sz w:val="20"/>
          <w:szCs w:val="20"/>
        </w:rPr>
        <w:t>Surgical resection remains the mainstay of treatment [</w:t>
      </w:r>
      <w:r w:rsidR="0031245E">
        <w:rPr>
          <w:rFonts w:ascii="Arial" w:hAnsi="Arial" w:cs="Arial"/>
          <w:sz w:val="20"/>
          <w:szCs w:val="20"/>
        </w:rPr>
        <w:t>5</w:t>
      </w:r>
      <w:r w:rsidRPr="006924D7">
        <w:rPr>
          <w:rFonts w:ascii="Arial" w:hAnsi="Arial" w:cs="Arial"/>
          <w:sz w:val="20"/>
          <w:szCs w:val="20"/>
        </w:rPr>
        <w:t>].In our case, we would like to highlight the importance of immunohistochemistry as an essential tool for the timely diagnosis and prognosis of soft tissue sarcomas.</w:t>
      </w:r>
    </w:p>
    <w:p w14:paraId="1DF24582" w14:textId="4827B2CC" w:rsidR="007F7B32" w:rsidRPr="004A2489" w:rsidRDefault="00902823" w:rsidP="004A2489">
      <w:pPr>
        <w:jc w:val="both"/>
        <w:rPr>
          <w:rFonts w:ascii="Arial" w:hAnsi="Arial" w:cs="Arial"/>
          <w:b/>
          <w:bCs/>
          <w:sz w:val="22"/>
          <w:szCs w:val="22"/>
        </w:rPr>
      </w:pPr>
      <w:r w:rsidRPr="004A2489">
        <w:rPr>
          <w:rFonts w:ascii="Arial" w:hAnsi="Arial" w:cs="Arial"/>
          <w:b/>
          <w:bCs/>
          <w:sz w:val="22"/>
          <w:szCs w:val="22"/>
        </w:rPr>
        <w:t xml:space="preserve">2. </w:t>
      </w:r>
      <w:r w:rsidR="00B941D1" w:rsidRPr="004A2489">
        <w:rPr>
          <w:rFonts w:ascii="Arial" w:hAnsi="Arial" w:cs="Arial"/>
          <w:b/>
          <w:bCs/>
          <w:sz w:val="22"/>
          <w:szCs w:val="22"/>
        </w:rPr>
        <w:t>PRESENTA</w:t>
      </w:r>
      <w:r w:rsidR="00DE42D4" w:rsidRPr="004A2489">
        <w:rPr>
          <w:rFonts w:ascii="Arial" w:hAnsi="Arial" w:cs="Arial"/>
          <w:b/>
          <w:bCs/>
          <w:sz w:val="22"/>
          <w:szCs w:val="22"/>
        </w:rPr>
        <w:t>T</w:t>
      </w:r>
      <w:r w:rsidR="00B941D1" w:rsidRPr="004A2489">
        <w:rPr>
          <w:rFonts w:ascii="Arial" w:hAnsi="Arial" w:cs="Arial"/>
          <w:b/>
          <w:bCs/>
          <w:sz w:val="22"/>
          <w:szCs w:val="22"/>
        </w:rPr>
        <w:t>ION OF CASE</w:t>
      </w:r>
    </w:p>
    <w:p w14:paraId="1817D7D1" w14:textId="77777777" w:rsidR="00B941D1" w:rsidRDefault="00B941D1" w:rsidP="00441B6F">
      <w:pPr>
        <w:pStyle w:val="AbstHead"/>
        <w:spacing w:after="0"/>
        <w:jc w:val="both"/>
        <w:rPr>
          <w:rFonts w:ascii="Arial" w:hAnsi="Arial" w:cs="Arial"/>
        </w:rPr>
      </w:pPr>
    </w:p>
    <w:p w14:paraId="3783CB0C" w14:textId="278661DB" w:rsidR="00251863" w:rsidRPr="006924D7" w:rsidRDefault="006924D7" w:rsidP="006924D7">
      <w:pPr>
        <w:rPr>
          <w:rFonts w:ascii="Arial" w:hAnsi="Arial" w:cs="Arial"/>
        </w:rPr>
      </w:pPr>
      <w:r w:rsidRPr="006924D7">
        <w:rPr>
          <w:rFonts w:ascii="Arial" w:hAnsi="Arial" w:cs="Arial"/>
        </w:rPr>
        <w:t xml:space="preserve">A woman in her early 40s presented with swelling over the left thigh for four months. Clinically, mass measured 7 x 7cm, firm to hard, fixed and non-tender. </w:t>
      </w:r>
      <w:r w:rsidR="00F06F34">
        <w:rPr>
          <w:rFonts w:ascii="Arial" w:hAnsi="Arial" w:cs="Arial"/>
        </w:rPr>
        <w:t xml:space="preserve">Patient was tested HIV positive. </w:t>
      </w:r>
      <w:r w:rsidRPr="006924D7">
        <w:rPr>
          <w:rFonts w:ascii="Arial" w:hAnsi="Arial" w:cs="Arial"/>
        </w:rPr>
        <w:t>USG findings were suggestive of Chronic hematoma. FNAC showed spindle cells with elongated pleomorphic nuclei, prominent nucleoli and bizarre forms suggestive of High-grade sarcoma (Figure 1).</w:t>
      </w:r>
      <w:r>
        <w:rPr>
          <w:rFonts w:ascii="Arial" w:hAnsi="Arial" w:cs="Arial"/>
        </w:rPr>
        <w:t xml:space="preserve"> </w:t>
      </w:r>
      <w:r w:rsidRPr="006924D7">
        <w:rPr>
          <w:rFonts w:ascii="Arial" w:hAnsi="Arial" w:cs="Arial"/>
        </w:rPr>
        <w:t>A surgical-wide excision of the mass was performed. Grossly, we received a skin-covered fibrofatty tissue mass measuring 8x6 cm. The cut section of the tumour was soft and fleshy (Figure 2). Histopathological examination showed tumor arranged in sheets comprised of spindle cells with elongated pleomorphic and hyperchromatic nuclei, with scant to moderate amount of cytoplasm. Also noted were plenty of pleomorphic tumour giant cells (F</w:t>
      </w:r>
      <w:r>
        <w:rPr>
          <w:rFonts w:ascii="Arial" w:hAnsi="Arial" w:cs="Arial"/>
        </w:rPr>
        <w:t>igure</w:t>
      </w:r>
      <w:r w:rsidRPr="006924D7">
        <w:rPr>
          <w:rFonts w:ascii="Arial" w:hAnsi="Arial" w:cs="Arial"/>
        </w:rPr>
        <w:t xml:space="preserve"> 3). Based on the cytohistopathological features, differential diagnoses considered were pleomorphic leiomyosarcoma, pleomorphic liposarcoma, pleomorphic rhabdomyosarcoma and malignant melanoma. </w:t>
      </w:r>
    </w:p>
    <w:p w14:paraId="16CE0356" w14:textId="355C4A01" w:rsidR="00251863" w:rsidRDefault="006924D7" w:rsidP="00251863">
      <w:pPr>
        <w:jc w:val="center"/>
        <w:rPr>
          <w:rFonts w:ascii="Arial" w:hAnsi="Arial" w:cs="Arial"/>
        </w:rPr>
      </w:pPr>
      <w:r w:rsidRPr="006924D7">
        <w:rPr>
          <w:rFonts w:ascii="Arial" w:hAnsi="Arial" w:cs="Arial"/>
          <w:noProof/>
        </w:rPr>
        <w:drawing>
          <wp:inline distT="0" distB="0" distL="0" distR="0" wp14:anchorId="308FE7D3" wp14:editId="31078104">
            <wp:extent cx="3174365" cy="2525843"/>
            <wp:effectExtent l="0" t="0" r="635" b="1905"/>
            <wp:docPr id="17" name="Picture 16">
              <a:extLst xmlns:a="http://schemas.openxmlformats.org/drawingml/2006/main">
                <a:ext uri="{FF2B5EF4-FFF2-40B4-BE49-F238E27FC236}">
                  <a16:creationId xmlns:a16="http://schemas.microsoft.com/office/drawing/2014/main" id="{3204CAB7-4A88-C681-5ACB-E468BCC55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204CAB7-4A88-C681-5ACB-E468BCC5551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9429" cy="2569658"/>
                    </a:xfrm>
                    <a:prstGeom prst="rect">
                      <a:avLst/>
                    </a:prstGeom>
                  </pic:spPr>
                </pic:pic>
              </a:graphicData>
            </a:graphic>
          </wp:inline>
        </w:drawing>
      </w:r>
    </w:p>
    <w:p w14:paraId="13264B93" w14:textId="24CB7C47" w:rsidR="006924D7" w:rsidRPr="006924D7" w:rsidRDefault="00251863" w:rsidP="006924D7">
      <w:pPr>
        <w:rPr>
          <w:rFonts w:ascii="Arial" w:hAnsi="Arial" w:cs="Arial"/>
          <w:b/>
          <w:bCs/>
          <w:color w:val="000000" w:themeColor="text1"/>
          <w:shd w:val="clear" w:color="auto" w:fill="FFFFFF"/>
        </w:rPr>
      </w:pPr>
      <w:r w:rsidRPr="007922F6">
        <w:rPr>
          <w:rFonts w:ascii="Arial" w:hAnsi="Arial" w:cs="Arial"/>
          <w:b/>
          <w:bCs/>
          <w:color w:val="000000" w:themeColor="text1"/>
          <w:kern w:val="24"/>
        </w:rPr>
        <w:t>Figure 1-</w:t>
      </w:r>
      <w:r w:rsidR="006924D7">
        <w:rPr>
          <w:rFonts w:ascii="Arial" w:hAnsi="Arial" w:cs="Arial"/>
          <w:color w:val="000000" w:themeColor="text1"/>
          <w:kern w:val="24"/>
        </w:rPr>
        <w:t xml:space="preserve"> </w:t>
      </w:r>
      <w:proofErr w:type="gramStart"/>
      <w:r w:rsidR="006924D7" w:rsidRPr="006924D7">
        <w:rPr>
          <w:rFonts w:ascii="Arial" w:hAnsi="Arial" w:cs="Arial"/>
          <w:b/>
          <w:bCs/>
          <w:color w:val="000000" w:themeColor="text1"/>
          <w:kern w:val="24"/>
        </w:rPr>
        <w:t>Photomicrograph</w:t>
      </w:r>
      <w:r w:rsidR="006924D7" w:rsidRPr="006924D7">
        <w:rPr>
          <w:rFonts w:ascii="Arial" w:hAnsi="Arial" w:cs="Arial"/>
          <w:b/>
          <w:bCs/>
          <w:color w:val="000000" w:themeColor="text1"/>
          <w:shd w:val="clear" w:color="auto" w:fill="FFFFFF"/>
        </w:rPr>
        <w:t xml:space="preserve"> </w:t>
      </w:r>
      <w:r w:rsidR="006924D7">
        <w:rPr>
          <w:rFonts w:ascii="Arial" w:hAnsi="Arial" w:cs="Arial"/>
          <w:b/>
          <w:bCs/>
          <w:color w:val="000000" w:themeColor="text1"/>
          <w:shd w:val="clear" w:color="auto" w:fill="FFFFFF"/>
        </w:rPr>
        <w:t xml:space="preserve"> (</w:t>
      </w:r>
      <w:proofErr w:type="gramEnd"/>
      <w:r w:rsidR="006924D7" w:rsidRPr="006924D7">
        <w:rPr>
          <w:rFonts w:ascii="Arial" w:hAnsi="Arial" w:cs="Arial"/>
          <w:b/>
          <w:bCs/>
          <w:color w:val="000000" w:themeColor="text1"/>
          <w:shd w:val="clear" w:color="auto" w:fill="FFFFFF"/>
        </w:rPr>
        <w:t>40x</w:t>
      </w:r>
      <w:r w:rsidR="006924D7">
        <w:rPr>
          <w:rFonts w:ascii="Arial" w:hAnsi="Arial" w:cs="Arial"/>
          <w:b/>
          <w:bCs/>
          <w:color w:val="000000" w:themeColor="text1"/>
          <w:shd w:val="clear" w:color="auto" w:fill="FFFFFF"/>
        </w:rPr>
        <w:t>,</w:t>
      </w:r>
      <w:r w:rsidR="006924D7" w:rsidRPr="006924D7">
        <w:rPr>
          <w:rFonts w:ascii="Arial" w:hAnsi="Arial" w:cs="Arial"/>
          <w:b/>
          <w:bCs/>
          <w:color w:val="000000" w:themeColor="text1"/>
          <w:shd w:val="clear" w:color="auto" w:fill="FFFFFF"/>
        </w:rPr>
        <w:t xml:space="preserve"> Giem</w:t>
      </w:r>
      <w:r w:rsidR="006924D7">
        <w:rPr>
          <w:rFonts w:ascii="Arial" w:hAnsi="Arial" w:cs="Arial"/>
          <w:b/>
          <w:bCs/>
          <w:color w:val="000000" w:themeColor="text1"/>
          <w:shd w:val="clear" w:color="auto" w:fill="FFFFFF"/>
        </w:rPr>
        <w:t>sa)</w:t>
      </w:r>
      <w:r w:rsidR="006924D7" w:rsidRPr="006924D7">
        <w:rPr>
          <w:rFonts w:ascii="Arial" w:hAnsi="Arial" w:cs="Arial"/>
          <w:b/>
          <w:bCs/>
          <w:color w:val="000000" w:themeColor="text1"/>
          <w:shd w:val="clear" w:color="auto" w:fill="FFFFFF"/>
        </w:rPr>
        <w:t xml:space="preserve"> show</w:t>
      </w:r>
      <w:r w:rsidR="006924D7">
        <w:rPr>
          <w:rFonts w:ascii="Arial" w:hAnsi="Arial" w:cs="Arial"/>
          <w:b/>
          <w:bCs/>
          <w:color w:val="000000" w:themeColor="text1"/>
          <w:shd w:val="clear" w:color="auto" w:fill="FFFFFF"/>
        </w:rPr>
        <w:t>ing</w:t>
      </w:r>
      <w:r w:rsidR="006924D7" w:rsidRPr="006924D7">
        <w:rPr>
          <w:rFonts w:ascii="Arial" w:hAnsi="Arial" w:cs="Arial"/>
          <w:b/>
          <w:bCs/>
          <w:color w:val="000000" w:themeColor="text1"/>
          <w:shd w:val="clear" w:color="auto" w:fill="FFFFFF"/>
        </w:rPr>
        <w:t xml:space="preserve"> spindle cells with elongated pleomorphic nuclei, prominent nucleoli and bizzare forms suggestive of </w:t>
      </w:r>
      <w:proofErr w:type="gramStart"/>
      <w:r w:rsidR="006924D7" w:rsidRPr="006924D7">
        <w:rPr>
          <w:rFonts w:ascii="Arial" w:hAnsi="Arial" w:cs="Arial"/>
          <w:b/>
          <w:bCs/>
          <w:color w:val="000000" w:themeColor="text1"/>
          <w:shd w:val="clear" w:color="auto" w:fill="FFFFFF"/>
        </w:rPr>
        <w:t>High grade</w:t>
      </w:r>
      <w:proofErr w:type="gramEnd"/>
      <w:r w:rsidR="006924D7" w:rsidRPr="006924D7">
        <w:rPr>
          <w:rFonts w:ascii="Arial" w:hAnsi="Arial" w:cs="Arial"/>
          <w:b/>
          <w:bCs/>
          <w:color w:val="000000" w:themeColor="text1"/>
          <w:shd w:val="clear" w:color="auto" w:fill="FFFFFF"/>
        </w:rPr>
        <w:t xml:space="preserve"> sarcoma.</w:t>
      </w:r>
    </w:p>
    <w:p w14:paraId="41CD92AD" w14:textId="3F2DFA54" w:rsidR="008F6836" w:rsidRPr="006924D7" w:rsidRDefault="008F6836" w:rsidP="007922F6">
      <w:pPr>
        <w:jc w:val="both"/>
        <w:rPr>
          <w:rFonts w:ascii="Arial" w:hAnsi="Arial" w:cs="Arial"/>
          <w:b/>
          <w:bCs/>
          <w:color w:val="000000" w:themeColor="text1"/>
          <w:kern w:val="24"/>
        </w:rPr>
      </w:pPr>
    </w:p>
    <w:p w14:paraId="37C85191" w14:textId="2C503F4C" w:rsidR="00DE42D4" w:rsidRDefault="006924D7" w:rsidP="00251863">
      <w:pPr>
        <w:jc w:val="center"/>
        <w:rPr>
          <w:rFonts w:ascii="Arial" w:hAnsi="Arial" w:cs="Arial"/>
        </w:rPr>
      </w:pPr>
      <w:r w:rsidRPr="006924D7">
        <w:rPr>
          <w:rFonts w:ascii="Arial" w:hAnsi="Arial" w:cs="Arial"/>
          <w:noProof/>
        </w:rPr>
        <w:drawing>
          <wp:inline distT="0" distB="0" distL="0" distR="0" wp14:anchorId="1D991643" wp14:editId="17C4A7EE">
            <wp:extent cx="3611648" cy="2741357"/>
            <wp:effectExtent l="0" t="0" r="0" b="1905"/>
            <wp:docPr id="7" name="Picture 6">
              <a:extLst xmlns:a="http://schemas.openxmlformats.org/drawingml/2006/main">
                <a:ext uri="{FF2B5EF4-FFF2-40B4-BE49-F238E27FC236}">
                  <a16:creationId xmlns:a16="http://schemas.microsoft.com/office/drawing/2014/main" id="{B854F369-1923-064A-4F0B-90F949A2B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854F369-1923-064A-4F0B-90F949A2BD03}"/>
                        </a:ext>
                      </a:extLst>
                    </pic:cNvPr>
                    <pic:cNvPicPr>
                      <a:picLocks noChangeAspect="1"/>
                    </pic:cNvPicPr>
                  </pic:nvPicPr>
                  <pic:blipFill>
                    <a:blip r:embed="rId15"/>
                    <a:stretch>
                      <a:fillRect/>
                    </a:stretch>
                  </pic:blipFill>
                  <pic:spPr>
                    <a:xfrm>
                      <a:off x="0" y="0"/>
                      <a:ext cx="3980335" cy="3021202"/>
                    </a:xfrm>
                    <a:prstGeom prst="rect">
                      <a:avLst/>
                    </a:prstGeom>
                  </pic:spPr>
                </pic:pic>
              </a:graphicData>
            </a:graphic>
          </wp:inline>
        </w:drawing>
      </w:r>
    </w:p>
    <w:p w14:paraId="0C5883E1" w14:textId="5B956B96" w:rsidR="006924D7" w:rsidRPr="006924D7" w:rsidRDefault="00251863" w:rsidP="006924D7">
      <w:pPr>
        <w:rPr>
          <w:rFonts w:ascii="Arial" w:hAnsi="Arial" w:cs="Arial"/>
          <w:b/>
          <w:bCs/>
          <w:color w:val="000000" w:themeColor="text1"/>
          <w:shd w:val="clear" w:color="auto" w:fill="F8F8F8"/>
        </w:rPr>
      </w:pPr>
      <w:r w:rsidRPr="006924D7">
        <w:rPr>
          <w:rFonts w:ascii="Arial" w:hAnsi="Arial" w:cs="Arial"/>
          <w:b/>
          <w:bCs/>
          <w:color w:val="000000" w:themeColor="text1"/>
          <w:kern w:val="24"/>
        </w:rPr>
        <w:lastRenderedPageBreak/>
        <w:t xml:space="preserve">Figure 2- </w:t>
      </w:r>
      <w:r w:rsidR="006924D7" w:rsidRPr="006924D7">
        <w:rPr>
          <w:rFonts w:ascii="Arial" w:hAnsi="Arial" w:cs="Arial"/>
          <w:b/>
          <w:bCs/>
          <w:color w:val="000000" w:themeColor="text1"/>
          <w:shd w:val="clear" w:color="auto" w:fill="F8F8F8"/>
        </w:rPr>
        <w:t>The excised specimen received in the histopathology section is a skin covered fibrofatty tissue mass measur</w:t>
      </w:r>
      <w:r w:rsidR="006924D7">
        <w:rPr>
          <w:rFonts w:ascii="Arial" w:hAnsi="Arial" w:cs="Arial"/>
          <w:b/>
          <w:bCs/>
          <w:color w:val="000000" w:themeColor="text1"/>
          <w:shd w:val="clear" w:color="auto" w:fill="F8F8F8"/>
        </w:rPr>
        <w:t>ing</w:t>
      </w:r>
      <w:r w:rsidR="006924D7" w:rsidRPr="006924D7">
        <w:rPr>
          <w:rFonts w:ascii="Arial" w:hAnsi="Arial" w:cs="Arial"/>
          <w:b/>
          <w:bCs/>
          <w:color w:val="000000" w:themeColor="text1"/>
          <w:shd w:val="clear" w:color="auto" w:fill="F8F8F8"/>
        </w:rPr>
        <w:t xml:space="preserve"> 8 x 6 cm. The cut section is showing soft fleshy appearance.</w:t>
      </w:r>
    </w:p>
    <w:p w14:paraId="3AA1385E" w14:textId="3AC80476" w:rsidR="00DE42D4" w:rsidRPr="006924D7" w:rsidRDefault="00DE42D4" w:rsidP="00251863">
      <w:pPr>
        <w:jc w:val="both"/>
        <w:rPr>
          <w:rFonts w:ascii="Arial" w:hAnsi="Arial" w:cs="Arial"/>
          <w:b/>
          <w:bCs/>
          <w:color w:val="000000" w:themeColor="text1"/>
          <w:kern w:val="24"/>
        </w:rPr>
      </w:pPr>
    </w:p>
    <w:p w14:paraId="52D32921" w14:textId="198F2C56" w:rsidR="00251863" w:rsidRDefault="006924D7" w:rsidP="00DE42D4">
      <w:pPr>
        <w:pStyle w:val="AbstHead"/>
        <w:spacing w:after="0"/>
        <w:jc w:val="center"/>
        <w:rPr>
          <w:rFonts w:ascii="Arial" w:hAnsi="Arial" w:cs="Arial"/>
        </w:rPr>
      </w:pPr>
      <w:r w:rsidRPr="006924D7">
        <w:rPr>
          <w:rFonts w:ascii="Arial" w:hAnsi="Arial" w:cs="Arial"/>
          <w:noProof/>
        </w:rPr>
        <w:drawing>
          <wp:inline distT="0" distB="0" distL="0" distR="0" wp14:anchorId="24A49CC3" wp14:editId="3B9A7F04">
            <wp:extent cx="3884699" cy="2892665"/>
            <wp:effectExtent l="0" t="0" r="1905" b="3175"/>
            <wp:docPr id="19" name="Picture 18">
              <a:extLst xmlns:a="http://schemas.openxmlformats.org/drawingml/2006/main">
                <a:ext uri="{FF2B5EF4-FFF2-40B4-BE49-F238E27FC236}">
                  <a16:creationId xmlns:a16="http://schemas.microsoft.com/office/drawing/2014/main" id="{4374C492-83A9-95CA-4196-68E6F8AC5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374C492-83A9-95CA-4196-68E6F8AC5E9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7982" cy="2924894"/>
                    </a:xfrm>
                    <a:prstGeom prst="rect">
                      <a:avLst/>
                    </a:prstGeom>
                  </pic:spPr>
                </pic:pic>
              </a:graphicData>
            </a:graphic>
          </wp:inline>
        </w:drawing>
      </w:r>
    </w:p>
    <w:p w14:paraId="7E369070" w14:textId="77B07B9B" w:rsidR="006924D7" w:rsidRDefault="00DE42D4" w:rsidP="006924D7">
      <w:pPr>
        <w:rPr>
          <w:color w:val="606060"/>
          <w:sz w:val="21"/>
          <w:szCs w:val="21"/>
          <w:shd w:val="clear" w:color="auto" w:fill="FFFFFF"/>
        </w:rPr>
      </w:pPr>
      <w:r w:rsidRPr="007922F6">
        <w:rPr>
          <w:rFonts w:ascii="Arial" w:hAnsi="Arial" w:cs="Arial"/>
          <w:b/>
          <w:bCs/>
          <w:color w:val="000000" w:themeColor="text1"/>
          <w:kern w:val="24"/>
        </w:rPr>
        <w:t>Figure 3-</w:t>
      </w:r>
      <w:r w:rsidRPr="00DE42D4">
        <w:rPr>
          <w:rFonts w:ascii="Arial" w:hAnsi="Arial" w:cs="Arial"/>
          <w:color w:val="000000" w:themeColor="text1"/>
          <w:kern w:val="24"/>
        </w:rPr>
        <w:t xml:space="preserve"> </w:t>
      </w:r>
      <w:r w:rsidR="006924D7">
        <w:rPr>
          <w:rFonts w:ascii="Arial" w:hAnsi="Arial" w:cs="Arial"/>
          <w:b/>
          <w:bCs/>
          <w:color w:val="000000" w:themeColor="text1"/>
          <w:shd w:val="clear" w:color="auto" w:fill="FFFFFF"/>
        </w:rPr>
        <w:t>Photomicrograph</w:t>
      </w:r>
      <w:r w:rsidR="006924D7" w:rsidRPr="006924D7">
        <w:rPr>
          <w:rFonts w:ascii="Arial" w:hAnsi="Arial" w:cs="Arial"/>
          <w:b/>
          <w:bCs/>
          <w:color w:val="000000" w:themeColor="text1"/>
          <w:shd w:val="clear" w:color="auto" w:fill="FFFFFF"/>
        </w:rPr>
        <w:t xml:space="preserve"> </w:t>
      </w:r>
      <w:r w:rsidR="006924D7">
        <w:rPr>
          <w:rFonts w:ascii="Arial" w:hAnsi="Arial" w:cs="Arial"/>
          <w:b/>
          <w:bCs/>
          <w:color w:val="000000" w:themeColor="text1"/>
          <w:shd w:val="clear" w:color="auto" w:fill="FFFFFF"/>
        </w:rPr>
        <w:t>(</w:t>
      </w:r>
      <w:r w:rsidR="006924D7" w:rsidRPr="006924D7">
        <w:rPr>
          <w:rFonts w:ascii="Arial" w:hAnsi="Arial" w:cs="Arial"/>
          <w:b/>
          <w:bCs/>
          <w:color w:val="000000" w:themeColor="text1"/>
          <w:shd w:val="clear" w:color="auto" w:fill="FFFFFF"/>
        </w:rPr>
        <w:t>40x</w:t>
      </w:r>
      <w:r w:rsidR="006924D7">
        <w:rPr>
          <w:rFonts w:ascii="Arial" w:hAnsi="Arial" w:cs="Arial"/>
          <w:b/>
          <w:bCs/>
          <w:color w:val="000000" w:themeColor="text1"/>
          <w:shd w:val="clear" w:color="auto" w:fill="FFFFFF"/>
        </w:rPr>
        <w:t>,</w:t>
      </w:r>
      <w:r w:rsidR="006924D7" w:rsidRPr="006924D7">
        <w:rPr>
          <w:rFonts w:ascii="Arial" w:hAnsi="Arial" w:cs="Arial"/>
          <w:b/>
          <w:bCs/>
          <w:color w:val="000000" w:themeColor="text1"/>
          <w:shd w:val="clear" w:color="auto" w:fill="FFFFFF"/>
        </w:rPr>
        <w:t xml:space="preserve"> </w:t>
      </w:r>
      <w:r w:rsidR="006924D7">
        <w:rPr>
          <w:rFonts w:ascii="Arial" w:hAnsi="Arial" w:cs="Arial"/>
          <w:b/>
          <w:bCs/>
          <w:color w:val="000000" w:themeColor="text1"/>
          <w:shd w:val="clear" w:color="auto" w:fill="FFFFFF"/>
        </w:rPr>
        <w:t>H</w:t>
      </w:r>
      <w:r w:rsidR="006924D7" w:rsidRPr="006924D7">
        <w:rPr>
          <w:rFonts w:ascii="Arial" w:hAnsi="Arial" w:cs="Arial"/>
          <w:b/>
          <w:bCs/>
          <w:color w:val="000000" w:themeColor="text1"/>
          <w:shd w:val="clear" w:color="auto" w:fill="FFFFFF"/>
        </w:rPr>
        <w:t xml:space="preserve">ematoxylin </w:t>
      </w:r>
      <w:r w:rsidR="006924D7">
        <w:rPr>
          <w:rFonts w:ascii="Arial" w:hAnsi="Arial" w:cs="Arial"/>
          <w:b/>
          <w:bCs/>
          <w:color w:val="000000" w:themeColor="text1"/>
          <w:shd w:val="clear" w:color="auto" w:fill="FFFFFF"/>
        </w:rPr>
        <w:t>&amp; E</w:t>
      </w:r>
      <w:r w:rsidR="006924D7" w:rsidRPr="006924D7">
        <w:rPr>
          <w:rFonts w:ascii="Arial" w:hAnsi="Arial" w:cs="Arial"/>
          <w:b/>
          <w:bCs/>
          <w:color w:val="000000" w:themeColor="text1"/>
          <w:shd w:val="clear" w:color="auto" w:fill="FFFFFF"/>
        </w:rPr>
        <w:t>osin</w:t>
      </w:r>
      <w:r w:rsidR="006924D7">
        <w:rPr>
          <w:rFonts w:ascii="Arial" w:hAnsi="Arial" w:cs="Arial"/>
          <w:b/>
          <w:bCs/>
          <w:color w:val="000000" w:themeColor="text1"/>
          <w:shd w:val="clear" w:color="auto" w:fill="FFFFFF"/>
        </w:rPr>
        <w:t>)</w:t>
      </w:r>
      <w:r w:rsidR="006924D7" w:rsidRPr="006924D7">
        <w:rPr>
          <w:rFonts w:ascii="Arial" w:hAnsi="Arial" w:cs="Arial"/>
          <w:b/>
          <w:bCs/>
          <w:color w:val="000000" w:themeColor="text1"/>
          <w:shd w:val="clear" w:color="auto" w:fill="FFFFFF"/>
        </w:rPr>
        <w:t xml:space="preserve"> show</w:t>
      </w:r>
      <w:r w:rsidR="006924D7">
        <w:rPr>
          <w:rFonts w:ascii="Arial" w:hAnsi="Arial" w:cs="Arial"/>
          <w:b/>
          <w:bCs/>
          <w:color w:val="000000" w:themeColor="text1"/>
          <w:shd w:val="clear" w:color="auto" w:fill="FFFFFF"/>
        </w:rPr>
        <w:t>ing</w:t>
      </w:r>
      <w:r w:rsidR="006924D7" w:rsidRPr="006924D7">
        <w:rPr>
          <w:rFonts w:ascii="Arial" w:hAnsi="Arial" w:cs="Arial"/>
          <w:b/>
          <w:bCs/>
          <w:color w:val="000000" w:themeColor="text1"/>
          <w:shd w:val="clear" w:color="auto" w:fill="FFFFFF"/>
        </w:rPr>
        <w:t xml:space="preserve"> tumor arranged in sheets comprised of spindle cells with elongated pleomorphic and hyperchromatic nuclei, with scant to moderate amount of cytoplasm. Also noted were plenty of pleomorphic tumor giant cells amidst.</w:t>
      </w:r>
    </w:p>
    <w:p w14:paraId="6254E391" w14:textId="0E501359" w:rsidR="007922F6" w:rsidRDefault="007922F6" w:rsidP="00DE42D4">
      <w:pPr>
        <w:jc w:val="both"/>
        <w:rPr>
          <w:rFonts w:ascii="Arial" w:hAnsi="Arial" w:cs="Arial"/>
          <w:color w:val="000000" w:themeColor="text1"/>
          <w:kern w:val="24"/>
        </w:rPr>
      </w:pPr>
    </w:p>
    <w:p w14:paraId="44FB4084" w14:textId="77777777" w:rsidR="006924D7" w:rsidRDefault="006924D7" w:rsidP="006924D7">
      <w:pPr>
        <w:rPr>
          <w:rFonts w:ascii="Arial" w:hAnsi="Arial" w:cs="Arial"/>
        </w:rPr>
      </w:pPr>
      <w:r w:rsidRPr="006924D7">
        <w:rPr>
          <w:rFonts w:ascii="Arial" w:hAnsi="Arial" w:cs="Arial"/>
        </w:rPr>
        <w:t>Immunohistochemical analysis revealed strong positivity for Vimentin, a mesenchymal marker commonly expressed in soft tissue sarcomas ( F</w:t>
      </w:r>
      <w:r>
        <w:rPr>
          <w:rFonts w:ascii="Arial" w:hAnsi="Arial" w:cs="Arial"/>
        </w:rPr>
        <w:t>igure</w:t>
      </w:r>
      <w:r w:rsidRPr="006924D7">
        <w:rPr>
          <w:rFonts w:ascii="Arial" w:hAnsi="Arial" w:cs="Arial"/>
        </w:rPr>
        <w:t xml:space="preserve"> 4). The proliferation index, indicated by Ki67, showed a significant 30% nuclear positivity, highlighting the tumour’s aggressive nature</w:t>
      </w:r>
      <w:r>
        <w:rPr>
          <w:rFonts w:ascii="Arial" w:hAnsi="Arial" w:cs="Arial"/>
        </w:rPr>
        <w:t xml:space="preserve"> ( Figure 5).</w:t>
      </w:r>
      <w:r w:rsidRPr="006924D7">
        <w:rPr>
          <w:rFonts w:ascii="Arial" w:hAnsi="Arial" w:cs="Arial"/>
        </w:rPr>
        <w:t xml:space="preserve"> Notably, the tumour cells were negative for CDK4, Myogenin</w:t>
      </w:r>
      <w:r>
        <w:rPr>
          <w:rFonts w:ascii="Arial" w:hAnsi="Arial" w:cs="Arial"/>
        </w:rPr>
        <w:t xml:space="preserve"> </w:t>
      </w:r>
    </w:p>
    <w:p w14:paraId="6AC1BA60" w14:textId="08964D69" w:rsidR="006924D7" w:rsidRPr="006924D7" w:rsidRDefault="006924D7" w:rsidP="006924D7">
      <w:pPr>
        <w:rPr>
          <w:rFonts w:ascii="Arial" w:hAnsi="Arial" w:cs="Arial"/>
        </w:rPr>
      </w:pPr>
      <w:r>
        <w:rPr>
          <w:rFonts w:ascii="Arial" w:hAnsi="Arial" w:cs="Arial"/>
        </w:rPr>
        <w:t xml:space="preserve">( Figure 6 ), </w:t>
      </w:r>
      <w:r w:rsidRPr="006924D7">
        <w:rPr>
          <w:rFonts w:ascii="Arial" w:hAnsi="Arial" w:cs="Arial"/>
        </w:rPr>
        <w:t>MDM2, S100, SMA</w:t>
      </w:r>
      <w:r>
        <w:rPr>
          <w:rFonts w:ascii="Arial" w:hAnsi="Arial" w:cs="Arial"/>
        </w:rPr>
        <w:t xml:space="preserve"> (Figure 7)</w:t>
      </w:r>
      <w:r w:rsidRPr="006924D7">
        <w:rPr>
          <w:rFonts w:ascii="Arial" w:hAnsi="Arial" w:cs="Arial"/>
        </w:rPr>
        <w:t xml:space="preserve"> and CD34, ruling out alternative diagnoses and confirming the undifferentiated nature of the sarcoma.</w:t>
      </w:r>
      <w:r>
        <w:rPr>
          <w:rFonts w:ascii="Arial" w:hAnsi="Arial" w:cs="Arial"/>
        </w:rPr>
        <w:t xml:space="preserve"> </w:t>
      </w:r>
      <w:r w:rsidRPr="006924D7">
        <w:rPr>
          <w:rFonts w:ascii="Arial" w:hAnsi="Arial" w:cs="Arial"/>
        </w:rPr>
        <w:t xml:space="preserve">In our case, Immunohistochemistry is essential as it is challenging to diagnose </w:t>
      </w:r>
      <w:r>
        <w:rPr>
          <w:rFonts w:ascii="Arial" w:hAnsi="Arial" w:cs="Arial"/>
        </w:rPr>
        <w:t xml:space="preserve">on </w:t>
      </w:r>
      <w:r w:rsidRPr="006924D7">
        <w:rPr>
          <w:rFonts w:ascii="Arial" w:hAnsi="Arial" w:cs="Arial"/>
        </w:rPr>
        <w:t>histopathology alone.</w:t>
      </w:r>
    </w:p>
    <w:p w14:paraId="6207E3F4" w14:textId="77777777" w:rsidR="008F6836" w:rsidRDefault="008F6836" w:rsidP="007922F6">
      <w:pPr>
        <w:jc w:val="both"/>
        <w:rPr>
          <w:rFonts w:ascii="Arial" w:hAnsi="Arial" w:cs="Arial"/>
        </w:rPr>
      </w:pPr>
    </w:p>
    <w:p w14:paraId="2AB1438C" w14:textId="56B7DD4E" w:rsidR="007922F6" w:rsidRDefault="006924D7" w:rsidP="007922F6">
      <w:pPr>
        <w:jc w:val="center"/>
        <w:rPr>
          <w:rFonts w:ascii="Arial" w:hAnsi="Arial" w:cs="Arial"/>
        </w:rPr>
      </w:pPr>
      <w:r w:rsidRPr="006924D7">
        <w:rPr>
          <w:rFonts w:ascii="Arial" w:hAnsi="Arial" w:cs="Arial"/>
          <w:noProof/>
        </w:rPr>
        <w:drawing>
          <wp:inline distT="0" distB="0" distL="0" distR="0" wp14:anchorId="66B1CD67" wp14:editId="23D45052">
            <wp:extent cx="3726316" cy="2749717"/>
            <wp:effectExtent l="0" t="0" r="0" b="6350"/>
            <wp:docPr id="15" name="Picture 14">
              <a:extLst xmlns:a="http://schemas.openxmlformats.org/drawingml/2006/main">
                <a:ext uri="{FF2B5EF4-FFF2-40B4-BE49-F238E27FC236}">
                  <a16:creationId xmlns:a16="http://schemas.microsoft.com/office/drawing/2014/main" id="{3B7D9114-7BD4-53A0-2234-C79E1FE5B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B7D9114-7BD4-53A0-2234-C79E1FE5BE12}"/>
                        </a:ext>
                      </a:extLst>
                    </pic:cNvPr>
                    <pic:cNvPicPr>
                      <a:picLocks noChangeAspect="1"/>
                    </pic:cNvPicPr>
                  </pic:nvPicPr>
                  <pic:blipFill>
                    <a:blip r:embed="rId17"/>
                    <a:stretch>
                      <a:fillRect/>
                    </a:stretch>
                  </pic:blipFill>
                  <pic:spPr>
                    <a:xfrm>
                      <a:off x="0" y="0"/>
                      <a:ext cx="3793937" cy="2799616"/>
                    </a:xfrm>
                    <a:prstGeom prst="rect">
                      <a:avLst/>
                    </a:prstGeom>
                  </pic:spPr>
                </pic:pic>
              </a:graphicData>
            </a:graphic>
          </wp:inline>
        </w:drawing>
      </w:r>
    </w:p>
    <w:p w14:paraId="45E611DB" w14:textId="663982B5" w:rsidR="006924D7" w:rsidRPr="006924D7" w:rsidRDefault="007922F6" w:rsidP="006924D7">
      <w:pPr>
        <w:pStyle w:val="NormalWeb"/>
        <w:spacing w:before="0" w:beforeAutospacing="0" w:after="150" w:afterAutospacing="0"/>
        <w:rPr>
          <w:rFonts w:ascii="Arial" w:hAnsi="Arial" w:cs="Arial"/>
          <w:b/>
          <w:bCs/>
          <w:color w:val="000000" w:themeColor="text1"/>
          <w:sz w:val="20"/>
          <w:szCs w:val="20"/>
        </w:rPr>
      </w:pPr>
      <w:r w:rsidRPr="006924D7">
        <w:rPr>
          <w:rFonts w:ascii="Arial" w:hAnsi="Arial" w:cs="Arial"/>
          <w:b/>
          <w:bCs/>
          <w:color w:val="000000" w:themeColor="text1"/>
          <w:sz w:val="20"/>
          <w:szCs w:val="20"/>
        </w:rPr>
        <w:t xml:space="preserve">Figure 4- </w:t>
      </w:r>
      <w:r w:rsidR="006924D7">
        <w:rPr>
          <w:rFonts w:ascii="Arial" w:hAnsi="Arial" w:cs="Arial"/>
          <w:b/>
          <w:bCs/>
          <w:color w:val="000000" w:themeColor="text1"/>
          <w:sz w:val="20"/>
          <w:szCs w:val="20"/>
        </w:rPr>
        <w:t xml:space="preserve"> Photomicrograph (40x) immunohistochemical study of vimentin </w:t>
      </w:r>
      <w:r w:rsidR="006924D7" w:rsidRPr="006924D7">
        <w:rPr>
          <w:rFonts w:ascii="Arial" w:hAnsi="Arial" w:cs="Arial"/>
          <w:b/>
          <w:bCs/>
          <w:color w:val="000000" w:themeColor="text1"/>
          <w:sz w:val="20"/>
          <w:szCs w:val="20"/>
        </w:rPr>
        <w:t>show</w:t>
      </w:r>
      <w:r w:rsidR="006924D7">
        <w:rPr>
          <w:rFonts w:ascii="Arial" w:hAnsi="Arial" w:cs="Arial"/>
          <w:b/>
          <w:bCs/>
          <w:color w:val="000000" w:themeColor="text1"/>
          <w:sz w:val="20"/>
          <w:szCs w:val="20"/>
        </w:rPr>
        <w:t>ing</w:t>
      </w:r>
      <w:r w:rsidR="006924D7" w:rsidRPr="006924D7">
        <w:rPr>
          <w:rFonts w:ascii="Arial" w:hAnsi="Arial" w:cs="Arial"/>
          <w:b/>
          <w:bCs/>
          <w:color w:val="000000" w:themeColor="text1"/>
          <w:sz w:val="20"/>
          <w:szCs w:val="20"/>
        </w:rPr>
        <w:t xml:space="preserve"> strong cytoplasmic positivit</w:t>
      </w:r>
      <w:r w:rsidR="006924D7">
        <w:rPr>
          <w:rFonts w:ascii="Arial" w:hAnsi="Arial" w:cs="Arial"/>
          <w:b/>
          <w:bCs/>
          <w:color w:val="000000" w:themeColor="text1"/>
          <w:sz w:val="20"/>
          <w:szCs w:val="20"/>
        </w:rPr>
        <w:t>y.</w:t>
      </w:r>
    </w:p>
    <w:p w14:paraId="3F1675D5" w14:textId="2647DD0C" w:rsidR="007922F6" w:rsidRDefault="007922F6" w:rsidP="007922F6">
      <w:pPr>
        <w:ind w:left="284"/>
        <w:jc w:val="both"/>
        <w:rPr>
          <w:rFonts w:ascii="Arial" w:hAnsi="Arial" w:cs="Arial"/>
        </w:rPr>
      </w:pPr>
    </w:p>
    <w:p w14:paraId="4095DFD8" w14:textId="53850EFB" w:rsidR="007922F6" w:rsidRDefault="006924D7" w:rsidP="007922F6">
      <w:pPr>
        <w:ind w:left="284"/>
        <w:jc w:val="center"/>
        <w:rPr>
          <w:rFonts w:ascii="Arial" w:hAnsi="Arial" w:cs="Arial"/>
        </w:rPr>
      </w:pPr>
      <w:r w:rsidRPr="006924D7">
        <w:rPr>
          <w:rFonts w:ascii="Arial" w:hAnsi="Arial" w:cs="Arial"/>
          <w:noProof/>
        </w:rPr>
        <w:lastRenderedPageBreak/>
        <w:drawing>
          <wp:inline distT="0" distB="0" distL="0" distR="0" wp14:anchorId="329C9737" wp14:editId="58270DE6">
            <wp:extent cx="4006850" cy="2667520"/>
            <wp:effectExtent l="0" t="0" r="0" b="0"/>
            <wp:docPr id="30" name="Picture 29">
              <a:extLst xmlns:a="http://schemas.openxmlformats.org/drawingml/2006/main">
                <a:ext uri="{FF2B5EF4-FFF2-40B4-BE49-F238E27FC236}">
                  <a16:creationId xmlns:a16="http://schemas.microsoft.com/office/drawing/2014/main" id="{AB937ABE-572A-35BC-E97C-953E4C1EE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AB937ABE-572A-35BC-E97C-953E4C1EE62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59429" cy="2702524"/>
                    </a:xfrm>
                    <a:prstGeom prst="rect">
                      <a:avLst/>
                    </a:prstGeom>
                  </pic:spPr>
                </pic:pic>
              </a:graphicData>
            </a:graphic>
          </wp:inline>
        </w:drawing>
      </w:r>
    </w:p>
    <w:p w14:paraId="594DC9BA" w14:textId="2EEF4349" w:rsidR="007922F6" w:rsidRDefault="007922F6" w:rsidP="007922F6">
      <w:pPr>
        <w:ind w:left="284"/>
        <w:jc w:val="both"/>
        <w:rPr>
          <w:rFonts w:ascii="Arial" w:hAnsi="Arial" w:cs="Arial"/>
        </w:rPr>
      </w:pPr>
      <w:r w:rsidRPr="007922F6">
        <w:rPr>
          <w:rFonts w:ascii="Arial" w:hAnsi="Arial" w:cs="Arial"/>
          <w:b/>
          <w:bCs/>
        </w:rPr>
        <w:t>Figure 5-</w:t>
      </w:r>
      <w:r w:rsidRPr="007922F6">
        <w:rPr>
          <w:rFonts w:ascii="Arial" w:hAnsi="Arial" w:cs="Arial"/>
        </w:rPr>
        <w:t xml:space="preserve"> </w:t>
      </w:r>
      <w:r w:rsidR="006924D7">
        <w:rPr>
          <w:rFonts w:ascii="Arial" w:hAnsi="Arial" w:cs="Arial"/>
          <w:b/>
          <w:bCs/>
          <w:color w:val="000000" w:themeColor="text1"/>
        </w:rPr>
        <w:t xml:space="preserve">Photomicrograph (40x) immunohistochemical study of Ki67 </w:t>
      </w:r>
      <w:r w:rsidR="006924D7" w:rsidRPr="006924D7">
        <w:rPr>
          <w:rFonts w:ascii="Arial" w:hAnsi="Arial" w:cs="Arial"/>
          <w:b/>
          <w:bCs/>
          <w:color w:val="000000" w:themeColor="text1"/>
        </w:rPr>
        <w:t>show</w:t>
      </w:r>
      <w:r w:rsidR="006924D7">
        <w:rPr>
          <w:rFonts w:ascii="Arial" w:hAnsi="Arial" w:cs="Arial"/>
          <w:b/>
          <w:bCs/>
          <w:color w:val="000000" w:themeColor="text1"/>
        </w:rPr>
        <w:t>ing</w:t>
      </w:r>
      <w:r w:rsidR="006924D7" w:rsidRPr="006924D7">
        <w:rPr>
          <w:rFonts w:ascii="Arial" w:hAnsi="Arial" w:cs="Arial"/>
          <w:b/>
          <w:bCs/>
          <w:color w:val="000000" w:themeColor="text1"/>
        </w:rPr>
        <w:t xml:space="preserve"> </w:t>
      </w:r>
      <w:r w:rsidR="006924D7">
        <w:rPr>
          <w:rFonts w:ascii="Arial" w:hAnsi="Arial" w:cs="Arial"/>
          <w:b/>
          <w:bCs/>
          <w:color w:val="000000" w:themeColor="text1"/>
        </w:rPr>
        <w:t>30% nuclear</w:t>
      </w:r>
      <w:r w:rsidR="006924D7" w:rsidRPr="006924D7">
        <w:rPr>
          <w:rFonts w:ascii="Arial" w:hAnsi="Arial" w:cs="Arial"/>
          <w:b/>
          <w:bCs/>
          <w:color w:val="000000" w:themeColor="text1"/>
        </w:rPr>
        <w:t xml:space="preserve"> positivity</w:t>
      </w:r>
      <w:r w:rsidR="006924D7">
        <w:rPr>
          <w:rFonts w:ascii="Arial" w:hAnsi="Arial" w:cs="Arial"/>
          <w:b/>
          <w:bCs/>
          <w:color w:val="000000" w:themeColor="text1"/>
        </w:rPr>
        <w:t>.</w:t>
      </w:r>
    </w:p>
    <w:p w14:paraId="1BF15DDB" w14:textId="77777777" w:rsidR="007922F6" w:rsidRDefault="007922F6" w:rsidP="007922F6">
      <w:pPr>
        <w:ind w:left="284"/>
        <w:jc w:val="both"/>
        <w:rPr>
          <w:rFonts w:ascii="Arial" w:hAnsi="Arial" w:cs="Arial"/>
        </w:rPr>
      </w:pPr>
    </w:p>
    <w:p w14:paraId="57892C10" w14:textId="6465B2B2" w:rsidR="007922F6" w:rsidRPr="007922F6" w:rsidRDefault="006924D7" w:rsidP="007922F6">
      <w:pPr>
        <w:ind w:left="284"/>
        <w:jc w:val="center"/>
        <w:rPr>
          <w:rFonts w:ascii="Arial" w:hAnsi="Arial" w:cs="Arial"/>
        </w:rPr>
      </w:pPr>
      <w:r w:rsidRPr="006924D7">
        <w:rPr>
          <w:rFonts w:ascii="Arial" w:hAnsi="Arial" w:cs="Arial"/>
          <w:noProof/>
        </w:rPr>
        <w:drawing>
          <wp:inline distT="0" distB="0" distL="0" distR="0" wp14:anchorId="2C8554C5" wp14:editId="290839B4">
            <wp:extent cx="3949065" cy="2765685"/>
            <wp:effectExtent l="0" t="0" r="635" b="3175"/>
            <wp:docPr id="24" name="Picture 23">
              <a:extLst xmlns:a="http://schemas.openxmlformats.org/drawingml/2006/main">
                <a:ext uri="{FF2B5EF4-FFF2-40B4-BE49-F238E27FC236}">
                  <a16:creationId xmlns:a16="http://schemas.microsoft.com/office/drawing/2014/main" id="{358DA0ED-892D-992F-D6CB-11A51D3B9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358DA0ED-892D-992F-D6CB-11A51D3B98A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70844" cy="2780937"/>
                    </a:xfrm>
                    <a:prstGeom prst="rect">
                      <a:avLst/>
                    </a:prstGeom>
                  </pic:spPr>
                </pic:pic>
              </a:graphicData>
            </a:graphic>
          </wp:inline>
        </w:drawing>
      </w:r>
    </w:p>
    <w:p w14:paraId="2B06A49D" w14:textId="52176012" w:rsidR="006924D7" w:rsidRDefault="007922F6" w:rsidP="006924D7">
      <w:pPr>
        <w:ind w:left="284"/>
        <w:jc w:val="both"/>
        <w:rPr>
          <w:rFonts w:ascii="Arial" w:hAnsi="Arial" w:cs="Arial"/>
        </w:rPr>
      </w:pPr>
      <w:r w:rsidRPr="007922F6">
        <w:rPr>
          <w:rFonts w:ascii="Arial" w:hAnsi="Arial" w:cs="Arial"/>
          <w:b/>
          <w:bCs/>
        </w:rPr>
        <w:t>Figure 6-</w:t>
      </w:r>
      <w:r w:rsidRPr="007922F6">
        <w:rPr>
          <w:rFonts w:ascii="Arial" w:hAnsi="Arial" w:cs="Arial"/>
        </w:rPr>
        <w:t xml:space="preserve"> </w:t>
      </w:r>
      <w:r w:rsidR="006924D7">
        <w:rPr>
          <w:rFonts w:ascii="Arial" w:hAnsi="Arial" w:cs="Arial"/>
          <w:b/>
          <w:bCs/>
          <w:color w:val="000000" w:themeColor="text1"/>
        </w:rPr>
        <w:t>Photomicrograph (40x) immunohistochemical study of Myogenin showing negative staining in tumor cells.</w:t>
      </w:r>
    </w:p>
    <w:p w14:paraId="2DAC4809" w14:textId="38E5DCD3" w:rsidR="007922F6" w:rsidRDefault="007922F6" w:rsidP="009A5512">
      <w:pPr>
        <w:ind w:left="284"/>
        <w:jc w:val="both"/>
        <w:rPr>
          <w:rFonts w:ascii="Arial" w:hAnsi="Arial" w:cs="Arial"/>
        </w:rPr>
      </w:pPr>
    </w:p>
    <w:p w14:paraId="2B4DDB4E" w14:textId="77777777" w:rsidR="007922F6" w:rsidRDefault="007922F6" w:rsidP="007922F6">
      <w:pPr>
        <w:ind w:left="284"/>
        <w:rPr>
          <w:rFonts w:ascii="Arial" w:hAnsi="Arial" w:cs="Arial"/>
        </w:rPr>
      </w:pPr>
    </w:p>
    <w:p w14:paraId="27CC6478" w14:textId="38E30A5D" w:rsidR="007922F6" w:rsidRPr="007922F6" w:rsidRDefault="006924D7" w:rsidP="007922F6">
      <w:pPr>
        <w:ind w:left="284"/>
        <w:jc w:val="center"/>
        <w:rPr>
          <w:rFonts w:ascii="Arial" w:hAnsi="Arial" w:cs="Arial"/>
        </w:rPr>
      </w:pPr>
      <w:r w:rsidRPr="006924D7">
        <w:rPr>
          <w:rFonts w:ascii="Arial" w:hAnsi="Arial" w:cs="Arial"/>
          <w:noProof/>
        </w:rPr>
        <w:lastRenderedPageBreak/>
        <w:drawing>
          <wp:inline distT="0" distB="0" distL="0" distR="0" wp14:anchorId="79116BFF" wp14:editId="5F465A6F">
            <wp:extent cx="4017364" cy="2920875"/>
            <wp:effectExtent l="0" t="0" r="0" b="635"/>
            <wp:docPr id="22" name="Picture 21">
              <a:extLst xmlns:a="http://schemas.openxmlformats.org/drawingml/2006/main">
                <a:ext uri="{FF2B5EF4-FFF2-40B4-BE49-F238E27FC236}">
                  <a16:creationId xmlns:a16="http://schemas.microsoft.com/office/drawing/2014/main" id="{1ED248BA-1A94-0AA3-EBB2-2F7FD8025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ED248BA-1A94-0AA3-EBB2-2F7FD802546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7160" cy="2949809"/>
                    </a:xfrm>
                    <a:prstGeom prst="rect">
                      <a:avLst/>
                    </a:prstGeom>
                  </pic:spPr>
                </pic:pic>
              </a:graphicData>
            </a:graphic>
          </wp:inline>
        </w:drawing>
      </w:r>
    </w:p>
    <w:p w14:paraId="26D2E0B8" w14:textId="636E2C1F" w:rsidR="006924D7" w:rsidRDefault="007922F6" w:rsidP="006924D7">
      <w:pPr>
        <w:ind w:left="284"/>
        <w:jc w:val="both"/>
        <w:rPr>
          <w:rFonts w:ascii="Arial" w:hAnsi="Arial" w:cs="Arial"/>
        </w:rPr>
      </w:pPr>
      <w:r w:rsidRPr="007922F6">
        <w:rPr>
          <w:rFonts w:ascii="Arial" w:hAnsi="Arial" w:cs="Arial"/>
          <w:b/>
          <w:bCs/>
        </w:rPr>
        <w:t>Figure 7</w:t>
      </w:r>
      <w:r w:rsidR="006924D7">
        <w:rPr>
          <w:rFonts w:ascii="Arial" w:hAnsi="Arial" w:cs="Arial"/>
          <w:b/>
          <w:bCs/>
        </w:rPr>
        <w:t>-</w:t>
      </w:r>
      <w:r w:rsidR="006924D7" w:rsidRPr="006924D7">
        <w:rPr>
          <w:rFonts w:ascii="Arial" w:hAnsi="Arial" w:cs="Arial"/>
          <w:b/>
          <w:bCs/>
          <w:color w:val="000000" w:themeColor="text1"/>
        </w:rPr>
        <w:t xml:space="preserve"> </w:t>
      </w:r>
      <w:r w:rsidR="006924D7">
        <w:rPr>
          <w:rFonts w:ascii="Arial" w:hAnsi="Arial" w:cs="Arial"/>
          <w:b/>
          <w:bCs/>
          <w:color w:val="000000" w:themeColor="text1"/>
        </w:rPr>
        <w:t>Photomicrograph (40x) immunohistochemical study of SMA showing negative staining in tumor cells.</w:t>
      </w:r>
    </w:p>
    <w:p w14:paraId="378AFED6" w14:textId="77777777" w:rsidR="00D457AC" w:rsidRDefault="00D457AC" w:rsidP="00441B6F">
      <w:pPr>
        <w:pStyle w:val="Head1"/>
        <w:spacing w:after="0"/>
        <w:jc w:val="both"/>
        <w:rPr>
          <w:rFonts w:ascii="Arial" w:hAnsi="Arial" w:cs="Arial"/>
        </w:rPr>
      </w:pPr>
    </w:p>
    <w:p w14:paraId="5E12FEBE" w14:textId="77777777" w:rsidR="00D457AC" w:rsidRDefault="00D457AC" w:rsidP="00441B6F">
      <w:pPr>
        <w:pStyle w:val="Head1"/>
        <w:spacing w:after="0"/>
        <w:jc w:val="both"/>
        <w:rPr>
          <w:rFonts w:ascii="Arial" w:hAnsi="Arial" w:cs="Arial"/>
        </w:rPr>
      </w:pPr>
    </w:p>
    <w:p w14:paraId="56903D7D" w14:textId="682D133F" w:rsidR="00D457AC" w:rsidRPr="007B6360" w:rsidRDefault="007B6360" w:rsidP="00441B6F">
      <w:pPr>
        <w:pStyle w:val="Head1"/>
        <w:spacing w:after="0"/>
        <w:jc w:val="both"/>
        <w:rPr>
          <w:rFonts w:ascii="Arial" w:hAnsi="Arial" w:cs="Arial"/>
          <w:sz w:val="20"/>
        </w:rPr>
      </w:pPr>
      <w:r w:rsidRPr="007B6360">
        <w:rPr>
          <w:rFonts w:ascii="Arial" w:hAnsi="Arial" w:cs="Arial"/>
          <w:b w:val="0"/>
          <w:caps w:val="0"/>
          <w:sz w:val="20"/>
          <w:lang w:val="en-GB"/>
        </w:rPr>
        <w:t xml:space="preserve">Though </w:t>
      </w:r>
      <w:r>
        <w:rPr>
          <w:rFonts w:ascii="Arial" w:hAnsi="Arial" w:cs="Arial"/>
          <w:b w:val="0"/>
          <w:caps w:val="0"/>
          <w:sz w:val="20"/>
          <w:lang w:val="en-GB"/>
        </w:rPr>
        <w:t>USG</w:t>
      </w:r>
      <w:r w:rsidRPr="007B6360">
        <w:rPr>
          <w:rFonts w:ascii="Arial" w:hAnsi="Arial" w:cs="Arial"/>
          <w:b w:val="0"/>
          <w:caps w:val="0"/>
          <w:sz w:val="20"/>
          <w:lang w:val="en-GB"/>
        </w:rPr>
        <w:t xml:space="preserve"> from outside diagnostic centre was suggestive of chronic hematoma, but clinically swelling was not looking like hematoma, hence clinician suggested the </w:t>
      </w:r>
      <w:r>
        <w:rPr>
          <w:rFonts w:ascii="Arial" w:hAnsi="Arial" w:cs="Arial"/>
          <w:b w:val="0"/>
          <w:caps w:val="0"/>
          <w:sz w:val="20"/>
          <w:lang w:val="en-GB"/>
        </w:rPr>
        <w:t>FNAC</w:t>
      </w:r>
      <w:r w:rsidRPr="007B6360">
        <w:rPr>
          <w:rFonts w:ascii="Arial" w:hAnsi="Arial" w:cs="Arial"/>
          <w:b w:val="0"/>
          <w:caps w:val="0"/>
          <w:sz w:val="20"/>
          <w:lang w:val="en-GB"/>
        </w:rPr>
        <w:t xml:space="preserve">. Upon cytological suggestion of sarcoma, there should have been a comprehensive work up. Unfortunately, due to patient’s unaffordability to do the </w:t>
      </w:r>
      <w:r>
        <w:rPr>
          <w:rFonts w:ascii="Arial" w:hAnsi="Arial" w:cs="Arial"/>
          <w:b w:val="0"/>
          <w:caps w:val="0"/>
          <w:sz w:val="20"/>
          <w:lang w:val="en-GB"/>
        </w:rPr>
        <w:t>MRI</w:t>
      </w:r>
      <w:r w:rsidRPr="007B6360">
        <w:rPr>
          <w:rFonts w:ascii="Arial" w:hAnsi="Arial" w:cs="Arial"/>
          <w:b w:val="0"/>
          <w:caps w:val="0"/>
          <w:sz w:val="20"/>
          <w:lang w:val="en-GB"/>
        </w:rPr>
        <w:t>/</w:t>
      </w:r>
      <w:r>
        <w:rPr>
          <w:rFonts w:ascii="Arial" w:hAnsi="Arial" w:cs="Arial"/>
          <w:b w:val="0"/>
          <w:caps w:val="0"/>
          <w:sz w:val="20"/>
          <w:lang w:val="en-GB"/>
        </w:rPr>
        <w:t>PET</w:t>
      </w:r>
      <w:r w:rsidRPr="007B6360">
        <w:rPr>
          <w:rFonts w:ascii="Arial" w:hAnsi="Arial" w:cs="Arial"/>
          <w:b w:val="0"/>
          <w:caps w:val="0"/>
          <w:sz w:val="20"/>
          <w:lang w:val="en-GB"/>
        </w:rPr>
        <w:t xml:space="preserve"> scan, surgical intervention was planned. Wide local excision was done, post operative imaging was done and there was no metastasis.  Post surgery follow up patient doing well.</w:t>
      </w:r>
    </w:p>
    <w:p w14:paraId="3F5859D6" w14:textId="77777777" w:rsidR="00D457AC" w:rsidRPr="007B6360" w:rsidRDefault="00D457AC" w:rsidP="00441B6F">
      <w:pPr>
        <w:pStyle w:val="Head1"/>
        <w:spacing w:after="0"/>
        <w:jc w:val="both"/>
        <w:rPr>
          <w:rFonts w:ascii="Arial" w:hAnsi="Arial" w:cs="Arial"/>
        </w:rPr>
      </w:pPr>
    </w:p>
    <w:p w14:paraId="2D658796" w14:textId="77777777" w:rsidR="00D457AC" w:rsidRPr="007B6360" w:rsidRDefault="00D457AC" w:rsidP="00441B6F">
      <w:pPr>
        <w:pStyle w:val="Head1"/>
        <w:spacing w:after="0"/>
        <w:jc w:val="both"/>
        <w:rPr>
          <w:rFonts w:ascii="Arial" w:hAnsi="Arial" w:cs="Arial"/>
        </w:rPr>
      </w:pPr>
    </w:p>
    <w:p w14:paraId="7B8535EB" w14:textId="77777777" w:rsidR="00D457AC" w:rsidRDefault="00D457AC" w:rsidP="00441B6F">
      <w:pPr>
        <w:pStyle w:val="Head1"/>
        <w:spacing w:after="0"/>
        <w:jc w:val="both"/>
        <w:rPr>
          <w:rFonts w:ascii="Arial" w:hAnsi="Arial" w:cs="Arial"/>
        </w:rPr>
      </w:pPr>
    </w:p>
    <w:p w14:paraId="70FB936C" w14:textId="77777777" w:rsidR="00D457AC" w:rsidRDefault="00D457AC" w:rsidP="00441B6F">
      <w:pPr>
        <w:pStyle w:val="Head1"/>
        <w:spacing w:after="0"/>
        <w:jc w:val="both"/>
        <w:rPr>
          <w:rFonts w:ascii="Arial" w:hAnsi="Arial" w:cs="Arial"/>
        </w:rPr>
      </w:pPr>
    </w:p>
    <w:p w14:paraId="3A78927C" w14:textId="5F6AC35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9D2213E" w14:textId="6BD6AEF2" w:rsidR="005E56DF" w:rsidRPr="00423C30" w:rsidRDefault="005E56DF" w:rsidP="005E56DF">
      <w:pPr>
        <w:pStyle w:val="NormalWeb"/>
        <w:rPr>
          <w:rFonts w:ascii="Arial" w:hAnsi="Arial" w:cs="Arial"/>
          <w:sz w:val="20"/>
          <w:szCs w:val="20"/>
          <w:lang w:val="en-IN"/>
        </w:rPr>
      </w:pPr>
      <w:r w:rsidRPr="00423C30">
        <w:rPr>
          <w:rFonts w:ascii="Arial" w:hAnsi="Arial" w:cs="Arial"/>
          <w:sz w:val="20"/>
          <w:szCs w:val="20"/>
          <w:lang w:val="en-IN"/>
        </w:rPr>
        <w:t>Undifferentiated soft tissue sarcomas (USTS), including undifferentiated pleomorphic sarcoma (UPS), represent a diagnostic challenge due to their lack of definitive line-of-differentiation markers and highly pleomorphic morphology.</w:t>
      </w:r>
      <w:r w:rsidR="00DC093A" w:rsidRPr="00423C30">
        <w:rPr>
          <w:rFonts w:ascii="Arial" w:hAnsi="Arial" w:cs="Arial"/>
          <w:sz w:val="20"/>
          <w:szCs w:val="20"/>
          <w:lang w:val="en-IN"/>
        </w:rPr>
        <w:t>[5]</w:t>
      </w:r>
      <w:r w:rsidRPr="00423C30">
        <w:rPr>
          <w:rFonts w:ascii="Arial" w:hAnsi="Arial" w:cs="Arial"/>
          <w:sz w:val="20"/>
          <w:szCs w:val="20"/>
          <w:lang w:val="en-IN"/>
        </w:rPr>
        <w:t xml:space="preserve"> Routine histopathological examination alone is often insufficient for a conclusive diagnosis, as these tumors frequently mimic other high-grade malignancies such as pleomorphic leiomyosarcoma, liposarcoma, and malignant melanoma. In such cases, immunohistochemistry (IHC) serves as a pivotal adjunct, allowing for the exclusion of other differential diagnoses and narrowing down to an undifferentiated phenotype. Studies have emphasized the utility of IHC panels including markers like desmin, myogenin, S100, cytokeratins, and CD34, which help exclude myogenic, neural, epithelial, and vascular lineages respectively, thereby supporting a diagnosis of USTS when no specific differentiation is evident.</w:t>
      </w:r>
      <w:r w:rsidR="007741CB" w:rsidRPr="00423C30">
        <w:rPr>
          <w:rFonts w:ascii="Arial" w:hAnsi="Arial" w:cs="Arial"/>
          <w:sz w:val="20"/>
          <w:szCs w:val="20"/>
          <w:lang w:val="en-IN"/>
        </w:rPr>
        <w:t xml:space="preserve"> [5] [6]</w:t>
      </w:r>
    </w:p>
    <w:p w14:paraId="2D51F4DB" w14:textId="7FD4B329" w:rsidR="005E56DF" w:rsidRPr="00423C30" w:rsidRDefault="005E56DF" w:rsidP="005E56DF">
      <w:pPr>
        <w:pStyle w:val="NormalWeb"/>
        <w:rPr>
          <w:rFonts w:ascii="Arial" w:hAnsi="Arial" w:cs="Arial"/>
          <w:sz w:val="20"/>
          <w:szCs w:val="20"/>
          <w:lang w:val="en-IN"/>
        </w:rPr>
      </w:pPr>
      <w:r w:rsidRPr="00423C30">
        <w:rPr>
          <w:rFonts w:ascii="Arial" w:hAnsi="Arial" w:cs="Arial"/>
          <w:sz w:val="20"/>
          <w:szCs w:val="20"/>
          <w:lang w:val="en-IN"/>
        </w:rPr>
        <w:t>In the context of cytohistopathological correlation, IHC enhances diagnostic precision by linking cytological features such as spindle or pleomorphic giant cells with their protein expression profiles. For instance, UPS typically exhibits strong vimentin positivity, while lacking lineage-specific markers, a finding consistent with its undifferentiated nature [</w:t>
      </w:r>
      <w:r w:rsidR="007741CB" w:rsidRPr="00423C30">
        <w:rPr>
          <w:rFonts w:ascii="Arial" w:hAnsi="Arial" w:cs="Arial"/>
          <w:sz w:val="20"/>
          <w:szCs w:val="20"/>
          <w:lang w:val="en-IN"/>
        </w:rPr>
        <w:t>7</w:t>
      </w:r>
      <w:r w:rsidRPr="00423C30">
        <w:rPr>
          <w:rFonts w:ascii="Arial" w:hAnsi="Arial" w:cs="Arial"/>
          <w:sz w:val="20"/>
          <w:szCs w:val="20"/>
          <w:lang w:val="en-IN"/>
        </w:rPr>
        <w:t>]. Moreover, in recent years, IHC markers such as p16, Ki-67, and PD-L1 have also been explored not only for diagnostic purposes but also for prognostication and potential therapeutic implications</w:t>
      </w:r>
      <w:r w:rsidR="007741CB" w:rsidRPr="00423C30">
        <w:rPr>
          <w:rFonts w:ascii="Arial" w:hAnsi="Arial" w:cs="Arial"/>
          <w:sz w:val="20"/>
          <w:szCs w:val="20"/>
          <w:lang w:val="en-IN"/>
        </w:rPr>
        <w:t>.</w:t>
      </w:r>
      <w:r w:rsidRPr="00423C30">
        <w:rPr>
          <w:rFonts w:ascii="Arial" w:hAnsi="Arial" w:cs="Arial"/>
          <w:sz w:val="20"/>
          <w:szCs w:val="20"/>
          <w:lang w:val="en-IN"/>
        </w:rPr>
        <w:t xml:space="preserve"> [</w:t>
      </w:r>
      <w:r w:rsidR="007741CB" w:rsidRPr="00423C30">
        <w:rPr>
          <w:rFonts w:ascii="Arial" w:hAnsi="Arial" w:cs="Arial"/>
          <w:sz w:val="20"/>
          <w:szCs w:val="20"/>
          <w:lang w:val="en-IN"/>
        </w:rPr>
        <w:t>8</w:t>
      </w:r>
      <w:r w:rsidRPr="00423C30">
        <w:rPr>
          <w:rFonts w:ascii="Arial" w:hAnsi="Arial" w:cs="Arial"/>
          <w:sz w:val="20"/>
          <w:szCs w:val="20"/>
          <w:lang w:val="en-IN"/>
        </w:rPr>
        <w:t>] In rare or atypical presentations, particularly when encountered in immunocompromised individuals, as with HIV-positive patients, IHC becomes even more indispensable due to altered tumor biology and overlapping histological patterns. Thus, immunohistochemistry remains an essential diagnostic cornerstone in the accurate classification and management of undifferentiated soft tissue sarcomas.</w:t>
      </w:r>
    </w:p>
    <w:p w14:paraId="57E98F76" w14:textId="122D17A9" w:rsidR="0031245E" w:rsidRPr="00423C30" w:rsidRDefault="0031245E" w:rsidP="0031245E">
      <w:pPr>
        <w:pStyle w:val="NormalWeb"/>
        <w:rPr>
          <w:rFonts w:ascii="Arial" w:hAnsi="Arial" w:cs="Arial"/>
          <w:sz w:val="20"/>
          <w:szCs w:val="20"/>
        </w:rPr>
      </w:pPr>
      <w:r w:rsidRPr="00423C30">
        <w:rPr>
          <w:rFonts w:ascii="Arial" w:hAnsi="Arial" w:cs="Arial"/>
          <w:sz w:val="20"/>
          <w:szCs w:val="20"/>
        </w:rPr>
        <w:t xml:space="preserve">Clinically, patients often present with a painless mass that gradually increases in size. Sarcomas tend to be more locally concentrated than benign lesions and are frequently diagnosed at a later stage due to their indolent presentation [2]. UPS typically presents as a confined, multinodular, lobulated tumour with evidence of degeneration. The tumours are usually </w:t>
      </w:r>
      <w:r w:rsidRPr="00423C30">
        <w:rPr>
          <w:rFonts w:ascii="Arial" w:hAnsi="Arial" w:cs="Arial"/>
          <w:sz w:val="20"/>
          <w:szCs w:val="20"/>
        </w:rPr>
        <w:lastRenderedPageBreak/>
        <w:t>painless, although systemic symptoms such as fever, weight loss, and leukocytosis may be observed in the inflammatory subtype.</w:t>
      </w:r>
    </w:p>
    <w:p w14:paraId="363178A3" w14:textId="7CCEEB8F" w:rsidR="0031245E" w:rsidRPr="00423C30" w:rsidRDefault="0031245E" w:rsidP="0031245E">
      <w:pPr>
        <w:pStyle w:val="NormalWeb"/>
        <w:rPr>
          <w:rFonts w:ascii="Arial" w:hAnsi="Arial" w:cs="Arial"/>
          <w:sz w:val="20"/>
          <w:szCs w:val="20"/>
        </w:rPr>
      </w:pPr>
      <w:r w:rsidRPr="00423C30">
        <w:rPr>
          <w:rFonts w:ascii="Arial" w:hAnsi="Arial" w:cs="Arial"/>
          <w:sz w:val="20"/>
          <w:szCs w:val="20"/>
        </w:rPr>
        <w:t>MRI plays a crucial role in assessing the extent of soft tissue sarcomas; however, its ability to differentiate between benign and malignant lesions, or between sarcoma subtypes, remains controversial. This is due to the nonspecific imaging characteristics shared by most soft tissue tumours, such as intermediate signal intensity (SI) on T1-weighted imaging (T1WI), high SI on T2-weighted imaging (T2WI), and heterogeneous contrast enhancement due to intratumoral hemorrhage and necrosis. Low SI on T2WI may be seen in tumours with fibrous components, such as UPS and low-grade fibrosarcomas [</w:t>
      </w:r>
      <w:r w:rsidR="007741CB" w:rsidRPr="00423C30">
        <w:rPr>
          <w:rFonts w:ascii="Arial" w:hAnsi="Arial" w:cs="Arial"/>
          <w:sz w:val="20"/>
          <w:szCs w:val="20"/>
        </w:rPr>
        <w:t>8</w:t>
      </w:r>
      <w:r w:rsidRPr="00423C30">
        <w:rPr>
          <w:rFonts w:ascii="Arial" w:hAnsi="Arial" w:cs="Arial"/>
          <w:sz w:val="20"/>
          <w:szCs w:val="20"/>
        </w:rPr>
        <w:t>].</w:t>
      </w:r>
    </w:p>
    <w:p w14:paraId="22EDC5BB" w14:textId="57F77BC2" w:rsidR="0031245E" w:rsidRPr="00423C30" w:rsidRDefault="0031245E" w:rsidP="0031245E">
      <w:pPr>
        <w:pStyle w:val="NormalWeb"/>
        <w:rPr>
          <w:rFonts w:ascii="Arial" w:hAnsi="Arial" w:cs="Arial"/>
          <w:sz w:val="20"/>
          <w:szCs w:val="20"/>
        </w:rPr>
      </w:pPr>
      <w:r w:rsidRPr="00423C30">
        <w:rPr>
          <w:rFonts w:ascii="Arial" w:hAnsi="Arial" w:cs="Arial"/>
          <w:sz w:val="20"/>
          <w:szCs w:val="20"/>
        </w:rPr>
        <w:t>Histopathological confirmation is essential, particularly in cases being considered for neoadjuvant therapy. A tissue diagnosis should be confirmed by an experienced sarcoma pathologist, with access to immunohistochemistry, cytogenetic studies, and molecular genetic testing if needed [</w:t>
      </w:r>
      <w:r w:rsidR="005139E0" w:rsidRPr="00423C30">
        <w:rPr>
          <w:rFonts w:ascii="Arial" w:hAnsi="Arial" w:cs="Arial"/>
          <w:sz w:val="20"/>
          <w:szCs w:val="20"/>
        </w:rPr>
        <w:t>4</w:t>
      </w:r>
      <w:r w:rsidRPr="00423C30">
        <w:rPr>
          <w:rFonts w:ascii="Arial" w:hAnsi="Arial" w:cs="Arial"/>
          <w:sz w:val="20"/>
          <w:szCs w:val="20"/>
        </w:rPr>
        <w:t>]. Histologically, UPS displays a wide variation in cellularity and morphology but consistently shows pleomorphic tumour cells. Some variants may also exhibit numerous giant cells or a prominent inflammatory infiltrate (inflammatory UPS/giant cell-rich types) [</w:t>
      </w:r>
      <w:r w:rsidR="007741CB" w:rsidRPr="00423C30">
        <w:rPr>
          <w:rFonts w:ascii="Arial" w:hAnsi="Arial" w:cs="Arial"/>
          <w:sz w:val="20"/>
          <w:szCs w:val="20"/>
        </w:rPr>
        <w:t>9</w:t>
      </w:r>
      <w:r w:rsidRPr="00423C30">
        <w:rPr>
          <w:rFonts w:ascii="Arial" w:hAnsi="Arial" w:cs="Arial"/>
          <w:sz w:val="20"/>
          <w:szCs w:val="20"/>
        </w:rPr>
        <w:t>].</w:t>
      </w:r>
    </w:p>
    <w:p w14:paraId="16C75979" w14:textId="77777777" w:rsidR="0031245E" w:rsidRPr="00423C30" w:rsidRDefault="0031245E" w:rsidP="0031245E">
      <w:pPr>
        <w:pStyle w:val="NormalWeb"/>
        <w:rPr>
          <w:rFonts w:ascii="Arial" w:hAnsi="Arial" w:cs="Arial"/>
          <w:sz w:val="20"/>
          <w:szCs w:val="20"/>
        </w:rPr>
      </w:pPr>
      <w:r w:rsidRPr="00423C30">
        <w:rPr>
          <w:rFonts w:ascii="Arial" w:hAnsi="Arial" w:cs="Arial"/>
          <w:sz w:val="20"/>
          <w:szCs w:val="20"/>
        </w:rPr>
        <w:t>In the present case, the gross and microscopic findings presented a diagnostic challenge, with differential diagnoses including pleomorphic leiomyosarcoma, pleomorphic liposarcoma, pleomorphic rhabdomyosarcoma, and malignant melanoma. The tumour exhibited spindle cells with elongated, pleomorphic, hyperchromatic nuclei and numerous pleomorphic giant tumour cells, complicating the diagnostic process. Given this morphological overlap, immunohistochemistry was critical in achieving a definitive diagnosis.</w:t>
      </w:r>
    </w:p>
    <w:p w14:paraId="78C035D2" w14:textId="5C4A41D2" w:rsidR="0031245E" w:rsidRPr="00423C30" w:rsidRDefault="0031245E" w:rsidP="0031245E">
      <w:pPr>
        <w:pStyle w:val="NormalWeb"/>
        <w:rPr>
          <w:rFonts w:ascii="Arial" w:hAnsi="Arial" w:cs="Arial"/>
          <w:sz w:val="20"/>
          <w:szCs w:val="20"/>
        </w:rPr>
      </w:pPr>
      <w:r w:rsidRPr="00423C30">
        <w:rPr>
          <w:rFonts w:ascii="Arial" w:hAnsi="Arial" w:cs="Arial"/>
          <w:sz w:val="20"/>
          <w:szCs w:val="20"/>
        </w:rPr>
        <w:t>Recent developments in immunotherapy have shown promising results in various solid malignancies, including melanoma and lung cancer. Immune checkpoint inhibitors targeting the PD-1/PD-L1 pathway have demonstrated favorable responses, even in disseminated or operable disease settings. The therapeutic response is often associated with PD-L1 expression on tumour and immune cells, as well as the presence of tumour-infiltrating lymphocytes. A study by Yifan Zhang et al. found that PD-L1 immunoreactivity was more prevalent in UPS compared to chondrosarcoma and liposarcoma [</w:t>
      </w:r>
      <w:r w:rsidR="007741CB" w:rsidRPr="00423C30">
        <w:rPr>
          <w:rFonts w:ascii="Arial" w:hAnsi="Arial" w:cs="Arial"/>
          <w:sz w:val="20"/>
          <w:szCs w:val="20"/>
        </w:rPr>
        <w:t>10</w:t>
      </w:r>
      <w:r w:rsidRPr="00423C30">
        <w:rPr>
          <w:rFonts w:ascii="Arial" w:hAnsi="Arial" w:cs="Arial"/>
          <w:sz w:val="20"/>
          <w:szCs w:val="20"/>
        </w:rPr>
        <w:t>].</w:t>
      </w:r>
    </w:p>
    <w:p w14:paraId="00DDA258" w14:textId="77777777" w:rsidR="0031245E" w:rsidRPr="00423C30" w:rsidRDefault="0031245E" w:rsidP="0031245E">
      <w:pPr>
        <w:pStyle w:val="NormalWeb"/>
        <w:rPr>
          <w:rFonts w:ascii="Arial" w:hAnsi="Arial" w:cs="Arial"/>
          <w:sz w:val="20"/>
          <w:szCs w:val="20"/>
        </w:rPr>
      </w:pPr>
      <w:r w:rsidRPr="00423C30">
        <w:rPr>
          <w:rFonts w:ascii="Arial" w:hAnsi="Arial" w:cs="Arial"/>
          <w:sz w:val="20"/>
          <w:szCs w:val="20"/>
        </w:rPr>
        <w:t>Adding to the complexity of the case, the patient’s HIV-positive status raises further questions regarding the role of immunosuppression in the pathogenesis and clinical behavior of STS, particularly in undifferentiated subtypes. The interplay between immunosuppression and tumour biology in such patients warrants additional exploration in future studies.</w:t>
      </w:r>
    </w:p>
    <w:p w14:paraId="049F6FB1" w14:textId="54372B17" w:rsidR="006924D7" w:rsidRPr="00423C30" w:rsidRDefault="006924D7" w:rsidP="006924D7">
      <w:pPr>
        <w:jc w:val="both"/>
        <w:rPr>
          <w:rFonts w:ascii="Arial" w:hAnsi="Arial" w:cs="Arial"/>
          <w:sz w:val="22"/>
          <w:szCs w:val="22"/>
        </w:rPr>
      </w:pPr>
    </w:p>
    <w:p w14:paraId="46E722B8" w14:textId="7C73CBD8" w:rsidR="008F6836" w:rsidRPr="00FB3A86" w:rsidRDefault="008F6836" w:rsidP="00441B6F">
      <w:pPr>
        <w:pStyle w:val="Head1"/>
        <w:spacing w:after="0"/>
        <w:jc w:val="both"/>
        <w:rPr>
          <w:rFonts w:ascii="Arial" w:hAnsi="Arial" w:cs="Arial"/>
        </w:rPr>
      </w:pPr>
    </w:p>
    <w:p w14:paraId="019B9E32" w14:textId="77777777" w:rsidR="006924D7" w:rsidRDefault="006924D7" w:rsidP="00441B6F">
      <w:pPr>
        <w:pStyle w:val="ConcHead"/>
        <w:spacing w:after="0"/>
        <w:jc w:val="both"/>
        <w:rPr>
          <w:rFonts w:ascii="Arial" w:hAnsi="Arial" w:cs="Arial"/>
        </w:rPr>
      </w:pPr>
    </w:p>
    <w:p w14:paraId="0958C6A6" w14:textId="77777777" w:rsidR="006924D7" w:rsidRDefault="006924D7" w:rsidP="00441B6F">
      <w:pPr>
        <w:pStyle w:val="ConcHead"/>
        <w:spacing w:after="0"/>
        <w:jc w:val="both"/>
        <w:rPr>
          <w:rFonts w:ascii="Arial" w:hAnsi="Arial" w:cs="Arial"/>
        </w:rPr>
      </w:pPr>
    </w:p>
    <w:p w14:paraId="31F42A48" w14:textId="2DA40B78"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06ED69" w14:textId="77777777" w:rsidR="00790ADA" w:rsidRPr="00FB3A86" w:rsidRDefault="00790ADA" w:rsidP="00441B6F">
      <w:pPr>
        <w:pStyle w:val="ConcHead"/>
        <w:spacing w:after="0"/>
        <w:jc w:val="both"/>
        <w:rPr>
          <w:rFonts w:ascii="Arial" w:hAnsi="Arial" w:cs="Arial"/>
        </w:rPr>
      </w:pPr>
    </w:p>
    <w:p w14:paraId="5E656078" w14:textId="109144D2" w:rsidR="006924D7" w:rsidRPr="006924D7" w:rsidRDefault="006924D7" w:rsidP="006924D7">
      <w:pPr>
        <w:pStyle w:val="NormalWeb"/>
        <w:spacing w:before="0" w:beforeAutospacing="0" w:after="0" w:afterAutospacing="0"/>
        <w:rPr>
          <w:rFonts w:ascii="Arial" w:hAnsi="Arial" w:cs="Arial"/>
          <w:color w:val="0E101A"/>
          <w:sz w:val="20"/>
          <w:szCs w:val="20"/>
        </w:rPr>
      </w:pPr>
      <w:r w:rsidRPr="006924D7">
        <w:rPr>
          <w:rFonts w:ascii="Arial" w:hAnsi="Arial" w:cs="Arial"/>
          <w:color w:val="0E101A"/>
          <w:sz w:val="20"/>
          <w:szCs w:val="20"/>
        </w:rPr>
        <w:t xml:space="preserve">The development of metastatic disease affects the prognosis of approximately 50% of soft tissue sarcoma patients, presenting a significant challenge. Therefore, maintaining close patient follow-up is crucial to detect any tumour recurrence. This case underscores the pivotal role of immunohistochemistry in differentiating challenging soft tissue sarcomas, providing valuable information for accurate diagnosis and </w:t>
      </w:r>
      <w:r w:rsidR="005139E0" w:rsidRPr="006924D7">
        <w:rPr>
          <w:rFonts w:ascii="Arial" w:hAnsi="Arial" w:cs="Arial"/>
          <w:color w:val="0E101A"/>
          <w:sz w:val="20"/>
          <w:szCs w:val="20"/>
        </w:rPr>
        <w:t>prognosis. The</w:t>
      </w:r>
      <w:r w:rsidRPr="006924D7">
        <w:rPr>
          <w:rFonts w:ascii="Arial" w:hAnsi="Arial" w:cs="Arial"/>
          <w:color w:val="0E101A"/>
          <w:sz w:val="20"/>
          <w:szCs w:val="20"/>
        </w:rPr>
        <w:t xml:space="preserve"> comprehensive use of a panel of markers aids in ruling out mimickers and guiding appropriate clinical management</w:t>
      </w:r>
      <w:r w:rsidR="00A02F92">
        <w:rPr>
          <w:rFonts w:ascii="Arial" w:hAnsi="Arial" w:cs="Arial"/>
          <w:color w:val="0E101A"/>
          <w:sz w:val="20"/>
          <w:szCs w:val="20"/>
        </w:rPr>
        <w:t>.</w:t>
      </w:r>
    </w:p>
    <w:p w14:paraId="63885856" w14:textId="77777777" w:rsidR="00790ADA" w:rsidRPr="00FB3A86" w:rsidRDefault="00790ADA" w:rsidP="00441B6F">
      <w:pPr>
        <w:pStyle w:val="Body"/>
        <w:spacing w:after="0"/>
        <w:rPr>
          <w:rFonts w:ascii="Arial" w:hAnsi="Arial" w:cs="Arial"/>
        </w:rPr>
      </w:pPr>
    </w:p>
    <w:p w14:paraId="23F5C20D" w14:textId="77777777" w:rsidR="002B685A" w:rsidRDefault="002B685A" w:rsidP="00441B6F">
      <w:pPr>
        <w:pStyle w:val="ReferHead"/>
        <w:spacing w:after="0"/>
        <w:jc w:val="both"/>
        <w:rPr>
          <w:rFonts w:ascii="Arial" w:hAnsi="Arial" w:cs="Arial"/>
          <w:b w:val="0"/>
          <w:caps w:val="0"/>
          <w:sz w:val="20"/>
        </w:rPr>
      </w:pPr>
    </w:p>
    <w:p w14:paraId="26223A5A"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A254911" w14:textId="77777777" w:rsidR="002B685A" w:rsidRPr="002B685A" w:rsidRDefault="002B685A" w:rsidP="00441B6F">
      <w:pPr>
        <w:pStyle w:val="ReferHead"/>
        <w:spacing w:after="0"/>
        <w:jc w:val="both"/>
        <w:rPr>
          <w:rFonts w:ascii="Arial" w:hAnsi="Arial" w:cs="Arial"/>
          <w:bCs/>
        </w:rPr>
      </w:pPr>
    </w:p>
    <w:p w14:paraId="594967B3" w14:textId="2FD70DFE" w:rsidR="001A29D8" w:rsidRPr="005F6CD9" w:rsidRDefault="001A29D8" w:rsidP="00441B6F">
      <w:pPr>
        <w:pStyle w:val="ReferHead"/>
        <w:spacing w:after="0"/>
        <w:jc w:val="both"/>
        <w:rPr>
          <w:rFonts w:ascii="Arial" w:hAnsi="Arial" w:cs="Arial"/>
          <w:b w:val="0"/>
          <w:caps w:val="0"/>
          <w:sz w:val="20"/>
        </w:rPr>
      </w:pPr>
      <w:r w:rsidRPr="005F6CD9">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0B5725C" w14:textId="77777777" w:rsidR="005C784C" w:rsidRDefault="005C784C" w:rsidP="00441B6F">
      <w:pPr>
        <w:pStyle w:val="ReferHead"/>
        <w:spacing w:after="0"/>
        <w:jc w:val="both"/>
        <w:rPr>
          <w:rFonts w:ascii="Arial" w:hAnsi="Arial" w:cs="Arial"/>
          <w:b w:val="0"/>
          <w:caps w:val="0"/>
          <w:sz w:val="20"/>
        </w:rPr>
      </w:pPr>
    </w:p>
    <w:p w14:paraId="4BF0E134"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2FC610E" w14:textId="77777777" w:rsidR="005C784C" w:rsidRPr="002B685A" w:rsidRDefault="005C784C" w:rsidP="00441B6F">
      <w:pPr>
        <w:pStyle w:val="ReferHead"/>
        <w:spacing w:after="0"/>
        <w:jc w:val="both"/>
        <w:rPr>
          <w:rFonts w:ascii="Arial" w:hAnsi="Arial" w:cs="Arial"/>
          <w:bCs/>
        </w:rPr>
      </w:pPr>
    </w:p>
    <w:p w14:paraId="47ADBD3F" w14:textId="70E6EC67" w:rsidR="00860000" w:rsidRDefault="005F6CD9" w:rsidP="00441B6F">
      <w:pPr>
        <w:pStyle w:val="ReferHead"/>
        <w:spacing w:after="0"/>
        <w:jc w:val="both"/>
        <w:rPr>
          <w:rFonts w:ascii="Arial" w:hAnsi="Arial" w:cs="Arial"/>
          <w:b w:val="0"/>
          <w:caps w:val="0"/>
          <w:sz w:val="20"/>
        </w:rPr>
      </w:pPr>
      <w:r w:rsidRPr="005F6CD9">
        <w:rPr>
          <w:rFonts w:ascii="Arial" w:hAnsi="Arial" w:cs="Arial"/>
          <w:b w:val="0"/>
          <w:caps w:val="0"/>
          <w:sz w:val="20"/>
        </w:rPr>
        <w:t>As pe</w:t>
      </w:r>
      <w:r>
        <w:rPr>
          <w:rFonts w:ascii="Arial" w:hAnsi="Arial" w:cs="Arial"/>
          <w:b w:val="0"/>
          <w:caps w:val="0"/>
          <w:sz w:val="20"/>
        </w:rPr>
        <w:t>r</w:t>
      </w:r>
      <w:r w:rsidRPr="005F6CD9">
        <w:rPr>
          <w:rFonts w:ascii="Arial" w:hAnsi="Arial" w:cs="Arial"/>
          <w:b w:val="0"/>
          <w:caps w:val="0"/>
          <w:sz w:val="20"/>
        </w:rPr>
        <w:t xml:space="preserve"> international</w:t>
      </w:r>
      <w:r>
        <w:rPr>
          <w:rFonts w:ascii="Arial" w:hAnsi="Arial" w:cs="Arial"/>
          <w:b w:val="0"/>
          <w:caps w:val="0"/>
          <w:sz w:val="20"/>
        </w:rPr>
        <w:t xml:space="preserve"> </w:t>
      </w:r>
      <w:r w:rsidRPr="005F6CD9">
        <w:rPr>
          <w:rFonts w:ascii="Arial" w:hAnsi="Arial" w:cs="Arial"/>
          <w:b w:val="0"/>
          <w:caps w:val="0"/>
          <w:sz w:val="20"/>
        </w:rPr>
        <w:t>standard</w:t>
      </w:r>
      <w:r>
        <w:rPr>
          <w:rFonts w:ascii="Arial" w:hAnsi="Arial" w:cs="Arial"/>
          <w:b w:val="0"/>
          <w:caps w:val="0"/>
          <w:sz w:val="20"/>
        </w:rPr>
        <w:t>s</w:t>
      </w:r>
      <w:r w:rsidRPr="005F6CD9">
        <w:rPr>
          <w:rFonts w:ascii="Arial" w:hAnsi="Arial" w:cs="Arial"/>
          <w:b w:val="0"/>
          <w:caps w:val="0"/>
          <w:sz w:val="20"/>
        </w:rPr>
        <w:t xml:space="preserve"> or</w:t>
      </w:r>
      <w:r>
        <w:rPr>
          <w:rFonts w:ascii="Arial" w:hAnsi="Arial" w:cs="Arial"/>
          <w:b w:val="0"/>
          <w:caps w:val="0"/>
          <w:sz w:val="20"/>
        </w:rPr>
        <w:t xml:space="preserve"> </w:t>
      </w:r>
      <w:r w:rsidRPr="005F6CD9">
        <w:rPr>
          <w:rFonts w:ascii="Arial" w:hAnsi="Arial" w:cs="Arial"/>
          <w:b w:val="0"/>
          <w:caps w:val="0"/>
          <w:sz w:val="20"/>
        </w:rPr>
        <w:t>university standards written ethical approval has been collected and preserved by the authors</w:t>
      </w:r>
      <w:r>
        <w:rPr>
          <w:rFonts w:ascii="Arial" w:hAnsi="Arial" w:cs="Arial"/>
          <w:b w:val="0"/>
          <w:caps w:val="0"/>
          <w:sz w:val="20"/>
        </w:rPr>
        <w:t>.</w:t>
      </w:r>
    </w:p>
    <w:p w14:paraId="66083103" w14:textId="634D3B32" w:rsidR="00176436" w:rsidRDefault="00176436" w:rsidP="00441B6F">
      <w:pPr>
        <w:pStyle w:val="ReferHead"/>
        <w:spacing w:after="0"/>
        <w:jc w:val="both"/>
        <w:rPr>
          <w:rFonts w:ascii="Arial" w:hAnsi="Arial" w:cs="Arial"/>
          <w:b w:val="0"/>
          <w:caps w:val="0"/>
          <w:sz w:val="20"/>
        </w:rPr>
      </w:pPr>
    </w:p>
    <w:p w14:paraId="7A344631" w14:textId="77777777" w:rsidR="00176436" w:rsidRPr="00423C30" w:rsidRDefault="00176436" w:rsidP="00176436">
      <w:pPr>
        <w:rPr>
          <w:rFonts w:ascii="Calibri" w:eastAsia="Calibri" w:hAnsi="Calibri"/>
          <w:kern w:val="2"/>
        </w:rPr>
      </w:pPr>
      <w:bookmarkStart w:id="0" w:name="_Hlk197682619"/>
      <w:bookmarkStart w:id="1" w:name="_Hlk180402183"/>
      <w:bookmarkStart w:id="2" w:name="_Hlk183680988"/>
      <w:bookmarkStart w:id="3" w:name="_Hlk197351200"/>
      <w:r w:rsidRPr="00423C30">
        <w:rPr>
          <w:rFonts w:ascii="Calibri" w:eastAsia="Calibri" w:hAnsi="Calibri"/>
          <w:kern w:val="2"/>
        </w:rPr>
        <w:t>Disclaimer (Artificial intelligence)</w:t>
      </w:r>
    </w:p>
    <w:p w14:paraId="4275C747" w14:textId="77777777" w:rsidR="00176436" w:rsidRPr="00423C30" w:rsidRDefault="00176436" w:rsidP="00176436">
      <w:pPr>
        <w:rPr>
          <w:rFonts w:ascii="Calibri" w:eastAsia="Calibri" w:hAnsi="Calibri"/>
          <w:kern w:val="2"/>
        </w:rPr>
      </w:pPr>
      <w:r w:rsidRPr="00423C30">
        <w:rPr>
          <w:rFonts w:ascii="Calibri" w:eastAsia="Calibri" w:hAnsi="Calibri"/>
          <w:kern w:val="2"/>
        </w:rPr>
        <w:t xml:space="preserve">Option 1: </w:t>
      </w:r>
    </w:p>
    <w:p w14:paraId="3B6AC3D6" w14:textId="77777777" w:rsidR="00176436" w:rsidRPr="00423C30" w:rsidRDefault="00176436" w:rsidP="00176436">
      <w:pPr>
        <w:rPr>
          <w:rFonts w:ascii="Calibri" w:eastAsia="Calibri" w:hAnsi="Calibri"/>
          <w:kern w:val="2"/>
        </w:rPr>
      </w:pPr>
      <w:r w:rsidRPr="00423C30">
        <w:rPr>
          <w:rFonts w:ascii="Calibri" w:eastAsia="Calibri" w:hAnsi="Calibri"/>
          <w:kern w:val="2"/>
        </w:rPr>
        <w:t xml:space="preserve">Author(s) hereby declare that NO generative AI technologies such as Large Language Models (ChatGPT, COPILOT, etc.) and text-to-image generators have been used during the writing or editing of this manuscript. </w:t>
      </w:r>
    </w:p>
    <w:p w14:paraId="09E7C8CE" w14:textId="77777777" w:rsidR="00176436" w:rsidRPr="00423C30" w:rsidRDefault="00176436" w:rsidP="00176436">
      <w:pPr>
        <w:rPr>
          <w:rFonts w:ascii="Calibri" w:eastAsia="Calibri" w:hAnsi="Calibri"/>
          <w:kern w:val="2"/>
        </w:rPr>
      </w:pPr>
      <w:r w:rsidRPr="00423C30">
        <w:rPr>
          <w:rFonts w:ascii="Calibri" w:eastAsia="Calibri" w:hAnsi="Calibri"/>
          <w:kern w:val="2"/>
        </w:rPr>
        <w:t xml:space="preserve">Option 2: </w:t>
      </w:r>
    </w:p>
    <w:p w14:paraId="1C0F3512" w14:textId="77777777" w:rsidR="00176436" w:rsidRPr="00423C30" w:rsidRDefault="00176436" w:rsidP="00176436">
      <w:pPr>
        <w:rPr>
          <w:rFonts w:ascii="Calibri" w:eastAsia="Calibri" w:hAnsi="Calibri"/>
          <w:kern w:val="2"/>
        </w:rPr>
      </w:pPr>
      <w:r w:rsidRPr="00423C30">
        <w:rPr>
          <w:rFonts w:ascii="Calibri" w:eastAsia="Calibri" w:hAnsi="Calibri"/>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3CCA10" w14:textId="719C8AEE" w:rsidR="00423C30" w:rsidRPr="009C5487" w:rsidRDefault="00423C30" w:rsidP="00423C30">
      <w:pPr>
        <w:rPr>
          <w:rFonts w:ascii="Calibri" w:eastAsia="Calibri" w:hAnsi="Calibri"/>
          <w:kern w:val="2"/>
        </w:rPr>
      </w:pPr>
      <w:bookmarkStart w:id="4" w:name="_Hlk197682629"/>
      <w:bookmarkEnd w:id="0"/>
    </w:p>
    <w:p w14:paraId="2CB1659E" w14:textId="77777777" w:rsidR="00176436" w:rsidRDefault="00176436" w:rsidP="00176436">
      <w:pPr>
        <w:ind w:firstLine="720"/>
      </w:pPr>
      <w:bookmarkStart w:id="5" w:name="_Hlk187485061"/>
      <w:bookmarkEnd w:id="1"/>
      <w:bookmarkEnd w:id="2"/>
      <w:bookmarkEnd w:id="4"/>
    </w:p>
    <w:bookmarkEnd w:id="3"/>
    <w:bookmarkEnd w:id="5"/>
    <w:p w14:paraId="24E4D7B7" w14:textId="77777777" w:rsidR="00176436" w:rsidRDefault="00176436" w:rsidP="00441B6F">
      <w:pPr>
        <w:pStyle w:val="ReferHead"/>
        <w:spacing w:after="0"/>
        <w:jc w:val="both"/>
        <w:rPr>
          <w:rFonts w:ascii="Arial" w:hAnsi="Arial" w:cs="Arial"/>
          <w:b w:val="0"/>
          <w:caps w:val="0"/>
          <w:sz w:val="20"/>
        </w:rPr>
      </w:pPr>
    </w:p>
    <w:p w14:paraId="5A9E0461" w14:textId="77777777" w:rsidR="005F6CD9" w:rsidRDefault="005F6CD9" w:rsidP="00441B6F">
      <w:pPr>
        <w:pStyle w:val="ReferHead"/>
        <w:spacing w:after="0"/>
        <w:jc w:val="both"/>
        <w:rPr>
          <w:rFonts w:ascii="Arial" w:hAnsi="Arial" w:cs="Arial"/>
        </w:rPr>
      </w:pPr>
    </w:p>
    <w:p w14:paraId="1A2CEC2B" w14:textId="77777777" w:rsidR="00A02F92" w:rsidRDefault="00A02F92" w:rsidP="00441B6F">
      <w:pPr>
        <w:pStyle w:val="ReferHead"/>
        <w:spacing w:after="0"/>
        <w:jc w:val="both"/>
        <w:rPr>
          <w:rFonts w:ascii="Arial" w:hAnsi="Arial" w:cs="Arial"/>
        </w:rPr>
      </w:pPr>
    </w:p>
    <w:p w14:paraId="65D86CC1" w14:textId="77777777" w:rsidR="00A02F92" w:rsidRDefault="00A02F92" w:rsidP="00441B6F">
      <w:pPr>
        <w:pStyle w:val="ReferHead"/>
        <w:spacing w:after="0"/>
        <w:jc w:val="both"/>
        <w:rPr>
          <w:rFonts w:ascii="Arial" w:hAnsi="Arial" w:cs="Arial"/>
        </w:rPr>
      </w:pPr>
    </w:p>
    <w:p w14:paraId="6F4201A9" w14:textId="6532B862" w:rsidR="00B01FCD" w:rsidRDefault="00B01FCD" w:rsidP="00441B6F">
      <w:pPr>
        <w:pStyle w:val="ReferHead"/>
        <w:spacing w:after="0"/>
        <w:jc w:val="both"/>
        <w:rPr>
          <w:rFonts w:ascii="Arial" w:hAnsi="Arial" w:cs="Arial"/>
        </w:rPr>
      </w:pPr>
      <w:r w:rsidRPr="00FB3A86">
        <w:rPr>
          <w:rFonts w:ascii="Arial" w:hAnsi="Arial" w:cs="Arial"/>
        </w:rPr>
        <w:t>References</w:t>
      </w:r>
    </w:p>
    <w:p w14:paraId="5246A030" w14:textId="77777777" w:rsidR="00790ADA" w:rsidRPr="00FB3A86" w:rsidRDefault="00790ADA" w:rsidP="00441B6F">
      <w:pPr>
        <w:pStyle w:val="ReferHead"/>
        <w:spacing w:after="0"/>
        <w:jc w:val="both"/>
        <w:rPr>
          <w:rFonts w:ascii="Arial" w:hAnsi="Arial" w:cs="Arial"/>
        </w:rPr>
      </w:pPr>
    </w:p>
    <w:p w14:paraId="1AD0678F" w14:textId="468AC769" w:rsidR="006924D7" w:rsidRPr="006924D7" w:rsidRDefault="006924D7" w:rsidP="006924D7">
      <w:pPr>
        <w:jc w:val="both"/>
        <w:rPr>
          <w:rFonts w:ascii="Arial" w:hAnsi="Arial" w:cs="Arial"/>
        </w:rPr>
      </w:pPr>
      <w:r w:rsidRPr="006924D7">
        <w:rPr>
          <w:rFonts w:ascii="Arial" w:hAnsi="Arial" w:cs="Arial"/>
        </w:rPr>
        <w:t>1.Babamiri B, Yavari S, Nikpey S, Faraji N, Goli R, Rahimi K. Undifferentiated soft-tissue sarcoma (STS) in a 34-year-old woman: a case report. International Journal of Surgery Case Reports. 2023 Apr 1;105:108104.</w:t>
      </w:r>
    </w:p>
    <w:p w14:paraId="48218708" w14:textId="77777777" w:rsidR="006924D7" w:rsidRPr="006924D7" w:rsidRDefault="006924D7" w:rsidP="006924D7">
      <w:pPr>
        <w:jc w:val="both"/>
        <w:rPr>
          <w:rFonts w:ascii="Arial" w:hAnsi="Arial" w:cs="Arial"/>
        </w:rPr>
      </w:pPr>
    </w:p>
    <w:p w14:paraId="49460C95" w14:textId="6751CD8D" w:rsidR="006924D7" w:rsidRDefault="006924D7" w:rsidP="006924D7">
      <w:pPr>
        <w:rPr>
          <w:rFonts w:ascii="Arial" w:hAnsi="Arial" w:cs="Arial"/>
        </w:rPr>
      </w:pPr>
      <w:r w:rsidRPr="006924D7">
        <w:rPr>
          <w:rFonts w:ascii="Arial" w:hAnsi="Arial" w:cs="Arial"/>
        </w:rPr>
        <w:t xml:space="preserve">2. Zhang S, Zhang X, Zhao Z, Xu L, Xu S, Liu T, </w:t>
      </w:r>
      <w:r>
        <w:rPr>
          <w:rFonts w:ascii="Arial" w:hAnsi="Arial" w:cs="Arial"/>
        </w:rPr>
        <w:t xml:space="preserve">et al: </w:t>
      </w:r>
      <w:r w:rsidRPr="006924D7">
        <w:rPr>
          <w:rFonts w:ascii="Arial" w:hAnsi="Arial" w:cs="Arial"/>
        </w:rPr>
        <w:t>Undifferentiated pleomorphic sarcoma of the extremity and trunk: a retrospective cohort study of 166 cases in a large institution. Translational Cancer Research. 2022 Apr;11(4):678.</w:t>
      </w:r>
    </w:p>
    <w:p w14:paraId="5FE326DB" w14:textId="77777777" w:rsidR="005139E0" w:rsidRDefault="005139E0" w:rsidP="006924D7">
      <w:pPr>
        <w:rPr>
          <w:rFonts w:ascii="Arial" w:hAnsi="Arial" w:cs="Arial"/>
        </w:rPr>
      </w:pPr>
    </w:p>
    <w:p w14:paraId="092A2DBA" w14:textId="704BB1B2" w:rsidR="005139E0" w:rsidRPr="006924D7" w:rsidRDefault="005139E0" w:rsidP="006924D7">
      <w:pPr>
        <w:rPr>
          <w:rFonts w:ascii="Arial" w:hAnsi="Arial" w:cs="Arial"/>
        </w:rPr>
      </w:pPr>
      <w:r>
        <w:rPr>
          <w:rFonts w:ascii="Arial" w:hAnsi="Arial" w:cs="Arial"/>
        </w:rPr>
        <w:t>3.</w:t>
      </w:r>
      <w:r w:rsidRPr="005139E0">
        <w:rPr>
          <w:rFonts w:ascii="Segoe UI" w:hAnsi="Segoe UI" w:cs="Segoe UI"/>
          <w:color w:val="212121"/>
          <w:shd w:val="clear" w:color="auto" w:fill="FFFFFF"/>
        </w:rPr>
        <w:t xml:space="preserve"> </w:t>
      </w:r>
      <w:r w:rsidRPr="005139E0">
        <w:rPr>
          <w:rFonts w:ascii="Arial" w:hAnsi="Arial" w:cs="Arial"/>
        </w:rPr>
        <w:t xml:space="preserve">Anderson WJ, Doyle LA. Updates from the 2020 World Health Organization Classification of Soft Tissue and Bone Tumours. Histopathology. 2021 Apr;78(5):644-657. </w:t>
      </w:r>
      <w:proofErr w:type="spellStart"/>
      <w:r w:rsidRPr="005139E0">
        <w:rPr>
          <w:rFonts w:ascii="Arial" w:hAnsi="Arial" w:cs="Arial"/>
        </w:rPr>
        <w:t>doi</w:t>
      </w:r>
      <w:proofErr w:type="spellEnd"/>
      <w:r w:rsidRPr="005139E0">
        <w:rPr>
          <w:rFonts w:ascii="Arial" w:hAnsi="Arial" w:cs="Arial"/>
        </w:rPr>
        <w:t xml:space="preserve">: 10.1111/his.14265. </w:t>
      </w:r>
      <w:proofErr w:type="spellStart"/>
      <w:r w:rsidRPr="005139E0">
        <w:rPr>
          <w:rFonts w:ascii="Arial" w:hAnsi="Arial" w:cs="Arial"/>
        </w:rPr>
        <w:t>Epub</w:t>
      </w:r>
      <w:proofErr w:type="spellEnd"/>
      <w:r w:rsidRPr="005139E0">
        <w:rPr>
          <w:rFonts w:ascii="Arial" w:hAnsi="Arial" w:cs="Arial"/>
        </w:rPr>
        <w:t xml:space="preserve"> 2021 Jan 12. PMID: 33438273.</w:t>
      </w:r>
    </w:p>
    <w:p w14:paraId="1F5D7F55" w14:textId="77777777" w:rsidR="006924D7" w:rsidRPr="006924D7" w:rsidRDefault="006924D7" w:rsidP="006924D7">
      <w:pPr>
        <w:jc w:val="both"/>
        <w:rPr>
          <w:rFonts w:ascii="Arial" w:hAnsi="Arial" w:cs="Arial"/>
        </w:rPr>
      </w:pPr>
    </w:p>
    <w:p w14:paraId="60EA9321" w14:textId="18F85201" w:rsidR="006924D7" w:rsidRPr="006924D7" w:rsidRDefault="005139E0" w:rsidP="006924D7">
      <w:pPr>
        <w:jc w:val="both"/>
        <w:rPr>
          <w:rFonts w:ascii="Arial" w:hAnsi="Arial" w:cs="Arial"/>
        </w:rPr>
      </w:pPr>
      <w:r>
        <w:rPr>
          <w:rFonts w:ascii="Arial" w:hAnsi="Arial" w:cs="Arial"/>
        </w:rPr>
        <w:t>4</w:t>
      </w:r>
      <w:r w:rsidR="006924D7" w:rsidRPr="006924D7">
        <w:rPr>
          <w:rFonts w:ascii="Arial" w:hAnsi="Arial" w:cs="Arial"/>
        </w:rPr>
        <w:t>.Gamboa AC, Gronchi A, Cardona K. Soft</w:t>
      </w:r>
      <w:r w:rsidR="006924D7" w:rsidRPr="006924D7">
        <w:rPr>
          <w:rFonts w:ascii="Cambria Math" w:hAnsi="Cambria Math" w:cs="Cambria Math"/>
        </w:rPr>
        <w:t>‐</w:t>
      </w:r>
      <w:r w:rsidR="006924D7" w:rsidRPr="006924D7">
        <w:rPr>
          <w:rFonts w:ascii="Arial" w:hAnsi="Arial" w:cs="Arial"/>
        </w:rPr>
        <w:t>tissue sarcoma in adults: an update on the current state of histiotype</w:t>
      </w:r>
      <w:r w:rsidR="006924D7" w:rsidRPr="006924D7">
        <w:rPr>
          <w:rFonts w:ascii="Cambria Math" w:hAnsi="Cambria Math" w:cs="Cambria Math"/>
        </w:rPr>
        <w:t>‐</w:t>
      </w:r>
      <w:r w:rsidR="006924D7" w:rsidRPr="006924D7">
        <w:rPr>
          <w:rFonts w:ascii="Arial" w:hAnsi="Arial" w:cs="Arial"/>
        </w:rPr>
        <w:t>specific management in an era of personalized medicine. CA: a cancer journal for clinicians. 2020 May;70(3):200-29.</w:t>
      </w:r>
    </w:p>
    <w:p w14:paraId="221B3C1F" w14:textId="77777777" w:rsidR="006924D7" w:rsidRPr="006924D7" w:rsidRDefault="006924D7" w:rsidP="006924D7">
      <w:pPr>
        <w:jc w:val="both"/>
        <w:rPr>
          <w:rFonts w:ascii="Arial" w:hAnsi="Arial" w:cs="Arial"/>
        </w:rPr>
      </w:pPr>
    </w:p>
    <w:p w14:paraId="09DE30A8" w14:textId="629E8F3D" w:rsidR="006924D7" w:rsidRPr="00423C30" w:rsidRDefault="005139E0" w:rsidP="006924D7">
      <w:pPr>
        <w:rPr>
          <w:rFonts w:ascii="Arial" w:hAnsi="Arial" w:cs="Arial"/>
          <w:highlight w:val="yellow"/>
        </w:rPr>
      </w:pPr>
      <w:r w:rsidRPr="00423C30">
        <w:rPr>
          <w:rFonts w:ascii="Arial" w:hAnsi="Arial" w:cs="Arial"/>
          <w:highlight w:val="yellow"/>
        </w:rPr>
        <w:t>5</w:t>
      </w:r>
      <w:r w:rsidR="006924D7" w:rsidRPr="00423C30">
        <w:rPr>
          <w:rFonts w:ascii="Arial" w:hAnsi="Arial" w:cs="Arial"/>
          <w:highlight w:val="yellow"/>
        </w:rPr>
        <w:t xml:space="preserve">. </w:t>
      </w:r>
      <w:r w:rsidR="007741CB" w:rsidRPr="00423C30">
        <w:rPr>
          <w:rFonts w:ascii="Arial" w:hAnsi="Arial" w:cs="Arial"/>
          <w:highlight w:val="yellow"/>
        </w:rPr>
        <w:t xml:space="preserve">Mohammed A, Abdullahi K, </w:t>
      </w:r>
      <w:proofErr w:type="spellStart"/>
      <w:r w:rsidR="007741CB" w:rsidRPr="00423C30">
        <w:rPr>
          <w:rFonts w:ascii="Arial" w:hAnsi="Arial" w:cs="Arial"/>
          <w:highlight w:val="yellow"/>
        </w:rPr>
        <w:t>Amutta</w:t>
      </w:r>
      <w:proofErr w:type="spellEnd"/>
      <w:r w:rsidR="007741CB" w:rsidRPr="00423C30">
        <w:rPr>
          <w:rFonts w:ascii="Arial" w:hAnsi="Arial" w:cs="Arial"/>
          <w:highlight w:val="yellow"/>
        </w:rPr>
        <w:t xml:space="preserve"> SB. Head and Neck Sarcomas: Demographic and Histological Characteristics in a Tertiary Hospital of a Developing Country. children.;7:8.</w:t>
      </w:r>
    </w:p>
    <w:p w14:paraId="2BFD43C5" w14:textId="77777777" w:rsidR="006924D7" w:rsidRPr="00423C30" w:rsidRDefault="006924D7" w:rsidP="006924D7">
      <w:pPr>
        <w:jc w:val="both"/>
        <w:rPr>
          <w:rFonts w:ascii="Arial" w:hAnsi="Arial" w:cs="Arial"/>
          <w:highlight w:val="yellow"/>
        </w:rPr>
      </w:pPr>
    </w:p>
    <w:p w14:paraId="77EA00E2" w14:textId="77777777" w:rsidR="007741CB" w:rsidRDefault="005139E0" w:rsidP="007741CB">
      <w:pPr>
        <w:jc w:val="both"/>
        <w:rPr>
          <w:rFonts w:ascii="Arial" w:hAnsi="Arial" w:cs="Arial"/>
          <w:color w:val="222222"/>
          <w:shd w:val="clear" w:color="auto" w:fill="FFFFFF"/>
        </w:rPr>
      </w:pPr>
      <w:r w:rsidRPr="00423C30">
        <w:rPr>
          <w:rFonts w:ascii="Arial" w:hAnsi="Arial" w:cs="Arial"/>
          <w:highlight w:val="yellow"/>
        </w:rPr>
        <w:t>6</w:t>
      </w:r>
      <w:r w:rsidR="006924D7" w:rsidRPr="00423C30">
        <w:rPr>
          <w:rFonts w:ascii="Arial" w:hAnsi="Arial" w:cs="Arial"/>
          <w:highlight w:val="yellow"/>
        </w:rPr>
        <w:t>.</w:t>
      </w:r>
      <w:r w:rsidR="00746870" w:rsidRPr="00423C30">
        <w:rPr>
          <w:rFonts w:ascii="Arial" w:hAnsi="Arial" w:cs="Arial"/>
          <w:color w:val="222222"/>
          <w:highlight w:val="yellow"/>
          <w:shd w:val="clear" w:color="auto" w:fill="FFFFFF"/>
        </w:rPr>
        <w:t xml:space="preserve"> </w:t>
      </w:r>
      <w:proofErr w:type="spellStart"/>
      <w:r w:rsidR="007741CB" w:rsidRPr="00423C30">
        <w:rPr>
          <w:rFonts w:ascii="Arial" w:hAnsi="Arial" w:cs="Arial"/>
          <w:color w:val="222222"/>
          <w:highlight w:val="yellow"/>
          <w:shd w:val="clear" w:color="auto" w:fill="FFFFFF"/>
        </w:rPr>
        <w:t>Yongu</w:t>
      </w:r>
      <w:proofErr w:type="spellEnd"/>
      <w:r w:rsidR="007741CB" w:rsidRPr="00423C30">
        <w:rPr>
          <w:rFonts w:ascii="Arial" w:hAnsi="Arial" w:cs="Arial"/>
          <w:color w:val="222222"/>
          <w:highlight w:val="yellow"/>
          <w:shd w:val="clear" w:color="auto" w:fill="FFFFFF"/>
        </w:rPr>
        <w:t xml:space="preserve"> W, Elachi I, </w:t>
      </w:r>
      <w:proofErr w:type="spellStart"/>
      <w:r w:rsidR="007741CB" w:rsidRPr="00423C30">
        <w:rPr>
          <w:rFonts w:ascii="Arial" w:hAnsi="Arial" w:cs="Arial"/>
          <w:color w:val="222222"/>
          <w:highlight w:val="yellow"/>
          <w:shd w:val="clear" w:color="auto" w:fill="FFFFFF"/>
        </w:rPr>
        <w:t>Mue</w:t>
      </w:r>
      <w:proofErr w:type="spellEnd"/>
      <w:r w:rsidR="007741CB" w:rsidRPr="00423C30">
        <w:rPr>
          <w:rFonts w:ascii="Arial" w:hAnsi="Arial" w:cs="Arial"/>
          <w:color w:val="222222"/>
          <w:highlight w:val="yellow"/>
          <w:shd w:val="clear" w:color="auto" w:fill="FFFFFF"/>
        </w:rPr>
        <w:t xml:space="preserve"> D, Kortor J, Soo C, </w:t>
      </w:r>
      <w:proofErr w:type="spellStart"/>
      <w:r w:rsidR="007741CB" w:rsidRPr="00423C30">
        <w:rPr>
          <w:rFonts w:ascii="Arial" w:hAnsi="Arial" w:cs="Arial"/>
          <w:color w:val="222222"/>
          <w:highlight w:val="yellow"/>
          <w:shd w:val="clear" w:color="auto" w:fill="FFFFFF"/>
        </w:rPr>
        <w:t>Ahachi</w:t>
      </w:r>
      <w:proofErr w:type="spellEnd"/>
      <w:r w:rsidR="007741CB" w:rsidRPr="00423C30">
        <w:rPr>
          <w:rFonts w:ascii="Arial" w:hAnsi="Arial" w:cs="Arial"/>
          <w:color w:val="222222"/>
          <w:highlight w:val="yellow"/>
          <w:shd w:val="clear" w:color="auto" w:fill="FFFFFF"/>
        </w:rPr>
        <w:t xml:space="preserve"> C, Ojo B, </w:t>
      </w:r>
      <w:proofErr w:type="spellStart"/>
      <w:r w:rsidR="007741CB" w:rsidRPr="00423C30">
        <w:rPr>
          <w:rFonts w:ascii="Arial" w:hAnsi="Arial" w:cs="Arial"/>
          <w:color w:val="222222"/>
          <w:highlight w:val="yellow"/>
          <w:shd w:val="clear" w:color="auto" w:fill="FFFFFF"/>
        </w:rPr>
        <w:t>Ngbea</w:t>
      </w:r>
      <w:proofErr w:type="spellEnd"/>
      <w:r w:rsidR="007741CB" w:rsidRPr="00423C30">
        <w:rPr>
          <w:rFonts w:ascii="Arial" w:hAnsi="Arial" w:cs="Arial"/>
          <w:color w:val="222222"/>
          <w:highlight w:val="yellow"/>
          <w:shd w:val="clear" w:color="auto" w:fill="FFFFFF"/>
        </w:rPr>
        <w:t xml:space="preserve"> J. Delayed Presentation of Bone and Soft Tissue Sarcoma of the Extremity in Makurdi: Do Traditional Bone Setters Play a Role?. Journal of Advances in Medicine and Medical Research. 2017 Jan 10;22(10):1-8.</w:t>
      </w:r>
    </w:p>
    <w:p w14:paraId="72935127" w14:textId="77777777" w:rsidR="007741CB" w:rsidRDefault="007741CB" w:rsidP="007741CB">
      <w:pPr>
        <w:jc w:val="both"/>
        <w:rPr>
          <w:rFonts w:ascii="Arial" w:hAnsi="Arial" w:cs="Arial"/>
          <w:color w:val="222222"/>
          <w:shd w:val="clear" w:color="auto" w:fill="FFFFFF"/>
        </w:rPr>
      </w:pPr>
    </w:p>
    <w:p w14:paraId="0A19B616" w14:textId="13EA4C59" w:rsidR="007741CB" w:rsidRDefault="007741CB" w:rsidP="007741CB">
      <w:pPr>
        <w:jc w:val="both"/>
        <w:rPr>
          <w:rFonts w:ascii="Arial" w:hAnsi="Arial" w:cs="Arial"/>
          <w:color w:val="222222"/>
          <w:shd w:val="clear" w:color="auto" w:fill="FFFFFF"/>
        </w:rPr>
      </w:pPr>
      <w:r>
        <w:rPr>
          <w:rFonts w:ascii="Arial" w:hAnsi="Arial" w:cs="Arial"/>
          <w:color w:val="222222"/>
          <w:shd w:val="clear" w:color="auto" w:fill="FFFFFF"/>
        </w:rPr>
        <w:t xml:space="preserve">7. </w:t>
      </w:r>
      <w:proofErr w:type="spellStart"/>
      <w:r w:rsidRPr="007741CB">
        <w:rPr>
          <w:rFonts w:ascii="Arial" w:hAnsi="Arial" w:cs="Arial"/>
          <w:color w:val="222222"/>
          <w:shd w:val="clear" w:color="auto" w:fill="FFFFFF"/>
        </w:rPr>
        <w:t>Thway</w:t>
      </w:r>
      <w:proofErr w:type="spellEnd"/>
      <w:r w:rsidRPr="007741CB">
        <w:rPr>
          <w:rFonts w:ascii="Arial" w:hAnsi="Arial" w:cs="Arial"/>
          <w:color w:val="222222"/>
          <w:shd w:val="clear" w:color="auto" w:fill="FFFFFF"/>
        </w:rPr>
        <w:t xml:space="preserve"> K, Fisher C. Undifferentiated and dedifferentiated soft tissue neoplasms: Immunohistochemical surrogates for differential diagnosis. </w:t>
      </w:r>
      <w:proofErr w:type="spellStart"/>
      <w:r w:rsidRPr="007741CB">
        <w:rPr>
          <w:rFonts w:ascii="Arial" w:hAnsi="Arial" w:cs="Arial"/>
          <w:color w:val="222222"/>
          <w:shd w:val="clear" w:color="auto" w:fill="FFFFFF"/>
        </w:rPr>
        <w:t>InSeminars</w:t>
      </w:r>
      <w:proofErr w:type="spellEnd"/>
      <w:r w:rsidRPr="007741CB">
        <w:rPr>
          <w:rFonts w:ascii="Arial" w:hAnsi="Arial" w:cs="Arial"/>
          <w:color w:val="222222"/>
          <w:shd w:val="clear" w:color="auto" w:fill="FFFFFF"/>
        </w:rPr>
        <w:t xml:space="preserve"> in diagnostic pathology 2021 Nov 1 (Vol. 38, No. 6, pp. 170-186). WB Saunders.</w:t>
      </w:r>
    </w:p>
    <w:p w14:paraId="3CB5E0BA" w14:textId="77777777" w:rsidR="007741CB" w:rsidRDefault="007741CB" w:rsidP="007741CB">
      <w:pPr>
        <w:jc w:val="both"/>
        <w:rPr>
          <w:rFonts w:ascii="Arial" w:hAnsi="Arial" w:cs="Arial"/>
          <w:color w:val="222222"/>
          <w:shd w:val="clear" w:color="auto" w:fill="FFFFFF"/>
        </w:rPr>
      </w:pPr>
    </w:p>
    <w:p w14:paraId="1587C2F3" w14:textId="42803B17" w:rsidR="007741CB" w:rsidRDefault="007741CB" w:rsidP="007741CB">
      <w:pPr>
        <w:jc w:val="both"/>
        <w:rPr>
          <w:rFonts w:ascii="Arial" w:hAnsi="Arial" w:cs="Arial"/>
          <w:color w:val="222222"/>
          <w:shd w:val="clear" w:color="auto" w:fill="FFFFFF"/>
        </w:rPr>
      </w:pPr>
      <w:r>
        <w:rPr>
          <w:rFonts w:ascii="Arial" w:hAnsi="Arial" w:cs="Arial"/>
          <w:color w:val="222222"/>
          <w:shd w:val="clear" w:color="auto" w:fill="FFFFFF"/>
        </w:rPr>
        <w:t xml:space="preserve">8. </w:t>
      </w:r>
      <w:proofErr w:type="spellStart"/>
      <w:r w:rsidRPr="007741CB">
        <w:rPr>
          <w:rFonts w:ascii="Arial" w:hAnsi="Arial" w:cs="Arial"/>
          <w:color w:val="222222"/>
          <w:shd w:val="clear" w:color="auto" w:fill="FFFFFF"/>
        </w:rPr>
        <w:t>Magaki</w:t>
      </w:r>
      <w:proofErr w:type="spellEnd"/>
      <w:r w:rsidRPr="007741CB">
        <w:rPr>
          <w:rFonts w:ascii="Arial" w:hAnsi="Arial" w:cs="Arial"/>
          <w:color w:val="222222"/>
          <w:shd w:val="clear" w:color="auto" w:fill="FFFFFF"/>
        </w:rPr>
        <w:t xml:space="preserve"> S, </w:t>
      </w:r>
      <w:proofErr w:type="spellStart"/>
      <w:r w:rsidRPr="007741CB">
        <w:rPr>
          <w:rFonts w:ascii="Arial" w:hAnsi="Arial" w:cs="Arial"/>
          <w:color w:val="222222"/>
          <w:shd w:val="clear" w:color="auto" w:fill="FFFFFF"/>
        </w:rPr>
        <w:t>Hojat</w:t>
      </w:r>
      <w:proofErr w:type="spellEnd"/>
      <w:r w:rsidRPr="007741CB">
        <w:rPr>
          <w:rFonts w:ascii="Arial" w:hAnsi="Arial" w:cs="Arial"/>
          <w:color w:val="222222"/>
          <w:shd w:val="clear" w:color="auto" w:fill="FFFFFF"/>
        </w:rPr>
        <w:t xml:space="preserve"> SA, Wei B, So A, Yong WH. An introduction to the performance of immunohistochemistry. Biobanking: methods and protocols. 2018 Dec 12:289-98.</w:t>
      </w:r>
    </w:p>
    <w:p w14:paraId="1697E91D" w14:textId="77777777" w:rsidR="007741CB" w:rsidRDefault="007741CB" w:rsidP="007741CB">
      <w:pPr>
        <w:jc w:val="both"/>
        <w:rPr>
          <w:rFonts w:ascii="Arial" w:hAnsi="Arial" w:cs="Arial"/>
          <w:color w:val="222222"/>
          <w:shd w:val="clear" w:color="auto" w:fill="FFFFFF"/>
        </w:rPr>
      </w:pPr>
    </w:p>
    <w:p w14:paraId="2E1DB2E3" w14:textId="6730C341" w:rsidR="006924D7" w:rsidRPr="006924D7" w:rsidRDefault="006924D7" w:rsidP="006924D7">
      <w:pPr>
        <w:jc w:val="both"/>
        <w:rPr>
          <w:rFonts w:ascii="Arial" w:hAnsi="Arial" w:cs="Arial"/>
        </w:rPr>
      </w:pPr>
    </w:p>
    <w:p w14:paraId="44646B88" w14:textId="77777777" w:rsidR="006924D7" w:rsidRPr="006924D7" w:rsidRDefault="006924D7" w:rsidP="006924D7">
      <w:pPr>
        <w:rPr>
          <w:rFonts w:ascii="Arial" w:hAnsi="Arial" w:cs="Arial"/>
        </w:rPr>
      </w:pPr>
    </w:p>
    <w:p w14:paraId="0FF8521B" w14:textId="20BB6543" w:rsidR="006924D7" w:rsidRDefault="007741CB" w:rsidP="006924D7">
      <w:pPr>
        <w:rPr>
          <w:rFonts w:ascii="Arial" w:hAnsi="Arial" w:cs="Arial"/>
        </w:rPr>
      </w:pPr>
      <w:r>
        <w:rPr>
          <w:rFonts w:ascii="Arial" w:hAnsi="Arial" w:cs="Arial"/>
        </w:rPr>
        <w:lastRenderedPageBreak/>
        <w:t>9</w:t>
      </w:r>
      <w:r w:rsidR="006924D7" w:rsidRPr="006924D7">
        <w:rPr>
          <w:rFonts w:ascii="Arial" w:hAnsi="Arial" w:cs="Arial"/>
        </w:rPr>
        <w:t>. Black MA, Charville GW. Diagnosis of soft tissue tumors using immunohistochemistry as a surrogate for recurrent fusion oncoproteins. In Seminars in Diagnostic Pathology 2022 Jan 1 (Vol. 39, No. 1, pp. 38-47). WB Saunders.</w:t>
      </w:r>
    </w:p>
    <w:p w14:paraId="79726592" w14:textId="77777777" w:rsidR="00F06F34" w:rsidRDefault="00F06F34" w:rsidP="006924D7">
      <w:pPr>
        <w:rPr>
          <w:rFonts w:ascii="Arial" w:hAnsi="Arial" w:cs="Arial"/>
        </w:rPr>
      </w:pPr>
    </w:p>
    <w:p w14:paraId="407414BF" w14:textId="7B69C81F" w:rsidR="00F06F34" w:rsidRPr="00F06F34" w:rsidRDefault="007741CB" w:rsidP="006924D7">
      <w:pPr>
        <w:rPr>
          <w:rFonts w:ascii="Arial" w:hAnsi="Arial" w:cs="Arial"/>
        </w:rPr>
      </w:pPr>
      <w:r>
        <w:rPr>
          <w:rFonts w:ascii="Arial" w:hAnsi="Arial" w:cs="Arial"/>
        </w:rPr>
        <w:t>10</w:t>
      </w:r>
      <w:r w:rsidR="00F06F34">
        <w:rPr>
          <w:rFonts w:ascii="Arial" w:hAnsi="Arial" w:cs="Arial"/>
        </w:rPr>
        <w:t xml:space="preserve">. </w:t>
      </w:r>
      <w:r w:rsidR="00F06F34" w:rsidRPr="00F06F34">
        <w:rPr>
          <w:rStyle w:val="Strong"/>
          <w:rFonts w:ascii="Arial" w:hAnsi="Arial" w:cs="Arial"/>
          <w:b w:val="0"/>
          <w:bCs w:val="0"/>
        </w:rPr>
        <w:t>Zhang Y, Chen Y, Papakonstantinou A, Tsagkozis P, Linder</w:t>
      </w:r>
      <w:r w:rsidR="00F06F34" w:rsidRPr="00F06F34">
        <w:rPr>
          <w:rStyle w:val="Strong"/>
          <w:rFonts w:ascii="Arial" w:hAnsi="Arial" w:cs="Arial"/>
          <w:b w:val="0"/>
          <w:bCs w:val="0"/>
        </w:rPr>
        <w:noBreakHyphen/>
        <w:t>Stragliotto C, Haglund F.</w:t>
      </w:r>
      <w:r w:rsidR="00F06F34" w:rsidRPr="00F06F34">
        <w:rPr>
          <w:rFonts w:ascii="Arial" w:hAnsi="Arial" w:cs="Arial"/>
        </w:rPr>
        <w:t xml:space="preserve"> Evaluation of PD</w:t>
      </w:r>
      <w:r w:rsidR="00F06F34" w:rsidRPr="00F06F34">
        <w:rPr>
          <w:rFonts w:ascii="Arial" w:hAnsi="Arial" w:cs="Arial"/>
        </w:rPr>
        <w:noBreakHyphen/>
        <w:t xml:space="preserve">L1 expression in undifferentiated pleomorphic sarcomas, liposarcomas and chondrosarcomas. </w:t>
      </w:r>
      <w:r w:rsidR="00F06F34" w:rsidRPr="00F06F34">
        <w:rPr>
          <w:rStyle w:val="Emphasis"/>
          <w:rFonts w:ascii="Arial" w:hAnsi="Arial" w:cs="Arial"/>
        </w:rPr>
        <w:t>Biomolecules</w:t>
      </w:r>
      <w:r w:rsidR="00F06F34" w:rsidRPr="00F06F34">
        <w:rPr>
          <w:rFonts w:ascii="Arial" w:hAnsi="Arial" w:cs="Arial"/>
        </w:rPr>
        <w:t>. 2022;12(2):292. doi:10.3390/biom12020292</w:t>
      </w:r>
    </w:p>
    <w:sectPr w:rsidR="00F06F34" w:rsidRPr="00F06F34" w:rsidSect="005B7D74">
      <w:headerReference w:type="even" r:id="rId21"/>
      <w:headerReference w:type="default" r:id="rId22"/>
      <w:footerReference w:type="default" r:id="rId23"/>
      <w:headerReference w:type="first" r:id="rId24"/>
      <w:type w:val="continuous"/>
      <w:pgSz w:w="12240" w:h="15840"/>
      <w:pgMar w:top="1276" w:right="720" w:bottom="12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90474" w14:textId="77777777" w:rsidR="00A541A4" w:rsidRDefault="00A541A4" w:rsidP="00C37E61">
      <w:r>
        <w:separator/>
      </w:r>
    </w:p>
  </w:endnote>
  <w:endnote w:type="continuationSeparator" w:id="0">
    <w:p w14:paraId="030439C9" w14:textId="77777777" w:rsidR="00A541A4" w:rsidRDefault="00A541A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CC7E0" w14:textId="77777777" w:rsidR="005B7D74" w:rsidRDefault="005B7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48BD" w14:textId="77777777" w:rsidR="005B7D74" w:rsidRDefault="005B7D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B04C" w14:textId="3260F4A6" w:rsidR="00754C9A" w:rsidRPr="005B7D74" w:rsidRDefault="00754C9A" w:rsidP="005B7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DC8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5A83C" w14:textId="77777777" w:rsidR="00A541A4" w:rsidRDefault="00A541A4" w:rsidP="00C37E61">
      <w:r>
        <w:separator/>
      </w:r>
    </w:p>
  </w:footnote>
  <w:footnote w:type="continuationSeparator" w:id="0">
    <w:p w14:paraId="6E327F3A" w14:textId="77777777" w:rsidR="00A541A4" w:rsidRDefault="00A541A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BFBCE" w14:textId="71301F08" w:rsidR="005B7D74" w:rsidRDefault="00000000">
    <w:pPr>
      <w:pStyle w:val="Header"/>
    </w:pPr>
    <w:r>
      <w:rPr>
        <w:noProof/>
      </w:rPr>
      <w:pict w14:anchorId="02BEE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88" o:spid="_x0000_s1030"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693AF" w14:textId="0613780C" w:rsidR="005B7D74" w:rsidRDefault="00000000">
    <w:pPr>
      <w:pStyle w:val="Header"/>
    </w:pPr>
    <w:r>
      <w:rPr>
        <w:noProof/>
      </w:rPr>
      <w:pict w14:anchorId="65A50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89" o:spid="_x0000_s1029"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EA03" w14:textId="4EBF2B3E" w:rsidR="00296529" w:rsidRPr="00296529" w:rsidRDefault="00000000" w:rsidP="00296529">
    <w:pPr>
      <w:ind w:left="2160"/>
      <w:jc w:val="center"/>
      <w:rPr>
        <w:rFonts w:ascii="Times New Roman" w:eastAsia="Calibri" w:hAnsi="Times New Roman"/>
        <w:i/>
        <w:sz w:val="18"/>
        <w:szCs w:val="22"/>
      </w:rPr>
    </w:pPr>
    <w:r>
      <w:rPr>
        <w:noProof/>
      </w:rPr>
      <w:pict w14:anchorId="0A2F2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87" o:spid="_x0000_s1028"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7DD5A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DEBE7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3E1B1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A3551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0361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B0893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CC4D1" w14:textId="24400D38" w:rsidR="005B7D74" w:rsidRDefault="00000000">
    <w:pPr>
      <w:pStyle w:val="Header"/>
    </w:pPr>
    <w:r>
      <w:rPr>
        <w:noProof/>
      </w:rPr>
      <w:pict w14:anchorId="6E53E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91" o:spid="_x0000_s1027"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374E" w14:textId="7FCC0A9F" w:rsidR="005B7D74" w:rsidRDefault="00000000">
    <w:pPr>
      <w:pStyle w:val="Header"/>
    </w:pPr>
    <w:r>
      <w:rPr>
        <w:noProof/>
      </w:rPr>
      <w:pict w14:anchorId="03A8D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92" o:spid="_x0000_s1026"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06E10" w14:textId="1332A58E" w:rsidR="005B7D74" w:rsidRDefault="00000000">
    <w:pPr>
      <w:pStyle w:val="Header"/>
    </w:pPr>
    <w:r>
      <w:rPr>
        <w:noProof/>
      </w:rPr>
      <w:pict w14:anchorId="3AE58B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732690" o:spid="_x0000_s1025"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B75500E"/>
    <w:multiLevelType w:val="multilevel"/>
    <w:tmpl w:val="C7BA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C4B3A84"/>
    <w:multiLevelType w:val="multilevel"/>
    <w:tmpl w:val="2D3018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3C3E26"/>
    <w:multiLevelType w:val="hybridMultilevel"/>
    <w:tmpl w:val="009A55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58950D9"/>
    <w:multiLevelType w:val="hybridMultilevel"/>
    <w:tmpl w:val="D0328946"/>
    <w:lvl w:ilvl="0" w:tplc="F71453E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6869029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1143797">
    <w:abstractNumId w:val="17"/>
  </w:num>
  <w:num w:numId="3" w16cid:durableId="302930713">
    <w:abstractNumId w:val="26"/>
  </w:num>
  <w:num w:numId="4" w16cid:durableId="125470648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90946446">
    <w:abstractNumId w:val="7"/>
  </w:num>
  <w:num w:numId="6" w16cid:durableId="1147668324">
    <w:abstractNumId w:val="6"/>
  </w:num>
  <w:num w:numId="7" w16cid:durableId="1816070427">
    <w:abstractNumId w:val="1"/>
  </w:num>
  <w:num w:numId="8" w16cid:durableId="726336797">
    <w:abstractNumId w:val="13"/>
  </w:num>
  <w:num w:numId="9" w16cid:durableId="800465729">
    <w:abstractNumId w:val="29"/>
  </w:num>
  <w:num w:numId="10" w16cid:durableId="1322857006">
    <w:abstractNumId w:val="2"/>
  </w:num>
  <w:num w:numId="11" w16cid:durableId="1227840960">
    <w:abstractNumId w:val="21"/>
  </w:num>
  <w:num w:numId="12" w16cid:durableId="374545121">
    <w:abstractNumId w:val="3"/>
  </w:num>
  <w:num w:numId="13" w16cid:durableId="1843816677">
    <w:abstractNumId w:val="20"/>
  </w:num>
  <w:num w:numId="14" w16cid:durableId="555362466">
    <w:abstractNumId w:val="8"/>
  </w:num>
  <w:num w:numId="15" w16cid:durableId="2093550282">
    <w:abstractNumId w:val="24"/>
  </w:num>
  <w:num w:numId="16" w16cid:durableId="2105572635">
    <w:abstractNumId w:val="5"/>
  </w:num>
  <w:num w:numId="17" w16cid:durableId="1755972596">
    <w:abstractNumId w:val="25"/>
  </w:num>
  <w:num w:numId="18" w16cid:durableId="731775315">
    <w:abstractNumId w:val="15"/>
  </w:num>
  <w:num w:numId="19" w16cid:durableId="79449416">
    <w:abstractNumId w:val="32"/>
  </w:num>
  <w:num w:numId="20" w16cid:durableId="1190030462">
    <w:abstractNumId w:val="11"/>
  </w:num>
  <w:num w:numId="21" w16cid:durableId="748036445">
    <w:abstractNumId w:val="9"/>
  </w:num>
  <w:num w:numId="22" w16cid:durableId="543754687">
    <w:abstractNumId w:val="14"/>
  </w:num>
  <w:num w:numId="23" w16cid:durableId="1199274427">
    <w:abstractNumId w:val="22"/>
  </w:num>
  <w:num w:numId="24" w16cid:durableId="1709060103">
    <w:abstractNumId w:val="30"/>
  </w:num>
  <w:num w:numId="25" w16cid:durableId="526218921">
    <w:abstractNumId w:val="4"/>
  </w:num>
  <w:num w:numId="26" w16cid:durableId="1733771312">
    <w:abstractNumId w:val="19"/>
  </w:num>
  <w:num w:numId="27" w16cid:durableId="371227613">
    <w:abstractNumId w:val="23"/>
  </w:num>
  <w:num w:numId="28" w16cid:durableId="136998729">
    <w:abstractNumId w:val="31"/>
  </w:num>
  <w:num w:numId="29" w16cid:durableId="503862855">
    <w:abstractNumId w:val="28"/>
  </w:num>
  <w:num w:numId="30" w16cid:durableId="1025711071">
    <w:abstractNumId w:val="10"/>
  </w:num>
  <w:num w:numId="31" w16cid:durableId="2074524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26769170">
    <w:abstractNumId w:val="18"/>
  </w:num>
  <w:num w:numId="33" w16cid:durableId="989870172">
    <w:abstractNumId w:val="27"/>
  </w:num>
  <w:num w:numId="34" w16cid:durableId="4560976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207A"/>
    <w:rsid w:val="0009476E"/>
    <w:rsid w:val="000A47FA"/>
    <w:rsid w:val="000A65D3"/>
    <w:rsid w:val="000B1E33"/>
    <w:rsid w:val="000D689F"/>
    <w:rsid w:val="000E7B7B"/>
    <w:rsid w:val="000E7D62"/>
    <w:rsid w:val="00103357"/>
    <w:rsid w:val="00123C9F"/>
    <w:rsid w:val="00126190"/>
    <w:rsid w:val="00130F17"/>
    <w:rsid w:val="001320BF"/>
    <w:rsid w:val="00163BC4"/>
    <w:rsid w:val="00176436"/>
    <w:rsid w:val="00191062"/>
    <w:rsid w:val="00192B72"/>
    <w:rsid w:val="001A29D8"/>
    <w:rsid w:val="001A5CAA"/>
    <w:rsid w:val="001B0427"/>
    <w:rsid w:val="001B6E91"/>
    <w:rsid w:val="001D3A51"/>
    <w:rsid w:val="001E10D2"/>
    <w:rsid w:val="001E25B4"/>
    <w:rsid w:val="001E270B"/>
    <w:rsid w:val="001E44FE"/>
    <w:rsid w:val="00200595"/>
    <w:rsid w:val="00204835"/>
    <w:rsid w:val="00231920"/>
    <w:rsid w:val="0023195C"/>
    <w:rsid w:val="0024282C"/>
    <w:rsid w:val="002460DC"/>
    <w:rsid w:val="00250985"/>
    <w:rsid w:val="00251863"/>
    <w:rsid w:val="002556F6"/>
    <w:rsid w:val="00283105"/>
    <w:rsid w:val="00284C4C"/>
    <w:rsid w:val="00287E68"/>
    <w:rsid w:val="00296529"/>
    <w:rsid w:val="002B27FB"/>
    <w:rsid w:val="002B685A"/>
    <w:rsid w:val="002C57D2"/>
    <w:rsid w:val="002E0D56"/>
    <w:rsid w:val="002E6C41"/>
    <w:rsid w:val="0031245E"/>
    <w:rsid w:val="00315186"/>
    <w:rsid w:val="0033343E"/>
    <w:rsid w:val="003512C2"/>
    <w:rsid w:val="00367D0B"/>
    <w:rsid w:val="00371FB6"/>
    <w:rsid w:val="003763C1"/>
    <w:rsid w:val="00376BBE"/>
    <w:rsid w:val="0039224F"/>
    <w:rsid w:val="003A43A4"/>
    <w:rsid w:val="003A7E18"/>
    <w:rsid w:val="003C4C86"/>
    <w:rsid w:val="003C6258"/>
    <w:rsid w:val="003C7A46"/>
    <w:rsid w:val="003E2904"/>
    <w:rsid w:val="003E3391"/>
    <w:rsid w:val="00401927"/>
    <w:rsid w:val="0041027F"/>
    <w:rsid w:val="00412475"/>
    <w:rsid w:val="00423789"/>
    <w:rsid w:val="00423C30"/>
    <w:rsid w:val="00440F43"/>
    <w:rsid w:val="00441B6F"/>
    <w:rsid w:val="00446221"/>
    <w:rsid w:val="00450E62"/>
    <w:rsid w:val="004539DB"/>
    <w:rsid w:val="00471A80"/>
    <w:rsid w:val="004A2489"/>
    <w:rsid w:val="004D305E"/>
    <w:rsid w:val="004D4277"/>
    <w:rsid w:val="00502516"/>
    <w:rsid w:val="00505F06"/>
    <w:rsid w:val="00506828"/>
    <w:rsid w:val="005139E0"/>
    <w:rsid w:val="00521305"/>
    <w:rsid w:val="0053056E"/>
    <w:rsid w:val="00554FDA"/>
    <w:rsid w:val="00594B9B"/>
    <w:rsid w:val="005B7D74"/>
    <w:rsid w:val="005C45F1"/>
    <w:rsid w:val="005C784C"/>
    <w:rsid w:val="005D17F6"/>
    <w:rsid w:val="005E5539"/>
    <w:rsid w:val="005E56DF"/>
    <w:rsid w:val="005F54F5"/>
    <w:rsid w:val="005F6CD9"/>
    <w:rsid w:val="00602BF5"/>
    <w:rsid w:val="00617FDD"/>
    <w:rsid w:val="0063014A"/>
    <w:rsid w:val="00633614"/>
    <w:rsid w:val="00633F68"/>
    <w:rsid w:val="00634CD3"/>
    <w:rsid w:val="00636EB2"/>
    <w:rsid w:val="006375B8"/>
    <w:rsid w:val="0066510A"/>
    <w:rsid w:val="00673F9F"/>
    <w:rsid w:val="00686953"/>
    <w:rsid w:val="00687DEA"/>
    <w:rsid w:val="00687E67"/>
    <w:rsid w:val="006924D7"/>
    <w:rsid w:val="006967F7"/>
    <w:rsid w:val="006A250C"/>
    <w:rsid w:val="006B21D3"/>
    <w:rsid w:val="006B57D0"/>
    <w:rsid w:val="006B69A9"/>
    <w:rsid w:val="006C0E4E"/>
    <w:rsid w:val="006D30FF"/>
    <w:rsid w:val="006D6940"/>
    <w:rsid w:val="006F11EC"/>
    <w:rsid w:val="0070082C"/>
    <w:rsid w:val="007369E6"/>
    <w:rsid w:val="00746870"/>
    <w:rsid w:val="00746E59"/>
    <w:rsid w:val="00754C9A"/>
    <w:rsid w:val="0075599A"/>
    <w:rsid w:val="00761D52"/>
    <w:rsid w:val="007741CB"/>
    <w:rsid w:val="0077749E"/>
    <w:rsid w:val="00786445"/>
    <w:rsid w:val="00790ADA"/>
    <w:rsid w:val="007922F6"/>
    <w:rsid w:val="007A44EC"/>
    <w:rsid w:val="007B6360"/>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836"/>
    <w:rsid w:val="008F69D6"/>
    <w:rsid w:val="008F6D23"/>
    <w:rsid w:val="00902823"/>
    <w:rsid w:val="00915CA6"/>
    <w:rsid w:val="00927834"/>
    <w:rsid w:val="009500A6"/>
    <w:rsid w:val="00957C18"/>
    <w:rsid w:val="00960488"/>
    <w:rsid w:val="009659BA"/>
    <w:rsid w:val="00983040"/>
    <w:rsid w:val="009A5512"/>
    <w:rsid w:val="009B3FB9"/>
    <w:rsid w:val="009C2465"/>
    <w:rsid w:val="009D35A0"/>
    <w:rsid w:val="009D7EB7"/>
    <w:rsid w:val="009E048A"/>
    <w:rsid w:val="009E08E9"/>
    <w:rsid w:val="009E3DB9"/>
    <w:rsid w:val="009E6E35"/>
    <w:rsid w:val="009F0EDA"/>
    <w:rsid w:val="00A02F92"/>
    <w:rsid w:val="00A03B96"/>
    <w:rsid w:val="00A05B19"/>
    <w:rsid w:val="00A1134E"/>
    <w:rsid w:val="00A24E7E"/>
    <w:rsid w:val="00A258C3"/>
    <w:rsid w:val="00A347C0"/>
    <w:rsid w:val="00A36348"/>
    <w:rsid w:val="00A51431"/>
    <w:rsid w:val="00A539AD"/>
    <w:rsid w:val="00A541A4"/>
    <w:rsid w:val="00A94063"/>
    <w:rsid w:val="00AA6219"/>
    <w:rsid w:val="00AA74E0"/>
    <w:rsid w:val="00AB703F"/>
    <w:rsid w:val="00AC6BB8"/>
    <w:rsid w:val="00AD5B6A"/>
    <w:rsid w:val="00AE008F"/>
    <w:rsid w:val="00B01FCD"/>
    <w:rsid w:val="00B04266"/>
    <w:rsid w:val="00B1776C"/>
    <w:rsid w:val="00B42C05"/>
    <w:rsid w:val="00B4669B"/>
    <w:rsid w:val="00B52583"/>
    <w:rsid w:val="00B52896"/>
    <w:rsid w:val="00B76E60"/>
    <w:rsid w:val="00B82F72"/>
    <w:rsid w:val="00B941D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0819"/>
    <w:rsid w:val="00C70F1B"/>
    <w:rsid w:val="00C71A47"/>
    <w:rsid w:val="00C7464C"/>
    <w:rsid w:val="00C85588"/>
    <w:rsid w:val="00CD3609"/>
    <w:rsid w:val="00CD6755"/>
    <w:rsid w:val="00CD6856"/>
    <w:rsid w:val="00CE0089"/>
    <w:rsid w:val="00CE793C"/>
    <w:rsid w:val="00CF193C"/>
    <w:rsid w:val="00D173F1"/>
    <w:rsid w:val="00D457AC"/>
    <w:rsid w:val="00D67E64"/>
    <w:rsid w:val="00D74CB0"/>
    <w:rsid w:val="00D8295D"/>
    <w:rsid w:val="00DA710E"/>
    <w:rsid w:val="00DC093A"/>
    <w:rsid w:val="00DC0E96"/>
    <w:rsid w:val="00DC2A65"/>
    <w:rsid w:val="00DD1483"/>
    <w:rsid w:val="00DD641C"/>
    <w:rsid w:val="00DE15F0"/>
    <w:rsid w:val="00DE39CB"/>
    <w:rsid w:val="00DE42D4"/>
    <w:rsid w:val="00DE5663"/>
    <w:rsid w:val="00DE78AA"/>
    <w:rsid w:val="00E053D0"/>
    <w:rsid w:val="00E15994"/>
    <w:rsid w:val="00E3114E"/>
    <w:rsid w:val="00E31A70"/>
    <w:rsid w:val="00E35B02"/>
    <w:rsid w:val="00E66496"/>
    <w:rsid w:val="00E66B35"/>
    <w:rsid w:val="00E66E10"/>
    <w:rsid w:val="00E71274"/>
    <w:rsid w:val="00E769F6"/>
    <w:rsid w:val="00E8407C"/>
    <w:rsid w:val="00E84F3C"/>
    <w:rsid w:val="00EA012C"/>
    <w:rsid w:val="00EC6A55"/>
    <w:rsid w:val="00ED0288"/>
    <w:rsid w:val="00EE52CB"/>
    <w:rsid w:val="00EF581D"/>
    <w:rsid w:val="00EF7FD8"/>
    <w:rsid w:val="00F03A21"/>
    <w:rsid w:val="00F06F34"/>
    <w:rsid w:val="00F06F59"/>
    <w:rsid w:val="00F17988"/>
    <w:rsid w:val="00F469F0"/>
    <w:rsid w:val="00F53273"/>
    <w:rsid w:val="00F755E4"/>
    <w:rsid w:val="00F77D02"/>
    <w:rsid w:val="00F84855"/>
    <w:rsid w:val="00F91BF5"/>
    <w:rsid w:val="00F932DF"/>
    <w:rsid w:val="00FB3A86"/>
    <w:rsid w:val="00FD36C8"/>
    <w:rsid w:val="00FD3AA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E3DA7"/>
  <w15:docId w15:val="{DE474A2B-02E3-48E8-B6F7-30B39143A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B636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6924D7"/>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06F34"/>
    <w:rPr>
      <w:b/>
      <w:bCs/>
    </w:rPr>
  </w:style>
  <w:style w:type="character" w:customStyle="1" w:styleId="sr-only">
    <w:name w:val="sr-only"/>
    <w:basedOn w:val="DefaultParagraphFont"/>
    <w:rsid w:val="00F06F34"/>
  </w:style>
  <w:style w:type="character" w:customStyle="1" w:styleId="Heading2Char">
    <w:name w:val="Heading 2 Char"/>
    <w:basedOn w:val="DefaultParagraphFont"/>
    <w:link w:val="Heading2"/>
    <w:semiHidden/>
    <w:rsid w:val="007B636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33016312">
      <w:bodyDiv w:val="1"/>
      <w:marLeft w:val="0"/>
      <w:marRight w:val="0"/>
      <w:marTop w:val="0"/>
      <w:marBottom w:val="0"/>
      <w:divBdr>
        <w:top w:val="none" w:sz="0" w:space="0" w:color="auto"/>
        <w:left w:val="none" w:sz="0" w:space="0" w:color="auto"/>
        <w:bottom w:val="none" w:sz="0" w:space="0" w:color="auto"/>
        <w:right w:val="none" w:sz="0" w:space="0" w:color="auto"/>
      </w:divBdr>
      <w:divsChild>
        <w:div w:id="1040976854">
          <w:marLeft w:val="0"/>
          <w:marRight w:val="0"/>
          <w:marTop w:val="0"/>
          <w:marBottom w:val="0"/>
          <w:divBdr>
            <w:top w:val="none" w:sz="0" w:space="0" w:color="auto"/>
            <w:left w:val="none" w:sz="0" w:space="0" w:color="auto"/>
            <w:bottom w:val="none" w:sz="0" w:space="0" w:color="auto"/>
            <w:right w:val="none" w:sz="0" w:space="0" w:color="auto"/>
          </w:divBdr>
          <w:divsChild>
            <w:div w:id="273251025">
              <w:marLeft w:val="0"/>
              <w:marRight w:val="0"/>
              <w:marTop w:val="0"/>
              <w:marBottom w:val="0"/>
              <w:divBdr>
                <w:top w:val="none" w:sz="0" w:space="0" w:color="auto"/>
                <w:left w:val="none" w:sz="0" w:space="0" w:color="auto"/>
                <w:bottom w:val="none" w:sz="0" w:space="0" w:color="auto"/>
                <w:right w:val="none" w:sz="0" w:space="0" w:color="auto"/>
              </w:divBdr>
              <w:divsChild>
                <w:div w:id="93130591">
                  <w:marLeft w:val="0"/>
                  <w:marRight w:val="0"/>
                  <w:marTop w:val="0"/>
                  <w:marBottom w:val="0"/>
                  <w:divBdr>
                    <w:top w:val="none" w:sz="0" w:space="0" w:color="auto"/>
                    <w:left w:val="none" w:sz="0" w:space="0" w:color="auto"/>
                    <w:bottom w:val="none" w:sz="0" w:space="0" w:color="auto"/>
                    <w:right w:val="none" w:sz="0" w:space="0" w:color="auto"/>
                  </w:divBdr>
                  <w:divsChild>
                    <w:div w:id="2088767933">
                      <w:marLeft w:val="0"/>
                      <w:marRight w:val="0"/>
                      <w:marTop w:val="0"/>
                      <w:marBottom w:val="0"/>
                      <w:divBdr>
                        <w:top w:val="none" w:sz="0" w:space="0" w:color="auto"/>
                        <w:left w:val="none" w:sz="0" w:space="0" w:color="auto"/>
                        <w:bottom w:val="none" w:sz="0" w:space="0" w:color="auto"/>
                        <w:right w:val="none" w:sz="0" w:space="0" w:color="auto"/>
                      </w:divBdr>
                      <w:divsChild>
                        <w:div w:id="2080980202">
                          <w:marLeft w:val="0"/>
                          <w:marRight w:val="0"/>
                          <w:marTop w:val="0"/>
                          <w:marBottom w:val="0"/>
                          <w:divBdr>
                            <w:top w:val="none" w:sz="0" w:space="0" w:color="auto"/>
                            <w:left w:val="none" w:sz="0" w:space="0" w:color="auto"/>
                            <w:bottom w:val="none" w:sz="0" w:space="0" w:color="auto"/>
                            <w:right w:val="none" w:sz="0" w:space="0" w:color="auto"/>
                          </w:divBdr>
                          <w:divsChild>
                            <w:div w:id="9969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82226">
                  <w:marLeft w:val="0"/>
                  <w:marRight w:val="0"/>
                  <w:marTop w:val="0"/>
                  <w:marBottom w:val="0"/>
                  <w:divBdr>
                    <w:top w:val="none" w:sz="0" w:space="0" w:color="auto"/>
                    <w:left w:val="none" w:sz="0" w:space="0" w:color="auto"/>
                    <w:bottom w:val="none" w:sz="0" w:space="0" w:color="auto"/>
                    <w:right w:val="none" w:sz="0" w:space="0" w:color="auto"/>
                  </w:divBdr>
                  <w:divsChild>
                    <w:div w:id="10804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865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8338617">
      <w:bodyDiv w:val="1"/>
      <w:marLeft w:val="0"/>
      <w:marRight w:val="0"/>
      <w:marTop w:val="0"/>
      <w:marBottom w:val="0"/>
      <w:divBdr>
        <w:top w:val="none" w:sz="0" w:space="0" w:color="auto"/>
        <w:left w:val="none" w:sz="0" w:space="0" w:color="auto"/>
        <w:bottom w:val="none" w:sz="0" w:space="0" w:color="auto"/>
        <w:right w:val="none" w:sz="0" w:space="0" w:color="auto"/>
      </w:divBdr>
    </w:div>
    <w:div w:id="921140064">
      <w:bodyDiv w:val="1"/>
      <w:marLeft w:val="0"/>
      <w:marRight w:val="0"/>
      <w:marTop w:val="0"/>
      <w:marBottom w:val="0"/>
      <w:divBdr>
        <w:top w:val="none" w:sz="0" w:space="0" w:color="auto"/>
        <w:left w:val="none" w:sz="0" w:space="0" w:color="auto"/>
        <w:bottom w:val="none" w:sz="0" w:space="0" w:color="auto"/>
        <w:right w:val="none" w:sz="0" w:space="0" w:color="auto"/>
      </w:divBdr>
    </w:div>
    <w:div w:id="98069657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538073">
      <w:bodyDiv w:val="1"/>
      <w:marLeft w:val="0"/>
      <w:marRight w:val="0"/>
      <w:marTop w:val="0"/>
      <w:marBottom w:val="0"/>
      <w:divBdr>
        <w:top w:val="none" w:sz="0" w:space="0" w:color="auto"/>
        <w:left w:val="none" w:sz="0" w:space="0" w:color="auto"/>
        <w:bottom w:val="none" w:sz="0" w:space="0" w:color="auto"/>
        <w:right w:val="none" w:sz="0" w:space="0" w:color="auto"/>
      </w:divBdr>
    </w:div>
    <w:div w:id="19145054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59DBB-02C0-487F-B5E6-AE694A469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288</TotalTime>
  <Pages>8</Pages>
  <Words>2385</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15949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Editor-90</cp:lastModifiedBy>
  <cp:revision>20</cp:revision>
  <cp:lastPrinted>1999-07-06T11:00:00Z</cp:lastPrinted>
  <dcterms:created xsi:type="dcterms:W3CDTF">2025-06-30T10:44:00Z</dcterms:created>
  <dcterms:modified xsi:type="dcterms:W3CDTF">2025-08-02T10:14:00Z</dcterms:modified>
</cp:coreProperties>
</file>