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804C" w14:textId="77777777" w:rsidR="00E970DE" w:rsidRDefault="00E970DE" w:rsidP="00BD4BCA">
      <w:pPr>
        <w:spacing w:line="276" w:lineRule="auto"/>
        <w:jc w:val="center"/>
        <w:rPr>
          <w:rFonts w:ascii="Times New Roman" w:hAnsi="Times New Roman" w:cs="Times New Roman"/>
          <w:b/>
          <w:bCs/>
          <w:sz w:val="24"/>
          <w:szCs w:val="24"/>
        </w:rPr>
      </w:pPr>
      <w:r w:rsidRPr="00E970DE">
        <w:rPr>
          <w:rFonts w:ascii="Times New Roman" w:hAnsi="Times New Roman" w:cs="Times New Roman"/>
          <w:b/>
          <w:bCs/>
          <w:sz w:val="24"/>
          <w:szCs w:val="24"/>
        </w:rPr>
        <w:t xml:space="preserve">Case report </w:t>
      </w:r>
    </w:p>
    <w:p w14:paraId="06A4C705" w14:textId="79795092" w:rsidR="00EB4BA2" w:rsidRPr="00206807" w:rsidRDefault="006A6AAC" w:rsidP="00BD4BCA">
      <w:pPr>
        <w:spacing w:line="276" w:lineRule="auto"/>
        <w:jc w:val="center"/>
        <w:rPr>
          <w:rFonts w:ascii="Times New Roman" w:hAnsi="Times New Roman" w:cs="Times New Roman"/>
          <w:b/>
          <w:bCs/>
          <w:sz w:val="24"/>
          <w:szCs w:val="24"/>
        </w:rPr>
      </w:pPr>
      <w:r w:rsidRPr="006A6AAC">
        <w:rPr>
          <w:rFonts w:ascii="Times New Roman" w:hAnsi="Times New Roman" w:cs="Times New Roman"/>
          <w:b/>
          <w:bCs/>
          <w:sz w:val="24"/>
          <w:szCs w:val="24"/>
        </w:rPr>
        <w:t>"Low-Dose Hydrochlorothiazide-Induced Podagra Triggered by Seasonal Environmental Factors: A Case Report"</w:t>
      </w:r>
    </w:p>
    <w:p w14:paraId="28E390B7" w14:textId="19D53491" w:rsidR="002A7BAA" w:rsidRPr="002A7BAA" w:rsidRDefault="00993BEB" w:rsidP="002A7BAA">
      <w:pPr>
        <w:spacing w:line="276" w:lineRule="auto"/>
        <w:jc w:val="both"/>
        <w:rPr>
          <w:rFonts w:ascii="Times New Roman" w:hAnsi="Times New Roman" w:cs="Times New Roman"/>
          <w:sz w:val="24"/>
          <w:szCs w:val="24"/>
        </w:rPr>
      </w:pPr>
      <w:r w:rsidRPr="002A7BAA">
        <w:rPr>
          <w:rFonts w:ascii="Times New Roman" w:hAnsi="Times New Roman" w:cs="Times New Roman"/>
          <w:b/>
          <w:bCs/>
          <w:sz w:val="24"/>
          <w:szCs w:val="24"/>
        </w:rPr>
        <w:t>ABSTRACT</w:t>
      </w:r>
    </w:p>
    <w:p w14:paraId="3D33981E" w14:textId="0940C180" w:rsidR="002A7BAA" w:rsidRPr="002A7BAA" w:rsidRDefault="00993BEB" w:rsidP="002A7BAA">
      <w:pPr>
        <w:spacing w:line="276" w:lineRule="auto"/>
        <w:jc w:val="both"/>
        <w:rPr>
          <w:rFonts w:ascii="Times New Roman" w:hAnsi="Times New Roman" w:cs="Times New Roman"/>
          <w:sz w:val="24"/>
          <w:szCs w:val="24"/>
        </w:rPr>
      </w:pPr>
      <w:r w:rsidRPr="002A7BAA">
        <w:rPr>
          <w:rFonts w:ascii="Times New Roman" w:hAnsi="Times New Roman" w:cs="Times New Roman"/>
          <w:b/>
          <w:bCs/>
          <w:sz w:val="24"/>
          <w:szCs w:val="24"/>
        </w:rPr>
        <w:t>AIM:</w:t>
      </w:r>
      <w:r w:rsidR="002A7BAA" w:rsidRPr="002A7BAA">
        <w:rPr>
          <w:rFonts w:ascii="Times New Roman" w:hAnsi="Times New Roman" w:cs="Times New Roman"/>
          <w:sz w:val="24"/>
          <w:szCs w:val="24"/>
        </w:rPr>
        <w:br/>
        <w:t>To highlight a rare case of thiazide-induced podagra at a low dose of hydrochlorothiazide in the context of seasonal and environmental influences.</w:t>
      </w:r>
    </w:p>
    <w:p w14:paraId="7F5F965B" w14:textId="0E759443" w:rsidR="002A7BAA" w:rsidRPr="002A7BAA" w:rsidRDefault="00993BEB" w:rsidP="00993BEB">
      <w:pPr>
        <w:spacing w:line="276" w:lineRule="auto"/>
        <w:rPr>
          <w:rFonts w:ascii="Times New Roman" w:hAnsi="Times New Roman" w:cs="Times New Roman"/>
          <w:sz w:val="24"/>
          <w:szCs w:val="24"/>
        </w:rPr>
      </w:pPr>
      <w:r w:rsidRPr="00993BEB">
        <w:rPr>
          <w:rFonts w:ascii="Times New Roman" w:hAnsi="Times New Roman" w:cs="Times New Roman"/>
          <w:b/>
          <w:bCs/>
          <w:sz w:val="24"/>
          <w:szCs w:val="24"/>
        </w:rPr>
        <w:t>PRESENTATION OF CASE:</w:t>
      </w:r>
      <w:r w:rsidR="002A7BAA" w:rsidRPr="002A7BAA">
        <w:rPr>
          <w:rFonts w:ascii="Times New Roman" w:hAnsi="Times New Roman" w:cs="Times New Roman"/>
          <w:sz w:val="24"/>
          <w:szCs w:val="24"/>
        </w:rPr>
        <w:br/>
        <w:t>A 52-year-old male with ischemic heart disease and hypertension, on long-term hydrochlorothiazide (12.5 mg) for 10 years, presented in early summer with acute pain, swelling, and redness of the left great toe. Laboratory investigations revealed slightly elevated serum uric acid (7.4 mg/dL). Hydrochlorothiazide was identified as the potential culprit drug and subsequently discontinued, while antihypertensive therapy was continued with telmisartan. The patient responded to treatment with prednisolone after NSAIDs were stopped due to drug interactions with anticoagulation therapy. He improved clinically and was discharged hemodynamically stable.</w:t>
      </w:r>
    </w:p>
    <w:p w14:paraId="11180AA3" w14:textId="3914B055" w:rsidR="002A7BAA" w:rsidRPr="002A7BAA" w:rsidRDefault="00993BEB" w:rsidP="002A7BAA">
      <w:pPr>
        <w:spacing w:line="276" w:lineRule="auto"/>
        <w:jc w:val="both"/>
        <w:rPr>
          <w:rFonts w:ascii="Times New Roman" w:hAnsi="Times New Roman" w:cs="Times New Roman"/>
          <w:sz w:val="24"/>
          <w:szCs w:val="24"/>
        </w:rPr>
      </w:pPr>
      <w:r w:rsidRPr="002A7BAA">
        <w:rPr>
          <w:rFonts w:ascii="Times New Roman" w:hAnsi="Times New Roman" w:cs="Times New Roman"/>
          <w:b/>
          <w:bCs/>
          <w:sz w:val="24"/>
          <w:szCs w:val="24"/>
        </w:rPr>
        <w:t>DISCUSSION:</w:t>
      </w:r>
      <w:r w:rsidRPr="002A7BAA">
        <w:rPr>
          <w:rFonts w:ascii="Times New Roman" w:hAnsi="Times New Roman" w:cs="Times New Roman"/>
          <w:sz w:val="24"/>
          <w:szCs w:val="24"/>
        </w:rPr>
        <w:br/>
      </w:r>
      <w:r w:rsidR="002A7BAA" w:rsidRPr="002A7BAA">
        <w:rPr>
          <w:rFonts w:ascii="Times New Roman" w:hAnsi="Times New Roman" w:cs="Times New Roman"/>
          <w:sz w:val="24"/>
          <w:szCs w:val="24"/>
        </w:rPr>
        <w:t>Although thiazide-induced hyperuricemia and gout are typically associated with higher doses, this case demonstrates that long-term use of even a low dose (12.5 mg) may precipitate podagra, particularly in the setting of seasonal and climatic risk factors. Temperature and humidity variations during early summer may exacerbate uric acid crystallization and trigger gout flares, especially in predisposed individuals. Thiazides promote hyperuricemia via altered renal urate handling, an effect amplified by genetic and environmental contributors. The case underscores the need to balance thiazide efficacy in hypertension against its metabolic side effects and consider alternative antihypertensives, such as losartan, in high-risk patients.</w:t>
      </w:r>
    </w:p>
    <w:p w14:paraId="625CC024" w14:textId="26CF138D" w:rsidR="002A7BAA" w:rsidRPr="002A7BAA" w:rsidRDefault="00993BEB" w:rsidP="002A7BAA">
      <w:pPr>
        <w:spacing w:line="276" w:lineRule="auto"/>
        <w:jc w:val="both"/>
        <w:rPr>
          <w:rFonts w:ascii="Times New Roman" w:hAnsi="Times New Roman" w:cs="Times New Roman"/>
          <w:sz w:val="24"/>
          <w:szCs w:val="24"/>
        </w:rPr>
      </w:pPr>
      <w:r w:rsidRPr="002A7BAA">
        <w:rPr>
          <w:rFonts w:ascii="Times New Roman" w:hAnsi="Times New Roman" w:cs="Times New Roman"/>
          <w:b/>
          <w:bCs/>
          <w:sz w:val="24"/>
          <w:szCs w:val="24"/>
        </w:rPr>
        <w:t>CONCLUSION:</w:t>
      </w:r>
      <w:r w:rsidR="002A7BAA" w:rsidRPr="002A7BAA">
        <w:rPr>
          <w:rFonts w:ascii="Times New Roman" w:hAnsi="Times New Roman" w:cs="Times New Roman"/>
          <w:sz w:val="24"/>
          <w:szCs w:val="24"/>
        </w:rPr>
        <w:br/>
        <w:t>This report reinforces that hydrochlorothiazide can induce podagra even at low doses after long-term use, with seasonal and environmental factors serving as additional triggers. Careful monitoring of serum uric acid and consideration of alternative therapies are essential in the long-term management of hypertensive patients on thiazides.</w:t>
      </w:r>
    </w:p>
    <w:p w14:paraId="1C9AE01E" w14:textId="132D6C2D" w:rsidR="002A7BAA" w:rsidRPr="00BE2E60" w:rsidRDefault="00363A0D"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177629CA" w14:textId="4EBAE8AF" w:rsidR="00206807" w:rsidRPr="00206807" w:rsidRDefault="00BE2E60" w:rsidP="00BD4BC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B</w:t>
      </w:r>
      <w:r w:rsidR="00206807" w:rsidRPr="00206807">
        <w:rPr>
          <w:rFonts w:ascii="Times New Roman" w:hAnsi="Times New Roman" w:cs="Times New Roman"/>
          <w:b/>
          <w:bCs/>
          <w:sz w:val="24"/>
          <w:szCs w:val="24"/>
        </w:rPr>
        <w:t>ACKGROUND</w:t>
      </w:r>
    </w:p>
    <w:p w14:paraId="2B2DF3E4" w14:textId="49A72A91" w:rsidR="00206807" w:rsidRPr="00206807" w:rsidRDefault="001E4BE9"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Gout is a prevalent form of inflammatory arthritis that arises when monosodium urate (MSU) crystals build up in the joints, leading to painful inflammatory episodes. One of the primary risk factors for the onset of gout is hyperuricemia, which is characterized by elevated levels of uric acid in the serum that surpass the physiological solubility threshold.</w:t>
      </w:r>
      <w:r w:rsidR="00206807" w:rsidRPr="00206807">
        <w:rPr>
          <w:rFonts w:ascii="Times New Roman" w:hAnsi="Times New Roman" w:cs="Times New Roman"/>
          <w:sz w:val="24"/>
          <w:szCs w:val="24"/>
        </w:rPr>
        <w:t xml:space="preserve">[1]. </w:t>
      </w:r>
      <w:r>
        <w:rPr>
          <w:rFonts w:ascii="Times New Roman" w:hAnsi="Times New Roman" w:cs="Times New Roman"/>
          <w:sz w:val="24"/>
          <w:szCs w:val="24"/>
        </w:rPr>
        <w:t xml:space="preserve">Podagra represents the classic manifestation of gout, characterized by acute inflammatory arthritis that predominantly affects the first metatarsophalangeal (MTP) joint. While various risk factors can lead to podagra, drug-induced hyperuricemia is increasingly recognized as a significant </w:t>
      </w:r>
      <w:r>
        <w:rPr>
          <w:rFonts w:ascii="Times New Roman" w:hAnsi="Times New Roman" w:cs="Times New Roman"/>
          <w:sz w:val="24"/>
          <w:szCs w:val="24"/>
        </w:rPr>
        <w:lastRenderedPageBreak/>
        <w:t>contributor. In particular, thiazide diuretics are well-known for their role in precipitating hyperuricemia, which can subsequently trigger gout attacks, including instances of podagra</w:t>
      </w:r>
      <w:r w:rsidRPr="00206807">
        <w:rPr>
          <w:rFonts w:ascii="Times New Roman" w:hAnsi="Times New Roman" w:cs="Times New Roman"/>
          <w:sz w:val="24"/>
          <w:szCs w:val="24"/>
        </w:rPr>
        <w:t xml:space="preserve"> [</w:t>
      </w:r>
      <w:r w:rsidR="00206807" w:rsidRPr="00206807">
        <w:rPr>
          <w:rFonts w:ascii="Times New Roman" w:hAnsi="Times New Roman" w:cs="Times New Roman"/>
          <w:sz w:val="24"/>
          <w:szCs w:val="24"/>
        </w:rPr>
        <w:t>2,3].</w:t>
      </w:r>
    </w:p>
    <w:p w14:paraId="1CF22C93" w14:textId="58140B41" w:rsidR="00206807" w:rsidRPr="00206807" w:rsidRDefault="001E4BE9"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Thiazide diuretics are commonly prescribed for hypertension and heart failure. However, they can contribute to hyperuricemia by impairing the kidneys' ability to handle urate. These medications decrease uric acid excretion by inhibiting organic anion transporters (OAT1 and OAT3) in the proximal tubule, leading to increased serum urate levels [3]. The risk of gout from thiazide therapy is dose-dependent, with higher doses (≥25 mg/day of hydrochlorothiazide equivalents) significantly raising the likelihood of requiring anti-gout treatment [4]. </w:t>
      </w:r>
    </w:p>
    <w:p w14:paraId="7AFC77D5" w14:textId="2D3E32EB" w:rsidR="00E44DED" w:rsidRPr="00206807" w:rsidRDefault="001E4BE9"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The occurrence of thiazide-induced podagra can be attributed to temporary elevations in the local concentration of uric acid within the first metatarsophalangeal (MTP) joint. This situation is further aggravated by factors such as joint degeneration, lower temperatures, and decreased pH levels, all of which promote the formation of crystals.</w:t>
      </w:r>
      <w:r w:rsidR="002275DF">
        <w:rPr>
          <w:rFonts w:ascii="Times New Roman" w:hAnsi="Times New Roman" w:cs="Times New Roman"/>
          <w:sz w:val="24"/>
          <w:szCs w:val="24"/>
        </w:rPr>
        <w:t xml:space="preserve"> </w:t>
      </w:r>
      <w:r w:rsidR="00206807" w:rsidRPr="00206807">
        <w:rPr>
          <w:rFonts w:ascii="Times New Roman" w:hAnsi="Times New Roman" w:cs="Times New Roman"/>
          <w:sz w:val="24"/>
          <w:szCs w:val="24"/>
        </w:rPr>
        <w:t>[1,5]</w:t>
      </w:r>
      <w:r w:rsidR="00E44DED">
        <w:rPr>
          <w:rFonts w:ascii="Times New Roman" w:hAnsi="Times New Roman" w:cs="Times New Roman"/>
          <w:sz w:val="24"/>
          <w:szCs w:val="24"/>
        </w:rPr>
        <w:t xml:space="preserve">. </w:t>
      </w:r>
      <w:r w:rsidR="00E44DED" w:rsidRPr="00E44DED">
        <w:rPr>
          <w:rFonts w:ascii="Times New Roman" w:hAnsi="Times New Roman" w:cs="Times New Roman"/>
          <w:sz w:val="24"/>
          <w:szCs w:val="24"/>
        </w:rPr>
        <w:t>Studies suggest that environmental factors, such as diet, alcohol, and seasonal climate changes during spring and early summer, may lead to hyperuricemia and gout</w:t>
      </w:r>
      <w:r w:rsidR="00BD4BCA">
        <w:rPr>
          <w:rFonts w:ascii="Times New Roman" w:hAnsi="Times New Roman" w:cs="Times New Roman"/>
          <w:sz w:val="24"/>
          <w:szCs w:val="24"/>
        </w:rPr>
        <w:t xml:space="preserve"> </w:t>
      </w:r>
      <w:r w:rsidR="00E44DED">
        <w:rPr>
          <w:rFonts w:ascii="Times New Roman" w:hAnsi="Times New Roman" w:cs="Times New Roman"/>
          <w:sz w:val="24"/>
          <w:szCs w:val="24"/>
        </w:rPr>
        <w:t>[</w:t>
      </w:r>
      <w:r w:rsidR="00BD4BCA">
        <w:rPr>
          <w:rFonts w:ascii="Times New Roman" w:hAnsi="Times New Roman" w:cs="Times New Roman"/>
          <w:sz w:val="24"/>
          <w:szCs w:val="24"/>
        </w:rPr>
        <w:t>6</w:t>
      </w:r>
      <w:r w:rsidR="00E44DED">
        <w:rPr>
          <w:rFonts w:ascii="Times New Roman" w:hAnsi="Times New Roman" w:cs="Times New Roman"/>
          <w:sz w:val="24"/>
          <w:szCs w:val="24"/>
        </w:rPr>
        <w:t>]</w:t>
      </w:r>
    </w:p>
    <w:p w14:paraId="64BEBBAE" w14:textId="693F1E3B" w:rsidR="00206807" w:rsidRPr="00206807" w:rsidRDefault="00206807"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 xml:space="preserve">Despite the risk of podagra, thiazide diuretics remain essential in managing hypertension and cardiovascular disease. Strategies to mitigate their hyperuricemic effects include dose reduction, adequate hydration, and </w:t>
      </w:r>
      <w:r w:rsidR="001E4BE9">
        <w:rPr>
          <w:rFonts w:ascii="Times New Roman" w:hAnsi="Times New Roman" w:cs="Times New Roman"/>
          <w:sz w:val="24"/>
          <w:szCs w:val="24"/>
        </w:rPr>
        <w:t>the concurrent use of urate-lowering agents, such as</w:t>
      </w:r>
      <w:r w:rsidRPr="00206807">
        <w:rPr>
          <w:rFonts w:ascii="Times New Roman" w:hAnsi="Times New Roman" w:cs="Times New Roman"/>
          <w:sz w:val="24"/>
          <w:szCs w:val="24"/>
        </w:rPr>
        <w:t xml:space="preserve"> allopurinol [</w:t>
      </w:r>
      <w:r w:rsidR="00BD4BCA">
        <w:rPr>
          <w:rFonts w:ascii="Times New Roman" w:hAnsi="Times New Roman" w:cs="Times New Roman"/>
          <w:sz w:val="24"/>
          <w:szCs w:val="24"/>
        </w:rPr>
        <w:t>7</w:t>
      </w:r>
      <w:r w:rsidRPr="00206807">
        <w:rPr>
          <w:rFonts w:ascii="Times New Roman" w:hAnsi="Times New Roman" w:cs="Times New Roman"/>
          <w:sz w:val="24"/>
          <w:szCs w:val="24"/>
        </w:rPr>
        <w:t>]. We present a case involving an individual who</w:t>
      </w:r>
      <w:r w:rsidR="008C5132">
        <w:rPr>
          <w:rFonts w:ascii="Times New Roman" w:hAnsi="Times New Roman" w:cs="Times New Roman"/>
          <w:sz w:val="24"/>
          <w:szCs w:val="24"/>
        </w:rPr>
        <w:t xml:space="preserve"> came around early summer,</w:t>
      </w:r>
      <w:r w:rsidRPr="00206807">
        <w:rPr>
          <w:rFonts w:ascii="Times New Roman" w:hAnsi="Times New Roman" w:cs="Times New Roman"/>
          <w:sz w:val="24"/>
          <w:szCs w:val="24"/>
        </w:rPr>
        <w:t xml:space="preserve"> has been taking </w:t>
      </w:r>
      <w:r w:rsidR="005A0724">
        <w:rPr>
          <w:rFonts w:ascii="Times New Roman" w:hAnsi="Times New Roman" w:cs="Times New Roman"/>
          <w:sz w:val="24"/>
          <w:szCs w:val="24"/>
        </w:rPr>
        <w:t>hydrochlorothiazide</w:t>
      </w:r>
      <w:r w:rsidRPr="00206807">
        <w:rPr>
          <w:rFonts w:ascii="Times New Roman" w:hAnsi="Times New Roman" w:cs="Times New Roman"/>
          <w:sz w:val="24"/>
          <w:szCs w:val="24"/>
        </w:rPr>
        <w:t xml:space="preserve"> for the past 10 years</w:t>
      </w:r>
      <w:r w:rsidR="005A0724">
        <w:rPr>
          <w:rFonts w:ascii="Times New Roman" w:hAnsi="Times New Roman" w:cs="Times New Roman"/>
          <w:sz w:val="24"/>
          <w:szCs w:val="24"/>
        </w:rPr>
        <w:t>,</w:t>
      </w:r>
      <w:r w:rsidRPr="00206807">
        <w:rPr>
          <w:rFonts w:ascii="Times New Roman" w:hAnsi="Times New Roman" w:cs="Times New Roman"/>
          <w:sz w:val="24"/>
          <w:szCs w:val="24"/>
        </w:rPr>
        <w:t xml:space="preserve"> and has subsequently developed podagra.</w:t>
      </w:r>
    </w:p>
    <w:p w14:paraId="19DDA0AA" w14:textId="411F319A" w:rsidR="009F47C7" w:rsidRPr="00206807" w:rsidRDefault="00856504" w:rsidP="00BD4BCA">
      <w:pPr>
        <w:spacing w:line="276" w:lineRule="auto"/>
        <w:jc w:val="both"/>
        <w:rPr>
          <w:rFonts w:ascii="Times New Roman" w:hAnsi="Times New Roman" w:cs="Times New Roman"/>
          <w:b/>
          <w:bCs/>
          <w:sz w:val="24"/>
          <w:szCs w:val="24"/>
          <w:lang w:val="en-US"/>
        </w:rPr>
      </w:pPr>
      <w:r w:rsidRPr="00206807">
        <w:rPr>
          <w:rFonts w:ascii="Times New Roman" w:hAnsi="Times New Roman" w:cs="Times New Roman"/>
          <w:b/>
          <w:bCs/>
          <w:sz w:val="24"/>
          <w:szCs w:val="24"/>
          <w:lang w:val="en-US"/>
        </w:rPr>
        <w:t>CASE PRESENTATION</w:t>
      </w:r>
    </w:p>
    <w:p w14:paraId="1949DCF3" w14:textId="566AD781" w:rsidR="001E4BE9" w:rsidRDefault="001E4BE9"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A 52-year-old male patient was admitted to a tertiary care hospital in early summer, presenting with complaints of pain in the left great toe that had persisted for 3 days. The patient reported that he had been well until three days prior</w:t>
      </w:r>
      <w:r w:rsidR="00A10AF4">
        <w:rPr>
          <w:rFonts w:ascii="Times New Roman" w:hAnsi="Times New Roman" w:cs="Times New Roman"/>
          <w:sz w:val="24"/>
          <w:szCs w:val="24"/>
        </w:rPr>
        <w:t>,</w:t>
      </w:r>
      <w:r>
        <w:rPr>
          <w:rFonts w:ascii="Times New Roman" w:hAnsi="Times New Roman" w:cs="Times New Roman"/>
          <w:sz w:val="24"/>
          <w:szCs w:val="24"/>
        </w:rPr>
        <w:t xml:space="preserve"> when he experienced sudden-onset pain and swelling in the left great toe, with the pain gradually intensifying. He had a medical history of ischemic heart disease (IHD) for 4 years and hypertension for 10 years, for which he was prescribed tablet telmisartan 40 mg once daily, tablet bisoprolol 5 mg once daily, tablet amiodarone 100 mg once daily, tablet acenocoumarol 1 mg once daily, and tablet rosuvastatin 10 mg once daily. Additionally, he had been taking hydrochlorothiazide 12.5 mg for hypertension for the past 10 years. The patient’s social and family histories were unremarkable. </w:t>
      </w:r>
    </w:p>
    <w:p w14:paraId="7B5629D7" w14:textId="40B827D8" w:rsidR="00CB10AE" w:rsidRPr="00206807" w:rsidRDefault="001E4BE9"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On general examination, he was conscious and coherent. Vital signs revealed a blood pressure of 130/80 mmHg, pulse rate of 90 bpm, and respiratory rate of 16 cycles per minute. Local examination showed swelling, tenderness, and redness localized to the left great toe. Systemic examinations of the abdomen, respiratory system, cardiovascular system, and central nervous system were all within normal limits. Based on these findings, a provisional clinical diagnosis of drug-induced podagra was established.</w:t>
      </w:r>
    </w:p>
    <w:p w14:paraId="1C71BEE1" w14:textId="1BFCDCE8" w:rsidR="00221C72" w:rsidRPr="00206807" w:rsidRDefault="001E4BE9"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 the first day of hospitalization, the patient received symptomatic treatment with oral aceclofenac at a dosage of 100 mg twice daily. Laboratory investigations indicated a slight </w:t>
      </w:r>
      <w:r>
        <w:rPr>
          <w:rFonts w:ascii="Times New Roman" w:hAnsi="Times New Roman" w:cs="Times New Roman"/>
          <w:sz w:val="24"/>
          <w:szCs w:val="24"/>
        </w:rPr>
        <w:lastRenderedPageBreak/>
        <w:t>elevation in uric acid levels, recorded at 7.4 mg/dL. Based on the clinical pharmacy assessment, hydrochlorthiazide 12.5 mg was identified as a potential culprit and was subsequently discontinued. However, the patient was prescribed telmisartan 40 mg for hypertension. On the second day, the patient continued to experience swelling, tenderness, and redness in the left great toe, prompting the prescribing of prednisolone 10 mg once daily following rheumatology consultation. In light of the increased risk of bleeding associated with the concurrent use of acenocoumarol, aceclofenac was also discontinued based on clinical pharmacy advice. On day three, the patient persisted in reporting symptoms of swelling and redness but continued on prednisolone 10 mg once daily. By day four, the patient showed symptom improvement and was hemodynamically stable, allowing for discharge. Upon discharge, the patient was instructed to continue taking telmisartan 40 mg once daily, bisoprolol 5 mg once daily, amiodarone 100 mg once daily, acenocoumarol 1 mg once daily, and rosuvastatin 10 mg once daily.</w:t>
      </w:r>
    </w:p>
    <w:p w14:paraId="7F66E7CA" w14:textId="667619DA" w:rsidR="00215EA1" w:rsidRPr="00206807" w:rsidRDefault="00206807" w:rsidP="00BD4BCA">
      <w:pPr>
        <w:spacing w:line="276" w:lineRule="auto"/>
        <w:jc w:val="both"/>
        <w:rPr>
          <w:rFonts w:ascii="Times New Roman" w:hAnsi="Times New Roman" w:cs="Times New Roman"/>
          <w:b/>
          <w:bCs/>
          <w:sz w:val="24"/>
          <w:szCs w:val="24"/>
        </w:rPr>
      </w:pPr>
      <w:r w:rsidRPr="00206807">
        <w:rPr>
          <w:rFonts w:ascii="Times New Roman" w:hAnsi="Times New Roman" w:cs="Times New Roman"/>
          <w:b/>
          <w:bCs/>
          <w:sz w:val="24"/>
          <w:szCs w:val="24"/>
        </w:rPr>
        <w:t>DISCUSSION</w:t>
      </w:r>
      <w:r w:rsidR="00215EA1" w:rsidRPr="00206807">
        <w:rPr>
          <w:rFonts w:ascii="Times New Roman" w:hAnsi="Times New Roman" w:cs="Times New Roman"/>
          <w:b/>
          <w:bCs/>
          <w:sz w:val="24"/>
          <w:szCs w:val="24"/>
        </w:rPr>
        <w:t xml:space="preserve"> </w:t>
      </w:r>
    </w:p>
    <w:p w14:paraId="089AD779" w14:textId="07530CCA" w:rsidR="00215EA1" w:rsidRDefault="001E4BE9"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Thiazide and thiazide-type diuretics are effective antihypertensive medications. They not only help maintain blood pressure but also reduce the risk of stroke and cardiac issues, such as heart failure, which are associated with morbidity and mortality in patients with hypertension [8]. While there is no evidence suggesting that low doses of hydrochlorothiazide induce gout or podagra, studies have shown that higher doses ranging from 20 mg to 40 mg can lead to hyperuricemia [9]. In our case, the patient developed podagra alongside mild hyperuricemia while taking a dose of 12.5 mg of hydrochlorothiazide.</w:t>
      </w:r>
    </w:p>
    <w:p w14:paraId="67052109" w14:textId="5877EDAD" w:rsidR="0059330F" w:rsidRPr="0059330F" w:rsidRDefault="00F11D73"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patient was admitted to the hospital during the early </w:t>
      </w:r>
      <w:r w:rsidR="001E4BE9">
        <w:rPr>
          <w:rFonts w:ascii="Times New Roman" w:hAnsi="Times New Roman" w:cs="Times New Roman"/>
          <w:sz w:val="24"/>
          <w:szCs w:val="24"/>
        </w:rPr>
        <w:t>summer</w:t>
      </w:r>
      <w:r w:rsidR="0059330F">
        <w:rPr>
          <w:rFonts w:ascii="Times New Roman" w:hAnsi="Times New Roman" w:cs="Times New Roman"/>
          <w:sz w:val="24"/>
          <w:szCs w:val="24"/>
        </w:rPr>
        <w:t xml:space="preserve">. </w:t>
      </w:r>
      <w:r w:rsidR="0059330F" w:rsidRPr="0059330F">
        <w:rPr>
          <w:rFonts w:ascii="Times New Roman" w:hAnsi="Times New Roman" w:cs="Times New Roman"/>
          <w:sz w:val="24"/>
          <w:szCs w:val="24"/>
        </w:rPr>
        <w:t>Climate can influence the development of gout, particularly triggering flare-ups. A study indicates that people are most likely to search for information on "gout" during the spring and early summer, suggesting that weather may impact gout symptoms. Cooler temperatures can lead to the formation of uric acid crystals, which may explain why gout commonly occurs in cooler areas of the body, such as the big toe joint</w:t>
      </w:r>
      <w:r w:rsidR="00BD4BCA">
        <w:rPr>
          <w:rFonts w:ascii="Times New Roman" w:hAnsi="Times New Roman" w:cs="Times New Roman"/>
          <w:sz w:val="24"/>
          <w:szCs w:val="24"/>
        </w:rPr>
        <w:t xml:space="preserve"> [10,6]</w:t>
      </w:r>
      <w:r w:rsidR="0059330F" w:rsidRPr="0059330F">
        <w:rPr>
          <w:rFonts w:ascii="Times New Roman" w:hAnsi="Times New Roman" w:cs="Times New Roman"/>
          <w:sz w:val="24"/>
          <w:szCs w:val="24"/>
        </w:rPr>
        <w:t xml:space="preserve">. </w:t>
      </w:r>
    </w:p>
    <w:p w14:paraId="2796D9E7" w14:textId="7F6369B9" w:rsidR="00F11D73" w:rsidRPr="00206807" w:rsidRDefault="001E4BE9"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A review conducted by Park and colleagues indicates that gout flare-ups are more likely to occur with sudden changes in daily temperatures, particularly increases, which tend to take place in the spring. Humidity may also contribute to these flare-ups. One study found that many gout flares are associated with hot and humid conditions. Although the exact relationship between weather, temperature, and gout flare-ups is not fully understood, rising global temperatures could lead to an increased incidence of gout.</w:t>
      </w:r>
    </w:p>
    <w:p w14:paraId="74A75191" w14:textId="239F161F" w:rsidR="00E25029" w:rsidRDefault="0067377F"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 xml:space="preserve">Drug induced hyperuricemia or gout/podagra is usually caused by enhancing reabsorption, reducing excretion or increasing production. </w:t>
      </w:r>
      <w:r w:rsidR="00FB1871" w:rsidRPr="00206807">
        <w:rPr>
          <w:rFonts w:ascii="Times New Roman" w:hAnsi="Times New Roman" w:cs="Times New Roman"/>
          <w:sz w:val="24"/>
          <w:szCs w:val="24"/>
        </w:rPr>
        <w:t>Diuretics, which include loop, thiazide, and thiazide-like diuretics, significantly contribute to secondary hyperuricemia and increase the risk of gout. This effect is dose-dependent and can persist with prolonged use; however, uric acid levels typically return to baseline after the discontinuation of the medication</w:t>
      </w:r>
      <w:r w:rsidR="00E25029" w:rsidRPr="00206807">
        <w:rPr>
          <w:rFonts w:ascii="Times New Roman" w:hAnsi="Times New Roman" w:cs="Times New Roman"/>
          <w:sz w:val="24"/>
          <w:szCs w:val="24"/>
        </w:rPr>
        <w:t xml:space="preserve"> [</w:t>
      </w:r>
      <w:r w:rsidR="00206807" w:rsidRPr="00206807">
        <w:rPr>
          <w:rFonts w:ascii="Times New Roman" w:hAnsi="Times New Roman" w:cs="Times New Roman"/>
          <w:sz w:val="24"/>
          <w:szCs w:val="24"/>
        </w:rPr>
        <w:t>2</w:t>
      </w:r>
      <w:r w:rsidR="00E25029" w:rsidRPr="00206807">
        <w:rPr>
          <w:rFonts w:ascii="Times New Roman" w:hAnsi="Times New Roman" w:cs="Times New Roman"/>
          <w:sz w:val="24"/>
          <w:szCs w:val="24"/>
        </w:rPr>
        <w:t>]</w:t>
      </w:r>
      <w:r w:rsidR="00E030E0" w:rsidRPr="00206807">
        <w:rPr>
          <w:rFonts w:ascii="Times New Roman" w:hAnsi="Times New Roman" w:cs="Times New Roman"/>
          <w:sz w:val="24"/>
          <w:szCs w:val="24"/>
        </w:rPr>
        <w:t xml:space="preserve">. In our case the patient was taking the </w:t>
      </w:r>
      <w:r w:rsidR="00505F0E">
        <w:rPr>
          <w:rFonts w:ascii="Times New Roman" w:hAnsi="Times New Roman" w:cs="Times New Roman"/>
          <w:sz w:val="24"/>
          <w:szCs w:val="24"/>
        </w:rPr>
        <w:t>hydrochlorothiazide</w:t>
      </w:r>
      <w:r w:rsidR="00E030E0" w:rsidRPr="00206807">
        <w:rPr>
          <w:rFonts w:ascii="Times New Roman" w:hAnsi="Times New Roman" w:cs="Times New Roman"/>
          <w:sz w:val="24"/>
          <w:szCs w:val="24"/>
        </w:rPr>
        <w:t xml:space="preserve"> for </w:t>
      </w:r>
      <w:r w:rsidR="008C5132">
        <w:rPr>
          <w:rFonts w:ascii="Times New Roman" w:hAnsi="Times New Roman" w:cs="Times New Roman"/>
          <w:sz w:val="24"/>
          <w:szCs w:val="24"/>
        </w:rPr>
        <w:t>10</w:t>
      </w:r>
      <w:r w:rsidR="00E030E0" w:rsidRPr="00206807">
        <w:rPr>
          <w:rFonts w:ascii="Times New Roman" w:hAnsi="Times New Roman" w:cs="Times New Roman"/>
          <w:sz w:val="24"/>
          <w:szCs w:val="24"/>
        </w:rPr>
        <w:t xml:space="preserve"> years</w:t>
      </w:r>
      <w:r w:rsidR="00FB1871" w:rsidRPr="00206807">
        <w:rPr>
          <w:rFonts w:ascii="Times New Roman" w:hAnsi="Times New Roman" w:cs="Times New Roman"/>
          <w:sz w:val="24"/>
          <w:szCs w:val="24"/>
        </w:rPr>
        <w:t xml:space="preserve">. Loop diuretics are more closely associated with gout compared to thiazides. </w:t>
      </w:r>
    </w:p>
    <w:p w14:paraId="01BA7A7A" w14:textId="17B1D3F6" w:rsidR="00505F0E" w:rsidRPr="00206807" w:rsidRDefault="00505F0E"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To assess the causal relationship between hydrochlorothiazide and the onset of podagra in this patient, we utilized the Naranjo Adverse Drug Reaction Probability Scale. The total score was 6, indicating that the reaction is classified as probable. This conclusion is supported by several factors: the long-term use of hydrochlorothiazide, the clinical improvement observed after withdrawing the medication, and the absence of an alternative explanation for the symptoms. These findings strengthen the case for hydrochlorothiazide as a likely trigger for the patient's episode of podagra</w:t>
      </w:r>
      <w:r w:rsidRPr="00505F0E">
        <w:rPr>
          <w:rFonts w:ascii="Times New Roman" w:hAnsi="Times New Roman" w:cs="Times New Roman"/>
          <w:sz w:val="24"/>
          <w:szCs w:val="24"/>
        </w:rPr>
        <w:t>.</w:t>
      </w:r>
    </w:p>
    <w:p w14:paraId="685C404E" w14:textId="70BFD23C" w:rsidR="0067377F" w:rsidRDefault="00FB1871"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Diuretics</w:t>
      </w:r>
      <w:r w:rsidR="00E25029" w:rsidRPr="00206807">
        <w:rPr>
          <w:rFonts w:ascii="Times New Roman" w:hAnsi="Times New Roman" w:cs="Times New Roman"/>
          <w:sz w:val="24"/>
          <w:szCs w:val="24"/>
        </w:rPr>
        <w:t xml:space="preserve"> may </w:t>
      </w:r>
      <w:r w:rsidRPr="00206807">
        <w:rPr>
          <w:rFonts w:ascii="Times New Roman" w:hAnsi="Times New Roman" w:cs="Times New Roman"/>
          <w:sz w:val="24"/>
          <w:szCs w:val="24"/>
        </w:rPr>
        <w:t xml:space="preserve">affect renal urate transporters, particularly OAT1, OAT3, and OAT4, which </w:t>
      </w:r>
      <w:r w:rsidR="001E4BE9">
        <w:rPr>
          <w:rFonts w:ascii="Times New Roman" w:hAnsi="Times New Roman" w:cs="Times New Roman"/>
          <w:sz w:val="24"/>
          <w:szCs w:val="24"/>
        </w:rPr>
        <w:t>inhibit</w:t>
      </w:r>
      <w:r w:rsidRPr="00206807">
        <w:rPr>
          <w:rFonts w:ascii="Times New Roman" w:hAnsi="Times New Roman" w:cs="Times New Roman"/>
          <w:sz w:val="24"/>
          <w:szCs w:val="24"/>
        </w:rPr>
        <w:t xml:space="preserve"> uric acid secretion and </w:t>
      </w:r>
      <w:r w:rsidR="001E4BE9">
        <w:rPr>
          <w:rFonts w:ascii="Times New Roman" w:hAnsi="Times New Roman" w:cs="Times New Roman"/>
          <w:sz w:val="24"/>
          <w:szCs w:val="24"/>
        </w:rPr>
        <w:t>lead</w:t>
      </w:r>
      <w:r w:rsidRPr="00206807">
        <w:rPr>
          <w:rFonts w:ascii="Times New Roman" w:hAnsi="Times New Roman" w:cs="Times New Roman"/>
          <w:sz w:val="24"/>
          <w:szCs w:val="24"/>
        </w:rPr>
        <w:t xml:space="preserve"> to hyperuricemia. Genetic variants in the SLC22A11 gene may further amplify this effect. Additionally, diuretics inhibit the NPT4 and MRP4 transporters, resulting in reduced uric acid excretion. The volume depletion caused by diuretics also promotes uric acid reabsorption, worsening hyperuricemia</w:t>
      </w:r>
      <w:r w:rsidR="00E25029" w:rsidRPr="00206807">
        <w:rPr>
          <w:rFonts w:ascii="Times New Roman" w:hAnsi="Times New Roman" w:cs="Times New Roman"/>
          <w:sz w:val="24"/>
          <w:szCs w:val="24"/>
        </w:rPr>
        <w:t xml:space="preserve"> [</w:t>
      </w:r>
      <w:r w:rsidR="00206807" w:rsidRPr="00206807">
        <w:rPr>
          <w:rFonts w:ascii="Times New Roman" w:hAnsi="Times New Roman" w:cs="Times New Roman"/>
          <w:sz w:val="24"/>
          <w:szCs w:val="24"/>
        </w:rPr>
        <w:t>2</w:t>
      </w:r>
      <w:r w:rsidR="00E25029" w:rsidRPr="00206807">
        <w:rPr>
          <w:rFonts w:ascii="Times New Roman" w:hAnsi="Times New Roman" w:cs="Times New Roman"/>
          <w:sz w:val="24"/>
          <w:szCs w:val="24"/>
        </w:rPr>
        <w:t>]</w:t>
      </w:r>
      <w:r w:rsidRPr="00206807">
        <w:rPr>
          <w:rFonts w:ascii="Times New Roman" w:hAnsi="Times New Roman" w:cs="Times New Roman"/>
          <w:sz w:val="24"/>
          <w:szCs w:val="24"/>
        </w:rPr>
        <w:t>.</w:t>
      </w:r>
      <w:r w:rsidR="00E25029" w:rsidRPr="00206807">
        <w:rPr>
          <w:rFonts w:ascii="Times New Roman" w:hAnsi="Times New Roman" w:cs="Times New Roman"/>
          <w:sz w:val="24"/>
          <w:szCs w:val="24"/>
        </w:rPr>
        <w:t xml:space="preserve"> </w:t>
      </w:r>
      <w:r w:rsidR="001E4BE9">
        <w:rPr>
          <w:rFonts w:ascii="Times New Roman" w:hAnsi="Times New Roman" w:cs="Times New Roman"/>
          <w:sz w:val="24"/>
          <w:szCs w:val="24"/>
        </w:rPr>
        <w:t xml:space="preserve">The exact mechanism is not yet understood. According to a study by Shang-Yeh Lu and colleagues, patients who received thiazides had a longer history of hypertension and more comorbidities that influenced their serum uric acid levels. As a result, these patients showed a higher risk of being prescribed a cascade of antihypertensive medications while being treated with thiazides [12]. </w:t>
      </w:r>
      <w:r w:rsidR="00D332B0" w:rsidRPr="00206807">
        <w:rPr>
          <w:rFonts w:ascii="Times New Roman" w:hAnsi="Times New Roman" w:cs="Times New Roman"/>
          <w:sz w:val="24"/>
          <w:szCs w:val="24"/>
        </w:rPr>
        <w:t>Recent population surveys have strongly supported the link between gout, hyperuricaemia, and hypertension. The common belief that renal dysfunction causes both conditions, or that they stem from shared underlying factors, is being challenged by evidence suggesting that hyperuricaemia itself contributes to the development of hypertension. One complicating factor in epidemiological studies is the use of diuretics, which are frequently prescribed for treating hypertension. Gaining a deeper understanding of how diuretics induce hyperuricaemia could pave the way for the development of uricosuric diuretics. Notably, losartan stands out among antihypertensive medications due to its mild uricosuric properties, making it a valuable option for treating hypertensive patients with gout. Addressing diuretic-induced hyperuricaemia remains a challenge, highlighting the need for a uricosuric diuretic [</w:t>
      </w:r>
      <w:r w:rsidR="00BD4BCA">
        <w:rPr>
          <w:rFonts w:ascii="Times New Roman" w:hAnsi="Times New Roman" w:cs="Times New Roman"/>
          <w:sz w:val="24"/>
          <w:szCs w:val="24"/>
        </w:rPr>
        <w:t>13</w:t>
      </w:r>
      <w:r w:rsidR="00D332B0" w:rsidRPr="00206807">
        <w:rPr>
          <w:rFonts w:ascii="Times New Roman" w:hAnsi="Times New Roman" w:cs="Times New Roman"/>
          <w:sz w:val="24"/>
          <w:szCs w:val="24"/>
        </w:rPr>
        <w:t>].</w:t>
      </w:r>
    </w:p>
    <w:p w14:paraId="09367201" w14:textId="65CF9D59" w:rsidR="00430A93" w:rsidRPr="006E1C54" w:rsidRDefault="00430A93" w:rsidP="00BD4BCA">
      <w:pPr>
        <w:spacing w:line="276" w:lineRule="auto"/>
        <w:jc w:val="both"/>
        <w:rPr>
          <w:rFonts w:ascii="Times New Roman" w:hAnsi="Times New Roman" w:cs="Times New Roman"/>
          <w:b/>
          <w:bCs/>
          <w:sz w:val="24"/>
          <w:szCs w:val="24"/>
        </w:rPr>
      </w:pPr>
      <w:r w:rsidRPr="006E1C54">
        <w:rPr>
          <w:rFonts w:ascii="Times New Roman" w:hAnsi="Times New Roman" w:cs="Times New Roman"/>
          <w:b/>
          <w:bCs/>
          <w:sz w:val="24"/>
          <w:szCs w:val="24"/>
        </w:rPr>
        <w:t>CONCLUSION</w:t>
      </w:r>
    </w:p>
    <w:p w14:paraId="697CA9BA" w14:textId="053212FF" w:rsidR="001E4BE9" w:rsidRDefault="001E4BE9" w:rsidP="0036527E">
      <w:pPr>
        <w:spacing w:line="276" w:lineRule="auto"/>
        <w:jc w:val="both"/>
        <w:rPr>
          <w:rFonts w:ascii="Times New Roman" w:hAnsi="Times New Roman" w:cs="Times New Roman"/>
          <w:sz w:val="24"/>
          <w:szCs w:val="24"/>
        </w:rPr>
      </w:pPr>
      <w:r>
        <w:rPr>
          <w:rFonts w:ascii="Times New Roman" w:hAnsi="Times New Roman" w:cs="Times New Roman"/>
          <w:sz w:val="24"/>
          <w:szCs w:val="24"/>
        </w:rPr>
        <w:t>This case highlights the risk of thiazide-induced podagra, particularly when environmental factors, such as seasonal temperature changes, are involved. The patient had been taking hydrochlorothiazide (12.5 mg) for ten years and experienced an acute gout flare in early summer. This suggests that seasonal variations, dehydration, and possibly other environmental triggers may have contributed to hyperuricemia, leading to the gout flare.</w:t>
      </w:r>
    </w:p>
    <w:p w14:paraId="35A704D9" w14:textId="0387ADB3" w:rsidR="00430A93" w:rsidRDefault="001E4BE9" w:rsidP="0036527E">
      <w:pPr>
        <w:spacing w:line="276" w:lineRule="auto"/>
        <w:jc w:val="both"/>
        <w:rPr>
          <w:rFonts w:ascii="Times New Roman" w:hAnsi="Times New Roman" w:cs="Times New Roman"/>
          <w:sz w:val="24"/>
          <w:szCs w:val="24"/>
        </w:rPr>
      </w:pPr>
      <w:r>
        <w:rPr>
          <w:rFonts w:ascii="Times New Roman" w:hAnsi="Times New Roman" w:cs="Times New Roman"/>
          <w:sz w:val="24"/>
          <w:szCs w:val="24"/>
        </w:rPr>
        <w:t>While lower doses of thiazide diuretics are typically not associated with gout, the long-term use of this medication, combined with seasonal factors, may have exacerbated uric acid accumulation. This case underscores the importance of closely monitoring patients on long-term thiazide therapy, especially those who have risk factors for gout.</w:t>
      </w:r>
    </w:p>
    <w:p w14:paraId="0454013C" w14:textId="77777777" w:rsidR="00C224A2" w:rsidRDefault="00C224A2" w:rsidP="0036527E">
      <w:pPr>
        <w:spacing w:line="276" w:lineRule="auto"/>
        <w:jc w:val="both"/>
        <w:rPr>
          <w:rFonts w:ascii="Times New Roman" w:hAnsi="Times New Roman" w:cs="Times New Roman"/>
          <w:sz w:val="24"/>
          <w:szCs w:val="24"/>
        </w:rPr>
      </w:pPr>
    </w:p>
    <w:p w14:paraId="4896C36B" w14:textId="77777777" w:rsidR="00C224A2" w:rsidRPr="00C224A2" w:rsidRDefault="00C224A2" w:rsidP="00C224A2">
      <w:pPr>
        <w:spacing w:after="200" w:line="276" w:lineRule="auto"/>
        <w:jc w:val="both"/>
        <w:outlineLvl w:val="0"/>
        <w:rPr>
          <w:rFonts w:ascii="Arial" w:eastAsia="Times New Roman" w:hAnsi="Arial" w:cs="Arial"/>
          <w:kern w:val="0"/>
          <w:lang w:val="en-GB" w:eastAsia="en-GB"/>
          <w14:ligatures w14:val="none"/>
        </w:rPr>
      </w:pPr>
      <w:r w:rsidRPr="00C224A2">
        <w:rPr>
          <w:rFonts w:ascii="Arial" w:eastAsia="Times New Roman" w:hAnsi="Arial" w:cs="Arial"/>
          <w:b/>
          <w:bCs/>
          <w:kern w:val="0"/>
          <w:lang w:val="en-GB" w:eastAsia="en-GB"/>
          <w14:ligatures w14:val="none"/>
        </w:rPr>
        <w:t>COMPETING INTERESTS DISCLAIMER:</w:t>
      </w:r>
    </w:p>
    <w:p w14:paraId="5AD3B058" w14:textId="77777777" w:rsidR="00C224A2" w:rsidRPr="00C224A2" w:rsidRDefault="00C224A2" w:rsidP="00C224A2">
      <w:pPr>
        <w:spacing w:after="200" w:line="276" w:lineRule="auto"/>
        <w:rPr>
          <w:rFonts w:ascii="Calibri" w:eastAsia="Times New Roman" w:hAnsi="Calibri" w:cs="Times New Roman"/>
          <w:kern w:val="0"/>
          <w:lang w:val="en-GB" w:eastAsia="en-GB"/>
          <w14:ligatures w14:val="none"/>
        </w:rPr>
      </w:pPr>
      <w:r w:rsidRPr="00C224A2">
        <w:rPr>
          <w:rFonts w:ascii="Calibri" w:eastAsia="Times New Roman" w:hAnsi="Calibri" w:cs="Times New Roman"/>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0620FCF5" w14:textId="77777777" w:rsidR="00C224A2" w:rsidRPr="00C224A2" w:rsidRDefault="00C224A2" w:rsidP="00C224A2">
      <w:pPr>
        <w:spacing w:after="200" w:line="276" w:lineRule="auto"/>
        <w:rPr>
          <w:rFonts w:ascii="Calibri" w:eastAsia="Times New Roman" w:hAnsi="Calibri" w:cs="Times New Roman"/>
          <w:kern w:val="0"/>
          <w:lang w:val="en-GB" w:eastAsia="en-GB"/>
          <w14:ligatures w14:val="none"/>
        </w:rPr>
      </w:pPr>
    </w:p>
    <w:p w14:paraId="54593A44" w14:textId="77777777" w:rsidR="005B4DF1" w:rsidRPr="00270720" w:rsidRDefault="005B4DF1" w:rsidP="005B4DF1">
      <w:pPr>
        <w:rPr>
          <w:highlight w:val="yellow"/>
        </w:rPr>
      </w:pPr>
      <w:r w:rsidRPr="00270720">
        <w:rPr>
          <w:highlight w:val="yellow"/>
        </w:rPr>
        <w:t>Disclaimer (Artificial intelligence)</w:t>
      </w:r>
    </w:p>
    <w:p w14:paraId="7E1D224F" w14:textId="77777777" w:rsidR="005B4DF1" w:rsidRPr="00270720" w:rsidRDefault="005B4DF1" w:rsidP="005B4DF1">
      <w:pPr>
        <w:rPr>
          <w:highlight w:val="yellow"/>
        </w:rPr>
      </w:pPr>
    </w:p>
    <w:p w14:paraId="3EBA2836" w14:textId="77777777" w:rsidR="005B4DF1" w:rsidRPr="00270720" w:rsidRDefault="005B4DF1" w:rsidP="005B4DF1">
      <w:pPr>
        <w:rPr>
          <w:highlight w:val="yellow"/>
        </w:rPr>
      </w:pPr>
      <w:r w:rsidRPr="00270720">
        <w:rPr>
          <w:highlight w:val="yellow"/>
        </w:rPr>
        <w:t xml:space="preserve">Option 1: </w:t>
      </w:r>
    </w:p>
    <w:p w14:paraId="06A56EAC" w14:textId="77777777" w:rsidR="005B4DF1" w:rsidRPr="00270720" w:rsidRDefault="005B4DF1" w:rsidP="005B4DF1">
      <w:pPr>
        <w:rPr>
          <w:highlight w:val="yellow"/>
        </w:rPr>
      </w:pPr>
    </w:p>
    <w:p w14:paraId="139361CD" w14:textId="77777777" w:rsidR="005B4DF1" w:rsidRDefault="005B4DF1" w:rsidP="005B4DF1">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BCA3A8C" w14:textId="46106F43" w:rsidR="00A13521" w:rsidRPr="00270720" w:rsidRDefault="00A13521" w:rsidP="005B4DF1">
      <w:pPr>
        <w:rPr>
          <w:highlight w:val="yellow"/>
        </w:rPr>
      </w:pPr>
      <w:r>
        <w:rPr>
          <w:highlight w:val="yellow"/>
        </w:rPr>
        <w:t>YES</w:t>
      </w:r>
    </w:p>
    <w:p w14:paraId="181BBA7C" w14:textId="77777777" w:rsidR="005B4DF1" w:rsidRPr="00270720" w:rsidRDefault="005B4DF1" w:rsidP="005B4DF1">
      <w:pPr>
        <w:rPr>
          <w:highlight w:val="yellow"/>
        </w:rPr>
      </w:pPr>
    </w:p>
    <w:p w14:paraId="7ACDE5AF" w14:textId="77777777" w:rsidR="005B4DF1" w:rsidRPr="00270720" w:rsidRDefault="005B4DF1" w:rsidP="005B4DF1">
      <w:pPr>
        <w:rPr>
          <w:highlight w:val="yellow"/>
        </w:rPr>
      </w:pPr>
      <w:r w:rsidRPr="00270720">
        <w:rPr>
          <w:highlight w:val="yellow"/>
        </w:rPr>
        <w:t xml:space="preserve">Option 2: </w:t>
      </w:r>
    </w:p>
    <w:p w14:paraId="47F16515" w14:textId="77777777" w:rsidR="005B4DF1" w:rsidRPr="00270720" w:rsidRDefault="005B4DF1" w:rsidP="005B4DF1">
      <w:pPr>
        <w:rPr>
          <w:highlight w:val="yellow"/>
        </w:rPr>
      </w:pPr>
    </w:p>
    <w:p w14:paraId="12BFAFDF" w14:textId="77777777" w:rsidR="005B4DF1" w:rsidRPr="00270720" w:rsidRDefault="005B4DF1" w:rsidP="005B4DF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CABE4C" w14:textId="77777777" w:rsidR="005B4DF1" w:rsidRPr="00270720" w:rsidRDefault="005B4DF1" w:rsidP="005B4DF1">
      <w:pPr>
        <w:rPr>
          <w:highlight w:val="yellow"/>
        </w:rPr>
      </w:pPr>
    </w:p>
    <w:p w14:paraId="22F363F8" w14:textId="77777777" w:rsidR="005B4DF1" w:rsidRPr="00270720" w:rsidRDefault="005B4DF1" w:rsidP="005B4DF1">
      <w:pPr>
        <w:rPr>
          <w:highlight w:val="yellow"/>
        </w:rPr>
      </w:pPr>
      <w:r w:rsidRPr="00270720">
        <w:rPr>
          <w:highlight w:val="yellow"/>
        </w:rPr>
        <w:t>Details of the AI usage are given below:</w:t>
      </w:r>
    </w:p>
    <w:p w14:paraId="6E4EEC52" w14:textId="49F91EBE" w:rsidR="005B4DF1" w:rsidRPr="00270720" w:rsidRDefault="005B4DF1" w:rsidP="005B4DF1">
      <w:pPr>
        <w:rPr>
          <w:highlight w:val="yellow"/>
        </w:rPr>
      </w:pPr>
      <w:r w:rsidRPr="00270720">
        <w:rPr>
          <w:highlight w:val="yellow"/>
        </w:rPr>
        <w:t>1.</w:t>
      </w:r>
      <w:r w:rsidR="00A13521">
        <w:rPr>
          <w:highlight w:val="yellow"/>
        </w:rPr>
        <w:t>NIL</w:t>
      </w:r>
    </w:p>
    <w:p w14:paraId="64CCEDB6" w14:textId="77777777" w:rsidR="005B4DF1" w:rsidRPr="00270720" w:rsidRDefault="005B4DF1" w:rsidP="005B4DF1">
      <w:pPr>
        <w:rPr>
          <w:highlight w:val="yellow"/>
        </w:rPr>
      </w:pPr>
      <w:r w:rsidRPr="00270720">
        <w:rPr>
          <w:highlight w:val="yellow"/>
        </w:rPr>
        <w:t>2.</w:t>
      </w:r>
    </w:p>
    <w:p w14:paraId="24C85CEC" w14:textId="77777777" w:rsidR="005B4DF1" w:rsidRPr="00270720" w:rsidRDefault="005B4DF1" w:rsidP="005B4DF1">
      <w:r w:rsidRPr="00270720">
        <w:rPr>
          <w:highlight w:val="yellow"/>
        </w:rPr>
        <w:t>3.</w:t>
      </w:r>
    </w:p>
    <w:p w14:paraId="3A950671" w14:textId="77777777" w:rsidR="00C224A2" w:rsidRPr="00C224A2" w:rsidRDefault="00C224A2" w:rsidP="00C224A2">
      <w:pPr>
        <w:spacing w:after="200" w:line="276" w:lineRule="auto"/>
        <w:rPr>
          <w:rFonts w:ascii="Calibri" w:eastAsia="Times New Roman" w:hAnsi="Calibri" w:cs="Times New Roman"/>
          <w:kern w:val="0"/>
          <w:lang w:val="en-GB" w:eastAsia="en-GB"/>
          <w14:ligatures w14:val="none"/>
        </w:rPr>
      </w:pPr>
    </w:p>
    <w:p w14:paraId="545AC051" w14:textId="77777777" w:rsidR="00C224A2" w:rsidRPr="00206807" w:rsidRDefault="00C224A2" w:rsidP="0036527E">
      <w:pPr>
        <w:spacing w:line="276" w:lineRule="auto"/>
        <w:jc w:val="both"/>
        <w:rPr>
          <w:rFonts w:ascii="Times New Roman" w:hAnsi="Times New Roman" w:cs="Times New Roman"/>
          <w:sz w:val="24"/>
          <w:szCs w:val="24"/>
        </w:rPr>
      </w:pPr>
    </w:p>
    <w:p w14:paraId="108BE90E" w14:textId="77777777" w:rsidR="00206807" w:rsidRPr="00206807" w:rsidRDefault="00206807" w:rsidP="00BD4BCA">
      <w:pPr>
        <w:spacing w:line="276" w:lineRule="auto"/>
        <w:jc w:val="both"/>
        <w:rPr>
          <w:rFonts w:ascii="Times New Roman" w:hAnsi="Times New Roman" w:cs="Times New Roman"/>
          <w:b/>
          <w:bCs/>
          <w:sz w:val="24"/>
          <w:szCs w:val="24"/>
        </w:rPr>
      </w:pPr>
      <w:r w:rsidRPr="00206807">
        <w:rPr>
          <w:rFonts w:ascii="Times New Roman" w:hAnsi="Times New Roman" w:cs="Times New Roman"/>
          <w:b/>
          <w:bCs/>
          <w:sz w:val="24"/>
          <w:szCs w:val="24"/>
        </w:rPr>
        <w:t>REFERENCES</w:t>
      </w:r>
    </w:p>
    <w:p w14:paraId="62788125" w14:textId="77777777" w:rsidR="00206807" w:rsidRP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Roddy E. Revisiting the pathogenesis of podagra: why does gout target the foot?. Journal of foot and ankle research. 2011 Dec;4:1-7</w:t>
      </w:r>
    </w:p>
    <w:p w14:paraId="43FF5816" w14:textId="77777777" w:rsidR="00206807" w:rsidRP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Ben Salem C, Slim R, Fathallah N, Hmouda H. Drug-induced hyperuricaemia and gout. Rheumatology. 2017 May 1;56(5):679-88.</w:t>
      </w:r>
    </w:p>
    <w:p w14:paraId="35E31032" w14:textId="77777777" w:rsidR="00206807" w:rsidRP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Ellison DH, Loffing J. Thiazide effects and adverse effects: insights from molecular genetics. Hypertension. 2009 Aug 1;54(2):196-202.</w:t>
      </w:r>
    </w:p>
    <w:p w14:paraId="62F11D96" w14:textId="77777777" w:rsidR="00206807" w:rsidRP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lastRenderedPageBreak/>
        <w:t>Gurwitz JH, Kalish SC, Bohn RL, Glynn RJ, Monane M, Mogun H, Avorn J. Thiazide diuretics and the initiation of anti-gout therapy. Journal of clinical epidemiology. 1997 Aug 1;50(8):953-9.</w:t>
      </w:r>
    </w:p>
    <w:p w14:paraId="5708F203" w14:textId="77777777" w:rsid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SIMKIN PA. The pathogenesis of podagra. Annals of Internal Medicine. 1977 Feb 1;86(2):230-3.</w:t>
      </w:r>
    </w:p>
    <w:p w14:paraId="7C42CA81" w14:textId="29BB6BA5"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Helget LN, Mikuls TR. Environmental Triggers of Hyperuricemia and Gout. Rheumatic Disease Clinics of North America. 2022 Nov;48(4):891–906.</w:t>
      </w:r>
    </w:p>
    <w:p w14:paraId="0D3933DC" w14:textId="77777777" w:rsid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Handler J. Managing hypertensive patients with gout who take thiazide. The Journal of Clinical Hypertension. 2010 Jul 8;12(9):731.</w:t>
      </w:r>
    </w:p>
    <w:p w14:paraId="4105D04E" w14:textId="69E88BE4"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Anisman SD, Erickson SB, Fodor KM. Thiazide diuretics. BMJ [Internet]. 2024 Feb 5;384(1):e075174. Available from: https://www.bmj.com/content/384/bmj-2023-075174</w:t>
      </w:r>
    </w:p>
    <w:p w14:paraId="1D219E79" w14:textId="390A47F6"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Freund J, Kraus C. Risk of Gout with the Use of Thiazide Diuretics. American Family Physician [Internet]. 2015 Oct 1;92(7):622–3. Available from: https://www.aafp.org/pubs/afp/issues/2015/1001/p622.html</w:t>
      </w:r>
    </w:p>
    <w:p w14:paraId="1F8BF9DF" w14:textId="7514CF3B"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Kardeş S. Seasonal variation in the internet searches for gout: an ecological study. Clinical Rheumatology. 2018 Oct 29;38(3):769–75.</w:t>
      </w:r>
    </w:p>
    <w:p w14:paraId="3AD2BD40" w14:textId="1B3C87FC"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Park KY, Kim HJ, Ahn HS, Yim SY, Jun JB. Association between acute gouty arthritis and meteorological factors: An ecological study using a systematic review and meta-analysis. Seminars in Arthritis and Rheumatism. 2017 May 20;47(3):369–75.</w:t>
      </w:r>
    </w:p>
    <w:p w14:paraId="0BC69B05" w14:textId="7CC8B8EF"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Lu SY, Hsu HY, Hsieh YW, Lu CR, Huang HY, Chang SS. Prescribing cascades of antigout medications from thiazide diuretics in gout-naïve hypertensive adults receiving first-line pharmacological management. Scientific Reports [Internet]. 2024 Mar 28 [cited 2024 Apr 10];14(1):7402. Available from: https://www.nature.com/articles/s41598-024-58153-0</w:t>
      </w:r>
    </w:p>
    <w:p w14:paraId="70C21C0E" w14:textId="2C42FCE3"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Gibson TJ. Hypertension, its treatment, hyperuricaemia and gout. Current Opinion in Rheumatology. 2013 Mar;25(2):217–22.</w:t>
      </w:r>
    </w:p>
    <w:p w14:paraId="4CCB7002" w14:textId="77777777" w:rsidR="00BD4BCA" w:rsidRPr="00206807" w:rsidRDefault="00BD4BCA" w:rsidP="00BD4BCA">
      <w:pPr>
        <w:spacing w:line="276" w:lineRule="auto"/>
        <w:ind w:left="720"/>
        <w:jc w:val="both"/>
        <w:rPr>
          <w:rFonts w:ascii="Times New Roman" w:hAnsi="Times New Roman" w:cs="Times New Roman"/>
          <w:sz w:val="24"/>
          <w:szCs w:val="24"/>
        </w:rPr>
      </w:pPr>
    </w:p>
    <w:p w14:paraId="33FCF765" w14:textId="77777777" w:rsidR="00206807" w:rsidRPr="00206807" w:rsidRDefault="00206807" w:rsidP="00BD4BCA">
      <w:pPr>
        <w:spacing w:line="276" w:lineRule="auto"/>
        <w:jc w:val="both"/>
        <w:rPr>
          <w:rFonts w:ascii="Times New Roman" w:hAnsi="Times New Roman" w:cs="Times New Roman"/>
          <w:sz w:val="24"/>
          <w:szCs w:val="24"/>
        </w:rPr>
      </w:pPr>
    </w:p>
    <w:sectPr w:rsidR="00206807" w:rsidRPr="002068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AC2B" w14:textId="77777777" w:rsidR="00E85649" w:rsidRDefault="00E85649" w:rsidP="001D3CA1">
      <w:pPr>
        <w:spacing w:after="0" w:line="240" w:lineRule="auto"/>
      </w:pPr>
      <w:r>
        <w:separator/>
      </w:r>
    </w:p>
  </w:endnote>
  <w:endnote w:type="continuationSeparator" w:id="0">
    <w:p w14:paraId="527C8733" w14:textId="77777777" w:rsidR="00E85649" w:rsidRDefault="00E85649" w:rsidP="001D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96FB" w14:textId="77777777" w:rsidR="001D3CA1" w:rsidRDefault="001D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8E4" w14:textId="77777777" w:rsidR="001D3CA1" w:rsidRDefault="001D3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B29" w14:textId="77777777" w:rsidR="001D3CA1" w:rsidRDefault="001D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BE0DD" w14:textId="77777777" w:rsidR="00E85649" w:rsidRDefault="00E85649" w:rsidP="001D3CA1">
      <w:pPr>
        <w:spacing w:after="0" w:line="240" w:lineRule="auto"/>
      </w:pPr>
      <w:r>
        <w:separator/>
      </w:r>
    </w:p>
  </w:footnote>
  <w:footnote w:type="continuationSeparator" w:id="0">
    <w:p w14:paraId="173DDBD3" w14:textId="77777777" w:rsidR="00E85649" w:rsidRDefault="00E85649" w:rsidP="001D3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82F4" w14:textId="3A667782" w:rsidR="001D3CA1" w:rsidRDefault="00000000">
    <w:pPr>
      <w:pStyle w:val="Header"/>
    </w:pPr>
    <w:r>
      <w:rPr>
        <w:noProof/>
      </w:rPr>
      <w:pict w14:anchorId="3AF09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40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CC15" w14:textId="401876E5" w:rsidR="001D3CA1" w:rsidRDefault="00000000">
    <w:pPr>
      <w:pStyle w:val="Header"/>
    </w:pPr>
    <w:r>
      <w:rPr>
        <w:noProof/>
      </w:rPr>
      <w:pict w14:anchorId="4BBD8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40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DB94" w14:textId="228F1A7E" w:rsidR="001D3CA1" w:rsidRDefault="00000000">
    <w:pPr>
      <w:pStyle w:val="Header"/>
    </w:pPr>
    <w:r>
      <w:rPr>
        <w:noProof/>
      </w:rPr>
      <w:pict w14:anchorId="28FA3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40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44A9D"/>
    <w:multiLevelType w:val="hybridMultilevel"/>
    <w:tmpl w:val="67F4560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347948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756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04"/>
    <w:rsid w:val="00012C9D"/>
    <w:rsid w:val="00094CE3"/>
    <w:rsid w:val="000B1936"/>
    <w:rsid w:val="00122365"/>
    <w:rsid w:val="001853AB"/>
    <w:rsid w:val="001D3CA1"/>
    <w:rsid w:val="001E4BE9"/>
    <w:rsid w:val="00202E38"/>
    <w:rsid w:val="00206807"/>
    <w:rsid w:val="00215EA1"/>
    <w:rsid w:val="00221C72"/>
    <w:rsid w:val="002275DF"/>
    <w:rsid w:val="002A7BAA"/>
    <w:rsid w:val="002F55AE"/>
    <w:rsid w:val="00363A0D"/>
    <w:rsid w:val="00364D36"/>
    <w:rsid w:val="0036527E"/>
    <w:rsid w:val="00377CC3"/>
    <w:rsid w:val="00397ECF"/>
    <w:rsid w:val="003B5C42"/>
    <w:rsid w:val="003F1E01"/>
    <w:rsid w:val="00430A93"/>
    <w:rsid w:val="004C61F0"/>
    <w:rsid w:val="00505F0E"/>
    <w:rsid w:val="0059330F"/>
    <w:rsid w:val="005A0724"/>
    <w:rsid w:val="005B4DF1"/>
    <w:rsid w:val="005C00C6"/>
    <w:rsid w:val="0067377F"/>
    <w:rsid w:val="006A6AAC"/>
    <w:rsid w:val="006B55B4"/>
    <w:rsid w:val="006E1C54"/>
    <w:rsid w:val="00704FC1"/>
    <w:rsid w:val="0075132D"/>
    <w:rsid w:val="00781F50"/>
    <w:rsid w:val="007915FC"/>
    <w:rsid w:val="007E306C"/>
    <w:rsid w:val="007E31CD"/>
    <w:rsid w:val="0081671B"/>
    <w:rsid w:val="00856504"/>
    <w:rsid w:val="008663BD"/>
    <w:rsid w:val="008C5132"/>
    <w:rsid w:val="00913C46"/>
    <w:rsid w:val="00993BEB"/>
    <w:rsid w:val="009B6546"/>
    <w:rsid w:val="009F47C7"/>
    <w:rsid w:val="00A10AF4"/>
    <w:rsid w:val="00A13521"/>
    <w:rsid w:val="00A4391B"/>
    <w:rsid w:val="00AC0BB5"/>
    <w:rsid w:val="00B03BC3"/>
    <w:rsid w:val="00BA501F"/>
    <w:rsid w:val="00BC7FC1"/>
    <w:rsid w:val="00BD1CB1"/>
    <w:rsid w:val="00BD43A6"/>
    <w:rsid w:val="00BD4BCA"/>
    <w:rsid w:val="00BE2E60"/>
    <w:rsid w:val="00C01B28"/>
    <w:rsid w:val="00C224A2"/>
    <w:rsid w:val="00CB10AE"/>
    <w:rsid w:val="00CF0BD8"/>
    <w:rsid w:val="00D332B0"/>
    <w:rsid w:val="00DB49C7"/>
    <w:rsid w:val="00DC08F9"/>
    <w:rsid w:val="00E030E0"/>
    <w:rsid w:val="00E25029"/>
    <w:rsid w:val="00E4471E"/>
    <w:rsid w:val="00E44DED"/>
    <w:rsid w:val="00E73CBF"/>
    <w:rsid w:val="00E85649"/>
    <w:rsid w:val="00E970DE"/>
    <w:rsid w:val="00EB4BA2"/>
    <w:rsid w:val="00EF118E"/>
    <w:rsid w:val="00F11D73"/>
    <w:rsid w:val="00F23710"/>
    <w:rsid w:val="00FA0A99"/>
    <w:rsid w:val="00FB1871"/>
    <w:rsid w:val="00FD5A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5AF5E"/>
  <w15:chartTrackingRefBased/>
  <w15:docId w15:val="{FAC34123-53BD-4482-AB9E-6A1C3345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5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5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5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5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5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5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5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5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5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504"/>
    <w:rPr>
      <w:rFonts w:eastAsiaTheme="majorEastAsia" w:cstheme="majorBidi"/>
      <w:color w:val="272727" w:themeColor="text1" w:themeTint="D8"/>
    </w:rPr>
  </w:style>
  <w:style w:type="paragraph" w:styleId="Title">
    <w:name w:val="Title"/>
    <w:basedOn w:val="Normal"/>
    <w:next w:val="Normal"/>
    <w:link w:val="TitleChar"/>
    <w:uiPriority w:val="10"/>
    <w:qFormat/>
    <w:rsid w:val="00856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504"/>
    <w:pPr>
      <w:spacing w:before="160"/>
      <w:jc w:val="center"/>
    </w:pPr>
    <w:rPr>
      <w:i/>
      <w:iCs/>
      <w:color w:val="404040" w:themeColor="text1" w:themeTint="BF"/>
    </w:rPr>
  </w:style>
  <w:style w:type="character" w:customStyle="1" w:styleId="QuoteChar">
    <w:name w:val="Quote Char"/>
    <w:basedOn w:val="DefaultParagraphFont"/>
    <w:link w:val="Quote"/>
    <w:uiPriority w:val="29"/>
    <w:rsid w:val="00856504"/>
    <w:rPr>
      <w:i/>
      <w:iCs/>
      <w:color w:val="404040" w:themeColor="text1" w:themeTint="BF"/>
    </w:rPr>
  </w:style>
  <w:style w:type="paragraph" w:styleId="ListParagraph">
    <w:name w:val="List Paragraph"/>
    <w:basedOn w:val="Normal"/>
    <w:uiPriority w:val="34"/>
    <w:qFormat/>
    <w:rsid w:val="00856504"/>
    <w:pPr>
      <w:ind w:left="720"/>
      <w:contextualSpacing/>
    </w:pPr>
  </w:style>
  <w:style w:type="character" w:styleId="IntenseEmphasis">
    <w:name w:val="Intense Emphasis"/>
    <w:basedOn w:val="DefaultParagraphFont"/>
    <w:uiPriority w:val="21"/>
    <w:qFormat/>
    <w:rsid w:val="00856504"/>
    <w:rPr>
      <w:i/>
      <w:iCs/>
      <w:color w:val="2F5496" w:themeColor="accent1" w:themeShade="BF"/>
    </w:rPr>
  </w:style>
  <w:style w:type="paragraph" w:styleId="IntenseQuote">
    <w:name w:val="Intense Quote"/>
    <w:basedOn w:val="Normal"/>
    <w:next w:val="Normal"/>
    <w:link w:val="IntenseQuoteChar"/>
    <w:uiPriority w:val="30"/>
    <w:qFormat/>
    <w:rsid w:val="008565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504"/>
    <w:rPr>
      <w:i/>
      <w:iCs/>
      <w:color w:val="2F5496" w:themeColor="accent1" w:themeShade="BF"/>
    </w:rPr>
  </w:style>
  <w:style w:type="character" w:styleId="IntenseReference">
    <w:name w:val="Intense Reference"/>
    <w:basedOn w:val="DefaultParagraphFont"/>
    <w:uiPriority w:val="32"/>
    <w:qFormat/>
    <w:rsid w:val="00856504"/>
    <w:rPr>
      <w:b/>
      <w:bCs/>
      <w:smallCaps/>
      <w:color w:val="2F5496" w:themeColor="accent1" w:themeShade="BF"/>
      <w:spacing w:val="5"/>
    </w:rPr>
  </w:style>
  <w:style w:type="character" w:styleId="Hyperlink">
    <w:name w:val="Hyperlink"/>
    <w:basedOn w:val="DefaultParagraphFont"/>
    <w:uiPriority w:val="99"/>
    <w:unhideWhenUsed/>
    <w:rsid w:val="00EB4BA2"/>
    <w:rPr>
      <w:color w:val="0563C1" w:themeColor="hyperlink"/>
      <w:u w:val="single"/>
    </w:rPr>
  </w:style>
  <w:style w:type="character" w:customStyle="1" w:styleId="UnresolvedMention1">
    <w:name w:val="Unresolved Mention1"/>
    <w:basedOn w:val="DefaultParagraphFont"/>
    <w:uiPriority w:val="99"/>
    <w:semiHidden/>
    <w:unhideWhenUsed/>
    <w:rsid w:val="00EB4BA2"/>
    <w:rPr>
      <w:color w:val="605E5C"/>
      <w:shd w:val="clear" w:color="auto" w:fill="E1DFDD"/>
    </w:rPr>
  </w:style>
  <w:style w:type="paragraph" w:styleId="Header">
    <w:name w:val="header"/>
    <w:basedOn w:val="Normal"/>
    <w:link w:val="HeaderChar"/>
    <w:uiPriority w:val="99"/>
    <w:unhideWhenUsed/>
    <w:rsid w:val="001D3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CA1"/>
  </w:style>
  <w:style w:type="paragraph" w:styleId="Footer">
    <w:name w:val="footer"/>
    <w:basedOn w:val="Normal"/>
    <w:link w:val="FooterChar"/>
    <w:uiPriority w:val="99"/>
    <w:unhideWhenUsed/>
    <w:rsid w:val="001D3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27324">
      <w:bodyDiv w:val="1"/>
      <w:marLeft w:val="0"/>
      <w:marRight w:val="0"/>
      <w:marTop w:val="0"/>
      <w:marBottom w:val="0"/>
      <w:divBdr>
        <w:top w:val="none" w:sz="0" w:space="0" w:color="auto"/>
        <w:left w:val="none" w:sz="0" w:space="0" w:color="auto"/>
        <w:bottom w:val="none" w:sz="0" w:space="0" w:color="auto"/>
        <w:right w:val="none" w:sz="0" w:space="0" w:color="auto"/>
      </w:divBdr>
    </w:div>
    <w:div w:id="360936860">
      <w:bodyDiv w:val="1"/>
      <w:marLeft w:val="0"/>
      <w:marRight w:val="0"/>
      <w:marTop w:val="0"/>
      <w:marBottom w:val="0"/>
      <w:divBdr>
        <w:top w:val="none" w:sz="0" w:space="0" w:color="auto"/>
        <w:left w:val="none" w:sz="0" w:space="0" w:color="auto"/>
        <w:bottom w:val="none" w:sz="0" w:space="0" w:color="auto"/>
        <w:right w:val="none" w:sz="0" w:space="0" w:color="auto"/>
      </w:divBdr>
    </w:div>
    <w:div w:id="398871083">
      <w:bodyDiv w:val="1"/>
      <w:marLeft w:val="0"/>
      <w:marRight w:val="0"/>
      <w:marTop w:val="0"/>
      <w:marBottom w:val="0"/>
      <w:divBdr>
        <w:top w:val="none" w:sz="0" w:space="0" w:color="auto"/>
        <w:left w:val="none" w:sz="0" w:space="0" w:color="auto"/>
        <w:bottom w:val="none" w:sz="0" w:space="0" w:color="auto"/>
        <w:right w:val="none" w:sz="0" w:space="0" w:color="auto"/>
      </w:divBdr>
      <w:divsChild>
        <w:div w:id="841773778">
          <w:marLeft w:val="0"/>
          <w:marRight w:val="0"/>
          <w:marTop w:val="0"/>
          <w:marBottom w:val="0"/>
          <w:divBdr>
            <w:top w:val="none" w:sz="0" w:space="0" w:color="auto"/>
            <w:left w:val="none" w:sz="0" w:space="0" w:color="auto"/>
            <w:bottom w:val="none" w:sz="0" w:space="0" w:color="auto"/>
            <w:right w:val="none" w:sz="0" w:space="0" w:color="auto"/>
          </w:divBdr>
          <w:divsChild>
            <w:div w:id="2098364156">
              <w:marLeft w:val="0"/>
              <w:marRight w:val="0"/>
              <w:marTop w:val="0"/>
              <w:marBottom w:val="0"/>
              <w:divBdr>
                <w:top w:val="none" w:sz="0" w:space="0" w:color="auto"/>
                <w:left w:val="none" w:sz="0" w:space="0" w:color="auto"/>
                <w:bottom w:val="none" w:sz="0" w:space="0" w:color="auto"/>
                <w:right w:val="none" w:sz="0" w:space="0" w:color="auto"/>
              </w:divBdr>
            </w:div>
            <w:div w:id="7101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8118">
      <w:bodyDiv w:val="1"/>
      <w:marLeft w:val="0"/>
      <w:marRight w:val="0"/>
      <w:marTop w:val="0"/>
      <w:marBottom w:val="0"/>
      <w:divBdr>
        <w:top w:val="none" w:sz="0" w:space="0" w:color="auto"/>
        <w:left w:val="none" w:sz="0" w:space="0" w:color="auto"/>
        <w:bottom w:val="none" w:sz="0" w:space="0" w:color="auto"/>
        <w:right w:val="none" w:sz="0" w:space="0" w:color="auto"/>
      </w:divBdr>
      <w:divsChild>
        <w:div w:id="997151934">
          <w:marLeft w:val="0"/>
          <w:marRight w:val="0"/>
          <w:marTop w:val="0"/>
          <w:marBottom w:val="0"/>
          <w:divBdr>
            <w:top w:val="none" w:sz="0" w:space="0" w:color="auto"/>
            <w:left w:val="none" w:sz="0" w:space="0" w:color="auto"/>
            <w:bottom w:val="none" w:sz="0" w:space="0" w:color="auto"/>
            <w:right w:val="none" w:sz="0" w:space="0" w:color="auto"/>
          </w:divBdr>
          <w:divsChild>
            <w:div w:id="89397891">
              <w:marLeft w:val="0"/>
              <w:marRight w:val="0"/>
              <w:marTop w:val="0"/>
              <w:marBottom w:val="0"/>
              <w:divBdr>
                <w:top w:val="none" w:sz="0" w:space="0" w:color="auto"/>
                <w:left w:val="none" w:sz="0" w:space="0" w:color="auto"/>
                <w:bottom w:val="none" w:sz="0" w:space="0" w:color="auto"/>
                <w:right w:val="none" w:sz="0" w:space="0" w:color="auto"/>
              </w:divBdr>
            </w:div>
            <w:div w:id="367727857">
              <w:marLeft w:val="0"/>
              <w:marRight w:val="0"/>
              <w:marTop w:val="0"/>
              <w:marBottom w:val="0"/>
              <w:divBdr>
                <w:top w:val="none" w:sz="0" w:space="0" w:color="auto"/>
                <w:left w:val="none" w:sz="0" w:space="0" w:color="auto"/>
                <w:bottom w:val="none" w:sz="0" w:space="0" w:color="auto"/>
                <w:right w:val="none" w:sz="0" w:space="0" w:color="auto"/>
              </w:divBdr>
            </w:div>
            <w:div w:id="2125296742">
              <w:marLeft w:val="0"/>
              <w:marRight w:val="0"/>
              <w:marTop w:val="0"/>
              <w:marBottom w:val="0"/>
              <w:divBdr>
                <w:top w:val="none" w:sz="0" w:space="0" w:color="auto"/>
                <w:left w:val="none" w:sz="0" w:space="0" w:color="auto"/>
                <w:bottom w:val="none" w:sz="0" w:space="0" w:color="auto"/>
                <w:right w:val="none" w:sz="0" w:space="0" w:color="auto"/>
              </w:divBdr>
            </w:div>
            <w:div w:id="298268623">
              <w:marLeft w:val="0"/>
              <w:marRight w:val="0"/>
              <w:marTop w:val="0"/>
              <w:marBottom w:val="0"/>
              <w:divBdr>
                <w:top w:val="none" w:sz="0" w:space="0" w:color="auto"/>
                <w:left w:val="none" w:sz="0" w:space="0" w:color="auto"/>
                <w:bottom w:val="none" w:sz="0" w:space="0" w:color="auto"/>
                <w:right w:val="none" w:sz="0" w:space="0" w:color="auto"/>
              </w:divBdr>
            </w:div>
            <w:div w:id="600725755">
              <w:marLeft w:val="0"/>
              <w:marRight w:val="0"/>
              <w:marTop w:val="0"/>
              <w:marBottom w:val="0"/>
              <w:divBdr>
                <w:top w:val="none" w:sz="0" w:space="0" w:color="auto"/>
                <w:left w:val="none" w:sz="0" w:space="0" w:color="auto"/>
                <w:bottom w:val="none" w:sz="0" w:space="0" w:color="auto"/>
                <w:right w:val="none" w:sz="0" w:space="0" w:color="auto"/>
              </w:divBdr>
            </w:div>
            <w:div w:id="1133714198">
              <w:marLeft w:val="0"/>
              <w:marRight w:val="0"/>
              <w:marTop w:val="0"/>
              <w:marBottom w:val="0"/>
              <w:divBdr>
                <w:top w:val="none" w:sz="0" w:space="0" w:color="auto"/>
                <w:left w:val="none" w:sz="0" w:space="0" w:color="auto"/>
                <w:bottom w:val="none" w:sz="0" w:space="0" w:color="auto"/>
                <w:right w:val="none" w:sz="0" w:space="0" w:color="auto"/>
              </w:divBdr>
            </w:div>
            <w:div w:id="952906243">
              <w:marLeft w:val="0"/>
              <w:marRight w:val="0"/>
              <w:marTop w:val="0"/>
              <w:marBottom w:val="0"/>
              <w:divBdr>
                <w:top w:val="none" w:sz="0" w:space="0" w:color="auto"/>
                <w:left w:val="none" w:sz="0" w:space="0" w:color="auto"/>
                <w:bottom w:val="none" w:sz="0" w:space="0" w:color="auto"/>
                <w:right w:val="none" w:sz="0" w:space="0" w:color="auto"/>
              </w:divBdr>
            </w:div>
            <w:div w:id="873157091">
              <w:marLeft w:val="0"/>
              <w:marRight w:val="0"/>
              <w:marTop w:val="0"/>
              <w:marBottom w:val="0"/>
              <w:divBdr>
                <w:top w:val="none" w:sz="0" w:space="0" w:color="auto"/>
                <w:left w:val="none" w:sz="0" w:space="0" w:color="auto"/>
                <w:bottom w:val="none" w:sz="0" w:space="0" w:color="auto"/>
                <w:right w:val="none" w:sz="0" w:space="0" w:color="auto"/>
              </w:divBdr>
            </w:div>
            <w:div w:id="235406426">
              <w:marLeft w:val="0"/>
              <w:marRight w:val="0"/>
              <w:marTop w:val="0"/>
              <w:marBottom w:val="0"/>
              <w:divBdr>
                <w:top w:val="none" w:sz="0" w:space="0" w:color="auto"/>
                <w:left w:val="none" w:sz="0" w:space="0" w:color="auto"/>
                <w:bottom w:val="none" w:sz="0" w:space="0" w:color="auto"/>
                <w:right w:val="none" w:sz="0" w:space="0" w:color="auto"/>
              </w:divBdr>
            </w:div>
            <w:div w:id="17616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38460">
      <w:bodyDiv w:val="1"/>
      <w:marLeft w:val="0"/>
      <w:marRight w:val="0"/>
      <w:marTop w:val="0"/>
      <w:marBottom w:val="0"/>
      <w:divBdr>
        <w:top w:val="none" w:sz="0" w:space="0" w:color="auto"/>
        <w:left w:val="none" w:sz="0" w:space="0" w:color="auto"/>
        <w:bottom w:val="none" w:sz="0" w:space="0" w:color="auto"/>
        <w:right w:val="none" w:sz="0" w:space="0" w:color="auto"/>
      </w:divBdr>
    </w:div>
    <w:div w:id="1044452642">
      <w:bodyDiv w:val="1"/>
      <w:marLeft w:val="0"/>
      <w:marRight w:val="0"/>
      <w:marTop w:val="0"/>
      <w:marBottom w:val="0"/>
      <w:divBdr>
        <w:top w:val="none" w:sz="0" w:space="0" w:color="auto"/>
        <w:left w:val="none" w:sz="0" w:space="0" w:color="auto"/>
        <w:bottom w:val="none" w:sz="0" w:space="0" w:color="auto"/>
        <w:right w:val="none" w:sz="0" w:space="0" w:color="auto"/>
      </w:divBdr>
      <w:divsChild>
        <w:div w:id="243800231">
          <w:marLeft w:val="0"/>
          <w:marRight w:val="0"/>
          <w:marTop w:val="0"/>
          <w:marBottom w:val="0"/>
          <w:divBdr>
            <w:top w:val="none" w:sz="0" w:space="0" w:color="auto"/>
            <w:left w:val="none" w:sz="0" w:space="0" w:color="auto"/>
            <w:bottom w:val="none" w:sz="0" w:space="0" w:color="auto"/>
            <w:right w:val="none" w:sz="0" w:space="0" w:color="auto"/>
          </w:divBdr>
          <w:divsChild>
            <w:div w:id="2070613566">
              <w:marLeft w:val="0"/>
              <w:marRight w:val="0"/>
              <w:marTop w:val="0"/>
              <w:marBottom w:val="0"/>
              <w:divBdr>
                <w:top w:val="none" w:sz="0" w:space="0" w:color="auto"/>
                <w:left w:val="none" w:sz="0" w:space="0" w:color="auto"/>
                <w:bottom w:val="none" w:sz="0" w:space="0" w:color="auto"/>
                <w:right w:val="none" w:sz="0" w:space="0" w:color="auto"/>
              </w:divBdr>
            </w:div>
            <w:div w:id="1812017447">
              <w:marLeft w:val="0"/>
              <w:marRight w:val="0"/>
              <w:marTop w:val="0"/>
              <w:marBottom w:val="0"/>
              <w:divBdr>
                <w:top w:val="none" w:sz="0" w:space="0" w:color="auto"/>
                <w:left w:val="none" w:sz="0" w:space="0" w:color="auto"/>
                <w:bottom w:val="none" w:sz="0" w:space="0" w:color="auto"/>
                <w:right w:val="none" w:sz="0" w:space="0" w:color="auto"/>
              </w:divBdr>
            </w:div>
            <w:div w:id="821578956">
              <w:marLeft w:val="0"/>
              <w:marRight w:val="0"/>
              <w:marTop w:val="0"/>
              <w:marBottom w:val="0"/>
              <w:divBdr>
                <w:top w:val="none" w:sz="0" w:space="0" w:color="auto"/>
                <w:left w:val="none" w:sz="0" w:space="0" w:color="auto"/>
                <w:bottom w:val="none" w:sz="0" w:space="0" w:color="auto"/>
                <w:right w:val="none" w:sz="0" w:space="0" w:color="auto"/>
              </w:divBdr>
            </w:div>
            <w:div w:id="1120875036">
              <w:marLeft w:val="0"/>
              <w:marRight w:val="0"/>
              <w:marTop w:val="0"/>
              <w:marBottom w:val="0"/>
              <w:divBdr>
                <w:top w:val="none" w:sz="0" w:space="0" w:color="auto"/>
                <w:left w:val="none" w:sz="0" w:space="0" w:color="auto"/>
                <w:bottom w:val="none" w:sz="0" w:space="0" w:color="auto"/>
                <w:right w:val="none" w:sz="0" w:space="0" w:color="auto"/>
              </w:divBdr>
            </w:div>
            <w:div w:id="1844315620">
              <w:marLeft w:val="0"/>
              <w:marRight w:val="0"/>
              <w:marTop w:val="0"/>
              <w:marBottom w:val="0"/>
              <w:divBdr>
                <w:top w:val="none" w:sz="0" w:space="0" w:color="auto"/>
                <w:left w:val="none" w:sz="0" w:space="0" w:color="auto"/>
                <w:bottom w:val="none" w:sz="0" w:space="0" w:color="auto"/>
                <w:right w:val="none" w:sz="0" w:space="0" w:color="auto"/>
              </w:divBdr>
            </w:div>
            <w:div w:id="51781484">
              <w:marLeft w:val="0"/>
              <w:marRight w:val="0"/>
              <w:marTop w:val="0"/>
              <w:marBottom w:val="0"/>
              <w:divBdr>
                <w:top w:val="none" w:sz="0" w:space="0" w:color="auto"/>
                <w:left w:val="none" w:sz="0" w:space="0" w:color="auto"/>
                <w:bottom w:val="none" w:sz="0" w:space="0" w:color="auto"/>
                <w:right w:val="none" w:sz="0" w:space="0" w:color="auto"/>
              </w:divBdr>
            </w:div>
            <w:div w:id="48766005">
              <w:marLeft w:val="0"/>
              <w:marRight w:val="0"/>
              <w:marTop w:val="0"/>
              <w:marBottom w:val="0"/>
              <w:divBdr>
                <w:top w:val="none" w:sz="0" w:space="0" w:color="auto"/>
                <w:left w:val="none" w:sz="0" w:space="0" w:color="auto"/>
                <w:bottom w:val="none" w:sz="0" w:space="0" w:color="auto"/>
                <w:right w:val="none" w:sz="0" w:space="0" w:color="auto"/>
              </w:divBdr>
            </w:div>
            <w:div w:id="489636435">
              <w:marLeft w:val="0"/>
              <w:marRight w:val="0"/>
              <w:marTop w:val="0"/>
              <w:marBottom w:val="0"/>
              <w:divBdr>
                <w:top w:val="none" w:sz="0" w:space="0" w:color="auto"/>
                <w:left w:val="none" w:sz="0" w:space="0" w:color="auto"/>
                <w:bottom w:val="none" w:sz="0" w:space="0" w:color="auto"/>
                <w:right w:val="none" w:sz="0" w:space="0" w:color="auto"/>
              </w:divBdr>
            </w:div>
            <w:div w:id="119111043">
              <w:marLeft w:val="0"/>
              <w:marRight w:val="0"/>
              <w:marTop w:val="0"/>
              <w:marBottom w:val="0"/>
              <w:divBdr>
                <w:top w:val="none" w:sz="0" w:space="0" w:color="auto"/>
                <w:left w:val="none" w:sz="0" w:space="0" w:color="auto"/>
                <w:bottom w:val="none" w:sz="0" w:space="0" w:color="auto"/>
                <w:right w:val="none" w:sz="0" w:space="0" w:color="auto"/>
              </w:divBdr>
            </w:div>
            <w:div w:id="1215969970">
              <w:marLeft w:val="0"/>
              <w:marRight w:val="0"/>
              <w:marTop w:val="0"/>
              <w:marBottom w:val="0"/>
              <w:divBdr>
                <w:top w:val="none" w:sz="0" w:space="0" w:color="auto"/>
                <w:left w:val="none" w:sz="0" w:space="0" w:color="auto"/>
                <w:bottom w:val="none" w:sz="0" w:space="0" w:color="auto"/>
                <w:right w:val="none" w:sz="0" w:space="0" w:color="auto"/>
              </w:divBdr>
            </w:div>
            <w:div w:id="1703168423">
              <w:marLeft w:val="0"/>
              <w:marRight w:val="0"/>
              <w:marTop w:val="0"/>
              <w:marBottom w:val="0"/>
              <w:divBdr>
                <w:top w:val="none" w:sz="0" w:space="0" w:color="auto"/>
                <w:left w:val="none" w:sz="0" w:space="0" w:color="auto"/>
                <w:bottom w:val="none" w:sz="0" w:space="0" w:color="auto"/>
                <w:right w:val="none" w:sz="0" w:space="0" w:color="auto"/>
              </w:divBdr>
            </w:div>
            <w:div w:id="8698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9850">
      <w:bodyDiv w:val="1"/>
      <w:marLeft w:val="0"/>
      <w:marRight w:val="0"/>
      <w:marTop w:val="0"/>
      <w:marBottom w:val="0"/>
      <w:divBdr>
        <w:top w:val="none" w:sz="0" w:space="0" w:color="auto"/>
        <w:left w:val="none" w:sz="0" w:space="0" w:color="auto"/>
        <w:bottom w:val="none" w:sz="0" w:space="0" w:color="auto"/>
        <w:right w:val="none" w:sz="0" w:space="0" w:color="auto"/>
      </w:divBdr>
      <w:divsChild>
        <w:div w:id="1104955833">
          <w:marLeft w:val="0"/>
          <w:marRight w:val="0"/>
          <w:marTop w:val="0"/>
          <w:marBottom w:val="0"/>
          <w:divBdr>
            <w:top w:val="none" w:sz="0" w:space="0" w:color="auto"/>
            <w:left w:val="none" w:sz="0" w:space="0" w:color="auto"/>
            <w:bottom w:val="none" w:sz="0" w:space="0" w:color="auto"/>
            <w:right w:val="none" w:sz="0" w:space="0" w:color="auto"/>
          </w:divBdr>
          <w:divsChild>
            <w:div w:id="1761487009">
              <w:marLeft w:val="0"/>
              <w:marRight w:val="0"/>
              <w:marTop w:val="0"/>
              <w:marBottom w:val="0"/>
              <w:divBdr>
                <w:top w:val="none" w:sz="0" w:space="0" w:color="auto"/>
                <w:left w:val="none" w:sz="0" w:space="0" w:color="auto"/>
                <w:bottom w:val="none" w:sz="0" w:space="0" w:color="auto"/>
                <w:right w:val="none" w:sz="0" w:space="0" w:color="auto"/>
              </w:divBdr>
            </w:div>
            <w:div w:id="920064717">
              <w:marLeft w:val="0"/>
              <w:marRight w:val="0"/>
              <w:marTop w:val="0"/>
              <w:marBottom w:val="0"/>
              <w:divBdr>
                <w:top w:val="none" w:sz="0" w:space="0" w:color="auto"/>
                <w:left w:val="none" w:sz="0" w:space="0" w:color="auto"/>
                <w:bottom w:val="none" w:sz="0" w:space="0" w:color="auto"/>
                <w:right w:val="none" w:sz="0" w:space="0" w:color="auto"/>
              </w:divBdr>
            </w:div>
            <w:div w:id="1607612508">
              <w:marLeft w:val="0"/>
              <w:marRight w:val="0"/>
              <w:marTop w:val="0"/>
              <w:marBottom w:val="0"/>
              <w:divBdr>
                <w:top w:val="none" w:sz="0" w:space="0" w:color="auto"/>
                <w:left w:val="none" w:sz="0" w:space="0" w:color="auto"/>
                <w:bottom w:val="none" w:sz="0" w:space="0" w:color="auto"/>
                <w:right w:val="none" w:sz="0" w:space="0" w:color="auto"/>
              </w:divBdr>
            </w:div>
            <w:div w:id="819612676">
              <w:marLeft w:val="0"/>
              <w:marRight w:val="0"/>
              <w:marTop w:val="0"/>
              <w:marBottom w:val="0"/>
              <w:divBdr>
                <w:top w:val="none" w:sz="0" w:space="0" w:color="auto"/>
                <w:left w:val="none" w:sz="0" w:space="0" w:color="auto"/>
                <w:bottom w:val="none" w:sz="0" w:space="0" w:color="auto"/>
                <w:right w:val="none" w:sz="0" w:space="0" w:color="auto"/>
              </w:divBdr>
            </w:div>
            <w:div w:id="1170099056">
              <w:marLeft w:val="0"/>
              <w:marRight w:val="0"/>
              <w:marTop w:val="0"/>
              <w:marBottom w:val="0"/>
              <w:divBdr>
                <w:top w:val="none" w:sz="0" w:space="0" w:color="auto"/>
                <w:left w:val="none" w:sz="0" w:space="0" w:color="auto"/>
                <w:bottom w:val="none" w:sz="0" w:space="0" w:color="auto"/>
                <w:right w:val="none" w:sz="0" w:space="0" w:color="auto"/>
              </w:divBdr>
            </w:div>
            <w:div w:id="585312446">
              <w:marLeft w:val="0"/>
              <w:marRight w:val="0"/>
              <w:marTop w:val="0"/>
              <w:marBottom w:val="0"/>
              <w:divBdr>
                <w:top w:val="none" w:sz="0" w:space="0" w:color="auto"/>
                <w:left w:val="none" w:sz="0" w:space="0" w:color="auto"/>
                <w:bottom w:val="none" w:sz="0" w:space="0" w:color="auto"/>
                <w:right w:val="none" w:sz="0" w:space="0" w:color="auto"/>
              </w:divBdr>
            </w:div>
            <w:div w:id="245960771">
              <w:marLeft w:val="0"/>
              <w:marRight w:val="0"/>
              <w:marTop w:val="0"/>
              <w:marBottom w:val="0"/>
              <w:divBdr>
                <w:top w:val="none" w:sz="0" w:space="0" w:color="auto"/>
                <w:left w:val="none" w:sz="0" w:space="0" w:color="auto"/>
                <w:bottom w:val="none" w:sz="0" w:space="0" w:color="auto"/>
                <w:right w:val="none" w:sz="0" w:space="0" w:color="auto"/>
              </w:divBdr>
            </w:div>
            <w:div w:id="17436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7293">
      <w:bodyDiv w:val="1"/>
      <w:marLeft w:val="0"/>
      <w:marRight w:val="0"/>
      <w:marTop w:val="0"/>
      <w:marBottom w:val="0"/>
      <w:divBdr>
        <w:top w:val="none" w:sz="0" w:space="0" w:color="auto"/>
        <w:left w:val="none" w:sz="0" w:space="0" w:color="auto"/>
        <w:bottom w:val="none" w:sz="0" w:space="0" w:color="auto"/>
        <w:right w:val="none" w:sz="0" w:space="0" w:color="auto"/>
      </w:divBdr>
      <w:divsChild>
        <w:div w:id="994332166">
          <w:marLeft w:val="0"/>
          <w:marRight w:val="0"/>
          <w:marTop w:val="0"/>
          <w:marBottom w:val="0"/>
          <w:divBdr>
            <w:top w:val="none" w:sz="0" w:space="0" w:color="auto"/>
            <w:left w:val="none" w:sz="0" w:space="0" w:color="auto"/>
            <w:bottom w:val="none" w:sz="0" w:space="0" w:color="auto"/>
            <w:right w:val="none" w:sz="0" w:space="0" w:color="auto"/>
          </w:divBdr>
          <w:divsChild>
            <w:div w:id="240799611">
              <w:marLeft w:val="0"/>
              <w:marRight w:val="0"/>
              <w:marTop w:val="0"/>
              <w:marBottom w:val="0"/>
              <w:divBdr>
                <w:top w:val="none" w:sz="0" w:space="0" w:color="auto"/>
                <w:left w:val="none" w:sz="0" w:space="0" w:color="auto"/>
                <w:bottom w:val="none" w:sz="0" w:space="0" w:color="auto"/>
                <w:right w:val="none" w:sz="0" w:space="0" w:color="auto"/>
              </w:divBdr>
            </w:div>
            <w:div w:id="933974967">
              <w:marLeft w:val="0"/>
              <w:marRight w:val="0"/>
              <w:marTop w:val="0"/>
              <w:marBottom w:val="0"/>
              <w:divBdr>
                <w:top w:val="none" w:sz="0" w:space="0" w:color="auto"/>
                <w:left w:val="none" w:sz="0" w:space="0" w:color="auto"/>
                <w:bottom w:val="none" w:sz="0" w:space="0" w:color="auto"/>
                <w:right w:val="none" w:sz="0" w:space="0" w:color="auto"/>
              </w:divBdr>
            </w:div>
            <w:div w:id="1198663713">
              <w:marLeft w:val="0"/>
              <w:marRight w:val="0"/>
              <w:marTop w:val="0"/>
              <w:marBottom w:val="0"/>
              <w:divBdr>
                <w:top w:val="none" w:sz="0" w:space="0" w:color="auto"/>
                <w:left w:val="none" w:sz="0" w:space="0" w:color="auto"/>
                <w:bottom w:val="none" w:sz="0" w:space="0" w:color="auto"/>
                <w:right w:val="none" w:sz="0" w:space="0" w:color="auto"/>
              </w:divBdr>
            </w:div>
            <w:div w:id="163320995">
              <w:marLeft w:val="0"/>
              <w:marRight w:val="0"/>
              <w:marTop w:val="0"/>
              <w:marBottom w:val="0"/>
              <w:divBdr>
                <w:top w:val="none" w:sz="0" w:space="0" w:color="auto"/>
                <w:left w:val="none" w:sz="0" w:space="0" w:color="auto"/>
                <w:bottom w:val="none" w:sz="0" w:space="0" w:color="auto"/>
                <w:right w:val="none" w:sz="0" w:space="0" w:color="auto"/>
              </w:divBdr>
            </w:div>
            <w:div w:id="970863003">
              <w:marLeft w:val="0"/>
              <w:marRight w:val="0"/>
              <w:marTop w:val="0"/>
              <w:marBottom w:val="0"/>
              <w:divBdr>
                <w:top w:val="none" w:sz="0" w:space="0" w:color="auto"/>
                <w:left w:val="none" w:sz="0" w:space="0" w:color="auto"/>
                <w:bottom w:val="none" w:sz="0" w:space="0" w:color="auto"/>
                <w:right w:val="none" w:sz="0" w:space="0" w:color="auto"/>
              </w:divBdr>
            </w:div>
            <w:div w:id="415782745">
              <w:marLeft w:val="0"/>
              <w:marRight w:val="0"/>
              <w:marTop w:val="0"/>
              <w:marBottom w:val="0"/>
              <w:divBdr>
                <w:top w:val="none" w:sz="0" w:space="0" w:color="auto"/>
                <w:left w:val="none" w:sz="0" w:space="0" w:color="auto"/>
                <w:bottom w:val="none" w:sz="0" w:space="0" w:color="auto"/>
                <w:right w:val="none" w:sz="0" w:space="0" w:color="auto"/>
              </w:divBdr>
            </w:div>
            <w:div w:id="194659164">
              <w:marLeft w:val="0"/>
              <w:marRight w:val="0"/>
              <w:marTop w:val="0"/>
              <w:marBottom w:val="0"/>
              <w:divBdr>
                <w:top w:val="none" w:sz="0" w:space="0" w:color="auto"/>
                <w:left w:val="none" w:sz="0" w:space="0" w:color="auto"/>
                <w:bottom w:val="none" w:sz="0" w:space="0" w:color="auto"/>
                <w:right w:val="none" w:sz="0" w:space="0" w:color="auto"/>
              </w:divBdr>
            </w:div>
            <w:div w:id="1223516320">
              <w:marLeft w:val="0"/>
              <w:marRight w:val="0"/>
              <w:marTop w:val="0"/>
              <w:marBottom w:val="0"/>
              <w:divBdr>
                <w:top w:val="none" w:sz="0" w:space="0" w:color="auto"/>
                <w:left w:val="none" w:sz="0" w:space="0" w:color="auto"/>
                <w:bottom w:val="none" w:sz="0" w:space="0" w:color="auto"/>
                <w:right w:val="none" w:sz="0" w:space="0" w:color="auto"/>
              </w:divBdr>
            </w:div>
            <w:div w:id="68582561">
              <w:marLeft w:val="0"/>
              <w:marRight w:val="0"/>
              <w:marTop w:val="0"/>
              <w:marBottom w:val="0"/>
              <w:divBdr>
                <w:top w:val="none" w:sz="0" w:space="0" w:color="auto"/>
                <w:left w:val="none" w:sz="0" w:space="0" w:color="auto"/>
                <w:bottom w:val="none" w:sz="0" w:space="0" w:color="auto"/>
                <w:right w:val="none" w:sz="0" w:space="0" w:color="auto"/>
              </w:divBdr>
            </w:div>
            <w:div w:id="11858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2200</Words>
  <Characters>13273</Characters>
  <Application>Microsoft Office Word</Application>
  <DocSecurity>0</DocSecurity>
  <Lines>221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kumar</dc:creator>
  <cp:keywords/>
  <dc:description/>
  <cp:lastModifiedBy>Vismaya Venu</cp:lastModifiedBy>
  <cp:revision>12</cp:revision>
  <dcterms:created xsi:type="dcterms:W3CDTF">2025-08-20T07:52:00Z</dcterms:created>
  <dcterms:modified xsi:type="dcterms:W3CDTF">2025-08-24T14:20:00Z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4c01ec71-494a-4f21-9187-4829f64a6099</vt:lpwstr>
  </property>
</Properties>
</file>