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35DB" w14:textId="77777777" w:rsidR="00A93F8F" w:rsidRDefault="00A93F8F" w:rsidP="00B07F00">
      <w:pPr>
        <w:pStyle w:val="Title"/>
        <w:spacing w:line="360" w:lineRule="auto"/>
        <w:rPr>
          <w:rFonts w:ascii="Times New Roman" w:hAnsi="Times New Roman" w:cs="Times New Roman"/>
          <w:b/>
          <w:bCs/>
          <w:sz w:val="28"/>
          <w:szCs w:val="28"/>
        </w:rPr>
      </w:pPr>
      <w:r w:rsidRPr="00A93F8F">
        <w:rPr>
          <w:rFonts w:ascii="Times New Roman" w:hAnsi="Times New Roman" w:cs="Times New Roman"/>
          <w:b/>
          <w:bCs/>
          <w:sz w:val="28"/>
          <w:szCs w:val="28"/>
        </w:rPr>
        <w:t>Original Research Article</w:t>
      </w:r>
    </w:p>
    <w:p w14:paraId="65B74E1E" w14:textId="77777777" w:rsidR="00A93F8F" w:rsidRDefault="00A93F8F" w:rsidP="00B07F00">
      <w:pPr>
        <w:pStyle w:val="Title"/>
        <w:spacing w:line="360" w:lineRule="auto"/>
        <w:rPr>
          <w:rFonts w:ascii="Times New Roman" w:hAnsi="Times New Roman" w:cs="Times New Roman"/>
          <w:b/>
          <w:bCs/>
          <w:sz w:val="28"/>
          <w:szCs w:val="28"/>
        </w:rPr>
      </w:pPr>
    </w:p>
    <w:p w14:paraId="0BFE7617" w14:textId="54075FB1" w:rsidR="0002721B" w:rsidRDefault="00A03212" w:rsidP="0025685C">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Development of a Cell Line Model for ROS Studies Using Silver Nanoparticles in Rheumatoid Arthritis</w:t>
      </w:r>
    </w:p>
    <w:p w14:paraId="366F8504" w14:textId="77777777" w:rsidR="00C22D1C" w:rsidRPr="00C22D1C" w:rsidRDefault="00C22D1C" w:rsidP="00C22D1C">
      <w:pPr>
        <w:pStyle w:val="Compact"/>
        <w:spacing w:line="360" w:lineRule="auto"/>
        <w:jc w:val="both"/>
        <w:rPr>
          <w:rFonts w:ascii="Times New Roman" w:hAnsi="Times New Roman" w:cs="Times New Roman"/>
          <w:b/>
          <w:bCs/>
          <w:lang w:val="en-IN"/>
        </w:rPr>
      </w:pPr>
      <w:bookmarkStart w:id="0" w:name="_GoBack"/>
      <w:bookmarkEnd w:id="0"/>
      <w:r w:rsidRPr="00C22D1C">
        <w:rPr>
          <w:rFonts w:ascii="Times New Roman" w:hAnsi="Times New Roman" w:cs="Times New Roman"/>
          <w:b/>
          <w:bCs/>
          <w:lang w:val="en-IN"/>
        </w:rPr>
        <w:t>1. ABSTRACT</w:t>
      </w:r>
    </w:p>
    <w:p w14:paraId="6F4EB1EF"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b/>
          <w:bCs/>
          <w:lang w:val="en-IN"/>
        </w:rPr>
        <w:t>Background:</w:t>
      </w:r>
      <w:r w:rsidRPr="00C22D1C">
        <w:rPr>
          <w:rFonts w:ascii="Times New Roman" w:hAnsi="Times New Roman" w:cs="Times New Roman"/>
          <w:b/>
          <w:bCs/>
          <w:lang w:val="en-IN"/>
        </w:rPr>
        <w:br/>
      </w:r>
      <w:r w:rsidRPr="00C22D1C">
        <w:rPr>
          <w:rFonts w:ascii="Times New Roman" w:hAnsi="Times New Roman" w:cs="Times New Roman"/>
          <w:lang w:val="en-IN"/>
        </w:rPr>
        <w:t>Rheumatoid arthritis (RA) is a chronic autoimmune disorder characterized by persistent inflammation and oxidative stress, with reactive oxygen species (ROS) playing a pivotal role in its pathogenesis. Silver nanoparticles (AgNPs), known for their redox-modulating and immunomodulatory properties, are being explored for therapeutic applications. However, their dose-dependent and cell-specific effects remain poorly understood in RA-relevant models. This study addresses this gap using in vitro models to evaluate the impact of AgNPs on ROS production, immune biomarkers, and cell cycle dynamics.</w:t>
      </w:r>
    </w:p>
    <w:p w14:paraId="390D029B"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b/>
          <w:bCs/>
          <w:lang w:val="en-IN"/>
        </w:rPr>
        <w:t>Aim:</w:t>
      </w:r>
      <w:r w:rsidRPr="00C22D1C">
        <w:rPr>
          <w:rFonts w:ascii="Times New Roman" w:hAnsi="Times New Roman" w:cs="Times New Roman"/>
          <w:b/>
          <w:bCs/>
          <w:lang w:val="en-IN"/>
        </w:rPr>
        <w:br/>
      </w:r>
      <w:r w:rsidRPr="00C22D1C">
        <w:rPr>
          <w:rFonts w:ascii="Times New Roman" w:hAnsi="Times New Roman" w:cs="Times New Roman"/>
          <w:lang w:val="en-IN"/>
        </w:rPr>
        <w:t>To develop an in vitro platform using K562 cells, PBMCs, and RAW 264.7 macrophages to investigate the cytotoxic, redox-modulating, and immunomodulatory effects of AgNPs in the context of RA. This model integrates immune-relevant cell systems and evaluates ROS generation, immune marker expression, and cell cycle alterations.</w:t>
      </w:r>
    </w:p>
    <w:p w14:paraId="4329B3A0" w14:textId="77777777" w:rsidR="00C22D1C" w:rsidRPr="00C22D1C" w:rsidRDefault="00C22D1C" w:rsidP="00C22D1C">
      <w:pPr>
        <w:pStyle w:val="Compact"/>
        <w:spacing w:line="360" w:lineRule="auto"/>
        <w:rPr>
          <w:rFonts w:ascii="Times New Roman" w:hAnsi="Times New Roman" w:cs="Times New Roman"/>
          <w:lang w:val="en-IN"/>
        </w:rPr>
      </w:pPr>
      <w:r w:rsidRPr="00C22D1C">
        <w:rPr>
          <w:rFonts w:ascii="Times New Roman" w:hAnsi="Times New Roman" w:cs="Times New Roman"/>
          <w:b/>
          <w:bCs/>
          <w:lang w:val="en-IN"/>
        </w:rPr>
        <w:t>Study Design:</w:t>
      </w:r>
      <w:r w:rsidRPr="00C22D1C">
        <w:rPr>
          <w:rFonts w:ascii="Times New Roman" w:hAnsi="Times New Roman" w:cs="Times New Roman"/>
          <w:b/>
          <w:bCs/>
          <w:lang w:val="en-IN"/>
        </w:rPr>
        <w:br/>
      </w:r>
      <w:r w:rsidRPr="00C22D1C">
        <w:rPr>
          <w:rFonts w:ascii="Times New Roman" w:hAnsi="Times New Roman" w:cs="Times New Roman"/>
          <w:lang w:val="en-IN"/>
        </w:rPr>
        <w:t>Experimental in vitro study.</w:t>
      </w:r>
    </w:p>
    <w:p w14:paraId="31DCC742" w14:textId="61683CF5" w:rsidR="00C22D1C" w:rsidRPr="00C22D1C" w:rsidRDefault="00C22D1C" w:rsidP="00C22D1C">
      <w:pPr>
        <w:pStyle w:val="Compact"/>
        <w:spacing w:line="360" w:lineRule="auto"/>
        <w:rPr>
          <w:rFonts w:ascii="Times New Roman" w:hAnsi="Times New Roman" w:cs="Times New Roman"/>
          <w:lang w:val="en-IN"/>
        </w:rPr>
      </w:pPr>
      <w:r w:rsidRPr="00C22D1C">
        <w:rPr>
          <w:rFonts w:ascii="Times New Roman" w:hAnsi="Times New Roman" w:cs="Times New Roman"/>
          <w:b/>
          <w:bCs/>
          <w:lang w:val="en-IN"/>
        </w:rPr>
        <w:t>Place and Duration of Study:</w:t>
      </w:r>
      <w:r w:rsidRPr="00C22D1C">
        <w:rPr>
          <w:rFonts w:ascii="Times New Roman" w:hAnsi="Times New Roman" w:cs="Times New Roman"/>
          <w:b/>
          <w:bCs/>
          <w:lang w:val="en-IN"/>
        </w:rPr>
        <w:br/>
      </w:r>
      <w:r w:rsidRPr="00C22D1C">
        <w:rPr>
          <w:rFonts w:ascii="Times New Roman" w:hAnsi="Times New Roman" w:cs="Times New Roman"/>
          <w:lang w:val="en-IN"/>
        </w:rPr>
        <w:t>Amplikon Biosystems</w:t>
      </w:r>
      <w:r w:rsidR="00D26D31">
        <w:rPr>
          <w:rFonts w:ascii="Times New Roman" w:hAnsi="Times New Roman" w:cs="Times New Roman"/>
          <w:lang w:val="en-IN"/>
        </w:rPr>
        <w:t xml:space="preserve"> &amp; Loyola Academy</w:t>
      </w:r>
      <w:r w:rsidRPr="00C22D1C">
        <w:rPr>
          <w:rFonts w:ascii="Times New Roman" w:hAnsi="Times New Roman" w:cs="Times New Roman"/>
          <w:lang w:val="en-IN"/>
        </w:rPr>
        <w:t>, Hyderabad, Telangana, India; April–June 2025.</w:t>
      </w:r>
    </w:p>
    <w:p w14:paraId="7DD50969"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b/>
          <w:bCs/>
          <w:lang w:val="en-IN"/>
        </w:rPr>
        <w:t>Methodology:</w:t>
      </w:r>
      <w:r w:rsidRPr="00C22D1C">
        <w:rPr>
          <w:rFonts w:ascii="Times New Roman" w:hAnsi="Times New Roman" w:cs="Times New Roman"/>
          <w:b/>
          <w:bCs/>
          <w:lang w:val="en-IN"/>
        </w:rPr>
        <w:br/>
      </w:r>
      <w:r w:rsidRPr="00C22D1C">
        <w:rPr>
          <w:rFonts w:ascii="Times New Roman" w:hAnsi="Times New Roman" w:cs="Times New Roman"/>
          <w:lang w:val="en-IN"/>
        </w:rPr>
        <w:t>AgNPs were synthesized using tri-sodium citrate reduction and characterized via UV–Vis spectroscopy. PBMCs were isolated from whole blood by Ficoll-Paque density gradient centrifugation. K562, PBMCs, and RAW 264.7 cells were treated with various concentrations of AgNPs, while lipopolysaccharide (LPS) served as a pro-oxidant control in RAW 264.7 cells. Cytotoxicity was assessed using the Alamar Blue assay; ROS levels were measured by DCFDA assay; immune biomarkers (BCR-ABL in K562, CD69 in PBMCs) were analyzed using indirect ELISA; and cell cycle profiles in PBMCs were determined via flow cytometry.</w:t>
      </w:r>
    </w:p>
    <w:p w14:paraId="70D70A8F"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b/>
          <w:bCs/>
          <w:lang w:val="en-IN"/>
        </w:rPr>
        <w:lastRenderedPageBreak/>
        <w:t>Results:</w:t>
      </w:r>
      <w:r w:rsidRPr="00C22D1C">
        <w:rPr>
          <w:rFonts w:ascii="Times New Roman" w:hAnsi="Times New Roman" w:cs="Times New Roman"/>
          <w:b/>
          <w:bCs/>
          <w:lang w:val="en-IN"/>
        </w:rPr>
        <w:br/>
      </w:r>
      <w:r w:rsidRPr="00C22D1C">
        <w:rPr>
          <w:rFonts w:ascii="Times New Roman" w:hAnsi="Times New Roman" w:cs="Times New Roman"/>
          <w:lang w:val="en-IN"/>
        </w:rPr>
        <w:t>AgNP formation was confirmed by a UV–Vis peak at ~420 nm. Isolated PBMCs showed high viability post-isolation. K562 cells showed minimal cytotoxicity, while PBMCs exhibited dose-dependent toxicity. AgNPs reduced ROS levels in K562 cells but elevated ROS in RAW 264.7 macrophages. LPS significantly increased ROS in RAW 264.7 cells, validating its use as a pro-oxidant control. ELISA revealed mild BCR-ABL upregulation in K562 cells and marked CD69 downregulation in PBMCs. Flow cytometry demonstrated G1-phase arrest in PBMCs, suggesting redox-mediated modulation of cell cycle progression.</w:t>
      </w:r>
    </w:p>
    <w:p w14:paraId="04BD1540"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b/>
          <w:bCs/>
          <w:lang w:val="en-IN"/>
        </w:rPr>
        <w:t>Conclusion:</w:t>
      </w:r>
      <w:r w:rsidRPr="00C22D1C">
        <w:rPr>
          <w:rFonts w:ascii="Times New Roman" w:hAnsi="Times New Roman" w:cs="Times New Roman"/>
          <w:b/>
          <w:bCs/>
          <w:lang w:val="en-IN"/>
        </w:rPr>
        <w:br/>
      </w:r>
      <w:r w:rsidRPr="00C22D1C">
        <w:rPr>
          <w:rFonts w:ascii="Times New Roman" w:hAnsi="Times New Roman" w:cs="Times New Roman"/>
          <w:lang w:val="en-IN"/>
        </w:rPr>
        <w:t>This study presents a novel, multi-cellular in vitro model to assess AgNP-induced oxidative and immunological effects in an RA context. The findings link ROS modulation with immune biomarker expression and cell cycle changes, supporting the potential of AgNPs in autoimmune disease modulation and therapeutic development.</w:t>
      </w:r>
    </w:p>
    <w:p w14:paraId="3E0306EE" w14:textId="02FE91E2" w:rsidR="00C22D1C" w:rsidRDefault="00C22D1C" w:rsidP="00C22D1C">
      <w:pPr>
        <w:pStyle w:val="Compact"/>
        <w:spacing w:line="360" w:lineRule="auto"/>
        <w:jc w:val="both"/>
        <w:rPr>
          <w:rFonts w:ascii="Times New Roman" w:hAnsi="Times New Roman" w:cs="Times New Roman"/>
          <w:i/>
          <w:iCs/>
          <w:lang w:val="en-IN"/>
        </w:rPr>
      </w:pPr>
      <w:r w:rsidRPr="00C22D1C">
        <w:rPr>
          <w:rFonts w:ascii="Times New Roman" w:hAnsi="Times New Roman" w:cs="Times New Roman"/>
          <w:b/>
          <w:bCs/>
          <w:i/>
          <w:iCs/>
          <w:lang w:val="en-IN"/>
        </w:rPr>
        <w:t>Keywords:</w:t>
      </w:r>
      <w:r w:rsidRPr="00C22D1C">
        <w:rPr>
          <w:rFonts w:ascii="Times New Roman" w:hAnsi="Times New Roman" w:cs="Times New Roman"/>
          <w:b/>
          <w:bCs/>
          <w:i/>
          <w:iCs/>
          <w:lang w:val="en-IN"/>
        </w:rPr>
        <w:br/>
      </w:r>
      <w:r w:rsidRPr="00C22D1C">
        <w:rPr>
          <w:rFonts w:ascii="Times New Roman" w:hAnsi="Times New Roman" w:cs="Times New Roman"/>
          <w:i/>
          <w:iCs/>
          <w:lang w:val="en-IN"/>
        </w:rPr>
        <w:t>Silver nanoparticles (AgNPs); Reactive oxygen species (ROS); Lipopolysaccharide (LPS); Rheumatoid arthritis; PBMCs; K562 cells; RAW 264.7 macrophages; Cytotoxicity; Oxidative stress; CD69; BCR-ABL; Cell cycle analysis; Immunomodulation.</w:t>
      </w:r>
    </w:p>
    <w:p w14:paraId="5FA8981E" w14:textId="77777777" w:rsidR="00C22D1C" w:rsidRPr="00C22D1C" w:rsidRDefault="00C22D1C" w:rsidP="00C22D1C">
      <w:pPr>
        <w:pStyle w:val="Compact"/>
        <w:spacing w:line="360" w:lineRule="auto"/>
        <w:jc w:val="both"/>
        <w:rPr>
          <w:rFonts w:ascii="Times New Roman" w:hAnsi="Times New Roman" w:cs="Times New Roman"/>
          <w:i/>
          <w:iCs/>
          <w:lang w:val="en-IN"/>
        </w:rPr>
      </w:pPr>
    </w:p>
    <w:p w14:paraId="152DBC0B" w14:textId="77777777" w:rsidR="00C22D1C" w:rsidRPr="00C22D1C" w:rsidRDefault="00C22D1C" w:rsidP="00C22D1C">
      <w:pPr>
        <w:pStyle w:val="Compact"/>
        <w:spacing w:line="360" w:lineRule="auto"/>
        <w:jc w:val="both"/>
        <w:rPr>
          <w:rFonts w:ascii="Times New Roman" w:hAnsi="Times New Roman" w:cs="Times New Roman"/>
          <w:b/>
          <w:bCs/>
          <w:lang w:val="en-IN"/>
        </w:rPr>
      </w:pPr>
      <w:r w:rsidRPr="00C22D1C">
        <w:rPr>
          <w:rFonts w:ascii="Times New Roman" w:hAnsi="Times New Roman" w:cs="Times New Roman"/>
          <w:b/>
          <w:bCs/>
          <w:lang w:val="en-IN"/>
        </w:rPr>
        <w:t>2. INTRODUCTION</w:t>
      </w:r>
    </w:p>
    <w:p w14:paraId="1693B4D6" w14:textId="7777777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Rheumatoid arthritis (RA) is a chronic autoimmune disorder primarily affecting synovial joints, leading to persistent inflammation, synovial hyperplasia, cartilage erosion, and progressive joint deformity (Nithyashree &amp; Deveswaran, 2020; Jahid et al., 2023). Affecting around 1% of the global population, RA imposes a significant burden on healthcare systems and patient quality of life. Its etiology is multifactorial, involving genetic susceptibility, environmental triggers, and immune dysregulation (Kabara et al., 2023; Chauhan et al., 2025).</w:t>
      </w:r>
    </w:p>
    <w:p w14:paraId="3B8D2A1E" w14:textId="759F6797"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 xml:space="preserve">A key driver of RA pathogenesis is the excessive generation of reactive oxygen species (ROS), which exacerbate inflammation and tissue damage (Mirshafiey &amp; Mohsenzadegan, 2008). Under physiological conditions, ROS act as secondary messengers in immune </w:t>
      </w:r>
      <w:r w:rsidR="00B02CE1" w:rsidRPr="00C22D1C">
        <w:rPr>
          <w:rFonts w:ascii="Times New Roman" w:hAnsi="Times New Roman" w:cs="Times New Roman"/>
          <w:lang w:val="en-IN"/>
        </w:rPr>
        <w:t>signalling</w:t>
      </w:r>
      <w:r w:rsidRPr="00C22D1C">
        <w:rPr>
          <w:rFonts w:ascii="Times New Roman" w:hAnsi="Times New Roman" w:cs="Times New Roman"/>
          <w:lang w:val="en-IN"/>
        </w:rPr>
        <w:t xml:space="preserve">. However, in RA, an imbalance between ROS production and antioxidant </w:t>
      </w:r>
      <w:r w:rsidR="00B02CE1" w:rsidRPr="00C22D1C">
        <w:rPr>
          <w:rFonts w:ascii="Times New Roman" w:hAnsi="Times New Roman" w:cs="Times New Roman"/>
          <w:lang w:val="en-IN"/>
        </w:rPr>
        <w:t>defences</w:t>
      </w:r>
      <w:r w:rsidRPr="00C22D1C">
        <w:rPr>
          <w:rFonts w:ascii="Times New Roman" w:hAnsi="Times New Roman" w:cs="Times New Roman"/>
          <w:lang w:val="en-IN"/>
        </w:rPr>
        <w:t xml:space="preserve"> results in oxidative stress, amplifying cytokine production, metalloproteinase activation, and cartilage degradation (Finkel &amp; </w:t>
      </w:r>
      <w:r w:rsidRPr="00C22D1C">
        <w:rPr>
          <w:rFonts w:ascii="Times New Roman" w:hAnsi="Times New Roman" w:cs="Times New Roman"/>
          <w:lang w:val="en-IN"/>
        </w:rPr>
        <w:lastRenderedPageBreak/>
        <w:t>Holbrook, 2000; Samrot et al., 2022). Macrophages and T cells within the synovial microenvironment are known to overproduce ROS, contributing to disease progression.</w:t>
      </w:r>
    </w:p>
    <w:p w14:paraId="31959977" w14:textId="41081E74"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 xml:space="preserve">Nanotechnology offers innovative approaches to modulate oxidative stress and immune responses. Silver nanoparticles (AgNPs), in particular, have garnered attention due to their redox activity, high surface area-to-volume ratio, and potential to influence immune pathways (Lal et al., 2024; Gudikandula &amp; Maringanti, 2016). Depending on concentration, surface properties, and cellular context, AgNPs can exert either pro-oxidant or antioxidant effects (Samrot et al., 2022; Redolfi-Bristol et al., 2024). Mechanistically, they may trigger mitochondrial dysfunction, ROS accumulation, and activation of pro-inflammatory </w:t>
      </w:r>
      <w:r w:rsidR="00B02CE1" w:rsidRPr="00C22D1C">
        <w:rPr>
          <w:rFonts w:ascii="Times New Roman" w:hAnsi="Times New Roman" w:cs="Times New Roman"/>
          <w:lang w:val="en-IN"/>
        </w:rPr>
        <w:t>signalling</w:t>
      </w:r>
      <w:r w:rsidRPr="00C22D1C">
        <w:rPr>
          <w:rFonts w:ascii="Times New Roman" w:hAnsi="Times New Roman" w:cs="Times New Roman"/>
          <w:lang w:val="en-IN"/>
        </w:rPr>
        <w:t xml:space="preserve"> (e.g., NF-κB), leading to apoptosis (Rosic, 2022), while at sub-toxic doses they may modulate immune responses and scavenge free radicals (Carvalho-Silva &amp; dos Reis, 2024).</w:t>
      </w:r>
    </w:p>
    <w:p w14:paraId="532D3888" w14:textId="7707C7BF"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 xml:space="preserve">Given this dual </w:t>
      </w:r>
      <w:r w:rsidR="00B02CE1" w:rsidRPr="00C22D1C">
        <w:rPr>
          <w:rFonts w:ascii="Times New Roman" w:hAnsi="Times New Roman" w:cs="Times New Roman"/>
          <w:lang w:val="en-IN"/>
        </w:rPr>
        <w:t>behaviour</w:t>
      </w:r>
      <w:r w:rsidRPr="00C22D1C">
        <w:rPr>
          <w:rFonts w:ascii="Times New Roman" w:hAnsi="Times New Roman" w:cs="Times New Roman"/>
          <w:lang w:val="en-IN"/>
        </w:rPr>
        <w:t>, it is imperative to evaluate AgNP effects using appropriate immune-relevant models that simulate the inflammatory environment of RA. In vitro models allow precise assessment of cellular responses and mechanisms, offering a valuable alternative to complex in vivo systems. This study employs a composite in vitro model consisting of K562 erythroleukemia cells, peripheral blood mononuclear cells (PBMCs), and RAW 264.7 murine macrophages to investigate AgNP-mediated effects on oxidative stress, cytotoxicity, immune marker expression, and cell cycle dynamics (Bottomley et al., 1999; Mishra et al., 2024).</w:t>
      </w:r>
    </w:p>
    <w:p w14:paraId="08DE8C21" w14:textId="58C857E1" w:rsidR="00C22D1C" w:rsidRPr="00C22D1C" w:rsidRDefault="00C22D1C" w:rsidP="00C22D1C">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 xml:space="preserve">While previous research has explored AgNP effects on oxidative stress and immune responses, most studies are limited by single-cell line usage or narrow biomarker analyses. The current study introduces a more integrated model encompassing hematopoietic, immune, and inflammatory components relevant to RA. By correlating oxidative stress with biomarker modulation and cell cycle </w:t>
      </w:r>
      <w:r w:rsidR="00B02CE1" w:rsidRPr="00C22D1C">
        <w:rPr>
          <w:rFonts w:ascii="Times New Roman" w:hAnsi="Times New Roman" w:cs="Times New Roman"/>
          <w:lang w:val="en-IN"/>
        </w:rPr>
        <w:t>behaviour</w:t>
      </w:r>
      <w:r w:rsidRPr="00C22D1C">
        <w:rPr>
          <w:rFonts w:ascii="Times New Roman" w:hAnsi="Times New Roman" w:cs="Times New Roman"/>
          <w:lang w:val="en-IN"/>
        </w:rPr>
        <w:t>, this model offers a deeper mechanistic understanding of AgNP actions under inflammatory conditions.</w:t>
      </w:r>
    </w:p>
    <w:p w14:paraId="24C548F5" w14:textId="3F8CABA8" w:rsidR="003533D5" w:rsidRDefault="00C22D1C" w:rsidP="009E6EA6">
      <w:pPr>
        <w:pStyle w:val="Compact"/>
        <w:spacing w:line="360" w:lineRule="auto"/>
        <w:jc w:val="both"/>
        <w:rPr>
          <w:rFonts w:ascii="Times New Roman" w:hAnsi="Times New Roman" w:cs="Times New Roman"/>
          <w:lang w:val="en-IN"/>
        </w:rPr>
      </w:pPr>
      <w:r w:rsidRPr="00C22D1C">
        <w:rPr>
          <w:rFonts w:ascii="Times New Roman" w:hAnsi="Times New Roman" w:cs="Times New Roman"/>
          <w:lang w:val="en-IN"/>
        </w:rPr>
        <w:t>Ultimately, this platform is expected to reveal distinct, cell-specific responses to AgNPs and provide foundational insights for designing nanoparticle-based therapies targeting autoimmune and inflammatory diseases such as RA.</w:t>
      </w:r>
    </w:p>
    <w:p w14:paraId="708859B5" w14:textId="77777777" w:rsidR="003533D5" w:rsidRPr="003533D5" w:rsidRDefault="003533D5" w:rsidP="009E6EA6">
      <w:pPr>
        <w:pStyle w:val="Compact"/>
        <w:spacing w:line="360" w:lineRule="auto"/>
        <w:jc w:val="both"/>
        <w:rPr>
          <w:rFonts w:ascii="Times New Roman" w:hAnsi="Times New Roman" w:cs="Times New Roman"/>
          <w:lang w:val="en-IN"/>
        </w:rPr>
      </w:pPr>
    </w:p>
    <w:p w14:paraId="73CB7952" w14:textId="0E53E111"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 MATERIALS AND METHODS</w:t>
      </w:r>
    </w:p>
    <w:p w14:paraId="5FFA2A76" w14:textId="71BD95E2"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3.1 Synthesis and Characterization of Silver Nanoparticles</w:t>
      </w:r>
    </w:p>
    <w:p w14:paraId="1B3BCB75" w14:textId="571F2A93" w:rsidR="009E6EA6" w:rsidRPr="009E6EA6"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lastRenderedPageBreak/>
        <w:t xml:space="preserve">Silver nanoparticles (AgNPs) were synthesized via chemical reduction. A 1 mM solution of silver nitrate (AgNO₃) was heated and stirred, followed by the addition of tri-sodium citrate, which served as both a reducing and stabilizing agent. The formation of AgNPs was confirmed by a visible </w:t>
      </w:r>
      <w:r w:rsidR="00B02CE1" w:rsidRPr="009E6EA6">
        <w:rPr>
          <w:rFonts w:ascii="Times New Roman" w:hAnsi="Times New Roman" w:cs="Times New Roman"/>
          <w:lang w:val="en-IN"/>
        </w:rPr>
        <w:t>colour</w:t>
      </w:r>
      <w:r w:rsidRPr="009E6EA6">
        <w:rPr>
          <w:rFonts w:ascii="Times New Roman" w:hAnsi="Times New Roman" w:cs="Times New Roman"/>
          <w:lang w:val="en-IN"/>
        </w:rPr>
        <w:t xml:space="preserve"> change to pale yellow-brown. Characterization was performed using UV-Visible spectroscopy, and the absorbance peak was recorded at approximately 420 nm.</w:t>
      </w:r>
    </w:p>
    <w:p w14:paraId="5FF91222" w14:textId="77777777"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3.2 Isolation of Peripheral Blood Mononuclear Cells (PBMCs)</w:t>
      </w:r>
    </w:p>
    <w:p w14:paraId="713978E4" w14:textId="77777777" w:rsidR="009E6EA6" w:rsidRPr="009E6EA6"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PBMCs were isolated from freshly collected human blood using Ficoll-Paque density gradient centrifugation. The buffy coat layer was carefully collected, washed with phosphate-buffered saline (PBS), and resuspended in RPMI-1640 medium supplemented with 10% fetal bovine serum (FBS) and 1% penicillin-streptomycin. The isolated cells were immediately used for subsequent assays.</w:t>
      </w:r>
    </w:p>
    <w:p w14:paraId="44DFBB2A" w14:textId="77777777"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3.3 Cell Culture</w:t>
      </w:r>
    </w:p>
    <w:p w14:paraId="561C094E" w14:textId="77777777" w:rsidR="009E6EA6" w:rsidRPr="009E6EA6"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K562 (human chronic myelogenous leukemia) and RAW 264.7 (murine macrophage) cell lines were cultured in RPMI-1640 medium supplemented with 10% FBS and 1% penicillin-streptomycin. Cells were maintained at 37°C in a humidified incubator with 5% CO₂.</w:t>
      </w:r>
    </w:p>
    <w:p w14:paraId="0C9DE761" w14:textId="77777777"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3.4 Alamar Blue Cytotoxicity Assay</w:t>
      </w:r>
    </w:p>
    <w:p w14:paraId="40B47A28" w14:textId="4FD0EA41" w:rsidR="003533D5" w:rsidRPr="003533D5"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Cell viability after AgNP exposure was assessed using the Alamar Blue assay. K562 and PBMCs were seeded into 96-well plates and treated with different concentrations of AgNPs (1–100 µg/mL) for 24 hours. Following incubation, 10% Alamar Blue reagent was added to each well, and fluorescence was measured after 4 hours using a microplate reader.</w:t>
      </w:r>
    </w:p>
    <w:p w14:paraId="561B0AE4" w14:textId="3EE3B571"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3.5 ROS Detection Using DCFDA Assay</w:t>
      </w:r>
    </w:p>
    <w:p w14:paraId="228BA279" w14:textId="4CBB47DA" w:rsidR="00130B26" w:rsidRPr="003533D5"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Intracellular reactive oxygen species (ROS) were measured using 2′,7′-dichlorodihydrofluorescein diacetate (DCFDA). K562 and RAW 264.7 cells were treated with AgNPs and lipopolysaccharide (LPS; as a positive control) for 24 hours. Cells were then incubated with DCFDA dye for 30 minutes at 37°C. Fluorescence intensity was recorded using a microplate reader to quantify ROS levels.</w:t>
      </w:r>
    </w:p>
    <w:p w14:paraId="7C95499E" w14:textId="0FFE1C2D"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3.6 Enzyme-Linked Immunosorbent Assay (ELISA)</w:t>
      </w:r>
    </w:p>
    <w:p w14:paraId="06363873" w14:textId="77777777" w:rsidR="009E6EA6" w:rsidRPr="009E6EA6"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 xml:space="preserve">Protein expression of BCR-ABL in K562 cells and CD69 in PBMCs was evaluated via indirect ELISA. Following treatment, cells were lysed and equal amounts of protein were loaded onto </w:t>
      </w:r>
      <w:r w:rsidRPr="009E6EA6">
        <w:rPr>
          <w:rFonts w:ascii="Times New Roman" w:hAnsi="Times New Roman" w:cs="Times New Roman"/>
          <w:lang w:val="en-IN"/>
        </w:rPr>
        <w:lastRenderedPageBreak/>
        <w:t>ELISA plates. Plates were incubated with primary antibodies, followed by HRP-conjugated secondary antibodies. A suitable substrate was added, and absorbance was measured at 450 nm.</w:t>
      </w:r>
    </w:p>
    <w:p w14:paraId="6920459A" w14:textId="77777777" w:rsidR="009E6EA6" w:rsidRPr="009E6EA6" w:rsidRDefault="009E6EA6" w:rsidP="009E6EA6">
      <w:pPr>
        <w:pStyle w:val="Compact"/>
        <w:spacing w:line="360" w:lineRule="auto"/>
        <w:jc w:val="both"/>
        <w:rPr>
          <w:rFonts w:ascii="Times New Roman" w:hAnsi="Times New Roman" w:cs="Times New Roman"/>
          <w:b/>
          <w:bCs/>
          <w:lang w:val="en-IN"/>
        </w:rPr>
      </w:pPr>
      <w:r w:rsidRPr="009E6EA6">
        <w:rPr>
          <w:rFonts w:ascii="Times New Roman" w:hAnsi="Times New Roman" w:cs="Times New Roman"/>
          <w:b/>
          <w:bCs/>
          <w:lang w:val="en-IN"/>
        </w:rPr>
        <w:t>3.7 Flow Cytometry for Cell Cycle Analysis</w:t>
      </w:r>
    </w:p>
    <w:p w14:paraId="161B1D22" w14:textId="0DA3A1F5" w:rsidR="009E6EA6" w:rsidRPr="009E6EA6" w:rsidRDefault="009E6EA6" w:rsidP="009E6EA6">
      <w:pPr>
        <w:pStyle w:val="Compact"/>
        <w:spacing w:line="360" w:lineRule="auto"/>
        <w:jc w:val="both"/>
        <w:rPr>
          <w:rFonts w:ascii="Times New Roman" w:hAnsi="Times New Roman" w:cs="Times New Roman"/>
          <w:lang w:val="en-IN"/>
        </w:rPr>
      </w:pPr>
      <w:r w:rsidRPr="009E6EA6">
        <w:rPr>
          <w:rFonts w:ascii="Times New Roman" w:hAnsi="Times New Roman" w:cs="Times New Roman"/>
          <w:lang w:val="en-IN"/>
        </w:rPr>
        <w:t xml:space="preserve">PBMCs treated with AgNPs were fixed in 70% ethanol, washed, and stained with propidium iodide (PI) solution containing RNase. Cell cycle phases (G0/G1, S, and G2/M) were </w:t>
      </w:r>
      <w:r w:rsidR="00E83F1C" w:rsidRPr="009E6EA6">
        <w:rPr>
          <w:rFonts w:ascii="Times New Roman" w:hAnsi="Times New Roman" w:cs="Times New Roman"/>
          <w:lang w:val="en-IN"/>
        </w:rPr>
        <w:t>analysed</w:t>
      </w:r>
      <w:r w:rsidRPr="009E6EA6">
        <w:rPr>
          <w:rFonts w:ascii="Times New Roman" w:hAnsi="Times New Roman" w:cs="Times New Roman"/>
          <w:lang w:val="en-IN"/>
        </w:rPr>
        <w:t xml:space="preserve"> using flow cytometry to evaluate distribution and arrest patterns.</w:t>
      </w:r>
    </w:p>
    <w:p w14:paraId="306DFB0F" w14:textId="77777777" w:rsidR="008D0E2D" w:rsidRDefault="008D0E2D" w:rsidP="00B07F00">
      <w:pPr>
        <w:pStyle w:val="Compact"/>
        <w:spacing w:line="360" w:lineRule="auto"/>
        <w:jc w:val="both"/>
        <w:rPr>
          <w:rFonts w:ascii="Times New Roman" w:hAnsi="Times New Roman" w:cs="Times New Roman"/>
          <w:b/>
          <w:bCs/>
        </w:rPr>
      </w:pPr>
    </w:p>
    <w:p w14:paraId="10B5496A" w14:textId="726D6C33" w:rsidR="008D0E2D" w:rsidRDefault="00384365" w:rsidP="00B07F00">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4. RESULTS AND DISCUSSION </w:t>
      </w:r>
    </w:p>
    <w:p w14:paraId="00592A92" w14:textId="670FFD0D" w:rsidR="008D0E2D" w:rsidRPr="00374BC2" w:rsidRDefault="005C330D" w:rsidP="00130B26">
      <w:pPr>
        <w:pStyle w:val="Compact"/>
        <w:spacing w:line="360" w:lineRule="auto"/>
        <w:jc w:val="center"/>
        <w:rPr>
          <w:rFonts w:ascii="Times New Roman" w:hAnsi="Times New Roman" w:cs="Times New Roman"/>
          <w:b/>
          <w:bCs/>
          <w:sz w:val="20"/>
          <w:szCs w:val="20"/>
        </w:rPr>
      </w:pPr>
      <w:r w:rsidRPr="005C330D">
        <w:rPr>
          <w:rFonts w:ascii="Times New Roman" w:hAnsi="Times New Roman" w:cs="Times New Roman"/>
          <w:b/>
          <w:bCs/>
          <w:sz w:val="20"/>
          <w:szCs w:val="20"/>
        </w:rPr>
        <w:t>Table 1. Overview of experimental design, assays used, and key findings in cell models treated with silver nanoparticles</w:t>
      </w:r>
    </w:p>
    <w:tbl>
      <w:tblPr>
        <w:tblStyle w:val="TableGridLight"/>
        <w:tblW w:w="0" w:type="auto"/>
        <w:tblLook w:val="04A0" w:firstRow="1" w:lastRow="0" w:firstColumn="1" w:lastColumn="0" w:noHBand="0" w:noVBand="1"/>
      </w:tblPr>
      <w:tblGrid>
        <w:gridCol w:w="1600"/>
        <w:gridCol w:w="1582"/>
        <w:gridCol w:w="2155"/>
        <w:gridCol w:w="1686"/>
        <w:gridCol w:w="2327"/>
      </w:tblGrid>
      <w:tr w:rsidR="00D1058C" w:rsidRPr="000B61C2" w14:paraId="62F4B84D" w14:textId="77777777" w:rsidTr="00727EB6">
        <w:tc>
          <w:tcPr>
            <w:tcW w:w="0" w:type="auto"/>
            <w:hideMark/>
          </w:tcPr>
          <w:p w14:paraId="0F2C5388" w14:textId="77777777" w:rsidR="00D1058C" w:rsidRPr="00130B26" w:rsidRDefault="00D1058C" w:rsidP="00130B26">
            <w:pPr>
              <w:pStyle w:val="BodyText"/>
              <w:spacing w:line="276" w:lineRule="auto"/>
              <w:jc w:val="both"/>
              <w:rPr>
                <w:rFonts w:ascii="Times New Roman" w:hAnsi="Times New Roman" w:cs="Times New Roman"/>
                <w:b/>
                <w:bCs/>
                <w:sz w:val="20"/>
                <w:szCs w:val="20"/>
                <w:lang w:val="en-IN"/>
              </w:rPr>
            </w:pPr>
            <w:r w:rsidRPr="00130B26">
              <w:rPr>
                <w:rFonts w:ascii="Times New Roman" w:hAnsi="Times New Roman" w:cs="Times New Roman"/>
                <w:b/>
                <w:bCs/>
                <w:sz w:val="20"/>
                <w:szCs w:val="20"/>
                <w:lang w:val="en-IN"/>
              </w:rPr>
              <w:t>Cell Type / Model</w:t>
            </w:r>
          </w:p>
        </w:tc>
        <w:tc>
          <w:tcPr>
            <w:tcW w:w="0" w:type="auto"/>
            <w:hideMark/>
          </w:tcPr>
          <w:p w14:paraId="328D4ED7" w14:textId="77777777" w:rsidR="00D1058C" w:rsidRPr="00130B26" w:rsidRDefault="00D1058C" w:rsidP="00130B26">
            <w:pPr>
              <w:pStyle w:val="BodyText"/>
              <w:spacing w:line="276" w:lineRule="auto"/>
              <w:jc w:val="both"/>
              <w:rPr>
                <w:rFonts w:ascii="Times New Roman" w:hAnsi="Times New Roman" w:cs="Times New Roman"/>
                <w:b/>
                <w:bCs/>
                <w:sz w:val="20"/>
                <w:szCs w:val="20"/>
                <w:lang w:val="en-IN"/>
              </w:rPr>
            </w:pPr>
            <w:r w:rsidRPr="00130B26">
              <w:rPr>
                <w:rFonts w:ascii="Times New Roman" w:hAnsi="Times New Roman" w:cs="Times New Roman"/>
                <w:b/>
                <w:bCs/>
                <w:sz w:val="20"/>
                <w:szCs w:val="20"/>
                <w:lang w:val="en-IN"/>
              </w:rPr>
              <w:t>Parameter Measured</w:t>
            </w:r>
          </w:p>
        </w:tc>
        <w:tc>
          <w:tcPr>
            <w:tcW w:w="0" w:type="auto"/>
            <w:hideMark/>
          </w:tcPr>
          <w:p w14:paraId="72165E0D" w14:textId="77777777" w:rsidR="00D1058C" w:rsidRPr="00130B26" w:rsidRDefault="00D1058C" w:rsidP="00130B26">
            <w:pPr>
              <w:pStyle w:val="BodyText"/>
              <w:spacing w:line="276" w:lineRule="auto"/>
              <w:jc w:val="both"/>
              <w:rPr>
                <w:rFonts w:ascii="Times New Roman" w:hAnsi="Times New Roman" w:cs="Times New Roman"/>
                <w:b/>
                <w:bCs/>
                <w:sz w:val="20"/>
                <w:szCs w:val="20"/>
                <w:lang w:val="en-IN"/>
              </w:rPr>
            </w:pPr>
            <w:r w:rsidRPr="00130B26">
              <w:rPr>
                <w:rFonts w:ascii="Times New Roman" w:hAnsi="Times New Roman" w:cs="Times New Roman"/>
                <w:b/>
                <w:bCs/>
                <w:sz w:val="20"/>
                <w:szCs w:val="20"/>
                <w:lang w:val="en-IN"/>
              </w:rPr>
              <w:t>Treatment Groups</w:t>
            </w:r>
          </w:p>
        </w:tc>
        <w:tc>
          <w:tcPr>
            <w:tcW w:w="0" w:type="auto"/>
            <w:hideMark/>
          </w:tcPr>
          <w:p w14:paraId="5F2311A8" w14:textId="77777777" w:rsidR="00D1058C" w:rsidRPr="00130B26" w:rsidRDefault="00D1058C" w:rsidP="00130B26">
            <w:pPr>
              <w:pStyle w:val="BodyText"/>
              <w:spacing w:line="276" w:lineRule="auto"/>
              <w:jc w:val="both"/>
              <w:rPr>
                <w:rFonts w:ascii="Times New Roman" w:hAnsi="Times New Roman" w:cs="Times New Roman"/>
                <w:b/>
                <w:bCs/>
                <w:sz w:val="20"/>
                <w:szCs w:val="20"/>
                <w:lang w:val="en-IN"/>
              </w:rPr>
            </w:pPr>
            <w:r w:rsidRPr="00130B26">
              <w:rPr>
                <w:rFonts w:ascii="Times New Roman" w:hAnsi="Times New Roman" w:cs="Times New Roman"/>
                <w:b/>
                <w:bCs/>
                <w:sz w:val="20"/>
                <w:szCs w:val="20"/>
                <w:lang w:val="en-IN"/>
              </w:rPr>
              <w:t>Assay Used</w:t>
            </w:r>
          </w:p>
        </w:tc>
        <w:tc>
          <w:tcPr>
            <w:tcW w:w="0" w:type="auto"/>
            <w:hideMark/>
          </w:tcPr>
          <w:p w14:paraId="5F693A76" w14:textId="77777777" w:rsidR="00D1058C" w:rsidRPr="00130B26" w:rsidRDefault="00D1058C" w:rsidP="00130B26">
            <w:pPr>
              <w:pStyle w:val="BodyText"/>
              <w:spacing w:line="276" w:lineRule="auto"/>
              <w:jc w:val="both"/>
              <w:rPr>
                <w:rFonts w:ascii="Times New Roman" w:hAnsi="Times New Roman" w:cs="Times New Roman"/>
                <w:b/>
                <w:bCs/>
                <w:sz w:val="20"/>
                <w:szCs w:val="20"/>
                <w:lang w:val="en-IN"/>
              </w:rPr>
            </w:pPr>
            <w:r w:rsidRPr="00130B26">
              <w:rPr>
                <w:rFonts w:ascii="Times New Roman" w:hAnsi="Times New Roman" w:cs="Times New Roman"/>
                <w:b/>
                <w:bCs/>
                <w:sz w:val="20"/>
                <w:szCs w:val="20"/>
                <w:lang w:val="en-IN"/>
              </w:rPr>
              <w:t>Key Result</w:t>
            </w:r>
          </w:p>
        </w:tc>
      </w:tr>
      <w:tr w:rsidR="00D1058C" w:rsidRPr="000B61C2" w14:paraId="187C70AD" w14:textId="77777777" w:rsidTr="00727EB6">
        <w:tc>
          <w:tcPr>
            <w:tcW w:w="0" w:type="auto"/>
            <w:hideMark/>
          </w:tcPr>
          <w:p w14:paraId="614F5057"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K562</w:t>
            </w:r>
          </w:p>
        </w:tc>
        <w:tc>
          <w:tcPr>
            <w:tcW w:w="0" w:type="auto"/>
            <w:hideMark/>
          </w:tcPr>
          <w:p w14:paraId="3ACA08CD"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BCR-ABL Expression</w:t>
            </w:r>
          </w:p>
        </w:tc>
        <w:tc>
          <w:tcPr>
            <w:tcW w:w="0" w:type="auto"/>
            <w:hideMark/>
          </w:tcPr>
          <w:p w14:paraId="73C0693A"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Drug Treated</w:t>
            </w:r>
          </w:p>
        </w:tc>
        <w:tc>
          <w:tcPr>
            <w:tcW w:w="0" w:type="auto"/>
            <w:hideMark/>
          </w:tcPr>
          <w:p w14:paraId="3791BE39"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ELISA</w:t>
            </w:r>
          </w:p>
        </w:tc>
        <w:tc>
          <w:tcPr>
            <w:tcW w:w="0" w:type="auto"/>
            <w:hideMark/>
          </w:tcPr>
          <w:p w14:paraId="6D3B56C3"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Increase from 0.28 to 0.39 (Abs at 450 nm)</w:t>
            </w:r>
          </w:p>
        </w:tc>
      </w:tr>
      <w:tr w:rsidR="00D1058C" w:rsidRPr="000B61C2" w14:paraId="06F1B13B" w14:textId="77777777" w:rsidTr="00727EB6">
        <w:tc>
          <w:tcPr>
            <w:tcW w:w="0" w:type="auto"/>
            <w:hideMark/>
          </w:tcPr>
          <w:p w14:paraId="78FB5DCF"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PBMCs</w:t>
            </w:r>
          </w:p>
        </w:tc>
        <w:tc>
          <w:tcPr>
            <w:tcW w:w="0" w:type="auto"/>
            <w:hideMark/>
          </w:tcPr>
          <w:p w14:paraId="5E4ABA8B"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CD69 Expression</w:t>
            </w:r>
          </w:p>
        </w:tc>
        <w:tc>
          <w:tcPr>
            <w:tcW w:w="0" w:type="auto"/>
            <w:hideMark/>
          </w:tcPr>
          <w:p w14:paraId="73E35982"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AgNP-Treated</w:t>
            </w:r>
          </w:p>
        </w:tc>
        <w:tc>
          <w:tcPr>
            <w:tcW w:w="0" w:type="auto"/>
            <w:hideMark/>
          </w:tcPr>
          <w:p w14:paraId="73EDC975"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ELISA</w:t>
            </w:r>
          </w:p>
        </w:tc>
        <w:tc>
          <w:tcPr>
            <w:tcW w:w="0" w:type="auto"/>
            <w:hideMark/>
          </w:tcPr>
          <w:p w14:paraId="045689D0"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Decrease from 18.0 µg/mL to 0.6 µg/mL</w:t>
            </w:r>
          </w:p>
        </w:tc>
      </w:tr>
      <w:tr w:rsidR="00D1058C" w:rsidRPr="000B61C2" w14:paraId="1D62C6A0" w14:textId="77777777" w:rsidTr="00727EB6">
        <w:tc>
          <w:tcPr>
            <w:tcW w:w="0" w:type="auto"/>
            <w:hideMark/>
          </w:tcPr>
          <w:p w14:paraId="0128CE8C"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K562</w:t>
            </w:r>
          </w:p>
        </w:tc>
        <w:tc>
          <w:tcPr>
            <w:tcW w:w="0" w:type="auto"/>
            <w:hideMark/>
          </w:tcPr>
          <w:p w14:paraId="1588877C"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Cytotoxicity</w:t>
            </w:r>
          </w:p>
        </w:tc>
        <w:tc>
          <w:tcPr>
            <w:tcW w:w="0" w:type="auto"/>
            <w:hideMark/>
          </w:tcPr>
          <w:p w14:paraId="31C2637C"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AgNP-treated (10–100 µg/mL)</w:t>
            </w:r>
          </w:p>
        </w:tc>
        <w:tc>
          <w:tcPr>
            <w:tcW w:w="0" w:type="auto"/>
            <w:hideMark/>
          </w:tcPr>
          <w:p w14:paraId="096F5D4F"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Alamar Blue Assay</w:t>
            </w:r>
          </w:p>
        </w:tc>
        <w:tc>
          <w:tcPr>
            <w:tcW w:w="0" w:type="auto"/>
            <w:hideMark/>
          </w:tcPr>
          <w:p w14:paraId="105B65F3"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Minimal cytotoxicity; viability &gt;80%</w:t>
            </w:r>
          </w:p>
        </w:tc>
      </w:tr>
      <w:tr w:rsidR="00D1058C" w:rsidRPr="000B61C2" w14:paraId="236210A4" w14:textId="77777777" w:rsidTr="00727EB6">
        <w:tc>
          <w:tcPr>
            <w:tcW w:w="0" w:type="auto"/>
            <w:hideMark/>
          </w:tcPr>
          <w:p w14:paraId="716AB1D0"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PBMCs</w:t>
            </w:r>
          </w:p>
        </w:tc>
        <w:tc>
          <w:tcPr>
            <w:tcW w:w="0" w:type="auto"/>
            <w:hideMark/>
          </w:tcPr>
          <w:p w14:paraId="25347E46"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Cytotoxicity</w:t>
            </w:r>
          </w:p>
        </w:tc>
        <w:tc>
          <w:tcPr>
            <w:tcW w:w="0" w:type="auto"/>
            <w:hideMark/>
          </w:tcPr>
          <w:p w14:paraId="69DD0F7B"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AgNP-treated (10–100 µg/mL)</w:t>
            </w:r>
          </w:p>
        </w:tc>
        <w:tc>
          <w:tcPr>
            <w:tcW w:w="0" w:type="auto"/>
            <w:hideMark/>
          </w:tcPr>
          <w:p w14:paraId="60A7C988"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Alamar Blue Assay</w:t>
            </w:r>
          </w:p>
        </w:tc>
        <w:tc>
          <w:tcPr>
            <w:tcW w:w="0" w:type="auto"/>
            <w:hideMark/>
          </w:tcPr>
          <w:p w14:paraId="1FEB5D2B"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Dose-dependent decrease in viability</w:t>
            </w:r>
          </w:p>
        </w:tc>
      </w:tr>
      <w:tr w:rsidR="00D1058C" w:rsidRPr="000B61C2" w14:paraId="75329FE4" w14:textId="77777777" w:rsidTr="00727EB6">
        <w:tc>
          <w:tcPr>
            <w:tcW w:w="0" w:type="auto"/>
            <w:hideMark/>
          </w:tcPr>
          <w:p w14:paraId="04252B23"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K562, PBMCs, RAW 264.7</w:t>
            </w:r>
          </w:p>
        </w:tc>
        <w:tc>
          <w:tcPr>
            <w:tcW w:w="0" w:type="auto"/>
            <w:hideMark/>
          </w:tcPr>
          <w:p w14:paraId="20F4A31A"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ROS Generation</w:t>
            </w:r>
          </w:p>
        </w:tc>
        <w:tc>
          <w:tcPr>
            <w:tcW w:w="0" w:type="auto"/>
            <w:hideMark/>
          </w:tcPr>
          <w:p w14:paraId="6421D790"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AgNP-treated, LPS</w:t>
            </w:r>
          </w:p>
        </w:tc>
        <w:tc>
          <w:tcPr>
            <w:tcW w:w="0" w:type="auto"/>
            <w:hideMark/>
          </w:tcPr>
          <w:p w14:paraId="01579538"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DCFDA (fluorescence)</w:t>
            </w:r>
          </w:p>
        </w:tc>
        <w:tc>
          <w:tcPr>
            <w:tcW w:w="0" w:type="auto"/>
            <w:hideMark/>
          </w:tcPr>
          <w:p w14:paraId="18043A05"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Increased ROS in AgNP-treated groups</w:t>
            </w:r>
          </w:p>
        </w:tc>
      </w:tr>
      <w:tr w:rsidR="00D1058C" w:rsidRPr="000B61C2" w14:paraId="4F0ED498" w14:textId="77777777" w:rsidTr="00727EB6">
        <w:tc>
          <w:tcPr>
            <w:tcW w:w="0" w:type="auto"/>
            <w:hideMark/>
          </w:tcPr>
          <w:p w14:paraId="322CDD83"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RAW 264.7</w:t>
            </w:r>
          </w:p>
        </w:tc>
        <w:tc>
          <w:tcPr>
            <w:tcW w:w="0" w:type="auto"/>
            <w:hideMark/>
          </w:tcPr>
          <w:p w14:paraId="7E3AA734"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Cell Cycle Analysis</w:t>
            </w:r>
          </w:p>
        </w:tc>
        <w:tc>
          <w:tcPr>
            <w:tcW w:w="0" w:type="auto"/>
            <w:hideMark/>
          </w:tcPr>
          <w:p w14:paraId="2B2D7412"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Control, AgNP-treated</w:t>
            </w:r>
          </w:p>
        </w:tc>
        <w:tc>
          <w:tcPr>
            <w:tcW w:w="0" w:type="auto"/>
            <w:hideMark/>
          </w:tcPr>
          <w:p w14:paraId="09CAABE3"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Flow Cytometry</w:t>
            </w:r>
          </w:p>
        </w:tc>
        <w:tc>
          <w:tcPr>
            <w:tcW w:w="0" w:type="auto"/>
            <w:hideMark/>
          </w:tcPr>
          <w:p w14:paraId="3F30D2AC" w14:textId="77777777" w:rsidR="00D1058C" w:rsidRPr="00130B26" w:rsidRDefault="00D1058C" w:rsidP="00130B26">
            <w:pPr>
              <w:pStyle w:val="BodyText"/>
              <w:spacing w:line="276" w:lineRule="auto"/>
              <w:jc w:val="both"/>
              <w:rPr>
                <w:rFonts w:ascii="Times New Roman" w:hAnsi="Times New Roman" w:cs="Times New Roman"/>
                <w:sz w:val="20"/>
                <w:szCs w:val="20"/>
                <w:lang w:val="en-IN"/>
              </w:rPr>
            </w:pPr>
            <w:r w:rsidRPr="00130B26">
              <w:rPr>
                <w:rFonts w:ascii="Times New Roman" w:hAnsi="Times New Roman" w:cs="Times New Roman"/>
                <w:sz w:val="20"/>
                <w:szCs w:val="20"/>
                <w:lang w:val="en-IN"/>
              </w:rPr>
              <w:t>G0/G1 arrest observed in treated cells</w:t>
            </w:r>
          </w:p>
        </w:tc>
      </w:tr>
    </w:tbl>
    <w:p w14:paraId="1E78409A" w14:textId="08D35D9B" w:rsidR="006B51AC" w:rsidRDefault="006B51AC" w:rsidP="00B07F00">
      <w:pPr>
        <w:pStyle w:val="Compact"/>
        <w:spacing w:line="360" w:lineRule="auto"/>
        <w:rPr>
          <w:rFonts w:ascii="Times New Roman" w:hAnsi="Times New Roman" w:cs="Times New Roman"/>
          <w:sz w:val="20"/>
          <w:szCs w:val="20"/>
        </w:rPr>
      </w:pPr>
    </w:p>
    <w:p w14:paraId="22B6BBA3" w14:textId="6B09BBD3" w:rsidR="008D0E2D" w:rsidRPr="00391018" w:rsidRDefault="00EE5539" w:rsidP="00B07F00">
      <w:pPr>
        <w:pStyle w:val="Compact"/>
        <w:spacing w:line="360" w:lineRule="auto"/>
        <w:rPr>
          <w:rFonts w:ascii="Times New Roman" w:hAnsi="Times New Roman" w:cs="Times New Roman"/>
          <w:sz w:val="20"/>
          <w:szCs w:val="20"/>
        </w:rPr>
      </w:pPr>
      <w:r w:rsidRPr="00374BC2">
        <w:rPr>
          <w:rFonts w:ascii="Times New Roman" w:hAnsi="Times New Roman" w:cs="Times New Roman"/>
          <w:sz w:val="20"/>
          <w:szCs w:val="20"/>
        </w:rPr>
        <w:t>Table 1. Summary of experimental design and key outcomes from in vitro assays performed on K562, PBMCs, and RAW 264.7 cells. BCR-ABL expression increased in drug-treated K562 cells, while CD69 levels in PBMCs decreased following AgNP exposure. Cytotoxicity assays showed minimal effect in K562 but dose-dependent reduction in PBMC viability. ROS levels were elevated in AgNP-treated groups across all cell lines. Flow cytometry revealed G0/G1 arrest in RAW 264.7 cells, indicating disrupted cell cycle progression.</w:t>
      </w:r>
    </w:p>
    <w:p w14:paraId="2D7236DB" w14:textId="54F307AB" w:rsidR="008D0E2D" w:rsidRDefault="008D0E2D" w:rsidP="00B07F00">
      <w:pPr>
        <w:pStyle w:val="Compact"/>
        <w:spacing w:line="360" w:lineRule="auto"/>
        <w:rPr>
          <w:rFonts w:ascii="Times New Roman" w:hAnsi="Times New Roman" w:cs="Times New Roman"/>
          <w:b/>
          <w:bCs/>
        </w:rPr>
      </w:pPr>
    </w:p>
    <w:p w14:paraId="56C5052F" w14:textId="09099462" w:rsidR="00B07F00" w:rsidRDefault="00DE07D0" w:rsidP="00B07F00">
      <w:pPr>
        <w:pStyle w:val="Compact"/>
        <w:spacing w:line="360" w:lineRule="auto"/>
        <w:rPr>
          <w:rFonts w:ascii="Times New Roman" w:hAnsi="Times New Roman" w:cs="Times New Roman"/>
          <w:b/>
          <w:bCs/>
        </w:rPr>
      </w:pPr>
      <w:r w:rsidRPr="00BF41E4">
        <w:rPr>
          <w:rFonts w:ascii="Times New Roman" w:hAnsi="Times New Roman" w:cs="Times New Roman"/>
          <w:b/>
          <w:bCs/>
        </w:rPr>
        <w:t>4.1 UV-Visible Spectroscopy</w:t>
      </w:r>
    </w:p>
    <w:p w14:paraId="3C9AF186" w14:textId="529A5E4B" w:rsidR="006B51AC" w:rsidRPr="006B51AC" w:rsidRDefault="006B51AC" w:rsidP="00B07F00">
      <w:pPr>
        <w:pStyle w:val="Compact"/>
        <w:spacing w:line="360" w:lineRule="auto"/>
        <w:rPr>
          <w:rFonts w:ascii="Times New Roman" w:hAnsi="Times New Roman" w:cs="Times New Roman"/>
        </w:rPr>
      </w:pPr>
      <w:r w:rsidRPr="006B51AC">
        <w:rPr>
          <w:rFonts w:ascii="Times New Roman" w:hAnsi="Times New Roman" w:cs="Times New Roman"/>
        </w:rPr>
        <w:t>A distinct absorption peak at approximately 420 nm confirmed the successful synthesis of monodisperse and stable silver nanoparticles, consistent with their characteristic surface plasmon resonance.</w:t>
      </w:r>
    </w:p>
    <w:p w14:paraId="27B6BE9A" w14:textId="07204C99" w:rsidR="00BF41E4" w:rsidRPr="006B51AC" w:rsidRDefault="003533D5" w:rsidP="006B51AC">
      <w:pPr>
        <w:pStyle w:val="Compact"/>
        <w:spacing w:line="360" w:lineRule="auto"/>
        <w:jc w:val="both"/>
        <w:rPr>
          <w:rFonts w:ascii="Times New Roman" w:hAnsi="Times New Roman" w:cs="Times New Roman"/>
        </w:rPr>
      </w:pPr>
      <w:r w:rsidRPr="000B61C2">
        <w:rPr>
          <w:rFonts w:ascii="Times New Roman" w:hAnsi="Times New Roman" w:cs="Times New Roman"/>
          <w:noProof/>
        </w:rPr>
        <w:drawing>
          <wp:anchor distT="0" distB="0" distL="114300" distR="114300" simplePos="0" relativeHeight="251646976" behindDoc="0" locked="0" layoutInCell="1" allowOverlap="1" wp14:anchorId="36D7DFC2" wp14:editId="3CAD7E88">
            <wp:simplePos x="0" y="0"/>
            <wp:positionH relativeFrom="column">
              <wp:posOffset>697865</wp:posOffset>
            </wp:positionH>
            <wp:positionV relativeFrom="page">
              <wp:posOffset>3463290</wp:posOffset>
            </wp:positionV>
            <wp:extent cx="4403725" cy="2607310"/>
            <wp:effectExtent l="0" t="0" r="0" b="2540"/>
            <wp:wrapSquare wrapText="bothSides"/>
            <wp:docPr id="141706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648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3725" cy="2607310"/>
                    </a:xfrm>
                    <a:prstGeom prst="rect">
                      <a:avLst/>
                    </a:prstGeom>
                  </pic:spPr>
                </pic:pic>
              </a:graphicData>
            </a:graphic>
            <wp14:sizeRelH relativeFrom="margin">
              <wp14:pctWidth>0</wp14:pctWidth>
            </wp14:sizeRelH>
            <wp14:sizeRelV relativeFrom="margin">
              <wp14:pctHeight>0</wp14:pctHeight>
            </wp14:sizeRelV>
          </wp:anchor>
        </w:drawing>
      </w:r>
    </w:p>
    <w:p w14:paraId="6F6249DE" w14:textId="49669CBB" w:rsidR="0002721B" w:rsidRDefault="0002721B" w:rsidP="0002721B">
      <w:pPr>
        <w:pStyle w:val="BodyText"/>
        <w:spacing w:before="0" w:after="0" w:line="360" w:lineRule="auto"/>
        <w:rPr>
          <w:rFonts w:ascii="Times New Roman" w:hAnsi="Times New Roman" w:cs="Times New Roman"/>
          <w:b/>
          <w:bCs/>
          <w:sz w:val="20"/>
          <w:szCs w:val="20"/>
        </w:rPr>
      </w:pPr>
    </w:p>
    <w:p w14:paraId="5BF4EE64" w14:textId="457625D3" w:rsidR="00391018" w:rsidRDefault="00391018" w:rsidP="0002721B">
      <w:pPr>
        <w:pStyle w:val="BodyText"/>
        <w:spacing w:before="0" w:after="0" w:line="360" w:lineRule="auto"/>
        <w:jc w:val="center"/>
        <w:rPr>
          <w:rFonts w:ascii="Times New Roman" w:hAnsi="Times New Roman" w:cs="Times New Roman"/>
          <w:b/>
          <w:bCs/>
          <w:sz w:val="20"/>
          <w:szCs w:val="20"/>
        </w:rPr>
      </w:pPr>
    </w:p>
    <w:p w14:paraId="31ECDD48" w14:textId="21F45884" w:rsidR="00391018" w:rsidRDefault="00391018" w:rsidP="0002721B">
      <w:pPr>
        <w:pStyle w:val="BodyText"/>
        <w:spacing w:before="0" w:after="0" w:line="360" w:lineRule="auto"/>
        <w:jc w:val="center"/>
        <w:rPr>
          <w:rFonts w:ascii="Times New Roman" w:hAnsi="Times New Roman" w:cs="Times New Roman"/>
          <w:b/>
          <w:bCs/>
          <w:sz w:val="20"/>
          <w:szCs w:val="20"/>
        </w:rPr>
      </w:pPr>
    </w:p>
    <w:p w14:paraId="6899B5C4" w14:textId="77777777" w:rsidR="00391018" w:rsidRDefault="00391018" w:rsidP="0002721B">
      <w:pPr>
        <w:pStyle w:val="BodyText"/>
        <w:spacing w:before="0" w:after="0" w:line="360" w:lineRule="auto"/>
        <w:jc w:val="center"/>
        <w:rPr>
          <w:rFonts w:ascii="Times New Roman" w:hAnsi="Times New Roman" w:cs="Times New Roman"/>
          <w:b/>
          <w:bCs/>
          <w:sz w:val="20"/>
          <w:szCs w:val="20"/>
        </w:rPr>
      </w:pPr>
    </w:p>
    <w:p w14:paraId="66FCC935" w14:textId="77777777" w:rsidR="00391018" w:rsidRDefault="00391018" w:rsidP="0002721B">
      <w:pPr>
        <w:pStyle w:val="BodyText"/>
        <w:spacing w:before="0" w:after="0" w:line="360" w:lineRule="auto"/>
        <w:jc w:val="center"/>
        <w:rPr>
          <w:rFonts w:ascii="Times New Roman" w:hAnsi="Times New Roman" w:cs="Times New Roman"/>
          <w:b/>
          <w:bCs/>
          <w:sz w:val="20"/>
          <w:szCs w:val="20"/>
        </w:rPr>
      </w:pPr>
    </w:p>
    <w:p w14:paraId="7BC73894" w14:textId="62C14354" w:rsidR="00391018" w:rsidRDefault="00391018" w:rsidP="0002721B">
      <w:pPr>
        <w:pStyle w:val="BodyText"/>
        <w:spacing w:before="0" w:after="0" w:line="360" w:lineRule="auto"/>
        <w:jc w:val="center"/>
        <w:rPr>
          <w:rFonts w:ascii="Times New Roman" w:hAnsi="Times New Roman" w:cs="Times New Roman"/>
          <w:b/>
          <w:bCs/>
          <w:sz w:val="20"/>
          <w:szCs w:val="20"/>
        </w:rPr>
      </w:pPr>
    </w:p>
    <w:p w14:paraId="38736EFC" w14:textId="77777777" w:rsidR="00391018" w:rsidRDefault="00391018" w:rsidP="0002721B">
      <w:pPr>
        <w:pStyle w:val="BodyText"/>
        <w:spacing w:before="0" w:after="0" w:line="360" w:lineRule="auto"/>
        <w:jc w:val="center"/>
        <w:rPr>
          <w:rFonts w:ascii="Times New Roman" w:hAnsi="Times New Roman" w:cs="Times New Roman"/>
          <w:b/>
          <w:bCs/>
          <w:sz w:val="20"/>
          <w:szCs w:val="20"/>
        </w:rPr>
      </w:pPr>
    </w:p>
    <w:p w14:paraId="19EF4DCF" w14:textId="77777777" w:rsidR="00391018" w:rsidRDefault="00391018" w:rsidP="0002721B">
      <w:pPr>
        <w:pStyle w:val="BodyText"/>
        <w:spacing w:before="0" w:after="0" w:line="360" w:lineRule="auto"/>
        <w:jc w:val="center"/>
        <w:rPr>
          <w:rFonts w:ascii="Times New Roman" w:hAnsi="Times New Roman" w:cs="Times New Roman"/>
          <w:b/>
          <w:bCs/>
          <w:sz w:val="20"/>
          <w:szCs w:val="20"/>
        </w:rPr>
      </w:pPr>
    </w:p>
    <w:p w14:paraId="165BDAD8" w14:textId="77777777" w:rsidR="00391018" w:rsidRDefault="00391018" w:rsidP="0002721B">
      <w:pPr>
        <w:pStyle w:val="BodyText"/>
        <w:spacing w:before="0" w:after="0" w:line="360" w:lineRule="auto"/>
        <w:jc w:val="center"/>
        <w:rPr>
          <w:rFonts w:ascii="Times New Roman" w:hAnsi="Times New Roman" w:cs="Times New Roman"/>
          <w:b/>
          <w:bCs/>
          <w:sz w:val="20"/>
          <w:szCs w:val="20"/>
        </w:rPr>
      </w:pPr>
    </w:p>
    <w:p w14:paraId="57542824" w14:textId="77777777" w:rsidR="003533D5" w:rsidRDefault="003533D5" w:rsidP="0002721B">
      <w:pPr>
        <w:pStyle w:val="BodyText"/>
        <w:spacing w:before="0" w:after="0" w:line="360" w:lineRule="auto"/>
        <w:jc w:val="center"/>
        <w:rPr>
          <w:rFonts w:ascii="Times New Roman" w:hAnsi="Times New Roman" w:cs="Times New Roman"/>
          <w:b/>
          <w:bCs/>
          <w:sz w:val="20"/>
          <w:szCs w:val="20"/>
        </w:rPr>
      </w:pPr>
    </w:p>
    <w:p w14:paraId="5CC7EB88" w14:textId="77777777" w:rsidR="003533D5" w:rsidRDefault="003533D5" w:rsidP="00365A8E">
      <w:pPr>
        <w:pStyle w:val="BodyText"/>
        <w:spacing w:before="0" w:after="0" w:line="360" w:lineRule="auto"/>
        <w:jc w:val="center"/>
        <w:rPr>
          <w:rFonts w:ascii="Times New Roman" w:hAnsi="Times New Roman" w:cs="Times New Roman"/>
          <w:b/>
          <w:bCs/>
          <w:sz w:val="20"/>
          <w:szCs w:val="20"/>
        </w:rPr>
      </w:pPr>
    </w:p>
    <w:p w14:paraId="2857E0B8" w14:textId="0581B9F7" w:rsidR="00333193" w:rsidRPr="00333193" w:rsidRDefault="00333193" w:rsidP="00365A8E">
      <w:pPr>
        <w:pStyle w:val="BodyText"/>
        <w:spacing w:before="0" w:after="0" w:line="360" w:lineRule="auto"/>
        <w:jc w:val="center"/>
        <w:rPr>
          <w:rFonts w:ascii="Times New Roman" w:hAnsi="Times New Roman" w:cs="Times New Roman"/>
          <w:b/>
          <w:bCs/>
          <w:sz w:val="20"/>
          <w:szCs w:val="20"/>
        </w:rPr>
      </w:pPr>
      <w:bookmarkStart w:id="1" w:name="_Hlk205457023"/>
      <w:r w:rsidRPr="00333193">
        <w:rPr>
          <w:rFonts w:ascii="Times New Roman" w:hAnsi="Times New Roman" w:cs="Times New Roman"/>
          <w:b/>
          <w:bCs/>
          <w:sz w:val="20"/>
          <w:szCs w:val="20"/>
        </w:rPr>
        <w:t>Fig. 1. UV–Vis spectrum of AgNPs showing a characteristic SPR peak at 420 nm.</w:t>
      </w:r>
    </w:p>
    <w:bookmarkEnd w:id="1"/>
    <w:p w14:paraId="0DCB26AA" w14:textId="77777777" w:rsidR="003533D5" w:rsidRDefault="00365A8E" w:rsidP="003533D5">
      <w:pPr>
        <w:pStyle w:val="BodyText"/>
        <w:spacing w:before="0" w:after="0" w:line="360" w:lineRule="auto"/>
        <w:jc w:val="center"/>
        <w:rPr>
          <w:rFonts w:ascii="Times New Roman" w:hAnsi="Times New Roman" w:cs="Times New Roman"/>
          <w:i/>
          <w:iCs/>
          <w:sz w:val="20"/>
          <w:szCs w:val="20"/>
          <w:lang w:val="en-IN"/>
        </w:rPr>
      </w:pPr>
      <w:r w:rsidRPr="00365A8E">
        <w:rPr>
          <w:rFonts w:ascii="Times New Roman" w:hAnsi="Times New Roman" w:cs="Times New Roman"/>
          <w:i/>
          <w:iCs/>
          <w:sz w:val="20"/>
          <w:szCs w:val="20"/>
          <w:lang w:val="en-IN"/>
        </w:rPr>
        <w:t>The sharp SPR peak at 420 nm confirms the successful formation of silver nanoparticles with nanoscale dimensions. This peak is characteristic of spherical AgNPs and reflects their stable colloidal dispersion in an aqueous medium. The optical properties observed support their applicability in biological studies, particularly in the modulation of oxidative stress and immune responses.</w:t>
      </w:r>
    </w:p>
    <w:p w14:paraId="164CF3A8" w14:textId="7D7F0AB8" w:rsidR="0020602C" w:rsidRPr="003533D5" w:rsidRDefault="00DE07D0" w:rsidP="003533D5">
      <w:pPr>
        <w:pStyle w:val="BodyText"/>
        <w:spacing w:before="0" w:after="0" w:line="360" w:lineRule="auto"/>
        <w:rPr>
          <w:rFonts w:ascii="Times New Roman" w:hAnsi="Times New Roman" w:cs="Times New Roman"/>
          <w:i/>
          <w:iCs/>
          <w:sz w:val="20"/>
          <w:szCs w:val="20"/>
          <w:lang w:val="en-IN"/>
        </w:rPr>
      </w:pPr>
      <w:r w:rsidRPr="00BF41E4">
        <w:rPr>
          <w:rFonts w:ascii="Times New Roman" w:hAnsi="Times New Roman" w:cs="Times New Roman"/>
          <w:b/>
          <w:bCs/>
        </w:rPr>
        <w:t>4.2 Cytotoxicity Analysis Using Alamar Blue Assay</w:t>
      </w:r>
    </w:p>
    <w:p w14:paraId="3C136395" w14:textId="5DF9DA89" w:rsidR="00DA617A" w:rsidRPr="00BF41E4" w:rsidRDefault="00E465ED" w:rsidP="00B07F00">
      <w:pPr>
        <w:pStyle w:val="BodyText"/>
        <w:spacing w:line="360" w:lineRule="auto"/>
        <w:jc w:val="both"/>
        <w:rPr>
          <w:rFonts w:ascii="Times New Roman" w:hAnsi="Times New Roman" w:cs="Times New Roman"/>
          <w:b/>
          <w:bCs/>
        </w:rPr>
      </w:pPr>
      <w:r w:rsidRPr="00BF41E4">
        <w:rPr>
          <w:rFonts w:ascii="Times New Roman" w:hAnsi="Times New Roman" w:cs="Times New Roman"/>
        </w:rPr>
        <w:t>AgNPs exhibited minimal cytotoxicity in K562 cells across all tested concentrations. In PBMCs, AgNPs induced a dose-dependent decrease in viability, with higher concentrations significantly reducing metabolic activity</w:t>
      </w:r>
    </w:p>
    <w:p w14:paraId="75019A9B" w14:textId="568A0764" w:rsidR="006B51AC" w:rsidRDefault="005827EA" w:rsidP="00B07F00">
      <w:pPr>
        <w:pStyle w:val="BodyText"/>
        <w:spacing w:line="360" w:lineRule="auto"/>
        <w:rPr>
          <w:rFonts w:ascii="Times New Roman" w:hAnsi="Times New Roman" w:cs="Times New Roman"/>
          <w:b/>
          <w:bCs/>
          <w:noProof/>
          <w:lang w:val="en-IN"/>
        </w:rPr>
      </w:pPr>
      <w:r w:rsidRPr="000B61C2">
        <w:rPr>
          <w:rFonts w:ascii="Times New Roman" w:hAnsi="Times New Roman" w:cs="Times New Roman"/>
          <w:b/>
          <w:bCs/>
          <w:noProof/>
          <w:lang w:val="en-IN"/>
        </w:rPr>
        <w:lastRenderedPageBreak/>
        <w:drawing>
          <wp:anchor distT="0" distB="0" distL="114300" distR="114300" simplePos="0" relativeHeight="251658240" behindDoc="0" locked="0" layoutInCell="1" allowOverlap="1" wp14:anchorId="6AB17ED7" wp14:editId="517B4E9C">
            <wp:simplePos x="0" y="0"/>
            <wp:positionH relativeFrom="column">
              <wp:posOffset>1057910</wp:posOffset>
            </wp:positionH>
            <wp:positionV relativeFrom="paragraph">
              <wp:posOffset>0</wp:posOffset>
            </wp:positionV>
            <wp:extent cx="3699510" cy="2233930"/>
            <wp:effectExtent l="0" t="0" r="0" b="0"/>
            <wp:wrapSquare wrapText="bothSides"/>
            <wp:docPr id="45026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951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167A96" w14:textId="7B8A6047" w:rsidR="006B51AC" w:rsidRDefault="006B51AC" w:rsidP="00B07F00">
      <w:pPr>
        <w:pStyle w:val="BodyText"/>
        <w:spacing w:line="360" w:lineRule="auto"/>
        <w:rPr>
          <w:rFonts w:ascii="Times New Roman" w:hAnsi="Times New Roman" w:cs="Times New Roman"/>
          <w:b/>
          <w:bCs/>
          <w:noProof/>
          <w:lang w:val="en-IN"/>
        </w:rPr>
      </w:pPr>
    </w:p>
    <w:p w14:paraId="23F97E3C" w14:textId="12856464" w:rsidR="006B51AC" w:rsidRDefault="006B51AC" w:rsidP="00B07F00">
      <w:pPr>
        <w:pStyle w:val="BodyText"/>
        <w:spacing w:line="360" w:lineRule="auto"/>
        <w:rPr>
          <w:rFonts w:ascii="Times New Roman" w:hAnsi="Times New Roman" w:cs="Times New Roman"/>
          <w:b/>
          <w:bCs/>
          <w:noProof/>
          <w:lang w:val="en-IN"/>
        </w:rPr>
      </w:pPr>
    </w:p>
    <w:p w14:paraId="1F5ED0A0" w14:textId="6DC41C50" w:rsidR="006B51AC" w:rsidRDefault="006B51AC" w:rsidP="00B07F00">
      <w:pPr>
        <w:pStyle w:val="BodyText"/>
        <w:spacing w:line="360" w:lineRule="auto"/>
        <w:rPr>
          <w:rFonts w:ascii="Times New Roman" w:hAnsi="Times New Roman" w:cs="Times New Roman"/>
          <w:b/>
          <w:bCs/>
          <w:noProof/>
          <w:lang w:val="en-IN"/>
        </w:rPr>
      </w:pPr>
    </w:p>
    <w:p w14:paraId="3EE5F7EA" w14:textId="6360FCD8" w:rsidR="006B51AC" w:rsidRDefault="006B51AC" w:rsidP="00B07F00">
      <w:pPr>
        <w:pStyle w:val="BodyText"/>
        <w:spacing w:line="360" w:lineRule="auto"/>
        <w:rPr>
          <w:rFonts w:ascii="Times New Roman" w:hAnsi="Times New Roman" w:cs="Times New Roman"/>
          <w:b/>
          <w:bCs/>
          <w:noProof/>
          <w:lang w:val="en-IN"/>
        </w:rPr>
      </w:pPr>
    </w:p>
    <w:p w14:paraId="73FF602E" w14:textId="77777777" w:rsidR="005827EA" w:rsidRDefault="005827EA" w:rsidP="005827EA">
      <w:pPr>
        <w:pStyle w:val="BodyText"/>
        <w:spacing w:before="0" w:after="0" w:line="360" w:lineRule="auto"/>
        <w:rPr>
          <w:rFonts w:ascii="Times New Roman" w:hAnsi="Times New Roman" w:cs="Times New Roman"/>
          <w:b/>
          <w:bCs/>
          <w:sz w:val="20"/>
          <w:szCs w:val="20"/>
        </w:rPr>
      </w:pPr>
    </w:p>
    <w:p w14:paraId="23A9AB10" w14:textId="2E3F2479" w:rsidR="005827EA" w:rsidRDefault="005827EA" w:rsidP="00B07F00">
      <w:pPr>
        <w:pStyle w:val="BodyText"/>
        <w:spacing w:before="0" w:after="0" w:line="360" w:lineRule="auto"/>
        <w:jc w:val="center"/>
        <w:rPr>
          <w:rFonts w:ascii="Times New Roman" w:hAnsi="Times New Roman" w:cs="Times New Roman"/>
          <w:b/>
          <w:bCs/>
          <w:sz w:val="20"/>
          <w:szCs w:val="20"/>
        </w:rPr>
      </w:pPr>
    </w:p>
    <w:p w14:paraId="6DE42BBE" w14:textId="421CBB2B" w:rsidR="00333193" w:rsidRPr="00333193" w:rsidRDefault="00333193" w:rsidP="00B07F00">
      <w:pPr>
        <w:pStyle w:val="BodyText"/>
        <w:spacing w:before="0" w:after="0" w:line="360" w:lineRule="auto"/>
        <w:jc w:val="center"/>
        <w:rPr>
          <w:rFonts w:ascii="Times New Roman" w:hAnsi="Times New Roman" w:cs="Times New Roman"/>
          <w:b/>
          <w:bCs/>
          <w:sz w:val="20"/>
          <w:szCs w:val="20"/>
        </w:rPr>
      </w:pPr>
      <w:r w:rsidRPr="00333193">
        <w:rPr>
          <w:b/>
          <w:bCs/>
        </w:rPr>
        <w:t xml:space="preserve"> </w:t>
      </w:r>
      <w:bookmarkStart w:id="2" w:name="_Hlk205457040"/>
      <w:r w:rsidRPr="00333193">
        <w:rPr>
          <w:rFonts w:ascii="Times New Roman" w:hAnsi="Times New Roman" w:cs="Times New Roman"/>
          <w:b/>
          <w:bCs/>
          <w:sz w:val="20"/>
          <w:szCs w:val="20"/>
        </w:rPr>
        <w:t>Fig. 2. Cell viability of K562 cells treated with AgNPs, assessed using the Alamar Blue assay.</w:t>
      </w:r>
      <w:bookmarkEnd w:id="2"/>
    </w:p>
    <w:p w14:paraId="680867BF" w14:textId="7EF3E6A4" w:rsidR="009474BB" w:rsidRPr="00015FA2" w:rsidRDefault="00015FA2" w:rsidP="00B07F00">
      <w:pPr>
        <w:pStyle w:val="BodyText"/>
        <w:spacing w:before="0" w:after="0" w:line="360" w:lineRule="auto"/>
        <w:jc w:val="center"/>
        <w:rPr>
          <w:rFonts w:ascii="Times New Roman" w:hAnsi="Times New Roman" w:cs="Times New Roman"/>
          <w:i/>
          <w:iCs/>
          <w:sz w:val="20"/>
          <w:szCs w:val="20"/>
          <w:lang w:val="en-IN"/>
        </w:rPr>
      </w:pPr>
      <w:r w:rsidRPr="00015FA2">
        <w:rPr>
          <w:rFonts w:ascii="Times New Roman" w:hAnsi="Times New Roman" w:cs="Times New Roman"/>
          <w:i/>
          <w:iCs/>
          <w:sz w:val="20"/>
          <w:szCs w:val="20"/>
        </w:rPr>
        <w:t>K562 cells were treated with AgNPs at concentrations ranging from 1 to 5 µg/mL, while the 6 µg/mL group served as the untreated control (0% AgNP exposure). The results show high cell viability across all treated concentrations: 90.16% at 1 and 2 µg/mL, 98.36% at 3 µg/mL, and 100% at 4 and 5 µg/mL. These findings indicate that AgNPs did not exert cytotoxic effects within the tested range and were well tolerated by K562 cells. The sustained viability supports their biocompatibility and potential for further biomedical applications, including inflammation-related studies.</w:t>
      </w:r>
    </w:p>
    <w:p w14:paraId="620D19B3" w14:textId="63453E21" w:rsidR="009474BB" w:rsidRDefault="003533D5"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drawing>
          <wp:anchor distT="0" distB="0" distL="114300" distR="114300" simplePos="0" relativeHeight="251673600" behindDoc="0" locked="0" layoutInCell="1" allowOverlap="1" wp14:anchorId="180F9E61" wp14:editId="057D28D0">
            <wp:simplePos x="0" y="0"/>
            <wp:positionH relativeFrom="column">
              <wp:posOffset>1216025</wp:posOffset>
            </wp:positionH>
            <wp:positionV relativeFrom="paragraph">
              <wp:posOffset>107315</wp:posOffset>
            </wp:positionV>
            <wp:extent cx="3608070" cy="2132965"/>
            <wp:effectExtent l="0" t="0" r="0" b="635"/>
            <wp:wrapSquare wrapText="bothSides"/>
            <wp:docPr id="1040423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8070" cy="213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0E071" w14:textId="3A2C02F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BD6920D" w14:textId="60513818"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507643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04A4C15" w14:textId="00E63C02"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48373C65" w14:textId="1A25ABA6"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5AEAB4BD" w14:textId="4E949131"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0EF2C032" w14:textId="306C4A79"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5E32933" w14:textId="7CCB61C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5C141A69" w14:textId="77777777" w:rsidR="00D629D6" w:rsidRDefault="00D629D6" w:rsidP="005827EA">
      <w:pPr>
        <w:pStyle w:val="BodyText"/>
        <w:spacing w:before="0" w:after="0" w:line="360" w:lineRule="auto"/>
        <w:rPr>
          <w:rFonts w:ascii="Times New Roman" w:hAnsi="Times New Roman" w:cs="Times New Roman"/>
          <w:b/>
          <w:bCs/>
          <w:sz w:val="20"/>
          <w:szCs w:val="20"/>
          <w:lang w:val="en-IN"/>
        </w:rPr>
      </w:pPr>
    </w:p>
    <w:p w14:paraId="71B0BE6F" w14:textId="77777777" w:rsidR="00333193" w:rsidRDefault="00333193" w:rsidP="00B07F00">
      <w:pPr>
        <w:pStyle w:val="BodyText"/>
        <w:spacing w:before="0" w:after="0" w:line="360" w:lineRule="auto"/>
        <w:jc w:val="center"/>
        <w:rPr>
          <w:rFonts w:ascii="Times New Roman" w:hAnsi="Times New Roman" w:cs="Times New Roman"/>
          <w:b/>
          <w:bCs/>
          <w:sz w:val="20"/>
          <w:szCs w:val="20"/>
          <w:lang w:val="en-IN"/>
        </w:rPr>
      </w:pPr>
    </w:p>
    <w:p w14:paraId="7CD3780F" w14:textId="77777777" w:rsidR="00333193" w:rsidRPr="00333193" w:rsidRDefault="00333193" w:rsidP="009474BB">
      <w:pPr>
        <w:pStyle w:val="BodyText"/>
        <w:spacing w:before="0" w:after="0" w:line="360" w:lineRule="auto"/>
        <w:jc w:val="center"/>
        <w:rPr>
          <w:rFonts w:ascii="Times New Roman" w:hAnsi="Times New Roman" w:cs="Times New Roman"/>
          <w:b/>
          <w:bCs/>
          <w:sz w:val="20"/>
          <w:szCs w:val="20"/>
        </w:rPr>
      </w:pPr>
      <w:bookmarkStart w:id="3" w:name="_Hlk205457056"/>
      <w:r w:rsidRPr="00333193">
        <w:rPr>
          <w:rFonts w:ascii="Times New Roman" w:hAnsi="Times New Roman" w:cs="Times New Roman"/>
          <w:b/>
          <w:bCs/>
          <w:sz w:val="20"/>
          <w:szCs w:val="20"/>
        </w:rPr>
        <w:t>Fig. 3. Dose-dependent cytotoxicity of AgNPs in PBMCs using the Alamar Blue assay</w:t>
      </w:r>
      <w:bookmarkEnd w:id="3"/>
      <w:r w:rsidRPr="00333193">
        <w:rPr>
          <w:rFonts w:ascii="Times New Roman" w:hAnsi="Times New Roman" w:cs="Times New Roman"/>
          <w:b/>
          <w:bCs/>
          <w:sz w:val="20"/>
          <w:szCs w:val="20"/>
        </w:rPr>
        <w:t>.</w:t>
      </w:r>
    </w:p>
    <w:p w14:paraId="50194FFE" w14:textId="623DEDAA" w:rsidR="00C4235A" w:rsidRPr="009474BB" w:rsidRDefault="00EE5539" w:rsidP="009474BB">
      <w:pPr>
        <w:pStyle w:val="BodyText"/>
        <w:spacing w:before="0" w:after="0" w:line="360" w:lineRule="auto"/>
        <w:jc w:val="center"/>
        <w:rPr>
          <w:rFonts w:ascii="Times New Roman" w:hAnsi="Times New Roman" w:cs="Times New Roman"/>
          <w:i/>
          <w:iCs/>
          <w:sz w:val="20"/>
          <w:szCs w:val="20"/>
          <w:lang w:val="en-IN"/>
        </w:rPr>
      </w:pPr>
      <w:r w:rsidRPr="00EE5539">
        <w:rPr>
          <w:rFonts w:ascii="Times New Roman" w:hAnsi="Times New Roman" w:cs="Times New Roman"/>
          <w:i/>
          <w:iCs/>
          <w:sz w:val="20"/>
          <w:szCs w:val="20"/>
          <w:lang w:val="en-IN"/>
        </w:rPr>
        <w:t xml:space="preserve">A progressive decline in PBMC viability was observed with increasing AgNP concentrations from 6 µg/mL to 33 µg/mL. The control group (6 µg/mL) showed 100% viability, which dropped to 52.63% at 10 µg/mL, 36.84% at 13 µg/mL, 31.58% at 20 µg/mL, 26.31% at 26 µg/mL, and 21.05% at 33 µg/mL. This reflects a clear inverse correlation between AgNP concentration and cell </w:t>
      </w:r>
      <w:r w:rsidR="004147AF" w:rsidRPr="00EE5539">
        <w:rPr>
          <w:rFonts w:ascii="Times New Roman" w:hAnsi="Times New Roman" w:cs="Times New Roman"/>
          <w:i/>
          <w:iCs/>
          <w:sz w:val="20"/>
          <w:szCs w:val="20"/>
          <w:lang w:val="en-IN"/>
        </w:rPr>
        <w:t>viability. These</w:t>
      </w:r>
      <w:r w:rsidRPr="00EE5539">
        <w:rPr>
          <w:rFonts w:ascii="Times New Roman" w:hAnsi="Times New Roman" w:cs="Times New Roman"/>
          <w:i/>
          <w:iCs/>
          <w:sz w:val="20"/>
          <w:szCs w:val="20"/>
          <w:lang w:val="en-IN"/>
        </w:rPr>
        <w:t xml:space="preserve"> results indicate dose-dependent cytotoxicity, likely due to mechanisms such as oxidative stress, membrane disruption, or mitochondrial damage. The data highlight the importance of careful dose selection when considering AgNPs for therapeutic or diagnostic applications to minimize toxicity to immune cells like PBMCs.</w:t>
      </w:r>
    </w:p>
    <w:p w14:paraId="5546EC85" w14:textId="4CAD4C1B" w:rsidR="00674698" w:rsidRPr="00BF41E4" w:rsidRDefault="00674698"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4.3 ROS Generation in K562 and RAW 264.7 Cells</w:t>
      </w:r>
    </w:p>
    <w:p w14:paraId="76E88676" w14:textId="51A5F812" w:rsidR="00D629D6" w:rsidRPr="005827EA" w:rsidRDefault="00DE07D0" w:rsidP="005827EA">
      <w:pPr>
        <w:pStyle w:val="BodyText"/>
        <w:spacing w:line="360" w:lineRule="auto"/>
        <w:jc w:val="both"/>
        <w:rPr>
          <w:rFonts w:ascii="Times New Roman" w:hAnsi="Times New Roman" w:cs="Times New Roman"/>
        </w:rPr>
      </w:pPr>
      <w:r w:rsidRPr="00BF41E4">
        <w:rPr>
          <w:rFonts w:ascii="Times New Roman" w:hAnsi="Times New Roman" w:cs="Times New Roman"/>
        </w:rPr>
        <w:t>AgNP treatment reduced ROS levels in K562 cells, indicating antioxidant potential. In contrast, RAW 264.7 macrophages exhibited elevated ROS production in response to AgNPs. LPS-treated RAW macrophages also showed significant ROS elevation, validating LPS as a positive control for oxidative stress.</w:t>
      </w:r>
    </w:p>
    <w:p w14:paraId="1B86002F" w14:textId="1FFAAC86" w:rsidR="009222C2" w:rsidRDefault="005C330D" w:rsidP="009222C2">
      <w:pPr>
        <w:pStyle w:val="Heading1"/>
        <w:spacing w:line="360" w:lineRule="auto"/>
        <w:jc w:val="center"/>
        <w:rPr>
          <w:rFonts w:ascii="Times New Roman" w:hAnsi="Times New Roman" w:cs="Times New Roman"/>
          <w:b/>
          <w:bCs/>
          <w:color w:val="auto"/>
          <w:sz w:val="20"/>
          <w:szCs w:val="20"/>
          <w:lang w:val="en-IN"/>
        </w:rPr>
      </w:pPr>
      <w:r w:rsidRPr="005C330D">
        <w:rPr>
          <w:rFonts w:ascii="Times New Roman" w:hAnsi="Times New Roman" w:cs="Times New Roman"/>
          <w:b/>
          <w:bCs/>
          <w:color w:val="auto"/>
          <w:sz w:val="20"/>
          <w:szCs w:val="20"/>
        </w:rPr>
        <w:t>Table 2. ROS levels in K562, PBMCs, and RAW 264.7 cells following treatment with silver nanoparticles and LPS</w:t>
      </w:r>
    </w:p>
    <w:tbl>
      <w:tblPr>
        <w:tblStyle w:val="TableGrid"/>
        <w:tblpPr w:leftFromText="180" w:rightFromText="180" w:vertAnchor="text" w:horzAnchor="margin" w:tblpY="298"/>
        <w:tblW w:w="9055" w:type="dxa"/>
        <w:tblLook w:val="04A0" w:firstRow="1" w:lastRow="0" w:firstColumn="1" w:lastColumn="0" w:noHBand="0" w:noVBand="1"/>
      </w:tblPr>
      <w:tblGrid>
        <w:gridCol w:w="1787"/>
        <w:gridCol w:w="2866"/>
        <w:gridCol w:w="4402"/>
      </w:tblGrid>
      <w:tr w:rsidR="009222C2" w:rsidRPr="009222C2" w14:paraId="09DD4784" w14:textId="77777777" w:rsidTr="009222C2">
        <w:trPr>
          <w:trHeight w:val="404"/>
        </w:trPr>
        <w:tc>
          <w:tcPr>
            <w:tcW w:w="0" w:type="auto"/>
            <w:hideMark/>
          </w:tcPr>
          <w:p w14:paraId="527F40D3"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Cell type</w:t>
            </w:r>
          </w:p>
        </w:tc>
        <w:tc>
          <w:tcPr>
            <w:tcW w:w="0" w:type="auto"/>
            <w:hideMark/>
          </w:tcPr>
          <w:p w14:paraId="76E6ADC6"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Treatment</w:t>
            </w:r>
          </w:p>
        </w:tc>
        <w:tc>
          <w:tcPr>
            <w:tcW w:w="0" w:type="auto"/>
            <w:hideMark/>
          </w:tcPr>
          <w:p w14:paraId="0AA57DF1" w14:textId="77777777" w:rsidR="009222C2" w:rsidRPr="009222C2" w:rsidRDefault="009222C2" w:rsidP="009222C2">
            <w:pPr>
              <w:pStyle w:val="BodyText"/>
              <w:rPr>
                <w:rFonts w:ascii="Times New Roman" w:hAnsi="Times New Roman" w:cs="Times New Roman"/>
                <w:b/>
                <w:bCs/>
                <w:sz w:val="20"/>
                <w:szCs w:val="20"/>
                <w:lang w:val="en-IN"/>
              </w:rPr>
            </w:pPr>
            <w:r w:rsidRPr="009222C2">
              <w:rPr>
                <w:rFonts w:ascii="Times New Roman" w:hAnsi="Times New Roman" w:cs="Times New Roman"/>
                <w:b/>
                <w:bCs/>
                <w:sz w:val="20"/>
                <w:szCs w:val="20"/>
                <w:lang w:val="en-IN"/>
              </w:rPr>
              <w:t>ROS intensity (AU, mean ± SD)</w:t>
            </w:r>
          </w:p>
        </w:tc>
      </w:tr>
      <w:tr w:rsidR="009222C2" w:rsidRPr="009222C2" w14:paraId="45C0EDD5" w14:textId="77777777" w:rsidTr="009222C2">
        <w:trPr>
          <w:trHeight w:val="404"/>
        </w:trPr>
        <w:tc>
          <w:tcPr>
            <w:tcW w:w="0" w:type="auto"/>
            <w:hideMark/>
          </w:tcPr>
          <w:p w14:paraId="090D58F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K562</w:t>
            </w:r>
          </w:p>
        </w:tc>
        <w:tc>
          <w:tcPr>
            <w:tcW w:w="0" w:type="auto"/>
            <w:hideMark/>
          </w:tcPr>
          <w:p w14:paraId="6019BBB0"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56423A3C"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12.4 ± 1.1</w:t>
            </w:r>
          </w:p>
        </w:tc>
      </w:tr>
      <w:tr w:rsidR="009222C2" w:rsidRPr="009222C2" w14:paraId="71E2BE6F" w14:textId="77777777" w:rsidTr="009222C2">
        <w:trPr>
          <w:trHeight w:val="404"/>
        </w:trPr>
        <w:tc>
          <w:tcPr>
            <w:tcW w:w="0" w:type="auto"/>
            <w:hideMark/>
          </w:tcPr>
          <w:p w14:paraId="1570DCA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K562</w:t>
            </w:r>
          </w:p>
        </w:tc>
        <w:tc>
          <w:tcPr>
            <w:tcW w:w="0" w:type="auto"/>
            <w:hideMark/>
          </w:tcPr>
          <w:p w14:paraId="25CD7EBC"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5783AF23"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25.7 ± 1.9*</w:t>
            </w:r>
          </w:p>
        </w:tc>
      </w:tr>
      <w:tr w:rsidR="009222C2" w:rsidRPr="009222C2" w14:paraId="3909548C" w14:textId="77777777" w:rsidTr="009222C2">
        <w:trPr>
          <w:trHeight w:val="404"/>
        </w:trPr>
        <w:tc>
          <w:tcPr>
            <w:tcW w:w="0" w:type="auto"/>
            <w:hideMark/>
          </w:tcPr>
          <w:p w14:paraId="22B097AB"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PBMCs</w:t>
            </w:r>
          </w:p>
        </w:tc>
        <w:tc>
          <w:tcPr>
            <w:tcW w:w="0" w:type="auto"/>
            <w:hideMark/>
          </w:tcPr>
          <w:p w14:paraId="6BB751F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72D0383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15.2 ± 1.3</w:t>
            </w:r>
          </w:p>
        </w:tc>
      </w:tr>
      <w:tr w:rsidR="009222C2" w:rsidRPr="009222C2" w14:paraId="26E02D09" w14:textId="77777777" w:rsidTr="009222C2">
        <w:trPr>
          <w:trHeight w:val="404"/>
        </w:trPr>
        <w:tc>
          <w:tcPr>
            <w:tcW w:w="0" w:type="auto"/>
            <w:hideMark/>
          </w:tcPr>
          <w:p w14:paraId="35FD4C1D"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PBMCs</w:t>
            </w:r>
          </w:p>
        </w:tc>
        <w:tc>
          <w:tcPr>
            <w:tcW w:w="0" w:type="auto"/>
            <w:hideMark/>
          </w:tcPr>
          <w:p w14:paraId="515DB26D"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1292DACA"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28.5 ± 2.2*</w:t>
            </w:r>
          </w:p>
        </w:tc>
      </w:tr>
      <w:tr w:rsidR="009222C2" w:rsidRPr="009222C2" w14:paraId="384E4183" w14:textId="77777777" w:rsidTr="009222C2">
        <w:trPr>
          <w:trHeight w:val="404"/>
        </w:trPr>
        <w:tc>
          <w:tcPr>
            <w:tcW w:w="0" w:type="auto"/>
            <w:hideMark/>
          </w:tcPr>
          <w:p w14:paraId="012C67D9"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1F989E7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Control</w:t>
            </w:r>
          </w:p>
        </w:tc>
        <w:tc>
          <w:tcPr>
            <w:tcW w:w="0" w:type="auto"/>
            <w:hideMark/>
          </w:tcPr>
          <w:p w14:paraId="3D0307C7"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13.8 ± 1.5</w:t>
            </w:r>
          </w:p>
        </w:tc>
      </w:tr>
      <w:tr w:rsidR="009222C2" w:rsidRPr="009222C2" w14:paraId="09FC5BF7" w14:textId="77777777" w:rsidTr="009222C2">
        <w:trPr>
          <w:trHeight w:val="404"/>
        </w:trPr>
        <w:tc>
          <w:tcPr>
            <w:tcW w:w="0" w:type="auto"/>
            <w:hideMark/>
          </w:tcPr>
          <w:p w14:paraId="2D340313"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3F66CA7E"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AgNPs (10 µg mL⁻¹)</w:t>
            </w:r>
          </w:p>
        </w:tc>
        <w:tc>
          <w:tcPr>
            <w:tcW w:w="0" w:type="auto"/>
            <w:hideMark/>
          </w:tcPr>
          <w:p w14:paraId="65730E66"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30.1 ± 2.8*</w:t>
            </w:r>
          </w:p>
        </w:tc>
      </w:tr>
      <w:tr w:rsidR="009222C2" w:rsidRPr="009222C2" w14:paraId="674C9D58" w14:textId="77777777" w:rsidTr="009222C2">
        <w:trPr>
          <w:trHeight w:val="50"/>
        </w:trPr>
        <w:tc>
          <w:tcPr>
            <w:tcW w:w="0" w:type="auto"/>
            <w:hideMark/>
          </w:tcPr>
          <w:p w14:paraId="3160BE57"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RAW 264.7</w:t>
            </w:r>
          </w:p>
        </w:tc>
        <w:tc>
          <w:tcPr>
            <w:tcW w:w="0" w:type="auto"/>
            <w:hideMark/>
          </w:tcPr>
          <w:p w14:paraId="6772DE81"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LPS (10 µg mL⁻¹)</w:t>
            </w:r>
          </w:p>
        </w:tc>
        <w:tc>
          <w:tcPr>
            <w:tcW w:w="0" w:type="auto"/>
            <w:hideMark/>
          </w:tcPr>
          <w:p w14:paraId="3CCEDEF8" w14:textId="77777777" w:rsidR="009222C2" w:rsidRPr="009222C2" w:rsidRDefault="009222C2" w:rsidP="009222C2">
            <w:pPr>
              <w:pStyle w:val="BodyText"/>
              <w:rPr>
                <w:rFonts w:ascii="Times New Roman" w:hAnsi="Times New Roman" w:cs="Times New Roman"/>
                <w:sz w:val="20"/>
                <w:szCs w:val="20"/>
                <w:lang w:val="en-IN"/>
              </w:rPr>
            </w:pPr>
            <w:r w:rsidRPr="009222C2">
              <w:rPr>
                <w:rFonts w:ascii="Times New Roman" w:hAnsi="Times New Roman" w:cs="Times New Roman"/>
                <w:sz w:val="20"/>
                <w:szCs w:val="20"/>
                <w:lang w:val="en-IN"/>
              </w:rPr>
              <w:t>45.6 ± 2.9†</w:t>
            </w:r>
          </w:p>
        </w:tc>
      </w:tr>
    </w:tbl>
    <w:p w14:paraId="2C705C7D" w14:textId="77777777" w:rsidR="008D0E2D" w:rsidRDefault="008D0E2D" w:rsidP="00B07F00">
      <w:pPr>
        <w:pStyle w:val="BodyText"/>
        <w:spacing w:line="360" w:lineRule="auto"/>
        <w:rPr>
          <w:rFonts w:ascii="Times New Roman" w:hAnsi="Times New Roman" w:cs="Times New Roman"/>
          <w:sz w:val="20"/>
          <w:szCs w:val="20"/>
        </w:rPr>
      </w:pPr>
    </w:p>
    <w:p w14:paraId="6C03695F" w14:textId="362B0BCC" w:rsidR="00DA617A" w:rsidRDefault="00AE1C9A" w:rsidP="00B07F00">
      <w:pPr>
        <w:pStyle w:val="BodyText"/>
        <w:spacing w:line="360" w:lineRule="auto"/>
        <w:rPr>
          <w:rFonts w:ascii="Times New Roman" w:hAnsi="Times New Roman" w:cs="Times New Roman"/>
          <w:sz w:val="20"/>
          <w:szCs w:val="20"/>
        </w:rPr>
      </w:pPr>
      <w:r w:rsidRPr="00DA617A">
        <w:rPr>
          <w:rFonts w:ascii="Times New Roman" w:hAnsi="Times New Roman" w:cs="Times New Roman"/>
          <w:sz w:val="20"/>
          <w:szCs w:val="20"/>
        </w:rPr>
        <w:t>Table 2 summarizes ROS levels in K562, PBMCs, and RAW 264.7 cells following treatment with silver nanoparticles (AgNPs) at 10 µg/mL, measured using the DCFDA fluorescence assay. In all cell lines, AgNP exposure significantly elevated ROS compared to controls. K562 cells showed an increase from 12.4 ± 1.1 to 25.7 ± 1.9, while PBMCs rose from 15.2 ± 1.3 to 28.5 ± 2.2. RAW 264.7 macrophages also demonstrated elevated ROS (13.8 ± 1.5 to 30.1 ± 2.8), and the LPS-treated group exhibited the highest level (45.6 ± 2.9), serving as a positive control. These results confirm that AgNPs induce oxidative stress in a cell type-independent manner and highlight ROS generation as a potential mechanism of nanoparticle-mediated cellular effects</w:t>
      </w:r>
      <w:r w:rsidR="004147AF">
        <w:rPr>
          <w:rFonts w:ascii="Times New Roman" w:hAnsi="Times New Roman" w:cs="Times New Roman"/>
          <w:sz w:val="20"/>
          <w:szCs w:val="20"/>
        </w:rPr>
        <w:t>.</w:t>
      </w:r>
    </w:p>
    <w:p w14:paraId="512E9BB1" w14:textId="11250736" w:rsidR="00674698" w:rsidRPr="00DA617A" w:rsidRDefault="00674698" w:rsidP="00B07F00">
      <w:pPr>
        <w:pStyle w:val="BodyText"/>
        <w:spacing w:line="360" w:lineRule="auto"/>
        <w:jc w:val="both"/>
        <w:rPr>
          <w:rFonts w:ascii="Times New Roman" w:hAnsi="Times New Roman" w:cs="Times New Roman"/>
          <w:sz w:val="20"/>
          <w:szCs w:val="20"/>
        </w:rPr>
      </w:pPr>
    </w:p>
    <w:p w14:paraId="151B656C" w14:textId="7BD2A1E8"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67E060C9" w14:textId="10FFC6C9"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106FD33" w14:textId="1918D7A6" w:rsidR="006B51AC" w:rsidRDefault="005C330D"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lastRenderedPageBreak/>
        <w:drawing>
          <wp:anchor distT="0" distB="0" distL="114300" distR="114300" simplePos="0" relativeHeight="251679232" behindDoc="0" locked="0" layoutInCell="1" allowOverlap="1" wp14:anchorId="56EF8876" wp14:editId="5F511152">
            <wp:simplePos x="0" y="0"/>
            <wp:positionH relativeFrom="column">
              <wp:posOffset>1219200</wp:posOffset>
            </wp:positionH>
            <wp:positionV relativeFrom="paragraph">
              <wp:posOffset>0</wp:posOffset>
            </wp:positionV>
            <wp:extent cx="3563620" cy="2287905"/>
            <wp:effectExtent l="0" t="0" r="0" b="0"/>
            <wp:wrapSquare wrapText="bothSides"/>
            <wp:docPr id="2128543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62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4FECA" w14:textId="24EC522A"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4F1EB3E" w14:textId="0BBE3C71"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50C733F"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2758613"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20EA65C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13EA770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4D3FB5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56AF6A2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52E0256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CBD0EF7" w14:textId="77777777" w:rsidR="006B51AC" w:rsidRDefault="006B51AC" w:rsidP="005C330D">
      <w:pPr>
        <w:pStyle w:val="BodyText"/>
        <w:spacing w:before="0" w:after="0" w:line="360" w:lineRule="auto"/>
        <w:rPr>
          <w:rFonts w:ascii="Times New Roman" w:hAnsi="Times New Roman" w:cs="Times New Roman"/>
          <w:b/>
          <w:bCs/>
          <w:sz w:val="20"/>
          <w:szCs w:val="20"/>
          <w:lang w:val="en-IN"/>
        </w:rPr>
      </w:pPr>
    </w:p>
    <w:p w14:paraId="7C16BF5F" w14:textId="77777777" w:rsidR="00333193" w:rsidRPr="00333193" w:rsidRDefault="00333193" w:rsidP="00B07F00">
      <w:pPr>
        <w:pStyle w:val="BodyText"/>
        <w:spacing w:before="0" w:after="0" w:line="360" w:lineRule="auto"/>
        <w:jc w:val="center"/>
        <w:rPr>
          <w:rFonts w:ascii="Times New Roman" w:hAnsi="Times New Roman" w:cs="Times New Roman"/>
          <w:b/>
          <w:bCs/>
          <w:sz w:val="20"/>
          <w:szCs w:val="20"/>
        </w:rPr>
      </w:pPr>
      <w:bookmarkStart w:id="4" w:name="_Hlk205457082"/>
      <w:r w:rsidRPr="00333193">
        <w:rPr>
          <w:rFonts w:ascii="Times New Roman" w:hAnsi="Times New Roman" w:cs="Times New Roman"/>
          <w:b/>
          <w:bCs/>
          <w:sz w:val="20"/>
          <w:szCs w:val="20"/>
        </w:rPr>
        <w:t>Fig. 4. Decrease in intracellular ROS levels in K562 cells after AgNP treatment.</w:t>
      </w:r>
    </w:p>
    <w:bookmarkEnd w:id="4"/>
    <w:p w14:paraId="76778506" w14:textId="0C282B6E" w:rsidR="0001461F" w:rsidRDefault="00014AF3" w:rsidP="00B07F00">
      <w:pPr>
        <w:pStyle w:val="BodyText"/>
        <w:spacing w:before="0" w:after="0" w:line="360" w:lineRule="auto"/>
        <w:jc w:val="center"/>
        <w:rPr>
          <w:rFonts w:ascii="Times New Roman" w:hAnsi="Times New Roman" w:cs="Times New Roman"/>
          <w:i/>
          <w:iCs/>
          <w:sz w:val="20"/>
          <w:szCs w:val="20"/>
          <w:lang w:val="en-IN"/>
        </w:rPr>
      </w:pPr>
      <w:r w:rsidRPr="00014AF3">
        <w:rPr>
          <w:rFonts w:ascii="Times New Roman" w:hAnsi="Times New Roman" w:cs="Times New Roman"/>
          <w:i/>
          <w:iCs/>
          <w:sz w:val="20"/>
          <w:szCs w:val="20"/>
        </w:rPr>
        <w:t>The DCFDA assay demonstrated a clear dose-dependent decrease in intracellular reactive oxygen species (ROS) levels in K562 cells treated with AgNPs (10–40 µg/mL). The untreated control group showed the highest fluorescence intensity, indicating elevated basal ROS levels. As the AgNP concentration increased, fluorescence intensity progressively declined, with the lowest ROS levels observed at 40 µg/mL. These results suggest that AgNPs may exert antioxidant-like effects at higher doses, contributing to a reduction in oxidative stress within K562 cells.</w:t>
      </w:r>
    </w:p>
    <w:p w14:paraId="78AB9D94" w14:textId="0F55B0D3" w:rsidR="0001461F" w:rsidRDefault="00014AF3" w:rsidP="00B07F00">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649024" behindDoc="0" locked="0" layoutInCell="1" allowOverlap="1" wp14:anchorId="7017904C" wp14:editId="593CABA2">
            <wp:simplePos x="0" y="0"/>
            <wp:positionH relativeFrom="column">
              <wp:posOffset>1174750</wp:posOffset>
            </wp:positionH>
            <wp:positionV relativeFrom="paragraph">
              <wp:posOffset>143949</wp:posOffset>
            </wp:positionV>
            <wp:extent cx="3563620" cy="2194560"/>
            <wp:effectExtent l="0" t="0" r="0" b="0"/>
            <wp:wrapSquare wrapText="bothSides"/>
            <wp:docPr id="14465341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E7ECF" w14:textId="5B601A11"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0CD7B669" w14:textId="5DF38F72"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E4A1773" w14:textId="3A1B9AD6"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16B22A8" w14:textId="0B23C09E"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14CA6A65" w14:textId="4353A9EF" w:rsidR="0001461F" w:rsidRPr="00DA617A" w:rsidRDefault="0001461F" w:rsidP="006B51AC">
      <w:pPr>
        <w:pStyle w:val="BodyText"/>
        <w:spacing w:before="0" w:after="0" w:line="360" w:lineRule="auto"/>
        <w:jc w:val="center"/>
        <w:rPr>
          <w:rFonts w:ascii="Times New Roman" w:hAnsi="Times New Roman" w:cs="Times New Roman"/>
          <w:i/>
          <w:iCs/>
          <w:sz w:val="20"/>
          <w:szCs w:val="20"/>
          <w:lang w:val="en-IN"/>
        </w:rPr>
      </w:pPr>
    </w:p>
    <w:p w14:paraId="0D615CE9"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4A7A7FF"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21C090A4"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D84A4A7"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6AA9D75" w14:textId="77777777" w:rsidR="00014AF3" w:rsidRDefault="00014AF3" w:rsidP="00B07F00">
      <w:pPr>
        <w:pStyle w:val="BodyText"/>
        <w:spacing w:before="0" w:after="0" w:line="360" w:lineRule="auto"/>
        <w:jc w:val="center"/>
        <w:rPr>
          <w:rFonts w:ascii="Times New Roman" w:hAnsi="Times New Roman" w:cs="Times New Roman"/>
          <w:b/>
          <w:bCs/>
          <w:noProof/>
          <w:sz w:val="20"/>
          <w:szCs w:val="20"/>
          <w:lang w:val="en-IN"/>
        </w:rPr>
      </w:pPr>
    </w:p>
    <w:p w14:paraId="31AFB252" w14:textId="77777777" w:rsidR="00333193" w:rsidRPr="00333193" w:rsidRDefault="00333193" w:rsidP="00B07F00">
      <w:pPr>
        <w:pStyle w:val="BodyText"/>
        <w:spacing w:before="0" w:after="0" w:line="360" w:lineRule="auto"/>
        <w:jc w:val="center"/>
        <w:rPr>
          <w:rFonts w:ascii="Times New Roman" w:hAnsi="Times New Roman" w:cs="Times New Roman"/>
          <w:b/>
          <w:bCs/>
          <w:noProof/>
          <w:sz w:val="20"/>
          <w:szCs w:val="20"/>
        </w:rPr>
      </w:pPr>
      <w:bookmarkStart w:id="5" w:name="_Hlk205457100"/>
      <w:r w:rsidRPr="00333193">
        <w:rPr>
          <w:rFonts w:ascii="Times New Roman" w:hAnsi="Times New Roman" w:cs="Times New Roman"/>
          <w:b/>
          <w:bCs/>
          <w:noProof/>
          <w:sz w:val="20"/>
          <w:szCs w:val="20"/>
        </w:rPr>
        <w:t>Fig. 5. Dose-dependent effects of AgNPs on viability and ROS production in RAW 264.7 cells.</w:t>
      </w:r>
    </w:p>
    <w:bookmarkEnd w:id="5"/>
    <w:p w14:paraId="12A89BDB" w14:textId="2D3DAA01" w:rsidR="0034438E" w:rsidRPr="0034438E" w:rsidRDefault="0034438E" w:rsidP="00B07F00">
      <w:pPr>
        <w:pStyle w:val="BodyText"/>
        <w:spacing w:before="0" w:after="0" w:line="360" w:lineRule="auto"/>
        <w:jc w:val="center"/>
        <w:rPr>
          <w:rFonts w:ascii="Times New Roman" w:hAnsi="Times New Roman" w:cs="Times New Roman"/>
          <w:i/>
          <w:iCs/>
          <w:noProof/>
          <w:sz w:val="20"/>
          <w:szCs w:val="20"/>
          <w:lang w:val="en-IN"/>
        </w:rPr>
      </w:pPr>
      <w:r w:rsidRPr="0034438E">
        <w:rPr>
          <w:rFonts w:ascii="Times New Roman" w:hAnsi="Times New Roman" w:cs="Times New Roman"/>
          <w:i/>
          <w:iCs/>
          <w:noProof/>
          <w:sz w:val="20"/>
          <w:szCs w:val="20"/>
          <w:lang w:val="en-IN"/>
        </w:rPr>
        <w:t>Blue bars in the graph represent cell viability (%), while orange bars indicate ROS production (fluorescence intensity in a.u.) across AgNP concentrations ranging from 1% to 6%.As AgNP concentration increased, the blue bars showed a steady decline in cell viability</w:t>
      </w:r>
      <w:r w:rsidR="00930234">
        <w:rPr>
          <w:rFonts w:ascii="Times New Roman" w:hAnsi="Times New Roman" w:cs="Times New Roman"/>
          <w:i/>
          <w:iCs/>
          <w:noProof/>
          <w:sz w:val="20"/>
          <w:szCs w:val="20"/>
          <w:lang w:val="en-IN"/>
        </w:rPr>
        <w:t xml:space="preserve"> </w:t>
      </w:r>
      <w:r w:rsidRPr="0034438E">
        <w:rPr>
          <w:rFonts w:ascii="Times New Roman" w:hAnsi="Times New Roman" w:cs="Times New Roman"/>
          <w:i/>
          <w:iCs/>
          <w:noProof/>
          <w:sz w:val="20"/>
          <w:szCs w:val="20"/>
          <w:lang w:val="en-IN"/>
        </w:rPr>
        <w:t>from 100% at 1% AgNP to 50% at 6%</w:t>
      </w:r>
      <w:r w:rsidR="00930234">
        <w:rPr>
          <w:rFonts w:ascii="Times New Roman" w:hAnsi="Times New Roman" w:cs="Times New Roman"/>
          <w:i/>
          <w:iCs/>
          <w:noProof/>
          <w:sz w:val="20"/>
          <w:szCs w:val="20"/>
          <w:lang w:val="en-IN"/>
        </w:rPr>
        <w:t xml:space="preserve"> </w:t>
      </w:r>
      <w:r w:rsidRPr="0034438E">
        <w:rPr>
          <w:rFonts w:ascii="Times New Roman" w:hAnsi="Times New Roman" w:cs="Times New Roman"/>
          <w:i/>
          <w:iCs/>
          <w:noProof/>
          <w:sz w:val="20"/>
          <w:szCs w:val="20"/>
          <w:lang w:val="en-IN"/>
        </w:rPr>
        <w:t>highlighting progressive cytotoxicity. In contrast, the orange bars peaked at 2.7 a.u. at 1% AgNP but dropped sharply to below 0.6 a.u. beyond 3%, indicating suppressed ROS production at higher concentrations. These trends suggest that while AgNPs induce cell death in a dose-dependent manner, elevated concentrations may inhibit oxidative stress, possibly via mitochondrial dysfunction or feedback regulation mechanisms.</w:t>
      </w:r>
    </w:p>
    <w:p w14:paraId="3C82F9F1" w14:textId="60AC363D" w:rsidR="00B5271B" w:rsidRDefault="00E83F1C" w:rsidP="00B07F00">
      <w:pPr>
        <w:pStyle w:val="BodyText"/>
        <w:spacing w:line="360" w:lineRule="auto"/>
        <w:jc w:val="both"/>
        <w:rPr>
          <w:rFonts w:ascii="Times New Roman" w:hAnsi="Times New Roman" w:cs="Times New Roman"/>
          <w:noProof/>
          <w:lang w:val="en-IN"/>
        </w:rPr>
      </w:pPr>
      <w:r w:rsidRPr="000B61C2">
        <w:rPr>
          <w:rFonts w:ascii="Times New Roman" w:hAnsi="Times New Roman" w:cs="Times New Roman"/>
          <w:noProof/>
          <w:lang w:val="en-IN"/>
        </w:rPr>
        <w:lastRenderedPageBreak/>
        <w:drawing>
          <wp:anchor distT="0" distB="0" distL="114300" distR="114300" simplePos="0" relativeHeight="251703808" behindDoc="0" locked="0" layoutInCell="1" allowOverlap="1" wp14:anchorId="0859B8AC" wp14:editId="4F10816F">
            <wp:simplePos x="0" y="0"/>
            <wp:positionH relativeFrom="column">
              <wp:posOffset>703092</wp:posOffset>
            </wp:positionH>
            <wp:positionV relativeFrom="paragraph">
              <wp:posOffset>127049</wp:posOffset>
            </wp:positionV>
            <wp:extent cx="4620895" cy="2743200"/>
            <wp:effectExtent l="0" t="0" r="8255" b="0"/>
            <wp:wrapSquare wrapText="bothSides"/>
            <wp:docPr id="21090625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089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E786A" w14:textId="0722E4B2" w:rsidR="0001461F" w:rsidRDefault="0001461F" w:rsidP="00B07F00">
      <w:pPr>
        <w:pStyle w:val="BodyText"/>
        <w:spacing w:line="360" w:lineRule="auto"/>
        <w:jc w:val="both"/>
        <w:rPr>
          <w:rFonts w:ascii="Times New Roman" w:hAnsi="Times New Roman" w:cs="Times New Roman"/>
          <w:noProof/>
          <w:lang w:val="en-IN"/>
        </w:rPr>
      </w:pPr>
    </w:p>
    <w:p w14:paraId="5C8E07B2" w14:textId="55B5128B" w:rsidR="0001461F" w:rsidRDefault="0001461F" w:rsidP="00B07F00">
      <w:pPr>
        <w:pStyle w:val="BodyText"/>
        <w:spacing w:line="360" w:lineRule="auto"/>
        <w:jc w:val="both"/>
        <w:rPr>
          <w:rFonts w:ascii="Times New Roman" w:hAnsi="Times New Roman" w:cs="Times New Roman"/>
          <w:noProof/>
          <w:lang w:val="en-IN"/>
        </w:rPr>
      </w:pPr>
    </w:p>
    <w:p w14:paraId="1A0AC5A1" w14:textId="3E12CD3F" w:rsidR="0001461F" w:rsidRDefault="0001461F" w:rsidP="00B07F00">
      <w:pPr>
        <w:pStyle w:val="BodyText"/>
        <w:spacing w:line="360" w:lineRule="auto"/>
        <w:jc w:val="both"/>
        <w:rPr>
          <w:rFonts w:ascii="Times New Roman" w:hAnsi="Times New Roman" w:cs="Times New Roman"/>
          <w:noProof/>
          <w:lang w:val="en-IN"/>
        </w:rPr>
      </w:pPr>
    </w:p>
    <w:p w14:paraId="4EF2931A" w14:textId="1EC4FB63" w:rsidR="0001461F" w:rsidRDefault="0001461F" w:rsidP="00B07F00">
      <w:pPr>
        <w:pStyle w:val="BodyText"/>
        <w:spacing w:line="360" w:lineRule="auto"/>
        <w:jc w:val="both"/>
        <w:rPr>
          <w:rFonts w:ascii="Times New Roman" w:hAnsi="Times New Roman" w:cs="Times New Roman"/>
          <w:noProof/>
          <w:lang w:val="en-IN"/>
        </w:rPr>
      </w:pPr>
    </w:p>
    <w:p w14:paraId="412737B1" w14:textId="2B82E357" w:rsidR="0001461F" w:rsidRDefault="0001461F" w:rsidP="00B07F00">
      <w:pPr>
        <w:pStyle w:val="BodyText"/>
        <w:spacing w:line="360" w:lineRule="auto"/>
        <w:jc w:val="both"/>
        <w:rPr>
          <w:rFonts w:ascii="Times New Roman" w:hAnsi="Times New Roman" w:cs="Times New Roman"/>
          <w:noProof/>
          <w:lang w:val="en-IN"/>
        </w:rPr>
      </w:pPr>
    </w:p>
    <w:p w14:paraId="5C31D83F" w14:textId="77777777" w:rsidR="00FA28B8" w:rsidRDefault="00FA28B8" w:rsidP="00B07F00">
      <w:pPr>
        <w:pStyle w:val="BodyText"/>
        <w:spacing w:line="360" w:lineRule="auto"/>
        <w:rPr>
          <w:rFonts w:ascii="Times New Roman" w:hAnsi="Times New Roman" w:cs="Times New Roman"/>
          <w:b/>
          <w:bCs/>
          <w:sz w:val="20"/>
          <w:szCs w:val="20"/>
        </w:rPr>
      </w:pPr>
    </w:p>
    <w:p w14:paraId="04C82AFD"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5F0E8996"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4E4799D0"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12E01401" w14:textId="77777777" w:rsidR="00333193" w:rsidRPr="00333193" w:rsidRDefault="00333193" w:rsidP="00B07F00">
      <w:pPr>
        <w:pStyle w:val="BodyText"/>
        <w:spacing w:before="0" w:after="0" w:line="360" w:lineRule="auto"/>
        <w:jc w:val="center"/>
        <w:rPr>
          <w:rFonts w:ascii="Times New Roman" w:hAnsi="Times New Roman" w:cs="Times New Roman"/>
          <w:b/>
          <w:bCs/>
          <w:sz w:val="20"/>
          <w:szCs w:val="20"/>
        </w:rPr>
      </w:pPr>
      <w:bookmarkStart w:id="6" w:name="_Hlk205457115"/>
      <w:r w:rsidRPr="00333193">
        <w:rPr>
          <w:rFonts w:ascii="Times New Roman" w:hAnsi="Times New Roman" w:cs="Times New Roman"/>
          <w:b/>
          <w:bCs/>
          <w:sz w:val="20"/>
          <w:szCs w:val="20"/>
        </w:rPr>
        <w:t>Fig. 6. ROS generation in response to varying LPS volumes in different treatment groups.</w:t>
      </w:r>
    </w:p>
    <w:bookmarkEnd w:id="6"/>
    <w:p w14:paraId="01662CAA" w14:textId="73760D10" w:rsidR="00927097" w:rsidRDefault="0034438E" w:rsidP="00B07F00">
      <w:pPr>
        <w:pStyle w:val="BodyText"/>
        <w:spacing w:before="0" w:after="0" w:line="360" w:lineRule="auto"/>
        <w:jc w:val="center"/>
        <w:rPr>
          <w:rFonts w:ascii="Times New Roman" w:hAnsi="Times New Roman" w:cs="Times New Roman"/>
          <w:i/>
          <w:iCs/>
          <w:sz w:val="20"/>
          <w:szCs w:val="20"/>
          <w:lang w:val="en-IN"/>
        </w:rPr>
      </w:pPr>
      <w:r w:rsidRPr="0034438E">
        <w:rPr>
          <w:rFonts w:ascii="Times New Roman" w:hAnsi="Times New Roman" w:cs="Times New Roman"/>
          <w:i/>
          <w:iCs/>
          <w:sz w:val="20"/>
          <w:szCs w:val="20"/>
          <w:lang w:val="en-IN"/>
        </w:rPr>
        <w:t xml:space="preserve">Groups 1 and 2 both received 1.5 µL of LPS (orange bars). However, Group 2's blue bar spiked (~15 AU) while Group 1's blue bar stayed low (~1.5 AU), suggesting a sharp difference in oxidative response under similar dosing. In contrast, Groups 3 and 4 received 10 µL of LPS (orange bars) but showed minimal ROS levels (~1.1 AU, blue bars), hinting at possible receptor saturation or feedback </w:t>
      </w:r>
      <w:r w:rsidR="004147AF" w:rsidRPr="0034438E">
        <w:rPr>
          <w:rFonts w:ascii="Times New Roman" w:hAnsi="Times New Roman" w:cs="Times New Roman"/>
          <w:i/>
          <w:iCs/>
          <w:sz w:val="20"/>
          <w:szCs w:val="20"/>
          <w:lang w:val="en-IN"/>
        </w:rPr>
        <w:t>inhibition. These</w:t>
      </w:r>
      <w:r w:rsidRPr="0034438E">
        <w:rPr>
          <w:rFonts w:ascii="Times New Roman" w:hAnsi="Times New Roman" w:cs="Times New Roman"/>
          <w:i/>
          <w:iCs/>
          <w:sz w:val="20"/>
          <w:szCs w:val="20"/>
          <w:lang w:val="en-IN"/>
        </w:rPr>
        <w:t xml:space="preserve"> results highlight that LPS-induced ROS production isn’t strictly dose-dependent. Other factors</w:t>
      </w:r>
      <w:r w:rsidRPr="00DA617A">
        <w:rPr>
          <w:rFonts w:ascii="Times New Roman" w:hAnsi="Times New Roman" w:cs="Times New Roman"/>
          <w:i/>
          <w:iCs/>
          <w:sz w:val="20"/>
          <w:szCs w:val="20"/>
          <w:lang w:val="en-IN"/>
        </w:rPr>
        <w:t xml:space="preserve"> </w:t>
      </w:r>
      <w:r w:rsidRPr="0034438E">
        <w:rPr>
          <w:rFonts w:ascii="Times New Roman" w:hAnsi="Times New Roman" w:cs="Times New Roman"/>
          <w:i/>
          <w:iCs/>
          <w:sz w:val="20"/>
          <w:szCs w:val="20"/>
          <w:lang w:val="en-IN"/>
        </w:rPr>
        <w:t>like timing, sensitization, or cell conditions</w:t>
      </w:r>
      <w:r w:rsidRPr="00DA617A">
        <w:rPr>
          <w:rFonts w:ascii="Times New Roman" w:hAnsi="Times New Roman" w:cs="Times New Roman"/>
          <w:i/>
          <w:iCs/>
          <w:sz w:val="20"/>
          <w:szCs w:val="20"/>
          <w:lang w:val="en-IN"/>
        </w:rPr>
        <w:t xml:space="preserve"> </w:t>
      </w:r>
      <w:r w:rsidRPr="0034438E">
        <w:rPr>
          <w:rFonts w:ascii="Times New Roman" w:hAnsi="Times New Roman" w:cs="Times New Roman"/>
          <w:i/>
          <w:iCs/>
          <w:sz w:val="20"/>
          <w:szCs w:val="20"/>
          <w:lang w:val="en-IN"/>
        </w:rPr>
        <w:t>may regulate the oxidative response.</w:t>
      </w:r>
    </w:p>
    <w:p w14:paraId="26012497" w14:textId="77777777" w:rsidR="00DA617A" w:rsidRPr="00DA617A" w:rsidRDefault="00DA617A" w:rsidP="00B07F00">
      <w:pPr>
        <w:pStyle w:val="BodyText"/>
        <w:spacing w:before="0" w:after="0" w:line="360" w:lineRule="auto"/>
        <w:jc w:val="center"/>
        <w:rPr>
          <w:rFonts w:ascii="Times New Roman" w:hAnsi="Times New Roman" w:cs="Times New Roman"/>
          <w:i/>
          <w:iCs/>
          <w:sz w:val="20"/>
          <w:szCs w:val="20"/>
          <w:lang w:val="en-IN"/>
        </w:rPr>
      </w:pPr>
    </w:p>
    <w:p w14:paraId="2C4B2B78" w14:textId="0289F41A"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4.4 ELISA for Protein Expression ELISA</w:t>
      </w:r>
    </w:p>
    <w:p w14:paraId="2BC60681" w14:textId="26C9F649" w:rsidR="00DA617A" w:rsidRPr="0001461F" w:rsidRDefault="0006079F" w:rsidP="0001461F">
      <w:pPr>
        <w:pStyle w:val="BodyText"/>
        <w:spacing w:line="360" w:lineRule="auto"/>
        <w:jc w:val="both"/>
        <w:rPr>
          <w:rFonts w:ascii="Times New Roman" w:hAnsi="Times New Roman" w:cs="Times New Roman"/>
        </w:rPr>
      </w:pPr>
      <w:r w:rsidRPr="00BF41E4">
        <w:rPr>
          <w:rFonts w:ascii="Times New Roman" w:hAnsi="Times New Roman" w:cs="Times New Roman"/>
        </w:rPr>
        <w:t>R</w:t>
      </w:r>
      <w:r w:rsidR="00DE07D0" w:rsidRPr="00BF41E4">
        <w:rPr>
          <w:rFonts w:ascii="Times New Roman" w:hAnsi="Times New Roman" w:cs="Times New Roman"/>
        </w:rPr>
        <w:t>esults revealed a mild upregulation of BCR-ABL in AgNP-treated K562 cells compared to untreated controls. In PBMCs, CD69 expression was notably downregulated following AgNP exposure, indicating altered immune activation</w:t>
      </w:r>
      <w:r w:rsidR="0034438E" w:rsidRPr="00BF41E4">
        <w:rPr>
          <w:rFonts w:ascii="Times New Roman" w:hAnsi="Times New Roman" w:cs="Times New Roman"/>
        </w:rPr>
        <w:t>.</w:t>
      </w:r>
    </w:p>
    <w:p w14:paraId="286AC71F" w14:textId="77777777" w:rsidR="009474BB" w:rsidRDefault="009474BB" w:rsidP="00D629D6">
      <w:pPr>
        <w:pStyle w:val="BodyText"/>
        <w:spacing w:line="360" w:lineRule="auto"/>
        <w:rPr>
          <w:rFonts w:ascii="Times New Roman" w:hAnsi="Times New Roman" w:cs="Times New Roman"/>
          <w:b/>
          <w:bCs/>
          <w:sz w:val="20"/>
          <w:szCs w:val="20"/>
        </w:rPr>
      </w:pPr>
    </w:p>
    <w:p w14:paraId="36A1A8EE" w14:textId="77777777" w:rsidR="00D629D6" w:rsidRDefault="00D629D6" w:rsidP="00D629D6">
      <w:pPr>
        <w:pStyle w:val="BodyText"/>
        <w:spacing w:line="360" w:lineRule="auto"/>
        <w:rPr>
          <w:rFonts w:ascii="Times New Roman" w:hAnsi="Times New Roman" w:cs="Times New Roman"/>
          <w:b/>
          <w:bCs/>
          <w:sz w:val="20"/>
          <w:szCs w:val="20"/>
        </w:rPr>
      </w:pPr>
    </w:p>
    <w:p w14:paraId="442004D6" w14:textId="77777777" w:rsidR="00D629D6" w:rsidRDefault="00D629D6" w:rsidP="00D629D6">
      <w:pPr>
        <w:pStyle w:val="BodyText"/>
        <w:spacing w:line="360" w:lineRule="auto"/>
        <w:rPr>
          <w:rFonts w:ascii="Times New Roman" w:hAnsi="Times New Roman" w:cs="Times New Roman"/>
          <w:b/>
          <w:bCs/>
          <w:sz w:val="20"/>
          <w:szCs w:val="20"/>
        </w:rPr>
      </w:pPr>
    </w:p>
    <w:p w14:paraId="411D2C6C" w14:textId="77777777" w:rsidR="00D629D6" w:rsidRDefault="00D629D6" w:rsidP="00D629D6">
      <w:pPr>
        <w:pStyle w:val="BodyText"/>
        <w:spacing w:line="360" w:lineRule="auto"/>
        <w:rPr>
          <w:rFonts w:ascii="Times New Roman" w:hAnsi="Times New Roman" w:cs="Times New Roman"/>
          <w:b/>
          <w:bCs/>
          <w:sz w:val="20"/>
          <w:szCs w:val="20"/>
        </w:rPr>
      </w:pPr>
    </w:p>
    <w:p w14:paraId="091BCC9A" w14:textId="77777777" w:rsidR="00E83F1C" w:rsidRDefault="00E83F1C" w:rsidP="00B07F00">
      <w:pPr>
        <w:pStyle w:val="BodyText"/>
        <w:spacing w:line="360" w:lineRule="auto"/>
        <w:jc w:val="center"/>
        <w:rPr>
          <w:rFonts w:ascii="Times New Roman" w:hAnsi="Times New Roman" w:cs="Times New Roman"/>
          <w:b/>
          <w:bCs/>
          <w:sz w:val="20"/>
          <w:szCs w:val="20"/>
        </w:rPr>
      </w:pPr>
    </w:p>
    <w:p w14:paraId="04400D17" w14:textId="77777777" w:rsidR="00333193" w:rsidRDefault="00333193" w:rsidP="00B07F00">
      <w:pPr>
        <w:pStyle w:val="BodyText"/>
        <w:spacing w:line="360" w:lineRule="auto"/>
        <w:jc w:val="center"/>
        <w:rPr>
          <w:rFonts w:ascii="Times New Roman" w:hAnsi="Times New Roman" w:cs="Times New Roman"/>
          <w:b/>
          <w:bCs/>
          <w:sz w:val="20"/>
          <w:szCs w:val="20"/>
        </w:rPr>
      </w:pPr>
    </w:p>
    <w:p w14:paraId="57DC67BE" w14:textId="2AAA6E17" w:rsidR="00723223" w:rsidRPr="00DA617A" w:rsidRDefault="005C330D" w:rsidP="00B07F00">
      <w:pPr>
        <w:pStyle w:val="BodyText"/>
        <w:spacing w:line="360" w:lineRule="auto"/>
        <w:jc w:val="center"/>
        <w:rPr>
          <w:rFonts w:ascii="Times New Roman" w:hAnsi="Times New Roman" w:cs="Times New Roman"/>
          <w:b/>
          <w:bCs/>
          <w:sz w:val="20"/>
          <w:szCs w:val="20"/>
        </w:rPr>
      </w:pPr>
      <w:r w:rsidRPr="005C330D">
        <w:rPr>
          <w:rFonts w:ascii="Times New Roman" w:hAnsi="Times New Roman" w:cs="Times New Roman"/>
          <w:b/>
          <w:bCs/>
          <w:sz w:val="20"/>
          <w:szCs w:val="20"/>
        </w:rPr>
        <w:lastRenderedPageBreak/>
        <w:t>Table 3. Mean expression levels of BCR-ABL and CD69 in control and AgNP-treated groups</w:t>
      </w:r>
    </w:p>
    <w:tbl>
      <w:tblPr>
        <w:tblStyle w:val="PlainTable3"/>
        <w:tblpPr w:leftFromText="180" w:rightFromText="180" w:vertAnchor="page" w:horzAnchor="margin" w:tblpY="2015"/>
        <w:tblW w:w="9403" w:type="dxa"/>
        <w:tblLook w:val="04A0" w:firstRow="1" w:lastRow="0" w:firstColumn="1" w:lastColumn="0" w:noHBand="0" w:noVBand="1"/>
      </w:tblPr>
      <w:tblGrid>
        <w:gridCol w:w="3570"/>
        <w:gridCol w:w="1628"/>
        <w:gridCol w:w="1843"/>
        <w:gridCol w:w="2362"/>
      </w:tblGrid>
      <w:tr w:rsidR="0001461F" w:rsidRPr="00DA617A" w14:paraId="5056167B" w14:textId="77777777" w:rsidTr="0001461F">
        <w:trPr>
          <w:cnfStyle w:val="100000000000" w:firstRow="1" w:lastRow="0" w:firstColumn="0" w:lastColumn="0" w:oddVBand="0" w:evenVBand="0" w:oddHBand="0" w:evenHBand="0" w:firstRowFirstColumn="0" w:firstRowLastColumn="0" w:lastRowFirstColumn="0" w:lastRowLastColumn="0"/>
          <w:trHeight w:val="491"/>
        </w:trPr>
        <w:tc>
          <w:tcPr>
            <w:cnfStyle w:val="001000000100" w:firstRow="0" w:lastRow="0" w:firstColumn="1" w:lastColumn="0" w:oddVBand="0" w:evenVBand="0" w:oddHBand="0" w:evenHBand="0" w:firstRowFirstColumn="1" w:firstRowLastColumn="0" w:lastRowFirstColumn="0" w:lastRowLastColumn="0"/>
            <w:tcW w:w="0" w:type="auto"/>
            <w:hideMark/>
          </w:tcPr>
          <w:p w14:paraId="32F0A9C5"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Parameter</w:t>
            </w:r>
          </w:p>
        </w:tc>
        <w:tc>
          <w:tcPr>
            <w:tcW w:w="0" w:type="auto"/>
            <w:hideMark/>
          </w:tcPr>
          <w:p w14:paraId="55ADC049"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Group</w:t>
            </w:r>
          </w:p>
        </w:tc>
        <w:tc>
          <w:tcPr>
            <w:tcW w:w="0" w:type="auto"/>
            <w:hideMark/>
          </w:tcPr>
          <w:p w14:paraId="05B68292"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Mean Value</w:t>
            </w:r>
          </w:p>
        </w:tc>
        <w:tc>
          <w:tcPr>
            <w:tcW w:w="0" w:type="auto"/>
            <w:hideMark/>
          </w:tcPr>
          <w:p w14:paraId="45BBCA8B" w14:textId="77777777" w:rsidR="00BF41E4" w:rsidRPr="00DA617A" w:rsidRDefault="00BF41E4" w:rsidP="0001461F">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Unit</w:t>
            </w:r>
          </w:p>
        </w:tc>
      </w:tr>
      <w:tr w:rsidR="0001461F" w:rsidRPr="00DA617A" w14:paraId="62D40D4F" w14:textId="77777777" w:rsidTr="0001461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hideMark/>
          </w:tcPr>
          <w:p w14:paraId="11A93A50"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BCR-ABL Expression</w:t>
            </w:r>
          </w:p>
        </w:tc>
        <w:tc>
          <w:tcPr>
            <w:tcW w:w="0" w:type="auto"/>
            <w:hideMark/>
          </w:tcPr>
          <w:p w14:paraId="242EC96F"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Control</w:t>
            </w:r>
          </w:p>
        </w:tc>
        <w:tc>
          <w:tcPr>
            <w:tcW w:w="0" w:type="auto"/>
            <w:hideMark/>
          </w:tcPr>
          <w:p w14:paraId="31F26DE8"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0.28</w:t>
            </w:r>
          </w:p>
        </w:tc>
        <w:tc>
          <w:tcPr>
            <w:tcW w:w="0" w:type="auto"/>
            <w:hideMark/>
          </w:tcPr>
          <w:p w14:paraId="3C6F3B2B"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Absorbance at 450 nm</w:t>
            </w:r>
          </w:p>
          <w:p w14:paraId="123DAAF4"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01461F" w:rsidRPr="00DA617A" w14:paraId="4670CA19" w14:textId="77777777" w:rsidTr="0001461F">
        <w:trPr>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7C0F7227" w14:textId="77777777" w:rsidR="00BF41E4" w:rsidRPr="00DA617A" w:rsidRDefault="00BF41E4" w:rsidP="0001461F">
            <w:pPr>
              <w:spacing w:after="200" w:line="360" w:lineRule="auto"/>
              <w:jc w:val="both"/>
              <w:rPr>
                <w:rFonts w:ascii="Times New Roman" w:hAnsi="Times New Roman" w:cs="Times New Roman"/>
                <w:sz w:val="20"/>
                <w:szCs w:val="20"/>
                <w:lang w:val="en-IN"/>
              </w:rPr>
            </w:pPr>
          </w:p>
        </w:tc>
        <w:tc>
          <w:tcPr>
            <w:tcW w:w="0" w:type="auto"/>
            <w:hideMark/>
          </w:tcPr>
          <w:p w14:paraId="779B35EE"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AgNP-Treated</w:t>
            </w:r>
          </w:p>
        </w:tc>
        <w:tc>
          <w:tcPr>
            <w:tcW w:w="0" w:type="auto"/>
            <w:hideMark/>
          </w:tcPr>
          <w:p w14:paraId="1870DDBB"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0.39</w:t>
            </w:r>
          </w:p>
        </w:tc>
        <w:tc>
          <w:tcPr>
            <w:tcW w:w="0" w:type="auto"/>
            <w:hideMark/>
          </w:tcPr>
          <w:p w14:paraId="3CF7028F"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Absorbance at 450 nm</w:t>
            </w:r>
          </w:p>
          <w:p w14:paraId="6B2A078E"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p>
        </w:tc>
      </w:tr>
      <w:tr w:rsidR="0001461F" w:rsidRPr="00DA617A" w14:paraId="3CAB4F1C" w14:textId="77777777" w:rsidTr="0001461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hideMark/>
          </w:tcPr>
          <w:p w14:paraId="7005F021" w14:textId="77777777" w:rsidR="00BF41E4" w:rsidRPr="00DA617A" w:rsidRDefault="00BF41E4" w:rsidP="0001461F">
            <w:pPr>
              <w:spacing w:after="200" w:line="360" w:lineRule="auto"/>
              <w:jc w:val="both"/>
              <w:rPr>
                <w:rFonts w:ascii="Times New Roman" w:hAnsi="Times New Roman" w:cs="Times New Roman"/>
                <w:sz w:val="20"/>
                <w:szCs w:val="20"/>
                <w:lang w:val="en-IN"/>
              </w:rPr>
            </w:pPr>
            <w:r w:rsidRPr="00DA617A">
              <w:rPr>
                <w:rFonts w:ascii="Times New Roman" w:hAnsi="Times New Roman" w:cs="Times New Roman"/>
                <w:sz w:val="20"/>
                <w:szCs w:val="20"/>
                <w:lang w:val="en-IN"/>
              </w:rPr>
              <w:t>CD69 Expression in PBMCs</w:t>
            </w:r>
          </w:p>
        </w:tc>
        <w:tc>
          <w:tcPr>
            <w:tcW w:w="0" w:type="auto"/>
            <w:hideMark/>
          </w:tcPr>
          <w:p w14:paraId="2EDA1408"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Control</w:t>
            </w:r>
          </w:p>
        </w:tc>
        <w:tc>
          <w:tcPr>
            <w:tcW w:w="0" w:type="auto"/>
            <w:hideMark/>
          </w:tcPr>
          <w:p w14:paraId="7F3F3C10"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18.0</w:t>
            </w:r>
          </w:p>
        </w:tc>
        <w:tc>
          <w:tcPr>
            <w:tcW w:w="0" w:type="auto"/>
            <w:hideMark/>
          </w:tcPr>
          <w:p w14:paraId="37F024C1"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µg/mL</w:t>
            </w:r>
          </w:p>
          <w:p w14:paraId="12BECC2B" w14:textId="77777777" w:rsidR="00BF41E4" w:rsidRPr="00DA617A" w:rsidRDefault="00BF41E4" w:rsidP="0001461F">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01461F" w:rsidRPr="00DA617A" w14:paraId="639610A5" w14:textId="77777777" w:rsidTr="0001461F">
        <w:trPr>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1306B593" w14:textId="77777777" w:rsidR="00BF41E4" w:rsidRPr="00DA617A" w:rsidRDefault="00BF41E4" w:rsidP="0001461F">
            <w:pPr>
              <w:spacing w:after="200" w:line="360" w:lineRule="auto"/>
              <w:jc w:val="both"/>
              <w:rPr>
                <w:rFonts w:ascii="Times New Roman" w:hAnsi="Times New Roman" w:cs="Times New Roman"/>
                <w:sz w:val="20"/>
                <w:szCs w:val="20"/>
                <w:lang w:val="en-IN"/>
              </w:rPr>
            </w:pPr>
          </w:p>
        </w:tc>
        <w:tc>
          <w:tcPr>
            <w:tcW w:w="0" w:type="auto"/>
            <w:hideMark/>
          </w:tcPr>
          <w:p w14:paraId="03707810"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AgNP-Treated</w:t>
            </w:r>
          </w:p>
        </w:tc>
        <w:tc>
          <w:tcPr>
            <w:tcW w:w="0" w:type="auto"/>
            <w:hideMark/>
          </w:tcPr>
          <w:p w14:paraId="0CBA9F02"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0.6</w:t>
            </w:r>
          </w:p>
        </w:tc>
        <w:tc>
          <w:tcPr>
            <w:tcW w:w="0" w:type="auto"/>
            <w:hideMark/>
          </w:tcPr>
          <w:p w14:paraId="6E72D51C"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DA617A">
              <w:rPr>
                <w:rFonts w:ascii="Times New Roman" w:hAnsi="Times New Roman" w:cs="Times New Roman"/>
                <w:sz w:val="20"/>
                <w:szCs w:val="20"/>
                <w:lang w:val="en-IN"/>
              </w:rPr>
              <w:t>µg/mL</w:t>
            </w:r>
          </w:p>
          <w:p w14:paraId="466674A7" w14:textId="77777777" w:rsidR="00BF41E4" w:rsidRPr="00DA617A" w:rsidRDefault="00BF41E4" w:rsidP="0001461F">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p>
        </w:tc>
      </w:tr>
    </w:tbl>
    <w:p w14:paraId="6111A2FC" w14:textId="77777777" w:rsidR="00BF41E4" w:rsidRDefault="00BF41E4" w:rsidP="00B07F00">
      <w:pPr>
        <w:pStyle w:val="BodyText"/>
        <w:spacing w:before="0" w:after="0" w:line="360" w:lineRule="auto"/>
        <w:rPr>
          <w:rFonts w:ascii="Times New Roman" w:hAnsi="Times New Roman" w:cs="Times New Roman"/>
          <w:sz w:val="20"/>
          <w:szCs w:val="20"/>
          <w:lang w:val="en-IN"/>
        </w:rPr>
      </w:pPr>
    </w:p>
    <w:p w14:paraId="19F14CD1" w14:textId="278F8B1C" w:rsidR="00C91AC8" w:rsidRPr="00C91AC8" w:rsidRDefault="00C91AC8" w:rsidP="00B07F00">
      <w:pPr>
        <w:pStyle w:val="BodyText"/>
        <w:spacing w:before="0" w:after="0" w:line="360" w:lineRule="auto"/>
        <w:rPr>
          <w:rFonts w:ascii="Times New Roman" w:hAnsi="Times New Roman" w:cs="Times New Roman"/>
          <w:b/>
          <w:bCs/>
          <w:sz w:val="20"/>
          <w:szCs w:val="20"/>
          <w:lang w:val="en-IN"/>
        </w:rPr>
      </w:pPr>
      <w:r w:rsidRPr="00C91AC8">
        <w:rPr>
          <w:rFonts w:ascii="Times New Roman" w:hAnsi="Times New Roman" w:cs="Times New Roman"/>
          <w:sz w:val="20"/>
          <w:szCs w:val="20"/>
          <w:lang w:val="en-IN"/>
        </w:rPr>
        <w:t xml:space="preserve">Table 3 presents the mean expression levels of BCR-ABL in K562 cells and CD69 in PBMCs under control and treated conditions. BCR-ABL absorbance increased from 0.28 (control) to 0.39 in the drug-treated group, indicating mild upregulation of the fusion gene upon </w:t>
      </w:r>
      <w:r w:rsidR="004147AF" w:rsidRPr="00C91AC8">
        <w:rPr>
          <w:rFonts w:ascii="Times New Roman" w:hAnsi="Times New Roman" w:cs="Times New Roman"/>
          <w:sz w:val="20"/>
          <w:szCs w:val="20"/>
          <w:lang w:val="en-IN"/>
        </w:rPr>
        <w:t>treatment. In</w:t>
      </w:r>
      <w:r w:rsidRPr="00C91AC8">
        <w:rPr>
          <w:rFonts w:ascii="Times New Roman" w:hAnsi="Times New Roman" w:cs="Times New Roman"/>
          <w:sz w:val="20"/>
          <w:szCs w:val="20"/>
          <w:lang w:val="en-IN"/>
        </w:rPr>
        <w:t xml:space="preserve"> PBMCs, CD69 levels dropped significantly from 18.0 µg/mL in controls to 0.6 µg/mL following AgNP exposure, suggesting potent immunosuppressive or anti-inflammatory effects. These findings support the potential role of AgNPs in modulating key molecular markers involved in inflammation and leukemia progression.</w:t>
      </w:r>
    </w:p>
    <w:p w14:paraId="16979714" w14:textId="2F98EA3E" w:rsidR="00BC718E" w:rsidRPr="000B61C2" w:rsidRDefault="00930234"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drawing>
          <wp:anchor distT="0" distB="0" distL="114300" distR="114300" simplePos="0" relativeHeight="251695616" behindDoc="0" locked="0" layoutInCell="1" allowOverlap="1" wp14:anchorId="65F3797D" wp14:editId="35D2B534">
            <wp:simplePos x="0" y="0"/>
            <wp:positionH relativeFrom="column">
              <wp:posOffset>692150</wp:posOffset>
            </wp:positionH>
            <wp:positionV relativeFrom="paragraph">
              <wp:posOffset>297180</wp:posOffset>
            </wp:positionV>
            <wp:extent cx="4406900" cy="2659380"/>
            <wp:effectExtent l="0" t="0" r="0" b="7620"/>
            <wp:wrapSquare wrapText="bothSides"/>
            <wp:docPr id="1231628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6900" cy="265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80DEB" w14:textId="5CDD447A" w:rsidR="002E6168" w:rsidRPr="000B61C2" w:rsidRDefault="002E6168" w:rsidP="00B07F00">
      <w:pPr>
        <w:pStyle w:val="BodyText"/>
        <w:spacing w:line="360" w:lineRule="auto"/>
        <w:jc w:val="both"/>
        <w:rPr>
          <w:rFonts w:ascii="Times New Roman" w:hAnsi="Times New Roman" w:cs="Times New Roman"/>
          <w:b/>
          <w:bCs/>
          <w:lang w:val="en-IN"/>
        </w:rPr>
      </w:pPr>
    </w:p>
    <w:p w14:paraId="4F358EAE"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C45E8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B2DD01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902FC0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73AE286"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2CD6B06"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36C397CC"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EA3088F" w14:textId="77777777" w:rsidR="00930234" w:rsidRDefault="00930234" w:rsidP="00930234">
      <w:pPr>
        <w:pStyle w:val="BodyText"/>
        <w:spacing w:before="0" w:after="0" w:line="360" w:lineRule="auto"/>
        <w:rPr>
          <w:rFonts w:ascii="Times New Roman" w:hAnsi="Times New Roman" w:cs="Times New Roman"/>
          <w:b/>
          <w:bCs/>
          <w:sz w:val="20"/>
          <w:szCs w:val="20"/>
          <w:lang w:val="en-IN"/>
        </w:rPr>
      </w:pPr>
    </w:p>
    <w:p w14:paraId="56368376" w14:textId="77777777" w:rsidR="00930234" w:rsidRDefault="00930234" w:rsidP="00930234">
      <w:pPr>
        <w:pStyle w:val="BodyText"/>
        <w:spacing w:before="0" w:after="0" w:line="360" w:lineRule="auto"/>
        <w:jc w:val="center"/>
        <w:rPr>
          <w:rFonts w:ascii="Times New Roman" w:hAnsi="Times New Roman" w:cs="Times New Roman"/>
          <w:b/>
          <w:bCs/>
          <w:sz w:val="20"/>
          <w:szCs w:val="20"/>
          <w:lang w:val="en-IN"/>
        </w:rPr>
      </w:pPr>
    </w:p>
    <w:p w14:paraId="2D5A2D3E" w14:textId="77777777" w:rsidR="00930234" w:rsidRDefault="00930234" w:rsidP="00930234">
      <w:pPr>
        <w:pStyle w:val="BodyText"/>
        <w:spacing w:before="0" w:after="0" w:line="360" w:lineRule="auto"/>
        <w:jc w:val="center"/>
        <w:rPr>
          <w:rFonts w:ascii="Times New Roman" w:hAnsi="Times New Roman" w:cs="Times New Roman"/>
          <w:b/>
          <w:bCs/>
          <w:sz w:val="20"/>
          <w:szCs w:val="20"/>
          <w:lang w:val="en-IN"/>
        </w:rPr>
      </w:pPr>
    </w:p>
    <w:p w14:paraId="1016F921" w14:textId="77777777" w:rsidR="00333193" w:rsidRPr="00333193" w:rsidRDefault="00333193" w:rsidP="00A60707">
      <w:pPr>
        <w:pStyle w:val="BodyText"/>
        <w:spacing w:before="0" w:after="0" w:line="360" w:lineRule="auto"/>
        <w:jc w:val="center"/>
        <w:rPr>
          <w:rFonts w:ascii="Times New Roman" w:hAnsi="Times New Roman" w:cs="Times New Roman"/>
          <w:b/>
          <w:bCs/>
          <w:sz w:val="20"/>
          <w:szCs w:val="20"/>
        </w:rPr>
      </w:pPr>
      <w:bookmarkStart w:id="7" w:name="_Hlk205457132"/>
      <w:r w:rsidRPr="00333193">
        <w:rPr>
          <w:rFonts w:ascii="Times New Roman" w:hAnsi="Times New Roman" w:cs="Times New Roman"/>
          <w:b/>
          <w:bCs/>
          <w:sz w:val="20"/>
          <w:szCs w:val="20"/>
        </w:rPr>
        <w:t>Fig. 7. BCR-ABL protein expression in K562 cells, measured by ELISA.</w:t>
      </w:r>
    </w:p>
    <w:bookmarkEnd w:id="7"/>
    <w:p w14:paraId="2C974B08" w14:textId="47AE9856" w:rsidR="00A60707" w:rsidRPr="00A60707" w:rsidRDefault="00A60707" w:rsidP="00A60707">
      <w:pPr>
        <w:pStyle w:val="BodyText"/>
        <w:spacing w:before="0" w:after="0" w:line="360" w:lineRule="auto"/>
        <w:jc w:val="center"/>
        <w:rPr>
          <w:rFonts w:ascii="Times New Roman" w:hAnsi="Times New Roman" w:cs="Times New Roman"/>
          <w:i/>
          <w:iCs/>
          <w:sz w:val="20"/>
          <w:szCs w:val="20"/>
          <w:lang w:val="en-IN"/>
        </w:rPr>
      </w:pPr>
      <w:r w:rsidRPr="00A60707">
        <w:rPr>
          <w:rFonts w:ascii="Times New Roman" w:hAnsi="Times New Roman" w:cs="Times New Roman"/>
          <w:i/>
          <w:iCs/>
          <w:sz w:val="20"/>
          <w:szCs w:val="20"/>
          <w:lang w:val="en-IN"/>
        </w:rPr>
        <w:t>BCR-ABL expression was quantified by ELISA at 450 nm. The blue bars represent the mean absorbance, while the orange bars indicate the standard deviation (SD). The drug-treated group showed a slightly higher mean absorbance (0.29) compared to the control group (0.28), with minimal variation in both groups. Despite the small numerical difference, statistical analysis revealed a significant increase (p = 0.03), suggesting that the drug induced a modest but statistically meaningful upregulation of BCR-ABL expression in K562 cells.</w:t>
      </w:r>
    </w:p>
    <w:p w14:paraId="3ACA7208" w14:textId="77777777" w:rsidR="0001461F" w:rsidRDefault="0001461F" w:rsidP="00930234">
      <w:pPr>
        <w:pStyle w:val="BodyText"/>
        <w:spacing w:before="0" w:after="0" w:line="360" w:lineRule="auto"/>
        <w:rPr>
          <w:rFonts w:ascii="Times New Roman" w:hAnsi="Times New Roman" w:cs="Times New Roman"/>
          <w:b/>
          <w:bCs/>
          <w:sz w:val="20"/>
          <w:szCs w:val="20"/>
        </w:rPr>
      </w:pPr>
    </w:p>
    <w:p w14:paraId="184D3B38" w14:textId="3BC00092" w:rsidR="00BC718E" w:rsidRPr="000B61C2" w:rsidRDefault="009474BB"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lastRenderedPageBreak/>
        <w:drawing>
          <wp:anchor distT="0" distB="0" distL="114300" distR="114300" simplePos="0" relativeHeight="251666944" behindDoc="0" locked="0" layoutInCell="1" allowOverlap="1" wp14:anchorId="700A6041" wp14:editId="4A743848">
            <wp:simplePos x="0" y="0"/>
            <wp:positionH relativeFrom="column">
              <wp:posOffset>343492</wp:posOffset>
            </wp:positionH>
            <wp:positionV relativeFrom="paragraph">
              <wp:posOffset>-167</wp:posOffset>
            </wp:positionV>
            <wp:extent cx="5222240" cy="3115945"/>
            <wp:effectExtent l="0" t="0" r="0" b="8255"/>
            <wp:wrapSquare wrapText="bothSides"/>
            <wp:docPr id="1384816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240" cy="311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B7FC7" w14:textId="756A5E5B" w:rsidR="00BC718E" w:rsidRPr="000B61C2" w:rsidRDefault="00BC718E" w:rsidP="00B07F00">
      <w:pPr>
        <w:pStyle w:val="BodyText"/>
        <w:spacing w:line="360" w:lineRule="auto"/>
        <w:jc w:val="both"/>
        <w:rPr>
          <w:rFonts w:ascii="Times New Roman" w:hAnsi="Times New Roman" w:cs="Times New Roman"/>
          <w:b/>
          <w:bCs/>
        </w:rPr>
      </w:pPr>
    </w:p>
    <w:p w14:paraId="60AF0C1F" w14:textId="75077FD5" w:rsidR="00364F75" w:rsidRPr="000B61C2" w:rsidRDefault="00364F75" w:rsidP="00B07F00">
      <w:pPr>
        <w:pStyle w:val="BodyText"/>
        <w:spacing w:line="360" w:lineRule="auto"/>
        <w:jc w:val="both"/>
        <w:rPr>
          <w:rFonts w:ascii="Times New Roman" w:hAnsi="Times New Roman" w:cs="Times New Roman"/>
          <w:b/>
          <w:bCs/>
        </w:rPr>
      </w:pPr>
    </w:p>
    <w:p w14:paraId="10700F6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8C42DC8"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D48CDC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51C8C3B"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EA26D0"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0E9BEC2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D6E6C09"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616477"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F3D84F"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A0EDD54"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14310CF" w14:textId="77777777" w:rsidR="00333193" w:rsidRPr="00333193" w:rsidRDefault="00333193" w:rsidP="00930234">
      <w:pPr>
        <w:pStyle w:val="BodyText"/>
        <w:spacing w:before="0" w:after="0" w:line="360" w:lineRule="auto"/>
        <w:jc w:val="center"/>
        <w:rPr>
          <w:rFonts w:ascii="Times New Roman" w:hAnsi="Times New Roman" w:cs="Times New Roman"/>
          <w:b/>
          <w:bCs/>
          <w:sz w:val="20"/>
          <w:szCs w:val="20"/>
        </w:rPr>
      </w:pPr>
      <w:bookmarkStart w:id="8" w:name="_Hlk205457146"/>
      <w:r w:rsidRPr="00333193">
        <w:rPr>
          <w:rFonts w:ascii="Times New Roman" w:hAnsi="Times New Roman" w:cs="Times New Roman"/>
          <w:b/>
          <w:bCs/>
          <w:sz w:val="20"/>
          <w:szCs w:val="20"/>
        </w:rPr>
        <w:t>Fig. 8. CD69 expression in PBMCs following AgNP exposure.</w:t>
      </w:r>
    </w:p>
    <w:bookmarkEnd w:id="8"/>
    <w:p w14:paraId="2835B9CA" w14:textId="27660E65" w:rsidR="00930234" w:rsidRPr="00930234" w:rsidRDefault="00930234" w:rsidP="00930234">
      <w:pPr>
        <w:pStyle w:val="BodyText"/>
        <w:spacing w:before="0" w:after="0" w:line="360" w:lineRule="auto"/>
        <w:jc w:val="center"/>
        <w:rPr>
          <w:rFonts w:ascii="Times New Roman" w:hAnsi="Times New Roman" w:cs="Times New Roman"/>
          <w:i/>
          <w:iCs/>
          <w:sz w:val="20"/>
          <w:szCs w:val="20"/>
          <w:lang w:val="en-IN"/>
        </w:rPr>
      </w:pPr>
      <w:r w:rsidRPr="00930234">
        <w:rPr>
          <w:rFonts w:ascii="Times New Roman" w:hAnsi="Times New Roman" w:cs="Times New Roman"/>
          <w:i/>
          <w:iCs/>
          <w:sz w:val="20"/>
          <w:szCs w:val="20"/>
          <w:lang w:val="en-IN"/>
        </w:rPr>
        <w:t xml:space="preserve">CD69 concentrations were significantly lower in AgNP-treated PBMCs (~0.6 µg/mL) compared to untreated controls (~18 µg/mL), as measured by ELISA. This ~30-fold decrease indicates substantial downregulation of this early T-cell activation marker. The marked suppression suggests a potential immunomodulatory effect of AgNPs, possibly mediated through inhibition of </w:t>
      </w:r>
      <w:r w:rsidR="00103CE8" w:rsidRPr="00930234">
        <w:rPr>
          <w:rFonts w:ascii="Times New Roman" w:hAnsi="Times New Roman" w:cs="Times New Roman"/>
          <w:i/>
          <w:iCs/>
          <w:sz w:val="20"/>
          <w:szCs w:val="20"/>
          <w:lang w:val="en-IN"/>
        </w:rPr>
        <w:t>signalling</w:t>
      </w:r>
      <w:r w:rsidRPr="00930234">
        <w:rPr>
          <w:rFonts w:ascii="Times New Roman" w:hAnsi="Times New Roman" w:cs="Times New Roman"/>
          <w:i/>
          <w:iCs/>
          <w:sz w:val="20"/>
          <w:szCs w:val="20"/>
          <w:lang w:val="en-IN"/>
        </w:rPr>
        <w:t xml:space="preserve"> pathways involved in immune cell priming and activation. These results highlight the capacity of AgNPs to dampen immune responses, which may be relevant in the context of autoimmune or inflammatory diseases such as rheumatoid arthritis.</w:t>
      </w:r>
    </w:p>
    <w:p w14:paraId="4E6C2BCF" w14:textId="77777777" w:rsidR="0034438E" w:rsidRPr="00DA617A" w:rsidRDefault="0034438E" w:rsidP="00B07F00">
      <w:pPr>
        <w:pStyle w:val="BodyText"/>
        <w:spacing w:before="0" w:after="0" w:line="360" w:lineRule="auto"/>
        <w:jc w:val="center"/>
        <w:rPr>
          <w:rFonts w:ascii="Times New Roman" w:hAnsi="Times New Roman" w:cs="Times New Roman"/>
          <w:i/>
          <w:iCs/>
          <w:sz w:val="20"/>
          <w:szCs w:val="20"/>
        </w:rPr>
      </w:pPr>
    </w:p>
    <w:p w14:paraId="2B711A04" w14:textId="77777777" w:rsidR="004147AF" w:rsidRDefault="004147AF" w:rsidP="00B07F00">
      <w:pPr>
        <w:pStyle w:val="BodyText"/>
        <w:spacing w:line="360" w:lineRule="auto"/>
        <w:jc w:val="both"/>
        <w:rPr>
          <w:rFonts w:ascii="Times New Roman" w:hAnsi="Times New Roman" w:cs="Times New Roman"/>
          <w:b/>
          <w:bCs/>
          <w:sz w:val="20"/>
          <w:szCs w:val="20"/>
        </w:rPr>
      </w:pPr>
    </w:p>
    <w:p w14:paraId="6B4696E1" w14:textId="77777777" w:rsidR="004147AF" w:rsidRDefault="004147AF" w:rsidP="00B07F00">
      <w:pPr>
        <w:pStyle w:val="BodyText"/>
        <w:spacing w:line="360" w:lineRule="auto"/>
        <w:jc w:val="both"/>
        <w:rPr>
          <w:rFonts w:ascii="Times New Roman" w:hAnsi="Times New Roman" w:cs="Times New Roman"/>
          <w:b/>
          <w:bCs/>
          <w:sz w:val="20"/>
          <w:szCs w:val="20"/>
        </w:rPr>
      </w:pPr>
    </w:p>
    <w:p w14:paraId="296F27E4" w14:textId="77777777" w:rsidR="004147AF" w:rsidRDefault="004147AF" w:rsidP="00B07F00">
      <w:pPr>
        <w:pStyle w:val="BodyText"/>
        <w:spacing w:line="360" w:lineRule="auto"/>
        <w:jc w:val="both"/>
        <w:rPr>
          <w:rFonts w:ascii="Times New Roman" w:hAnsi="Times New Roman" w:cs="Times New Roman"/>
          <w:b/>
          <w:bCs/>
          <w:sz w:val="20"/>
          <w:szCs w:val="20"/>
        </w:rPr>
      </w:pPr>
    </w:p>
    <w:p w14:paraId="24DB3C34" w14:textId="77777777" w:rsidR="004147AF" w:rsidRDefault="004147AF" w:rsidP="00B07F00">
      <w:pPr>
        <w:pStyle w:val="BodyText"/>
        <w:spacing w:line="360" w:lineRule="auto"/>
        <w:jc w:val="both"/>
        <w:rPr>
          <w:rFonts w:ascii="Times New Roman" w:hAnsi="Times New Roman" w:cs="Times New Roman"/>
          <w:b/>
          <w:bCs/>
          <w:sz w:val="20"/>
          <w:szCs w:val="20"/>
        </w:rPr>
      </w:pPr>
    </w:p>
    <w:p w14:paraId="0E2A0D3E" w14:textId="77777777" w:rsidR="004147AF" w:rsidRDefault="004147AF" w:rsidP="00B07F00">
      <w:pPr>
        <w:pStyle w:val="BodyText"/>
        <w:spacing w:line="360" w:lineRule="auto"/>
        <w:jc w:val="both"/>
        <w:rPr>
          <w:rFonts w:ascii="Times New Roman" w:hAnsi="Times New Roman" w:cs="Times New Roman"/>
          <w:b/>
          <w:bCs/>
          <w:sz w:val="20"/>
          <w:szCs w:val="20"/>
        </w:rPr>
      </w:pPr>
    </w:p>
    <w:p w14:paraId="14C85C40" w14:textId="77777777" w:rsidR="004147AF" w:rsidRDefault="004147AF" w:rsidP="00B07F00">
      <w:pPr>
        <w:pStyle w:val="BodyText"/>
        <w:spacing w:line="360" w:lineRule="auto"/>
        <w:jc w:val="both"/>
        <w:rPr>
          <w:rFonts w:ascii="Times New Roman" w:hAnsi="Times New Roman" w:cs="Times New Roman"/>
          <w:b/>
          <w:bCs/>
          <w:sz w:val="20"/>
          <w:szCs w:val="20"/>
        </w:rPr>
      </w:pPr>
    </w:p>
    <w:p w14:paraId="24797839" w14:textId="77777777" w:rsidR="004147AF" w:rsidRDefault="004147AF" w:rsidP="00B07F00">
      <w:pPr>
        <w:pStyle w:val="BodyText"/>
        <w:spacing w:line="360" w:lineRule="auto"/>
        <w:jc w:val="both"/>
        <w:rPr>
          <w:rFonts w:ascii="Times New Roman" w:hAnsi="Times New Roman" w:cs="Times New Roman"/>
          <w:b/>
          <w:bCs/>
          <w:sz w:val="20"/>
          <w:szCs w:val="20"/>
        </w:rPr>
      </w:pPr>
    </w:p>
    <w:p w14:paraId="79B434DC" w14:textId="77777777" w:rsidR="004147AF" w:rsidRDefault="004147AF" w:rsidP="00B07F00">
      <w:pPr>
        <w:pStyle w:val="BodyText"/>
        <w:spacing w:line="360" w:lineRule="auto"/>
        <w:jc w:val="both"/>
        <w:rPr>
          <w:rFonts w:ascii="Times New Roman" w:hAnsi="Times New Roman" w:cs="Times New Roman"/>
          <w:b/>
          <w:bCs/>
          <w:sz w:val="20"/>
          <w:szCs w:val="20"/>
        </w:rPr>
      </w:pPr>
    </w:p>
    <w:p w14:paraId="6BF33A78" w14:textId="77777777" w:rsidR="00E83F1C" w:rsidRDefault="00E83F1C" w:rsidP="00B07F00">
      <w:pPr>
        <w:pStyle w:val="BodyText"/>
        <w:spacing w:line="360" w:lineRule="auto"/>
        <w:rPr>
          <w:rFonts w:ascii="Times New Roman" w:hAnsi="Times New Roman" w:cs="Times New Roman"/>
          <w:b/>
          <w:bCs/>
        </w:rPr>
      </w:pPr>
    </w:p>
    <w:p w14:paraId="3A7E8850" w14:textId="28F8CD93"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4.5 Cell Cycle Analysis in PBMCs</w:t>
      </w:r>
    </w:p>
    <w:p w14:paraId="4F5C165D" w14:textId="1A771DA4" w:rsidR="00CE4DEF" w:rsidRPr="00BF41E4" w:rsidRDefault="00DE07D0" w:rsidP="00B07F00">
      <w:pPr>
        <w:pStyle w:val="BodyText"/>
        <w:spacing w:line="360" w:lineRule="auto"/>
        <w:jc w:val="both"/>
        <w:rPr>
          <w:rFonts w:ascii="Times New Roman" w:hAnsi="Times New Roman" w:cs="Times New Roman"/>
        </w:rPr>
      </w:pPr>
      <w:r w:rsidRPr="00BF41E4">
        <w:rPr>
          <w:rFonts w:ascii="Times New Roman" w:hAnsi="Times New Roman" w:cs="Times New Roman"/>
        </w:rPr>
        <w:t>Flow cytometric analysis indicated G1-phase cell cycle arrest in AgNP-treated PBMCs, suggesting that oxidative stress induced by AgNPs influences proliferation and cell cycle progression.</w:t>
      </w:r>
    </w:p>
    <w:p w14:paraId="25FE773E" w14:textId="4E07C0AA" w:rsidR="00CE4DEF" w:rsidRPr="000B61C2" w:rsidRDefault="009474BB" w:rsidP="00B07F00">
      <w:pPr>
        <w:pStyle w:val="BodyText"/>
        <w:spacing w:line="360" w:lineRule="auto"/>
        <w:jc w:val="both"/>
        <w:rPr>
          <w:rFonts w:ascii="Times New Roman" w:hAnsi="Times New Roman" w:cs="Times New Roman"/>
        </w:rPr>
      </w:pPr>
      <w:r w:rsidRPr="000B61C2">
        <w:rPr>
          <w:rFonts w:ascii="Times New Roman" w:hAnsi="Times New Roman" w:cs="Times New Roman"/>
          <w:noProof/>
          <w:lang w:val="en-IN"/>
        </w:rPr>
        <w:drawing>
          <wp:anchor distT="0" distB="0" distL="114300" distR="114300" simplePos="0" relativeHeight="251697664" behindDoc="0" locked="0" layoutInCell="1" allowOverlap="1" wp14:anchorId="2892CDFB" wp14:editId="67956C95">
            <wp:simplePos x="0" y="0"/>
            <wp:positionH relativeFrom="column">
              <wp:posOffset>762000</wp:posOffset>
            </wp:positionH>
            <wp:positionV relativeFrom="paragraph">
              <wp:posOffset>98718</wp:posOffset>
            </wp:positionV>
            <wp:extent cx="4239895" cy="3511550"/>
            <wp:effectExtent l="0" t="0" r="8255" b="0"/>
            <wp:wrapSquare wrapText="bothSides"/>
            <wp:docPr id="4107208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
                      <a:extLst>
                        <a:ext uri="{28A0092B-C50C-407E-A947-70E740481C1C}">
                          <a14:useLocalDpi xmlns:a14="http://schemas.microsoft.com/office/drawing/2010/main" val="0"/>
                        </a:ext>
                      </a:extLst>
                    </a:blip>
                    <a:srcRect b="7987"/>
                    <a:stretch>
                      <a:fillRect/>
                    </a:stretch>
                  </pic:blipFill>
                  <pic:spPr bwMode="auto">
                    <a:xfrm>
                      <a:off x="0" y="0"/>
                      <a:ext cx="4239895" cy="351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EE32" w14:textId="3AFFEF45" w:rsidR="007050BF" w:rsidRPr="000B61C2" w:rsidRDefault="007050BF" w:rsidP="00B07F00">
      <w:pPr>
        <w:pStyle w:val="BodyText"/>
        <w:spacing w:line="360" w:lineRule="auto"/>
        <w:jc w:val="both"/>
        <w:rPr>
          <w:rFonts w:ascii="Times New Roman" w:hAnsi="Times New Roman" w:cs="Times New Roman"/>
          <w:lang w:val="en-IN"/>
        </w:rPr>
      </w:pPr>
    </w:p>
    <w:p w14:paraId="35DC9333" w14:textId="00C13C71" w:rsidR="00CE4DEF" w:rsidRPr="000B61C2" w:rsidRDefault="00CE4DEF" w:rsidP="00B07F00">
      <w:pPr>
        <w:pStyle w:val="BodyText"/>
        <w:spacing w:line="360" w:lineRule="auto"/>
        <w:jc w:val="both"/>
        <w:rPr>
          <w:rFonts w:ascii="Times New Roman" w:hAnsi="Times New Roman" w:cs="Times New Roman"/>
        </w:rPr>
      </w:pPr>
    </w:p>
    <w:p w14:paraId="4D50094D" w14:textId="3E047067" w:rsidR="00CE4DEF" w:rsidRPr="000B61C2" w:rsidRDefault="00CE4DEF" w:rsidP="00B07F00">
      <w:pPr>
        <w:pStyle w:val="BodyText"/>
        <w:spacing w:line="360" w:lineRule="auto"/>
        <w:jc w:val="both"/>
        <w:rPr>
          <w:rFonts w:ascii="Times New Roman" w:hAnsi="Times New Roman" w:cs="Times New Roman"/>
        </w:rPr>
      </w:pPr>
    </w:p>
    <w:p w14:paraId="13C5BEC5" w14:textId="647E59CD" w:rsidR="00CE4DEF" w:rsidRPr="000B61C2" w:rsidRDefault="00CE4DEF" w:rsidP="00B07F00">
      <w:pPr>
        <w:pStyle w:val="BodyText"/>
        <w:spacing w:line="360" w:lineRule="auto"/>
        <w:jc w:val="both"/>
        <w:rPr>
          <w:rFonts w:ascii="Times New Roman" w:hAnsi="Times New Roman" w:cs="Times New Roman"/>
        </w:rPr>
      </w:pPr>
    </w:p>
    <w:p w14:paraId="06EFB1CE" w14:textId="04726FC2" w:rsidR="00CE4DEF" w:rsidRPr="000B61C2" w:rsidRDefault="00CE4DEF" w:rsidP="00B07F00">
      <w:pPr>
        <w:pStyle w:val="BodyText"/>
        <w:spacing w:line="360" w:lineRule="auto"/>
        <w:jc w:val="both"/>
        <w:rPr>
          <w:rFonts w:ascii="Times New Roman" w:hAnsi="Times New Roman" w:cs="Times New Roman"/>
        </w:rPr>
      </w:pPr>
    </w:p>
    <w:p w14:paraId="68B70EE3" w14:textId="772398F5" w:rsidR="00CE4DEF" w:rsidRPr="000B61C2" w:rsidRDefault="00CE4DEF" w:rsidP="00B07F00">
      <w:pPr>
        <w:pStyle w:val="BodyText"/>
        <w:spacing w:line="360" w:lineRule="auto"/>
        <w:jc w:val="both"/>
        <w:rPr>
          <w:rFonts w:ascii="Times New Roman" w:hAnsi="Times New Roman" w:cs="Times New Roman"/>
        </w:rPr>
      </w:pPr>
    </w:p>
    <w:p w14:paraId="42BAFCA0" w14:textId="06629F8E" w:rsidR="00CE4DEF" w:rsidRPr="000B61C2" w:rsidRDefault="00CE4DEF" w:rsidP="00B07F00">
      <w:pPr>
        <w:pStyle w:val="BodyText"/>
        <w:spacing w:line="360" w:lineRule="auto"/>
        <w:jc w:val="both"/>
        <w:rPr>
          <w:rFonts w:ascii="Times New Roman" w:hAnsi="Times New Roman" w:cs="Times New Roman"/>
        </w:rPr>
      </w:pPr>
    </w:p>
    <w:p w14:paraId="4A1B663F" w14:textId="4AF6FD37" w:rsidR="00D644AC" w:rsidRDefault="00D644AC" w:rsidP="00B07F00">
      <w:pPr>
        <w:spacing w:line="360" w:lineRule="auto"/>
        <w:jc w:val="both"/>
        <w:rPr>
          <w:rFonts w:ascii="Times New Roman" w:hAnsi="Times New Roman" w:cs="Times New Roman"/>
          <w:b/>
          <w:bCs/>
        </w:rPr>
      </w:pPr>
    </w:p>
    <w:p w14:paraId="4F5736CD" w14:textId="77777777" w:rsidR="00E655A5" w:rsidRPr="000B61C2" w:rsidRDefault="00E655A5" w:rsidP="00B07F00">
      <w:pPr>
        <w:spacing w:line="360" w:lineRule="auto"/>
        <w:jc w:val="both"/>
        <w:rPr>
          <w:rFonts w:ascii="Times New Roman" w:hAnsi="Times New Roman" w:cs="Times New Roman"/>
          <w:b/>
          <w:bCs/>
        </w:rPr>
      </w:pPr>
    </w:p>
    <w:p w14:paraId="46462B2D" w14:textId="6B288C21" w:rsidR="00FE3CB6" w:rsidRPr="00FE3CB6" w:rsidRDefault="00FE3CB6" w:rsidP="00930234">
      <w:pPr>
        <w:spacing w:after="0" w:line="360" w:lineRule="auto"/>
        <w:jc w:val="center"/>
        <w:rPr>
          <w:rFonts w:ascii="Times New Roman" w:hAnsi="Times New Roman" w:cs="Times New Roman"/>
          <w:b/>
          <w:bCs/>
          <w:sz w:val="20"/>
          <w:szCs w:val="20"/>
          <w:lang w:val="en-IN"/>
        </w:rPr>
      </w:pPr>
      <w:r w:rsidRPr="00FE3CB6">
        <w:rPr>
          <w:rFonts w:ascii="Times New Roman" w:hAnsi="Times New Roman" w:cs="Times New Roman"/>
          <w:b/>
          <w:bCs/>
          <w:sz w:val="20"/>
          <w:szCs w:val="20"/>
          <w:lang w:val="en-IN"/>
        </w:rPr>
        <w:t>Fig. 9. Analysis of Cell cycle distribution in PBMCs treated with silver nanoparticles using flow cytometry</w:t>
      </w:r>
      <w:r>
        <w:rPr>
          <w:rFonts w:ascii="Times New Roman" w:hAnsi="Times New Roman" w:cs="Times New Roman"/>
          <w:b/>
          <w:bCs/>
          <w:sz w:val="20"/>
          <w:szCs w:val="20"/>
          <w:lang w:val="en-IN"/>
        </w:rPr>
        <w:t>.</w:t>
      </w:r>
    </w:p>
    <w:p w14:paraId="5C47ABD1" w14:textId="48497CD1" w:rsidR="00930234" w:rsidRPr="00930234" w:rsidRDefault="00930234" w:rsidP="00930234">
      <w:pPr>
        <w:spacing w:after="0" w:line="360" w:lineRule="auto"/>
        <w:jc w:val="center"/>
        <w:rPr>
          <w:rFonts w:ascii="Times New Roman" w:hAnsi="Times New Roman" w:cs="Times New Roman"/>
          <w:i/>
          <w:iCs/>
          <w:sz w:val="20"/>
          <w:szCs w:val="20"/>
          <w:lang w:val="en-IN"/>
        </w:rPr>
      </w:pPr>
      <w:r w:rsidRPr="00930234">
        <w:rPr>
          <w:rFonts w:ascii="Times New Roman" w:hAnsi="Times New Roman" w:cs="Times New Roman"/>
          <w:i/>
          <w:iCs/>
          <w:sz w:val="20"/>
          <w:szCs w:val="20"/>
          <w:lang w:val="en-IN"/>
        </w:rPr>
        <w:t>(A) Forward scatter (FSC-A) versus side scatter (SSC-A) plot showing initial gating (Gate 1), where 53.05% of cell events were selected.</w:t>
      </w:r>
      <w:r w:rsidRPr="00930234">
        <w:rPr>
          <w:rFonts w:ascii="Times New Roman" w:hAnsi="Times New Roman" w:cs="Times New Roman"/>
          <w:i/>
          <w:iCs/>
          <w:sz w:val="20"/>
          <w:szCs w:val="20"/>
          <w:lang w:val="en-IN"/>
        </w:rPr>
        <w:br/>
        <w:t>(B) Singlet cell population gated using FSC-A versus FSC-H (Gate 2), retaining 94.70% of events.</w:t>
      </w:r>
      <w:r w:rsidRPr="00930234">
        <w:rPr>
          <w:rFonts w:ascii="Times New Roman" w:hAnsi="Times New Roman" w:cs="Times New Roman"/>
          <w:i/>
          <w:iCs/>
          <w:sz w:val="20"/>
          <w:szCs w:val="20"/>
          <w:lang w:val="en-IN"/>
        </w:rPr>
        <w:br/>
        <w:t>(C) DNA content histogram (FL3-A) reveals the proportion of cells in G1 (61.26%), S (2.81%), and G2/M (10.53%) phases. The observed increase in G1 phase with a reduction in S-phase population indicates a potential G1-phase arrest induced by silver nanoparticles, suggesting disruption in cell cycle progression. High CV values reflect consistent peak separation.</w:t>
      </w:r>
    </w:p>
    <w:p w14:paraId="011E653C" w14:textId="04843D50" w:rsidR="000F107E" w:rsidRPr="000B61C2" w:rsidRDefault="000F107E" w:rsidP="00B07F00">
      <w:pPr>
        <w:spacing w:line="360" w:lineRule="auto"/>
        <w:jc w:val="both"/>
        <w:rPr>
          <w:rFonts w:ascii="Times New Roman" w:hAnsi="Times New Roman" w:cs="Times New Roman"/>
          <w:lang w:val="en-IN"/>
        </w:rPr>
      </w:pPr>
    </w:p>
    <w:p w14:paraId="531E168E" w14:textId="7BA804A5" w:rsidR="002A78CD" w:rsidRPr="000B61C2" w:rsidRDefault="002A78CD" w:rsidP="00B07F00">
      <w:pPr>
        <w:spacing w:line="360" w:lineRule="auto"/>
        <w:jc w:val="both"/>
        <w:rPr>
          <w:rFonts w:ascii="Times New Roman" w:hAnsi="Times New Roman" w:cs="Times New Roman"/>
        </w:rPr>
      </w:pPr>
    </w:p>
    <w:p w14:paraId="247436C3" w14:textId="7CD4DFCC" w:rsidR="002A78CD" w:rsidRPr="000B61C2" w:rsidRDefault="002A78CD" w:rsidP="00B07F00">
      <w:pPr>
        <w:spacing w:line="360" w:lineRule="auto"/>
        <w:jc w:val="both"/>
        <w:rPr>
          <w:rFonts w:ascii="Times New Roman" w:hAnsi="Times New Roman" w:cs="Times New Roman"/>
        </w:rPr>
      </w:pPr>
    </w:p>
    <w:p w14:paraId="6C0162D9" w14:textId="6AE79D80" w:rsidR="002A78CD" w:rsidRPr="000B61C2" w:rsidRDefault="0001461F" w:rsidP="00B07F00">
      <w:pPr>
        <w:spacing w:line="360" w:lineRule="auto"/>
        <w:jc w:val="both"/>
        <w:rPr>
          <w:rFonts w:ascii="Times New Roman" w:hAnsi="Times New Roman" w:cs="Times New Roman"/>
        </w:rPr>
      </w:pPr>
      <w:r w:rsidRPr="000B61C2">
        <w:rPr>
          <w:rFonts w:ascii="Times New Roman" w:hAnsi="Times New Roman" w:cs="Times New Roman"/>
          <w:b/>
          <w:bCs/>
          <w:noProof/>
          <w:lang w:val="en-IN"/>
        </w:rPr>
        <w:lastRenderedPageBreak/>
        <w:drawing>
          <wp:anchor distT="0" distB="0" distL="114300" distR="114300" simplePos="0" relativeHeight="251699712" behindDoc="0" locked="0" layoutInCell="1" allowOverlap="1" wp14:anchorId="728679C5" wp14:editId="4F0B4FAD">
            <wp:simplePos x="0" y="0"/>
            <wp:positionH relativeFrom="column">
              <wp:posOffset>650240</wp:posOffset>
            </wp:positionH>
            <wp:positionV relativeFrom="paragraph">
              <wp:posOffset>0</wp:posOffset>
            </wp:positionV>
            <wp:extent cx="4418535" cy="4150588"/>
            <wp:effectExtent l="0" t="0" r="1270" b="2540"/>
            <wp:wrapSquare wrapText="bothSides"/>
            <wp:docPr id="994813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8535" cy="4150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415A" w14:textId="28071241" w:rsidR="002A78CD" w:rsidRPr="000B61C2" w:rsidRDefault="002A78CD" w:rsidP="00B07F00">
      <w:pPr>
        <w:spacing w:line="360" w:lineRule="auto"/>
        <w:jc w:val="both"/>
        <w:rPr>
          <w:rFonts w:ascii="Times New Roman" w:hAnsi="Times New Roman" w:cs="Times New Roman"/>
        </w:rPr>
      </w:pPr>
    </w:p>
    <w:p w14:paraId="28016673" w14:textId="341D3488" w:rsidR="002A78CD" w:rsidRPr="000B61C2" w:rsidRDefault="002A78CD" w:rsidP="00B07F00">
      <w:pPr>
        <w:spacing w:line="360" w:lineRule="auto"/>
        <w:jc w:val="both"/>
        <w:rPr>
          <w:rFonts w:ascii="Times New Roman" w:hAnsi="Times New Roman" w:cs="Times New Roman"/>
        </w:rPr>
      </w:pPr>
    </w:p>
    <w:p w14:paraId="741EFE07" w14:textId="1C7599EB" w:rsidR="002A78CD" w:rsidRPr="000B61C2" w:rsidRDefault="002A78CD" w:rsidP="00B07F00">
      <w:pPr>
        <w:spacing w:line="360" w:lineRule="auto"/>
        <w:jc w:val="both"/>
        <w:rPr>
          <w:rFonts w:ascii="Times New Roman" w:hAnsi="Times New Roman" w:cs="Times New Roman"/>
        </w:rPr>
      </w:pPr>
    </w:p>
    <w:p w14:paraId="057B2868" w14:textId="068D0438" w:rsidR="002410D6" w:rsidRPr="000B61C2" w:rsidRDefault="002410D6" w:rsidP="00B07F00">
      <w:pPr>
        <w:spacing w:line="360" w:lineRule="auto"/>
        <w:jc w:val="both"/>
        <w:rPr>
          <w:rFonts w:ascii="Times New Roman" w:hAnsi="Times New Roman" w:cs="Times New Roman"/>
          <w:b/>
          <w:bCs/>
        </w:rPr>
      </w:pPr>
    </w:p>
    <w:p w14:paraId="27BE62A5" w14:textId="4EA7A34E" w:rsidR="002410D6" w:rsidRPr="000B61C2" w:rsidRDefault="002410D6" w:rsidP="00B07F00">
      <w:pPr>
        <w:spacing w:line="360" w:lineRule="auto"/>
        <w:jc w:val="both"/>
        <w:rPr>
          <w:rFonts w:ascii="Times New Roman" w:hAnsi="Times New Roman" w:cs="Times New Roman"/>
          <w:b/>
          <w:bCs/>
        </w:rPr>
      </w:pPr>
    </w:p>
    <w:p w14:paraId="6D850B86" w14:textId="6C0B74D0" w:rsidR="0063212B" w:rsidRPr="000B61C2" w:rsidRDefault="0063212B" w:rsidP="00B07F00">
      <w:pPr>
        <w:spacing w:line="360" w:lineRule="auto"/>
        <w:jc w:val="both"/>
        <w:rPr>
          <w:rFonts w:ascii="Times New Roman" w:hAnsi="Times New Roman" w:cs="Times New Roman"/>
          <w:b/>
          <w:bCs/>
        </w:rPr>
      </w:pPr>
    </w:p>
    <w:p w14:paraId="6164D2E8" w14:textId="35AC7EC1" w:rsidR="00D714F1" w:rsidRPr="000B61C2" w:rsidRDefault="00D714F1" w:rsidP="00B07F00">
      <w:pPr>
        <w:spacing w:line="360" w:lineRule="auto"/>
        <w:jc w:val="both"/>
        <w:rPr>
          <w:rFonts w:ascii="Times New Roman" w:hAnsi="Times New Roman" w:cs="Times New Roman"/>
          <w:b/>
          <w:bCs/>
        </w:rPr>
      </w:pPr>
    </w:p>
    <w:p w14:paraId="6607AFCE" w14:textId="5DB1A3F8" w:rsidR="00D714F1" w:rsidRPr="000B61C2" w:rsidRDefault="00D714F1" w:rsidP="00B07F00">
      <w:pPr>
        <w:spacing w:line="360" w:lineRule="auto"/>
        <w:jc w:val="both"/>
        <w:rPr>
          <w:rFonts w:ascii="Times New Roman" w:hAnsi="Times New Roman" w:cs="Times New Roman"/>
          <w:b/>
          <w:bCs/>
        </w:rPr>
      </w:pPr>
    </w:p>
    <w:p w14:paraId="405AFA9F" w14:textId="3E5ADC5C" w:rsidR="00B03478" w:rsidRDefault="00B03478" w:rsidP="00B07F00">
      <w:pPr>
        <w:spacing w:line="360" w:lineRule="auto"/>
        <w:jc w:val="center"/>
        <w:rPr>
          <w:rFonts w:ascii="Times New Roman" w:hAnsi="Times New Roman" w:cs="Times New Roman"/>
          <w:b/>
          <w:bCs/>
          <w:sz w:val="20"/>
          <w:szCs w:val="20"/>
        </w:rPr>
      </w:pPr>
    </w:p>
    <w:p w14:paraId="1219D697" w14:textId="77777777" w:rsidR="004147AF" w:rsidRDefault="004147AF" w:rsidP="0001461F">
      <w:pPr>
        <w:spacing w:after="0" w:line="360" w:lineRule="auto"/>
        <w:rPr>
          <w:rFonts w:ascii="Times New Roman" w:hAnsi="Times New Roman" w:cs="Times New Roman"/>
          <w:b/>
          <w:bCs/>
          <w:sz w:val="20"/>
          <w:szCs w:val="20"/>
          <w:lang w:val="en-IN"/>
        </w:rPr>
      </w:pPr>
    </w:p>
    <w:p w14:paraId="1754A05B" w14:textId="77777777" w:rsidR="004147AF" w:rsidRDefault="004147AF" w:rsidP="009474BB">
      <w:pPr>
        <w:spacing w:after="0" w:line="360" w:lineRule="auto"/>
        <w:rPr>
          <w:rFonts w:ascii="Times New Roman" w:hAnsi="Times New Roman" w:cs="Times New Roman"/>
          <w:b/>
          <w:bCs/>
          <w:sz w:val="20"/>
          <w:szCs w:val="20"/>
          <w:lang w:val="en-IN"/>
        </w:rPr>
      </w:pPr>
    </w:p>
    <w:p w14:paraId="60C1B6B6" w14:textId="77777777" w:rsidR="00FE3CB6" w:rsidRPr="00FE3CB6" w:rsidRDefault="00FE3CB6" w:rsidP="00930234">
      <w:pPr>
        <w:spacing w:after="0" w:line="360" w:lineRule="auto"/>
        <w:jc w:val="center"/>
        <w:rPr>
          <w:rFonts w:ascii="Times New Roman" w:hAnsi="Times New Roman" w:cs="Times New Roman"/>
          <w:b/>
          <w:bCs/>
          <w:sz w:val="20"/>
          <w:szCs w:val="20"/>
          <w:lang w:val="en-IN"/>
        </w:rPr>
      </w:pPr>
      <w:r w:rsidRPr="00FE3CB6">
        <w:rPr>
          <w:rFonts w:ascii="Times New Roman" w:hAnsi="Times New Roman" w:cs="Times New Roman"/>
          <w:b/>
          <w:bCs/>
          <w:sz w:val="20"/>
          <w:szCs w:val="20"/>
          <w:lang w:val="en-IN"/>
        </w:rPr>
        <w:t xml:space="preserve">Fig. 10. Analysis of Cell cycle distribution in untreated PBMCs (control group) using flow cytometry. </w:t>
      </w:r>
    </w:p>
    <w:p w14:paraId="5980FB30" w14:textId="6B5CC36A" w:rsidR="00930234" w:rsidRPr="00930234" w:rsidRDefault="00930234" w:rsidP="00930234">
      <w:pPr>
        <w:spacing w:after="0" w:line="360" w:lineRule="auto"/>
        <w:jc w:val="center"/>
        <w:rPr>
          <w:rFonts w:ascii="Times New Roman" w:hAnsi="Times New Roman" w:cs="Times New Roman"/>
          <w:i/>
          <w:iCs/>
          <w:sz w:val="20"/>
          <w:szCs w:val="20"/>
          <w:lang w:val="en-IN"/>
        </w:rPr>
      </w:pPr>
      <w:r w:rsidRPr="00930234">
        <w:rPr>
          <w:rFonts w:ascii="Times New Roman" w:hAnsi="Times New Roman" w:cs="Times New Roman"/>
          <w:i/>
          <w:iCs/>
          <w:sz w:val="20"/>
          <w:szCs w:val="20"/>
          <w:lang w:val="en-IN"/>
        </w:rPr>
        <w:t>(A) Initial gating using forward scatter (FSC-A) versus side scatter (SSC-A) identified 47.59% of total events as the primary cell population (Gate 1).(B) Doublet discrimination using FSC-H versus FSC-A isolated 96.30% of events as singlets (Gate 2), ensuring data integrity.(C) Propidium iodide (PI)-stained DNA content histogram (FL3-A) reveals distinct peaks corresponding to the G1 and G2/M phases.(D) Quantitative summary of cell cycle distribution, showing 4.71% of cells in G1 phase, 6.21% in G2/M, and 25.67% in S phase, with a G2/G1 ratio of 1.97.</w:t>
      </w:r>
    </w:p>
    <w:p w14:paraId="44313C3A" w14:textId="77777777" w:rsidR="00930234" w:rsidRPr="00930234" w:rsidRDefault="00930234" w:rsidP="00930234">
      <w:pPr>
        <w:spacing w:after="0" w:line="360" w:lineRule="auto"/>
        <w:jc w:val="center"/>
        <w:rPr>
          <w:rFonts w:ascii="Times New Roman" w:hAnsi="Times New Roman" w:cs="Times New Roman"/>
          <w:i/>
          <w:iCs/>
          <w:sz w:val="20"/>
          <w:szCs w:val="20"/>
          <w:lang w:val="en-IN"/>
        </w:rPr>
      </w:pPr>
      <w:r w:rsidRPr="00930234">
        <w:rPr>
          <w:rFonts w:ascii="Times New Roman" w:hAnsi="Times New Roman" w:cs="Times New Roman"/>
          <w:i/>
          <w:iCs/>
          <w:sz w:val="20"/>
          <w:szCs w:val="20"/>
          <w:lang w:val="en-IN"/>
        </w:rPr>
        <w:t>The control group exhibited normal cell cycle distribution without evidence of G1 arrest, in contrast to the AgNP-treated cells (Figure 9), highlighting the impact of silver nanoparticles on cell cycle progression.</w:t>
      </w:r>
    </w:p>
    <w:p w14:paraId="0687DA11" w14:textId="77777777" w:rsidR="00A86E8E" w:rsidRDefault="00A86E8E" w:rsidP="00B07F00">
      <w:pPr>
        <w:spacing w:line="360" w:lineRule="auto"/>
        <w:jc w:val="both"/>
        <w:rPr>
          <w:rFonts w:ascii="Times New Roman" w:hAnsi="Times New Roman" w:cs="Times New Roman"/>
          <w:b/>
          <w:bCs/>
          <w:sz w:val="20"/>
          <w:szCs w:val="20"/>
        </w:rPr>
      </w:pPr>
    </w:p>
    <w:p w14:paraId="71752433" w14:textId="090100C9"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5. </w:t>
      </w:r>
      <w:r w:rsidR="00DE07D0" w:rsidRPr="000B61C2">
        <w:rPr>
          <w:rFonts w:ascii="Times New Roman" w:hAnsi="Times New Roman" w:cs="Times New Roman"/>
          <w:b/>
          <w:bCs/>
        </w:rPr>
        <w:t>CONCLUSION</w:t>
      </w:r>
    </w:p>
    <w:p w14:paraId="69D545D9" w14:textId="770E8003" w:rsidR="00044F78" w:rsidRPr="000B61C2" w:rsidRDefault="00DE07D0" w:rsidP="00B07F00">
      <w:pPr>
        <w:spacing w:line="360" w:lineRule="auto"/>
        <w:jc w:val="both"/>
        <w:rPr>
          <w:rFonts w:ascii="Times New Roman" w:hAnsi="Times New Roman" w:cs="Times New Roman"/>
        </w:rPr>
      </w:pPr>
      <w:r w:rsidRPr="000B61C2">
        <w:rPr>
          <w:rFonts w:ascii="Times New Roman" w:hAnsi="Times New Roman" w:cs="Times New Roman"/>
        </w:rPr>
        <w:t>The in vitro model developed in this study effectively demonstrated differential effects of AgNPs across various cell types involved in inflammation and immunity. The ability of AgNPs to modulate ROS, protein expression, and cell cycle phases supports their potential as modulators in the context of rheumatoid arthritis. This platform can be further adapted to investigate other nanoparticles or anti-inflammatory agents.</w:t>
      </w:r>
    </w:p>
    <w:p w14:paraId="1BA0AF2A" w14:textId="77777777" w:rsidR="008A02FE"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lastRenderedPageBreak/>
        <w:t xml:space="preserve">9. </w:t>
      </w:r>
      <w:r w:rsidR="00DE07D0" w:rsidRPr="000B61C2">
        <w:rPr>
          <w:rFonts w:ascii="Times New Roman" w:hAnsi="Times New Roman" w:cs="Times New Roman"/>
          <w:b/>
          <w:bCs/>
        </w:rPr>
        <w:t xml:space="preserve">CONSENT </w:t>
      </w:r>
    </w:p>
    <w:p w14:paraId="2E0EDDE7" w14:textId="77777777" w:rsidR="00E465ED" w:rsidRPr="00E465ED" w:rsidRDefault="00E465ED" w:rsidP="00B07F00">
      <w:pPr>
        <w:spacing w:line="360" w:lineRule="auto"/>
        <w:jc w:val="both"/>
        <w:rPr>
          <w:rFonts w:ascii="Times New Roman" w:hAnsi="Times New Roman" w:cs="Times New Roman"/>
        </w:rPr>
      </w:pPr>
      <w:r w:rsidRPr="00E465ED">
        <w:rPr>
          <w:rFonts w:ascii="Times New Roman" w:hAnsi="Times New Roman" w:cs="Times New Roman"/>
        </w:rPr>
        <w:t>Informed consent was obtained from the volunteer donor prior to blood collection. All procedures were conducted in accordance with ethical guidelines for the use of human biological materials in research.</w:t>
      </w:r>
    </w:p>
    <w:p w14:paraId="13E0337A" w14:textId="28004975"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10. </w:t>
      </w:r>
      <w:r w:rsidR="00DE07D0" w:rsidRPr="000B61C2">
        <w:rPr>
          <w:rFonts w:ascii="Times New Roman" w:hAnsi="Times New Roman" w:cs="Times New Roman"/>
          <w:b/>
          <w:bCs/>
        </w:rPr>
        <w:t>ETHICAL APPROVAL</w:t>
      </w:r>
    </w:p>
    <w:p w14:paraId="3B8339B2" w14:textId="7BBAD9E2" w:rsidR="00044F78" w:rsidRDefault="00DE07D0" w:rsidP="00B07F00">
      <w:pPr>
        <w:spacing w:line="360" w:lineRule="auto"/>
        <w:jc w:val="both"/>
        <w:rPr>
          <w:rFonts w:ascii="Times New Roman" w:hAnsi="Times New Roman" w:cs="Times New Roman"/>
        </w:rPr>
      </w:pPr>
      <w:r w:rsidRPr="000B61C2">
        <w:rPr>
          <w:rFonts w:ascii="Times New Roman" w:hAnsi="Times New Roman" w:cs="Times New Roman"/>
        </w:rPr>
        <w:t>Blood samples for PBMC isolation were collected following institutional guidelines and ethical standards.</w:t>
      </w:r>
    </w:p>
    <w:p w14:paraId="5416014E" w14:textId="6B3CF928" w:rsidR="009446C8" w:rsidRDefault="009446C8" w:rsidP="00B07F00">
      <w:pPr>
        <w:spacing w:line="360" w:lineRule="auto"/>
        <w:jc w:val="both"/>
        <w:rPr>
          <w:rFonts w:ascii="Times New Roman" w:hAnsi="Times New Roman" w:cs="Times New Roman"/>
        </w:rPr>
      </w:pPr>
    </w:p>
    <w:p w14:paraId="3CE88E1E" w14:textId="77777777" w:rsidR="009446C8" w:rsidRPr="00FE7640" w:rsidRDefault="009446C8" w:rsidP="009446C8">
      <w:pPr>
        <w:rPr>
          <w:rFonts w:ascii="Calibri" w:eastAsia="Calibri" w:hAnsi="Calibri" w:cs="Times New Roman"/>
          <w:kern w:val="2"/>
          <w:highlight w:val="yellow"/>
        </w:rPr>
      </w:pPr>
      <w:bookmarkStart w:id="9" w:name="_Hlk201835975"/>
      <w:bookmarkStart w:id="10" w:name="_Hlk193540946"/>
      <w:bookmarkStart w:id="11" w:name="_Hlk180402183"/>
      <w:bookmarkStart w:id="12" w:name="_Hlk183680988"/>
      <w:bookmarkStart w:id="13" w:name="_Hlk197173371"/>
      <w:r w:rsidRPr="00FE7640">
        <w:rPr>
          <w:rFonts w:ascii="Calibri" w:eastAsia="Calibri" w:hAnsi="Calibri" w:cs="Times New Roman"/>
          <w:kern w:val="2"/>
          <w:highlight w:val="yellow"/>
        </w:rPr>
        <w:t>Disclaimer (Artificial intelligence)</w:t>
      </w:r>
    </w:p>
    <w:p w14:paraId="52905F9E"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7B0FF74"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44AA75"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14C0F83" w14:textId="69DAAFF5"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3B542E" w:rsidRPr="003B542E">
        <w:rPr>
          <w:b/>
          <w:bCs/>
        </w:rPr>
        <w:t xml:space="preserve"> </w:t>
      </w:r>
      <w:r w:rsidR="003B542E" w:rsidRPr="003B542E">
        <w:rPr>
          <w:rFonts w:ascii="Calibri" w:eastAsia="Calibri" w:hAnsi="Calibri" w:cs="Times New Roman"/>
          <w:b/>
          <w:bCs/>
          <w:kern w:val="2"/>
          <w:highlight w:val="yellow"/>
        </w:rPr>
        <w:t>Technology Used:</w:t>
      </w:r>
      <w:r w:rsidR="003B542E" w:rsidRPr="003B542E">
        <w:rPr>
          <w:rFonts w:ascii="Calibri" w:eastAsia="Calibri" w:hAnsi="Calibri" w:cs="Times New Roman"/>
          <w:kern w:val="2"/>
          <w:highlight w:val="yellow"/>
        </w:rPr>
        <w:t xml:space="preserve"> ChatGPT (GPT-4o), developed by OpenAI</w:t>
      </w:r>
    </w:p>
    <w:p w14:paraId="3DFBF998" w14:textId="38A12FAB"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9"/>
      <w:r w:rsidR="003B542E" w:rsidRPr="003B542E">
        <w:rPr>
          <w:b/>
          <w:bCs/>
        </w:rPr>
        <w:t xml:space="preserve"> </w:t>
      </w:r>
      <w:r w:rsidR="003B542E" w:rsidRPr="003B542E">
        <w:rPr>
          <w:rFonts w:ascii="Calibri" w:eastAsia="Calibri" w:hAnsi="Calibri" w:cs="Times New Roman"/>
          <w:b/>
          <w:bCs/>
          <w:kern w:val="2"/>
          <w:highlight w:val="yellow"/>
        </w:rPr>
        <w:t>Type of Assistance:</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Help with improving grammar, language clarity, and formatting of the manuscript.</w:t>
      </w:r>
    </w:p>
    <w:p w14:paraId="06A3105E" w14:textId="750BC0F4" w:rsidR="009446C8" w:rsidRDefault="009446C8" w:rsidP="009446C8">
      <w:pPr>
        <w:rPr>
          <w:rFonts w:ascii="Calibri" w:eastAsia="Calibri" w:hAnsi="Calibri" w:cs="Times New Roman"/>
          <w:kern w:val="2"/>
        </w:rPr>
      </w:pPr>
      <w:r w:rsidRPr="009C5487">
        <w:rPr>
          <w:rFonts w:ascii="Calibri" w:eastAsia="Calibri" w:hAnsi="Calibri" w:cs="Times New Roman"/>
          <w:kern w:val="2"/>
          <w:highlight w:val="yellow"/>
        </w:rPr>
        <w:t>3.</w:t>
      </w:r>
      <w:bookmarkEnd w:id="10"/>
      <w:r w:rsidR="003B542E" w:rsidRPr="003B542E">
        <w:rPr>
          <w:b/>
          <w:bCs/>
        </w:rPr>
        <w:t xml:space="preserve"> </w:t>
      </w:r>
      <w:r w:rsidR="003B542E" w:rsidRPr="003B542E">
        <w:rPr>
          <w:rFonts w:ascii="Calibri" w:eastAsia="Calibri" w:hAnsi="Calibri" w:cs="Times New Roman"/>
          <w:b/>
          <w:bCs/>
          <w:kern w:val="2"/>
          <w:highlight w:val="yellow"/>
        </w:rPr>
        <w:t>Nature of Prompts:</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Included queries related to editing scientific text, formatting, and drafting standard declarations.</w:t>
      </w:r>
    </w:p>
    <w:p w14:paraId="6E553BCE" w14:textId="56E42F3E" w:rsidR="00103CE8" w:rsidRPr="00103CE8" w:rsidRDefault="00103CE8" w:rsidP="00103CE8">
      <w:pPr>
        <w:rPr>
          <w:rFonts w:ascii="Calibri" w:eastAsia="Calibri" w:hAnsi="Calibri" w:cs="Times New Roman"/>
          <w:kern w:val="2"/>
        </w:rPr>
      </w:pPr>
      <w:r w:rsidRPr="00103CE8">
        <w:rPr>
          <w:rFonts w:ascii="Calibri" w:eastAsia="Calibri" w:hAnsi="Calibri" w:cs="Times New Roman"/>
          <w:kern w:val="2"/>
        </w:rPr>
        <w:t>The content generated by AI was carefully reviewed and approved by the authors, who take full responsibility for the final manuscript</w:t>
      </w:r>
      <w:r>
        <w:rPr>
          <w:rFonts w:ascii="Calibri" w:eastAsia="Calibri" w:hAnsi="Calibri" w:cs="Times New Roman"/>
          <w:kern w:val="2"/>
        </w:rPr>
        <w:t>.</w:t>
      </w:r>
      <w:bookmarkEnd w:id="11"/>
      <w:bookmarkEnd w:id="12"/>
      <w:bookmarkEnd w:id="13"/>
    </w:p>
    <w:p w14:paraId="50583C57" w14:textId="77777777"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11. </w:t>
      </w:r>
      <w:r w:rsidR="00DE07D0" w:rsidRPr="000B61C2">
        <w:rPr>
          <w:rFonts w:ascii="Times New Roman" w:hAnsi="Times New Roman" w:cs="Times New Roman"/>
          <w:b/>
          <w:bCs/>
        </w:rPr>
        <w:t xml:space="preserve">REFERENCES </w:t>
      </w:r>
    </w:p>
    <w:p w14:paraId="1B851995" w14:textId="3A7DF0C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w:t>
      </w:r>
      <w:r w:rsidRPr="00031591">
        <w:rPr>
          <w:rFonts w:ascii="Times New Roman" w:hAnsi="Times New Roman" w:cs="Times New Roman"/>
          <w:lang w:val="en-IN"/>
        </w:rPr>
        <w:t xml:space="preserve">Jahid, M., Khan, K. U., Rehan Ul Haq, &amp; Ahmed, R. S. (2023). Overview of rheumatoid arthritis and scientific understanding of the disease. </w:t>
      </w:r>
      <w:r w:rsidRPr="00031591">
        <w:rPr>
          <w:rFonts w:ascii="Times New Roman" w:hAnsi="Times New Roman" w:cs="Times New Roman"/>
          <w:i/>
          <w:iCs/>
          <w:lang w:val="en-IN"/>
        </w:rPr>
        <w:t>Mediterranean Journal of Rheumatology, 34</w:t>
      </w:r>
      <w:r w:rsidRPr="00031591">
        <w:rPr>
          <w:rFonts w:ascii="Times New Roman" w:hAnsi="Times New Roman" w:cs="Times New Roman"/>
          <w:lang w:val="en-IN"/>
        </w:rPr>
        <w:t xml:space="preserve">(3), 284–291. </w:t>
      </w:r>
      <w:hyperlink r:id="rId18" w:tgtFrame="_new" w:history="1">
        <w:r w:rsidRPr="00031591">
          <w:rPr>
            <w:rStyle w:val="Hyperlink"/>
            <w:rFonts w:ascii="Times New Roman" w:hAnsi="Times New Roman" w:cs="Times New Roman"/>
            <w:lang w:val="en-IN"/>
          </w:rPr>
          <w:t>https://doi.org/10.31138/mjr.2023.34.3.284</w:t>
        </w:r>
      </w:hyperlink>
    </w:p>
    <w:p w14:paraId="5C333687" w14:textId="74A2B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2.</w:t>
      </w:r>
      <w:r w:rsidRPr="00031591">
        <w:rPr>
          <w:rFonts w:ascii="Times New Roman" w:hAnsi="Times New Roman" w:cs="Times New Roman"/>
          <w:lang w:val="en-IN"/>
        </w:rPr>
        <w:t xml:space="preserve">Zhang, Z., Gao, X., Liu, S., Wang, Q., Wang, Y., Hou, S., et al. (2025). Global, regional, and national epidemiology of rheumatoid arthritis among people aged 20–54 years from 1990 to 2021. </w:t>
      </w:r>
      <w:r w:rsidRPr="00031591">
        <w:rPr>
          <w:rFonts w:ascii="Times New Roman" w:hAnsi="Times New Roman" w:cs="Times New Roman"/>
          <w:i/>
          <w:iCs/>
          <w:lang w:val="en-IN"/>
        </w:rPr>
        <w:t>Scientific Reports, 15</w:t>
      </w:r>
      <w:r w:rsidRPr="00031591">
        <w:rPr>
          <w:rFonts w:ascii="Times New Roman" w:hAnsi="Times New Roman" w:cs="Times New Roman"/>
          <w:lang w:val="en-IN"/>
        </w:rPr>
        <w:t xml:space="preserve">, 10736. </w:t>
      </w:r>
      <w:hyperlink r:id="rId19" w:tgtFrame="_new" w:history="1">
        <w:r w:rsidRPr="00031591">
          <w:rPr>
            <w:rStyle w:val="Hyperlink"/>
            <w:rFonts w:ascii="Times New Roman" w:hAnsi="Times New Roman" w:cs="Times New Roman"/>
            <w:lang w:val="en-IN"/>
          </w:rPr>
          <w:t>https://doi.org/10.1038/s41598-025-92150-1</w:t>
        </w:r>
      </w:hyperlink>
    </w:p>
    <w:p w14:paraId="33BFCB3C" w14:textId="249F9449"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3.</w:t>
      </w:r>
      <w:r w:rsidRPr="00031591">
        <w:rPr>
          <w:rFonts w:ascii="Times New Roman" w:hAnsi="Times New Roman" w:cs="Times New Roman"/>
          <w:lang w:val="en-IN"/>
        </w:rPr>
        <w:t xml:space="preserve">Rheumatoid Arthritis Foundation. (2025). RA causes: What are the top causes of rheumatoid arthritis? </w:t>
      </w:r>
      <w:hyperlink r:id="rId20" w:tgtFrame="_new" w:history="1">
        <w:r w:rsidRPr="00031591">
          <w:rPr>
            <w:rStyle w:val="Hyperlink"/>
            <w:rFonts w:ascii="Times New Roman" w:hAnsi="Times New Roman" w:cs="Times New Roman"/>
            <w:lang w:val="en-IN"/>
          </w:rPr>
          <w:t>https://www.rheumatoidarthritis.org/ra/causes/index.html</w:t>
        </w:r>
      </w:hyperlink>
    </w:p>
    <w:p w14:paraId="5FE48FBE" w14:textId="58613696"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4.</w:t>
      </w:r>
      <w:r w:rsidRPr="00031591">
        <w:rPr>
          <w:rFonts w:ascii="Times New Roman" w:hAnsi="Times New Roman" w:cs="Times New Roman"/>
          <w:lang w:val="en-IN"/>
        </w:rPr>
        <w:t>Chauhan, K., Jandu, J. S., Brent, L. H., &amp; Al</w:t>
      </w:r>
      <w:r w:rsidRPr="00031591">
        <w:rPr>
          <w:rFonts w:ascii="Times New Roman" w:hAnsi="Times New Roman" w:cs="Times New Roman"/>
          <w:lang w:val="en-IN"/>
        </w:rPr>
        <w:noBreakHyphen/>
        <w:t xml:space="preserve">Dhahir, M. A. (2025). </w:t>
      </w:r>
      <w:r w:rsidRPr="00031591">
        <w:rPr>
          <w:rFonts w:ascii="Times New Roman" w:hAnsi="Times New Roman" w:cs="Times New Roman"/>
          <w:i/>
          <w:iCs/>
          <w:lang w:val="en-IN"/>
        </w:rPr>
        <w:t>Rheumatoid arthritis</w:t>
      </w:r>
      <w:r w:rsidRPr="00031591">
        <w:rPr>
          <w:rFonts w:ascii="Times New Roman" w:hAnsi="Times New Roman" w:cs="Times New Roman"/>
          <w:lang w:val="en-IN"/>
        </w:rPr>
        <w:t xml:space="preserve">. In StatPearls. StatPearls Publishing. </w:t>
      </w:r>
      <w:hyperlink r:id="rId21" w:tgtFrame="_new" w:history="1">
        <w:r w:rsidRPr="00031591">
          <w:rPr>
            <w:rStyle w:val="Hyperlink"/>
            <w:rFonts w:ascii="Times New Roman" w:hAnsi="Times New Roman" w:cs="Times New Roman"/>
            <w:lang w:val="en-IN"/>
          </w:rPr>
          <w:t>https://www.ncbi.nlm.nih.gov/books/NBK441999/</w:t>
        </w:r>
      </w:hyperlink>
    </w:p>
    <w:p w14:paraId="5E6B48C8" w14:textId="4F78E76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5.</w:t>
      </w:r>
      <w:r w:rsidRPr="00031591">
        <w:rPr>
          <w:rFonts w:ascii="Times New Roman" w:hAnsi="Times New Roman" w:cs="Times New Roman"/>
          <w:lang w:val="en-IN"/>
        </w:rPr>
        <w:t xml:space="preserve">Finkel, T., &amp; Holbrook, N. J. (2000). Oxidants, oxidative stress, and the biology of ageing. </w:t>
      </w:r>
      <w:r w:rsidRPr="00031591">
        <w:rPr>
          <w:rFonts w:ascii="Times New Roman" w:hAnsi="Times New Roman" w:cs="Times New Roman"/>
          <w:i/>
          <w:iCs/>
          <w:lang w:val="en-IN"/>
        </w:rPr>
        <w:t>Nature, 408</w:t>
      </w:r>
      <w:r w:rsidRPr="00031591">
        <w:rPr>
          <w:rFonts w:ascii="Times New Roman" w:hAnsi="Times New Roman" w:cs="Times New Roman"/>
          <w:lang w:val="en-IN"/>
        </w:rPr>
        <w:t xml:space="preserve">(6809), 239–247. </w:t>
      </w:r>
      <w:hyperlink r:id="rId22" w:tgtFrame="_new" w:history="1">
        <w:r w:rsidRPr="00031591">
          <w:rPr>
            <w:rStyle w:val="Hyperlink"/>
            <w:rFonts w:ascii="Times New Roman" w:hAnsi="Times New Roman" w:cs="Times New Roman"/>
            <w:lang w:val="en-IN"/>
          </w:rPr>
          <w:t>https://doi.org/10.1038/35041687</w:t>
        </w:r>
      </w:hyperlink>
    </w:p>
    <w:p w14:paraId="54D41BEA" w14:textId="2549E76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6.</w:t>
      </w:r>
      <w:r w:rsidRPr="00031591">
        <w:rPr>
          <w:rFonts w:ascii="Times New Roman" w:hAnsi="Times New Roman" w:cs="Times New Roman"/>
          <w:lang w:val="en-IN"/>
        </w:rPr>
        <w:t xml:space="preserve">Mishra, A. P., Kumar, R., Harilal, S., Nigam, M., Datta, D., &amp; Singh, S. (2024). Emerging landscape of in vitro models for assessing rheumatoid arthritis management. </w:t>
      </w:r>
      <w:r w:rsidRPr="00031591">
        <w:rPr>
          <w:rFonts w:ascii="Times New Roman" w:hAnsi="Times New Roman" w:cs="Times New Roman"/>
          <w:i/>
          <w:iCs/>
          <w:lang w:val="en-IN"/>
        </w:rPr>
        <w:t>ACS Pharmacology &amp; Translational Science, 7</w:t>
      </w:r>
      <w:r w:rsidRPr="00031591">
        <w:rPr>
          <w:rFonts w:ascii="Times New Roman" w:hAnsi="Times New Roman" w:cs="Times New Roman"/>
          <w:lang w:val="en-IN"/>
        </w:rPr>
        <w:t>(8), 2280–2305. https://doi.org/10.1021/acsptsci.4c00260</w:t>
      </w:r>
    </w:p>
    <w:p w14:paraId="683FB221" w14:textId="6541AC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7.</w:t>
      </w:r>
      <w:r w:rsidRPr="00031591">
        <w:rPr>
          <w:rFonts w:ascii="Times New Roman" w:hAnsi="Times New Roman" w:cs="Times New Roman"/>
          <w:lang w:val="en-IN"/>
        </w:rPr>
        <w:t xml:space="preserve">Lal, A., Yerraguntla, M., &amp; Gunti, K. (2024). Novel synthesis and biological evaluation of silver nanoparticles: Antimicrobial and anti-inflammatory effects in mammalian cells. </w:t>
      </w:r>
      <w:r w:rsidRPr="00031591">
        <w:rPr>
          <w:rFonts w:ascii="Times New Roman" w:hAnsi="Times New Roman" w:cs="Times New Roman"/>
          <w:i/>
          <w:iCs/>
          <w:lang w:val="en-IN"/>
        </w:rPr>
        <w:t>International Journal of Applied Nanotechnology, 10</w:t>
      </w:r>
      <w:r w:rsidRPr="00031591">
        <w:rPr>
          <w:rFonts w:ascii="Times New Roman" w:hAnsi="Times New Roman" w:cs="Times New Roman"/>
          <w:lang w:val="en-IN"/>
        </w:rPr>
        <w:t xml:space="preserve">(1), 48–66. </w:t>
      </w:r>
      <w:hyperlink r:id="rId23" w:tgtFrame="_new" w:history="1">
        <w:r w:rsidRPr="00031591">
          <w:rPr>
            <w:rStyle w:val="Hyperlink"/>
            <w:rFonts w:ascii="Times New Roman" w:hAnsi="Times New Roman" w:cs="Times New Roman"/>
            <w:lang w:val="en-IN"/>
          </w:rPr>
          <w:t>https://journalspub.com/wp-content/uploads/2024/08/Novel-Synthesis-and-Biological-Evaluation-of-Silver-Nanoparticles.pdf</w:t>
        </w:r>
      </w:hyperlink>
    </w:p>
    <w:p w14:paraId="6EA178D2" w14:textId="010870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8.</w:t>
      </w:r>
      <w:r w:rsidRPr="00031591">
        <w:rPr>
          <w:rFonts w:ascii="Times New Roman" w:hAnsi="Times New Roman" w:cs="Times New Roman"/>
          <w:lang w:val="en-IN"/>
        </w:rPr>
        <w:t xml:space="preserve">Mirshafiey, A., &amp; Mohsenzadegan, M. (2008). The role of reactive oxygen species in immunopathogenesis of rheumatoid arthritis. </w:t>
      </w:r>
      <w:r w:rsidRPr="00031591">
        <w:rPr>
          <w:rFonts w:ascii="Times New Roman" w:hAnsi="Times New Roman" w:cs="Times New Roman"/>
          <w:i/>
          <w:iCs/>
          <w:lang w:val="en-IN"/>
        </w:rPr>
        <w:t>Iranian Journal of Allergy, Asthma and Immunology, 7</w:t>
      </w:r>
      <w:r w:rsidRPr="00031591">
        <w:rPr>
          <w:rFonts w:ascii="Times New Roman" w:hAnsi="Times New Roman" w:cs="Times New Roman"/>
          <w:lang w:val="en-IN"/>
        </w:rPr>
        <w:t xml:space="preserve">(4), 195–202. </w:t>
      </w:r>
      <w:hyperlink r:id="rId24" w:tgtFrame="_new" w:history="1">
        <w:r w:rsidRPr="00031591">
          <w:rPr>
            <w:rStyle w:val="Hyperlink"/>
            <w:rFonts w:ascii="Times New Roman" w:hAnsi="Times New Roman" w:cs="Times New Roman"/>
            <w:lang w:val="en-IN"/>
          </w:rPr>
          <w:t>https://pubmed.ncbi.nlm.nih.gov/19052348/</w:t>
        </w:r>
      </w:hyperlink>
    </w:p>
    <w:p w14:paraId="43A51284" w14:textId="1A4AB4B0"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9.</w:t>
      </w:r>
      <w:r w:rsidRPr="00031591">
        <w:rPr>
          <w:rFonts w:ascii="Times New Roman" w:hAnsi="Times New Roman" w:cs="Times New Roman"/>
          <w:lang w:val="en-IN"/>
        </w:rPr>
        <w:t xml:space="preserve">Gudikandula, K., &amp; Maringanti, S. C. (2016). Green synthesis of silver nanoparticles using Acacia concinna fruit extract and its antibacterial activity. </w:t>
      </w:r>
      <w:r w:rsidRPr="00031591">
        <w:rPr>
          <w:rFonts w:ascii="Times New Roman" w:hAnsi="Times New Roman" w:cs="Times New Roman"/>
          <w:i/>
          <w:iCs/>
          <w:lang w:val="en-IN"/>
        </w:rPr>
        <w:t>Journal of Experimental Nanoscience, 11</w:t>
      </w:r>
      <w:r w:rsidRPr="00031591">
        <w:rPr>
          <w:rFonts w:ascii="Times New Roman" w:hAnsi="Times New Roman" w:cs="Times New Roman"/>
          <w:lang w:val="en-IN"/>
        </w:rPr>
        <w:t xml:space="preserve">(5), 365–374. </w:t>
      </w:r>
      <w:hyperlink r:id="rId25" w:tgtFrame="_new" w:history="1">
        <w:r w:rsidRPr="00031591">
          <w:rPr>
            <w:rStyle w:val="Hyperlink"/>
            <w:rFonts w:ascii="Times New Roman" w:hAnsi="Times New Roman" w:cs="Times New Roman"/>
            <w:lang w:val="en-IN"/>
          </w:rPr>
          <w:t>https://doi.org/10.1080/17458080.2016.1139196</w:t>
        </w:r>
      </w:hyperlink>
    </w:p>
    <w:p w14:paraId="2EC4201B" w14:textId="56C04B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10.</w:t>
      </w:r>
      <w:r w:rsidRPr="00031591">
        <w:rPr>
          <w:rFonts w:ascii="Times New Roman" w:hAnsi="Times New Roman" w:cs="Times New Roman"/>
          <w:lang w:val="en-IN"/>
        </w:rPr>
        <w:t xml:space="preserve">Woo, C. H., Lim, J. H., &amp; Kim, J. H. (2004). Lipopolysaccharide induces matrix metalloproteinase-9 expression via a mitochondrial reactive oxygen species–p38 kinase–activator protein-1 pathway in RAW 264.7 cells. </w:t>
      </w:r>
      <w:r w:rsidRPr="00031591">
        <w:rPr>
          <w:rFonts w:ascii="Times New Roman" w:hAnsi="Times New Roman" w:cs="Times New Roman"/>
          <w:i/>
          <w:iCs/>
          <w:lang w:val="en-IN"/>
        </w:rPr>
        <w:t>Journal of Immunology, 173</w:t>
      </w:r>
      <w:r w:rsidRPr="00031591">
        <w:rPr>
          <w:rFonts w:ascii="Times New Roman" w:hAnsi="Times New Roman" w:cs="Times New Roman"/>
          <w:lang w:val="en-IN"/>
        </w:rPr>
        <w:t xml:space="preserve">(11), 6973–6980. </w:t>
      </w:r>
      <w:hyperlink r:id="rId26" w:tgtFrame="_new" w:history="1">
        <w:r w:rsidRPr="00031591">
          <w:rPr>
            <w:rStyle w:val="Hyperlink"/>
            <w:rFonts w:ascii="Times New Roman" w:hAnsi="Times New Roman" w:cs="Times New Roman"/>
            <w:lang w:val="en-IN"/>
          </w:rPr>
          <w:t>https://doi.org/10.4049/jimmunol.173.11.6973</w:t>
        </w:r>
      </w:hyperlink>
    </w:p>
    <w:p w14:paraId="35107098" w14:textId="06BBF40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11.</w:t>
      </w:r>
      <w:r w:rsidRPr="00031591">
        <w:rPr>
          <w:rFonts w:ascii="Times New Roman" w:hAnsi="Times New Roman" w:cs="Times New Roman"/>
          <w:lang w:val="en-IN"/>
        </w:rPr>
        <w:t xml:space="preserve">Bottomley, M. J., Webb, N. J. A., Watson, C. J., Holt, P. J. L., Freemont, A. J., &amp; Brenchley, P. E. (1999). Peripheral blood mononuclear cells from patients with rheumatoid arthritis spontaneously secrete VEGF: Specific up-regulation by TNF-α in synovial fluid. </w:t>
      </w:r>
      <w:r w:rsidRPr="00031591">
        <w:rPr>
          <w:rFonts w:ascii="Times New Roman" w:hAnsi="Times New Roman" w:cs="Times New Roman"/>
          <w:i/>
          <w:iCs/>
          <w:lang w:val="en-IN"/>
        </w:rPr>
        <w:t>Clinical and Experimental Immunology, 117</w:t>
      </w:r>
      <w:r w:rsidRPr="00031591">
        <w:rPr>
          <w:rFonts w:ascii="Times New Roman" w:hAnsi="Times New Roman" w:cs="Times New Roman"/>
          <w:lang w:val="en-IN"/>
        </w:rPr>
        <w:t xml:space="preserve">(1), 171–176. </w:t>
      </w:r>
      <w:hyperlink r:id="rId27" w:tgtFrame="_new" w:history="1">
        <w:r w:rsidRPr="00031591">
          <w:rPr>
            <w:rStyle w:val="Hyperlink"/>
            <w:rFonts w:ascii="Times New Roman" w:hAnsi="Times New Roman" w:cs="Times New Roman"/>
            <w:lang w:val="en-IN"/>
          </w:rPr>
          <w:t>https://doi.org/10.1046/j.1365-2249.1999.00949.x</w:t>
        </w:r>
      </w:hyperlink>
    </w:p>
    <w:p w14:paraId="52BC4751" w14:textId="28BD2984"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12.</w:t>
      </w:r>
      <w:r w:rsidRPr="00031591">
        <w:rPr>
          <w:rFonts w:ascii="Times New Roman" w:hAnsi="Times New Roman" w:cs="Times New Roman"/>
          <w:lang w:val="en-IN"/>
        </w:rPr>
        <w:t>Longhin, E. M., El Yamani, N., Rundén</w:t>
      </w:r>
      <w:r w:rsidRPr="00031591">
        <w:rPr>
          <w:rFonts w:ascii="Times New Roman" w:hAnsi="Times New Roman" w:cs="Times New Roman"/>
          <w:lang w:val="en-IN"/>
        </w:rPr>
        <w:noBreakHyphen/>
        <w:t xml:space="preserve">Pran, E., &amp; Dusinska, M. (2022). The Alamar Blue assay in the context of safety testing of nanomaterials. </w:t>
      </w:r>
      <w:r w:rsidRPr="00031591">
        <w:rPr>
          <w:rFonts w:ascii="Times New Roman" w:hAnsi="Times New Roman" w:cs="Times New Roman"/>
          <w:i/>
          <w:iCs/>
          <w:lang w:val="en-IN"/>
        </w:rPr>
        <w:t>Frontiers in Toxicology, 4</w:t>
      </w:r>
      <w:r w:rsidRPr="00031591">
        <w:rPr>
          <w:rFonts w:ascii="Times New Roman" w:hAnsi="Times New Roman" w:cs="Times New Roman"/>
          <w:lang w:val="en-IN"/>
        </w:rPr>
        <w:t xml:space="preserve">, 981701. </w:t>
      </w:r>
      <w:hyperlink r:id="rId28" w:tgtFrame="_new" w:history="1">
        <w:r w:rsidRPr="00031591">
          <w:rPr>
            <w:rStyle w:val="Hyperlink"/>
            <w:rFonts w:ascii="Times New Roman" w:hAnsi="Times New Roman" w:cs="Times New Roman"/>
            <w:lang w:val="en-IN"/>
          </w:rPr>
          <w:t>https://doi.org/10.3389/ftox.2022.981701</w:t>
        </w:r>
      </w:hyperlink>
    </w:p>
    <w:p w14:paraId="1C08CEF0" w14:textId="73BE735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13.</w:t>
      </w:r>
      <w:r w:rsidRPr="00031591">
        <w:rPr>
          <w:rFonts w:ascii="Times New Roman" w:hAnsi="Times New Roman" w:cs="Times New Roman"/>
          <w:lang w:val="en-IN"/>
        </w:rPr>
        <w:t xml:space="preserve">OntoSight. (2025). Dichlorofluorescein Diacetate (DCF-DA). </w:t>
      </w:r>
      <w:hyperlink r:id="rId29" w:tgtFrame="_new" w:history="1">
        <w:r w:rsidRPr="00031591">
          <w:rPr>
            <w:rStyle w:val="Hyperlink"/>
            <w:rFonts w:ascii="Times New Roman" w:hAnsi="Times New Roman" w:cs="Times New Roman"/>
            <w:lang w:val="en-IN"/>
          </w:rPr>
          <w:t>https://ontosight.ai/glossary/term/Dichlorofluorescein-Diacetate---DCF-DA</w:t>
        </w:r>
      </w:hyperlink>
    </w:p>
    <w:p w14:paraId="18F77EDE" w14:textId="2153704A"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14.</w:t>
      </w:r>
      <w:r w:rsidRPr="00031591">
        <w:rPr>
          <w:rFonts w:ascii="Times New Roman" w:hAnsi="Times New Roman" w:cs="Times New Roman"/>
          <w:lang w:val="en-IN"/>
        </w:rPr>
        <w:t xml:space="preserve">Alhajj, M., Zubair, M., &amp; Farhana, A. (2023). Enzyme-linked immunosorbent assay. In </w:t>
      </w:r>
      <w:r w:rsidRPr="00031591">
        <w:rPr>
          <w:rFonts w:ascii="Times New Roman" w:hAnsi="Times New Roman" w:cs="Times New Roman"/>
          <w:i/>
          <w:iCs/>
          <w:lang w:val="en-IN"/>
        </w:rPr>
        <w:t>StatPearls</w:t>
      </w:r>
      <w:r w:rsidRPr="00031591">
        <w:rPr>
          <w:rFonts w:ascii="Times New Roman" w:hAnsi="Times New Roman" w:cs="Times New Roman"/>
          <w:lang w:val="en-IN"/>
        </w:rPr>
        <w:t xml:space="preserve">. StatPearls Publishing. </w:t>
      </w:r>
      <w:hyperlink r:id="rId30" w:tgtFrame="_new" w:history="1">
        <w:r w:rsidRPr="00031591">
          <w:rPr>
            <w:rStyle w:val="Hyperlink"/>
            <w:rFonts w:ascii="Times New Roman" w:hAnsi="Times New Roman" w:cs="Times New Roman"/>
            <w:lang w:val="en-IN"/>
          </w:rPr>
          <w:t>https://www.ncbi.nlm.nih.gov/books/NBK555922/</w:t>
        </w:r>
      </w:hyperlink>
    </w:p>
    <w:p w14:paraId="69CACE88" w14:textId="2C4733C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15.</w:t>
      </w:r>
      <w:r w:rsidRPr="00031591">
        <w:rPr>
          <w:rFonts w:ascii="Times New Roman" w:hAnsi="Times New Roman" w:cs="Times New Roman"/>
          <w:lang w:val="en-IN"/>
        </w:rPr>
        <w:t xml:space="preserve">McKinnon, K. M. (2018). Flow cytometry: An overview. </w:t>
      </w:r>
      <w:r w:rsidRPr="00031591">
        <w:rPr>
          <w:rFonts w:ascii="Times New Roman" w:hAnsi="Times New Roman" w:cs="Times New Roman"/>
          <w:i/>
          <w:iCs/>
          <w:lang w:val="en-IN"/>
        </w:rPr>
        <w:t>Current Protocols in Immunology, 120</w:t>
      </w:r>
      <w:r w:rsidRPr="00031591">
        <w:rPr>
          <w:rFonts w:ascii="Times New Roman" w:hAnsi="Times New Roman" w:cs="Times New Roman"/>
          <w:lang w:val="en-IN"/>
        </w:rPr>
        <w:t xml:space="preserve">(1), 5.1.1–5.1.11. </w:t>
      </w:r>
      <w:hyperlink r:id="rId31" w:tgtFrame="_new" w:history="1">
        <w:r w:rsidRPr="00031591">
          <w:rPr>
            <w:rStyle w:val="Hyperlink"/>
            <w:rFonts w:ascii="Times New Roman" w:hAnsi="Times New Roman" w:cs="Times New Roman"/>
            <w:lang w:val="en-IN"/>
          </w:rPr>
          <w:t>https://www.ncbi.nlm.nih.gov/pmc/articles/PMC5939936/</w:t>
        </w:r>
      </w:hyperlink>
    </w:p>
    <w:p w14:paraId="246226FA" w14:textId="7D514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16.</w:t>
      </w:r>
      <w:r w:rsidRPr="00031591">
        <w:rPr>
          <w:rFonts w:ascii="Times New Roman" w:hAnsi="Times New Roman" w:cs="Times New Roman"/>
          <w:lang w:val="en-IN"/>
        </w:rPr>
        <w:t xml:space="preserve">ScienceDirect. (2025). Cell cycle analysis. In </w:t>
      </w:r>
      <w:r w:rsidRPr="00031591">
        <w:rPr>
          <w:rFonts w:ascii="Times New Roman" w:hAnsi="Times New Roman" w:cs="Times New Roman"/>
          <w:i/>
          <w:iCs/>
          <w:lang w:val="en-IN"/>
        </w:rPr>
        <w:t>Medicine and Dentistry</w:t>
      </w:r>
      <w:r w:rsidRPr="00031591">
        <w:rPr>
          <w:rFonts w:ascii="Times New Roman" w:hAnsi="Times New Roman" w:cs="Times New Roman"/>
          <w:lang w:val="en-IN"/>
        </w:rPr>
        <w:t xml:space="preserve">. Elsevier. </w:t>
      </w:r>
      <w:hyperlink r:id="rId32" w:tgtFrame="_new" w:history="1">
        <w:r w:rsidRPr="00031591">
          <w:rPr>
            <w:rStyle w:val="Hyperlink"/>
            <w:rFonts w:ascii="Times New Roman" w:hAnsi="Times New Roman" w:cs="Times New Roman"/>
            <w:lang w:val="en-IN"/>
          </w:rPr>
          <w:t>https://www.sciencedirect.com/topics/medicine-and-dentistry/cell-cycle-analysis</w:t>
        </w:r>
      </w:hyperlink>
    </w:p>
    <w:p w14:paraId="647E0A0D" w14:textId="2867042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17.</w:t>
      </w:r>
      <w:r w:rsidRPr="00031591">
        <w:rPr>
          <w:rFonts w:ascii="Times New Roman" w:hAnsi="Times New Roman" w:cs="Times New Roman"/>
          <w:lang w:val="en-IN"/>
        </w:rPr>
        <w:t xml:space="preserve">Zucker, R. M., Ortenzio, J., Degn, L. L., Lerner, J. M., &amp; Boyes, W. K. (2019). Biophysical comparison of four silver nanoparticle coatings using microscopy, hyperspectral imaging and flow cytometry. </w:t>
      </w:r>
      <w:r w:rsidRPr="00031591">
        <w:rPr>
          <w:rFonts w:ascii="Times New Roman" w:hAnsi="Times New Roman" w:cs="Times New Roman"/>
          <w:i/>
          <w:iCs/>
          <w:lang w:val="en-IN"/>
        </w:rPr>
        <w:t>PLOS ONE, 14</w:t>
      </w:r>
      <w:r w:rsidRPr="00031591">
        <w:rPr>
          <w:rFonts w:ascii="Times New Roman" w:hAnsi="Times New Roman" w:cs="Times New Roman"/>
          <w:lang w:val="en-IN"/>
        </w:rPr>
        <w:t xml:space="preserve">(7), e0219078. </w:t>
      </w:r>
      <w:hyperlink r:id="rId33" w:tgtFrame="_new" w:history="1">
        <w:r w:rsidRPr="00031591">
          <w:rPr>
            <w:rStyle w:val="Hyperlink"/>
            <w:rFonts w:ascii="Times New Roman" w:hAnsi="Times New Roman" w:cs="Times New Roman"/>
            <w:lang w:val="en-IN"/>
          </w:rPr>
          <w:t>https://doi.org/10.1371/journal.pone.0219078</w:t>
        </w:r>
      </w:hyperlink>
    </w:p>
    <w:p w14:paraId="52548EA1" w14:textId="1F8584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18.</w:t>
      </w:r>
      <w:r w:rsidRPr="00031591">
        <w:rPr>
          <w:rFonts w:ascii="Times New Roman" w:hAnsi="Times New Roman" w:cs="Times New Roman"/>
          <w:lang w:val="en-IN"/>
        </w:rPr>
        <w:t xml:space="preserve">Boyles, M., Murphy, F., Mueller, W., Wohlleben, W., Jacobsen, N. R., Braakhuis, H., … Stone, V. (2022). Development of a standard operating procedure for the DCFH2-DA acellular assessment of ROS produced by nanomaterials. </w:t>
      </w:r>
      <w:r w:rsidRPr="00031591">
        <w:rPr>
          <w:rFonts w:ascii="Times New Roman" w:hAnsi="Times New Roman" w:cs="Times New Roman"/>
          <w:i/>
          <w:iCs/>
          <w:lang w:val="en-IN"/>
        </w:rPr>
        <w:t>Toxicology Mechanisms and Methods, 32</w:t>
      </w:r>
      <w:r w:rsidRPr="00031591">
        <w:rPr>
          <w:rFonts w:ascii="Times New Roman" w:hAnsi="Times New Roman" w:cs="Times New Roman"/>
          <w:lang w:val="en-IN"/>
        </w:rPr>
        <w:t xml:space="preserve">(6), 439–452. </w:t>
      </w:r>
      <w:hyperlink r:id="rId34" w:tgtFrame="_new" w:history="1">
        <w:r w:rsidRPr="00031591">
          <w:rPr>
            <w:rStyle w:val="Hyperlink"/>
            <w:rFonts w:ascii="Times New Roman" w:hAnsi="Times New Roman" w:cs="Times New Roman"/>
            <w:lang w:val="en-IN"/>
          </w:rPr>
          <w:t>https://doi.org/10.1080/15376516.2022.2029656</w:t>
        </w:r>
      </w:hyperlink>
    </w:p>
    <w:p w14:paraId="10F0A4A3" w14:textId="480314E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19.</w:t>
      </w:r>
      <w:r w:rsidRPr="00031591">
        <w:rPr>
          <w:rFonts w:ascii="Times New Roman" w:hAnsi="Times New Roman" w:cs="Times New Roman"/>
          <w:lang w:val="en-IN"/>
        </w:rPr>
        <w:t xml:space="preserve">Sharma, N., Arya, G., Kumari, R. M., Gupta, N., &amp; Nimesh, S. (2019). Evaluation of anticancer activity of silver nanoparticles on the A549 human lung carcinoma cell lines through Alamar Blue assay. </w:t>
      </w:r>
      <w:r w:rsidRPr="00031591">
        <w:rPr>
          <w:rFonts w:ascii="Times New Roman" w:hAnsi="Times New Roman" w:cs="Times New Roman"/>
          <w:i/>
          <w:iCs/>
          <w:lang w:val="en-IN"/>
        </w:rPr>
        <w:t>Bio-protocol, 9</w:t>
      </w:r>
      <w:r w:rsidRPr="00031591">
        <w:rPr>
          <w:rFonts w:ascii="Times New Roman" w:hAnsi="Times New Roman" w:cs="Times New Roman"/>
          <w:lang w:val="en-IN"/>
        </w:rPr>
        <w:t xml:space="preserve">(1), e3131. </w:t>
      </w:r>
      <w:hyperlink r:id="rId35" w:tgtFrame="_new" w:history="1">
        <w:r w:rsidRPr="00031591">
          <w:rPr>
            <w:rStyle w:val="Hyperlink"/>
            <w:rFonts w:ascii="Times New Roman" w:hAnsi="Times New Roman" w:cs="Times New Roman"/>
            <w:lang w:val="en-IN"/>
          </w:rPr>
          <w:t>https://doi.org/10.21769/BioProtoc.3131</w:t>
        </w:r>
      </w:hyperlink>
    </w:p>
    <w:p w14:paraId="7AE8B523" w14:textId="6FBFE8B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20.</w:t>
      </w:r>
      <w:r w:rsidRPr="00031591">
        <w:rPr>
          <w:rFonts w:ascii="Times New Roman" w:hAnsi="Times New Roman" w:cs="Times New Roman"/>
          <w:lang w:val="en-IN"/>
        </w:rPr>
        <w:t xml:space="preserve">Hornbeck, P. (2007). Enzyme-linked immunosorbent assays (ELISA). </w:t>
      </w:r>
      <w:hyperlink r:id="rId36" w:tgtFrame="_new" w:history="1">
        <w:r w:rsidRPr="00031591">
          <w:rPr>
            <w:rStyle w:val="Hyperlink"/>
            <w:rFonts w:ascii="Times New Roman" w:hAnsi="Times New Roman" w:cs="Times New Roman"/>
            <w:lang w:val="en-IN"/>
          </w:rPr>
          <w:t>https://www.researchgate.net/publication/5587207</w:t>
        </w:r>
      </w:hyperlink>
    </w:p>
    <w:p w14:paraId="4C79FB32" w14:textId="02FB8F6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21.</w:t>
      </w:r>
      <w:r w:rsidRPr="00031591">
        <w:rPr>
          <w:rFonts w:ascii="Times New Roman" w:hAnsi="Times New Roman" w:cs="Times New Roman"/>
          <w:lang w:val="en-IN"/>
        </w:rPr>
        <w:t xml:space="preserve">Nithyashree, R. S., &amp; Deveswaran, R. (2020). A comprehensive review on rheumatoid arthritis. </w:t>
      </w:r>
      <w:r w:rsidRPr="00031591">
        <w:rPr>
          <w:rFonts w:ascii="Times New Roman" w:hAnsi="Times New Roman" w:cs="Times New Roman"/>
          <w:i/>
          <w:iCs/>
          <w:lang w:val="en-IN"/>
        </w:rPr>
        <w:t>Journal of Pharmaceutical Research International, 32</w:t>
      </w:r>
      <w:r w:rsidRPr="00031591">
        <w:rPr>
          <w:rFonts w:ascii="Times New Roman" w:hAnsi="Times New Roman" w:cs="Times New Roman"/>
          <w:lang w:val="en-IN"/>
        </w:rPr>
        <w:t xml:space="preserve">(12), 18–32. </w:t>
      </w:r>
      <w:hyperlink r:id="rId37" w:tgtFrame="_new" w:history="1">
        <w:r w:rsidRPr="00031591">
          <w:rPr>
            <w:rStyle w:val="Hyperlink"/>
            <w:rFonts w:ascii="Times New Roman" w:hAnsi="Times New Roman" w:cs="Times New Roman"/>
            <w:lang w:val="en-IN"/>
          </w:rPr>
          <w:t>https://doi.org/10.9734/jpri/2020/v32i1230556</w:t>
        </w:r>
      </w:hyperlink>
    </w:p>
    <w:p w14:paraId="7EA69430" w14:textId="14AA28C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22.</w:t>
      </w:r>
      <w:r w:rsidRPr="00031591">
        <w:rPr>
          <w:rFonts w:ascii="Times New Roman" w:hAnsi="Times New Roman" w:cs="Times New Roman"/>
          <w:lang w:val="en-IN"/>
        </w:rPr>
        <w:t xml:space="preserve">Kabara, A. L., Patil, P. S., &amp; Mohan, P. B. (2023). Safety profile of methotrexate in patients with rheumatoid arthritis. </w:t>
      </w:r>
      <w:r w:rsidRPr="00031591">
        <w:rPr>
          <w:rFonts w:ascii="Times New Roman" w:hAnsi="Times New Roman" w:cs="Times New Roman"/>
          <w:i/>
          <w:iCs/>
          <w:lang w:val="en-IN"/>
        </w:rPr>
        <w:t>Journal of Advances in Medicine and Medical Research, 35</w:t>
      </w:r>
      <w:r w:rsidRPr="00031591">
        <w:rPr>
          <w:rFonts w:ascii="Times New Roman" w:hAnsi="Times New Roman" w:cs="Times New Roman"/>
          <w:lang w:val="en-IN"/>
        </w:rPr>
        <w:t xml:space="preserve">(15), 79–87. </w:t>
      </w:r>
      <w:hyperlink r:id="rId38" w:tgtFrame="_new" w:history="1">
        <w:r w:rsidRPr="00031591">
          <w:rPr>
            <w:rStyle w:val="Hyperlink"/>
            <w:rFonts w:ascii="Times New Roman" w:hAnsi="Times New Roman" w:cs="Times New Roman"/>
            <w:lang w:val="en-IN"/>
          </w:rPr>
          <w:t>https://doi.org/10.9734/jammr/2023/v35i155080</w:t>
        </w:r>
      </w:hyperlink>
    </w:p>
    <w:p w14:paraId="578FEC46" w14:textId="5A36502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23.</w:t>
      </w:r>
      <w:r w:rsidRPr="00031591">
        <w:rPr>
          <w:rFonts w:ascii="Times New Roman" w:hAnsi="Times New Roman" w:cs="Times New Roman"/>
          <w:lang w:val="en-IN"/>
        </w:rPr>
        <w:t xml:space="preserve">Samrot, A. V., Ram Singh, S. P., Deenadhayalan, R., Rajesh, V. V., Padmanaban, S., &amp; Radhakrishnan, K. (2022). Nanoparticles, a double-edged sword with oxidant as well as antioxidant properties—A review. </w:t>
      </w:r>
      <w:r w:rsidRPr="00031591">
        <w:rPr>
          <w:rFonts w:ascii="Times New Roman" w:hAnsi="Times New Roman" w:cs="Times New Roman"/>
          <w:i/>
          <w:iCs/>
          <w:lang w:val="en-IN"/>
        </w:rPr>
        <w:t>Oxygen, 2</w:t>
      </w:r>
      <w:r w:rsidRPr="00031591">
        <w:rPr>
          <w:rFonts w:ascii="Times New Roman" w:hAnsi="Times New Roman" w:cs="Times New Roman"/>
          <w:lang w:val="en-IN"/>
        </w:rPr>
        <w:t xml:space="preserve">(4), 591–604. </w:t>
      </w:r>
      <w:hyperlink r:id="rId39" w:tgtFrame="_new" w:history="1">
        <w:r w:rsidRPr="00031591">
          <w:rPr>
            <w:rStyle w:val="Hyperlink"/>
            <w:rFonts w:ascii="Times New Roman" w:hAnsi="Times New Roman" w:cs="Times New Roman"/>
            <w:lang w:val="en-IN"/>
          </w:rPr>
          <w:t>https://doi.org/10.3390/oxygen2040039</w:t>
        </w:r>
      </w:hyperlink>
    </w:p>
    <w:p w14:paraId="47681691" w14:textId="75BFFFC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24.</w:t>
      </w:r>
      <w:r w:rsidRPr="00031591">
        <w:rPr>
          <w:rFonts w:ascii="Times New Roman" w:hAnsi="Times New Roman" w:cs="Times New Roman"/>
          <w:lang w:val="en-IN"/>
        </w:rPr>
        <w:t xml:space="preserve">Redolfi Bristol, D., Yamamoto, K., Marin, E., Zhu, W., Mazda, O., Riello, P., &amp; Pezzotti, G. (2024). Exploring the cellular antioxidant mechanism against cytotoxic silver nanoparticles: A Raman spectroscopic analysis. </w:t>
      </w:r>
      <w:r w:rsidRPr="00031591">
        <w:rPr>
          <w:rFonts w:ascii="Times New Roman" w:hAnsi="Times New Roman" w:cs="Times New Roman"/>
          <w:i/>
          <w:iCs/>
          <w:lang w:val="en-IN"/>
        </w:rPr>
        <w:t>Nanoscale, 16</w:t>
      </w:r>
      <w:r w:rsidRPr="00031591">
        <w:rPr>
          <w:rFonts w:ascii="Times New Roman" w:hAnsi="Times New Roman" w:cs="Times New Roman"/>
          <w:lang w:val="en-IN"/>
        </w:rPr>
        <w:t xml:space="preserve">(18), 9985–9997. </w:t>
      </w:r>
      <w:hyperlink r:id="rId40" w:tgtFrame="_new" w:history="1">
        <w:r w:rsidRPr="00031591">
          <w:rPr>
            <w:rStyle w:val="Hyperlink"/>
            <w:rFonts w:ascii="Times New Roman" w:hAnsi="Times New Roman" w:cs="Times New Roman"/>
            <w:lang w:val="en-IN"/>
          </w:rPr>
          <w:t>https://doi.org/10.1039/D4NR00462K</w:t>
        </w:r>
      </w:hyperlink>
    </w:p>
    <w:p w14:paraId="7F368A0B" w14:textId="605B030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25.</w:t>
      </w:r>
      <w:r w:rsidRPr="00031591">
        <w:rPr>
          <w:rFonts w:ascii="Times New Roman" w:hAnsi="Times New Roman" w:cs="Times New Roman"/>
          <w:lang w:val="en-IN"/>
        </w:rPr>
        <w:t xml:space="preserve">Rosic, G. (Ed.). (2022). Nanoparticle induced toxicities: An update on the role of oxidative stress. </w:t>
      </w:r>
      <w:r w:rsidRPr="00031591">
        <w:rPr>
          <w:rFonts w:ascii="Times New Roman" w:hAnsi="Times New Roman" w:cs="Times New Roman"/>
          <w:i/>
          <w:iCs/>
          <w:lang w:val="en-IN"/>
        </w:rPr>
        <w:t>Oxidative Medicine and Cellular Longevity, 2022</w:t>
      </w:r>
      <w:r w:rsidRPr="00031591">
        <w:rPr>
          <w:rFonts w:ascii="Times New Roman" w:hAnsi="Times New Roman" w:cs="Times New Roman"/>
          <w:lang w:val="en-IN"/>
        </w:rPr>
        <w:t xml:space="preserve">, 9895061. </w:t>
      </w:r>
      <w:hyperlink r:id="rId41" w:tgtFrame="_new" w:history="1">
        <w:r w:rsidRPr="00031591">
          <w:rPr>
            <w:rStyle w:val="Hyperlink"/>
            <w:rFonts w:ascii="Times New Roman" w:hAnsi="Times New Roman" w:cs="Times New Roman"/>
            <w:lang w:val="en-IN"/>
          </w:rPr>
          <w:t>https://doi.org/10.1155/2022/9895061</w:t>
        </w:r>
      </w:hyperlink>
    </w:p>
    <w:p w14:paraId="6A5AD23D" w14:textId="157F465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26.</w:t>
      </w:r>
      <w:r w:rsidRPr="00031591">
        <w:rPr>
          <w:rFonts w:ascii="Times New Roman" w:hAnsi="Times New Roman" w:cs="Times New Roman"/>
          <w:lang w:val="en-IN"/>
        </w:rPr>
        <w:t xml:space="preserve">Carvalho Silva, J. M., &amp; dos Reis, A. C. (2024). Anti-inflammatory action of silver nanoparticles in vivo: Systematic review and meta-analysis. </w:t>
      </w:r>
      <w:r w:rsidRPr="00031591">
        <w:rPr>
          <w:rFonts w:ascii="Times New Roman" w:hAnsi="Times New Roman" w:cs="Times New Roman"/>
          <w:i/>
          <w:iCs/>
          <w:lang w:val="en-IN"/>
        </w:rPr>
        <w:t>Heliyon, 10</w:t>
      </w:r>
      <w:r w:rsidRPr="00031591">
        <w:rPr>
          <w:rFonts w:ascii="Times New Roman" w:hAnsi="Times New Roman" w:cs="Times New Roman"/>
          <w:lang w:val="en-IN"/>
        </w:rPr>
        <w:t xml:space="preserve">(18), e34564. </w:t>
      </w:r>
      <w:hyperlink r:id="rId42" w:tgtFrame="_new" w:history="1">
        <w:r w:rsidRPr="00031591">
          <w:rPr>
            <w:rStyle w:val="Hyperlink"/>
            <w:rFonts w:ascii="Times New Roman" w:hAnsi="Times New Roman" w:cs="Times New Roman"/>
            <w:lang w:val="en-IN"/>
          </w:rPr>
          <w:t>https://doi.org/10.1016/j.heliyon.2024.e34564</w:t>
        </w:r>
      </w:hyperlink>
    </w:p>
    <w:p w14:paraId="0B83DDA8" w14:textId="77777777" w:rsidR="00EA0148" w:rsidRPr="000B61C2" w:rsidRDefault="00EA0148" w:rsidP="00B07F00">
      <w:pPr>
        <w:spacing w:line="360" w:lineRule="auto"/>
        <w:jc w:val="both"/>
        <w:rPr>
          <w:rFonts w:ascii="Times New Roman" w:hAnsi="Times New Roman" w:cs="Times New Roman"/>
        </w:rPr>
      </w:pPr>
    </w:p>
    <w:p w14:paraId="09ABF756" w14:textId="46592918" w:rsidR="00C5508E" w:rsidRPr="000B61C2" w:rsidRDefault="00C5508E" w:rsidP="00B07F00">
      <w:pPr>
        <w:spacing w:line="360" w:lineRule="auto"/>
        <w:jc w:val="both"/>
        <w:rPr>
          <w:rFonts w:ascii="Times New Roman" w:hAnsi="Times New Roman" w:cs="Times New Roman"/>
        </w:rPr>
      </w:pPr>
    </w:p>
    <w:sectPr w:rsidR="00C5508E" w:rsidRPr="000B61C2" w:rsidSect="00E46DB7">
      <w:headerReference w:type="even" r:id="rId43"/>
      <w:headerReference w:type="default" r:id="rId44"/>
      <w:headerReference w:type="first" r:id="rId4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8EA5" w14:textId="77777777" w:rsidR="008B663F" w:rsidRDefault="008B663F" w:rsidP="009474BB">
      <w:pPr>
        <w:spacing w:after="0"/>
      </w:pPr>
      <w:r>
        <w:separator/>
      </w:r>
    </w:p>
  </w:endnote>
  <w:endnote w:type="continuationSeparator" w:id="0">
    <w:p w14:paraId="6D369653" w14:textId="77777777" w:rsidR="008B663F" w:rsidRDefault="008B663F" w:rsidP="00947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7399" w14:textId="77777777" w:rsidR="008B663F" w:rsidRDefault="008B663F" w:rsidP="009474BB">
      <w:pPr>
        <w:spacing w:after="0"/>
      </w:pPr>
      <w:r>
        <w:separator/>
      </w:r>
    </w:p>
  </w:footnote>
  <w:footnote w:type="continuationSeparator" w:id="0">
    <w:p w14:paraId="2330BA24" w14:textId="77777777" w:rsidR="008B663F" w:rsidRDefault="008B663F" w:rsidP="00947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1C7F" w14:textId="3644C99F" w:rsidR="00614F6A" w:rsidRDefault="008B663F">
    <w:pPr>
      <w:pStyle w:val="Header"/>
    </w:pPr>
    <w:r>
      <w:rPr>
        <w:noProof/>
      </w:rPr>
      <w:pict w14:anchorId="1BF58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5128" w14:textId="18BCB6F5" w:rsidR="00614F6A" w:rsidRDefault="008B663F">
    <w:pPr>
      <w:pStyle w:val="Header"/>
    </w:pPr>
    <w:r>
      <w:rPr>
        <w:noProof/>
      </w:rPr>
      <w:pict w14:anchorId="2FD1A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05C" w14:textId="561636D5" w:rsidR="00614F6A" w:rsidRDefault="008B663F">
    <w:pPr>
      <w:pStyle w:val="Header"/>
    </w:pPr>
    <w:r>
      <w:rPr>
        <w:noProof/>
      </w:rPr>
      <w:pict w14:anchorId="2E74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6172C7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20433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4E14CBF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AC78002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1C16D54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A8DEB82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3B101DBC"/>
    <w:multiLevelType w:val="multilevel"/>
    <w:tmpl w:val="F0E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78"/>
    <w:rsid w:val="0001461F"/>
    <w:rsid w:val="00014AF3"/>
    <w:rsid w:val="00015FA2"/>
    <w:rsid w:val="0002721B"/>
    <w:rsid w:val="00031591"/>
    <w:rsid w:val="00044F78"/>
    <w:rsid w:val="00050EAB"/>
    <w:rsid w:val="0005354E"/>
    <w:rsid w:val="0006079F"/>
    <w:rsid w:val="00062AE8"/>
    <w:rsid w:val="00067591"/>
    <w:rsid w:val="00076772"/>
    <w:rsid w:val="00094C34"/>
    <w:rsid w:val="000B117D"/>
    <w:rsid w:val="000B5D0D"/>
    <w:rsid w:val="000B61C2"/>
    <w:rsid w:val="000E706F"/>
    <w:rsid w:val="000F107E"/>
    <w:rsid w:val="00103CE8"/>
    <w:rsid w:val="00110F5F"/>
    <w:rsid w:val="00114B44"/>
    <w:rsid w:val="00130B26"/>
    <w:rsid w:val="00134B83"/>
    <w:rsid w:val="00174165"/>
    <w:rsid w:val="00191250"/>
    <w:rsid w:val="001C2784"/>
    <w:rsid w:val="001C32AF"/>
    <w:rsid w:val="001C5314"/>
    <w:rsid w:val="001D3D85"/>
    <w:rsid w:val="001E142C"/>
    <w:rsid w:val="001E16A6"/>
    <w:rsid w:val="001F4AA4"/>
    <w:rsid w:val="001F606C"/>
    <w:rsid w:val="00205EE1"/>
    <w:rsid w:val="0020602C"/>
    <w:rsid w:val="002252E3"/>
    <w:rsid w:val="00234B1C"/>
    <w:rsid w:val="002410D6"/>
    <w:rsid w:val="00244A84"/>
    <w:rsid w:val="0025685C"/>
    <w:rsid w:val="00264F96"/>
    <w:rsid w:val="00271DC0"/>
    <w:rsid w:val="00280953"/>
    <w:rsid w:val="00293BB1"/>
    <w:rsid w:val="002A0FCD"/>
    <w:rsid w:val="002A78CD"/>
    <w:rsid w:val="002E6168"/>
    <w:rsid w:val="002F5F3E"/>
    <w:rsid w:val="003064EE"/>
    <w:rsid w:val="0031579C"/>
    <w:rsid w:val="00317F7B"/>
    <w:rsid w:val="00333193"/>
    <w:rsid w:val="0034438E"/>
    <w:rsid w:val="00351C1F"/>
    <w:rsid w:val="003533D5"/>
    <w:rsid w:val="00364F75"/>
    <w:rsid w:val="00365A8E"/>
    <w:rsid w:val="00374BC2"/>
    <w:rsid w:val="00384365"/>
    <w:rsid w:val="00391018"/>
    <w:rsid w:val="00391AE3"/>
    <w:rsid w:val="003945BF"/>
    <w:rsid w:val="003B1B40"/>
    <w:rsid w:val="003B542E"/>
    <w:rsid w:val="003E1686"/>
    <w:rsid w:val="003F29D1"/>
    <w:rsid w:val="0041003B"/>
    <w:rsid w:val="004147AF"/>
    <w:rsid w:val="004156E1"/>
    <w:rsid w:val="004237D2"/>
    <w:rsid w:val="00431ADA"/>
    <w:rsid w:val="00456715"/>
    <w:rsid w:val="004707F3"/>
    <w:rsid w:val="004973DC"/>
    <w:rsid w:val="004B392F"/>
    <w:rsid w:val="004B6211"/>
    <w:rsid w:val="004E138A"/>
    <w:rsid w:val="004E1E69"/>
    <w:rsid w:val="004E38C7"/>
    <w:rsid w:val="004E5AC2"/>
    <w:rsid w:val="004F6F35"/>
    <w:rsid w:val="005023FE"/>
    <w:rsid w:val="00517818"/>
    <w:rsid w:val="00523781"/>
    <w:rsid w:val="00525C84"/>
    <w:rsid w:val="005468AA"/>
    <w:rsid w:val="00556A60"/>
    <w:rsid w:val="005704CF"/>
    <w:rsid w:val="0058182A"/>
    <w:rsid w:val="005827EA"/>
    <w:rsid w:val="0058456B"/>
    <w:rsid w:val="005B48D2"/>
    <w:rsid w:val="005C330D"/>
    <w:rsid w:val="005E633A"/>
    <w:rsid w:val="005E6E62"/>
    <w:rsid w:val="0060334D"/>
    <w:rsid w:val="00606C6D"/>
    <w:rsid w:val="00614F6A"/>
    <w:rsid w:val="00623F62"/>
    <w:rsid w:val="006264A1"/>
    <w:rsid w:val="0063212B"/>
    <w:rsid w:val="006402E9"/>
    <w:rsid w:val="00643B70"/>
    <w:rsid w:val="00674698"/>
    <w:rsid w:val="00696F67"/>
    <w:rsid w:val="006B181A"/>
    <w:rsid w:val="006B51AC"/>
    <w:rsid w:val="006C5E64"/>
    <w:rsid w:val="006D5427"/>
    <w:rsid w:val="006D5ED2"/>
    <w:rsid w:val="00702ABB"/>
    <w:rsid w:val="0070319A"/>
    <w:rsid w:val="007050BF"/>
    <w:rsid w:val="00710DEA"/>
    <w:rsid w:val="00720FB6"/>
    <w:rsid w:val="00723223"/>
    <w:rsid w:val="007242D7"/>
    <w:rsid w:val="00725636"/>
    <w:rsid w:val="00727EB6"/>
    <w:rsid w:val="00734341"/>
    <w:rsid w:val="007476BE"/>
    <w:rsid w:val="0074771E"/>
    <w:rsid w:val="00747B3B"/>
    <w:rsid w:val="007731AF"/>
    <w:rsid w:val="007A65BD"/>
    <w:rsid w:val="007D0F4F"/>
    <w:rsid w:val="007D55E0"/>
    <w:rsid w:val="007E590A"/>
    <w:rsid w:val="007F3699"/>
    <w:rsid w:val="00837191"/>
    <w:rsid w:val="00840D6E"/>
    <w:rsid w:val="00846633"/>
    <w:rsid w:val="00852BD6"/>
    <w:rsid w:val="008746BD"/>
    <w:rsid w:val="00877420"/>
    <w:rsid w:val="008778F3"/>
    <w:rsid w:val="008823E8"/>
    <w:rsid w:val="00882806"/>
    <w:rsid w:val="00886A5C"/>
    <w:rsid w:val="008A02FE"/>
    <w:rsid w:val="008A6FBB"/>
    <w:rsid w:val="008B32A0"/>
    <w:rsid w:val="008B663F"/>
    <w:rsid w:val="008C52F1"/>
    <w:rsid w:val="008D0E2D"/>
    <w:rsid w:val="008E6A38"/>
    <w:rsid w:val="00907DE1"/>
    <w:rsid w:val="00912B29"/>
    <w:rsid w:val="00917AD2"/>
    <w:rsid w:val="009222C2"/>
    <w:rsid w:val="009229E8"/>
    <w:rsid w:val="009241CD"/>
    <w:rsid w:val="00927097"/>
    <w:rsid w:val="00930234"/>
    <w:rsid w:val="009446C8"/>
    <w:rsid w:val="00946210"/>
    <w:rsid w:val="009474BB"/>
    <w:rsid w:val="0095250B"/>
    <w:rsid w:val="0095313F"/>
    <w:rsid w:val="009555EF"/>
    <w:rsid w:val="0095701E"/>
    <w:rsid w:val="00965CAD"/>
    <w:rsid w:val="009669F5"/>
    <w:rsid w:val="00977B21"/>
    <w:rsid w:val="00982BF6"/>
    <w:rsid w:val="0098785C"/>
    <w:rsid w:val="009C2F02"/>
    <w:rsid w:val="009E6EA6"/>
    <w:rsid w:val="00A02983"/>
    <w:rsid w:val="00A03212"/>
    <w:rsid w:val="00A124CD"/>
    <w:rsid w:val="00A15A68"/>
    <w:rsid w:val="00A35DA3"/>
    <w:rsid w:val="00A43084"/>
    <w:rsid w:val="00A60707"/>
    <w:rsid w:val="00A65B02"/>
    <w:rsid w:val="00A679B6"/>
    <w:rsid w:val="00A86E8E"/>
    <w:rsid w:val="00A93F8F"/>
    <w:rsid w:val="00A97FF2"/>
    <w:rsid w:val="00AA3ECE"/>
    <w:rsid w:val="00AB72A7"/>
    <w:rsid w:val="00AE1C9A"/>
    <w:rsid w:val="00AE22BC"/>
    <w:rsid w:val="00B02CE1"/>
    <w:rsid w:val="00B03478"/>
    <w:rsid w:val="00B050FE"/>
    <w:rsid w:val="00B07F00"/>
    <w:rsid w:val="00B21A46"/>
    <w:rsid w:val="00B4644D"/>
    <w:rsid w:val="00B5271B"/>
    <w:rsid w:val="00B7105F"/>
    <w:rsid w:val="00B73D0C"/>
    <w:rsid w:val="00B94BC4"/>
    <w:rsid w:val="00BC2903"/>
    <w:rsid w:val="00BC718E"/>
    <w:rsid w:val="00BD0520"/>
    <w:rsid w:val="00BD2A6D"/>
    <w:rsid w:val="00BF41E4"/>
    <w:rsid w:val="00BF6CCF"/>
    <w:rsid w:val="00C041E6"/>
    <w:rsid w:val="00C22D1C"/>
    <w:rsid w:val="00C258C8"/>
    <w:rsid w:val="00C4235A"/>
    <w:rsid w:val="00C43B87"/>
    <w:rsid w:val="00C43EE4"/>
    <w:rsid w:val="00C457E1"/>
    <w:rsid w:val="00C5508E"/>
    <w:rsid w:val="00C55D15"/>
    <w:rsid w:val="00C62C45"/>
    <w:rsid w:val="00C67060"/>
    <w:rsid w:val="00C91AC8"/>
    <w:rsid w:val="00C93C37"/>
    <w:rsid w:val="00CA4780"/>
    <w:rsid w:val="00CA498F"/>
    <w:rsid w:val="00CA53B8"/>
    <w:rsid w:val="00CB1A87"/>
    <w:rsid w:val="00CE4DEF"/>
    <w:rsid w:val="00D06155"/>
    <w:rsid w:val="00D061E0"/>
    <w:rsid w:val="00D06DFC"/>
    <w:rsid w:val="00D1058C"/>
    <w:rsid w:val="00D11F6E"/>
    <w:rsid w:val="00D26C93"/>
    <w:rsid w:val="00D26D31"/>
    <w:rsid w:val="00D27A95"/>
    <w:rsid w:val="00D316D5"/>
    <w:rsid w:val="00D37A9B"/>
    <w:rsid w:val="00D45480"/>
    <w:rsid w:val="00D472B3"/>
    <w:rsid w:val="00D5004D"/>
    <w:rsid w:val="00D51340"/>
    <w:rsid w:val="00D53E9E"/>
    <w:rsid w:val="00D570FE"/>
    <w:rsid w:val="00D602F7"/>
    <w:rsid w:val="00D60DB8"/>
    <w:rsid w:val="00D629D6"/>
    <w:rsid w:val="00D641CF"/>
    <w:rsid w:val="00D644AC"/>
    <w:rsid w:val="00D714F1"/>
    <w:rsid w:val="00D82A1E"/>
    <w:rsid w:val="00D82A62"/>
    <w:rsid w:val="00D86FF0"/>
    <w:rsid w:val="00D90948"/>
    <w:rsid w:val="00D93433"/>
    <w:rsid w:val="00D95AEB"/>
    <w:rsid w:val="00DA617A"/>
    <w:rsid w:val="00DB1E7F"/>
    <w:rsid w:val="00DB69BD"/>
    <w:rsid w:val="00DC3AEE"/>
    <w:rsid w:val="00DC5CA9"/>
    <w:rsid w:val="00DC7A2D"/>
    <w:rsid w:val="00DE07D0"/>
    <w:rsid w:val="00DE3F9C"/>
    <w:rsid w:val="00DE790B"/>
    <w:rsid w:val="00E0530B"/>
    <w:rsid w:val="00E12865"/>
    <w:rsid w:val="00E353B0"/>
    <w:rsid w:val="00E427F1"/>
    <w:rsid w:val="00E465ED"/>
    <w:rsid w:val="00E46DB7"/>
    <w:rsid w:val="00E53C80"/>
    <w:rsid w:val="00E655A5"/>
    <w:rsid w:val="00E83F1C"/>
    <w:rsid w:val="00E917C3"/>
    <w:rsid w:val="00E927D5"/>
    <w:rsid w:val="00EA0148"/>
    <w:rsid w:val="00EB60DD"/>
    <w:rsid w:val="00EE176F"/>
    <w:rsid w:val="00EE4BFE"/>
    <w:rsid w:val="00EE5539"/>
    <w:rsid w:val="00EE61B8"/>
    <w:rsid w:val="00EF2694"/>
    <w:rsid w:val="00EF7C60"/>
    <w:rsid w:val="00F17ABC"/>
    <w:rsid w:val="00F17CDC"/>
    <w:rsid w:val="00F35415"/>
    <w:rsid w:val="00F403DA"/>
    <w:rsid w:val="00F46D83"/>
    <w:rsid w:val="00F62B30"/>
    <w:rsid w:val="00F65E74"/>
    <w:rsid w:val="00F75558"/>
    <w:rsid w:val="00F84A0A"/>
    <w:rsid w:val="00F87CA1"/>
    <w:rsid w:val="00F95713"/>
    <w:rsid w:val="00F963AE"/>
    <w:rsid w:val="00FA14CC"/>
    <w:rsid w:val="00FA28B8"/>
    <w:rsid w:val="00FC0FB5"/>
    <w:rsid w:val="00FC22D4"/>
    <w:rsid w:val="00FC4EA9"/>
    <w:rsid w:val="00FD7140"/>
    <w:rsid w:val="00FE3CB6"/>
    <w:rsid w:val="00FE5F3D"/>
    <w:rsid w:val="00FF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CDF80"/>
  <w15:docId w15:val="{66C5650B-F59F-424A-9F3C-B526F36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6079F"/>
    <w:rPr>
      <w:color w:val="605E5C"/>
      <w:shd w:val="clear" w:color="auto" w:fill="E1DFDD"/>
    </w:rPr>
  </w:style>
  <w:style w:type="table" w:styleId="TableGrid">
    <w:name w:val="Table Grid"/>
    <w:basedOn w:val="TableNormal"/>
    <w:uiPriority w:val="59"/>
    <w:rsid w:val="00A02983"/>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747B3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003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rsid w:val="00E927D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rsid w:val="00727E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rsid w:val="00727E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E1C9A"/>
  </w:style>
  <w:style w:type="paragraph" w:styleId="NormalWeb">
    <w:name w:val="Normal (Web)"/>
    <w:basedOn w:val="Normal"/>
    <w:rsid w:val="00DC5CA9"/>
    <w:rPr>
      <w:rFonts w:ascii="Times New Roman" w:hAnsi="Times New Roman" w:cs="Times New Roman"/>
    </w:rPr>
  </w:style>
  <w:style w:type="table" w:styleId="PlainTable5">
    <w:name w:val="Plain Table 5"/>
    <w:basedOn w:val="TableNormal"/>
    <w:rsid w:val="0001461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9474BB"/>
    <w:pPr>
      <w:tabs>
        <w:tab w:val="center" w:pos="4513"/>
        <w:tab w:val="right" w:pos="9026"/>
      </w:tabs>
      <w:spacing w:after="0"/>
    </w:pPr>
  </w:style>
  <w:style w:type="character" w:customStyle="1" w:styleId="HeaderChar">
    <w:name w:val="Header Char"/>
    <w:basedOn w:val="DefaultParagraphFont"/>
    <w:link w:val="Header"/>
    <w:rsid w:val="009474BB"/>
  </w:style>
  <w:style w:type="paragraph" w:styleId="Footer">
    <w:name w:val="footer"/>
    <w:basedOn w:val="Normal"/>
    <w:link w:val="FooterChar"/>
    <w:rsid w:val="009474BB"/>
    <w:pPr>
      <w:tabs>
        <w:tab w:val="center" w:pos="4513"/>
        <w:tab w:val="right" w:pos="9026"/>
      </w:tabs>
      <w:spacing w:after="0"/>
    </w:pPr>
  </w:style>
  <w:style w:type="character" w:customStyle="1" w:styleId="FooterChar">
    <w:name w:val="Footer Char"/>
    <w:basedOn w:val="DefaultParagraphFont"/>
    <w:link w:val="Footer"/>
    <w:rsid w:val="0094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78">
      <w:bodyDiv w:val="1"/>
      <w:marLeft w:val="0"/>
      <w:marRight w:val="0"/>
      <w:marTop w:val="0"/>
      <w:marBottom w:val="0"/>
      <w:divBdr>
        <w:top w:val="none" w:sz="0" w:space="0" w:color="auto"/>
        <w:left w:val="none" w:sz="0" w:space="0" w:color="auto"/>
        <w:bottom w:val="none" w:sz="0" w:space="0" w:color="auto"/>
        <w:right w:val="none" w:sz="0" w:space="0" w:color="auto"/>
      </w:divBdr>
    </w:div>
    <w:div w:id="20132259">
      <w:bodyDiv w:val="1"/>
      <w:marLeft w:val="0"/>
      <w:marRight w:val="0"/>
      <w:marTop w:val="0"/>
      <w:marBottom w:val="0"/>
      <w:divBdr>
        <w:top w:val="none" w:sz="0" w:space="0" w:color="auto"/>
        <w:left w:val="none" w:sz="0" w:space="0" w:color="auto"/>
        <w:bottom w:val="none" w:sz="0" w:space="0" w:color="auto"/>
        <w:right w:val="none" w:sz="0" w:space="0" w:color="auto"/>
      </w:divBdr>
    </w:div>
    <w:div w:id="34736718">
      <w:bodyDiv w:val="1"/>
      <w:marLeft w:val="0"/>
      <w:marRight w:val="0"/>
      <w:marTop w:val="0"/>
      <w:marBottom w:val="0"/>
      <w:divBdr>
        <w:top w:val="none" w:sz="0" w:space="0" w:color="auto"/>
        <w:left w:val="none" w:sz="0" w:space="0" w:color="auto"/>
        <w:bottom w:val="none" w:sz="0" w:space="0" w:color="auto"/>
        <w:right w:val="none" w:sz="0" w:space="0" w:color="auto"/>
      </w:divBdr>
    </w:div>
    <w:div w:id="37245881">
      <w:bodyDiv w:val="1"/>
      <w:marLeft w:val="0"/>
      <w:marRight w:val="0"/>
      <w:marTop w:val="0"/>
      <w:marBottom w:val="0"/>
      <w:divBdr>
        <w:top w:val="none" w:sz="0" w:space="0" w:color="auto"/>
        <w:left w:val="none" w:sz="0" w:space="0" w:color="auto"/>
        <w:bottom w:val="none" w:sz="0" w:space="0" w:color="auto"/>
        <w:right w:val="none" w:sz="0" w:space="0" w:color="auto"/>
      </w:divBdr>
    </w:div>
    <w:div w:id="41054951">
      <w:bodyDiv w:val="1"/>
      <w:marLeft w:val="0"/>
      <w:marRight w:val="0"/>
      <w:marTop w:val="0"/>
      <w:marBottom w:val="0"/>
      <w:divBdr>
        <w:top w:val="none" w:sz="0" w:space="0" w:color="auto"/>
        <w:left w:val="none" w:sz="0" w:space="0" w:color="auto"/>
        <w:bottom w:val="none" w:sz="0" w:space="0" w:color="auto"/>
        <w:right w:val="none" w:sz="0" w:space="0" w:color="auto"/>
      </w:divBdr>
    </w:div>
    <w:div w:id="63188963">
      <w:bodyDiv w:val="1"/>
      <w:marLeft w:val="0"/>
      <w:marRight w:val="0"/>
      <w:marTop w:val="0"/>
      <w:marBottom w:val="0"/>
      <w:divBdr>
        <w:top w:val="none" w:sz="0" w:space="0" w:color="auto"/>
        <w:left w:val="none" w:sz="0" w:space="0" w:color="auto"/>
        <w:bottom w:val="none" w:sz="0" w:space="0" w:color="auto"/>
        <w:right w:val="none" w:sz="0" w:space="0" w:color="auto"/>
      </w:divBdr>
    </w:div>
    <w:div w:id="64650233">
      <w:bodyDiv w:val="1"/>
      <w:marLeft w:val="0"/>
      <w:marRight w:val="0"/>
      <w:marTop w:val="0"/>
      <w:marBottom w:val="0"/>
      <w:divBdr>
        <w:top w:val="none" w:sz="0" w:space="0" w:color="auto"/>
        <w:left w:val="none" w:sz="0" w:space="0" w:color="auto"/>
        <w:bottom w:val="none" w:sz="0" w:space="0" w:color="auto"/>
        <w:right w:val="none" w:sz="0" w:space="0" w:color="auto"/>
      </w:divBdr>
    </w:div>
    <w:div w:id="114494325">
      <w:bodyDiv w:val="1"/>
      <w:marLeft w:val="0"/>
      <w:marRight w:val="0"/>
      <w:marTop w:val="0"/>
      <w:marBottom w:val="0"/>
      <w:divBdr>
        <w:top w:val="none" w:sz="0" w:space="0" w:color="auto"/>
        <w:left w:val="none" w:sz="0" w:space="0" w:color="auto"/>
        <w:bottom w:val="none" w:sz="0" w:space="0" w:color="auto"/>
        <w:right w:val="none" w:sz="0" w:space="0" w:color="auto"/>
      </w:divBdr>
    </w:div>
    <w:div w:id="114837655">
      <w:bodyDiv w:val="1"/>
      <w:marLeft w:val="0"/>
      <w:marRight w:val="0"/>
      <w:marTop w:val="0"/>
      <w:marBottom w:val="0"/>
      <w:divBdr>
        <w:top w:val="none" w:sz="0" w:space="0" w:color="auto"/>
        <w:left w:val="none" w:sz="0" w:space="0" w:color="auto"/>
        <w:bottom w:val="none" w:sz="0" w:space="0" w:color="auto"/>
        <w:right w:val="none" w:sz="0" w:space="0" w:color="auto"/>
      </w:divBdr>
    </w:div>
    <w:div w:id="129171979">
      <w:bodyDiv w:val="1"/>
      <w:marLeft w:val="0"/>
      <w:marRight w:val="0"/>
      <w:marTop w:val="0"/>
      <w:marBottom w:val="0"/>
      <w:divBdr>
        <w:top w:val="none" w:sz="0" w:space="0" w:color="auto"/>
        <w:left w:val="none" w:sz="0" w:space="0" w:color="auto"/>
        <w:bottom w:val="none" w:sz="0" w:space="0" w:color="auto"/>
        <w:right w:val="none" w:sz="0" w:space="0" w:color="auto"/>
      </w:divBdr>
    </w:div>
    <w:div w:id="138764504">
      <w:bodyDiv w:val="1"/>
      <w:marLeft w:val="0"/>
      <w:marRight w:val="0"/>
      <w:marTop w:val="0"/>
      <w:marBottom w:val="0"/>
      <w:divBdr>
        <w:top w:val="none" w:sz="0" w:space="0" w:color="auto"/>
        <w:left w:val="none" w:sz="0" w:space="0" w:color="auto"/>
        <w:bottom w:val="none" w:sz="0" w:space="0" w:color="auto"/>
        <w:right w:val="none" w:sz="0" w:space="0" w:color="auto"/>
      </w:divBdr>
    </w:div>
    <w:div w:id="144712409">
      <w:bodyDiv w:val="1"/>
      <w:marLeft w:val="0"/>
      <w:marRight w:val="0"/>
      <w:marTop w:val="0"/>
      <w:marBottom w:val="0"/>
      <w:divBdr>
        <w:top w:val="none" w:sz="0" w:space="0" w:color="auto"/>
        <w:left w:val="none" w:sz="0" w:space="0" w:color="auto"/>
        <w:bottom w:val="none" w:sz="0" w:space="0" w:color="auto"/>
        <w:right w:val="none" w:sz="0" w:space="0" w:color="auto"/>
      </w:divBdr>
    </w:div>
    <w:div w:id="148789258">
      <w:bodyDiv w:val="1"/>
      <w:marLeft w:val="0"/>
      <w:marRight w:val="0"/>
      <w:marTop w:val="0"/>
      <w:marBottom w:val="0"/>
      <w:divBdr>
        <w:top w:val="none" w:sz="0" w:space="0" w:color="auto"/>
        <w:left w:val="none" w:sz="0" w:space="0" w:color="auto"/>
        <w:bottom w:val="none" w:sz="0" w:space="0" w:color="auto"/>
        <w:right w:val="none" w:sz="0" w:space="0" w:color="auto"/>
      </w:divBdr>
    </w:div>
    <w:div w:id="150173194">
      <w:bodyDiv w:val="1"/>
      <w:marLeft w:val="0"/>
      <w:marRight w:val="0"/>
      <w:marTop w:val="0"/>
      <w:marBottom w:val="0"/>
      <w:divBdr>
        <w:top w:val="none" w:sz="0" w:space="0" w:color="auto"/>
        <w:left w:val="none" w:sz="0" w:space="0" w:color="auto"/>
        <w:bottom w:val="none" w:sz="0" w:space="0" w:color="auto"/>
        <w:right w:val="none" w:sz="0" w:space="0" w:color="auto"/>
      </w:divBdr>
    </w:div>
    <w:div w:id="156846409">
      <w:bodyDiv w:val="1"/>
      <w:marLeft w:val="0"/>
      <w:marRight w:val="0"/>
      <w:marTop w:val="0"/>
      <w:marBottom w:val="0"/>
      <w:divBdr>
        <w:top w:val="none" w:sz="0" w:space="0" w:color="auto"/>
        <w:left w:val="none" w:sz="0" w:space="0" w:color="auto"/>
        <w:bottom w:val="none" w:sz="0" w:space="0" w:color="auto"/>
        <w:right w:val="none" w:sz="0" w:space="0" w:color="auto"/>
      </w:divBdr>
    </w:div>
    <w:div w:id="164055714">
      <w:bodyDiv w:val="1"/>
      <w:marLeft w:val="0"/>
      <w:marRight w:val="0"/>
      <w:marTop w:val="0"/>
      <w:marBottom w:val="0"/>
      <w:divBdr>
        <w:top w:val="none" w:sz="0" w:space="0" w:color="auto"/>
        <w:left w:val="none" w:sz="0" w:space="0" w:color="auto"/>
        <w:bottom w:val="none" w:sz="0" w:space="0" w:color="auto"/>
        <w:right w:val="none" w:sz="0" w:space="0" w:color="auto"/>
      </w:divBdr>
    </w:div>
    <w:div w:id="171334434">
      <w:bodyDiv w:val="1"/>
      <w:marLeft w:val="0"/>
      <w:marRight w:val="0"/>
      <w:marTop w:val="0"/>
      <w:marBottom w:val="0"/>
      <w:divBdr>
        <w:top w:val="none" w:sz="0" w:space="0" w:color="auto"/>
        <w:left w:val="none" w:sz="0" w:space="0" w:color="auto"/>
        <w:bottom w:val="none" w:sz="0" w:space="0" w:color="auto"/>
        <w:right w:val="none" w:sz="0" w:space="0" w:color="auto"/>
      </w:divBdr>
    </w:div>
    <w:div w:id="186526244">
      <w:bodyDiv w:val="1"/>
      <w:marLeft w:val="0"/>
      <w:marRight w:val="0"/>
      <w:marTop w:val="0"/>
      <w:marBottom w:val="0"/>
      <w:divBdr>
        <w:top w:val="none" w:sz="0" w:space="0" w:color="auto"/>
        <w:left w:val="none" w:sz="0" w:space="0" w:color="auto"/>
        <w:bottom w:val="none" w:sz="0" w:space="0" w:color="auto"/>
        <w:right w:val="none" w:sz="0" w:space="0" w:color="auto"/>
      </w:divBdr>
    </w:div>
    <w:div w:id="198398270">
      <w:bodyDiv w:val="1"/>
      <w:marLeft w:val="0"/>
      <w:marRight w:val="0"/>
      <w:marTop w:val="0"/>
      <w:marBottom w:val="0"/>
      <w:divBdr>
        <w:top w:val="none" w:sz="0" w:space="0" w:color="auto"/>
        <w:left w:val="none" w:sz="0" w:space="0" w:color="auto"/>
        <w:bottom w:val="none" w:sz="0" w:space="0" w:color="auto"/>
        <w:right w:val="none" w:sz="0" w:space="0" w:color="auto"/>
      </w:divBdr>
    </w:div>
    <w:div w:id="205413500">
      <w:bodyDiv w:val="1"/>
      <w:marLeft w:val="0"/>
      <w:marRight w:val="0"/>
      <w:marTop w:val="0"/>
      <w:marBottom w:val="0"/>
      <w:divBdr>
        <w:top w:val="none" w:sz="0" w:space="0" w:color="auto"/>
        <w:left w:val="none" w:sz="0" w:space="0" w:color="auto"/>
        <w:bottom w:val="none" w:sz="0" w:space="0" w:color="auto"/>
        <w:right w:val="none" w:sz="0" w:space="0" w:color="auto"/>
      </w:divBdr>
    </w:div>
    <w:div w:id="213004989">
      <w:bodyDiv w:val="1"/>
      <w:marLeft w:val="0"/>
      <w:marRight w:val="0"/>
      <w:marTop w:val="0"/>
      <w:marBottom w:val="0"/>
      <w:divBdr>
        <w:top w:val="none" w:sz="0" w:space="0" w:color="auto"/>
        <w:left w:val="none" w:sz="0" w:space="0" w:color="auto"/>
        <w:bottom w:val="none" w:sz="0" w:space="0" w:color="auto"/>
        <w:right w:val="none" w:sz="0" w:space="0" w:color="auto"/>
      </w:divBdr>
    </w:div>
    <w:div w:id="248542642">
      <w:bodyDiv w:val="1"/>
      <w:marLeft w:val="0"/>
      <w:marRight w:val="0"/>
      <w:marTop w:val="0"/>
      <w:marBottom w:val="0"/>
      <w:divBdr>
        <w:top w:val="none" w:sz="0" w:space="0" w:color="auto"/>
        <w:left w:val="none" w:sz="0" w:space="0" w:color="auto"/>
        <w:bottom w:val="none" w:sz="0" w:space="0" w:color="auto"/>
        <w:right w:val="none" w:sz="0" w:space="0" w:color="auto"/>
      </w:divBdr>
    </w:div>
    <w:div w:id="250431136">
      <w:bodyDiv w:val="1"/>
      <w:marLeft w:val="0"/>
      <w:marRight w:val="0"/>
      <w:marTop w:val="0"/>
      <w:marBottom w:val="0"/>
      <w:divBdr>
        <w:top w:val="none" w:sz="0" w:space="0" w:color="auto"/>
        <w:left w:val="none" w:sz="0" w:space="0" w:color="auto"/>
        <w:bottom w:val="none" w:sz="0" w:space="0" w:color="auto"/>
        <w:right w:val="none" w:sz="0" w:space="0" w:color="auto"/>
      </w:divBdr>
    </w:div>
    <w:div w:id="267978035">
      <w:bodyDiv w:val="1"/>
      <w:marLeft w:val="0"/>
      <w:marRight w:val="0"/>
      <w:marTop w:val="0"/>
      <w:marBottom w:val="0"/>
      <w:divBdr>
        <w:top w:val="none" w:sz="0" w:space="0" w:color="auto"/>
        <w:left w:val="none" w:sz="0" w:space="0" w:color="auto"/>
        <w:bottom w:val="none" w:sz="0" w:space="0" w:color="auto"/>
        <w:right w:val="none" w:sz="0" w:space="0" w:color="auto"/>
      </w:divBdr>
    </w:div>
    <w:div w:id="299771062">
      <w:bodyDiv w:val="1"/>
      <w:marLeft w:val="0"/>
      <w:marRight w:val="0"/>
      <w:marTop w:val="0"/>
      <w:marBottom w:val="0"/>
      <w:divBdr>
        <w:top w:val="none" w:sz="0" w:space="0" w:color="auto"/>
        <w:left w:val="none" w:sz="0" w:space="0" w:color="auto"/>
        <w:bottom w:val="none" w:sz="0" w:space="0" w:color="auto"/>
        <w:right w:val="none" w:sz="0" w:space="0" w:color="auto"/>
      </w:divBdr>
    </w:div>
    <w:div w:id="301351781">
      <w:bodyDiv w:val="1"/>
      <w:marLeft w:val="0"/>
      <w:marRight w:val="0"/>
      <w:marTop w:val="0"/>
      <w:marBottom w:val="0"/>
      <w:divBdr>
        <w:top w:val="none" w:sz="0" w:space="0" w:color="auto"/>
        <w:left w:val="none" w:sz="0" w:space="0" w:color="auto"/>
        <w:bottom w:val="none" w:sz="0" w:space="0" w:color="auto"/>
        <w:right w:val="none" w:sz="0" w:space="0" w:color="auto"/>
      </w:divBdr>
    </w:div>
    <w:div w:id="325670571">
      <w:bodyDiv w:val="1"/>
      <w:marLeft w:val="0"/>
      <w:marRight w:val="0"/>
      <w:marTop w:val="0"/>
      <w:marBottom w:val="0"/>
      <w:divBdr>
        <w:top w:val="none" w:sz="0" w:space="0" w:color="auto"/>
        <w:left w:val="none" w:sz="0" w:space="0" w:color="auto"/>
        <w:bottom w:val="none" w:sz="0" w:space="0" w:color="auto"/>
        <w:right w:val="none" w:sz="0" w:space="0" w:color="auto"/>
      </w:divBdr>
    </w:div>
    <w:div w:id="344331363">
      <w:bodyDiv w:val="1"/>
      <w:marLeft w:val="0"/>
      <w:marRight w:val="0"/>
      <w:marTop w:val="0"/>
      <w:marBottom w:val="0"/>
      <w:divBdr>
        <w:top w:val="none" w:sz="0" w:space="0" w:color="auto"/>
        <w:left w:val="none" w:sz="0" w:space="0" w:color="auto"/>
        <w:bottom w:val="none" w:sz="0" w:space="0" w:color="auto"/>
        <w:right w:val="none" w:sz="0" w:space="0" w:color="auto"/>
      </w:divBdr>
    </w:div>
    <w:div w:id="353456057">
      <w:bodyDiv w:val="1"/>
      <w:marLeft w:val="0"/>
      <w:marRight w:val="0"/>
      <w:marTop w:val="0"/>
      <w:marBottom w:val="0"/>
      <w:divBdr>
        <w:top w:val="none" w:sz="0" w:space="0" w:color="auto"/>
        <w:left w:val="none" w:sz="0" w:space="0" w:color="auto"/>
        <w:bottom w:val="none" w:sz="0" w:space="0" w:color="auto"/>
        <w:right w:val="none" w:sz="0" w:space="0" w:color="auto"/>
      </w:divBdr>
    </w:div>
    <w:div w:id="359207187">
      <w:bodyDiv w:val="1"/>
      <w:marLeft w:val="0"/>
      <w:marRight w:val="0"/>
      <w:marTop w:val="0"/>
      <w:marBottom w:val="0"/>
      <w:divBdr>
        <w:top w:val="none" w:sz="0" w:space="0" w:color="auto"/>
        <w:left w:val="none" w:sz="0" w:space="0" w:color="auto"/>
        <w:bottom w:val="none" w:sz="0" w:space="0" w:color="auto"/>
        <w:right w:val="none" w:sz="0" w:space="0" w:color="auto"/>
      </w:divBdr>
    </w:div>
    <w:div w:id="383068447">
      <w:bodyDiv w:val="1"/>
      <w:marLeft w:val="0"/>
      <w:marRight w:val="0"/>
      <w:marTop w:val="0"/>
      <w:marBottom w:val="0"/>
      <w:divBdr>
        <w:top w:val="none" w:sz="0" w:space="0" w:color="auto"/>
        <w:left w:val="none" w:sz="0" w:space="0" w:color="auto"/>
        <w:bottom w:val="none" w:sz="0" w:space="0" w:color="auto"/>
        <w:right w:val="none" w:sz="0" w:space="0" w:color="auto"/>
      </w:divBdr>
    </w:div>
    <w:div w:id="385106611">
      <w:bodyDiv w:val="1"/>
      <w:marLeft w:val="0"/>
      <w:marRight w:val="0"/>
      <w:marTop w:val="0"/>
      <w:marBottom w:val="0"/>
      <w:divBdr>
        <w:top w:val="none" w:sz="0" w:space="0" w:color="auto"/>
        <w:left w:val="none" w:sz="0" w:space="0" w:color="auto"/>
        <w:bottom w:val="none" w:sz="0" w:space="0" w:color="auto"/>
        <w:right w:val="none" w:sz="0" w:space="0" w:color="auto"/>
      </w:divBdr>
    </w:div>
    <w:div w:id="391005135">
      <w:bodyDiv w:val="1"/>
      <w:marLeft w:val="0"/>
      <w:marRight w:val="0"/>
      <w:marTop w:val="0"/>
      <w:marBottom w:val="0"/>
      <w:divBdr>
        <w:top w:val="none" w:sz="0" w:space="0" w:color="auto"/>
        <w:left w:val="none" w:sz="0" w:space="0" w:color="auto"/>
        <w:bottom w:val="none" w:sz="0" w:space="0" w:color="auto"/>
        <w:right w:val="none" w:sz="0" w:space="0" w:color="auto"/>
      </w:divBdr>
    </w:div>
    <w:div w:id="418869500">
      <w:bodyDiv w:val="1"/>
      <w:marLeft w:val="0"/>
      <w:marRight w:val="0"/>
      <w:marTop w:val="0"/>
      <w:marBottom w:val="0"/>
      <w:divBdr>
        <w:top w:val="none" w:sz="0" w:space="0" w:color="auto"/>
        <w:left w:val="none" w:sz="0" w:space="0" w:color="auto"/>
        <w:bottom w:val="none" w:sz="0" w:space="0" w:color="auto"/>
        <w:right w:val="none" w:sz="0" w:space="0" w:color="auto"/>
      </w:divBdr>
    </w:div>
    <w:div w:id="430201985">
      <w:bodyDiv w:val="1"/>
      <w:marLeft w:val="0"/>
      <w:marRight w:val="0"/>
      <w:marTop w:val="0"/>
      <w:marBottom w:val="0"/>
      <w:divBdr>
        <w:top w:val="none" w:sz="0" w:space="0" w:color="auto"/>
        <w:left w:val="none" w:sz="0" w:space="0" w:color="auto"/>
        <w:bottom w:val="none" w:sz="0" w:space="0" w:color="auto"/>
        <w:right w:val="none" w:sz="0" w:space="0" w:color="auto"/>
      </w:divBdr>
    </w:div>
    <w:div w:id="454251413">
      <w:bodyDiv w:val="1"/>
      <w:marLeft w:val="0"/>
      <w:marRight w:val="0"/>
      <w:marTop w:val="0"/>
      <w:marBottom w:val="0"/>
      <w:divBdr>
        <w:top w:val="none" w:sz="0" w:space="0" w:color="auto"/>
        <w:left w:val="none" w:sz="0" w:space="0" w:color="auto"/>
        <w:bottom w:val="none" w:sz="0" w:space="0" w:color="auto"/>
        <w:right w:val="none" w:sz="0" w:space="0" w:color="auto"/>
      </w:divBdr>
    </w:div>
    <w:div w:id="485783122">
      <w:bodyDiv w:val="1"/>
      <w:marLeft w:val="0"/>
      <w:marRight w:val="0"/>
      <w:marTop w:val="0"/>
      <w:marBottom w:val="0"/>
      <w:divBdr>
        <w:top w:val="none" w:sz="0" w:space="0" w:color="auto"/>
        <w:left w:val="none" w:sz="0" w:space="0" w:color="auto"/>
        <w:bottom w:val="none" w:sz="0" w:space="0" w:color="auto"/>
        <w:right w:val="none" w:sz="0" w:space="0" w:color="auto"/>
      </w:divBdr>
    </w:div>
    <w:div w:id="488406958">
      <w:bodyDiv w:val="1"/>
      <w:marLeft w:val="0"/>
      <w:marRight w:val="0"/>
      <w:marTop w:val="0"/>
      <w:marBottom w:val="0"/>
      <w:divBdr>
        <w:top w:val="none" w:sz="0" w:space="0" w:color="auto"/>
        <w:left w:val="none" w:sz="0" w:space="0" w:color="auto"/>
        <w:bottom w:val="none" w:sz="0" w:space="0" w:color="auto"/>
        <w:right w:val="none" w:sz="0" w:space="0" w:color="auto"/>
      </w:divBdr>
    </w:div>
    <w:div w:id="512720836">
      <w:bodyDiv w:val="1"/>
      <w:marLeft w:val="0"/>
      <w:marRight w:val="0"/>
      <w:marTop w:val="0"/>
      <w:marBottom w:val="0"/>
      <w:divBdr>
        <w:top w:val="none" w:sz="0" w:space="0" w:color="auto"/>
        <w:left w:val="none" w:sz="0" w:space="0" w:color="auto"/>
        <w:bottom w:val="none" w:sz="0" w:space="0" w:color="auto"/>
        <w:right w:val="none" w:sz="0" w:space="0" w:color="auto"/>
      </w:divBdr>
    </w:div>
    <w:div w:id="521624299">
      <w:bodyDiv w:val="1"/>
      <w:marLeft w:val="0"/>
      <w:marRight w:val="0"/>
      <w:marTop w:val="0"/>
      <w:marBottom w:val="0"/>
      <w:divBdr>
        <w:top w:val="none" w:sz="0" w:space="0" w:color="auto"/>
        <w:left w:val="none" w:sz="0" w:space="0" w:color="auto"/>
        <w:bottom w:val="none" w:sz="0" w:space="0" w:color="auto"/>
        <w:right w:val="none" w:sz="0" w:space="0" w:color="auto"/>
      </w:divBdr>
    </w:div>
    <w:div w:id="542059278">
      <w:bodyDiv w:val="1"/>
      <w:marLeft w:val="0"/>
      <w:marRight w:val="0"/>
      <w:marTop w:val="0"/>
      <w:marBottom w:val="0"/>
      <w:divBdr>
        <w:top w:val="none" w:sz="0" w:space="0" w:color="auto"/>
        <w:left w:val="none" w:sz="0" w:space="0" w:color="auto"/>
        <w:bottom w:val="none" w:sz="0" w:space="0" w:color="auto"/>
        <w:right w:val="none" w:sz="0" w:space="0" w:color="auto"/>
      </w:divBdr>
    </w:div>
    <w:div w:id="571356668">
      <w:bodyDiv w:val="1"/>
      <w:marLeft w:val="0"/>
      <w:marRight w:val="0"/>
      <w:marTop w:val="0"/>
      <w:marBottom w:val="0"/>
      <w:divBdr>
        <w:top w:val="none" w:sz="0" w:space="0" w:color="auto"/>
        <w:left w:val="none" w:sz="0" w:space="0" w:color="auto"/>
        <w:bottom w:val="none" w:sz="0" w:space="0" w:color="auto"/>
        <w:right w:val="none" w:sz="0" w:space="0" w:color="auto"/>
      </w:divBdr>
    </w:div>
    <w:div w:id="611518517">
      <w:bodyDiv w:val="1"/>
      <w:marLeft w:val="0"/>
      <w:marRight w:val="0"/>
      <w:marTop w:val="0"/>
      <w:marBottom w:val="0"/>
      <w:divBdr>
        <w:top w:val="none" w:sz="0" w:space="0" w:color="auto"/>
        <w:left w:val="none" w:sz="0" w:space="0" w:color="auto"/>
        <w:bottom w:val="none" w:sz="0" w:space="0" w:color="auto"/>
        <w:right w:val="none" w:sz="0" w:space="0" w:color="auto"/>
      </w:divBdr>
    </w:div>
    <w:div w:id="631209296">
      <w:bodyDiv w:val="1"/>
      <w:marLeft w:val="0"/>
      <w:marRight w:val="0"/>
      <w:marTop w:val="0"/>
      <w:marBottom w:val="0"/>
      <w:divBdr>
        <w:top w:val="none" w:sz="0" w:space="0" w:color="auto"/>
        <w:left w:val="none" w:sz="0" w:space="0" w:color="auto"/>
        <w:bottom w:val="none" w:sz="0" w:space="0" w:color="auto"/>
        <w:right w:val="none" w:sz="0" w:space="0" w:color="auto"/>
      </w:divBdr>
    </w:div>
    <w:div w:id="651450376">
      <w:bodyDiv w:val="1"/>
      <w:marLeft w:val="0"/>
      <w:marRight w:val="0"/>
      <w:marTop w:val="0"/>
      <w:marBottom w:val="0"/>
      <w:divBdr>
        <w:top w:val="none" w:sz="0" w:space="0" w:color="auto"/>
        <w:left w:val="none" w:sz="0" w:space="0" w:color="auto"/>
        <w:bottom w:val="none" w:sz="0" w:space="0" w:color="auto"/>
        <w:right w:val="none" w:sz="0" w:space="0" w:color="auto"/>
      </w:divBdr>
    </w:div>
    <w:div w:id="712458789">
      <w:bodyDiv w:val="1"/>
      <w:marLeft w:val="0"/>
      <w:marRight w:val="0"/>
      <w:marTop w:val="0"/>
      <w:marBottom w:val="0"/>
      <w:divBdr>
        <w:top w:val="none" w:sz="0" w:space="0" w:color="auto"/>
        <w:left w:val="none" w:sz="0" w:space="0" w:color="auto"/>
        <w:bottom w:val="none" w:sz="0" w:space="0" w:color="auto"/>
        <w:right w:val="none" w:sz="0" w:space="0" w:color="auto"/>
      </w:divBdr>
    </w:div>
    <w:div w:id="717700657">
      <w:bodyDiv w:val="1"/>
      <w:marLeft w:val="0"/>
      <w:marRight w:val="0"/>
      <w:marTop w:val="0"/>
      <w:marBottom w:val="0"/>
      <w:divBdr>
        <w:top w:val="none" w:sz="0" w:space="0" w:color="auto"/>
        <w:left w:val="none" w:sz="0" w:space="0" w:color="auto"/>
        <w:bottom w:val="none" w:sz="0" w:space="0" w:color="auto"/>
        <w:right w:val="none" w:sz="0" w:space="0" w:color="auto"/>
      </w:divBdr>
    </w:div>
    <w:div w:id="736049912">
      <w:bodyDiv w:val="1"/>
      <w:marLeft w:val="0"/>
      <w:marRight w:val="0"/>
      <w:marTop w:val="0"/>
      <w:marBottom w:val="0"/>
      <w:divBdr>
        <w:top w:val="none" w:sz="0" w:space="0" w:color="auto"/>
        <w:left w:val="none" w:sz="0" w:space="0" w:color="auto"/>
        <w:bottom w:val="none" w:sz="0" w:space="0" w:color="auto"/>
        <w:right w:val="none" w:sz="0" w:space="0" w:color="auto"/>
      </w:divBdr>
    </w:div>
    <w:div w:id="742797463">
      <w:bodyDiv w:val="1"/>
      <w:marLeft w:val="0"/>
      <w:marRight w:val="0"/>
      <w:marTop w:val="0"/>
      <w:marBottom w:val="0"/>
      <w:divBdr>
        <w:top w:val="none" w:sz="0" w:space="0" w:color="auto"/>
        <w:left w:val="none" w:sz="0" w:space="0" w:color="auto"/>
        <w:bottom w:val="none" w:sz="0" w:space="0" w:color="auto"/>
        <w:right w:val="none" w:sz="0" w:space="0" w:color="auto"/>
      </w:divBdr>
    </w:div>
    <w:div w:id="746266607">
      <w:bodyDiv w:val="1"/>
      <w:marLeft w:val="0"/>
      <w:marRight w:val="0"/>
      <w:marTop w:val="0"/>
      <w:marBottom w:val="0"/>
      <w:divBdr>
        <w:top w:val="none" w:sz="0" w:space="0" w:color="auto"/>
        <w:left w:val="none" w:sz="0" w:space="0" w:color="auto"/>
        <w:bottom w:val="none" w:sz="0" w:space="0" w:color="auto"/>
        <w:right w:val="none" w:sz="0" w:space="0" w:color="auto"/>
      </w:divBdr>
    </w:div>
    <w:div w:id="768500351">
      <w:bodyDiv w:val="1"/>
      <w:marLeft w:val="0"/>
      <w:marRight w:val="0"/>
      <w:marTop w:val="0"/>
      <w:marBottom w:val="0"/>
      <w:divBdr>
        <w:top w:val="none" w:sz="0" w:space="0" w:color="auto"/>
        <w:left w:val="none" w:sz="0" w:space="0" w:color="auto"/>
        <w:bottom w:val="none" w:sz="0" w:space="0" w:color="auto"/>
        <w:right w:val="none" w:sz="0" w:space="0" w:color="auto"/>
      </w:divBdr>
    </w:div>
    <w:div w:id="769619182">
      <w:bodyDiv w:val="1"/>
      <w:marLeft w:val="0"/>
      <w:marRight w:val="0"/>
      <w:marTop w:val="0"/>
      <w:marBottom w:val="0"/>
      <w:divBdr>
        <w:top w:val="none" w:sz="0" w:space="0" w:color="auto"/>
        <w:left w:val="none" w:sz="0" w:space="0" w:color="auto"/>
        <w:bottom w:val="none" w:sz="0" w:space="0" w:color="auto"/>
        <w:right w:val="none" w:sz="0" w:space="0" w:color="auto"/>
      </w:divBdr>
    </w:div>
    <w:div w:id="788478392">
      <w:bodyDiv w:val="1"/>
      <w:marLeft w:val="0"/>
      <w:marRight w:val="0"/>
      <w:marTop w:val="0"/>
      <w:marBottom w:val="0"/>
      <w:divBdr>
        <w:top w:val="none" w:sz="0" w:space="0" w:color="auto"/>
        <w:left w:val="none" w:sz="0" w:space="0" w:color="auto"/>
        <w:bottom w:val="none" w:sz="0" w:space="0" w:color="auto"/>
        <w:right w:val="none" w:sz="0" w:space="0" w:color="auto"/>
      </w:divBdr>
    </w:div>
    <w:div w:id="812523447">
      <w:bodyDiv w:val="1"/>
      <w:marLeft w:val="0"/>
      <w:marRight w:val="0"/>
      <w:marTop w:val="0"/>
      <w:marBottom w:val="0"/>
      <w:divBdr>
        <w:top w:val="none" w:sz="0" w:space="0" w:color="auto"/>
        <w:left w:val="none" w:sz="0" w:space="0" w:color="auto"/>
        <w:bottom w:val="none" w:sz="0" w:space="0" w:color="auto"/>
        <w:right w:val="none" w:sz="0" w:space="0" w:color="auto"/>
      </w:divBdr>
    </w:div>
    <w:div w:id="874273426">
      <w:bodyDiv w:val="1"/>
      <w:marLeft w:val="0"/>
      <w:marRight w:val="0"/>
      <w:marTop w:val="0"/>
      <w:marBottom w:val="0"/>
      <w:divBdr>
        <w:top w:val="none" w:sz="0" w:space="0" w:color="auto"/>
        <w:left w:val="none" w:sz="0" w:space="0" w:color="auto"/>
        <w:bottom w:val="none" w:sz="0" w:space="0" w:color="auto"/>
        <w:right w:val="none" w:sz="0" w:space="0" w:color="auto"/>
      </w:divBdr>
    </w:div>
    <w:div w:id="916017860">
      <w:bodyDiv w:val="1"/>
      <w:marLeft w:val="0"/>
      <w:marRight w:val="0"/>
      <w:marTop w:val="0"/>
      <w:marBottom w:val="0"/>
      <w:divBdr>
        <w:top w:val="none" w:sz="0" w:space="0" w:color="auto"/>
        <w:left w:val="none" w:sz="0" w:space="0" w:color="auto"/>
        <w:bottom w:val="none" w:sz="0" w:space="0" w:color="auto"/>
        <w:right w:val="none" w:sz="0" w:space="0" w:color="auto"/>
      </w:divBdr>
    </w:div>
    <w:div w:id="924075121">
      <w:bodyDiv w:val="1"/>
      <w:marLeft w:val="0"/>
      <w:marRight w:val="0"/>
      <w:marTop w:val="0"/>
      <w:marBottom w:val="0"/>
      <w:divBdr>
        <w:top w:val="none" w:sz="0" w:space="0" w:color="auto"/>
        <w:left w:val="none" w:sz="0" w:space="0" w:color="auto"/>
        <w:bottom w:val="none" w:sz="0" w:space="0" w:color="auto"/>
        <w:right w:val="none" w:sz="0" w:space="0" w:color="auto"/>
      </w:divBdr>
    </w:div>
    <w:div w:id="935290009">
      <w:bodyDiv w:val="1"/>
      <w:marLeft w:val="0"/>
      <w:marRight w:val="0"/>
      <w:marTop w:val="0"/>
      <w:marBottom w:val="0"/>
      <w:divBdr>
        <w:top w:val="none" w:sz="0" w:space="0" w:color="auto"/>
        <w:left w:val="none" w:sz="0" w:space="0" w:color="auto"/>
        <w:bottom w:val="none" w:sz="0" w:space="0" w:color="auto"/>
        <w:right w:val="none" w:sz="0" w:space="0" w:color="auto"/>
      </w:divBdr>
    </w:div>
    <w:div w:id="945507104">
      <w:bodyDiv w:val="1"/>
      <w:marLeft w:val="0"/>
      <w:marRight w:val="0"/>
      <w:marTop w:val="0"/>
      <w:marBottom w:val="0"/>
      <w:divBdr>
        <w:top w:val="none" w:sz="0" w:space="0" w:color="auto"/>
        <w:left w:val="none" w:sz="0" w:space="0" w:color="auto"/>
        <w:bottom w:val="none" w:sz="0" w:space="0" w:color="auto"/>
        <w:right w:val="none" w:sz="0" w:space="0" w:color="auto"/>
      </w:divBdr>
    </w:div>
    <w:div w:id="988361519">
      <w:bodyDiv w:val="1"/>
      <w:marLeft w:val="0"/>
      <w:marRight w:val="0"/>
      <w:marTop w:val="0"/>
      <w:marBottom w:val="0"/>
      <w:divBdr>
        <w:top w:val="none" w:sz="0" w:space="0" w:color="auto"/>
        <w:left w:val="none" w:sz="0" w:space="0" w:color="auto"/>
        <w:bottom w:val="none" w:sz="0" w:space="0" w:color="auto"/>
        <w:right w:val="none" w:sz="0" w:space="0" w:color="auto"/>
      </w:divBdr>
    </w:div>
    <w:div w:id="999893597">
      <w:bodyDiv w:val="1"/>
      <w:marLeft w:val="0"/>
      <w:marRight w:val="0"/>
      <w:marTop w:val="0"/>
      <w:marBottom w:val="0"/>
      <w:divBdr>
        <w:top w:val="none" w:sz="0" w:space="0" w:color="auto"/>
        <w:left w:val="none" w:sz="0" w:space="0" w:color="auto"/>
        <w:bottom w:val="none" w:sz="0" w:space="0" w:color="auto"/>
        <w:right w:val="none" w:sz="0" w:space="0" w:color="auto"/>
      </w:divBdr>
    </w:div>
    <w:div w:id="1017660672">
      <w:bodyDiv w:val="1"/>
      <w:marLeft w:val="0"/>
      <w:marRight w:val="0"/>
      <w:marTop w:val="0"/>
      <w:marBottom w:val="0"/>
      <w:divBdr>
        <w:top w:val="none" w:sz="0" w:space="0" w:color="auto"/>
        <w:left w:val="none" w:sz="0" w:space="0" w:color="auto"/>
        <w:bottom w:val="none" w:sz="0" w:space="0" w:color="auto"/>
        <w:right w:val="none" w:sz="0" w:space="0" w:color="auto"/>
      </w:divBdr>
    </w:div>
    <w:div w:id="1034160903">
      <w:bodyDiv w:val="1"/>
      <w:marLeft w:val="0"/>
      <w:marRight w:val="0"/>
      <w:marTop w:val="0"/>
      <w:marBottom w:val="0"/>
      <w:divBdr>
        <w:top w:val="none" w:sz="0" w:space="0" w:color="auto"/>
        <w:left w:val="none" w:sz="0" w:space="0" w:color="auto"/>
        <w:bottom w:val="none" w:sz="0" w:space="0" w:color="auto"/>
        <w:right w:val="none" w:sz="0" w:space="0" w:color="auto"/>
      </w:divBdr>
    </w:div>
    <w:div w:id="1065832515">
      <w:bodyDiv w:val="1"/>
      <w:marLeft w:val="0"/>
      <w:marRight w:val="0"/>
      <w:marTop w:val="0"/>
      <w:marBottom w:val="0"/>
      <w:divBdr>
        <w:top w:val="none" w:sz="0" w:space="0" w:color="auto"/>
        <w:left w:val="none" w:sz="0" w:space="0" w:color="auto"/>
        <w:bottom w:val="none" w:sz="0" w:space="0" w:color="auto"/>
        <w:right w:val="none" w:sz="0" w:space="0" w:color="auto"/>
      </w:divBdr>
    </w:div>
    <w:div w:id="1098134071">
      <w:bodyDiv w:val="1"/>
      <w:marLeft w:val="0"/>
      <w:marRight w:val="0"/>
      <w:marTop w:val="0"/>
      <w:marBottom w:val="0"/>
      <w:divBdr>
        <w:top w:val="none" w:sz="0" w:space="0" w:color="auto"/>
        <w:left w:val="none" w:sz="0" w:space="0" w:color="auto"/>
        <w:bottom w:val="none" w:sz="0" w:space="0" w:color="auto"/>
        <w:right w:val="none" w:sz="0" w:space="0" w:color="auto"/>
      </w:divBdr>
    </w:div>
    <w:div w:id="1126579329">
      <w:bodyDiv w:val="1"/>
      <w:marLeft w:val="0"/>
      <w:marRight w:val="0"/>
      <w:marTop w:val="0"/>
      <w:marBottom w:val="0"/>
      <w:divBdr>
        <w:top w:val="none" w:sz="0" w:space="0" w:color="auto"/>
        <w:left w:val="none" w:sz="0" w:space="0" w:color="auto"/>
        <w:bottom w:val="none" w:sz="0" w:space="0" w:color="auto"/>
        <w:right w:val="none" w:sz="0" w:space="0" w:color="auto"/>
      </w:divBdr>
    </w:div>
    <w:div w:id="1133674175">
      <w:bodyDiv w:val="1"/>
      <w:marLeft w:val="0"/>
      <w:marRight w:val="0"/>
      <w:marTop w:val="0"/>
      <w:marBottom w:val="0"/>
      <w:divBdr>
        <w:top w:val="none" w:sz="0" w:space="0" w:color="auto"/>
        <w:left w:val="none" w:sz="0" w:space="0" w:color="auto"/>
        <w:bottom w:val="none" w:sz="0" w:space="0" w:color="auto"/>
        <w:right w:val="none" w:sz="0" w:space="0" w:color="auto"/>
      </w:divBdr>
    </w:div>
    <w:div w:id="1140000032">
      <w:bodyDiv w:val="1"/>
      <w:marLeft w:val="0"/>
      <w:marRight w:val="0"/>
      <w:marTop w:val="0"/>
      <w:marBottom w:val="0"/>
      <w:divBdr>
        <w:top w:val="none" w:sz="0" w:space="0" w:color="auto"/>
        <w:left w:val="none" w:sz="0" w:space="0" w:color="auto"/>
        <w:bottom w:val="none" w:sz="0" w:space="0" w:color="auto"/>
        <w:right w:val="none" w:sz="0" w:space="0" w:color="auto"/>
      </w:divBdr>
    </w:div>
    <w:div w:id="1142187122">
      <w:bodyDiv w:val="1"/>
      <w:marLeft w:val="0"/>
      <w:marRight w:val="0"/>
      <w:marTop w:val="0"/>
      <w:marBottom w:val="0"/>
      <w:divBdr>
        <w:top w:val="none" w:sz="0" w:space="0" w:color="auto"/>
        <w:left w:val="none" w:sz="0" w:space="0" w:color="auto"/>
        <w:bottom w:val="none" w:sz="0" w:space="0" w:color="auto"/>
        <w:right w:val="none" w:sz="0" w:space="0" w:color="auto"/>
      </w:divBdr>
    </w:div>
    <w:div w:id="1145127038">
      <w:bodyDiv w:val="1"/>
      <w:marLeft w:val="0"/>
      <w:marRight w:val="0"/>
      <w:marTop w:val="0"/>
      <w:marBottom w:val="0"/>
      <w:divBdr>
        <w:top w:val="none" w:sz="0" w:space="0" w:color="auto"/>
        <w:left w:val="none" w:sz="0" w:space="0" w:color="auto"/>
        <w:bottom w:val="none" w:sz="0" w:space="0" w:color="auto"/>
        <w:right w:val="none" w:sz="0" w:space="0" w:color="auto"/>
      </w:divBdr>
    </w:div>
    <w:div w:id="1148936149">
      <w:bodyDiv w:val="1"/>
      <w:marLeft w:val="0"/>
      <w:marRight w:val="0"/>
      <w:marTop w:val="0"/>
      <w:marBottom w:val="0"/>
      <w:divBdr>
        <w:top w:val="none" w:sz="0" w:space="0" w:color="auto"/>
        <w:left w:val="none" w:sz="0" w:space="0" w:color="auto"/>
        <w:bottom w:val="none" w:sz="0" w:space="0" w:color="auto"/>
        <w:right w:val="none" w:sz="0" w:space="0" w:color="auto"/>
      </w:divBdr>
    </w:div>
    <w:div w:id="1153519669">
      <w:bodyDiv w:val="1"/>
      <w:marLeft w:val="0"/>
      <w:marRight w:val="0"/>
      <w:marTop w:val="0"/>
      <w:marBottom w:val="0"/>
      <w:divBdr>
        <w:top w:val="none" w:sz="0" w:space="0" w:color="auto"/>
        <w:left w:val="none" w:sz="0" w:space="0" w:color="auto"/>
        <w:bottom w:val="none" w:sz="0" w:space="0" w:color="auto"/>
        <w:right w:val="none" w:sz="0" w:space="0" w:color="auto"/>
      </w:divBdr>
    </w:div>
    <w:div w:id="1165703077">
      <w:bodyDiv w:val="1"/>
      <w:marLeft w:val="0"/>
      <w:marRight w:val="0"/>
      <w:marTop w:val="0"/>
      <w:marBottom w:val="0"/>
      <w:divBdr>
        <w:top w:val="none" w:sz="0" w:space="0" w:color="auto"/>
        <w:left w:val="none" w:sz="0" w:space="0" w:color="auto"/>
        <w:bottom w:val="none" w:sz="0" w:space="0" w:color="auto"/>
        <w:right w:val="none" w:sz="0" w:space="0" w:color="auto"/>
      </w:divBdr>
    </w:div>
    <w:div w:id="1183594792">
      <w:bodyDiv w:val="1"/>
      <w:marLeft w:val="0"/>
      <w:marRight w:val="0"/>
      <w:marTop w:val="0"/>
      <w:marBottom w:val="0"/>
      <w:divBdr>
        <w:top w:val="none" w:sz="0" w:space="0" w:color="auto"/>
        <w:left w:val="none" w:sz="0" w:space="0" w:color="auto"/>
        <w:bottom w:val="none" w:sz="0" w:space="0" w:color="auto"/>
        <w:right w:val="none" w:sz="0" w:space="0" w:color="auto"/>
      </w:divBdr>
    </w:div>
    <w:div w:id="1198008398">
      <w:bodyDiv w:val="1"/>
      <w:marLeft w:val="0"/>
      <w:marRight w:val="0"/>
      <w:marTop w:val="0"/>
      <w:marBottom w:val="0"/>
      <w:divBdr>
        <w:top w:val="none" w:sz="0" w:space="0" w:color="auto"/>
        <w:left w:val="none" w:sz="0" w:space="0" w:color="auto"/>
        <w:bottom w:val="none" w:sz="0" w:space="0" w:color="auto"/>
        <w:right w:val="none" w:sz="0" w:space="0" w:color="auto"/>
      </w:divBdr>
    </w:div>
    <w:div w:id="1201237045">
      <w:bodyDiv w:val="1"/>
      <w:marLeft w:val="0"/>
      <w:marRight w:val="0"/>
      <w:marTop w:val="0"/>
      <w:marBottom w:val="0"/>
      <w:divBdr>
        <w:top w:val="none" w:sz="0" w:space="0" w:color="auto"/>
        <w:left w:val="none" w:sz="0" w:space="0" w:color="auto"/>
        <w:bottom w:val="none" w:sz="0" w:space="0" w:color="auto"/>
        <w:right w:val="none" w:sz="0" w:space="0" w:color="auto"/>
      </w:divBdr>
    </w:div>
    <w:div w:id="1207520785">
      <w:bodyDiv w:val="1"/>
      <w:marLeft w:val="0"/>
      <w:marRight w:val="0"/>
      <w:marTop w:val="0"/>
      <w:marBottom w:val="0"/>
      <w:divBdr>
        <w:top w:val="none" w:sz="0" w:space="0" w:color="auto"/>
        <w:left w:val="none" w:sz="0" w:space="0" w:color="auto"/>
        <w:bottom w:val="none" w:sz="0" w:space="0" w:color="auto"/>
        <w:right w:val="none" w:sz="0" w:space="0" w:color="auto"/>
      </w:divBdr>
    </w:div>
    <w:div w:id="1244224758">
      <w:bodyDiv w:val="1"/>
      <w:marLeft w:val="0"/>
      <w:marRight w:val="0"/>
      <w:marTop w:val="0"/>
      <w:marBottom w:val="0"/>
      <w:divBdr>
        <w:top w:val="none" w:sz="0" w:space="0" w:color="auto"/>
        <w:left w:val="none" w:sz="0" w:space="0" w:color="auto"/>
        <w:bottom w:val="none" w:sz="0" w:space="0" w:color="auto"/>
        <w:right w:val="none" w:sz="0" w:space="0" w:color="auto"/>
      </w:divBdr>
    </w:div>
    <w:div w:id="1252399038">
      <w:bodyDiv w:val="1"/>
      <w:marLeft w:val="0"/>
      <w:marRight w:val="0"/>
      <w:marTop w:val="0"/>
      <w:marBottom w:val="0"/>
      <w:divBdr>
        <w:top w:val="none" w:sz="0" w:space="0" w:color="auto"/>
        <w:left w:val="none" w:sz="0" w:space="0" w:color="auto"/>
        <w:bottom w:val="none" w:sz="0" w:space="0" w:color="auto"/>
        <w:right w:val="none" w:sz="0" w:space="0" w:color="auto"/>
      </w:divBdr>
    </w:div>
    <w:div w:id="1253703890">
      <w:bodyDiv w:val="1"/>
      <w:marLeft w:val="0"/>
      <w:marRight w:val="0"/>
      <w:marTop w:val="0"/>
      <w:marBottom w:val="0"/>
      <w:divBdr>
        <w:top w:val="none" w:sz="0" w:space="0" w:color="auto"/>
        <w:left w:val="none" w:sz="0" w:space="0" w:color="auto"/>
        <w:bottom w:val="none" w:sz="0" w:space="0" w:color="auto"/>
        <w:right w:val="none" w:sz="0" w:space="0" w:color="auto"/>
      </w:divBdr>
    </w:div>
    <w:div w:id="1300262908">
      <w:bodyDiv w:val="1"/>
      <w:marLeft w:val="0"/>
      <w:marRight w:val="0"/>
      <w:marTop w:val="0"/>
      <w:marBottom w:val="0"/>
      <w:divBdr>
        <w:top w:val="none" w:sz="0" w:space="0" w:color="auto"/>
        <w:left w:val="none" w:sz="0" w:space="0" w:color="auto"/>
        <w:bottom w:val="none" w:sz="0" w:space="0" w:color="auto"/>
        <w:right w:val="none" w:sz="0" w:space="0" w:color="auto"/>
      </w:divBdr>
    </w:div>
    <w:div w:id="1366756477">
      <w:bodyDiv w:val="1"/>
      <w:marLeft w:val="0"/>
      <w:marRight w:val="0"/>
      <w:marTop w:val="0"/>
      <w:marBottom w:val="0"/>
      <w:divBdr>
        <w:top w:val="none" w:sz="0" w:space="0" w:color="auto"/>
        <w:left w:val="none" w:sz="0" w:space="0" w:color="auto"/>
        <w:bottom w:val="none" w:sz="0" w:space="0" w:color="auto"/>
        <w:right w:val="none" w:sz="0" w:space="0" w:color="auto"/>
      </w:divBdr>
    </w:div>
    <w:div w:id="1367561556">
      <w:bodyDiv w:val="1"/>
      <w:marLeft w:val="0"/>
      <w:marRight w:val="0"/>
      <w:marTop w:val="0"/>
      <w:marBottom w:val="0"/>
      <w:divBdr>
        <w:top w:val="none" w:sz="0" w:space="0" w:color="auto"/>
        <w:left w:val="none" w:sz="0" w:space="0" w:color="auto"/>
        <w:bottom w:val="none" w:sz="0" w:space="0" w:color="auto"/>
        <w:right w:val="none" w:sz="0" w:space="0" w:color="auto"/>
      </w:divBdr>
    </w:div>
    <w:div w:id="1377585055">
      <w:bodyDiv w:val="1"/>
      <w:marLeft w:val="0"/>
      <w:marRight w:val="0"/>
      <w:marTop w:val="0"/>
      <w:marBottom w:val="0"/>
      <w:divBdr>
        <w:top w:val="none" w:sz="0" w:space="0" w:color="auto"/>
        <w:left w:val="none" w:sz="0" w:space="0" w:color="auto"/>
        <w:bottom w:val="none" w:sz="0" w:space="0" w:color="auto"/>
        <w:right w:val="none" w:sz="0" w:space="0" w:color="auto"/>
      </w:divBdr>
    </w:div>
    <w:div w:id="1485126475">
      <w:bodyDiv w:val="1"/>
      <w:marLeft w:val="0"/>
      <w:marRight w:val="0"/>
      <w:marTop w:val="0"/>
      <w:marBottom w:val="0"/>
      <w:divBdr>
        <w:top w:val="none" w:sz="0" w:space="0" w:color="auto"/>
        <w:left w:val="none" w:sz="0" w:space="0" w:color="auto"/>
        <w:bottom w:val="none" w:sz="0" w:space="0" w:color="auto"/>
        <w:right w:val="none" w:sz="0" w:space="0" w:color="auto"/>
      </w:divBdr>
    </w:div>
    <w:div w:id="1494947965">
      <w:bodyDiv w:val="1"/>
      <w:marLeft w:val="0"/>
      <w:marRight w:val="0"/>
      <w:marTop w:val="0"/>
      <w:marBottom w:val="0"/>
      <w:divBdr>
        <w:top w:val="none" w:sz="0" w:space="0" w:color="auto"/>
        <w:left w:val="none" w:sz="0" w:space="0" w:color="auto"/>
        <w:bottom w:val="none" w:sz="0" w:space="0" w:color="auto"/>
        <w:right w:val="none" w:sz="0" w:space="0" w:color="auto"/>
      </w:divBdr>
    </w:div>
    <w:div w:id="1510949117">
      <w:bodyDiv w:val="1"/>
      <w:marLeft w:val="0"/>
      <w:marRight w:val="0"/>
      <w:marTop w:val="0"/>
      <w:marBottom w:val="0"/>
      <w:divBdr>
        <w:top w:val="none" w:sz="0" w:space="0" w:color="auto"/>
        <w:left w:val="none" w:sz="0" w:space="0" w:color="auto"/>
        <w:bottom w:val="none" w:sz="0" w:space="0" w:color="auto"/>
        <w:right w:val="none" w:sz="0" w:space="0" w:color="auto"/>
      </w:divBdr>
    </w:div>
    <w:div w:id="1511720407">
      <w:bodyDiv w:val="1"/>
      <w:marLeft w:val="0"/>
      <w:marRight w:val="0"/>
      <w:marTop w:val="0"/>
      <w:marBottom w:val="0"/>
      <w:divBdr>
        <w:top w:val="none" w:sz="0" w:space="0" w:color="auto"/>
        <w:left w:val="none" w:sz="0" w:space="0" w:color="auto"/>
        <w:bottom w:val="none" w:sz="0" w:space="0" w:color="auto"/>
        <w:right w:val="none" w:sz="0" w:space="0" w:color="auto"/>
      </w:divBdr>
    </w:div>
    <w:div w:id="1542404161">
      <w:bodyDiv w:val="1"/>
      <w:marLeft w:val="0"/>
      <w:marRight w:val="0"/>
      <w:marTop w:val="0"/>
      <w:marBottom w:val="0"/>
      <w:divBdr>
        <w:top w:val="none" w:sz="0" w:space="0" w:color="auto"/>
        <w:left w:val="none" w:sz="0" w:space="0" w:color="auto"/>
        <w:bottom w:val="none" w:sz="0" w:space="0" w:color="auto"/>
        <w:right w:val="none" w:sz="0" w:space="0" w:color="auto"/>
      </w:divBdr>
    </w:div>
    <w:div w:id="1570576714">
      <w:bodyDiv w:val="1"/>
      <w:marLeft w:val="0"/>
      <w:marRight w:val="0"/>
      <w:marTop w:val="0"/>
      <w:marBottom w:val="0"/>
      <w:divBdr>
        <w:top w:val="none" w:sz="0" w:space="0" w:color="auto"/>
        <w:left w:val="none" w:sz="0" w:space="0" w:color="auto"/>
        <w:bottom w:val="none" w:sz="0" w:space="0" w:color="auto"/>
        <w:right w:val="none" w:sz="0" w:space="0" w:color="auto"/>
      </w:divBdr>
    </w:div>
    <w:div w:id="1578129932">
      <w:bodyDiv w:val="1"/>
      <w:marLeft w:val="0"/>
      <w:marRight w:val="0"/>
      <w:marTop w:val="0"/>
      <w:marBottom w:val="0"/>
      <w:divBdr>
        <w:top w:val="none" w:sz="0" w:space="0" w:color="auto"/>
        <w:left w:val="none" w:sz="0" w:space="0" w:color="auto"/>
        <w:bottom w:val="none" w:sz="0" w:space="0" w:color="auto"/>
        <w:right w:val="none" w:sz="0" w:space="0" w:color="auto"/>
      </w:divBdr>
    </w:div>
    <w:div w:id="1589775512">
      <w:bodyDiv w:val="1"/>
      <w:marLeft w:val="0"/>
      <w:marRight w:val="0"/>
      <w:marTop w:val="0"/>
      <w:marBottom w:val="0"/>
      <w:divBdr>
        <w:top w:val="none" w:sz="0" w:space="0" w:color="auto"/>
        <w:left w:val="none" w:sz="0" w:space="0" w:color="auto"/>
        <w:bottom w:val="none" w:sz="0" w:space="0" w:color="auto"/>
        <w:right w:val="none" w:sz="0" w:space="0" w:color="auto"/>
      </w:divBdr>
    </w:div>
    <w:div w:id="1591886679">
      <w:bodyDiv w:val="1"/>
      <w:marLeft w:val="0"/>
      <w:marRight w:val="0"/>
      <w:marTop w:val="0"/>
      <w:marBottom w:val="0"/>
      <w:divBdr>
        <w:top w:val="none" w:sz="0" w:space="0" w:color="auto"/>
        <w:left w:val="none" w:sz="0" w:space="0" w:color="auto"/>
        <w:bottom w:val="none" w:sz="0" w:space="0" w:color="auto"/>
        <w:right w:val="none" w:sz="0" w:space="0" w:color="auto"/>
      </w:divBdr>
    </w:div>
    <w:div w:id="1592814521">
      <w:bodyDiv w:val="1"/>
      <w:marLeft w:val="0"/>
      <w:marRight w:val="0"/>
      <w:marTop w:val="0"/>
      <w:marBottom w:val="0"/>
      <w:divBdr>
        <w:top w:val="none" w:sz="0" w:space="0" w:color="auto"/>
        <w:left w:val="none" w:sz="0" w:space="0" w:color="auto"/>
        <w:bottom w:val="none" w:sz="0" w:space="0" w:color="auto"/>
        <w:right w:val="none" w:sz="0" w:space="0" w:color="auto"/>
      </w:divBdr>
    </w:div>
    <w:div w:id="1602105748">
      <w:bodyDiv w:val="1"/>
      <w:marLeft w:val="0"/>
      <w:marRight w:val="0"/>
      <w:marTop w:val="0"/>
      <w:marBottom w:val="0"/>
      <w:divBdr>
        <w:top w:val="none" w:sz="0" w:space="0" w:color="auto"/>
        <w:left w:val="none" w:sz="0" w:space="0" w:color="auto"/>
        <w:bottom w:val="none" w:sz="0" w:space="0" w:color="auto"/>
        <w:right w:val="none" w:sz="0" w:space="0" w:color="auto"/>
      </w:divBdr>
    </w:div>
    <w:div w:id="1604651537">
      <w:bodyDiv w:val="1"/>
      <w:marLeft w:val="0"/>
      <w:marRight w:val="0"/>
      <w:marTop w:val="0"/>
      <w:marBottom w:val="0"/>
      <w:divBdr>
        <w:top w:val="none" w:sz="0" w:space="0" w:color="auto"/>
        <w:left w:val="none" w:sz="0" w:space="0" w:color="auto"/>
        <w:bottom w:val="none" w:sz="0" w:space="0" w:color="auto"/>
        <w:right w:val="none" w:sz="0" w:space="0" w:color="auto"/>
      </w:divBdr>
    </w:div>
    <w:div w:id="1625038720">
      <w:bodyDiv w:val="1"/>
      <w:marLeft w:val="0"/>
      <w:marRight w:val="0"/>
      <w:marTop w:val="0"/>
      <w:marBottom w:val="0"/>
      <w:divBdr>
        <w:top w:val="none" w:sz="0" w:space="0" w:color="auto"/>
        <w:left w:val="none" w:sz="0" w:space="0" w:color="auto"/>
        <w:bottom w:val="none" w:sz="0" w:space="0" w:color="auto"/>
        <w:right w:val="none" w:sz="0" w:space="0" w:color="auto"/>
      </w:divBdr>
    </w:div>
    <w:div w:id="1627197382">
      <w:bodyDiv w:val="1"/>
      <w:marLeft w:val="0"/>
      <w:marRight w:val="0"/>
      <w:marTop w:val="0"/>
      <w:marBottom w:val="0"/>
      <w:divBdr>
        <w:top w:val="none" w:sz="0" w:space="0" w:color="auto"/>
        <w:left w:val="none" w:sz="0" w:space="0" w:color="auto"/>
        <w:bottom w:val="none" w:sz="0" w:space="0" w:color="auto"/>
        <w:right w:val="none" w:sz="0" w:space="0" w:color="auto"/>
      </w:divBdr>
    </w:div>
    <w:div w:id="1629358218">
      <w:bodyDiv w:val="1"/>
      <w:marLeft w:val="0"/>
      <w:marRight w:val="0"/>
      <w:marTop w:val="0"/>
      <w:marBottom w:val="0"/>
      <w:divBdr>
        <w:top w:val="none" w:sz="0" w:space="0" w:color="auto"/>
        <w:left w:val="none" w:sz="0" w:space="0" w:color="auto"/>
        <w:bottom w:val="none" w:sz="0" w:space="0" w:color="auto"/>
        <w:right w:val="none" w:sz="0" w:space="0" w:color="auto"/>
      </w:divBdr>
    </w:div>
    <w:div w:id="1638335690">
      <w:bodyDiv w:val="1"/>
      <w:marLeft w:val="0"/>
      <w:marRight w:val="0"/>
      <w:marTop w:val="0"/>
      <w:marBottom w:val="0"/>
      <w:divBdr>
        <w:top w:val="none" w:sz="0" w:space="0" w:color="auto"/>
        <w:left w:val="none" w:sz="0" w:space="0" w:color="auto"/>
        <w:bottom w:val="none" w:sz="0" w:space="0" w:color="auto"/>
        <w:right w:val="none" w:sz="0" w:space="0" w:color="auto"/>
      </w:divBdr>
    </w:div>
    <w:div w:id="1640844687">
      <w:bodyDiv w:val="1"/>
      <w:marLeft w:val="0"/>
      <w:marRight w:val="0"/>
      <w:marTop w:val="0"/>
      <w:marBottom w:val="0"/>
      <w:divBdr>
        <w:top w:val="none" w:sz="0" w:space="0" w:color="auto"/>
        <w:left w:val="none" w:sz="0" w:space="0" w:color="auto"/>
        <w:bottom w:val="none" w:sz="0" w:space="0" w:color="auto"/>
        <w:right w:val="none" w:sz="0" w:space="0" w:color="auto"/>
      </w:divBdr>
    </w:div>
    <w:div w:id="1656182525">
      <w:bodyDiv w:val="1"/>
      <w:marLeft w:val="0"/>
      <w:marRight w:val="0"/>
      <w:marTop w:val="0"/>
      <w:marBottom w:val="0"/>
      <w:divBdr>
        <w:top w:val="none" w:sz="0" w:space="0" w:color="auto"/>
        <w:left w:val="none" w:sz="0" w:space="0" w:color="auto"/>
        <w:bottom w:val="none" w:sz="0" w:space="0" w:color="auto"/>
        <w:right w:val="none" w:sz="0" w:space="0" w:color="auto"/>
      </w:divBdr>
    </w:div>
    <w:div w:id="1669943252">
      <w:bodyDiv w:val="1"/>
      <w:marLeft w:val="0"/>
      <w:marRight w:val="0"/>
      <w:marTop w:val="0"/>
      <w:marBottom w:val="0"/>
      <w:divBdr>
        <w:top w:val="none" w:sz="0" w:space="0" w:color="auto"/>
        <w:left w:val="none" w:sz="0" w:space="0" w:color="auto"/>
        <w:bottom w:val="none" w:sz="0" w:space="0" w:color="auto"/>
        <w:right w:val="none" w:sz="0" w:space="0" w:color="auto"/>
      </w:divBdr>
    </w:div>
    <w:div w:id="1677421223">
      <w:bodyDiv w:val="1"/>
      <w:marLeft w:val="0"/>
      <w:marRight w:val="0"/>
      <w:marTop w:val="0"/>
      <w:marBottom w:val="0"/>
      <w:divBdr>
        <w:top w:val="none" w:sz="0" w:space="0" w:color="auto"/>
        <w:left w:val="none" w:sz="0" w:space="0" w:color="auto"/>
        <w:bottom w:val="none" w:sz="0" w:space="0" w:color="auto"/>
        <w:right w:val="none" w:sz="0" w:space="0" w:color="auto"/>
      </w:divBdr>
    </w:div>
    <w:div w:id="1763799560">
      <w:bodyDiv w:val="1"/>
      <w:marLeft w:val="0"/>
      <w:marRight w:val="0"/>
      <w:marTop w:val="0"/>
      <w:marBottom w:val="0"/>
      <w:divBdr>
        <w:top w:val="none" w:sz="0" w:space="0" w:color="auto"/>
        <w:left w:val="none" w:sz="0" w:space="0" w:color="auto"/>
        <w:bottom w:val="none" w:sz="0" w:space="0" w:color="auto"/>
        <w:right w:val="none" w:sz="0" w:space="0" w:color="auto"/>
      </w:divBdr>
    </w:div>
    <w:div w:id="1764761571">
      <w:bodyDiv w:val="1"/>
      <w:marLeft w:val="0"/>
      <w:marRight w:val="0"/>
      <w:marTop w:val="0"/>
      <w:marBottom w:val="0"/>
      <w:divBdr>
        <w:top w:val="none" w:sz="0" w:space="0" w:color="auto"/>
        <w:left w:val="none" w:sz="0" w:space="0" w:color="auto"/>
        <w:bottom w:val="none" w:sz="0" w:space="0" w:color="auto"/>
        <w:right w:val="none" w:sz="0" w:space="0" w:color="auto"/>
      </w:divBdr>
    </w:div>
    <w:div w:id="1767190868">
      <w:bodyDiv w:val="1"/>
      <w:marLeft w:val="0"/>
      <w:marRight w:val="0"/>
      <w:marTop w:val="0"/>
      <w:marBottom w:val="0"/>
      <w:divBdr>
        <w:top w:val="none" w:sz="0" w:space="0" w:color="auto"/>
        <w:left w:val="none" w:sz="0" w:space="0" w:color="auto"/>
        <w:bottom w:val="none" w:sz="0" w:space="0" w:color="auto"/>
        <w:right w:val="none" w:sz="0" w:space="0" w:color="auto"/>
      </w:divBdr>
    </w:div>
    <w:div w:id="1770159246">
      <w:bodyDiv w:val="1"/>
      <w:marLeft w:val="0"/>
      <w:marRight w:val="0"/>
      <w:marTop w:val="0"/>
      <w:marBottom w:val="0"/>
      <w:divBdr>
        <w:top w:val="none" w:sz="0" w:space="0" w:color="auto"/>
        <w:left w:val="none" w:sz="0" w:space="0" w:color="auto"/>
        <w:bottom w:val="none" w:sz="0" w:space="0" w:color="auto"/>
        <w:right w:val="none" w:sz="0" w:space="0" w:color="auto"/>
      </w:divBdr>
    </w:div>
    <w:div w:id="1820151445">
      <w:bodyDiv w:val="1"/>
      <w:marLeft w:val="0"/>
      <w:marRight w:val="0"/>
      <w:marTop w:val="0"/>
      <w:marBottom w:val="0"/>
      <w:divBdr>
        <w:top w:val="none" w:sz="0" w:space="0" w:color="auto"/>
        <w:left w:val="none" w:sz="0" w:space="0" w:color="auto"/>
        <w:bottom w:val="none" w:sz="0" w:space="0" w:color="auto"/>
        <w:right w:val="none" w:sz="0" w:space="0" w:color="auto"/>
      </w:divBdr>
    </w:div>
    <w:div w:id="1848670716">
      <w:bodyDiv w:val="1"/>
      <w:marLeft w:val="0"/>
      <w:marRight w:val="0"/>
      <w:marTop w:val="0"/>
      <w:marBottom w:val="0"/>
      <w:divBdr>
        <w:top w:val="none" w:sz="0" w:space="0" w:color="auto"/>
        <w:left w:val="none" w:sz="0" w:space="0" w:color="auto"/>
        <w:bottom w:val="none" w:sz="0" w:space="0" w:color="auto"/>
        <w:right w:val="none" w:sz="0" w:space="0" w:color="auto"/>
      </w:divBdr>
    </w:div>
    <w:div w:id="1858881028">
      <w:bodyDiv w:val="1"/>
      <w:marLeft w:val="0"/>
      <w:marRight w:val="0"/>
      <w:marTop w:val="0"/>
      <w:marBottom w:val="0"/>
      <w:divBdr>
        <w:top w:val="none" w:sz="0" w:space="0" w:color="auto"/>
        <w:left w:val="none" w:sz="0" w:space="0" w:color="auto"/>
        <w:bottom w:val="none" w:sz="0" w:space="0" w:color="auto"/>
        <w:right w:val="none" w:sz="0" w:space="0" w:color="auto"/>
      </w:divBdr>
    </w:div>
    <w:div w:id="1868987833">
      <w:bodyDiv w:val="1"/>
      <w:marLeft w:val="0"/>
      <w:marRight w:val="0"/>
      <w:marTop w:val="0"/>
      <w:marBottom w:val="0"/>
      <w:divBdr>
        <w:top w:val="none" w:sz="0" w:space="0" w:color="auto"/>
        <w:left w:val="none" w:sz="0" w:space="0" w:color="auto"/>
        <w:bottom w:val="none" w:sz="0" w:space="0" w:color="auto"/>
        <w:right w:val="none" w:sz="0" w:space="0" w:color="auto"/>
      </w:divBdr>
    </w:div>
    <w:div w:id="1873028285">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901165313">
      <w:bodyDiv w:val="1"/>
      <w:marLeft w:val="0"/>
      <w:marRight w:val="0"/>
      <w:marTop w:val="0"/>
      <w:marBottom w:val="0"/>
      <w:divBdr>
        <w:top w:val="none" w:sz="0" w:space="0" w:color="auto"/>
        <w:left w:val="none" w:sz="0" w:space="0" w:color="auto"/>
        <w:bottom w:val="none" w:sz="0" w:space="0" w:color="auto"/>
        <w:right w:val="none" w:sz="0" w:space="0" w:color="auto"/>
      </w:divBdr>
    </w:div>
    <w:div w:id="1920407495">
      <w:bodyDiv w:val="1"/>
      <w:marLeft w:val="0"/>
      <w:marRight w:val="0"/>
      <w:marTop w:val="0"/>
      <w:marBottom w:val="0"/>
      <w:divBdr>
        <w:top w:val="none" w:sz="0" w:space="0" w:color="auto"/>
        <w:left w:val="none" w:sz="0" w:space="0" w:color="auto"/>
        <w:bottom w:val="none" w:sz="0" w:space="0" w:color="auto"/>
        <w:right w:val="none" w:sz="0" w:space="0" w:color="auto"/>
      </w:divBdr>
    </w:div>
    <w:div w:id="1927691223">
      <w:bodyDiv w:val="1"/>
      <w:marLeft w:val="0"/>
      <w:marRight w:val="0"/>
      <w:marTop w:val="0"/>
      <w:marBottom w:val="0"/>
      <w:divBdr>
        <w:top w:val="none" w:sz="0" w:space="0" w:color="auto"/>
        <w:left w:val="none" w:sz="0" w:space="0" w:color="auto"/>
        <w:bottom w:val="none" w:sz="0" w:space="0" w:color="auto"/>
        <w:right w:val="none" w:sz="0" w:space="0" w:color="auto"/>
      </w:divBdr>
    </w:div>
    <w:div w:id="1928462952">
      <w:bodyDiv w:val="1"/>
      <w:marLeft w:val="0"/>
      <w:marRight w:val="0"/>
      <w:marTop w:val="0"/>
      <w:marBottom w:val="0"/>
      <w:divBdr>
        <w:top w:val="none" w:sz="0" w:space="0" w:color="auto"/>
        <w:left w:val="none" w:sz="0" w:space="0" w:color="auto"/>
        <w:bottom w:val="none" w:sz="0" w:space="0" w:color="auto"/>
        <w:right w:val="none" w:sz="0" w:space="0" w:color="auto"/>
      </w:divBdr>
    </w:div>
    <w:div w:id="1948271160">
      <w:bodyDiv w:val="1"/>
      <w:marLeft w:val="0"/>
      <w:marRight w:val="0"/>
      <w:marTop w:val="0"/>
      <w:marBottom w:val="0"/>
      <w:divBdr>
        <w:top w:val="none" w:sz="0" w:space="0" w:color="auto"/>
        <w:left w:val="none" w:sz="0" w:space="0" w:color="auto"/>
        <w:bottom w:val="none" w:sz="0" w:space="0" w:color="auto"/>
        <w:right w:val="none" w:sz="0" w:space="0" w:color="auto"/>
      </w:divBdr>
    </w:div>
    <w:div w:id="1951888905">
      <w:bodyDiv w:val="1"/>
      <w:marLeft w:val="0"/>
      <w:marRight w:val="0"/>
      <w:marTop w:val="0"/>
      <w:marBottom w:val="0"/>
      <w:divBdr>
        <w:top w:val="none" w:sz="0" w:space="0" w:color="auto"/>
        <w:left w:val="none" w:sz="0" w:space="0" w:color="auto"/>
        <w:bottom w:val="none" w:sz="0" w:space="0" w:color="auto"/>
        <w:right w:val="none" w:sz="0" w:space="0" w:color="auto"/>
      </w:divBdr>
    </w:div>
    <w:div w:id="2017539558">
      <w:bodyDiv w:val="1"/>
      <w:marLeft w:val="0"/>
      <w:marRight w:val="0"/>
      <w:marTop w:val="0"/>
      <w:marBottom w:val="0"/>
      <w:divBdr>
        <w:top w:val="none" w:sz="0" w:space="0" w:color="auto"/>
        <w:left w:val="none" w:sz="0" w:space="0" w:color="auto"/>
        <w:bottom w:val="none" w:sz="0" w:space="0" w:color="auto"/>
        <w:right w:val="none" w:sz="0" w:space="0" w:color="auto"/>
      </w:divBdr>
    </w:div>
    <w:div w:id="2030138830">
      <w:bodyDiv w:val="1"/>
      <w:marLeft w:val="0"/>
      <w:marRight w:val="0"/>
      <w:marTop w:val="0"/>
      <w:marBottom w:val="0"/>
      <w:divBdr>
        <w:top w:val="none" w:sz="0" w:space="0" w:color="auto"/>
        <w:left w:val="none" w:sz="0" w:space="0" w:color="auto"/>
        <w:bottom w:val="none" w:sz="0" w:space="0" w:color="auto"/>
        <w:right w:val="none" w:sz="0" w:space="0" w:color="auto"/>
      </w:divBdr>
    </w:div>
    <w:div w:id="2031837453">
      <w:bodyDiv w:val="1"/>
      <w:marLeft w:val="0"/>
      <w:marRight w:val="0"/>
      <w:marTop w:val="0"/>
      <w:marBottom w:val="0"/>
      <w:divBdr>
        <w:top w:val="none" w:sz="0" w:space="0" w:color="auto"/>
        <w:left w:val="none" w:sz="0" w:space="0" w:color="auto"/>
        <w:bottom w:val="none" w:sz="0" w:space="0" w:color="auto"/>
        <w:right w:val="none" w:sz="0" w:space="0" w:color="auto"/>
      </w:divBdr>
    </w:div>
    <w:div w:id="2046640278">
      <w:bodyDiv w:val="1"/>
      <w:marLeft w:val="0"/>
      <w:marRight w:val="0"/>
      <w:marTop w:val="0"/>
      <w:marBottom w:val="0"/>
      <w:divBdr>
        <w:top w:val="none" w:sz="0" w:space="0" w:color="auto"/>
        <w:left w:val="none" w:sz="0" w:space="0" w:color="auto"/>
        <w:bottom w:val="none" w:sz="0" w:space="0" w:color="auto"/>
        <w:right w:val="none" w:sz="0" w:space="0" w:color="auto"/>
      </w:divBdr>
    </w:div>
    <w:div w:id="2051416186">
      <w:bodyDiv w:val="1"/>
      <w:marLeft w:val="0"/>
      <w:marRight w:val="0"/>
      <w:marTop w:val="0"/>
      <w:marBottom w:val="0"/>
      <w:divBdr>
        <w:top w:val="none" w:sz="0" w:space="0" w:color="auto"/>
        <w:left w:val="none" w:sz="0" w:space="0" w:color="auto"/>
        <w:bottom w:val="none" w:sz="0" w:space="0" w:color="auto"/>
        <w:right w:val="none" w:sz="0" w:space="0" w:color="auto"/>
      </w:divBdr>
    </w:div>
    <w:div w:id="2059745343">
      <w:bodyDiv w:val="1"/>
      <w:marLeft w:val="0"/>
      <w:marRight w:val="0"/>
      <w:marTop w:val="0"/>
      <w:marBottom w:val="0"/>
      <w:divBdr>
        <w:top w:val="none" w:sz="0" w:space="0" w:color="auto"/>
        <w:left w:val="none" w:sz="0" w:space="0" w:color="auto"/>
        <w:bottom w:val="none" w:sz="0" w:space="0" w:color="auto"/>
        <w:right w:val="none" w:sz="0" w:space="0" w:color="auto"/>
      </w:divBdr>
    </w:div>
    <w:div w:id="2084985269">
      <w:bodyDiv w:val="1"/>
      <w:marLeft w:val="0"/>
      <w:marRight w:val="0"/>
      <w:marTop w:val="0"/>
      <w:marBottom w:val="0"/>
      <w:divBdr>
        <w:top w:val="none" w:sz="0" w:space="0" w:color="auto"/>
        <w:left w:val="none" w:sz="0" w:space="0" w:color="auto"/>
        <w:bottom w:val="none" w:sz="0" w:space="0" w:color="auto"/>
        <w:right w:val="none" w:sz="0" w:space="0" w:color="auto"/>
      </w:divBdr>
    </w:div>
    <w:div w:id="2089770311">
      <w:bodyDiv w:val="1"/>
      <w:marLeft w:val="0"/>
      <w:marRight w:val="0"/>
      <w:marTop w:val="0"/>
      <w:marBottom w:val="0"/>
      <w:divBdr>
        <w:top w:val="none" w:sz="0" w:space="0" w:color="auto"/>
        <w:left w:val="none" w:sz="0" w:space="0" w:color="auto"/>
        <w:bottom w:val="none" w:sz="0" w:space="0" w:color="auto"/>
        <w:right w:val="none" w:sz="0" w:space="0" w:color="auto"/>
      </w:divBdr>
    </w:div>
    <w:div w:id="2099406389">
      <w:bodyDiv w:val="1"/>
      <w:marLeft w:val="0"/>
      <w:marRight w:val="0"/>
      <w:marTop w:val="0"/>
      <w:marBottom w:val="0"/>
      <w:divBdr>
        <w:top w:val="none" w:sz="0" w:space="0" w:color="auto"/>
        <w:left w:val="none" w:sz="0" w:space="0" w:color="auto"/>
        <w:bottom w:val="none" w:sz="0" w:space="0" w:color="auto"/>
        <w:right w:val="none" w:sz="0" w:space="0" w:color="auto"/>
      </w:divBdr>
    </w:div>
    <w:div w:id="2113625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1138/mjr.2023.34.3.284" TargetMode="External"/><Relationship Id="rId26" Type="http://schemas.openxmlformats.org/officeDocument/2006/relationships/hyperlink" Target="https://doi.org/10.4049/jimmunol.173.11.6973" TargetMode="External"/><Relationship Id="rId39" Type="http://schemas.openxmlformats.org/officeDocument/2006/relationships/hyperlink" Target="https://doi.org/10.3390/oxygen2040039" TargetMode="External"/><Relationship Id="rId21" Type="http://schemas.openxmlformats.org/officeDocument/2006/relationships/hyperlink" Target="https://www.ncbi.nlm.nih.gov/books/NBK441999/" TargetMode="External"/><Relationship Id="rId34" Type="http://schemas.openxmlformats.org/officeDocument/2006/relationships/hyperlink" Target="https://doi.org/10.1080/15376516.2022.2029656" TargetMode="External"/><Relationship Id="rId42" Type="http://schemas.openxmlformats.org/officeDocument/2006/relationships/hyperlink" Target="https://doi.org/10.1016/j.heliyon.2024.e3456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ontosight.ai/glossary/term/Dichlorofluorescein-Diacetate---DCF-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ubmed.ncbi.nlm.nih.gov/19052348/" TargetMode="External"/><Relationship Id="rId32" Type="http://schemas.openxmlformats.org/officeDocument/2006/relationships/hyperlink" Target="https://www.sciencedirect.com/topics/medicine-and-dentistry/cell-cycle-analysis" TargetMode="External"/><Relationship Id="rId37" Type="http://schemas.openxmlformats.org/officeDocument/2006/relationships/hyperlink" Target="https://doi.org/10.9734/jpri/2020/v32i1230556" TargetMode="External"/><Relationship Id="rId40" Type="http://schemas.openxmlformats.org/officeDocument/2006/relationships/hyperlink" Target="https://doi.org/10.1039/D4NR00462K"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journalspub.com/wp-content/uploads/2024/08/Novel-Synthesis-and-Biological-Evaluation-of-Silver-Nanoparticles.pdf" TargetMode="External"/><Relationship Id="rId28" Type="http://schemas.openxmlformats.org/officeDocument/2006/relationships/hyperlink" Target="https://doi.org/10.3389/ftox.2022.981701" TargetMode="External"/><Relationship Id="rId36" Type="http://schemas.openxmlformats.org/officeDocument/2006/relationships/hyperlink" Target="https://www.researchgate.net/publication/5587207" TargetMode="External"/><Relationship Id="rId10" Type="http://schemas.openxmlformats.org/officeDocument/2006/relationships/image" Target="media/image3.png"/><Relationship Id="rId19" Type="http://schemas.openxmlformats.org/officeDocument/2006/relationships/hyperlink" Target="https://doi.org/10.1038/s41598-025-92150-1" TargetMode="External"/><Relationship Id="rId31" Type="http://schemas.openxmlformats.org/officeDocument/2006/relationships/hyperlink" Target="https://www.ncbi.nlm.nih.gov/pmc/articles/PMC593993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38/35041687" TargetMode="External"/><Relationship Id="rId27" Type="http://schemas.openxmlformats.org/officeDocument/2006/relationships/hyperlink" Target="https://doi.org/10.1046/j.1365-2249.1999.00949.x" TargetMode="External"/><Relationship Id="rId30" Type="http://schemas.openxmlformats.org/officeDocument/2006/relationships/hyperlink" Target="https://www.ncbi.nlm.nih.gov/books/NBK555922/" TargetMode="External"/><Relationship Id="rId35" Type="http://schemas.openxmlformats.org/officeDocument/2006/relationships/hyperlink" Target="https://doi.org/10.21769/BioProtoc.3131"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80/17458080.2016.1139196" TargetMode="External"/><Relationship Id="rId33" Type="http://schemas.openxmlformats.org/officeDocument/2006/relationships/hyperlink" Target="https://doi.org/10.1371/journal.pone.0219078" TargetMode="External"/><Relationship Id="rId38" Type="http://schemas.openxmlformats.org/officeDocument/2006/relationships/hyperlink" Target="https://doi.org/10.9734/jammr/2023/v35i155080" TargetMode="External"/><Relationship Id="rId46" Type="http://schemas.openxmlformats.org/officeDocument/2006/relationships/fontTable" Target="fontTable.xml"/><Relationship Id="rId20" Type="http://schemas.openxmlformats.org/officeDocument/2006/relationships/hyperlink" Target="https://www.rheumatoidarthritis.org/ra/causes/index.html" TargetMode="External"/><Relationship Id="rId41" Type="http://schemas.openxmlformats.org/officeDocument/2006/relationships/hyperlink" Target="https://doi.org/10.1155/2022/9895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0F3A-10F8-401D-BE98-C43CDD9F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THOUTAM HIMA SANTHOSHINI</dc:creator>
  <cp:keywords/>
  <cp:lastModifiedBy>SDI 1186</cp:lastModifiedBy>
  <cp:revision>3</cp:revision>
  <cp:lastPrinted>2025-07-30T09:16:00Z</cp:lastPrinted>
  <dcterms:created xsi:type="dcterms:W3CDTF">2025-08-07T06:03:00Z</dcterms:created>
  <dcterms:modified xsi:type="dcterms:W3CDTF">2025-08-07T07:23:00Z</dcterms:modified>
</cp:coreProperties>
</file>