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F86" w:rsidRPr="004C4F19" w:rsidRDefault="00BD4C4F" w:rsidP="00CE5E9C">
      <w:pPr>
        <w:spacing w:before="240" w:after="240"/>
        <w:jc w:val="center"/>
        <w:rPr>
          <w:rFonts w:ascii="Times New Roman" w:hAnsi="Times New Roman" w:cs="Times New Roman"/>
          <w:sz w:val="28"/>
          <w:szCs w:val="28"/>
        </w:rPr>
      </w:pPr>
      <w:r w:rsidRPr="004C4F19">
        <w:rPr>
          <w:rFonts w:ascii="Times New Roman" w:eastAsia="Aptos" w:hAnsi="Times New Roman" w:cs="Times New Roman"/>
          <w:b/>
          <w:bCs/>
          <w:sz w:val="28"/>
          <w:szCs w:val="28"/>
        </w:rPr>
        <w:t>Eco-Friendly Nanocomposites for the Degradation of Emerging Contaminants in Wastewater Systems</w:t>
      </w:r>
    </w:p>
    <w:p w:rsidR="004C4F19" w:rsidRDefault="004C4F19">
      <w:pPr>
        <w:spacing w:before="240" w:after="240"/>
        <w:jc w:val="both"/>
        <w:rPr>
          <w:rFonts w:ascii="Times New Roman" w:eastAsia="Aptos" w:hAnsi="Times New Roman" w:cs="Times New Roman"/>
          <w:b/>
          <w:bCs/>
          <w:sz w:val="20"/>
          <w:szCs w:val="20"/>
        </w:rPr>
      </w:pPr>
    </w:p>
    <w:p w:rsidR="00653F86" w:rsidRPr="004C4F19" w:rsidRDefault="00BD4C4F">
      <w:pPr>
        <w:spacing w:before="240" w:after="240"/>
        <w:jc w:val="both"/>
        <w:rPr>
          <w:rFonts w:ascii="Times New Roman" w:hAnsi="Times New Roman" w:cs="Times New Roman"/>
        </w:rPr>
      </w:pPr>
      <w:r w:rsidRPr="004C4F19">
        <w:rPr>
          <w:rFonts w:ascii="Times New Roman" w:eastAsia="Aptos" w:hAnsi="Times New Roman" w:cs="Times New Roman"/>
          <w:b/>
          <w:bCs/>
        </w:rPr>
        <w:t>Abstract</w:t>
      </w:r>
    </w:p>
    <w:p w:rsidR="004C4F19" w:rsidRDefault="004C4F19" w:rsidP="004C4F19">
      <w:pPr>
        <w:pStyle w:val="whitespace-normal"/>
        <w:jc w:val="both"/>
      </w:pPr>
      <w:r>
        <w:t xml:space="preserve">Emerging contaminants (ECs) including pharmaceuticals, endocrine-disrupting compounds (EDCs), microplastics, and personal care products have become persistent pollutants in aquatic environments due to their resistance to conventional wastewater treatment methods. This study investigates the green synthesis, comprehensive characterization, and exceptional performance of biodegradable, plant-based nanocomposites for the removal and degradation of ECs from wastewater systems. Eco-friendly nanomaterials were synthesized using cellulose nanocrystals, chitosan, and starch matrices embedded with metal oxide nanoparticles (ZnO, TiO₂, CuO, Fe₃O₄), functionalized through phytochemical reduction using extracts from </w:t>
      </w:r>
      <w:r>
        <w:rPr>
          <w:rStyle w:val="Emphasis"/>
        </w:rPr>
        <w:t>Camellia sinensis</w:t>
      </w:r>
      <w:r>
        <w:t xml:space="preserve"> (green tea), </w:t>
      </w:r>
      <w:r>
        <w:rPr>
          <w:rStyle w:val="Emphasis"/>
        </w:rPr>
        <w:t>Moringa oleifera</w:t>
      </w:r>
      <w:r>
        <w:t xml:space="preserve">, </w:t>
      </w:r>
      <w:r>
        <w:rPr>
          <w:rStyle w:val="Emphasis"/>
        </w:rPr>
        <w:t>Aloe vera</w:t>
      </w:r>
      <w:r>
        <w:t xml:space="preserve">, and </w:t>
      </w:r>
      <w:r>
        <w:rPr>
          <w:rStyle w:val="Emphasis"/>
        </w:rPr>
        <w:t>Azadirachta indica</w:t>
      </w:r>
      <w:r>
        <w:t xml:space="preserve"> (neem). The biosynthesized nanocomposites demonstrated optimal physicochemical properties with high surface areas (50–300 m²/g), nano-scale particle sizes (10–100 nm), and zeta potentials of ±30-50 mV ensuring colloidal stability. Remarkable removal efficiencies of 87.3–96.5% were achieved for diverse contaminants: Fe₃O₄/chitosan-green tea (94.2% tetracycline), ZnO/cellulose-moringa (89.7% BPA), TiO₂/alginate-aloe vera (91.5% microplastics), and CuO/starch-neem (87.3% ibuprofen), representing </w:t>
      </w:r>
      <w:proofErr w:type="gramStart"/>
      <w:r>
        <w:t>3-15 fold</w:t>
      </w:r>
      <w:proofErr w:type="gramEnd"/>
      <w:r>
        <w:t xml:space="preserve"> improvements over conventional methods. Mechanistic studies revealed synergistic tri-modal action through physical adsorption via π-π interactions and hydrogen bonding, photocatalytic degradation generating reactive oxygen species (•OH, O₂•⁻), and enzymatic breakdown through laccase-mediated oxidation. Kinetic analysis confirmed pseudo-second-order behavior (R² &gt; 0.99) with rate constants 2-5 times higher than conventional adsorbents, while thermodynamic parameters revealed spontaneous, exothermic processes (ΔG° = -22.8 to -30.2 kJ/mol). Exceptional reusability was demonstrated over 12-18 cycles with &gt;85% efficiency retention. Comprehensive biodegradation studies under OECD 301F conditions showed &gt;78% mass loss within 45 days, with microbial community analysis (16S rRNA sequencing) identifying specific degradative organisms (</w:t>
      </w:r>
      <w:r>
        <w:rPr>
          <w:rStyle w:val="Emphasis"/>
        </w:rPr>
        <w:t>Bacillus subtilis</w:t>
      </w:r>
      <w:r>
        <w:t xml:space="preserve">, </w:t>
      </w:r>
      <w:r>
        <w:rPr>
          <w:rStyle w:val="Emphasis"/>
        </w:rPr>
        <w:t>Trichoderma viride</w:t>
      </w:r>
      <w:r>
        <w:t xml:space="preserve">, </w:t>
      </w:r>
      <w:r>
        <w:rPr>
          <w:rStyle w:val="Emphasis"/>
        </w:rPr>
        <w:t>Pseudomonas putida</w:t>
      </w:r>
      <w:r>
        <w:t xml:space="preserve">) and enzymatic activities (cellulase: 47.2 U/g, chitinase: 52.8 U/g, amylase: 38.9 U/g). Temperature-dependent kinetics revealed activation energies of 47.3-52.3 kJ/mol and Q₁₀ coefficients of 2.0-2.3, confirming biological degradation mechanisms. Extensive safety assessment showed metal leaching far below regulatory limits (Zn &lt;0.05 μg/L, Cu 0.18 μg/L, Fe 0.45 μg/L), low bioaccumulation factors (BCF: 8-47, BAF: 0.18-0.89), and minimal ecotoxicity (LC₅₀ &gt;400-1000 mg/L for </w:t>
      </w:r>
      <w:r>
        <w:rPr>
          <w:rStyle w:val="Emphasis"/>
        </w:rPr>
        <w:t>Daphnia magna</w:t>
      </w:r>
      <w:r>
        <w:t xml:space="preserve"> and </w:t>
      </w:r>
      <w:r>
        <w:rPr>
          <w:rStyle w:val="Emphasis"/>
        </w:rPr>
        <w:t>Lactuca sativa</w:t>
      </w:r>
      <w:r>
        <w:t>). Life cycle assessment using SimaPro 9.5 revealed dramatic environmental benefits: 68-85% reductions in greenhouse gas emissions, fossil fuel consumption, and human health risks compared to conventional nanomaterials, with negative carbon footprints (-12.8 to -18.5 kg CO₂-eq/kg) through composting scenarios. Material recovery rates of 78-90% contributed to exceptional circularity indices (0.89-0.95). This study establishes plant-derived nanocomposites as transformative, environmentally compatible solutions for mitigating emerging pollutants, offering unprecedented combination of high efficiency, biodegradability, safety, and sustainability for both centralized and decentralized water treatment applications.</w:t>
      </w:r>
    </w:p>
    <w:p w:rsidR="004C4F19" w:rsidRDefault="004C4F19" w:rsidP="004C4F19">
      <w:pPr>
        <w:pStyle w:val="whitespace-normal"/>
        <w:jc w:val="both"/>
      </w:pPr>
      <w:r>
        <w:rPr>
          <w:rStyle w:val="Strong"/>
        </w:rPr>
        <w:lastRenderedPageBreak/>
        <w:t>Keywords:</w:t>
      </w:r>
      <w:r>
        <w:t xml:space="preserve"> Eco-friendly nanocomposites, Emerging contaminants, Green synthesis, Biodegradable nanomaterials, Phytochemical functionalization, Multi-modal degradation, Life cycle assessment, Circular economy, Environmental sustainability, Water treatment.</w:t>
      </w:r>
    </w:p>
    <w:p w:rsidR="004C4F19" w:rsidRPr="002C45AD" w:rsidRDefault="004C4F19" w:rsidP="002C45AD">
      <w:pPr>
        <w:spacing w:line="360" w:lineRule="auto"/>
        <w:jc w:val="both"/>
        <w:rPr>
          <w:rFonts w:ascii="Times New Roman" w:hAnsi="Times New Roman" w:cs="Times New Roman"/>
          <w:sz w:val="22"/>
          <w:szCs w:val="22"/>
        </w:rPr>
      </w:pP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b/>
          <w:bCs/>
          <w:sz w:val="22"/>
          <w:szCs w:val="22"/>
        </w:rPr>
        <w:t>1. Introduction</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The growing contamination of aquatic systems by emerging contaminants (ECs) a diverse class of pollutants including pharmaceuticals, endocrine-disrupting compounds (EDCs), microplastics, and personal care products poses a formidable challenge to global water security and ecological health. These contaminants, typically found in trace concentrations ranging from nanograms to micrograms per liter, are not effectively removed by conventional wastewater treatment processes such as sedimentation, activated sludge, and chlorination (Kumar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xml:space="preserve">., 2023). The persistence of these compounds in treated effluents results in their continuous release into surface and groundwater bodies, thereby affecting aquatic organisms, altering hormonal regulation, and contributing to the emergence of antibiotic-resistant bacteria (Zhang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2024).</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Recent advances in nanotechnology offer a promising path toward addressing this environmental crisis. Nanomaterials possess unique physicochemical properties including high surface area-to-volume ratio, enhanced reactivity, and tunable surface functionalities that make them suitable candidates for the adsorption and degradation of ECs (Anderson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2023). However, growing environmental concerns over the toxicity and long-term fate of synthetic nanomaterials have led to an increased interest in developing eco-friendly alternatives.</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Eco-friendly nanocomposites, particularly those synthesized using plant-based polymers and biogenic metal oxides, offer a sustainable and biodegradable solution. These green nanocomposites not only reduce the environmental footprint associated with synthesis but also exhibit comparable, and sometimes superior, efficiency in removing persistent pollutants (Liu </w:t>
      </w:r>
      <w:r w:rsidRPr="002C45AD">
        <w:rPr>
          <w:rFonts w:ascii="Times New Roman" w:hAnsi="Times New Roman" w:cs="Times New Roman"/>
          <w:i/>
          <w:sz w:val="22"/>
          <w:szCs w:val="22"/>
        </w:rPr>
        <w:t>et al</w:t>
      </w:r>
      <w:r w:rsidRPr="002C45AD">
        <w:rPr>
          <w:rFonts w:ascii="Times New Roman" w:hAnsi="Times New Roman" w:cs="Times New Roman"/>
          <w:sz w:val="22"/>
          <w:szCs w:val="22"/>
        </w:rPr>
        <w:t xml:space="preserve">., 2024; Patel </w:t>
      </w:r>
      <w:r w:rsidRPr="002C45AD">
        <w:rPr>
          <w:rFonts w:ascii="Times New Roman" w:hAnsi="Times New Roman" w:cs="Times New Roman"/>
          <w:i/>
          <w:sz w:val="22"/>
          <w:szCs w:val="22"/>
        </w:rPr>
        <w:t>et al.,</w:t>
      </w:r>
      <w:r w:rsidRPr="002C45AD">
        <w:rPr>
          <w:rFonts w:ascii="Times New Roman" w:hAnsi="Times New Roman" w:cs="Times New Roman"/>
          <w:sz w:val="22"/>
          <w:szCs w:val="22"/>
        </w:rPr>
        <w:t xml:space="preserve"> 2023). Moreover, their compatibility with natural degradation pathways and minimal secondary pollution make them particularly suitable for integration into decentralized and rural wastewater treatment systems.</w:t>
      </w:r>
    </w:p>
    <w:p w:rsidR="0048721B"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The development of these nanocomposites is deeply rooted in the principles of green chemistry, emphasizing the use of non-toxic solvents, renewable raw materials, and energy-efficient synthesis protocols. For instance, the use of phytochemicals from Moringa oleifera, green tea, and neem has demonstrated the dual benefit of nanoparticle synthesis and surface functionalization, enhancing the reactivity of the resulting materials (</w:t>
      </w:r>
      <w:r w:rsidR="00786963" w:rsidRPr="00786963">
        <w:rPr>
          <w:rFonts w:ascii="Times New Roman" w:hAnsi="Times New Roman" w:cs="Times New Roman"/>
          <w:sz w:val="22"/>
          <w:szCs w:val="22"/>
        </w:rPr>
        <w:t>Vaishnav</w:t>
      </w:r>
      <w:r w:rsidRPr="002C45AD">
        <w:rPr>
          <w:rFonts w:ascii="Times New Roman" w:hAnsi="Times New Roman" w:cs="Times New Roman"/>
          <w:sz w:val="22"/>
          <w:szCs w:val="22"/>
        </w:rPr>
        <w:t xml:space="preserve">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xml:space="preserve">., 2023; Chen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xml:space="preserve">., 2024). These approaches not only align with global sustainability goals but also promote local resource utilization and circular economy </w:t>
      </w:r>
      <w:r w:rsidRPr="002C45AD">
        <w:rPr>
          <w:rFonts w:ascii="Times New Roman" w:hAnsi="Times New Roman" w:cs="Times New Roman"/>
          <w:sz w:val="22"/>
          <w:szCs w:val="22"/>
        </w:rPr>
        <w:lastRenderedPageBreak/>
        <w:t>principles.</w:t>
      </w:r>
      <w:r w:rsidR="00CE5E9C" w:rsidRPr="002C45AD">
        <w:rPr>
          <w:rFonts w:ascii="Times New Roman" w:hAnsi="Times New Roman" w:cs="Times New Roman"/>
          <w:sz w:val="22"/>
          <w:szCs w:val="22"/>
        </w:rPr>
        <w:t xml:space="preserve"> </w:t>
      </w:r>
      <w:r w:rsidRPr="002C45AD">
        <w:rPr>
          <w:rFonts w:ascii="Times New Roman" w:hAnsi="Times New Roman" w:cs="Times New Roman"/>
          <w:sz w:val="22"/>
          <w:szCs w:val="22"/>
        </w:rPr>
        <w:t>Despite the promising potential, there is still a need for comprehensive research that bridges laboratory-scale synthesis with real-world application. This includes understanding the interaction of nanocomposites with complex wastewater matrices, evaluating their reusability and regeneration capabilities, and assessing their long-term environmental fate. This paper addresses these gaps by investigating the synthesis, characterization, degradation mechanisms, and performance efficiency of biodegradable, plant-based nanocomposites for EC removal in wastewater systems. Our findings contribute to the growing body of evidence supporting the deployment of sustainable nanotechnologies for environmental remediation.</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b/>
          <w:bCs/>
          <w:sz w:val="22"/>
          <w:szCs w:val="22"/>
        </w:rPr>
        <w:t>Camellia sinensis (Green Tea)</w:t>
      </w:r>
      <w:r w:rsidRPr="002C45AD">
        <w:rPr>
          <w:rFonts w:ascii="Times New Roman" w:hAnsi="Times New Roman" w:cs="Times New Roman"/>
          <w:sz w:val="22"/>
          <w:szCs w:val="22"/>
        </w:rPr>
        <w:br/>
        <w:t xml:space="preserve"> Green tea, derived from the leaves of </w:t>
      </w:r>
      <w:r w:rsidRPr="002C45AD">
        <w:rPr>
          <w:rFonts w:ascii="Times New Roman" w:hAnsi="Times New Roman" w:cs="Times New Roman"/>
          <w:i/>
          <w:iCs/>
          <w:sz w:val="22"/>
          <w:szCs w:val="22"/>
        </w:rPr>
        <w:t>Camellia sinensis</w:t>
      </w:r>
      <w:r w:rsidRPr="002C45AD">
        <w:rPr>
          <w:rFonts w:ascii="Times New Roman" w:hAnsi="Times New Roman" w:cs="Times New Roman"/>
          <w:sz w:val="22"/>
          <w:szCs w:val="22"/>
        </w:rPr>
        <w:t xml:space="preserve">, is rich in polyphenolic compounds such as catechins, epigallocatechin gallate (EGCG), and tannins, which have demonstrated potent antioxidant, antimicrobial, and metal-reducing properties. These phytochemicals play a crucial role in the green synthesis of metal and metal oxide nanoparticles by acting as reducing and stabilizing agents (Ahmed </w:t>
      </w:r>
      <w:r w:rsidRPr="002C45AD">
        <w:rPr>
          <w:rFonts w:ascii="Times New Roman" w:hAnsi="Times New Roman" w:cs="Times New Roman"/>
          <w:i/>
          <w:sz w:val="22"/>
          <w:szCs w:val="22"/>
        </w:rPr>
        <w:t>et al</w:t>
      </w:r>
      <w:r w:rsidRPr="002C45AD">
        <w:rPr>
          <w:rFonts w:ascii="Times New Roman" w:hAnsi="Times New Roman" w:cs="Times New Roman"/>
          <w:sz w:val="22"/>
          <w:szCs w:val="22"/>
        </w:rPr>
        <w:t xml:space="preserve">., 2016). In nanotechnology applications, green tea extracts have been used to synthesize ZnO, TiO₂, and Fe₃O₄ nanoparticles with enhanced reactivity and biocompatibility for environmental remediation purposes (Liu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2024).</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b/>
          <w:bCs/>
          <w:sz w:val="22"/>
          <w:szCs w:val="22"/>
        </w:rPr>
        <w:t>Moringa oleifera</w:t>
      </w:r>
      <w:r w:rsidRPr="002C45AD">
        <w:rPr>
          <w:rFonts w:ascii="Times New Roman" w:hAnsi="Times New Roman" w:cs="Times New Roman"/>
          <w:sz w:val="22"/>
          <w:szCs w:val="22"/>
        </w:rPr>
        <w:br/>
        <w:t xml:space="preserve"> Moringa oleifera leaves are rich in flavonoids, phenolic acids, and water-soluble antioxidants such as ascorbic acid and quercetin. These bioactive compounds contribute to nanoparticle formation by facilitating metal ion reduction and preventing aggregation (Patel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xml:space="preserve">., 2023). Additionally, Moringa-based nanocomposites exhibit strong adsorption capacity for endocrine-disrupting compounds like bisphenol A (BPA) due to their polar functional groups and high surface activity (Gopalakrishnan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2016).</w:t>
      </w:r>
    </w:p>
    <w:p w:rsidR="00653F86"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b/>
          <w:bCs/>
          <w:sz w:val="22"/>
          <w:szCs w:val="22"/>
        </w:rPr>
        <w:t>Aloe vera</w:t>
      </w:r>
      <w:r w:rsidRPr="002C45AD">
        <w:rPr>
          <w:rFonts w:ascii="Times New Roman" w:hAnsi="Times New Roman" w:cs="Times New Roman"/>
          <w:sz w:val="22"/>
          <w:szCs w:val="22"/>
        </w:rPr>
        <w:br/>
      </w:r>
      <w:r w:rsidRPr="002C45AD">
        <w:rPr>
          <w:rFonts w:ascii="Times New Roman" w:hAnsi="Times New Roman" w:cs="Times New Roman"/>
          <w:i/>
          <w:iCs/>
          <w:sz w:val="22"/>
          <w:szCs w:val="22"/>
        </w:rPr>
        <w:t>Aloe vera</w:t>
      </w:r>
      <w:r w:rsidRPr="002C45AD">
        <w:rPr>
          <w:rFonts w:ascii="Times New Roman" w:hAnsi="Times New Roman" w:cs="Times New Roman"/>
          <w:sz w:val="22"/>
          <w:szCs w:val="22"/>
        </w:rPr>
        <w:t xml:space="preserve"> contains a complex mixture of polysaccharides, anthraquinones, and phenolic compounds which aid in the biosynthesis of nanoparticles. The mucilaginous nature of </w:t>
      </w:r>
      <w:r w:rsidRPr="002C45AD">
        <w:rPr>
          <w:rFonts w:ascii="Times New Roman" w:hAnsi="Times New Roman" w:cs="Times New Roman"/>
          <w:i/>
          <w:iCs/>
          <w:sz w:val="22"/>
          <w:szCs w:val="22"/>
        </w:rPr>
        <w:t>Aloe vera</w:t>
      </w:r>
      <w:r w:rsidRPr="002C45AD">
        <w:rPr>
          <w:rFonts w:ascii="Times New Roman" w:hAnsi="Times New Roman" w:cs="Times New Roman"/>
          <w:sz w:val="22"/>
          <w:szCs w:val="22"/>
        </w:rPr>
        <w:t xml:space="preserve"> gel provides both steric stabilization and surface functionalization, making it suitable for generating TiO₂ and AgNPs with high catalytic and antimicrobial efficacy (Chen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xml:space="preserve">., 2024). Studies have reported the use of </w:t>
      </w:r>
      <w:r w:rsidRPr="002C45AD">
        <w:rPr>
          <w:rFonts w:ascii="Times New Roman" w:hAnsi="Times New Roman" w:cs="Times New Roman"/>
          <w:i/>
          <w:iCs/>
          <w:sz w:val="22"/>
          <w:szCs w:val="22"/>
        </w:rPr>
        <w:t>Aloe</w:t>
      </w:r>
      <w:r w:rsidRPr="002C45AD">
        <w:rPr>
          <w:rFonts w:ascii="Times New Roman" w:hAnsi="Times New Roman" w:cs="Times New Roman"/>
          <w:sz w:val="22"/>
          <w:szCs w:val="22"/>
        </w:rPr>
        <w:t xml:space="preserve">-mediated nanomaterials in removing microplastics and pharmaceutical residues from aqueous systems (Ravichandran </w:t>
      </w:r>
      <w:r w:rsidRPr="002C45AD">
        <w:rPr>
          <w:rFonts w:ascii="Times New Roman" w:hAnsi="Times New Roman" w:cs="Times New Roman"/>
          <w:i/>
          <w:sz w:val="22"/>
          <w:szCs w:val="22"/>
        </w:rPr>
        <w:t>et al</w:t>
      </w:r>
      <w:r w:rsidRPr="002C45AD">
        <w:rPr>
          <w:rFonts w:ascii="Times New Roman" w:hAnsi="Times New Roman" w:cs="Times New Roman"/>
          <w:sz w:val="22"/>
          <w:szCs w:val="22"/>
        </w:rPr>
        <w:t>., 2017).</w:t>
      </w:r>
    </w:p>
    <w:p w:rsidR="004C4F19" w:rsidRPr="002C45AD" w:rsidRDefault="004C4F19" w:rsidP="002C45AD">
      <w:pPr>
        <w:spacing w:line="360" w:lineRule="auto"/>
        <w:jc w:val="both"/>
        <w:rPr>
          <w:rFonts w:ascii="Times New Roman" w:hAnsi="Times New Roman" w:cs="Times New Roman"/>
          <w:sz w:val="22"/>
          <w:szCs w:val="22"/>
        </w:rPr>
      </w:pPr>
    </w:p>
    <w:p w:rsidR="0048721B"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b/>
          <w:bCs/>
          <w:sz w:val="22"/>
          <w:szCs w:val="22"/>
        </w:rPr>
        <w:lastRenderedPageBreak/>
        <w:t>Azadirachta indica (Neem)</w:t>
      </w:r>
      <w:r w:rsidRPr="002C45AD">
        <w:rPr>
          <w:rFonts w:ascii="Times New Roman" w:hAnsi="Times New Roman" w:cs="Times New Roman"/>
          <w:sz w:val="22"/>
          <w:szCs w:val="22"/>
        </w:rPr>
        <w:br/>
        <w:t xml:space="preserve"> Commonly known as neem, </w:t>
      </w:r>
      <w:r w:rsidRPr="002C45AD">
        <w:rPr>
          <w:rFonts w:ascii="Times New Roman" w:hAnsi="Times New Roman" w:cs="Times New Roman"/>
          <w:i/>
          <w:iCs/>
          <w:sz w:val="22"/>
          <w:szCs w:val="22"/>
        </w:rPr>
        <w:t>Azadirachta indica</w:t>
      </w:r>
      <w:r w:rsidRPr="002C45AD">
        <w:rPr>
          <w:rFonts w:ascii="Times New Roman" w:hAnsi="Times New Roman" w:cs="Times New Roman"/>
          <w:sz w:val="22"/>
          <w:szCs w:val="22"/>
        </w:rPr>
        <w:t xml:space="preserve"> is a medicinal plant widely used for its antimicrobial, anti-inflammatory, and pesticidal properties. Its leaves are abundant in limonoids, flavonoids, and terpenoids, which are efficient in reducing and capping metal ions to form nanoparticles (</w:t>
      </w:r>
      <w:r w:rsidR="00786963" w:rsidRPr="00786963">
        <w:rPr>
          <w:rFonts w:ascii="Times New Roman" w:hAnsi="Times New Roman" w:cs="Times New Roman"/>
          <w:sz w:val="22"/>
          <w:szCs w:val="22"/>
        </w:rPr>
        <w:t xml:space="preserve">Vaishnav </w:t>
      </w:r>
      <w:r w:rsidRPr="002C45AD">
        <w:rPr>
          <w:rFonts w:ascii="Times New Roman" w:hAnsi="Times New Roman" w:cs="Times New Roman"/>
          <w:i/>
          <w:iCs/>
          <w:sz w:val="22"/>
          <w:szCs w:val="22"/>
        </w:rPr>
        <w:t>et al</w:t>
      </w:r>
      <w:r w:rsidRPr="002C45AD">
        <w:rPr>
          <w:rFonts w:ascii="Times New Roman" w:hAnsi="Times New Roman" w:cs="Times New Roman"/>
          <w:sz w:val="22"/>
          <w:szCs w:val="22"/>
        </w:rPr>
        <w:t>., 2023). Neem-based nanocomposites have shown significant potential in water purification applications, particularly for the removal of pharmaceuticals like ibuprofen and dyes due to their high affinity and surface reactivity (Kora &amp; Rastogi, 2018).</w:t>
      </w:r>
    </w:p>
    <w:p w:rsidR="00653F86" w:rsidRPr="002C45AD"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hAnsi="Times New Roman" w:cs="Times New Roman"/>
          <w:b/>
          <w:bCs/>
          <w:color w:val="000000" w:themeColor="text1"/>
          <w:sz w:val="22"/>
          <w:szCs w:val="22"/>
        </w:rPr>
        <w:t>2. Materials and Methods</w:t>
      </w:r>
    </w:p>
    <w:p w:rsidR="00653F86" w:rsidRPr="002C45AD"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hAnsi="Times New Roman" w:cs="Times New Roman"/>
          <w:b/>
          <w:bCs/>
          <w:color w:val="000000" w:themeColor="text1"/>
          <w:sz w:val="22"/>
          <w:szCs w:val="22"/>
        </w:rPr>
        <w:t>2.1 Preparation of Plant Extracts</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Fresh leaves of </w:t>
      </w:r>
      <w:r w:rsidRPr="002C45AD">
        <w:rPr>
          <w:rStyle w:val="Emphasis"/>
          <w:rFonts w:ascii="Times New Roman" w:hAnsi="Times New Roman" w:cs="Times New Roman"/>
          <w:sz w:val="22"/>
          <w:szCs w:val="22"/>
        </w:rPr>
        <w:t>Camellia sinensis</w:t>
      </w:r>
      <w:r w:rsidRPr="002C45AD">
        <w:rPr>
          <w:rFonts w:ascii="Times New Roman" w:hAnsi="Times New Roman" w:cs="Times New Roman"/>
          <w:sz w:val="22"/>
          <w:szCs w:val="22"/>
        </w:rPr>
        <w:t xml:space="preserve"> (green tea), </w:t>
      </w:r>
      <w:r w:rsidRPr="002C45AD">
        <w:rPr>
          <w:rStyle w:val="Emphasis"/>
          <w:rFonts w:ascii="Times New Roman" w:hAnsi="Times New Roman" w:cs="Times New Roman"/>
          <w:sz w:val="22"/>
          <w:szCs w:val="22"/>
        </w:rPr>
        <w:t>Moringa oleifera</w:t>
      </w:r>
      <w:r w:rsidRPr="002C45AD">
        <w:rPr>
          <w:rFonts w:ascii="Times New Roman" w:hAnsi="Times New Roman" w:cs="Times New Roman"/>
          <w:sz w:val="22"/>
          <w:szCs w:val="22"/>
        </w:rPr>
        <w:t xml:space="preserve">, </w:t>
      </w:r>
      <w:r w:rsidRPr="002C45AD">
        <w:rPr>
          <w:rStyle w:val="Emphasis"/>
          <w:rFonts w:ascii="Times New Roman" w:hAnsi="Times New Roman" w:cs="Times New Roman"/>
          <w:sz w:val="22"/>
          <w:szCs w:val="22"/>
        </w:rPr>
        <w:t>Aloe vera</w:t>
      </w:r>
      <w:r w:rsidRPr="002C45AD">
        <w:rPr>
          <w:rFonts w:ascii="Times New Roman" w:hAnsi="Times New Roman" w:cs="Times New Roman"/>
          <w:sz w:val="22"/>
          <w:szCs w:val="22"/>
        </w:rPr>
        <w:t xml:space="preserve">, and </w:t>
      </w:r>
      <w:r w:rsidRPr="002C45AD">
        <w:rPr>
          <w:rStyle w:val="Emphasis"/>
          <w:rFonts w:ascii="Times New Roman" w:hAnsi="Times New Roman" w:cs="Times New Roman"/>
          <w:sz w:val="22"/>
          <w:szCs w:val="22"/>
        </w:rPr>
        <w:t>Azadirachta indica</w:t>
      </w:r>
      <w:r w:rsidRPr="002C45AD">
        <w:rPr>
          <w:rFonts w:ascii="Times New Roman" w:hAnsi="Times New Roman" w:cs="Times New Roman"/>
          <w:sz w:val="22"/>
          <w:szCs w:val="22"/>
        </w:rPr>
        <w:t xml:space="preserve"> (neem) were sourced from certified organic suppliers and thoroughly washed with deionized water to remove surface contaminants and dust particles. The leaves were subsequently air-dried under shade at ambient temperature (25 ± 2°C) for 5–7 days to preserve heat-sensitive phytochemicals. Once completely dried, the leaves were pulverized using a mechanical grinder (stainless steel blades) and sieved through a 200-mesh to obtain uniform powder particle size.Aqueous extraction was performed by adding 10 g of plant powder to 100 mL of deionized water in a round-bottom flask and heating the mixture at 80°C for 30 minutes under reflux conditions to prevent volatile compound loss. The extraction mixture was continuously stirred using a magnetic stirrer at 300 rpm to ensure homogeneous extraction. After cooling to room temperature, the mixture was filtered through Whatman No. 1 filter paper (pore size 11 μm) to obtain clear filtrates.</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 The pH of each plant extract was immediately measured using a calibrated digital pH meter (Hanna Instruments HI-2020, accuracy ±0.01) at 25°C. The recorded pH values were as follows: green tea extract (5.2 ± 0.1), </w:t>
      </w:r>
      <w:r w:rsidRPr="002C45AD">
        <w:rPr>
          <w:rStyle w:val="Emphasis"/>
          <w:rFonts w:ascii="Times New Roman" w:hAnsi="Times New Roman" w:cs="Times New Roman"/>
          <w:sz w:val="22"/>
          <w:szCs w:val="22"/>
        </w:rPr>
        <w:t>Moringa oleifera</w:t>
      </w:r>
      <w:r w:rsidRPr="002C45AD">
        <w:rPr>
          <w:rFonts w:ascii="Times New Roman" w:hAnsi="Times New Roman" w:cs="Times New Roman"/>
          <w:sz w:val="22"/>
          <w:szCs w:val="22"/>
        </w:rPr>
        <w:t xml:space="preserve"> extract (6.8 ± 0.2), </w:t>
      </w:r>
      <w:r w:rsidRPr="002C45AD">
        <w:rPr>
          <w:rStyle w:val="Emphasis"/>
          <w:rFonts w:ascii="Times New Roman" w:hAnsi="Times New Roman" w:cs="Times New Roman"/>
          <w:sz w:val="22"/>
          <w:szCs w:val="22"/>
        </w:rPr>
        <w:t>Aloe vera</w:t>
      </w:r>
      <w:r w:rsidRPr="002C45AD">
        <w:rPr>
          <w:rFonts w:ascii="Times New Roman" w:hAnsi="Times New Roman" w:cs="Times New Roman"/>
          <w:sz w:val="22"/>
          <w:szCs w:val="22"/>
        </w:rPr>
        <w:t xml:space="preserve"> extract (4.5 ± 0.1), and neem extract (6.1 ± 0.2). These pH measurements are critical parameters as they directly influence the reduction potential of phytochemicals, the nucleation and growth kinetics of nanoparticles, and the surface charge of the resulting nanomaterials. The slightly acidic to neutral pH range (4.5–6.8) observed is optimal for maintaining the structural integrity of reducing agents such as polyphenols, catechins, and flavonoids while enhancing their electron-donating capacity for metal ion reduction.</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To ensure reproducibility across different batches, the pH of plant extracts was monitored and maintained within ±0.2 units of the target values. When necessary, minor pH adjustments were made using 0.1 M NaOH or 0.1 M HCl. The total phenolic content of each extract was quantified using the Folin-Ciocalteu assay and expressed as gallic acid equivalents (GAE) per gram of dry weight: green tea (145 ± 8 mg </w:t>
      </w:r>
      <w:r w:rsidRPr="002C45AD">
        <w:rPr>
          <w:rFonts w:ascii="Times New Roman" w:hAnsi="Times New Roman" w:cs="Times New Roman"/>
          <w:sz w:val="22"/>
          <w:szCs w:val="22"/>
        </w:rPr>
        <w:lastRenderedPageBreak/>
        <w:t xml:space="preserve">GAE/g), </w:t>
      </w:r>
      <w:r w:rsidRPr="002C45AD">
        <w:rPr>
          <w:rStyle w:val="Emphasis"/>
          <w:rFonts w:ascii="Times New Roman" w:hAnsi="Times New Roman" w:cs="Times New Roman"/>
          <w:sz w:val="22"/>
          <w:szCs w:val="22"/>
        </w:rPr>
        <w:t>Moringa oleifera</w:t>
      </w:r>
      <w:r w:rsidRPr="002C45AD">
        <w:rPr>
          <w:rFonts w:ascii="Times New Roman" w:hAnsi="Times New Roman" w:cs="Times New Roman"/>
          <w:sz w:val="22"/>
          <w:szCs w:val="22"/>
        </w:rPr>
        <w:t xml:space="preserve"> (89 ± 5 mg GAE/g), </w:t>
      </w:r>
      <w:r w:rsidRPr="002C45AD">
        <w:rPr>
          <w:rStyle w:val="Emphasis"/>
          <w:rFonts w:ascii="Times New Roman" w:hAnsi="Times New Roman" w:cs="Times New Roman"/>
          <w:sz w:val="22"/>
          <w:szCs w:val="22"/>
        </w:rPr>
        <w:t>Aloe vera</w:t>
      </w:r>
      <w:r w:rsidRPr="002C45AD">
        <w:rPr>
          <w:rFonts w:ascii="Times New Roman" w:hAnsi="Times New Roman" w:cs="Times New Roman"/>
          <w:sz w:val="22"/>
          <w:szCs w:val="22"/>
        </w:rPr>
        <w:t xml:space="preserve"> (62 ± 4 mg GAE/g), and neem (118 ± 7 mg GAE/g).</w:t>
      </w:r>
    </w:p>
    <w:p w:rsidR="00653F86" w:rsidRPr="004C4F19"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The filtered extracts were stored in amber glass bottles at 4°C under nitrogen atmosphere to prevent oxidation of bioactive compounds. pH stability monitoring over the one-week usage period confirmed that extract pH remained stable (±0.1 units) with no significant degradation of phytochemical content as verified by UV-Vis spectrophotometry at characteristic absorption wavelengths (280 nm for phenolics, 320 nm for flavonoids). All extracts were used within seven days of preparation to ensure maximum reducing activity and consistent nanoparticle synthesis outcomes.This extraction protocol aligns with recent advances in green synthesis methodologies reported in contemporary literature, ensuring optimal phytochemical recovery while maintaining the bioactivity essential for effective nanoparticle formation and functionalization(Liu </w:t>
      </w:r>
      <w:r w:rsidRPr="002C45AD">
        <w:rPr>
          <w:rFonts w:ascii="Times New Roman" w:hAnsi="Times New Roman" w:cs="Times New Roman"/>
          <w:i/>
          <w:sz w:val="22"/>
          <w:szCs w:val="22"/>
        </w:rPr>
        <w:t>et al</w:t>
      </w:r>
      <w:r w:rsidRPr="002C45AD">
        <w:rPr>
          <w:rFonts w:ascii="Times New Roman" w:hAnsi="Times New Roman" w:cs="Times New Roman"/>
          <w:sz w:val="22"/>
          <w:szCs w:val="22"/>
        </w:rPr>
        <w:t xml:space="preserve">., 2024; Chen </w:t>
      </w:r>
      <w:r w:rsidRPr="002C45AD">
        <w:rPr>
          <w:rFonts w:ascii="Times New Roman" w:hAnsi="Times New Roman" w:cs="Times New Roman"/>
          <w:i/>
          <w:sz w:val="22"/>
          <w:szCs w:val="22"/>
        </w:rPr>
        <w:t>et al</w:t>
      </w:r>
      <w:r w:rsidRPr="002C45AD">
        <w:rPr>
          <w:rFonts w:ascii="Times New Roman" w:hAnsi="Times New Roman" w:cs="Times New Roman"/>
          <w:sz w:val="22"/>
          <w:szCs w:val="22"/>
        </w:rPr>
        <w:t xml:space="preserve">., 2024;Gonfa </w:t>
      </w:r>
      <w:r w:rsidRPr="002C45AD">
        <w:rPr>
          <w:rFonts w:ascii="Times New Roman" w:hAnsi="Times New Roman" w:cs="Times New Roman"/>
          <w:i/>
          <w:sz w:val="22"/>
          <w:szCs w:val="22"/>
        </w:rPr>
        <w:t>et al.,</w:t>
      </w:r>
      <w:r w:rsidRPr="002C45AD">
        <w:rPr>
          <w:rFonts w:ascii="Times New Roman" w:hAnsi="Times New Roman" w:cs="Times New Roman"/>
          <w:sz w:val="22"/>
          <w:szCs w:val="22"/>
        </w:rPr>
        <w:t xml:space="preserve"> 2020 ).</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b/>
          <w:bCs/>
          <w:sz w:val="22"/>
          <w:szCs w:val="22"/>
        </w:rPr>
        <w:t>2.2 Sample Collection and Wastewater Preparation</w:t>
      </w:r>
      <w:r w:rsidRPr="002C45AD">
        <w:rPr>
          <w:rFonts w:ascii="Times New Roman" w:hAnsi="Times New Roman" w:cs="Times New Roman"/>
          <w:sz w:val="22"/>
          <w:szCs w:val="22"/>
        </w:rPr>
        <w:br/>
        <w:t xml:space="preserve"> The experimental work was conducted in Port Harcourt, Nigeria, using surface water samples collected from the Imo River near the boundary between Abia State and Rivers State (coordinates: approx. 4.860° N, 7.031° E). This region is known to receive significant anthropogenic discharge from domestic, industrial, and agricultural sources. Water samples were collected in sterilized 5-liter polyethylene containers, transported on ice, and stored at 4 °C before use. Physicochemical parameters such as pH, turbidity, conductivity, and total organic carbon (TOC) were measured following APHA standard methods. For contaminant removal studies, the water was spiked with model emerging contaminants including bisphenol A (BPA), ibuprofen, tetracycline, phthalates, and microplastics at environmentally relevant concentrations (10–100 mg/L) to simulate polluted wastewater conditions.</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2.2 Sample Collection and Wastewater Preparation</w:t>
      </w:r>
    </w:p>
    <w:p w:rsidR="00653F86" w:rsidRPr="002C45AD" w:rsidRDefault="00BD4C4F" w:rsidP="002C45AD">
      <w:pPr>
        <w:spacing w:line="360" w:lineRule="auto"/>
        <w:jc w:val="both"/>
        <w:rPr>
          <w:rFonts w:ascii="Times New Roman" w:hAnsi="Times New Roman" w:cs="Times New Roman"/>
          <w:b/>
          <w:color w:val="000000" w:themeColor="text1"/>
          <w:sz w:val="22"/>
          <w:szCs w:val="22"/>
        </w:rPr>
      </w:pPr>
      <w:r w:rsidRPr="002C45AD">
        <w:rPr>
          <w:rFonts w:ascii="Times New Roman" w:hAnsi="Times New Roman" w:cs="Times New Roman"/>
          <w:b/>
          <w:color w:val="000000" w:themeColor="text1"/>
          <w:sz w:val="22"/>
          <w:szCs w:val="22"/>
        </w:rPr>
        <w:t>2.2.1 Water Sample Collection</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Surface water samples were collected from the Imo River in Port Harcourt, Nigeria (4.860° N, 7.031° E). This location was chosen because it receives pollution from factories, homes, and farms in the area. Water samples were collected in clean 5-liter plastic containers, kept cold on ice during transport, and stored at 4°C until use within 72 hours.Basic water quality measurements were taken using standard methods (APHA 2017). These included pH, turbidity (cloudiness), electrical conductivity, and total organic carbon. Additional tests measured dissolved oxygen, biological oxygen demand (BOD), chemical oxygen demand (COD), suspended solids, and nutrients.For experimental studies, the river water was spiked with model contaminants (BPA, ibuprofen, tetracycline, phthalates, and microplastics) at concentrations of 10-100 mg/L. While these concentrations exceed typical environmental levels, they are justified by five key </w:t>
      </w:r>
      <w:r w:rsidRPr="002C45AD">
        <w:rPr>
          <w:rFonts w:ascii="Times New Roman" w:hAnsi="Times New Roman" w:cs="Times New Roman"/>
          <w:sz w:val="22"/>
          <w:szCs w:val="22"/>
        </w:rPr>
        <w:lastRenderedPageBreak/>
        <w:t>factors: matching actual industrial wastewater discharge levels (50-200 mg/L found in pharmaceutical, chemical, and hospital effluents), representing conditions in developing countries where direct industrial discharge occurs without proper treatment, meeting technical requirements for accurate analytical detection and mechanism studies, simulating emergency scenarios like chemical spills, and following established scientific practices in environmental engineering research. The results remain environmentally relevant because treatment systems effective at high concentrations perform better at lower levels, removal mechanisms stay consistent across concentration ranges, and the findings guide engineering design with appropriate safety margins while addressing concentrated pollution sources before environmental release, with future studies planned at environmental concentrations for validation.</w:t>
      </w:r>
    </w:p>
    <w:p w:rsidR="00653F86" w:rsidRPr="002C45AD" w:rsidRDefault="00BD4C4F" w:rsidP="002C45AD">
      <w:pPr>
        <w:spacing w:line="360" w:lineRule="auto"/>
        <w:jc w:val="both"/>
        <w:rPr>
          <w:rFonts w:ascii="Times New Roman" w:hAnsi="Times New Roman" w:cs="Times New Roman"/>
          <w:sz w:val="22"/>
          <w:szCs w:val="22"/>
        </w:rPr>
      </w:pPr>
      <w:r w:rsidRPr="002C45AD">
        <w:rPr>
          <w:rStyle w:val="Strong"/>
          <w:rFonts w:ascii="Times New Roman" w:hAnsi="Times New Roman" w:cs="Times New Roman"/>
          <w:sz w:val="22"/>
          <w:szCs w:val="22"/>
        </w:rPr>
        <w:t>2.2.2 Microplastics Preparation and Quality Control</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Microplastics were prepared using three polymer types representing common environmental plastics: polyethylene (40%), polystyrene (35%), and polyethylene terephthalate (25%), with particle sizes ranging from 1-100 micrometers distributed as 45% small (1-10 μm), 35% medium (10-50 μm), and 20% large (50-100 μm) particles at concentrations of 100-1000 particles/L to simulate heavily polluted conditions. The preparation involved ultrasonic dispersion in pure water for 15 minutes, addition of Tween 80 (0.01%) to prevent aggregation, high-speed mixing for uniform distribution, and verification using specialized analytical instruments. Comprehensive quality control measures included preparation of stock solutions (1000 mg/L in methanol) stored at -20°C with daily dilution for working solutions, rigorous analytical validation through blank samples, spike recovery tests (85-115% recovery), minimum 5 replicates per test, contamination prevention protocols, monthly stock replacement, method detection limit determination, day-to-day precision monitoring, and certified reference material analysis to ensure measurement precision within 10% error. This experimental design addresses critical industrial wastewater treatment needs while providing fundamental knowledge applicable to environmental protection, with higher concentrations justified by real industrial treatment requirements and established scientific practices for technology development.</w:t>
      </w:r>
    </w:p>
    <w:p w:rsidR="00653F86" w:rsidRPr="002C45AD" w:rsidRDefault="00BD4C4F" w:rsidP="002C45AD">
      <w:pPr>
        <w:spacing w:line="360" w:lineRule="auto"/>
        <w:jc w:val="both"/>
        <w:rPr>
          <w:rStyle w:val="Strong"/>
          <w:rFonts w:ascii="Times New Roman" w:hAnsi="Times New Roman" w:cs="Times New Roman"/>
          <w:color w:val="FF0000"/>
          <w:sz w:val="22"/>
          <w:szCs w:val="22"/>
        </w:rPr>
      </w:pPr>
      <w:r w:rsidRPr="002C45AD">
        <w:rPr>
          <w:rFonts w:ascii="Times New Roman" w:hAnsi="Times New Roman" w:cs="Times New Roman"/>
          <w:b/>
          <w:bCs/>
          <w:color w:val="000000" w:themeColor="text1"/>
          <w:sz w:val="22"/>
          <w:szCs w:val="22"/>
        </w:rPr>
        <w:t>2.3 Green Synthesis of Nanoparticles</w:t>
      </w:r>
    </w:p>
    <w:p w:rsidR="00653F86" w:rsidRPr="002C45AD" w:rsidRDefault="00BD4C4F" w:rsidP="002C45AD">
      <w:pPr>
        <w:spacing w:line="360" w:lineRule="auto"/>
        <w:jc w:val="both"/>
        <w:rPr>
          <w:rStyle w:val="Strong"/>
          <w:rFonts w:ascii="Times New Roman" w:hAnsi="Times New Roman" w:cs="Times New Roman"/>
          <w:color w:val="FF0000"/>
          <w:sz w:val="22"/>
          <w:szCs w:val="22"/>
        </w:rPr>
      </w:pPr>
      <w:r w:rsidRPr="002C45AD">
        <w:rPr>
          <w:rFonts w:ascii="Times New Roman" w:eastAsia="SimSun" w:hAnsi="Times New Roman" w:cs="Times New Roman"/>
          <w:sz w:val="22"/>
          <w:szCs w:val="22"/>
        </w:rPr>
        <w:t xml:space="preserve">Metal oxide nanoparticles (ZnO, TiO₂, CuO, and Fe₂O₃) were synthesized using plant extract as a natural reducing and capping agent by adding 20 mL of plant extract dropwise to 100 mL of 0.01 M metal salt solutions (zinc nitrate, titanium chloride, copper sulfate, and ferric chloride) under continuous stirring at 60°C for 2-4 hours. Nanoparticle formation was confirmed by distinct color changes specific to each metal oxide, followed by centrifugation, washing with ethanol and water, and oven drying at 50°C. Control experiments including negative controls (metal salts without extract), blank controls (extract </w:t>
      </w:r>
      <w:r w:rsidRPr="002C45AD">
        <w:rPr>
          <w:rFonts w:ascii="Times New Roman" w:eastAsia="SimSun" w:hAnsi="Times New Roman" w:cs="Times New Roman"/>
          <w:sz w:val="22"/>
          <w:szCs w:val="22"/>
        </w:rPr>
        <w:lastRenderedPageBreak/>
        <w:t>alone), solvent controls (water with metal salts), and time-course monitoring validated that phytochemical-mediated synthesis was essential for nanoparticle formation. The synthesis mechanism involves three stages: reduction phase (0-30 minutes) where plant phenolic compounds reduce metal ions and initiate nucleation, growth phase (30-120 minutes) where nuclei grow through aggregation with size control by plant biomolecules, and stabilization phase (120-240 minutes) where organic molecules provide surface stabilization and complete oxidation to final metal oxide forms. Process optimization yielded nanoparticles with expected characteristics including ZnO (hexagonal, 20-50 nm), TiO₂ (anatase, 15-40 nm), CuO (monoclinic, 25-60 nm), and Fe₂O₃ (hematite, 30-70 nm), which were characterized using XRD, SEM, TEM, FTIR, and UV-Vis spectroscopy. This green synthesis approach offers environmental sustainability, cost-effectiveness, biocompatibility, and eliminates toxic chemicals compared to conventional methods</w:t>
      </w:r>
      <w:r w:rsidR="004C4F19">
        <w:rPr>
          <w:rFonts w:ascii="Times New Roman" w:eastAsia="SimSun" w:hAnsi="Times New Roman" w:cs="Times New Roman"/>
          <w:sz w:val="22"/>
          <w:szCs w:val="22"/>
        </w:rPr>
        <w:t xml:space="preserve"> </w:t>
      </w:r>
      <w:r w:rsidRPr="002C45AD">
        <w:rPr>
          <w:rFonts w:ascii="Times New Roman" w:eastAsia="SimSun" w:hAnsi="Times New Roman" w:cs="Times New Roman"/>
          <w:sz w:val="22"/>
          <w:szCs w:val="22"/>
        </w:rPr>
        <w:t xml:space="preserve">(Khan </w:t>
      </w:r>
      <w:r w:rsidRPr="0048721B">
        <w:rPr>
          <w:rFonts w:ascii="Times New Roman" w:eastAsia="SimSun" w:hAnsi="Times New Roman" w:cs="Times New Roman"/>
          <w:i/>
          <w:sz w:val="22"/>
          <w:szCs w:val="22"/>
        </w:rPr>
        <w:t>et al</w:t>
      </w:r>
      <w:r w:rsidRPr="002C45AD">
        <w:rPr>
          <w:rFonts w:ascii="Times New Roman" w:eastAsia="SimSun" w:hAnsi="Times New Roman" w:cs="Times New Roman"/>
          <w:sz w:val="22"/>
          <w:szCs w:val="22"/>
        </w:rPr>
        <w:t xml:space="preserve">., </w:t>
      </w:r>
      <w:r w:rsidR="004C4F19" w:rsidRPr="002C45AD">
        <w:rPr>
          <w:rFonts w:ascii="Times New Roman" w:eastAsia="SimSun" w:hAnsi="Times New Roman" w:cs="Times New Roman"/>
          <w:sz w:val="22"/>
          <w:szCs w:val="22"/>
        </w:rPr>
        <w:t>2022.</w:t>
      </w:r>
      <w:r w:rsidRPr="002C45AD">
        <w:rPr>
          <w:rFonts w:ascii="Times New Roman" w:eastAsia="SimSun" w:hAnsi="Times New Roman" w:cs="Times New Roman"/>
          <w:sz w:val="22"/>
          <w:szCs w:val="22"/>
        </w:rPr>
        <w:t xml:space="preserve"> Edo </w:t>
      </w:r>
      <w:r w:rsidRPr="0048721B">
        <w:rPr>
          <w:rFonts w:ascii="Times New Roman" w:eastAsia="SimSun" w:hAnsi="Times New Roman" w:cs="Times New Roman"/>
          <w:i/>
          <w:sz w:val="22"/>
          <w:szCs w:val="22"/>
        </w:rPr>
        <w:t>et al</w:t>
      </w:r>
      <w:r w:rsidRPr="002C45AD">
        <w:rPr>
          <w:rFonts w:ascii="Times New Roman" w:eastAsia="SimSun" w:hAnsi="Times New Roman" w:cs="Times New Roman"/>
          <w:sz w:val="22"/>
          <w:szCs w:val="22"/>
        </w:rPr>
        <w:t>., 2025).</w:t>
      </w:r>
    </w:p>
    <w:p w:rsidR="00653F86" w:rsidRPr="002C45AD"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hAnsi="Times New Roman" w:cs="Times New Roman"/>
          <w:b/>
          <w:bCs/>
          <w:color w:val="000000" w:themeColor="text1"/>
          <w:sz w:val="22"/>
          <w:szCs w:val="22"/>
        </w:rPr>
        <w:t>2.4 Fabrication of Biodegradable Nanocomposites</w:t>
      </w:r>
    </w:p>
    <w:p w:rsidR="00653F86" w:rsidRPr="002C45AD" w:rsidRDefault="00BD4C4F" w:rsidP="002C45AD">
      <w:pPr>
        <w:spacing w:line="360" w:lineRule="auto"/>
        <w:jc w:val="both"/>
        <w:rPr>
          <w:rFonts w:ascii="Times New Roman" w:eastAsia="SimSun" w:hAnsi="Times New Roman" w:cs="Times New Roman"/>
          <w:sz w:val="22"/>
          <w:szCs w:val="22"/>
        </w:rPr>
      </w:pPr>
      <w:r w:rsidRPr="002C45AD">
        <w:rPr>
          <w:rFonts w:ascii="Times New Roman" w:eastAsia="SimSun" w:hAnsi="Times New Roman" w:cs="Times New Roman"/>
          <w:sz w:val="22"/>
          <w:szCs w:val="22"/>
        </w:rPr>
        <w:t>Biodegradable nanocomposites were fabricated using three polymer matrices (cellulose nanocrystals, chitosan, and starch) dispersed in deionized water with pH continuously monitored and adjusted to optimal ranges: CNCs at natural pH 6.8-7.2, chitosan at 4.5-5.0 using acetic acid, and starch at 6.0-6.5 using NaOH/HCl. Metal oxide nanoparticles (ZnO, TiO₂, CuO, Fe₂O₃) were incorporated at 1:1 weight ratio with homogenization using probe ultrasonication for 20 minutes followed by magnetic stirring for 2 hours at room temperature. The resulting slurry was processed into films using doctor blade casting and drying at room temperature then vacuum oven at 40°C, or into beads through drop-drying with syringe pump and controlled drying protocols, with final products stored in desiccators. Comprehensive characterization confirmed uniform nanoparticle distribution through EDX elemental mapping using SEM, TEM with selected area analysis, XPS depth profiling, FTIR mapping, and Raman spectroscopy mapping at 10 μm intervals. Quality control included process parameter monitoring (temperature 25±2°C, humidity &lt;50%), batch-to-batch consistency testing with coefficient of variation &lt;10%, and comprehensive characterization protocol including morphological analysis, elemental mapping, structural analysis, chemical analysis, thermal analysis, and mechanical testing. This multi-technique approach ensured nanoparticle distribution homogeneity verification and fabricated nanocomposite quality reproducibility through detailed protocols and statistical validation.</w:t>
      </w:r>
    </w:p>
    <w:p w:rsidR="00653F86" w:rsidRPr="002C45AD"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hAnsi="Times New Roman" w:cs="Times New Roman"/>
          <w:b/>
          <w:bCs/>
          <w:color w:val="000000" w:themeColor="text1"/>
          <w:sz w:val="22"/>
          <w:szCs w:val="22"/>
        </w:rPr>
        <w:t>2.5 Characterization Techniques</w:t>
      </w:r>
    </w:p>
    <w:p w:rsidR="004C4F19"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eastAsia="SimSun" w:hAnsi="Times New Roman" w:cs="Times New Roman"/>
          <w:sz w:val="22"/>
          <w:szCs w:val="22"/>
        </w:rPr>
        <w:t xml:space="preserve">The structural and physicochemical properties of synthesized nanoparticles and nanocomposites were comprehensively characterized using six analytical techniques with detailed instrumentation specifications and operating parameters. Morphological and structural characterization included TEM </w:t>
      </w:r>
      <w:r w:rsidRPr="002C45AD">
        <w:rPr>
          <w:rFonts w:ascii="Times New Roman" w:eastAsia="SimSun" w:hAnsi="Times New Roman" w:cs="Times New Roman"/>
          <w:sz w:val="22"/>
          <w:szCs w:val="22"/>
        </w:rPr>
        <w:lastRenderedPageBreak/>
        <w:t>(JEOL JEM-2100 Plus at 200 kV acceleration voltage, 0.23 nm resolution) for particle morphology and size distribution analysis of minimum 200 particles, and DLS (Malvern Zetasizer Nano ZS90 with 633 nm laser) for hydrodynamic size determination at 25°C using material-specific refractive indices. Chemical and surface characterization employed FTIR spectroscopy (Perkin Elmer Spectrum 100, 4000-400 cm⁻¹ range, 4 cm⁻¹ resolution) using KBr pellet technique for functional group identification, and XRD analysis (Rigaku MiniFlex 600 with Cu Kα radiation) scanning 10°-80° at 2°/min for crystalline phase identification and crystallite size calculation using Scherrer equation. Surface area and porosity were analyzed using BET analysis (Micromeritics ASAP 2460) with nitrogen gas adsorbate at 77 K, measuring specific surface area, pore size distribution, and total pore volume with BJH method for mesopore analysis. Zeta potential analysis using the same Malvern instrument determined surface charge and colloidal stability across pH 2-12 using Smoluchowski approximation. Comprehensive quality control protocols included sample preparation standards, instrument calibration using certified reference materials (polystyrene latex spheres for DLS, silicon powder for XRD, aluminum oxide for BET), triplicate measurements with statistical analysis reported as mean ± standard deviation, and complete documentation for traceability, ensuring reliable and reproducible results following established green nanomaterial research procedures</w:t>
      </w:r>
      <w:r w:rsidR="00786963">
        <w:rPr>
          <w:rFonts w:ascii="Times New Roman" w:eastAsia="SimSun" w:hAnsi="Times New Roman" w:cs="Times New Roman"/>
          <w:sz w:val="22"/>
          <w:szCs w:val="22"/>
        </w:rPr>
        <w:t xml:space="preserve"> </w:t>
      </w:r>
      <w:r w:rsidR="004C4F19">
        <w:rPr>
          <w:rFonts w:ascii="Times New Roman" w:eastAsia="SimSun" w:hAnsi="Times New Roman" w:cs="Times New Roman"/>
          <w:sz w:val="22"/>
          <w:szCs w:val="22"/>
        </w:rPr>
        <w:t>(</w:t>
      </w:r>
      <w:r w:rsidR="00786963" w:rsidRPr="00786963">
        <w:rPr>
          <w:rFonts w:ascii="Times New Roman" w:eastAsia="SimSun" w:hAnsi="Times New Roman" w:cs="Times New Roman"/>
          <w:sz w:val="22"/>
          <w:szCs w:val="22"/>
        </w:rPr>
        <w:t xml:space="preserve">Suresh </w:t>
      </w:r>
      <w:r w:rsidR="004C4F19" w:rsidRPr="004C4F19">
        <w:rPr>
          <w:rFonts w:ascii="Times New Roman" w:eastAsia="SimSun" w:hAnsi="Times New Roman" w:cs="Times New Roman"/>
          <w:i/>
          <w:sz w:val="22"/>
          <w:szCs w:val="22"/>
        </w:rPr>
        <w:t>et al</w:t>
      </w:r>
      <w:r w:rsidR="004C4F19">
        <w:rPr>
          <w:rFonts w:ascii="Times New Roman" w:eastAsia="SimSun" w:hAnsi="Times New Roman" w:cs="Times New Roman"/>
          <w:sz w:val="22"/>
          <w:szCs w:val="22"/>
        </w:rPr>
        <w:t>.,202</w:t>
      </w:r>
      <w:r w:rsidR="00786963">
        <w:rPr>
          <w:rFonts w:ascii="Times New Roman" w:eastAsia="SimSun" w:hAnsi="Times New Roman" w:cs="Times New Roman"/>
          <w:sz w:val="22"/>
          <w:szCs w:val="22"/>
        </w:rPr>
        <w:t>5</w:t>
      </w:r>
      <w:r w:rsidR="004C4F19">
        <w:rPr>
          <w:rFonts w:ascii="Times New Roman" w:eastAsia="SimSun" w:hAnsi="Times New Roman" w:cs="Times New Roman"/>
          <w:sz w:val="22"/>
          <w:szCs w:val="22"/>
        </w:rPr>
        <w:t>)</w:t>
      </w:r>
      <w:r w:rsidRPr="002C45AD">
        <w:rPr>
          <w:rFonts w:ascii="Times New Roman" w:eastAsia="SimSun" w:hAnsi="Times New Roman" w:cs="Times New Roman"/>
          <w:sz w:val="22"/>
          <w:szCs w:val="22"/>
        </w:rPr>
        <w:t>.</w:t>
      </w:r>
    </w:p>
    <w:p w:rsidR="00653F86" w:rsidRPr="002C45AD"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hAnsi="Times New Roman" w:cs="Times New Roman"/>
          <w:b/>
          <w:bCs/>
          <w:color w:val="000000" w:themeColor="text1"/>
          <w:sz w:val="22"/>
          <w:szCs w:val="22"/>
        </w:rPr>
        <w:t>2.6 Adsorption and Degradation Performance</w:t>
      </w:r>
    </w:p>
    <w:p w:rsidR="00653F86" w:rsidRPr="002C45AD" w:rsidRDefault="00BD4C4F" w:rsidP="002C45AD">
      <w:pPr>
        <w:spacing w:line="360" w:lineRule="auto"/>
        <w:jc w:val="both"/>
        <w:rPr>
          <w:rFonts w:ascii="Times New Roman" w:hAnsi="Times New Roman" w:cs="Times New Roman"/>
          <w:sz w:val="22"/>
          <w:szCs w:val="22"/>
        </w:rPr>
      </w:pPr>
      <w:r w:rsidRPr="002C45AD">
        <w:rPr>
          <w:rStyle w:val="Strong"/>
          <w:rFonts w:ascii="Times New Roman" w:hAnsi="Times New Roman" w:cs="Times New Roman"/>
          <w:sz w:val="22"/>
          <w:szCs w:val="22"/>
        </w:rPr>
        <w:t>2.6.1 Adsorption Kinetics and Equilibrium Studies</w:t>
      </w:r>
    </w:p>
    <w:p w:rsidR="004C4F19" w:rsidRPr="004C4F19" w:rsidRDefault="00BD4C4F" w:rsidP="002C45AD">
      <w:pPr>
        <w:spacing w:line="360" w:lineRule="auto"/>
        <w:jc w:val="both"/>
        <w:rPr>
          <w:rStyle w:val="Strong"/>
          <w:rFonts w:ascii="Times New Roman" w:hAnsi="Times New Roman" w:cs="Times New Roman"/>
          <w:b w:val="0"/>
          <w:bCs w:val="0"/>
          <w:sz w:val="22"/>
          <w:szCs w:val="22"/>
        </w:rPr>
      </w:pPr>
      <w:r w:rsidRPr="002C45AD">
        <w:rPr>
          <w:rFonts w:ascii="Times New Roman" w:hAnsi="Times New Roman" w:cs="Times New Roman"/>
          <w:sz w:val="22"/>
          <w:szCs w:val="22"/>
        </w:rPr>
        <w:t xml:space="preserve">This section studied how well the nanocomposites can stick pollutants to their surface (adsorption). Experiments used five common water pollutants (BPA, phthalates, ibuprofen, triclosan, and tetracycline) at concentrations of 10-50 mg/L in 50 mL solutions with 100 mg of nanocomposite material. Tests were done in dark conditions at 25°C with gentle shaking for up to 120 minutes to prevent light-based reactions. Important control experiments included testing polymer materials alone (without nanoparticles), individual nanoparticles alone, and blank solutions to understand what each component contributes to pollutant removal. The study used mathematical models (pseudo-first-order, pseudo-second-order, and intraparticle diffusion) to understand how fast adsorption happens and tested different concentrations (5-100 mg/L) and temperatures (15-35°C) to understand maximum capacity and thermodynamics using Langmuir, Freundlich, and Temkin equations (Yao </w:t>
      </w:r>
      <w:r w:rsidRPr="0048721B">
        <w:rPr>
          <w:rFonts w:ascii="Times New Roman" w:hAnsi="Times New Roman" w:cs="Times New Roman"/>
          <w:i/>
          <w:sz w:val="22"/>
          <w:szCs w:val="22"/>
        </w:rPr>
        <w:t>et al</w:t>
      </w:r>
      <w:r w:rsidRPr="002C45AD">
        <w:rPr>
          <w:rFonts w:ascii="Times New Roman" w:hAnsi="Times New Roman" w:cs="Times New Roman"/>
          <w:sz w:val="22"/>
          <w:szCs w:val="22"/>
        </w:rPr>
        <w:t>., 2021).</w:t>
      </w:r>
    </w:p>
    <w:p w:rsidR="00653F86" w:rsidRPr="002C45AD" w:rsidRDefault="00BD4C4F" w:rsidP="002C45AD">
      <w:pPr>
        <w:spacing w:line="360" w:lineRule="auto"/>
        <w:jc w:val="both"/>
        <w:rPr>
          <w:rFonts w:ascii="Times New Roman" w:hAnsi="Times New Roman" w:cs="Times New Roman"/>
          <w:sz w:val="22"/>
          <w:szCs w:val="22"/>
        </w:rPr>
      </w:pPr>
      <w:r w:rsidRPr="002C45AD">
        <w:rPr>
          <w:rStyle w:val="Strong"/>
          <w:rFonts w:ascii="Times New Roman" w:hAnsi="Times New Roman" w:cs="Times New Roman"/>
          <w:sz w:val="22"/>
          <w:szCs w:val="22"/>
        </w:rPr>
        <w:t>2.6.2 Chemical and Photocatalytic Degradation Studies</w:t>
      </w:r>
    </w:p>
    <w:p w:rsidR="004C4F19" w:rsidRPr="004C4F19" w:rsidRDefault="00BD4C4F" w:rsidP="002C45AD">
      <w:pPr>
        <w:spacing w:line="360" w:lineRule="auto"/>
        <w:jc w:val="both"/>
        <w:rPr>
          <w:rStyle w:val="Strong"/>
          <w:rFonts w:ascii="Times New Roman" w:hAnsi="Times New Roman" w:cs="Times New Roman"/>
          <w:b w:val="0"/>
          <w:bCs w:val="0"/>
          <w:sz w:val="22"/>
          <w:szCs w:val="22"/>
        </w:rPr>
      </w:pPr>
      <w:r w:rsidRPr="002C45AD">
        <w:rPr>
          <w:rFonts w:ascii="Times New Roman" w:hAnsi="Times New Roman" w:cs="Times New Roman"/>
          <w:sz w:val="22"/>
          <w:szCs w:val="22"/>
        </w:rPr>
        <w:t xml:space="preserve">This section studied how the nanocomposites can break down pollutants using light energy and chemical reactions (degradation). Experiments used UV light (365 nm) positioned above glass reactors containing 80 mL of pollutant solution (20 mg/L) with 1-5 g/L of nanocomposite catalyst for up to 240 minutes. </w:t>
      </w:r>
      <w:r w:rsidRPr="002C45AD">
        <w:rPr>
          <w:rFonts w:ascii="Times New Roman" w:hAnsi="Times New Roman" w:cs="Times New Roman"/>
          <w:sz w:val="22"/>
          <w:szCs w:val="22"/>
        </w:rPr>
        <w:lastRenderedPageBreak/>
        <w:t>Tests examined different pH levels (3-11) to find optimal conditions for degradation. Control experiments included dark conditions (no light), light without catalyst, individual nanoparticles alone, and chemical scavengers to identify which reactive species (•OH radicals, •O₂⁻ radicals, holes) are responsible for breaking down pollutants. Advanced studies added hydrogen peroxide (0.1-10 mM) to enhance degradation and used specialized techniques (EPR, LC-MS/MS) to identify breakdown products and confirm reaction mechanisms (</w:t>
      </w:r>
      <w:r w:rsidR="004C4F19">
        <w:rPr>
          <w:rFonts w:ascii="Times New Roman" w:hAnsi="Times New Roman" w:cs="Times New Roman"/>
          <w:sz w:val="22"/>
          <w:szCs w:val="22"/>
        </w:rPr>
        <w:t>Ashiegbu</w:t>
      </w:r>
      <w:r w:rsidRPr="002C45AD">
        <w:rPr>
          <w:rFonts w:ascii="Times New Roman" w:hAnsi="Times New Roman" w:cs="Times New Roman"/>
          <w:sz w:val="22"/>
          <w:szCs w:val="22"/>
        </w:rPr>
        <w:t xml:space="preserve"> </w:t>
      </w:r>
      <w:r w:rsidRPr="0048721B">
        <w:rPr>
          <w:rFonts w:ascii="Times New Roman" w:hAnsi="Times New Roman" w:cs="Times New Roman"/>
          <w:i/>
          <w:sz w:val="22"/>
          <w:szCs w:val="22"/>
        </w:rPr>
        <w:t>et al</w:t>
      </w:r>
      <w:r w:rsidRPr="002C45AD">
        <w:rPr>
          <w:rFonts w:ascii="Times New Roman" w:hAnsi="Times New Roman" w:cs="Times New Roman"/>
          <w:sz w:val="22"/>
          <w:szCs w:val="22"/>
        </w:rPr>
        <w:t>., 202</w:t>
      </w:r>
      <w:r w:rsidR="004C4F19">
        <w:rPr>
          <w:rFonts w:ascii="Times New Roman" w:hAnsi="Times New Roman" w:cs="Times New Roman"/>
          <w:sz w:val="22"/>
          <w:szCs w:val="22"/>
        </w:rPr>
        <w:t>5</w:t>
      </w:r>
      <w:r w:rsidRPr="002C45AD">
        <w:rPr>
          <w:rFonts w:ascii="Times New Roman" w:hAnsi="Times New Roman" w:cs="Times New Roman"/>
          <w:sz w:val="22"/>
          <w:szCs w:val="22"/>
        </w:rPr>
        <w:t>).</w:t>
      </w:r>
    </w:p>
    <w:p w:rsidR="00653F86" w:rsidRPr="002C45AD" w:rsidRDefault="00BD4C4F" w:rsidP="002C45AD">
      <w:pPr>
        <w:spacing w:line="360" w:lineRule="auto"/>
        <w:jc w:val="both"/>
        <w:rPr>
          <w:rFonts w:ascii="Times New Roman" w:hAnsi="Times New Roman" w:cs="Times New Roman"/>
          <w:sz w:val="22"/>
          <w:szCs w:val="22"/>
        </w:rPr>
      </w:pPr>
      <w:r w:rsidRPr="002C45AD">
        <w:rPr>
          <w:rStyle w:val="Strong"/>
          <w:rFonts w:ascii="Times New Roman" w:hAnsi="Times New Roman" w:cs="Times New Roman"/>
          <w:sz w:val="22"/>
          <w:szCs w:val="22"/>
        </w:rPr>
        <w:t>2.6.3 Analytical Methods and Quality Control</w:t>
      </w:r>
    </w:p>
    <w:p w:rsidR="004C4F19" w:rsidRPr="004C4F19"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This section described how pollutant concentrations were measured and data quality was ensured. Two analytical methods were used: UV-Vis spectrophotometry (measuring light absorption at specific wavelengths: BPA at 276 nm, ibuprofen at 264 nm, triclosan at 281 nm) and HPLC (separating compounds using liquid chromatography with UV detection). All experiments were repeated at least 5 times with each sample analyzed 3 times to ensure reliable results. Statistical analysis used standard methods (mean ± standard deviation, ANOVA testing) with specialized software (GraphPad Prism, OriginPro) to determine significance. Performance was calculated using standard equations for adsorption capacity, removal efficiency, and degradation efficiency, with proper quality control including re-analysis of 20% of samples and calibration curves with correlation coefficients above 0.999 (</w:t>
      </w:r>
      <w:r w:rsidR="0048721B">
        <w:rPr>
          <w:rFonts w:ascii="Times New Roman" w:hAnsi="Times New Roman" w:cs="Times New Roman"/>
          <w:sz w:val="22"/>
          <w:szCs w:val="22"/>
        </w:rPr>
        <w:t xml:space="preserve">Shalan </w:t>
      </w:r>
      <w:r w:rsidR="0048721B" w:rsidRPr="00496622">
        <w:rPr>
          <w:rFonts w:ascii="Times New Roman" w:hAnsi="Times New Roman" w:cs="Times New Roman"/>
          <w:i/>
          <w:sz w:val="22"/>
          <w:szCs w:val="22"/>
        </w:rPr>
        <w:t>et al</w:t>
      </w:r>
      <w:r w:rsidR="0048721B">
        <w:rPr>
          <w:rFonts w:ascii="Times New Roman" w:hAnsi="Times New Roman" w:cs="Times New Roman"/>
          <w:sz w:val="22"/>
          <w:szCs w:val="22"/>
        </w:rPr>
        <w:t>.,2022</w:t>
      </w:r>
      <w:r w:rsidRPr="002C45AD">
        <w:rPr>
          <w:rFonts w:ascii="Times New Roman" w:hAnsi="Times New Roman" w:cs="Times New Roman"/>
          <w:sz w:val="22"/>
          <w:szCs w:val="22"/>
        </w:rPr>
        <w:t xml:space="preserve">; </w:t>
      </w:r>
      <w:r w:rsidR="00496622">
        <w:rPr>
          <w:rFonts w:ascii="Times New Roman" w:hAnsi="Times New Roman" w:cs="Times New Roman"/>
          <w:sz w:val="22"/>
          <w:szCs w:val="22"/>
        </w:rPr>
        <w:t>Dongjie</w:t>
      </w:r>
      <w:r w:rsidRPr="002C45AD">
        <w:rPr>
          <w:rFonts w:ascii="Times New Roman" w:hAnsi="Times New Roman" w:cs="Times New Roman"/>
          <w:sz w:val="22"/>
          <w:szCs w:val="22"/>
        </w:rPr>
        <w:t xml:space="preserve"> </w:t>
      </w:r>
      <w:r w:rsidRPr="00496622">
        <w:rPr>
          <w:rFonts w:ascii="Times New Roman" w:hAnsi="Times New Roman" w:cs="Times New Roman"/>
          <w:i/>
          <w:sz w:val="22"/>
          <w:szCs w:val="22"/>
        </w:rPr>
        <w:t>et al</w:t>
      </w:r>
      <w:r w:rsidRPr="002C45AD">
        <w:rPr>
          <w:rFonts w:ascii="Times New Roman" w:hAnsi="Times New Roman" w:cs="Times New Roman"/>
          <w:sz w:val="22"/>
          <w:szCs w:val="22"/>
        </w:rPr>
        <w:t>., 2024).</w:t>
      </w:r>
    </w:p>
    <w:p w:rsidR="00653F86" w:rsidRPr="002C45AD"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hAnsi="Times New Roman" w:cs="Times New Roman"/>
          <w:b/>
          <w:bCs/>
          <w:color w:val="000000" w:themeColor="text1"/>
          <w:sz w:val="22"/>
          <w:szCs w:val="22"/>
        </w:rPr>
        <w:t>2.6 Kinetic and Thermodynamic Modeling</w:t>
      </w:r>
    </w:p>
    <w:p w:rsidR="002C45AD" w:rsidRDefault="00BD4C4F" w:rsidP="002C45AD">
      <w:pPr>
        <w:spacing w:line="360" w:lineRule="auto"/>
        <w:jc w:val="both"/>
        <w:rPr>
          <w:rFonts w:ascii="Times New Roman" w:hAnsi="Times New Roman" w:cs="Times New Roman"/>
          <w:color w:val="000000" w:themeColor="text1"/>
          <w:sz w:val="22"/>
          <w:szCs w:val="22"/>
        </w:rPr>
      </w:pPr>
      <w:r w:rsidRPr="002C45AD">
        <w:rPr>
          <w:rFonts w:ascii="Times New Roman" w:hAnsi="Times New Roman" w:cs="Times New Roman"/>
          <w:color w:val="000000" w:themeColor="text1"/>
          <w:sz w:val="22"/>
          <w:szCs w:val="22"/>
        </w:rPr>
        <w:t>Adsorption data were fitted to pseudo-first-order and pseudo-second-order kinetic models. The thermodynamic parameters ΔG°, ΔH°, and ΔS° were calculated using van’t Hoff equations at three different temperatures (298, 308, and 318 K). This approach follows models reported in previous wastewater treatment literature (</w:t>
      </w:r>
      <w:r w:rsidR="00496622">
        <w:rPr>
          <w:rFonts w:ascii="Times New Roman" w:hAnsi="Times New Roman" w:cs="Times New Roman"/>
          <w:color w:val="000000" w:themeColor="text1"/>
          <w:sz w:val="22"/>
          <w:szCs w:val="22"/>
        </w:rPr>
        <w:t xml:space="preserve">Emmanuel </w:t>
      </w:r>
      <w:r w:rsidRPr="002C45AD">
        <w:rPr>
          <w:rFonts w:ascii="Times New Roman" w:hAnsi="Times New Roman" w:cs="Times New Roman"/>
          <w:i/>
          <w:iCs/>
          <w:color w:val="000000" w:themeColor="text1"/>
          <w:sz w:val="22"/>
          <w:szCs w:val="22"/>
        </w:rPr>
        <w:t>et al</w:t>
      </w:r>
      <w:r w:rsidR="00496622">
        <w:rPr>
          <w:rFonts w:ascii="Times New Roman" w:hAnsi="Times New Roman" w:cs="Times New Roman"/>
          <w:color w:val="000000" w:themeColor="text1"/>
          <w:sz w:val="22"/>
          <w:szCs w:val="22"/>
        </w:rPr>
        <w:t>., 2020</w:t>
      </w:r>
      <w:r w:rsidRPr="002C45AD">
        <w:rPr>
          <w:rFonts w:ascii="Times New Roman" w:hAnsi="Times New Roman" w:cs="Times New Roman"/>
          <w:color w:val="000000" w:themeColor="text1"/>
          <w:sz w:val="22"/>
          <w:szCs w:val="22"/>
        </w:rPr>
        <w:t>).</w:t>
      </w:r>
    </w:p>
    <w:p w:rsidR="00653F86" w:rsidRPr="002C45AD"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hAnsi="Times New Roman" w:cs="Times New Roman"/>
          <w:b/>
          <w:bCs/>
          <w:color w:val="000000" w:themeColor="text1"/>
          <w:sz w:val="22"/>
          <w:szCs w:val="22"/>
        </w:rPr>
        <w:t>2.7 Photocatalytic and Enzymatic Degradation</w:t>
      </w:r>
    </w:p>
    <w:p w:rsidR="00653F86" w:rsidRPr="002C45AD" w:rsidRDefault="00BD4C4F" w:rsidP="002C45AD">
      <w:pPr>
        <w:spacing w:line="360" w:lineRule="auto"/>
        <w:jc w:val="both"/>
        <w:rPr>
          <w:rFonts w:ascii="Times New Roman" w:hAnsi="Times New Roman" w:cs="Times New Roman"/>
          <w:sz w:val="22"/>
          <w:szCs w:val="22"/>
        </w:rPr>
      </w:pPr>
      <w:r w:rsidRPr="002C45AD">
        <w:rPr>
          <w:rStyle w:val="Strong"/>
          <w:rFonts w:ascii="Times New Roman" w:hAnsi="Times New Roman" w:cs="Times New Roman"/>
          <w:sz w:val="22"/>
          <w:szCs w:val="22"/>
        </w:rPr>
        <w:t>2.7.1 Photocatalytic Degradation Studies</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This section studied how TiO₂-based nanocomposites break down pollutants using UV light energy. The experiments used a controlled UV system with Philips 36W lamps producing 365 nm light at 50 W/m² intensity, positioned 10 cm above glass reactors containing 80 mL of pollutant solution. Tests ran for up to 240 minutes at 25°C with magnetic stirring and gentle aeration to maintain consistent conditions. The study confirmed that reactive oxygen species (ROS) like singlet oxygen and hydroxyl radicals were responsible for breaking down pollutants by using specialized detection methods including DPBF assay, DPPH radical scavenging, and electron paramagnetic resonance (EPR). Target contaminants included </w:t>
      </w:r>
      <w:r w:rsidRPr="002C45AD">
        <w:rPr>
          <w:rFonts w:ascii="Times New Roman" w:hAnsi="Times New Roman" w:cs="Times New Roman"/>
          <w:sz w:val="22"/>
          <w:szCs w:val="22"/>
        </w:rPr>
        <w:lastRenderedPageBreak/>
        <w:t xml:space="preserve">endocrine disrupting compounds (BPA, phthalates, triclosan) and pharmaceuticals (ibuprofen, tetracycline) at 20 mg/L initial concentration. Performance was measured using degradation efficiency calculations, reaction kinetics, and total organic carbon analysis to assess complete mineralization (Akhter </w:t>
      </w:r>
      <w:r w:rsidRPr="004C4F19">
        <w:rPr>
          <w:rFonts w:ascii="Times New Roman" w:hAnsi="Times New Roman" w:cs="Times New Roman"/>
          <w:i/>
          <w:sz w:val="22"/>
          <w:szCs w:val="22"/>
        </w:rPr>
        <w:t>et al</w:t>
      </w:r>
      <w:r w:rsidRPr="002C45AD">
        <w:rPr>
          <w:rFonts w:ascii="Times New Roman" w:hAnsi="Times New Roman" w:cs="Times New Roman"/>
          <w:sz w:val="22"/>
          <w:szCs w:val="22"/>
        </w:rPr>
        <w:t>., 2025).</w:t>
      </w:r>
    </w:p>
    <w:p w:rsidR="00653F86" w:rsidRPr="002C45AD" w:rsidRDefault="00BD4C4F" w:rsidP="002C45AD">
      <w:pPr>
        <w:spacing w:line="360" w:lineRule="auto"/>
        <w:jc w:val="both"/>
        <w:rPr>
          <w:rFonts w:ascii="Times New Roman" w:hAnsi="Times New Roman" w:cs="Times New Roman"/>
          <w:sz w:val="22"/>
          <w:szCs w:val="22"/>
        </w:rPr>
      </w:pPr>
      <w:r w:rsidRPr="002C45AD">
        <w:rPr>
          <w:rStyle w:val="Strong"/>
          <w:rFonts w:ascii="Times New Roman" w:hAnsi="Times New Roman" w:cs="Times New Roman"/>
          <w:sz w:val="22"/>
          <w:szCs w:val="22"/>
        </w:rPr>
        <w:t>2.7.2 Enzymatic Degradation Studies</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This section investigated how laccase enzyme from Trametes versicolor (1.5 U/mg activity) could break down the same pollutants through biological processes. The enzyme was attached to composite beads using a detailed three-step covalent bonding method with glutaraldehyde cross-linking: first activating the bead surface, then coupling the enzyme, and finally stabilizing the system. Alternative attachment methods including physical adsorption, entrapment, and carbodiimide coupling were also evaluated. Degradation experiments were conducted at optimal conditions (30°C, pH 5.5) with gentle shaking for up to 24 hours, using a mediator compound (HBT) to enhance enzyme efficiency. Reaction products and breakdown pathways were analyzed using gas chromatography-mass spectrometry (GC-MS) with detailed sample preparation including extraction, concentration, and derivatization steps. Quality control included regular enzyme activity monitoring, reusability testing, and comprehensive analytical validation to ensure reliable results and proper understanding of enzymatic degradation mechanisms (Plagemann et al., 2011; Wang et al., 2025., </w:t>
      </w:r>
      <w:r w:rsidRPr="002C45AD">
        <w:rPr>
          <w:rFonts w:ascii="Times New Roman" w:eastAsia="Segoe UI" w:hAnsi="Times New Roman" w:cs="Times New Roman"/>
          <w:color w:val="212121"/>
          <w:sz w:val="22"/>
          <w:szCs w:val="22"/>
          <w:shd w:val="clear" w:color="auto" w:fill="FFFFFF"/>
        </w:rPr>
        <w:t>Maghraby et al., 2023)</w:t>
      </w:r>
      <w:r w:rsidRPr="002C45AD">
        <w:rPr>
          <w:rFonts w:ascii="Times New Roman" w:hAnsi="Times New Roman" w:cs="Times New Roman"/>
          <w:sz w:val="22"/>
          <w:szCs w:val="22"/>
        </w:rPr>
        <w:t>.</w:t>
      </w:r>
    </w:p>
    <w:p w:rsidR="00653F86" w:rsidRPr="002C45AD"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hAnsi="Times New Roman" w:cs="Times New Roman"/>
          <w:b/>
          <w:bCs/>
          <w:color w:val="000000" w:themeColor="text1"/>
          <w:sz w:val="22"/>
          <w:szCs w:val="22"/>
        </w:rPr>
        <w:t>2.8 Biodegradability and Leachate Toxicity</w:t>
      </w:r>
    </w:p>
    <w:p w:rsidR="00653F86" w:rsidRPr="002C45AD" w:rsidRDefault="00BD4C4F" w:rsidP="002C45AD">
      <w:pPr>
        <w:spacing w:line="360" w:lineRule="auto"/>
        <w:jc w:val="both"/>
        <w:rPr>
          <w:rFonts w:ascii="Times New Roman" w:hAnsi="Times New Roman" w:cs="Times New Roman"/>
          <w:sz w:val="22"/>
          <w:szCs w:val="22"/>
        </w:rPr>
      </w:pPr>
      <w:r w:rsidRPr="002C45AD">
        <w:rPr>
          <w:rStyle w:val="Strong"/>
          <w:rFonts w:ascii="Times New Roman" w:hAnsi="Times New Roman" w:cs="Times New Roman"/>
          <w:sz w:val="22"/>
          <w:szCs w:val="22"/>
        </w:rPr>
        <w:t xml:space="preserve">2.8.1 Biodegradation Studies </w:t>
      </w:r>
      <w:r w:rsidR="004C4F19" w:rsidRPr="002C45AD">
        <w:rPr>
          <w:rStyle w:val="Strong"/>
          <w:rFonts w:ascii="Times New Roman" w:hAnsi="Times New Roman" w:cs="Times New Roman"/>
          <w:sz w:val="22"/>
          <w:szCs w:val="22"/>
        </w:rPr>
        <w:t>under</w:t>
      </w:r>
      <w:r w:rsidRPr="002C45AD">
        <w:rPr>
          <w:rStyle w:val="Strong"/>
          <w:rFonts w:ascii="Times New Roman" w:hAnsi="Times New Roman" w:cs="Times New Roman"/>
          <w:sz w:val="22"/>
          <w:szCs w:val="22"/>
        </w:rPr>
        <w:t xml:space="preserve"> Controlled Composting Conditions</w:t>
      </w:r>
    </w:p>
    <w:p w:rsidR="00653F86"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This section evaluated how well the nanocomposites break down naturally in composting environments. The study used laboratory-simulated composting systems with six parallel 5-liter stainless steel vessels maintained at 28-30°C and 60% humidity for 45 days following OECD 301F standards. The composting medium contained 60% mature compost, 30% fresh organic matter, and 10% soil, with active microbial inoculum (&gt;10⁶ bacteria/mL) and forced air circulation every 2 hours to maintain proper oxygen levels. Nanocomposite samples (10g each) were placed in mesh bags and retrieved weekly for mass loss measurements using analytical balances, with biodegradation calculated using first-order kinetics modeling. The system included continuous monitoring of oxygen consumption using OxiTop pressure measurement equipment, with positive controls (cellulose) and negative controls (non-biodegradable plastic) to validate the composting process and ensure results met the standard criteria of &gt;60% biodegradation within 28 days or &gt;70% within 45 days</w:t>
      </w:r>
      <w:r w:rsidR="002C45AD" w:rsidRPr="002C45AD">
        <w:rPr>
          <w:rFonts w:ascii="Times New Roman" w:hAnsi="Times New Roman" w:cs="Times New Roman"/>
          <w:sz w:val="22"/>
          <w:szCs w:val="22"/>
        </w:rPr>
        <w:t xml:space="preserve"> </w:t>
      </w:r>
      <w:r w:rsidRPr="002C45AD">
        <w:rPr>
          <w:rFonts w:ascii="Times New Roman" w:hAnsi="Times New Roman" w:cs="Times New Roman"/>
          <w:sz w:val="22"/>
          <w:szCs w:val="22"/>
        </w:rPr>
        <w:t>(</w:t>
      </w:r>
      <w:r w:rsidR="004C4F19">
        <w:rPr>
          <w:rFonts w:ascii="Times New Roman" w:hAnsi="Times New Roman" w:cs="Times New Roman"/>
          <w:sz w:val="22"/>
          <w:szCs w:val="22"/>
        </w:rPr>
        <w:t>McPeake</w:t>
      </w:r>
      <w:r w:rsidRPr="002C45AD">
        <w:rPr>
          <w:rFonts w:ascii="Times New Roman" w:hAnsi="Times New Roman" w:cs="Times New Roman"/>
          <w:sz w:val="22"/>
          <w:szCs w:val="22"/>
        </w:rPr>
        <w:t xml:space="preserve"> </w:t>
      </w:r>
      <w:r w:rsidRPr="002C45AD">
        <w:rPr>
          <w:rFonts w:ascii="Times New Roman" w:hAnsi="Times New Roman" w:cs="Times New Roman"/>
          <w:i/>
          <w:sz w:val="22"/>
          <w:szCs w:val="22"/>
        </w:rPr>
        <w:t>et al.,</w:t>
      </w:r>
      <w:r w:rsidRPr="002C45AD">
        <w:rPr>
          <w:rFonts w:ascii="Times New Roman" w:hAnsi="Times New Roman" w:cs="Times New Roman"/>
          <w:sz w:val="22"/>
          <w:szCs w:val="22"/>
        </w:rPr>
        <w:t xml:space="preserve"> 2022).</w:t>
      </w:r>
    </w:p>
    <w:p w:rsidR="004C4F19" w:rsidRDefault="004C4F19" w:rsidP="002C45AD">
      <w:pPr>
        <w:spacing w:line="360" w:lineRule="auto"/>
        <w:jc w:val="both"/>
        <w:rPr>
          <w:rFonts w:ascii="Times New Roman" w:hAnsi="Times New Roman" w:cs="Times New Roman"/>
          <w:sz w:val="22"/>
          <w:szCs w:val="22"/>
        </w:rPr>
      </w:pPr>
    </w:p>
    <w:p w:rsidR="00653F86" w:rsidRPr="002C45AD" w:rsidRDefault="00BD4C4F" w:rsidP="002C45AD">
      <w:pPr>
        <w:spacing w:line="360" w:lineRule="auto"/>
        <w:jc w:val="both"/>
        <w:rPr>
          <w:rFonts w:ascii="Times New Roman" w:hAnsi="Times New Roman" w:cs="Times New Roman"/>
          <w:sz w:val="22"/>
          <w:szCs w:val="22"/>
        </w:rPr>
      </w:pPr>
      <w:r w:rsidRPr="002C45AD">
        <w:rPr>
          <w:rStyle w:val="Strong"/>
          <w:rFonts w:ascii="Times New Roman" w:hAnsi="Times New Roman" w:cs="Times New Roman"/>
          <w:sz w:val="22"/>
          <w:szCs w:val="22"/>
        </w:rPr>
        <w:lastRenderedPageBreak/>
        <w:t>2.8.2 Leachate Collection and Chemical Analysis</w:t>
      </w:r>
    </w:p>
    <w:p w:rsidR="004C4F19" w:rsidRPr="004C4F19" w:rsidRDefault="00BD4C4F" w:rsidP="002C45AD">
      <w:pPr>
        <w:spacing w:line="360" w:lineRule="auto"/>
        <w:jc w:val="both"/>
        <w:rPr>
          <w:rStyle w:val="Strong"/>
          <w:rFonts w:ascii="Times New Roman" w:hAnsi="Times New Roman" w:cs="Times New Roman"/>
          <w:b w:val="0"/>
          <w:bCs w:val="0"/>
          <w:sz w:val="22"/>
          <w:szCs w:val="22"/>
        </w:rPr>
      </w:pPr>
      <w:r w:rsidRPr="002C45AD">
        <w:rPr>
          <w:rFonts w:ascii="Times New Roman" w:hAnsi="Times New Roman" w:cs="Times New Roman"/>
          <w:sz w:val="22"/>
          <w:szCs w:val="22"/>
        </w:rPr>
        <w:t>This section analyzed what chemicals leached out from the degrading nanocomposites to assess potential environmental contamination. Leachate was collected weekly from the bottom of composting vessels, stored in amber glass bottles at 4°C, and analyzed using two advanced techniques: ICP-MS (Inductively Coupled Plasma Mass Spectrometry) for detecting metals (Zn, Ti, Cu, Fe, and environmental contaminants like Cd, Pb, Cr) with sub-ppb detection limits, and GC-MS (Gas Chromatography-Mass Spectrometry) for identifying organic degradation products and polymer additives. Sample preparation included filtration, pH adjustment, and extraction procedures, with quality control using certified reference materials and internal standards to ensure accurate detection of any toxic metal or organic residues that could pose environmental risks</w:t>
      </w:r>
      <w:r w:rsidR="004C4F19">
        <w:rPr>
          <w:rFonts w:ascii="Times New Roman" w:hAnsi="Times New Roman" w:cs="Times New Roman"/>
          <w:sz w:val="22"/>
          <w:szCs w:val="22"/>
        </w:rPr>
        <w:t xml:space="preserve"> </w:t>
      </w:r>
      <w:r w:rsidRPr="002C45AD">
        <w:rPr>
          <w:rFonts w:ascii="Times New Roman" w:hAnsi="Times New Roman" w:cs="Times New Roman"/>
          <w:sz w:val="22"/>
          <w:szCs w:val="22"/>
        </w:rPr>
        <w:t>(</w:t>
      </w:r>
      <w:proofErr w:type="gramStart"/>
      <w:r w:rsidR="004C4F19">
        <w:rPr>
          <w:rFonts w:ascii="Helvetica" w:hAnsi="Helvetica"/>
          <w:color w:val="222222"/>
          <w:sz w:val="18"/>
          <w:szCs w:val="18"/>
          <w:shd w:val="clear" w:color="auto" w:fill="FFFFFF"/>
        </w:rPr>
        <w:t xml:space="preserve">Khasawneh </w:t>
      </w:r>
      <w:r w:rsidRPr="002C45AD">
        <w:rPr>
          <w:rFonts w:ascii="Times New Roman" w:hAnsi="Times New Roman" w:cs="Times New Roman"/>
          <w:sz w:val="22"/>
          <w:szCs w:val="22"/>
        </w:rPr>
        <w:t xml:space="preserve"> </w:t>
      </w:r>
      <w:r w:rsidRPr="004C4F19">
        <w:rPr>
          <w:rFonts w:ascii="Times New Roman" w:hAnsi="Times New Roman" w:cs="Times New Roman"/>
          <w:i/>
          <w:sz w:val="22"/>
          <w:szCs w:val="22"/>
        </w:rPr>
        <w:t>et al</w:t>
      </w:r>
      <w:r w:rsidR="004C4F19">
        <w:rPr>
          <w:rFonts w:ascii="Times New Roman" w:hAnsi="Times New Roman" w:cs="Times New Roman"/>
          <w:sz w:val="22"/>
          <w:szCs w:val="22"/>
        </w:rPr>
        <w:t>.</w:t>
      </w:r>
      <w:proofErr w:type="gramEnd"/>
      <w:r w:rsidR="004C4F19">
        <w:rPr>
          <w:rFonts w:ascii="Times New Roman" w:hAnsi="Times New Roman" w:cs="Times New Roman"/>
          <w:sz w:val="22"/>
          <w:szCs w:val="22"/>
        </w:rPr>
        <w:t>,2022</w:t>
      </w:r>
      <w:r w:rsidRPr="002C45AD">
        <w:rPr>
          <w:rFonts w:ascii="Times New Roman" w:hAnsi="Times New Roman" w:cs="Times New Roman"/>
          <w:sz w:val="22"/>
          <w:szCs w:val="22"/>
        </w:rPr>
        <w:t>).</w:t>
      </w:r>
    </w:p>
    <w:p w:rsidR="00653F86" w:rsidRPr="002C45AD" w:rsidRDefault="00BD4C4F" w:rsidP="002C45AD">
      <w:pPr>
        <w:spacing w:line="360" w:lineRule="auto"/>
        <w:jc w:val="both"/>
        <w:rPr>
          <w:rFonts w:ascii="Times New Roman" w:hAnsi="Times New Roman" w:cs="Times New Roman"/>
          <w:sz w:val="22"/>
          <w:szCs w:val="22"/>
        </w:rPr>
      </w:pPr>
      <w:r w:rsidRPr="002C45AD">
        <w:rPr>
          <w:rStyle w:val="Strong"/>
          <w:rFonts w:ascii="Times New Roman" w:hAnsi="Times New Roman" w:cs="Times New Roman"/>
          <w:sz w:val="22"/>
          <w:szCs w:val="22"/>
        </w:rPr>
        <w:t>2.8.3 Ecotoxicological Assessment</w:t>
      </w:r>
    </w:p>
    <w:p w:rsidR="004C4F19"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This section tested whether the degraded nanocomposites and their leachates were toxic to living organisms representing different levels of the ecosystem. Two standardized tests were conducted: Daphnia magna (water flea) acute toxicity testing following OECD 202 protocol using 4 replicates with 20 organisms per concentration across 6 concentrations plus controls, monitoring mortality and immobilization over 48 hours; and Lactuca sativa (lettuce) seed germination testing using OECD 208 modified protocol with 5 replicates and 100 seeds per concentration, measuring germination rates and root/shoot growth inhibition over 5 days. The study included comparative benchmarking against commercial nanomaterials (TiO₂ P25, ZnO), conventional polymers (PE, PS, PVC), and biodegradable standards (PLA, PBAT) tested under identical conditions. Statistical analysis used ANOVA with post-hoc testing, probit analysis for EC₅₀/LC₅₀ calculations, and specialized ecotoxicology software (R statistical software) with quality control requiring &gt;90% survival in controls and reference toxicant validation (Amel </w:t>
      </w:r>
      <w:r w:rsidRPr="004C4F19">
        <w:rPr>
          <w:rFonts w:ascii="Times New Roman" w:hAnsi="Times New Roman" w:cs="Times New Roman"/>
          <w:i/>
          <w:sz w:val="22"/>
          <w:szCs w:val="22"/>
        </w:rPr>
        <w:t>et al</w:t>
      </w:r>
      <w:r w:rsidRPr="002C45AD">
        <w:rPr>
          <w:rFonts w:ascii="Times New Roman" w:hAnsi="Times New Roman" w:cs="Times New Roman"/>
          <w:sz w:val="22"/>
          <w:szCs w:val="22"/>
        </w:rPr>
        <w:t>., 2025).</w:t>
      </w:r>
    </w:p>
    <w:p w:rsidR="00653F86" w:rsidRPr="002C45AD" w:rsidRDefault="00BD4C4F" w:rsidP="002C45AD">
      <w:pPr>
        <w:spacing w:line="360" w:lineRule="auto"/>
        <w:jc w:val="both"/>
        <w:rPr>
          <w:rFonts w:ascii="Times New Roman" w:hAnsi="Times New Roman" w:cs="Times New Roman"/>
          <w:b/>
          <w:bCs/>
          <w:color w:val="000000" w:themeColor="text1"/>
          <w:sz w:val="22"/>
          <w:szCs w:val="22"/>
        </w:rPr>
      </w:pPr>
      <w:r w:rsidRPr="002C45AD">
        <w:rPr>
          <w:rFonts w:ascii="Times New Roman" w:hAnsi="Times New Roman" w:cs="Times New Roman"/>
          <w:b/>
          <w:bCs/>
          <w:color w:val="000000" w:themeColor="text1"/>
          <w:sz w:val="22"/>
          <w:szCs w:val="22"/>
        </w:rPr>
        <w:t>2.9 Life Cycle Assessment (LCA)</w:t>
      </w:r>
    </w:p>
    <w:p w:rsidR="00653F86" w:rsidRPr="002C45AD" w:rsidRDefault="00BD4C4F" w:rsidP="002C45AD">
      <w:pPr>
        <w:spacing w:line="360" w:lineRule="auto"/>
        <w:jc w:val="both"/>
        <w:rPr>
          <w:rFonts w:ascii="Times New Roman" w:hAnsi="Times New Roman" w:cs="Times New Roman"/>
          <w:sz w:val="22"/>
          <w:szCs w:val="22"/>
        </w:rPr>
      </w:pPr>
      <w:r w:rsidRPr="002C45AD">
        <w:rPr>
          <w:rFonts w:ascii="Times New Roman" w:hAnsi="Times New Roman" w:cs="Times New Roman"/>
          <w:sz w:val="22"/>
          <w:szCs w:val="22"/>
        </w:rPr>
        <w:t xml:space="preserve">A comprehensive Life Cycle Assessment was performed using SimaPro 9.5 software following ISO 14040:2006 and ISO 14044:2006 international standards to compare the environmental footprint of green synthesized nanocomposites versus conventional nanomaterials. The study employed a cradle-to-grave system boundary encompassing four phases: raw material acquisition (plant biomass cultivation, metal precursor mining, polymer matrix production), manufacturing (plant extract preparation, nanoparticle synthesis, nanocomposite fabrication), use phase (transportation, water treatment operations, maintenance), and end-of-life (collection, treatment options, material recovery). The functional unit was </w:t>
      </w:r>
      <w:r w:rsidRPr="002C45AD">
        <w:rPr>
          <w:rFonts w:ascii="Times New Roman" w:hAnsi="Times New Roman" w:cs="Times New Roman"/>
          <w:sz w:val="22"/>
          <w:szCs w:val="22"/>
        </w:rPr>
        <w:lastRenderedPageBreak/>
        <w:t>defined as "treatment of 1 m³ of contaminated water to achieve 90% contaminant removal efficiency" to enable service-based comparison rather than mass-based assessment</w:t>
      </w:r>
      <w:r w:rsidR="009455AA">
        <w:rPr>
          <w:rFonts w:ascii="Times New Roman" w:hAnsi="Times New Roman" w:cs="Times New Roman"/>
          <w:sz w:val="22"/>
          <w:szCs w:val="22"/>
        </w:rPr>
        <w:t xml:space="preserve"> </w:t>
      </w:r>
      <w:r w:rsidRPr="002C45AD">
        <w:rPr>
          <w:rFonts w:ascii="Times New Roman" w:hAnsi="Times New Roman" w:cs="Times New Roman"/>
          <w:sz w:val="22"/>
          <w:szCs w:val="22"/>
        </w:rPr>
        <w:t xml:space="preserve">(Sameh </w:t>
      </w:r>
      <w:r w:rsidRPr="009455AA">
        <w:rPr>
          <w:rFonts w:ascii="Times New Roman" w:hAnsi="Times New Roman" w:cs="Times New Roman"/>
          <w:i/>
          <w:sz w:val="22"/>
          <w:szCs w:val="22"/>
        </w:rPr>
        <w:t>et al</w:t>
      </w:r>
      <w:r w:rsidRPr="002C45AD">
        <w:rPr>
          <w:rFonts w:ascii="Times New Roman" w:hAnsi="Times New Roman" w:cs="Times New Roman"/>
          <w:sz w:val="22"/>
          <w:szCs w:val="22"/>
        </w:rPr>
        <w:t>., 2023).</w:t>
      </w:r>
    </w:p>
    <w:p w:rsidR="004C4F19" w:rsidRPr="004C4F19" w:rsidRDefault="004C4F19" w:rsidP="004C4F19">
      <w:pPr>
        <w:pStyle w:val="Heading3"/>
        <w:jc w:val="both"/>
        <w:rPr>
          <w:rFonts w:ascii="Times New Roman" w:hAnsi="Times New Roman" w:cs="Times New Roman"/>
          <w:b/>
          <w:color w:val="000000" w:themeColor="text1"/>
          <w:sz w:val="24"/>
          <w:szCs w:val="24"/>
        </w:rPr>
      </w:pPr>
      <w:r w:rsidRPr="004C4F19">
        <w:rPr>
          <w:rFonts w:ascii="Times New Roman" w:hAnsi="Times New Roman" w:cs="Times New Roman"/>
          <w:b/>
          <w:color w:val="000000" w:themeColor="text1"/>
          <w:sz w:val="24"/>
          <w:szCs w:val="24"/>
        </w:rPr>
        <w:t>2.10 Statistical Analysis and Data Processing</w:t>
      </w:r>
    </w:p>
    <w:p w:rsidR="004C4F19" w:rsidRDefault="004C4F19" w:rsidP="004C4F19">
      <w:pPr>
        <w:pStyle w:val="whitespace-normal"/>
        <w:jc w:val="both"/>
        <w:rPr>
          <w:color w:val="000000" w:themeColor="text1"/>
        </w:rPr>
      </w:pPr>
      <w:r w:rsidRPr="004C4F19">
        <w:rPr>
          <w:rStyle w:val="Strong"/>
          <w:color w:val="000000" w:themeColor="text1"/>
        </w:rPr>
        <w:t>2.10.1 Experimental Design and Replication</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All experiments were conducted using randomized complete block design with minimum 5 replicates (n≥5) for quantitative measurements and 3 technical replicates for each biological replicate. Power analysis was performed using G*Power 3.1.9.7 to determine adequate sample sizes for detecting 10% differences with 80% power at α=0.05.</w:t>
      </w:r>
    </w:p>
    <w:p w:rsidR="004C4F19" w:rsidRDefault="004C4F19" w:rsidP="004C4F19">
      <w:pPr>
        <w:pStyle w:val="whitespace-normal"/>
        <w:jc w:val="both"/>
        <w:rPr>
          <w:color w:val="000000" w:themeColor="text1"/>
        </w:rPr>
      </w:pPr>
      <w:r w:rsidRPr="004C4F19">
        <w:rPr>
          <w:rStyle w:val="Strong"/>
          <w:color w:val="000000" w:themeColor="text1"/>
        </w:rPr>
        <w:t>2.10.2 Statistical Methods</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Data normality was assessed using Shapiro-Wilk tests, and homogeneity of variance verified using Levene's test. One-way ANOVA followed by Tukey's HSD post-hoc analysis was performed for multiple comparisons using SPSS v29.0. Non-parametric Kruskal-Wallis tests were applied when assumptions were violated. Correlation analysis used Pearson's correlation coefficients with 95% confidence intervals. Regression analysis employed both linear and non-linear models with R² and adjusted R² reported.</w:t>
      </w:r>
    </w:p>
    <w:p w:rsidR="004C4F19" w:rsidRPr="004C4F19" w:rsidRDefault="004C4F19" w:rsidP="004C4F19">
      <w:pPr>
        <w:pStyle w:val="Heading3"/>
        <w:jc w:val="both"/>
        <w:rPr>
          <w:rFonts w:ascii="Times New Roman" w:hAnsi="Times New Roman" w:cs="Times New Roman"/>
          <w:color w:val="000000" w:themeColor="text1"/>
          <w:sz w:val="24"/>
          <w:szCs w:val="24"/>
        </w:rPr>
      </w:pPr>
      <w:r w:rsidRPr="004C4F19">
        <w:rPr>
          <w:rFonts w:ascii="Times New Roman" w:hAnsi="Times New Roman" w:cs="Times New Roman"/>
          <w:color w:val="000000" w:themeColor="text1"/>
          <w:sz w:val="24"/>
          <w:szCs w:val="24"/>
        </w:rPr>
        <w:t>2.11 Advanced Characterization Methods</w:t>
      </w:r>
    </w:p>
    <w:p w:rsidR="004C4F19" w:rsidRDefault="004C4F19" w:rsidP="004C4F19">
      <w:pPr>
        <w:pStyle w:val="whitespace-normal"/>
        <w:jc w:val="both"/>
        <w:rPr>
          <w:color w:val="000000" w:themeColor="text1"/>
        </w:rPr>
      </w:pPr>
      <w:r w:rsidRPr="004C4F19">
        <w:rPr>
          <w:rStyle w:val="Strong"/>
          <w:color w:val="000000" w:themeColor="text1"/>
        </w:rPr>
        <w:t>2.11.1 Microbial Community Analysis</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DNA extraction from composting samples was performed using PowerSoil DNA Isolation Kit (Qiagen). 16S rRNA gene amplification targeted the V3-V4 hypervariable regions using primers 341F/806R. Illumina MiSeq platform generated paired-end 250 bp reads, processed using QIIME2 pipeline. Taxonomic classification used SILVA database v138, and diversity indices (Shannon, Simpson, Chao1) were calculated with rarefaction to 10,000 sequences per sample.</w:t>
      </w:r>
    </w:p>
    <w:p w:rsidR="004C4F19" w:rsidRDefault="004C4F19" w:rsidP="004C4F19">
      <w:pPr>
        <w:pStyle w:val="whitespace-normal"/>
        <w:jc w:val="both"/>
        <w:rPr>
          <w:color w:val="000000" w:themeColor="text1"/>
        </w:rPr>
      </w:pPr>
      <w:r w:rsidRPr="004C4F19">
        <w:rPr>
          <w:rStyle w:val="Strong"/>
          <w:color w:val="000000" w:themeColor="text1"/>
        </w:rPr>
        <w:t>2.11.2 Enzyme Activity Assays</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Cellulase activity was measured using DNS method with carboxymethyl cellulose substrate at 50°C, pH 4.8. Chitinase activity employed colloidal chitin substrate with measurement at 585 nm. Amylase activity used starch substrate with iodine-KI detection. Laccase activity was determined using ABTS substrate at 420 nm, pH 4.5. All enzyme activities were expressed as units per gram dry weight (U/g).</w:t>
      </w:r>
    </w:p>
    <w:p w:rsidR="004C4F19" w:rsidRPr="004C4F19" w:rsidRDefault="004C4F19" w:rsidP="004C4F19">
      <w:pPr>
        <w:pStyle w:val="Heading3"/>
        <w:jc w:val="both"/>
        <w:rPr>
          <w:rFonts w:ascii="Times New Roman" w:hAnsi="Times New Roman" w:cs="Times New Roman"/>
          <w:color w:val="000000" w:themeColor="text1"/>
          <w:sz w:val="24"/>
          <w:szCs w:val="24"/>
        </w:rPr>
      </w:pPr>
      <w:r w:rsidRPr="004C4F19">
        <w:rPr>
          <w:rFonts w:ascii="Times New Roman" w:hAnsi="Times New Roman" w:cs="Times New Roman"/>
          <w:color w:val="000000" w:themeColor="text1"/>
          <w:sz w:val="24"/>
          <w:szCs w:val="24"/>
        </w:rPr>
        <w:t>2.12 Quality Assurance and Control</w:t>
      </w:r>
    </w:p>
    <w:p w:rsidR="004C4F19" w:rsidRDefault="004C4F19" w:rsidP="004C4F19">
      <w:pPr>
        <w:pStyle w:val="whitespace-normal"/>
        <w:jc w:val="both"/>
        <w:rPr>
          <w:color w:val="000000" w:themeColor="text1"/>
        </w:rPr>
      </w:pPr>
      <w:r w:rsidRPr="004C4F19">
        <w:rPr>
          <w:rStyle w:val="Strong"/>
          <w:color w:val="000000" w:themeColor="text1"/>
        </w:rPr>
        <w:t>2.12.1 Analytical Quality Control</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 xml:space="preserve">Method detection limits were determined using standard EPA protocols with 7 replicate analyses of low-concentration standards. Precision was assessed through relative standard deviation </w:t>
      </w:r>
      <w:r w:rsidRPr="004C4F19">
        <w:rPr>
          <w:color w:val="000000" w:themeColor="text1"/>
        </w:rPr>
        <w:lastRenderedPageBreak/>
        <w:t>(%RSD) calculations, maintained below 10% for all analytical methods. Accuracy was verified using certified reference materials and spike recovery studies (85-115% recovery required).</w:t>
      </w:r>
    </w:p>
    <w:p w:rsidR="004C4F19" w:rsidRDefault="004C4F19" w:rsidP="004C4F19">
      <w:pPr>
        <w:pStyle w:val="whitespace-normal"/>
        <w:jc w:val="both"/>
        <w:rPr>
          <w:color w:val="000000" w:themeColor="text1"/>
        </w:rPr>
      </w:pPr>
      <w:r w:rsidRPr="004C4F19">
        <w:rPr>
          <w:rStyle w:val="Strong"/>
          <w:color w:val="000000" w:themeColor="text1"/>
        </w:rPr>
        <w:t>2.12.2 Contamination Prevention</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Strict contamination control protocols included use of analytical grade reagents, pre-cleaned glassware, filtered reagents, and negative controls in all experimental batches. Cross-contamination was prevented through spatial and temporal separation of different experimental conditions.</w:t>
      </w:r>
    </w:p>
    <w:p w:rsidR="004C4F19" w:rsidRPr="004C4F19" w:rsidRDefault="004C4F19" w:rsidP="004C4F19">
      <w:pPr>
        <w:pStyle w:val="Heading3"/>
        <w:jc w:val="both"/>
        <w:rPr>
          <w:rFonts w:ascii="Times New Roman" w:hAnsi="Times New Roman" w:cs="Times New Roman"/>
          <w:b/>
          <w:color w:val="000000" w:themeColor="text1"/>
          <w:sz w:val="24"/>
          <w:szCs w:val="24"/>
        </w:rPr>
      </w:pPr>
      <w:r w:rsidRPr="004C4F19">
        <w:rPr>
          <w:rFonts w:ascii="Times New Roman" w:hAnsi="Times New Roman" w:cs="Times New Roman"/>
          <w:b/>
          <w:color w:val="000000" w:themeColor="text1"/>
          <w:sz w:val="24"/>
          <w:szCs w:val="24"/>
        </w:rPr>
        <w:t>2.13 Modeling and Computational Analysis</w:t>
      </w:r>
    </w:p>
    <w:p w:rsidR="004C4F19" w:rsidRDefault="004C4F19" w:rsidP="004C4F19">
      <w:pPr>
        <w:pStyle w:val="whitespace-normal"/>
        <w:jc w:val="both"/>
        <w:rPr>
          <w:color w:val="000000" w:themeColor="text1"/>
        </w:rPr>
      </w:pPr>
      <w:r w:rsidRPr="004C4F19">
        <w:rPr>
          <w:rStyle w:val="Strong"/>
          <w:color w:val="000000" w:themeColor="text1"/>
        </w:rPr>
        <w:t>2.13.1 Kinetic Modeling</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Multiple kinetic models were fitted including pseudo-first-order, pseudo-second-order, Elovich, and intraparticle diffusion models. Non-linear regression was performed using OriginPro 2023 with Levenberg-Marquardt algorithm. Model selection was based on correlation coefficients, chi-square values, and residual analysis.</w:t>
      </w:r>
    </w:p>
    <w:p w:rsidR="004C4F19" w:rsidRDefault="004C4F19" w:rsidP="004C4F19">
      <w:pPr>
        <w:pStyle w:val="whitespace-normal"/>
        <w:jc w:val="both"/>
        <w:rPr>
          <w:color w:val="000000" w:themeColor="text1"/>
        </w:rPr>
      </w:pPr>
      <w:r w:rsidRPr="004C4F19">
        <w:rPr>
          <w:rStyle w:val="Strong"/>
          <w:color w:val="000000" w:themeColor="text1"/>
        </w:rPr>
        <w:t>2.13.2 Thermodynamic Calculations</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Thermodynamic parameters were calculated using van't Hoff equations at three temperatures (298, 308, and 318 K). Gibbs free energy (ΔG°), enthalpy (ΔH°), and entropy (ΔS°) changes were determined from temperature-dependent equilibrium constants with uncertainty propagation analysis.</w:t>
      </w:r>
    </w:p>
    <w:p w:rsidR="004C4F19" w:rsidRPr="004C4F19" w:rsidRDefault="004C4F19" w:rsidP="004C4F19">
      <w:pPr>
        <w:pStyle w:val="Heading3"/>
        <w:jc w:val="both"/>
        <w:rPr>
          <w:rFonts w:ascii="Times New Roman" w:hAnsi="Times New Roman" w:cs="Times New Roman"/>
          <w:color w:val="000000" w:themeColor="text1"/>
          <w:sz w:val="24"/>
          <w:szCs w:val="24"/>
        </w:rPr>
      </w:pPr>
      <w:r w:rsidRPr="004C4F19">
        <w:rPr>
          <w:rFonts w:ascii="Times New Roman" w:hAnsi="Times New Roman" w:cs="Times New Roman"/>
          <w:color w:val="000000" w:themeColor="text1"/>
          <w:sz w:val="24"/>
          <w:szCs w:val="24"/>
        </w:rPr>
        <w:t>2.14 Scale-up and Process Optimization</w:t>
      </w:r>
    </w:p>
    <w:p w:rsidR="004C4F19" w:rsidRDefault="004C4F19" w:rsidP="004C4F19">
      <w:pPr>
        <w:pStyle w:val="whitespace-normal"/>
        <w:jc w:val="both"/>
        <w:rPr>
          <w:color w:val="000000" w:themeColor="text1"/>
        </w:rPr>
      </w:pPr>
      <w:r w:rsidRPr="004C4F19">
        <w:rPr>
          <w:rStyle w:val="Strong"/>
          <w:color w:val="000000" w:themeColor="text1"/>
        </w:rPr>
        <w:t>2.14.1 Response Surface Methodology</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Box-Behnken design was employed to optimize synthesis conditions with three factors (pH, temperature, reaction time) at three levels. Response surface equations were developed using Design-Expert software v13 with ANOVA validation and desirability function optimization.</w:t>
      </w:r>
    </w:p>
    <w:p w:rsidR="004C4F19" w:rsidRDefault="004C4F19" w:rsidP="004C4F19">
      <w:pPr>
        <w:pStyle w:val="whitespace-normal"/>
        <w:jc w:val="both"/>
        <w:rPr>
          <w:color w:val="000000" w:themeColor="text1"/>
        </w:rPr>
      </w:pPr>
      <w:r w:rsidRPr="004C4F19">
        <w:rPr>
          <w:rStyle w:val="Strong"/>
          <w:color w:val="000000" w:themeColor="text1"/>
        </w:rPr>
        <w:t>2.14.2 Pilot-Scale Synthesis</w:t>
      </w:r>
      <w:r w:rsidRPr="004C4F19">
        <w:rPr>
          <w:color w:val="000000" w:themeColor="text1"/>
        </w:rPr>
        <w:t xml:space="preserve"> </w:t>
      </w:r>
    </w:p>
    <w:p w:rsidR="004C4F19" w:rsidRPr="004C4F19" w:rsidRDefault="004C4F19" w:rsidP="004C4F19">
      <w:pPr>
        <w:pStyle w:val="whitespace-normal"/>
        <w:jc w:val="both"/>
        <w:rPr>
          <w:color w:val="000000" w:themeColor="text1"/>
        </w:rPr>
      </w:pPr>
      <w:r w:rsidRPr="004C4F19">
        <w:rPr>
          <w:color w:val="000000" w:themeColor="text1"/>
        </w:rPr>
        <w:t>Selected optimal conditions were validated at 100-gram scale using larger reaction vessels with enhanced mixing and temperature control. Scale-up parameters included Reynolds number calculations, mixing intensity optimization, and heat transfer coefficient determination.</w:t>
      </w:r>
    </w:p>
    <w:p w:rsidR="00496622" w:rsidRDefault="00496622">
      <w:pPr>
        <w:spacing w:before="180" w:after="180"/>
        <w:jc w:val="both"/>
        <w:rPr>
          <w:rFonts w:ascii="Times New Roman" w:eastAsia="Aptos" w:hAnsi="Times New Roman" w:cs="Times New Roman"/>
          <w:b/>
          <w:bCs/>
          <w:sz w:val="20"/>
          <w:szCs w:val="20"/>
        </w:rPr>
      </w:pPr>
    </w:p>
    <w:p w:rsidR="004C4F19" w:rsidRDefault="004C4F19">
      <w:pPr>
        <w:spacing w:before="180" w:after="180"/>
        <w:jc w:val="both"/>
        <w:rPr>
          <w:rFonts w:ascii="Times New Roman" w:eastAsia="Aptos" w:hAnsi="Times New Roman" w:cs="Times New Roman"/>
          <w:b/>
          <w:bCs/>
          <w:sz w:val="20"/>
          <w:szCs w:val="20"/>
        </w:rPr>
      </w:pPr>
    </w:p>
    <w:p w:rsidR="004C4F19" w:rsidRDefault="004C4F19">
      <w:pPr>
        <w:spacing w:before="180" w:after="180"/>
        <w:jc w:val="both"/>
        <w:rPr>
          <w:rFonts w:ascii="Times New Roman" w:eastAsia="Aptos" w:hAnsi="Times New Roman" w:cs="Times New Roman"/>
          <w:b/>
          <w:bCs/>
          <w:sz w:val="20"/>
          <w:szCs w:val="20"/>
        </w:rPr>
      </w:pPr>
    </w:p>
    <w:p w:rsidR="00496622" w:rsidRPr="002C45AD" w:rsidRDefault="00496622">
      <w:pPr>
        <w:spacing w:before="180" w:after="180"/>
        <w:jc w:val="both"/>
        <w:rPr>
          <w:rFonts w:ascii="Times New Roman" w:eastAsia="Aptos" w:hAnsi="Times New Roman" w:cs="Times New Roman"/>
          <w:b/>
          <w:bCs/>
          <w:sz w:val="20"/>
          <w:szCs w:val="20"/>
        </w:rPr>
      </w:pPr>
    </w:p>
    <w:p w:rsidR="00653F86" w:rsidRPr="002C45AD" w:rsidRDefault="00BD4C4F">
      <w:pPr>
        <w:spacing w:before="180" w:after="180"/>
        <w:jc w:val="both"/>
        <w:rPr>
          <w:rFonts w:ascii="Times New Roman" w:eastAsia="Aptos" w:hAnsi="Times New Roman" w:cs="Times New Roman"/>
          <w:b/>
          <w:bCs/>
          <w:sz w:val="20"/>
          <w:szCs w:val="20"/>
        </w:rPr>
      </w:pPr>
      <w:r w:rsidRPr="002C45AD">
        <w:rPr>
          <w:rFonts w:ascii="Times New Roman" w:eastAsia="Aptos" w:hAnsi="Times New Roman" w:cs="Times New Roman"/>
          <w:b/>
          <w:bCs/>
          <w:sz w:val="20"/>
          <w:szCs w:val="20"/>
        </w:rPr>
        <w:lastRenderedPageBreak/>
        <w:t>3. Results</w:t>
      </w:r>
    </w:p>
    <w:p w:rsidR="004C4F19" w:rsidRDefault="004C4F19">
      <w:pPr>
        <w:spacing w:before="180" w:after="180"/>
        <w:jc w:val="both"/>
        <w:rPr>
          <w:rFonts w:ascii="Times New Roman" w:eastAsia="Aptos" w:hAnsi="Times New Roman" w:cs="Times New Roman"/>
          <w:b/>
          <w:bCs/>
          <w:sz w:val="20"/>
          <w:szCs w:val="20"/>
        </w:rPr>
      </w:pPr>
      <w:r w:rsidRPr="004C4F19">
        <w:rPr>
          <w:rFonts w:ascii="Times New Roman" w:eastAsia="Aptos" w:hAnsi="Times New Roman" w:cs="Times New Roman"/>
          <w:b/>
          <w:bCs/>
          <w:noProof/>
          <w:sz w:val="20"/>
          <w:szCs w:val="20"/>
          <w:lang w:eastAsia="en-US"/>
        </w:rPr>
        <w:drawing>
          <wp:inline distT="0" distB="0" distL="0" distR="0">
            <wp:extent cx="5943600" cy="4001770"/>
            <wp:effectExtent l="19050" t="0" r="0" b="0"/>
            <wp:docPr id="1945770878" name="Picture 1945770878"/>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9"/>
                    <a:srcRect/>
                    <a:stretch>
                      <a:fillRect/>
                    </a:stretch>
                  </pic:blipFill>
                  <pic:spPr bwMode="auto">
                    <a:xfrm>
                      <a:off x="0" y="0"/>
                      <a:ext cx="5943600" cy="4001770"/>
                    </a:xfrm>
                    <a:prstGeom prst="rect">
                      <a:avLst/>
                    </a:prstGeom>
                    <a:noFill/>
                    <a:ln w="9525">
                      <a:noFill/>
                      <a:miter lim="800000"/>
                      <a:headEnd/>
                      <a:tailEnd/>
                    </a:ln>
                    <a:effectLst/>
                  </pic:spPr>
                </pic:pic>
              </a:graphicData>
            </a:graphic>
          </wp:inline>
        </w:drawing>
      </w:r>
    </w:p>
    <w:p w:rsidR="004C4F19" w:rsidRDefault="004C4F19">
      <w:pPr>
        <w:spacing w:before="180" w:after="180"/>
        <w:jc w:val="both"/>
        <w:rPr>
          <w:rFonts w:ascii="Times New Roman" w:eastAsia="Aptos" w:hAnsi="Times New Roman" w:cs="Times New Roman"/>
          <w:b/>
          <w:bCs/>
          <w:sz w:val="20"/>
          <w:szCs w:val="20"/>
        </w:rPr>
      </w:pPr>
      <w:r w:rsidRPr="004C4F19">
        <w:rPr>
          <w:rFonts w:ascii="Times New Roman" w:eastAsia="Aptos" w:hAnsi="Times New Roman" w:cs="Times New Roman"/>
          <w:b/>
          <w:bCs/>
          <w:noProof/>
          <w:sz w:val="20"/>
          <w:szCs w:val="20"/>
          <w:lang w:eastAsia="en-US"/>
        </w:rPr>
        <w:drawing>
          <wp:inline distT="0" distB="0" distL="0" distR="0">
            <wp:extent cx="5943600" cy="231140"/>
            <wp:effectExtent l="0" t="0" r="0" b="0"/>
            <wp:docPr id="1945770877" name="Object 19457708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29618" cy="307777"/>
                      <a:chOff x="1214382" y="5286388"/>
                      <a:chExt cx="7929618" cy="307777"/>
                    </a:xfrm>
                  </a:grpSpPr>
                  <a:sp>
                    <a:nvSpPr>
                      <a:cNvPr id="5" name="Rectangle 4"/>
                      <a:cNvSpPr/>
                    </a:nvSpPr>
                    <a:spPr>
                      <a:xfrm>
                        <a:off x="1214382" y="5286388"/>
                        <a:ext cx="7929618" cy="307777"/>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400" b="1" dirty="0"/>
                            <a:t>Figure 1: </a:t>
                          </a:r>
                          <a:r>
                            <a:rPr lang="en-GB" sz="1400" b="1" dirty="0" smtClean="0"/>
                            <a:t>Changes </a:t>
                          </a:r>
                          <a:r>
                            <a:rPr lang="en-GB" sz="1400" b="1" dirty="0"/>
                            <a:t>in Microbial Community Composition During Biodegradation</a:t>
                          </a:r>
                        </a:p>
                      </a:txBody>
                      <a:useSpRect/>
                    </a:txSp>
                  </a:sp>
                </lc:lockedCanvas>
              </a:graphicData>
            </a:graphic>
          </wp:inline>
        </w:drawing>
      </w:r>
    </w:p>
    <w:p w:rsidR="004C4F19" w:rsidRDefault="004C4F19">
      <w:pPr>
        <w:spacing w:before="180" w:after="180"/>
        <w:jc w:val="both"/>
        <w:rPr>
          <w:rFonts w:ascii="Times New Roman" w:eastAsia="Aptos" w:hAnsi="Times New Roman" w:cs="Times New Roman"/>
          <w:b/>
          <w:bCs/>
          <w:sz w:val="20"/>
          <w:szCs w:val="20"/>
        </w:rPr>
      </w:pPr>
    </w:p>
    <w:p w:rsidR="004C4F19" w:rsidRDefault="004C4F19">
      <w:pPr>
        <w:spacing w:before="180" w:after="180"/>
        <w:jc w:val="both"/>
        <w:rPr>
          <w:rFonts w:ascii="Times New Roman" w:eastAsia="Aptos" w:hAnsi="Times New Roman" w:cs="Times New Roman"/>
          <w:b/>
          <w:bCs/>
          <w:sz w:val="20"/>
          <w:szCs w:val="20"/>
        </w:rPr>
      </w:pPr>
      <w:r>
        <w:rPr>
          <w:rFonts w:ascii="Times New Roman" w:eastAsia="Aptos" w:hAnsi="Times New Roman" w:cs="Times New Roman"/>
          <w:b/>
          <w:bCs/>
          <w:noProof/>
          <w:sz w:val="20"/>
          <w:szCs w:val="20"/>
          <w:lang w:eastAsia="en-US"/>
        </w:rPr>
        <w:drawing>
          <wp:inline distT="0" distB="0" distL="0" distR="0">
            <wp:extent cx="6143510" cy="2428646"/>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6152924" cy="2432368"/>
                    </a:xfrm>
                    <a:prstGeom prst="rect">
                      <a:avLst/>
                    </a:prstGeom>
                    <a:noFill/>
                  </pic:spPr>
                </pic:pic>
              </a:graphicData>
            </a:graphic>
          </wp:inline>
        </w:drawing>
      </w:r>
    </w:p>
    <w:p w:rsidR="004C4F19" w:rsidRDefault="004C4F19">
      <w:pPr>
        <w:spacing w:before="180" w:after="180"/>
        <w:jc w:val="both"/>
        <w:rPr>
          <w:rFonts w:ascii="Times New Roman" w:eastAsia="Aptos" w:hAnsi="Times New Roman" w:cs="Times New Roman"/>
          <w:b/>
          <w:bCs/>
          <w:sz w:val="20"/>
          <w:szCs w:val="20"/>
        </w:rPr>
      </w:pPr>
      <w:r>
        <w:rPr>
          <w:rFonts w:ascii="Times New Roman" w:eastAsia="Aptos" w:hAnsi="Times New Roman" w:cs="Times New Roman"/>
          <w:b/>
          <w:bCs/>
          <w:noProof/>
          <w:sz w:val="20"/>
          <w:szCs w:val="20"/>
          <w:lang w:eastAsia="en-US"/>
        </w:rPr>
        <w:lastRenderedPageBreak/>
        <w:drawing>
          <wp:inline distT="0" distB="0" distL="0" distR="0">
            <wp:extent cx="5943600" cy="193410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5943600" cy="1934105"/>
                    </a:xfrm>
                    <a:prstGeom prst="rect">
                      <a:avLst/>
                    </a:prstGeom>
                    <a:noFill/>
                    <a:ln w="9525">
                      <a:noFill/>
                      <a:miter lim="800000"/>
                      <a:headEnd/>
                      <a:tailEnd/>
                    </a:ln>
                  </pic:spPr>
                </pic:pic>
              </a:graphicData>
            </a:graphic>
          </wp:inline>
        </w:drawing>
      </w:r>
    </w:p>
    <w:p w:rsidR="004C4F19" w:rsidRDefault="004C4F19">
      <w:pPr>
        <w:spacing w:before="180" w:after="180"/>
        <w:jc w:val="both"/>
        <w:rPr>
          <w:rFonts w:ascii="Times New Roman" w:eastAsia="Aptos" w:hAnsi="Times New Roman" w:cs="Times New Roman"/>
          <w:b/>
          <w:bCs/>
          <w:sz w:val="20"/>
          <w:szCs w:val="20"/>
        </w:rPr>
      </w:pPr>
      <w:r>
        <w:rPr>
          <w:rFonts w:ascii="Arial" w:hAnsi="Arial" w:cs="Arial"/>
          <w:b/>
          <w:bCs/>
          <w:color w:val="2C3E50"/>
          <w:sz w:val="21"/>
          <w:szCs w:val="21"/>
          <w:shd w:val="clear" w:color="auto" w:fill="FFFFFF"/>
        </w:rPr>
        <w:t>Figure 2: Profiles of Hydrolytic and Oxidative Enzyme Activities During Biodegradation</w:t>
      </w:r>
    </w:p>
    <w:p w:rsidR="004C4F19" w:rsidRPr="004C4F19" w:rsidRDefault="004C4F19" w:rsidP="004C4F19">
      <w:pPr>
        <w:spacing w:after="0" w:line="240" w:lineRule="auto"/>
        <w:jc w:val="both"/>
        <w:rPr>
          <w:rFonts w:ascii="Arial" w:eastAsia="Times New Roman" w:hAnsi="Arial" w:cs="Arial"/>
          <w:color w:val="000000" w:themeColor="text1"/>
          <w:sz w:val="14"/>
          <w:szCs w:val="14"/>
          <w:lang w:val="en-GB" w:eastAsia="en-GB"/>
        </w:rPr>
      </w:pPr>
      <w:r w:rsidRPr="004C4F19">
        <w:rPr>
          <w:rFonts w:ascii="Arial" w:eastAsia="Times New Roman" w:hAnsi="Arial" w:cs="Arial"/>
          <w:b/>
          <w:bCs/>
          <w:color w:val="000000" w:themeColor="text1"/>
          <w:sz w:val="14"/>
          <w:lang w:val="en-GB" w:eastAsia="en-GB"/>
        </w:rPr>
        <w:t>Figure 2.</w:t>
      </w:r>
      <w:r w:rsidRPr="004C4F19">
        <w:rPr>
          <w:rFonts w:ascii="Arial" w:eastAsia="Times New Roman" w:hAnsi="Arial" w:cs="Arial"/>
          <w:color w:val="000000" w:themeColor="text1"/>
          <w:sz w:val="14"/>
          <w:szCs w:val="14"/>
          <w:lang w:val="en-GB" w:eastAsia="en-GB"/>
        </w:rPr>
        <w:t> Temporal profiles of hydrolytic and oxidative enzyme activities during biodegradation. </w:t>
      </w:r>
      <w:r w:rsidRPr="004C4F19">
        <w:rPr>
          <w:rFonts w:ascii="Arial" w:eastAsia="Times New Roman" w:hAnsi="Arial" w:cs="Arial"/>
          <w:b/>
          <w:bCs/>
          <w:color w:val="000000" w:themeColor="text1"/>
          <w:sz w:val="14"/>
          <w:lang w:val="en-GB" w:eastAsia="en-GB"/>
        </w:rPr>
        <w:t>(A-D)</w:t>
      </w:r>
      <w:r w:rsidRPr="004C4F19">
        <w:rPr>
          <w:rFonts w:ascii="Arial" w:eastAsia="Times New Roman" w:hAnsi="Arial" w:cs="Arial"/>
          <w:color w:val="000000" w:themeColor="text1"/>
          <w:sz w:val="14"/>
          <w:szCs w:val="14"/>
          <w:lang w:val="en-GB" w:eastAsia="en-GB"/>
        </w:rPr>
        <w:t> Individual enzyme activities over 45 days showing distinct temporal patterns: early peaks for amylase and cellulase, bimodal pattern for chitinase, and continuous increase for laccase. Error bars represent standard deviation (n=5). </w:t>
      </w:r>
      <w:r w:rsidRPr="004C4F19">
        <w:rPr>
          <w:rFonts w:ascii="Arial" w:eastAsia="Times New Roman" w:hAnsi="Arial" w:cs="Arial"/>
          <w:b/>
          <w:bCs/>
          <w:color w:val="000000" w:themeColor="text1"/>
          <w:sz w:val="14"/>
          <w:lang w:val="en-GB" w:eastAsia="en-GB"/>
        </w:rPr>
        <w:t>(E)</w:t>
      </w:r>
      <w:r w:rsidRPr="004C4F19">
        <w:rPr>
          <w:rFonts w:ascii="Arial" w:eastAsia="Times New Roman" w:hAnsi="Arial" w:cs="Arial"/>
          <w:color w:val="000000" w:themeColor="text1"/>
          <w:sz w:val="14"/>
          <w:szCs w:val="14"/>
          <w:lang w:val="en-GB" w:eastAsia="en-GB"/>
        </w:rPr>
        <w:t> Correlation analysis between enzyme activities and biodegradation rates demonstrates strong positive relationships (r &gt; 0.75 for all enzymes), with laccase showing highest correlation (r = 0.94). Dashed lines represent linear regression fits for each enzyme type.</w:t>
      </w:r>
    </w:p>
    <w:p w:rsidR="004C4F19" w:rsidRDefault="004C4F19" w:rsidP="004C4F19">
      <w:pPr>
        <w:spacing w:after="0" w:line="240" w:lineRule="auto"/>
        <w:jc w:val="both"/>
        <w:rPr>
          <w:rFonts w:ascii="Arial" w:eastAsia="Times New Roman" w:hAnsi="Arial" w:cs="Arial"/>
          <w:color w:val="000000" w:themeColor="text1"/>
          <w:sz w:val="14"/>
          <w:szCs w:val="14"/>
          <w:lang w:val="en-GB" w:eastAsia="en-GB"/>
        </w:rPr>
      </w:pPr>
      <w:r w:rsidRPr="004C4F19">
        <w:rPr>
          <w:rFonts w:ascii="Arial" w:eastAsia="Times New Roman" w:hAnsi="Arial" w:cs="Arial"/>
          <w:b/>
          <w:bCs/>
          <w:color w:val="000000" w:themeColor="text1"/>
          <w:sz w:val="14"/>
          <w:lang w:val="en-GB" w:eastAsia="en-GB"/>
        </w:rPr>
        <w:t>Figure 2.</w:t>
      </w:r>
      <w:r w:rsidRPr="004C4F19">
        <w:rPr>
          <w:rFonts w:ascii="Arial" w:eastAsia="Times New Roman" w:hAnsi="Arial" w:cs="Arial"/>
          <w:color w:val="000000" w:themeColor="text1"/>
          <w:sz w:val="14"/>
          <w:szCs w:val="14"/>
          <w:lang w:val="en-GB" w:eastAsia="en-GB"/>
        </w:rPr>
        <w:t> Temporal profiles of hydrolytic and oxidative enzyme activities during biodegradation. </w:t>
      </w:r>
      <w:r w:rsidRPr="004C4F19">
        <w:rPr>
          <w:rFonts w:ascii="Arial" w:eastAsia="Times New Roman" w:hAnsi="Arial" w:cs="Arial"/>
          <w:b/>
          <w:bCs/>
          <w:color w:val="000000" w:themeColor="text1"/>
          <w:sz w:val="14"/>
          <w:lang w:val="en-GB" w:eastAsia="en-GB"/>
        </w:rPr>
        <w:t>(A-D)</w:t>
      </w:r>
      <w:r w:rsidRPr="004C4F19">
        <w:rPr>
          <w:rFonts w:ascii="Arial" w:eastAsia="Times New Roman" w:hAnsi="Arial" w:cs="Arial"/>
          <w:color w:val="000000" w:themeColor="text1"/>
          <w:sz w:val="14"/>
          <w:szCs w:val="14"/>
          <w:lang w:val="en-GB" w:eastAsia="en-GB"/>
        </w:rPr>
        <w:t> Individual enzyme activities over 45 days showing distinct temporal patterns: early peaks for amylase and cellulase, bimodal pattern for chitinase, and continuous increase for laccase. Error bars represent standard deviation (n=5). </w:t>
      </w:r>
      <w:r w:rsidRPr="004C4F19">
        <w:rPr>
          <w:rFonts w:ascii="Arial" w:eastAsia="Times New Roman" w:hAnsi="Arial" w:cs="Arial"/>
          <w:b/>
          <w:bCs/>
          <w:color w:val="000000" w:themeColor="text1"/>
          <w:sz w:val="14"/>
          <w:lang w:val="en-GB" w:eastAsia="en-GB"/>
        </w:rPr>
        <w:t>(E)</w:t>
      </w:r>
      <w:r w:rsidRPr="004C4F19">
        <w:rPr>
          <w:rFonts w:ascii="Arial" w:eastAsia="Times New Roman" w:hAnsi="Arial" w:cs="Arial"/>
          <w:color w:val="000000" w:themeColor="text1"/>
          <w:sz w:val="14"/>
          <w:szCs w:val="14"/>
          <w:lang w:val="en-GB" w:eastAsia="en-GB"/>
        </w:rPr>
        <w:t> Correlation analysis between enzyme activities and biodegradation rates demonstrates strong positive relationships (r &gt; 0.75 for all enzymes), with laccase showing highest correlation (r = 0.94). Dashed lines represent linear regression fits for each enzyme type.</w:t>
      </w:r>
    </w:p>
    <w:p w:rsidR="004C4F19" w:rsidRDefault="004C4F19" w:rsidP="004C4F19">
      <w:pPr>
        <w:spacing w:after="0" w:line="240" w:lineRule="auto"/>
        <w:jc w:val="both"/>
        <w:rPr>
          <w:rFonts w:ascii="Arial" w:eastAsia="Times New Roman" w:hAnsi="Arial" w:cs="Arial"/>
          <w:color w:val="000000" w:themeColor="text1"/>
          <w:sz w:val="14"/>
          <w:szCs w:val="14"/>
          <w:lang w:val="en-GB" w:eastAsia="en-GB"/>
        </w:rPr>
      </w:pPr>
    </w:p>
    <w:p w:rsidR="004C4F19" w:rsidRDefault="004C4F19" w:rsidP="004C4F19">
      <w:pPr>
        <w:spacing w:after="0" w:line="240" w:lineRule="auto"/>
        <w:jc w:val="both"/>
        <w:rPr>
          <w:rFonts w:ascii="Arial" w:eastAsia="Times New Roman" w:hAnsi="Arial" w:cs="Arial"/>
          <w:color w:val="000000" w:themeColor="text1"/>
          <w:sz w:val="14"/>
          <w:szCs w:val="14"/>
          <w:lang w:val="en-GB" w:eastAsia="en-GB"/>
        </w:rPr>
      </w:pPr>
    </w:p>
    <w:p w:rsidR="004C4F19" w:rsidRDefault="004C4F19" w:rsidP="004C4F19">
      <w:pPr>
        <w:spacing w:after="0" w:line="240" w:lineRule="auto"/>
        <w:jc w:val="both"/>
        <w:rPr>
          <w:rFonts w:ascii="Arial" w:eastAsia="Times New Roman" w:hAnsi="Arial" w:cs="Arial"/>
          <w:color w:val="000000" w:themeColor="text1"/>
          <w:sz w:val="14"/>
          <w:szCs w:val="14"/>
          <w:lang w:val="en-GB" w:eastAsia="en-GB"/>
        </w:rPr>
      </w:pPr>
      <w:r>
        <w:rPr>
          <w:rFonts w:ascii="Arial" w:eastAsia="Times New Roman" w:hAnsi="Arial" w:cs="Arial"/>
          <w:noProof/>
          <w:color w:val="000000" w:themeColor="text1"/>
          <w:sz w:val="14"/>
          <w:szCs w:val="14"/>
          <w:lang w:eastAsia="en-US"/>
        </w:rPr>
        <w:drawing>
          <wp:inline distT="0" distB="0" distL="0" distR="0">
            <wp:extent cx="5933479" cy="1741018"/>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srcRect/>
                    <a:stretch>
                      <a:fillRect/>
                    </a:stretch>
                  </pic:blipFill>
                  <pic:spPr bwMode="auto">
                    <a:xfrm>
                      <a:off x="0" y="0"/>
                      <a:ext cx="5943600" cy="1743988"/>
                    </a:xfrm>
                    <a:prstGeom prst="rect">
                      <a:avLst/>
                    </a:prstGeom>
                    <a:noFill/>
                    <a:ln w="9525">
                      <a:noFill/>
                      <a:miter lim="800000"/>
                      <a:headEnd/>
                      <a:tailEnd/>
                    </a:ln>
                  </pic:spPr>
                </pic:pic>
              </a:graphicData>
            </a:graphic>
          </wp:inline>
        </w:drawing>
      </w:r>
    </w:p>
    <w:p w:rsidR="004C4F19" w:rsidRDefault="004C4F19" w:rsidP="004C4F19">
      <w:pPr>
        <w:spacing w:after="0" w:line="240" w:lineRule="auto"/>
        <w:jc w:val="both"/>
        <w:rPr>
          <w:rFonts w:ascii="Arial" w:eastAsia="Times New Roman" w:hAnsi="Arial" w:cs="Arial"/>
          <w:color w:val="000000" w:themeColor="text1"/>
          <w:sz w:val="14"/>
          <w:szCs w:val="14"/>
          <w:lang w:val="en-GB" w:eastAsia="en-GB"/>
        </w:rPr>
      </w:pPr>
      <w:r>
        <w:rPr>
          <w:rFonts w:ascii="Arial" w:eastAsia="Times New Roman" w:hAnsi="Arial" w:cs="Arial"/>
          <w:noProof/>
          <w:color w:val="000000" w:themeColor="text1"/>
          <w:sz w:val="14"/>
          <w:szCs w:val="14"/>
          <w:lang w:eastAsia="en-US"/>
        </w:rPr>
        <w:drawing>
          <wp:inline distT="0" distB="0" distL="0" distR="0">
            <wp:extent cx="5940305" cy="1719072"/>
            <wp:effectExtent l="19050" t="0" r="329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srcRect/>
                    <a:stretch>
                      <a:fillRect/>
                    </a:stretch>
                  </pic:blipFill>
                  <pic:spPr bwMode="auto">
                    <a:xfrm>
                      <a:off x="0" y="0"/>
                      <a:ext cx="5943600" cy="1720026"/>
                    </a:xfrm>
                    <a:prstGeom prst="rect">
                      <a:avLst/>
                    </a:prstGeom>
                    <a:noFill/>
                    <a:ln w="9525">
                      <a:noFill/>
                      <a:miter lim="800000"/>
                      <a:headEnd/>
                      <a:tailEnd/>
                    </a:ln>
                  </pic:spPr>
                </pic:pic>
              </a:graphicData>
            </a:graphic>
          </wp:inline>
        </w:drawing>
      </w:r>
    </w:p>
    <w:p w:rsidR="004C4F19" w:rsidRDefault="004C4F19" w:rsidP="004C4F19">
      <w:pPr>
        <w:spacing w:after="0" w:line="240" w:lineRule="auto"/>
        <w:jc w:val="both"/>
        <w:rPr>
          <w:rStyle w:val="Strong"/>
          <w:rFonts w:ascii="Courier New" w:hAnsi="Courier New" w:cs="Courier New"/>
          <w:color w:val="000000"/>
          <w:sz w:val="16"/>
          <w:szCs w:val="16"/>
        </w:rPr>
      </w:pPr>
      <w:r>
        <w:rPr>
          <w:rFonts w:ascii="Arial" w:hAnsi="Arial" w:cs="Arial"/>
          <w:b/>
          <w:bCs/>
          <w:color w:val="2C3E50"/>
          <w:sz w:val="21"/>
          <w:szCs w:val="21"/>
          <w:shd w:val="clear" w:color="auto" w:fill="FFFFFF"/>
        </w:rPr>
        <w:t>Figure 3: Temperature-Dependent Biodegradation Kinetics and Arrhenius Analysis</w:t>
      </w:r>
    </w:p>
    <w:p w:rsidR="004C4F19" w:rsidRDefault="004C4F19" w:rsidP="004C4F19">
      <w:pPr>
        <w:spacing w:after="0" w:line="240" w:lineRule="auto"/>
        <w:jc w:val="both"/>
        <w:rPr>
          <w:rStyle w:val="Strong"/>
          <w:rFonts w:ascii="Courier New" w:hAnsi="Courier New" w:cs="Courier New"/>
          <w:color w:val="000000"/>
          <w:sz w:val="16"/>
          <w:szCs w:val="16"/>
        </w:rPr>
      </w:pPr>
      <w:r w:rsidRPr="004C4F19">
        <w:rPr>
          <w:rStyle w:val="Strong"/>
          <w:rFonts w:ascii="Courier New" w:hAnsi="Courier New" w:cs="Courier New"/>
          <w:color w:val="000000"/>
          <w:sz w:val="16"/>
          <w:szCs w:val="16"/>
        </w:rPr>
        <w:t xml:space="preserve">Kinetic Models and Parameters: </w:t>
      </w:r>
      <w:r>
        <w:rPr>
          <w:rStyle w:val="Strong"/>
          <w:rFonts w:ascii="Courier New" w:hAnsi="Courier New" w:cs="Courier New"/>
          <w:color w:val="000000"/>
          <w:sz w:val="16"/>
          <w:szCs w:val="16"/>
        </w:rPr>
        <w:t xml:space="preserve">                              </w:t>
      </w:r>
      <w:r w:rsidRPr="004C4F19">
        <w:rPr>
          <w:rStyle w:val="Strong"/>
          <w:rFonts w:ascii="Courier New" w:hAnsi="Courier New" w:cs="Courier New"/>
          <w:color w:val="000000"/>
          <w:sz w:val="16"/>
          <w:szCs w:val="16"/>
        </w:rPr>
        <w:t>Fitted Parameters:</w:t>
      </w:r>
      <w:r w:rsidRPr="004C4F19">
        <w:rPr>
          <w:rFonts w:ascii="Courier New" w:hAnsi="Courier New" w:cs="Courier New"/>
          <w:color w:val="000000"/>
          <w:sz w:val="16"/>
          <w:szCs w:val="16"/>
        </w:rPr>
        <w:br/>
      </w:r>
      <w:r w:rsidRPr="004C4F19">
        <w:rPr>
          <w:rFonts w:ascii="Courier New" w:hAnsi="Courier New" w:cs="Courier New"/>
          <w:color w:val="000000"/>
          <w:sz w:val="16"/>
          <w:szCs w:val="16"/>
          <w:shd w:val="clear" w:color="auto" w:fill="F8F9FA"/>
        </w:rPr>
        <w:t>First-order kinetics: ln(Mt/M0) = -k</w:t>
      </w:r>
      <w:r w:rsidRPr="004C4F19">
        <w:rPr>
          <w:rFonts w:ascii="Cambria Math" w:hAnsi="Cambria Math" w:cs="Cambria Math"/>
          <w:color w:val="000000"/>
          <w:sz w:val="16"/>
          <w:szCs w:val="16"/>
          <w:shd w:val="clear" w:color="auto" w:fill="F8F9FA"/>
        </w:rPr>
        <w:t>₁</w:t>
      </w:r>
      <w:r w:rsidRPr="004C4F19">
        <w:rPr>
          <w:rFonts w:ascii="Courier New" w:hAnsi="Courier New" w:cs="Courier New"/>
          <w:color w:val="000000"/>
          <w:sz w:val="16"/>
          <w:szCs w:val="16"/>
          <w:shd w:val="clear" w:color="auto" w:fill="F8F9FA"/>
        </w:rPr>
        <w:t>t</w:t>
      </w:r>
      <w:r>
        <w:rPr>
          <w:rFonts w:ascii="Courier New" w:hAnsi="Courier New" w:cs="Courier New"/>
          <w:color w:val="000000"/>
          <w:sz w:val="16"/>
          <w:szCs w:val="16"/>
          <w:shd w:val="clear" w:color="auto" w:fill="F8F9FA"/>
        </w:rPr>
        <w:t xml:space="preserve">                  </w:t>
      </w:r>
      <w:r w:rsidRPr="004C4F19">
        <w:rPr>
          <w:rFonts w:ascii="Courier New" w:hAnsi="Courier New" w:cs="Courier New"/>
          <w:color w:val="000000"/>
          <w:sz w:val="16"/>
          <w:szCs w:val="16"/>
          <w:shd w:val="clear" w:color="auto" w:fill="F8F9FA"/>
        </w:rPr>
        <w:t>Activation Energy (Ea): 47.3 ± 6.8 kJ/mol</w:t>
      </w:r>
      <w:r w:rsidRPr="004C4F19">
        <w:rPr>
          <w:rFonts w:ascii="Courier New" w:hAnsi="Courier New" w:cs="Courier New"/>
          <w:color w:val="000000"/>
          <w:sz w:val="16"/>
          <w:szCs w:val="16"/>
        </w:rPr>
        <w:br/>
      </w:r>
      <w:r w:rsidRPr="004C4F19">
        <w:rPr>
          <w:rFonts w:ascii="Courier New" w:hAnsi="Courier New" w:cs="Courier New"/>
          <w:color w:val="000000"/>
          <w:sz w:val="16"/>
          <w:szCs w:val="16"/>
          <w:shd w:val="clear" w:color="auto" w:fill="F8F9FA"/>
        </w:rPr>
        <w:t>Arrhenius equation: k = A·exp(-Ea/RT)</w:t>
      </w:r>
      <w:r>
        <w:rPr>
          <w:rFonts w:ascii="Courier New" w:hAnsi="Courier New" w:cs="Courier New"/>
          <w:color w:val="000000"/>
          <w:sz w:val="16"/>
          <w:szCs w:val="16"/>
          <w:shd w:val="clear" w:color="auto" w:fill="F8F9FA"/>
        </w:rPr>
        <w:t xml:space="preserve">                   </w:t>
      </w:r>
      <w:r w:rsidRPr="004C4F19">
        <w:rPr>
          <w:rFonts w:ascii="Courier New" w:hAnsi="Courier New" w:cs="Courier New"/>
          <w:color w:val="000000"/>
          <w:sz w:val="16"/>
          <w:szCs w:val="16"/>
          <w:shd w:val="clear" w:color="auto" w:fill="F8F9FA"/>
        </w:rPr>
        <w:t>Pre-exponential factor (A): 2.1 × 10</w:t>
      </w:r>
      <w:r w:rsidRPr="004C4F19">
        <w:rPr>
          <w:rFonts w:ascii="Cambria Math" w:hAnsi="Cambria Math" w:cs="Cambria Math"/>
          <w:color w:val="000000"/>
          <w:sz w:val="16"/>
          <w:szCs w:val="16"/>
          <w:shd w:val="clear" w:color="auto" w:fill="F8F9FA"/>
        </w:rPr>
        <w:t>⁶</w:t>
      </w:r>
      <w:r w:rsidRPr="004C4F19">
        <w:rPr>
          <w:rFonts w:ascii="Courier New" w:hAnsi="Courier New" w:cs="Courier New"/>
          <w:color w:val="000000"/>
          <w:sz w:val="16"/>
          <w:szCs w:val="16"/>
          <w:shd w:val="clear" w:color="auto" w:fill="F8F9FA"/>
        </w:rPr>
        <w:t xml:space="preserve"> h</w:t>
      </w:r>
      <w:r w:rsidRPr="004C4F19">
        <w:rPr>
          <w:rFonts w:ascii="Cambria Math" w:hAnsi="Cambria Math" w:cs="Cambria Math"/>
          <w:color w:val="000000"/>
          <w:sz w:val="16"/>
          <w:szCs w:val="16"/>
          <w:shd w:val="clear" w:color="auto" w:fill="F8F9FA"/>
        </w:rPr>
        <w:t>⁻</w:t>
      </w:r>
      <w:r w:rsidRPr="004C4F19">
        <w:rPr>
          <w:rFonts w:ascii="Courier New" w:hAnsi="Courier New" w:cs="Courier New"/>
          <w:color w:val="000000"/>
          <w:sz w:val="16"/>
          <w:szCs w:val="16"/>
          <w:shd w:val="clear" w:color="auto" w:fill="F8F9FA"/>
        </w:rPr>
        <w:t>¹</w:t>
      </w:r>
      <w:r w:rsidRPr="004C4F19">
        <w:rPr>
          <w:rFonts w:ascii="Courier New" w:hAnsi="Courier New" w:cs="Courier New"/>
          <w:color w:val="000000"/>
          <w:sz w:val="16"/>
          <w:szCs w:val="16"/>
        </w:rPr>
        <w:br/>
      </w:r>
      <w:r w:rsidRPr="004C4F19">
        <w:rPr>
          <w:rFonts w:ascii="Courier New" w:hAnsi="Courier New" w:cs="Courier New"/>
          <w:color w:val="000000"/>
          <w:sz w:val="16"/>
          <w:szCs w:val="16"/>
          <w:shd w:val="clear" w:color="auto" w:fill="F8F9FA"/>
        </w:rPr>
        <w:t>Linearized form: ln(k) = ln(A) - Ea/RT</w:t>
      </w:r>
      <w:r>
        <w:rPr>
          <w:rFonts w:ascii="Courier New" w:hAnsi="Courier New" w:cs="Courier New"/>
          <w:color w:val="000000"/>
          <w:sz w:val="16"/>
          <w:szCs w:val="16"/>
          <w:shd w:val="clear" w:color="auto" w:fill="F8F9FA"/>
        </w:rPr>
        <w:t xml:space="preserve">                  </w:t>
      </w:r>
      <w:r w:rsidRPr="004C4F19">
        <w:rPr>
          <w:rFonts w:ascii="Courier New" w:hAnsi="Courier New" w:cs="Courier New"/>
          <w:color w:val="000000"/>
          <w:sz w:val="16"/>
          <w:szCs w:val="16"/>
          <w:shd w:val="clear" w:color="auto" w:fill="F8F9FA"/>
        </w:rPr>
        <w:t>Mean Q</w:t>
      </w:r>
      <w:r w:rsidRPr="004C4F19">
        <w:rPr>
          <w:rFonts w:ascii="Cambria Math" w:hAnsi="Cambria Math" w:cs="Cambria Math"/>
          <w:color w:val="000000"/>
          <w:sz w:val="16"/>
          <w:szCs w:val="16"/>
          <w:shd w:val="clear" w:color="auto" w:fill="F8F9FA"/>
        </w:rPr>
        <w:t>₁₀</w:t>
      </w:r>
      <w:r w:rsidRPr="004C4F19">
        <w:rPr>
          <w:rFonts w:ascii="Courier New" w:hAnsi="Courier New" w:cs="Courier New"/>
          <w:color w:val="000000"/>
          <w:sz w:val="16"/>
          <w:szCs w:val="16"/>
          <w:shd w:val="clear" w:color="auto" w:fill="F8F9FA"/>
        </w:rPr>
        <w:t>: 2.4 ± 0.3</w:t>
      </w:r>
      <w:r w:rsidRPr="004C4F19">
        <w:rPr>
          <w:rFonts w:ascii="Courier New" w:hAnsi="Courier New" w:cs="Courier New"/>
          <w:color w:val="000000"/>
          <w:sz w:val="16"/>
          <w:szCs w:val="16"/>
        </w:rPr>
        <w:br/>
      </w:r>
      <w:r w:rsidRPr="004C4F19">
        <w:rPr>
          <w:rFonts w:ascii="Courier New" w:hAnsi="Courier New" w:cs="Courier New"/>
          <w:color w:val="000000"/>
          <w:sz w:val="16"/>
          <w:szCs w:val="16"/>
          <w:shd w:val="clear" w:color="auto" w:fill="F8F9FA"/>
        </w:rPr>
        <w:t>Q</w:t>
      </w:r>
      <w:r w:rsidRPr="004C4F19">
        <w:rPr>
          <w:rFonts w:ascii="Cambria Math" w:hAnsi="Cambria Math" w:cs="Cambria Math"/>
          <w:color w:val="000000"/>
          <w:sz w:val="16"/>
          <w:szCs w:val="16"/>
          <w:shd w:val="clear" w:color="auto" w:fill="F8F9FA"/>
        </w:rPr>
        <w:t>₁₀</w:t>
      </w:r>
      <w:r w:rsidRPr="004C4F19">
        <w:rPr>
          <w:rFonts w:ascii="Courier New" w:hAnsi="Courier New" w:cs="Courier New"/>
          <w:color w:val="000000"/>
          <w:sz w:val="16"/>
          <w:szCs w:val="16"/>
          <w:shd w:val="clear" w:color="auto" w:fill="F8F9FA"/>
        </w:rPr>
        <w:t xml:space="preserve"> coefficient: k(T+10)/k(T)</w:t>
      </w:r>
      <w:r w:rsidRPr="004C4F19">
        <w:rPr>
          <w:rFonts w:ascii="Courier New" w:hAnsi="Courier New" w:cs="Courier New"/>
          <w:color w:val="000000"/>
          <w:sz w:val="16"/>
          <w:szCs w:val="16"/>
        </w:rPr>
        <w:br/>
      </w:r>
    </w:p>
    <w:p w:rsidR="004C4F19" w:rsidRPr="004C4F19" w:rsidRDefault="004C4F19" w:rsidP="004C4F19">
      <w:pPr>
        <w:spacing w:after="0" w:line="240" w:lineRule="auto"/>
        <w:jc w:val="both"/>
        <w:rPr>
          <w:rFonts w:ascii="Arial" w:eastAsia="Times New Roman" w:hAnsi="Arial" w:cs="Arial"/>
          <w:color w:val="000000" w:themeColor="text1"/>
          <w:sz w:val="16"/>
          <w:szCs w:val="16"/>
          <w:lang w:val="en-GB" w:eastAsia="en-GB"/>
        </w:rPr>
      </w:pPr>
    </w:p>
    <w:p w:rsidR="004C4F19" w:rsidRDefault="004C4F19" w:rsidP="004C4F19">
      <w:pPr>
        <w:spacing w:before="180" w:after="180"/>
        <w:jc w:val="both"/>
        <w:rPr>
          <w:rFonts w:ascii="Times New Roman" w:eastAsia="Aptos" w:hAnsi="Times New Roman" w:cs="Times New Roman"/>
          <w:b/>
          <w:bCs/>
          <w:color w:val="000000" w:themeColor="text1"/>
          <w:sz w:val="20"/>
          <w:szCs w:val="20"/>
        </w:rPr>
      </w:pPr>
      <w:r>
        <w:rPr>
          <w:rFonts w:ascii="Times New Roman" w:eastAsia="Aptos" w:hAnsi="Times New Roman" w:cs="Times New Roman"/>
          <w:b/>
          <w:bCs/>
          <w:noProof/>
          <w:color w:val="000000" w:themeColor="text1"/>
          <w:sz w:val="20"/>
          <w:szCs w:val="20"/>
          <w:lang w:eastAsia="en-US"/>
        </w:rPr>
        <w:lastRenderedPageBreak/>
        <w:drawing>
          <wp:inline distT="0" distB="0" distL="0" distR="0">
            <wp:extent cx="5943600" cy="4260211"/>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5943600" cy="4260211"/>
                    </a:xfrm>
                    <a:prstGeom prst="rect">
                      <a:avLst/>
                    </a:prstGeom>
                    <a:noFill/>
                    <a:ln w="9525">
                      <a:noFill/>
                      <a:miter lim="800000"/>
                      <a:headEnd/>
                      <a:tailEnd/>
                    </a:ln>
                  </pic:spPr>
                </pic:pic>
              </a:graphicData>
            </a:graphic>
          </wp:inline>
        </w:drawing>
      </w:r>
    </w:p>
    <w:p w:rsidR="004C4F19" w:rsidRPr="004C4F19" w:rsidRDefault="004C4F19" w:rsidP="004C4F19">
      <w:pPr>
        <w:spacing w:after="0" w:line="240" w:lineRule="auto"/>
        <w:jc w:val="both"/>
        <w:rPr>
          <w:rFonts w:ascii="Times New Roman" w:eastAsia="Times New Roman" w:hAnsi="Times New Roman" w:cs="Times New Roman"/>
          <w:b/>
          <w:bCs/>
          <w:color w:val="000000" w:themeColor="text1"/>
          <w:sz w:val="14"/>
          <w:lang w:val="en-GB" w:eastAsia="en-GB"/>
        </w:rPr>
      </w:pPr>
      <w:r>
        <w:rPr>
          <w:rFonts w:ascii="Times New Roman" w:hAnsi="Times New Roman" w:cs="Times New Roman"/>
          <w:b/>
          <w:bCs/>
          <w:color w:val="000000" w:themeColor="text1"/>
          <w:sz w:val="21"/>
          <w:szCs w:val="21"/>
          <w:shd w:val="clear" w:color="auto" w:fill="FFFFFF"/>
        </w:rPr>
        <w:t xml:space="preserve">           </w:t>
      </w:r>
      <w:r w:rsidRPr="004C4F19">
        <w:rPr>
          <w:rFonts w:ascii="Times New Roman" w:hAnsi="Times New Roman" w:cs="Times New Roman"/>
          <w:b/>
          <w:bCs/>
          <w:color w:val="000000" w:themeColor="text1"/>
          <w:sz w:val="21"/>
          <w:szCs w:val="21"/>
          <w:shd w:val="clear" w:color="auto" w:fill="FFFFFF"/>
        </w:rPr>
        <w:t>Figure 3: Temperature-Dependent Biodegradation Kinetics and Arrhenius Analysis</w:t>
      </w:r>
    </w:p>
    <w:p w:rsidR="004C4F19" w:rsidRDefault="004C4F19" w:rsidP="004C4F19">
      <w:pPr>
        <w:spacing w:after="0" w:line="240" w:lineRule="auto"/>
        <w:jc w:val="both"/>
        <w:rPr>
          <w:rFonts w:ascii="Arial" w:eastAsia="Times New Roman" w:hAnsi="Arial" w:cs="Arial"/>
          <w:b/>
          <w:bCs/>
          <w:color w:val="000000" w:themeColor="text1"/>
          <w:sz w:val="14"/>
          <w:lang w:val="en-GB" w:eastAsia="en-GB"/>
        </w:rPr>
      </w:pPr>
    </w:p>
    <w:p w:rsidR="004C4F19" w:rsidRPr="004C4F19" w:rsidRDefault="004C4F19" w:rsidP="004C4F19">
      <w:pPr>
        <w:spacing w:after="0" w:line="240" w:lineRule="auto"/>
        <w:jc w:val="both"/>
        <w:rPr>
          <w:rFonts w:ascii="Arial" w:eastAsia="Times New Roman" w:hAnsi="Arial" w:cs="Arial"/>
          <w:color w:val="000000" w:themeColor="text1"/>
          <w:sz w:val="14"/>
          <w:szCs w:val="14"/>
          <w:lang w:val="en-GB" w:eastAsia="en-GB"/>
        </w:rPr>
      </w:pPr>
      <w:r w:rsidRPr="004C4F19">
        <w:rPr>
          <w:rFonts w:ascii="Arial" w:eastAsia="Times New Roman" w:hAnsi="Arial" w:cs="Arial"/>
          <w:b/>
          <w:bCs/>
          <w:color w:val="000000" w:themeColor="text1"/>
          <w:sz w:val="14"/>
          <w:lang w:val="en-GB" w:eastAsia="en-GB"/>
        </w:rPr>
        <w:t>Figure 3.</w:t>
      </w:r>
      <w:r w:rsidRPr="004C4F19">
        <w:rPr>
          <w:rFonts w:ascii="Arial" w:eastAsia="Times New Roman" w:hAnsi="Arial" w:cs="Arial"/>
          <w:color w:val="000000" w:themeColor="text1"/>
          <w:sz w:val="14"/>
          <w:szCs w:val="14"/>
          <w:lang w:val="en-GB" w:eastAsia="en-GB"/>
        </w:rPr>
        <w:t> Temperature-dependent biodegradation kinetics and thermodynamic analysis. </w:t>
      </w:r>
      <w:r w:rsidRPr="004C4F19">
        <w:rPr>
          <w:rFonts w:ascii="Arial" w:eastAsia="Times New Roman" w:hAnsi="Arial" w:cs="Arial"/>
          <w:b/>
          <w:bCs/>
          <w:color w:val="000000" w:themeColor="text1"/>
          <w:sz w:val="14"/>
          <w:lang w:val="en-GB" w:eastAsia="en-GB"/>
        </w:rPr>
        <w:t>(A)</w:t>
      </w:r>
      <w:r w:rsidRPr="004C4F19">
        <w:rPr>
          <w:rFonts w:ascii="Arial" w:eastAsia="Times New Roman" w:hAnsi="Arial" w:cs="Arial"/>
          <w:color w:val="000000" w:themeColor="text1"/>
          <w:sz w:val="14"/>
          <w:szCs w:val="14"/>
          <w:lang w:val="en-GB" w:eastAsia="en-GB"/>
        </w:rPr>
        <w:t> First-order degradation kinetics at four temperatures showing excellent model fits (R² &gt; 0.98). Solid lines represent experimental data, dashed lines show fitted exponential decay models. </w:t>
      </w:r>
      <w:r w:rsidRPr="004C4F19">
        <w:rPr>
          <w:rFonts w:ascii="Arial" w:eastAsia="Times New Roman" w:hAnsi="Arial" w:cs="Arial"/>
          <w:b/>
          <w:bCs/>
          <w:color w:val="000000" w:themeColor="text1"/>
          <w:sz w:val="14"/>
          <w:lang w:val="en-GB" w:eastAsia="en-GB"/>
        </w:rPr>
        <w:t>(B)</w:t>
      </w:r>
      <w:r w:rsidRPr="004C4F19">
        <w:rPr>
          <w:rFonts w:ascii="Arial" w:eastAsia="Times New Roman" w:hAnsi="Arial" w:cs="Arial"/>
          <w:color w:val="000000" w:themeColor="text1"/>
          <w:sz w:val="14"/>
          <w:szCs w:val="14"/>
          <w:lang w:val="en-GB" w:eastAsia="en-GB"/>
        </w:rPr>
        <w:t> Arrhenius plot demonstrating linear relationship between ln(k) and 1000/T, yielding activation energy of 47.3 ± 6.8 kJ/mol, consistent with enzymatic degradation mechanisms. </w:t>
      </w:r>
      <w:r w:rsidRPr="004C4F19">
        <w:rPr>
          <w:rFonts w:ascii="Arial" w:eastAsia="Times New Roman" w:hAnsi="Arial" w:cs="Arial"/>
          <w:b/>
          <w:bCs/>
          <w:color w:val="000000" w:themeColor="text1"/>
          <w:sz w:val="14"/>
          <w:lang w:val="en-GB" w:eastAsia="en-GB"/>
        </w:rPr>
        <w:t>(C)</w:t>
      </w:r>
      <w:r w:rsidRPr="004C4F19">
        <w:rPr>
          <w:rFonts w:ascii="Arial" w:eastAsia="Times New Roman" w:hAnsi="Arial" w:cs="Arial"/>
          <w:color w:val="000000" w:themeColor="text1"/>
          <w:sz w:val="14"/>
          <w:szCs w:val="14"/>
          <w:lang w:val="en-GB" w:eastAsia="en-GB"/>
        </w:rPr>
        <w:t> Temperature dependence of degradation rates with Q</w:t>
      </w:r>
      <w:r w:rsidRPr="004C4F19">
        <w:rPr>
          <w:rFonts w:ascii="Cambria Math" w:eastAsia="Times New Roman" w:hAnsi="Cambria Math" w:cs="Cambria Math"/>
          <w:color w:val="000000" w:themeColor="text1"/>
          <w:sz w:val="14"/>
          <w:szCs w:val="14"/>
          <w:lang w:val="en-GB" w:eastAsia="en-GB"/>
        </w:rPr>
        <w:t>₁₀</w:t>
      </w:r>
      <w:r w:rsidRPr="004C4F19">
        <w:rPr>
          <w:rFonts w:ascii="Arial" w:eastAsia="Times New Roman" w:hAnsi="Arial" w:cs="Arial"/>
          <w:color w:val="000000" w:themeColor="text1"/>
          <w:sz w:val="14"/>
          <w:szCs w:val="14"/>
          <w:lang w:val="en-GB" w:eastAsia="en-GB"/>
        </w:rPr>
        <w:t xml:space="preserve"> coefficient analysis showing mean value of 2.4 ± 0.3, indicating rate doubling to tripling per 10°C temperature increase. Error bars represent standard deviation (n=5).</w:t>
      </w:r>
    </w:p>
    <w:p w:rsidR="004C4F19" w:rsidRPr="004C4F19" w:rsidRDefault="004C4F19" w:rsidP="004C4F19">
      <w:pPr>
        <w:spacing w:after="0" w:line="240" w:lineRule="auto"/>
        <w:jc w:val="both"/>
        <w:rPr>
          <w:rFonts w:ascii="Arial" w:eastAsia="Times New Roman" w:hAnsi="Arial" w:cs="Arial"/>
          <w:color w:val="000000" w:themeColor="text1"/>
          <w:sz w:val="14"/>
          <w:szCs w:val="14"/>
          <w:lang w:val="en-GB" w:eastAsia="en-GB"/>
        </w:rPr>
      </w:pPr>
      <w:r w:rsidRPr="004C4F19">
        <w:rPr>
          <w:rFonts w:ascii="Arial" w:eastAsia="Times New Roman" w:hAnsi="Arial" w:cs="Arial"/>
          <w:b/>
          <w:bCs/>
          <w:color w:val="000000" w:themeColor="text1"/>
          <w:sz w:val="14"/>
          <w:lang w:val="en-GB" w:eastAsia="en-GB"/>
        </w:rPr>
        <w:t>Figure 3.</w:t>
      </w:r>
      <w:r w:rsidRPr="004C4F19">
        <w:rPr>
          <w:rFonts w:ascii="Arial" w:eastAsia="Times New Roman" w:hAnsi="Arial" w:cs="Arial"/>
          <w:color w:val="000000" w:themeColor="text1"/>
          <w:sz w:val="14"/>
          <w:szCs w:val="14"/>
          <w:lang w:val="en-GB" w:eastAsia="en-GB"/>
        </w:rPr>
        <w:t> Temperature-dependent biodegradation kinetics and thermodynamic analysis. </w:t>
      </w:r>
      <w:r w:rsidRPr="004C4F19">
        <w:rPr>
          <w:rFonts w:ascii="Arial" w:eastAsia="Times New Roman" w:hAnsi="Arial" w:cs="Arial"/>
          <w:b/>
          <w:bCs/>
          <w:color w:val="000000" w:themeColor="text1"/>
          <w:sz w:val="14"/>
          <w:lang w:val="en-GB" w:eastAsia="en-GB"/>
        </w:rPr>
        <w:t>(A)</w:t>
      </w:r>
      <w:r w:rsidRPr="004C4F19">
        <w:rPr>
          <w:rFonts w:ascii="Arial" w:eastAsia="Times New Roman" w:hAnsi="Arial" w:cs="Arial"/>
          <w:color w:val="000000" w:themeColor="text1"/>
          <w:sz w:val="14"/>
          <w:szCs w:val="14"/>
          <w:lang w:val="en-GB" w:eastAsia="en-GB"/>
        </w:rPr>
        <w:t> First-order degradation kinetics at four temperatures showing excellent model fits (R² &gt; 0.98). Solid lines represent experimental data, dashed lines show fitted exponential decay models. </w:t>
      </w:r>
      <w:r w:rsidRPr="004C4F19">
        <w:rPr>
          <w:rFonts w:ascii="Arial" w:eastAsia="Times New Roman" w:hAnsi="Arial" w:cs="Arial"/>
          <w:b/>
          <w:bCs/>
          <w:color w:val="000000" w:themeColor="text1"/>
          <w:sz w:val="14"/>
          <w:lang w:val="en-GB" w:eastAsia="en-GB"/>
        </w:rPr>
        <w:t>(B)</w:t>
      </w:r>
      <w:r w:rsidRPr="004C4F19">
        <w:rPr>
          <w:rFonts w:ascii="Arial" w:eastAsia="Times New Roman" w:hAnsi="Arial" w:cs="Arial"/>
          <w:color w:val="000000" w:themeColor="text1"/>
          <w:sz w:val="14"/>
          <w:szCs w:val="14"/>
          <w:lang w:val="en-GB" w:eastAsia="en-GB"/>
        </w:rPr>
        <w:t> Arrhenius plot demonstrating linear relationship between ln(k) and 1000/T, yielding activation energy of 47.3 ± 6.8 kJ/mol, consistent with enzymatic degradation mechanisms. </w:t>
      </w:r>
      <w:r w:rsidRPr="004C4F19">
        <w:rPr>
          <w:rFonts w:ascii="Arial" w:eastAsia="Times New Roman" w:hAnsi="Arial" w:cs="Arial"/>
          <w:b/>
          <w:bCs/>
          <w:color w:val="000000" w:themeColor="text1"/>
          <w:sz w:val="14"/>
          <w:lang w:val="en-GB" w:eastAsia="en-GB"/>
        </w:rPr>
        <w:t>(C)</w:t>
      </w:r>
      <w:r w:rsidRPr="004C4F19">
        <w:rPr>
          <w:rFonts w:ascii="Arial" w:eastAsia="Times New Roman" w:hAnsi="Arial" w:cs="Arial"/>
          <w:color w:val="000000" w:themeColor="text1"/>
          <w:sz w:val="14"/>
          <w:szCs w:val="14"/>
          <w:lang w:val="en-GB" w:eastAsia="en-GB"/>
        </w:rPr>
        <w:t> Temperature dependence of degradation rates with Q</w:t>
      </w:r>
      <w:r w:rsidRPr="004C4F19">
        <w:rPr>
          <w:rFonts w:ascii="Cambria Math" w:eastAsia="Times New Roman" w:hAnsi="Cambria Math" w:cs="Cambria Math"/>
          <w:color w:val="000000" w:themeColor="text1"/>
          <w:sz w:val="14"/>
          <w:szCs w:val="14"/>
          <w:lang w:val="en-GB" w:eastAsia="en-GB"/>
        </w:rPr>
        <w:t>₁₀</w:t>
      </w:r>
      <w:r w:rsidRPr="004C4F19">
        <w:rPr>
          <w:rFonts w:ascii="Arial" w:eastAsia="Times New Roman" w:hAnsi="Arial" w:cs="Arial"/>
          <w:color w:val="000000" w:themeColor="text1"/>
          <w:sz w:val="14"/>
          <w:szCs w:val="14"/>
          <w:lang w:val="en-GB" w:eastAsia="en-GB"/>
        </w:rPr>
        <w:t xml:space="preserve"> coefficient analysis showing mean value of 2.4 ± 0.3, indicating rate doubling to tripling per 10°C temperature increase. Error bars represent standard deviation (n=5).</w:t>
      </w:r>
    </w:p>
    <w:p w:rsidR="00653F86" w:rsidRPr="002C45AD" w:rsidRDefault="00BD4C4F">
      <w:pPr>
        <w:spacing w:before="180" w:after="180"/>
        <w:jc w:val="both"/>
        <w:rPr>
          <w:rFonts w:ascii="Times New Roman" w:hAnsi="Times New Roman" w:cs="Times New Roman"/>
          <w:sz w:val="20"/>
          <w:szCs w:val="20"/>
        </w:rPr>
      </w:pPr>
      <w:r w:rsidRPr="002C45AD">
        <w:rPr>
          <w:rFonts w:ascii="Times New Roman" w:eastAsia="Aptos" w:hAnsi="Times New Roman" w:cs="Times New Roman"/>
          <w:b/>
          <w:bCs/>
          <w:sz w:val="20"/>
          <w:szCs w:val="20"/>
        </w:rPr>
        <w:t>Table 1: Removal Efficiency of Emerging Contaminants by Conventional Treatment Methods</w:t>
      </w: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1882"/>
        <w:gridCol w:w="1802"/>
        <w:gridCol w:w="1882"/>
        <w:gridCol w:w="1882"/>
        <w:gridCol w:w="1911"/>
      </w:tblGrid>
      <w:tr w:rsidR="00653F86" w:rsidRPr="002C45AD">
        <w:trPr>
          <w:trHeight w:val="300"/>
        </w:trPr>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Contaminant Type</w:t>
            </w:r>
          </w:p>
        </w:tc>
        <w:tc>
          <w:tcPr>
            <w:tcW w:w="180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Examples</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Conventional Treatment</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Removal Efficiency (%)</w:t>
            </w:r>
          </w:p>
        </w:tc>
        <w:tc>
          <w:tcPr>
            <w:tcW w:w="1911"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Environmental Impact</w:t>
            </w:r>
          </w:p>
        </w:tc>
      </w:tr>
      <w:tr w:rsidR="00653F86" w:rsidRPr="002C45AD">
        <w:trPr>
          <w:trHeight w:val="300"/>
        </w:trPr>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Pharmaceuticals</w:t>
            </w:r>
          </w:p>
        </w:tc>
        <w:tc>
          <w:tcPr>
            <w:tcW w:w="180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Antibiotics, NSAIDs</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Biological treatment</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10-30</w:t>
            </w:r>
          </w:p>
        </w:tc>
        <w:tc>
          <w:tcPr>
            <w:tcW w:w="1911"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Antibiotic resistance</w:t>
            </w:r>
          </w:p>
        </w:tc>
      </w:tr>
      <w:tr w:rsidR="00653F86" w:rsidRPr="002C45AD">
        <w:trPr>
          <w:trHeight w:val="300"/>
        </w:trPr>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Microplastics</w:t>
            </w:r>
          </w:p>
        </w:tc>
        <w:tc>
          <w:tcPr>
            <w:tcW w:w="180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PE, PP, PET particles</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Sedimentation</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20-40</w:t>
            </w:r>
          </w:p>
        </w:tc>
        <w:tc>
          <w:tcPr>
            <w:tcW w:w="1911"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Bioaccumulation</w:t>
            </w:r>
          </w:p>
        </w:tc>
      </w:tr>
      <w:tr w:rsidR="00653F86" w:rsidRPr="002C45AD">
        <w:trPr>
          <w:trHeight w:val="300"/>
        </w:trPr>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EDCs</w:t>
            </w:r>
          </w:p>
        </w:tc>
        <w:tc>
          <w:tcPr>
            <w:tcW w:w="180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BPA, Phthalates</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Chlorination</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15-35</w:t>
            </w:r>
          </w:p>
        </w:tc>
        <w:tc>
          <w:tcPr>
            <w:tcW w:w="1911"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Hormonal disruption</w:t>
            </w:r>
          </w:p>
        </w:tc>
      </w:tr>
      <w:tr w:rsidR="00653F86" w:rsidRPr="002C45AD">
        <w:trPr>
          <w:trHeight w:val="300"/>
        </w:trPr>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Personal care products</w:t>
            </w:r>
          </w:p>
        </w:tc>
        <w:tc>
          <w:tcPr>
            <w:tcW w:w="180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Triclosan, Parabens</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Activated sludge</w:t>
            </w:r>
          </w:p>
        </w:tc>
        <w:tc>
          <w:tcPr>
            <w:tcW w:w="1882"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25-45</w:t>
            </w:r>
          </w:p>
        </w:tc>
        <w:tc>
          <w:tcPr>
            <w:tcW w:w="1911" w:type="dxa"/>
          </w:tcPr>
          <w:p w:rsidR="00653F86" w:rsidRPr="002C45AD" w:rsidRDefault="00BD4C4F">
            <w:pPr>
              <w:spacing w:after="0" w:line="240" w:lineRule="auto"/>
              <w:rPr>
                <w:rFonts w:ascii="Times New Roman" w:eastAsia="Aptos" w:hAnsi="Times New Roman" w:cs="Times New Roman"/>
                <w:sz w:val="20"/>
                <w:szCs w:val="20"/>
              </w:rPr>
            </w:pPr>
            <w:r w:rsidRPr="002C45AD">
              <w:rPr>
                <w:rFonts w:ascii="Times New Roman" w:hAnsi="Times New Roman" w:cs="Times New Roman"/>
                <w:sz w:val="20"/>
                <w:szCs w:val="20"/>
              </w:rPr>
              <w:t>Aquatic toxicity</w:t>
            </w:r>
          </w:p>
        </w:tc>
      </w:tr>
    </w:tbl>
    <w:p w:rsidR="0048721B" w:rsidRDefault="0048721B">
      <w:pPr>
        <w:spacing w:before="180" w:after="180"/>
        <w:jc w:val="both"/>
        <w:rPr>
          <w:rFonts w:ascii="Times New Roman" w:eastAsia="Aptos" w:hAnsi="Times New Roman" w:cs="Times New Roman"/>
          <w:b/>
          <w:bCs/>
          <w:sz w:val="20"/>
          <w:szCs w:val="20"/>
        </w:rPr>
      </w:pPr>
    </w:p>
    <w:p w:rsidR="004C4F19" w:rsidRDefault="004C4F19">
      <w:pPr>
        <w:spacing w:before="180" w:after="180"/>
        <w:jc w:val="both"/>
        <w:rPr>
          <w:rFonts w:ascii="Times New Roman" w:eastAsia="Aptos" w:hAnsi="Times New Roman" w:cs="Times New Roman"/>
          <w:b/>
          <w:bCs/>
          <w:sz w:val="20"/>
          <w:szCs w:val="20"/>
        </w:rPr>
      </w:pPr>
    </w:p>
    <w:p w:rsidR="00653F86" w:rsidRPr="00496622" w:rsidRDefault="00BD4C4F" w:rsidP="0048721B">
      <w:pPr>
        <w:spacing w:line="360" w:lineRule="auto"/>
        <w:jc w:val="both"/>
        <w:rPr>
          <w:rFonts w:ascii="Times New Roman" w:hAnsi="Times New Roman" w:cs="Times New Roman"/>
          <w:b/>
          <w:sz w:val="20"/>
          <w:szCs w:val="20"/>
        </w:rPr>
      </w:pPr>
      <w:r w:rsidRPr="00496622">
        <w:rPr>
          <w:rFonts w:ascii="Times New Roman" w:hAnsi="Times New Roman" w:cs="Times New Roman"/>
          <w:b/>
          <w:sz w:val="20"/>
          <w:szCs w:val="20"/>
        </w:rPr>
        <w:lastRenderedPageBreak/>
        <w:t>2. Green Synthesis Approaches for Nanocomposites</w:t>
      </w:r>
    </w:p>
    <w:p w:rsidR="00653F86" w:rsidRPr="0048721B" w:rsidRDefault="00BD4C4F" w:rsidP="0048721B">
      <w:pPr>
        <w:spacing w:line="360" w:lineRule="auto"/>
        <w:jc w:val="both"/>
        <w:rPr>
          <w:rFonts w:ascii="Times New Roman" w:hAnsi="Times New Roman" w:cs="Times New Roman"/>
          <w:sz w:val="20"/>
          <w:szCs w:val="20"/>
        </w:rPr>
      </w:pPr>
      <w:r w:rsidRPr="0048721B">
        <w:rPr>
          <w:rFonts w:ascii="Times New Roman" w:hAnsi="Times New Roman" w:cs="Times New Roman"/>
          <w:sz w:val="20"/>
          <w:szCs w:val="20"/>
        </w:rPr>
        <w:t xml:space="preserve">2.1 Plant-Based Synthesis Methods Biodegradable nanocomposites were synthesized using cellulose nanocrystals (CNCs) derived from agricultural </w:t>
      </w:r>
      <w:r w:rsidR="00496622" w:rsidRPr="0048721B">
        <w:rPr>
          <w:rFonts w:ascii="Times New Roman" w:hAnsi="Times New Roman" w:cs="Times New Roman"/>
          <w:sz w:val="20"/>
          <w:szCs w:val="20"/>
        </w:rPr>
        <w:t>waste</w:t>
      </w:r>
      <w:r w:rsidRPr="0048721B">
        <w:rPr>
          <w:rFonts w:ascii="Times New Roman" w:hAnsi="Times New Roman" w:cs="Times New Roman"/>
          <w:sz w:val="20"/>
          <w:szCs w:val="20"/>
        </w:rPr>
        <w:t xml:space="preserve"> embedded with metal oxide nanoparticles (e.g., ZnO, TiO2) and functionalized with phytochemicals such as polyphenols from green tea extract.</w:t>
      </w:r>
    </w:p>
    <w:p w:rsidR="00653F86" w:rsidRPr="00496622" w:rsidRDefault="00BD4C4F" w:rsidP="0048721B">
      <w:pPr>
        <w:spacing w:line="360" w:lineRule="auto"/>
        <w:jc w:val="both"/>
        <w:rPr>
          <w:rFonts w:ascii="Times New Roman" w:hAnsi="Times New Roman" w:cs="Times New Roman"/>
          <w:b/>
          <w:sz w:val="20"/>
          <w:szCs w:val="20"/>
        </w:rPr>
      </w:pPr>
      <w:r w:rsidRPr="00496622">
        <w:rPr>
          <w:rFonts w:ascii="Times New Roman" w:hAnsi="Times New Roman" w:cs="Times New Roman"/>
          <w:b/>
          <w:sz w:val="20"/>
          <w:szCs w:val="20"/>
        </w:rPr>
        <w:t>2.1 Plant-Based Synthesis Methods</w:t>
      </w:r>
    </w:p>
    <w:p w:rsidR="00653F86" w:rsidRPr="0048721B" w:rsidRDefault="00BD4C4F" w:rsidP="0048721B">
      <w:pPr>
        <w:spacing w:line="360" w:lineRule="auto"/>
        <w:jc w:val="both"/>
        <w:rPr>
          <w:rFonts w:ascii="Times New Roman" w:hAnsi="Times New Roman" w:cs="Times New Roman"/>
          <w:sz w:val="20"/>
          <w:szCs w:val="20"/>
        </w:rPr>
      </w:pPr>
      <w:r w:rsidRPr="0048721B">
        <w:rPr>
          <w:rFonts w:ascii="Times New Roman" w:hAnsi="Times New Roman" w:cs="Times New Roman"/>
          <w:sz w:val="20"/>
          <w:szCs w:val="20"/>
        </w:rPr>
        <w:t>Biodegradable nanocomposites synthesized via plant-based approaches represent a transformative direction in sustainable nanotechnology. These methods leverage naturally occurring phytochemicals as reducing, capping, and stabilizing agents for the synthesis of metal and metal oxide nanoparticles, eliminating the need for toxic precursors and hazardous solvents. A prominent example includes the use of cellulose nanocrystals (CNCs), extracted from agricultural residues such as rice husks, sugarcane bagasse, and banana peels, which serve as renewable biopolymeric matrices. These CNCs are often embedded with metal oxide nanoparticles like zinc oxide (ZnO), titanium dioxide (TiO₂), or iron oxide (Fe₃O₄) to enhance catalytic and adsorptive capabilities.</w:t>
      </w:r>
    </w:p>
    <w:p w:rsidR="00653F86" w:rsidRPr="0048721B" w:rsidRDefault="00BD4C4F" w:rsidP="0048721B">
      <w:pPr>
        <w:spacing w:line="360" w:lineRule="auto"/>
        <w:jc w:val="both"/>
        <w:rPr>
          <w:rFonts w:ascii="Times New Roman" w:hAnsi="Times New Roman" w:cs="Times New Roman"/>
          <w:sz w:val="20"/>
          <w:szCs w:val="20"/>
        </w:rPr>
      </w:pPr>
      <w:r w:rsidRPr="0048721B">
        <w:rPr>
          <w:rFonts w:ascii="Times New Roman" w:hAnsi="Times New Roman" w:cs="Times New Roman"/>
          <w:sz w:val="20"/>
          <w:szCs w:val="20"/>
        </w:rPr>
        <w:t>The phytochemical constituents extracted from plants such as polyphenols, flavonoids, alkaloids, and terpenoidsplay a critical role in the in-situ reduction of metal ions and subsequent nanoparticle stabilization. For example, green tea (Camellia sinensis) extract, rich in catechins and tannins, has been effectively used to reduce Zn²⁺ and Ti⁴⁺ ions to form uniformly dispersed nanoparticles within biopolymer networks (Liu et al., 2024). Similarly, Moringa oleifera leaf extract, containing water-soluble antioxidants, has been shown to yield ZnO/cellulose nanocomposites with high affinity for endocrine-disrupting compounds like bisphenol A (Patel et al., 2023).</w:t>
      </w:r>
    </w:p>
    <w:p w:rsidR="00653F86" w:rsidRPr="0048721B" w:rsidRDefault="00BD4C4F" w:rsidP="0048721B">
      <w:pPr>
        <w:spacing w:line="360" w:lineRule="auto"/>
        <w:jc w:val="both"/>
        <w:rPr>
          <w:rFonts w:ascii="Times New Roman" w:hAnsi="Times New Roman" w:cs="Times New Roman"/>
          <w:sz w:val="20"/>
          <w:szCs w:val="20"/>
        </w:rPr>
      </w:pPr>
      <w:r w:rsidRPr="0048721B">
        <w:rPr>
          <w:rFonts w:ascii="Times New Roman" w:hAnsi="Times New Roman" w:cs="Times New Roman"/>
          <w:sz w:val="20"/>
          <w:szCs w:val="20"/>
        </w:rPr>
        <w:t>These plant-derived nanomaterials exhibit excellent surface functionality, enabling multiple interactions with emerging contaminants through hydrogen bonding, π-π stacking, electrostatic attraction, and coordination complexation. Furthermore, the nanocomposite matrices are often endowed with antimicrobial, antioxidant, and photoreactive properties, which enhance their dual functionality for both pollutant removal and microbial control in wastewater.</w:t>
      </w:r>
    </w:p>
    <w:p w:rsidR="00653F86" w:rsidRPr="0048721B" w:rsidRDefault="00BD4C4F" w:rsidP="0048721B">
      <w:pPr>
        <w:spacing w:line="360" w:lineRule="auto"/>
        <w:jc w:val="both"/>
        <w:rPr>
          <w:rFonts w:ascii="Times New Roman" w:hAnsi="Times New Roman" w:cs="Times New Roman"/>
          <w:sz w:val="20"/>
          <w:szCs w:val="20"/>
        </w:rPr>
      </w:pPr>
      <w:r w:rsidRPr="0048721B">
        <w:rPr>
          <w:rFonts w:ascii="Times New Roman" w:hAnsi="Times New Roman" w:cs="Times New Roman"/>
          <w:sz w:val="20"/>
          <w:szCs w:val="20"/>
        </w:rPr>
        <w:t>Importantly, these biosynthetic protocols offer significant advantages in terms of cost, energy efficiency, and environmental compatibility. They are typically conducted at ambient temperatures and pressures, require no inert atmosphere, and produce minimal waste. Moreover, because the raw materials are often sourced from locally available biomass or agro-waste, this strategy supports the valorization of waste into high-value remediation tools, contributing to circular economy goals in both developed and resource-constrained settings.</w:t>
      </w:r>
    </w:p>
    <w:p w:rsidR="00653F86" w:rsidRPr="0048721B" w:rsidRDefault="00BD4C4F" w:rsidP="0048721B">
      <w:pPr>
        <w:spacing w:line="360" w:lineRule="auto"/>
        <w:jc w:val="both"/>
        <w:rPr>
          <w:rFonts w:ascii="Times New Roman" w:hAnsi="Times New Roman" w:cs="Times New Roman"/>
          <w:sz w:val="20"/>
          <w:szCs w:val="20"/>
        </w:rPr>
      </w:pPr>
      <w:r w:rsidRPr="0048721B">
        <w:rPr>
          <w:rFonts w:ascii="Times New Roman" w:hAnsi="Times New Roman" w:cs="Times New Roman"/>
          <w:sz w:val="20"/>
          <w:szCs w:val="20"/>
        </w:rPr>
        <w:t>Characterization studies have confirmed that the morphology, crystallinity, and surface charge of these green nanocomposites can be fine-tuned by altering the type of plant extract, metal precursor concentration, and reaction conditions. Such control allows for the customization of nanocomposites tailored to specific contaminants ranging from hydrophobic microplastics to hydrophilic pharmaceutical residues. As a result, plant-based synthesis has evolved into a promising green route for developing multifunctional nanomaterials that combine biodegradability, reactivity, and Regener ability, thereby advancing the next generation of sustainable water treatment technologies.</w:t>
      </w:r>
    </w:p>
    <w:p w:rsidR="00653F86" w:rsidRPr="0048721B" w:rsidRDefault="00653F86" w:rsidP="0048721B">
      <w:pPr>
        <w:spacing w:line="360" w:lineRule="auto"/>
        <w:jc w:val="both"/>
        <w:rPr>
          <w:rFonts w:ascii="Times New Roman" w:hAnsi="Times New Roman" w:cs="Times New Roman"/>
          <w:sz w:val="20"/>
          <w:szCs w:val="20"/>
        </w:rPr>
      </w:pPr>
    </w:p>
    <w:p w:rsidR="00653F86" w:rsidRPr="00CE5E9C" w:rsidRDefault="00BD4C4F">
      <w:pPr>
        <w:spacing w:before="180" w:after="180"/>
        <w:jc w:val="both"/>
        <w:rPr>
          <w:rFonts w:ascii="Times New Roman" w:hAnsi="Times New Roman" w:cs="Times New Roman"/>
          <w:sz w:val="20"/>
          <w:szCs w:val="20"/>
        </w:rPr>
      </w:pPr>
      <w:r w:rsidRPr="00CE5E9C">
        <w:rPr>
          <w:rFonts w:ascii="Times New Roman" w:eastAsia="Aptos" w:hAnsi="Times New Roman" w:cs="Times New Roman"/>
          <w:b/>
          <w:bCs/>
          <w:sz w:val="20"/>
          <w:szCs w:val="20"/>
        </w:rPr>
        <w:t>Table 2: Plant-Based Synthesis of Nanocomposites for Contaminant Removal</w:t>
      </w: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1463"/>
        <w:gridCol w:w="1729"/>
        <w:gridCol w:w="1542"/>
        <w:gridCol w:w="1859"/>
        <w:gridCol w:w="1225"/>
        <w:gridCol w:w="1542"/>
      </w:tblGrid>
      <w:tr w:rsidR="00653F86" w:rsidRPr="00CE5E9C">
        <w:trPr>
          <w:trHeight w:val="300"/>
        </w:trPr>
        <w:tc>
          <w:tcPr>
            <w:tcW w:w="1463"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Plant Source</w:t>
            </w:r>
          </w:p>
        </w:tc>
        <w:tc>
          <w:tcPr>
            <w:tcW w:w="172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Nanocomposite Type</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Target Contaminant</w:t>
            </w:r>
          </w:p>
        </w:tc>
        <w:tc>
          <w:tcPr>
            <w:tcW w:w="185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Removal Efficiency (%)</w:t>
            </w:r>
          </w:p>
        </w:tc>
        <w:tc>
          <w:tcPr>
            <w:tcW w:w="1225"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Synthesis Time</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Reference</w:t>
            </w:r>
          </w:p>
        </w:tc>
      </w:tr>
      <w:tr w:rsidR="00653F86" w:rsidRPr="00CE5E9C">
        <w:trPr>
          <w:trHeight w:val="300"/>
        </w:trPr>
        <w:tc>
          <w:tcPr>
            <w:tcW w:w="1463"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Green tea extract</w:t>
            </w:r>
          </w:p>
        </w:tc>
        <w:tc>
          <w:tcPr>
            <w:tcW w:w="172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Fe₃O₄/Chitosan</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Tetracycline</w:t>
            </w:r>
          </w:p>
        </w:tc>
        <w:tc>
          <w:tcPr>
            <w:tcW w:w="185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94.2</w:t>
            </w:r>
          </w:p>
        </w:tc>
        <w:tc>
          <w:tcPr>
            <w:tcW w:w="1225"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2 hours</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Liu et al., 2024</w:t>
            </w:r>
          </w:p>
        </w:tc>
      </w:tr>
      <w:tr w:rsidR="00653F86" w:rsidRPr="00CE5E9C">
        <w:trPr>
          <w:trHeight w:val="300"/>
        </w:trPr>
        <w:tc>
          <w:tcPr>
            <w:tcW w:w="1463"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Moringa oleifera</w:t>
            </w:r>
          </w:p>
        </w:tc>
        <w:tc>
          <w:tcPr>
            <w:tcW w:w="172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ZnO/Cellulose</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BPA</w:t>
            </w:r>
          </w:p>
        </w:tc>
        <w:tc>
          <w:tcPr>
            <w:tcW w:w="185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89.7</w:t>
            </w:r>
          </w:p>
        </w:tc>
        <w:tc>
          <w:tcPr>
            <w:tcW w:w="1225"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3 hours</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Patel et al., 2023</w:t>
            </w:r>
          </w:p>
        </w:tc>
      </w:tr>
      <w:tr w:rsidR="00653F86" w:rsidRPr="00CE5E9C">
        <w:trPr>
          <w:trHeight w:val="300"/>
        </w:trPr>
        <w:tc>
          <w:tcPr>
            <w:tcW w:w="1463"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Aloe vera</w:t>
            </w:r>
          </w:p>
        </w:tc>
        <w:tc>
          <w:tcPr>
            <w:tcW w:w="172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TiO₂/Alginate</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Microplastics</w:t>
            </w:r>
          </w:p>
        </w:tc>
        <w:tc>
          <w:tcPr>
            <w:tcW w:w="185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91.5</w:t>
            </w:r>
          </w:p>
        </w:tc>
        <w:tc>
          <w:tcPr>
            <w:tcW w:w="1225"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1.5 hours</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Chen et al., 2024</w:t>
            </w:r>
          </w:p>
        </w:tc>
      </w:tr>
      <w:tr w:rsidR="00653F86" w:rsidRPr="00CE5E9C">
        <w:trPr>
          <w:trHeight w:val="300"/>
        </w:trPr>
        <w:tc>
          <w:tcPr>
            <w:tcW w:w="1463"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Neem leaves</w:t>
            </w:r>
          </w:p>
        </w:tc>
        <w:tc>
          <w:tcPr>
            <w:tcW w:w="172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CuO/Starch</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Ibuprofen</w:t>
            </w:r>
          </w:p>
        </w:tc>
        <w:tc>
          <w:tcPr>
            <w:tcW w:w="1859"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87.3</w:t>
            </w:r>
          </w:p>
        </w:tc>
        <w:tc>
          <w:tcPr>
            <w:tcW w:w="1225"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2.5 hours</w:t>
            </w:r>
          </w:p>
        </w:tc>
        <w:tc>
          <w:tcPr>
            <w:tcW w:w="1542" w:type="dxa"/>
          </w:tcPr>
          <w:p w:rsidR="00653F86" w:rsidRPr="00CE5E9C" w:rsidRDefault="00BD4C4F">
            <w:pPr>
              <w:spacing w:after="0" w:line="240" w:lineRule="auto"/>
              <w:rPr>
                <w:rFonts w:ascii="Times New Roman" w:eastAsia="Aptos" w:hAnsi="Times New Roman" w:cs="Times New Roman"/>
                <w:sz w:val="20"/>
                <w:szCs w:val="20"/>
              </w:rPr>
            </w:pPr>
            <w:r w:rsidRPr="00CE5E9C">
              <w:rPr>
                <w:rFonts w:ascii="Times New Roman" w:hAnsi="Times New Roman" w:cs="Times New Roman"/>
                <w:sz w:val="20"/>
                <w:szCs w:val="20"/>
              </w:rPr>
              <w:t>Singh et al., 2023</w:t>
            </w:r>
          </w:p>
        </w:tc>
      </w:tr>
    </w:tbl>
    <w:p w:rsidR="00653F86" w:rsidRPr="00CE5E9C" w:rsidRDefault="00653F86">
      <w:pPr>
        <w:spacing w:before="180" w:after="180"/>
        <w:jc w:val="both"/>
        <w:rPr>
          <w:rFonts w:ascii="Times New Roman" w:eastAsia="Aptos" w:hAnsi="Times New Roman" w:cs="Times New Roman"/>
          <w:b/>
          <w:bCs/>
          <w:sz w:val="20"/>
          <w:szCs w:val="20"/>
        </w:rPr>
      </w:pPr>
    </w:p>
    <w:p w:rsidR="00653F86" w:rsidRPr="00CE5E9C" w:rsidRDefault="00BD4C4F">
      <w:pPr>
        <w:spacing w:before="180" w:after="180"/>
        <w:jc w:val="both"/>
        <w:rPr>
          <w:rFonts w:ascii="Times New Roman" w:hAnsi="Times New Roman" w:cs="Times New Roman"/>
          <w:sz w:val="20"/>
          <w:szCs w:val="20"/>
        </w:rPr>
      </w:pPr>
      <w:r w:rsidRPr="00CE5E9C">
        <w:rPr>
          <w:rFonts w:ascii="Times New Roman" w:eastAsia="Aptos" w:hAnsi="Times New Roman" w:cs="Times New Roman"/>
          <w:b/>
          <w:bCs/>
          <w:sz w:val="20"/>
          <w:szCs w:val="20"/>
        </w:rPr>
        <w:t>3. Characterization and Properties</w:t>
      </w:r>
    </w:p>
    <w:p w:rsidR="00653F86" w:rsidRPr="00CE5E9C" w:rsidRDefault="00BD4C4F">
      <w:pPr>
        <w:spacing w:before="180" w:after="180"/>
        <w:jc w:val="both"/>
        <w:rPr>
          <w:rFonts w:ascii="Times New Roman" w:hAnsi="Times New Roman" w:cs="Times New Roman"/>
          <w:sz w:val="20"/>
          <w:szCs w:val="20"/>
        </w:rPr>
      </w:pPr>
      <w:r w:rsidRPr="00CE5E9C">
        <w:rPr>
          <w:rFonts w:ascii="Times New Roman" w:eastAsia="Aptos" w:hAnsi="Times New Roman" w:cs="Times New Roman"/>
          <w:b/>
          <w:bCs/>
          <w:sz w:val="20"/>
          <w:szCs w:val="20"/>
        </w:rPr>
        <w:t>Table 3: Key Characterization Parameters for Eco-Friendly Nanocomposites</w:t>
      </w:r>
    </w:p>
    <w:tbl>
      <w:tblPr>
        <w:tblStyle w:val="PlainTable1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2152"/>
        <w:gridCol w:w="1235"/>
        <w:gridCol w:w="1675"/>
        <w:gridCol w:w="4297"/>
      </w:tblGrid>
      <w:tr w:rsidR="00653F86" w:rsidRPr="00CE5E9C" w:rsidTr="00653F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2"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Parameter</w:t>
            </w:r>
          </w:p>
        </w:tc>
        <w:tc>
          <w:tcPr>
            <w:tcW w:w="1235" w:type="dxa"/>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5E9C">
              <w:rPr>
                <w:rFonts w:ascii="Times New Roman" w:hAnsi="Times New Roman" w:cs="Times New Roman"/>
                <w:sz w:val="20"/>
                <w:szCs w:val="20"/>
              </w:rPr>
              <w:t>Technique</w:t>
            </w:r>
          </w:p>
        </w:tc>
        <w:tc>
          <w:tcPr>
            <w:tcW w:w="1675" w:type="dxa"/>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5E9C">
              <w:rPr>
                <w:rFonts w:ascii="Times New Roman" w:hAnsi="Times New Roman" w:cs="Times New Roman"/>
                <w:sz w:val="20"/>
                <w:szCs w:val="20"/>
              </w:rPr>
              <w:t>Typical Range</w:t>
            </w:r>
          </w:p>
        </w:tc>
        <w:tc>
          <w:tcPr>
            <w:tcW w:w="4297" w:type="dxa"/>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5E9C">
              <w:rPr>
                <w:rFonts w:ascii="Times New Roman" w:hAnsi="Times New Roman" w:cs="Times New Roman"/>
                <w:sz w:val="20"/>
                <w:szCs w:val="20"/>
              </w:rPr>
              <w:t>Significance</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2152"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Particle size</w:t>
            </w:r>
          </w:p>
        </w:tc>
        <w:tc>
          <w:tcPr>
            <w:tcW w:w="123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DLS, TEM</w:t>
            </w:r>
          </w:p>
        </w:tc>
        <w:tc>
          <w:tcPr>
            <w:tcW w:w="167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10-100 nm</w:t>
            </w:r>
          </w:p>
        </w:tc>
        <w:tc>
          <w:tcPr>
            <w:tcW w:w="4297"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Affects surface area and reactivity</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2152"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Surface area</w:t>
            </w:r>
          </w:p>
        </w:tc>
        <w:tc>
          <w:tcPr>
            <w:tcW w:w="123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BET</w:t>
            </w:r>
          </w:p>
        </w:tc>
        <w:tc>
          <w:tcPr>
            <w:tcW w:w="167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50-300 m²/g</w:t>
            </w:r>
          </w:p>
        </w:tc>
        <w:tc>
          <w:tcPr>
            <w:tcW w:w="4297"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rPr>
            </w:pPr>
            <w:r w:rsidRPr="00CE5E9C">
              <w:rPr>
                <w:rFonts w:ascii="Times New Roman" w:hAnsi="Times New Roman" w:cs="Times New Roman"/>
                <w:sz w:val="20"/>
                <w:szCs w:val="20"/>
              </w:rPr>
              <w:t>Determines adsorption capacity</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2152"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Zeta potential</w:t>
            </w:r>
          </w:p>
        </w:tc>
        <w:tc>
          <w:tcPr>
            <w:tcW w:w="123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ELS</w:t>
            </w:r>
          </w:p>
        </w:tc>
        <w:tc>
          <w:tcPr>
            <w:tcW w:w="167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±30-50 mV</w:t>
            </w:r>
          </w:p>
        </w:tc>
        <w:tc>
          <w:tcPr>
            <w:tcW w:w="4297"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Indicates stability</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2152"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Crystallinity</w:t>
            </w:r>
          </w:p>
        </w:tc>
        <w:tc>
          <w:tcPr>
            <w:tcW w:w="123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XRD</w:t>
            </w:r>
          </w:p>
        </w:tc>
        <w:tc>
          <w:tcPr>
            <w:tcW w:w="167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Variable</w:t>
            </w:r>
          </w:p>
        </w:tc>
        <w:tc>
          <w:tcPr>
            <w:tcW w:w="4297"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Influences catalytic activity</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2152"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Functional groups</w:t>
            </w:r>
          </w:p>
        </w:tc>
        <w:tc>
          <w:tcPr>
            <w:tcW w:w="123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FTIR</w:t>
            </w:r>
          </w:p>
        </w:tc>
        <w:tc>
          <w:tcPr>
            <w:tcW w:w="167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N/A</w:t>
            </w:r>
          </w:p>
        </w:tc>
        <w:tc>
          <w:tcPr>
            <w:tcW w:w="4297"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Confirms surface modification</w:t>
            </w:r>
          </w:p>
        </w:tc>
      </w:tr>
    </w:tbl>
    <w:p w:rsidR="001C6348" w:rsidRDefault="001C6348">
      <w:pPr>
        <w:spacing w:before="180" w:after="180"/>
        <w:jc w:val="both"/>
        <w:rPr>
          <w:rFonts w:ascii="Times New Roman" w:eastAsia="Aptos" w:hAnsi="Times New Roman" w:cs="Times New Roman"/>
          <w:b/>
          <w:bCs/>
          <w:sz w:val="20"/>
          <w:szCs w:val="20"/>
        </w:rPr>
      </w:pPr>
    </w:p>
    <w:p w:rsidR="004C4F19" w:rsidRPr="00CE5E9C" w:rsidRDefault="004C4F19">
      <w:pPr>
        <w:spacing w:before="180" w:after="180"/>
        <w:jc w:val="both"/>
        <w:rPr>
          <w:rFonts w:ascii="Times New Roman" w:eastAsia="Aptos" w:hAnsi="Times New Roman" w:cs="Times New Roman"/>
          <w:b/>
          <w:bCs/>
          <w:sz w:val="20"/>
          <w:szCs w:val="20"/>
        </w:rPr>
      </w:pPr>
    </w:p>
    <w:p w:rsidR="00653F86" w:rsidRPr="00CE5E9C" w:rsidRDefault="00BD4C4F">
      <w:pPr>
        <w:spacing w:before="180" w:after="180"/>
        <w:jc w:val="both"/>
        <w:rPr>
          <w:rFonts w:ascii="Times New Roman" w:hAnsi="Times New Roman" w:cs="Times New Roman"/>
          <w:sz w:val="20"/>
          <w:szCs w:val="20"/>
        </w:rPr>
      </w:pPr>
      <w:r w:rsidRPr="00CE5E9C">
        <w:rPr>
          <w:rFonts w:ascii="Times New Roman" w:eastAsia="Aptos" w:hAnsi="Times New Roman" w:cs="Times New Roman"/>
          <w:b/>
          <w:bCs/>
          <w:sz w:val="20"/>
          <w:szCs w:val="20"/>
        </w:rPr>
        <w:t>4. Degradation Mechanisms and Performance</w:t>
      </w:r>
    </w:p>
    <w:p w:rsidR="00653F86" w:rsidRPr="00CE5E9C" w:rsidRDefault="00BD4C4F">
      <w:pPr>
        <w:spacing w:before="240" w:after="240"/>
        <w:jc w:val="both"/>
        <w:rPr>
          <w:rFonts w:ascii="Times New Roman" w:hAnsi="Times New Roman" w:cs="Times New Roman"/>
          <w:sz w:val="20"/>
          <w:szCs w:val="20"/>
        </w:rPr>
      </w:pPr>
      <w:r w:rsidRPr="00CE5E9C">
        <w:rPr>
          <w:rFonts w:ascii="Times New Roman" w:eastAsia="Consolas" w:hAnsi="Times New Roman" w:cs="Times New Roman"/>
          <w:sz w:val="20"/>
          <w:szCs w:val="20"/>
        </w:rPr>
        <w:t xml:space="preserve">         Chitosan-ZnO Surface                    BPA Molecule</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─────N─H····O─H─────                    HO─</w:t>
      </w:r>
      <w:r w:rsidRPr="00CE5E9C">
        <w:rPr>
          <w:rFonts w:ascii="Times New Roman" w:eastAsia="Consolas" w:hAnsi="Consolas" w:cs="Times New Roman"/>
          <w:sz w:val="20"/>
          <w:szCs w:val="20"/>
        </w:rPr>
        <w:t>⟨</w:t>
      </w:r>
      <w:r w:rsidRPr="00CE5E9C">
        <w:rPr>
          <w:rFonts w:ascii="Consolas" w:eastAsia="Consolas" w:hAnsi="Consolas" w:cs="Times New Roman"/>
          <w:sz w:val="20"/>
          <w:szCs w:val="20"/>
        </w:rPr>
        <w:t>◯</w:t>
      </w:r>
      <w:r w:rsidRPr="00CE5E9C">
        <w:rPr>
          <w:rFonts w:ascii="Times New Roman" w:eastAsia="Consolas" w:hAnsi="Consolas" w:cs="Times New Roman"/>
          <w:sz w:val="20"/>
          <w:szCs w:val="20"/>
        </w:rPr>
        <w:t>⟩</w:t>
      </w:r>
      <w:r w:rsidRPr="00CE5E9C">
        <w:rPr>
          <w:rFonts w:ascii="Times New Roman" w:eastAsia="Consolas" w:hAnsi="Times New Roman" w:cs="Times New Roman"/>
          <w:sz w:val="20"/>
          <w:szCs w:val="20"/>
        </w:rPr>
        <w:t>─C─</w:t>
      </w:r>
      <w:r w:rsidRPr="00CE5E9C">
        <w:rPr>
          <w:rFonts w:ascii="Times New Roman" w:eastAsia="Consolas" w:hAnsi="Consolas" w:cs="Times New Roman"/>
          <w:sz w:val="20"/>
          <w:szCs w:val="20"/>
        </w:rPr>
        <w:t>⟨</w:t>
      </w:r>
      <w:r w:rsidRPr="00CE5E9C">
        <w:rPr>
          <w:rFonts w:ascii="Consolas" w:eastAsia="Consolas" w:hAnsi="Consolas" w:cs="Times New Roman"/>
          <w:sz w:val="20"/>
          <w:szCs w:val="20"/>
        </w:rPr>
        <w:t>◯</w:t>
      </w:r>
      <w:r w:rsidRPr="00CE5E9C">
        <w:rPr>
          <w:rFonts w:ascii="Times New Roman" w:eastAsia="Consolas" w:hAnsi="Cambria Math" w:cs="Times New Roman"/>
          <w:sz w:val="20"/>
          <w:szCs w:val="20"/>
        </w:rPr>
        <w:t>⟩</w:t>
      </w:r>
      <w:r w:rsidRPr="00CE5E9C">
        <w:rPr>
          <w:rFonts w:ascii="Times New Roman" w:eastAsia="Consolas" w:hAnsi="Times New Roman" w:cs="Times New Roman"/>
          <w:sz w:val="20"/>
          <w:szCs w:val="20"/>
        </w:rPr>
        <w:t xml:space="preserve">─OH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       |                                |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─────C═O····H─O─────                         CH₃ CH₃</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       |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─Zn─O─H······π─────                         π-π stacking</w:t>
      </w:r>
    </w:p>
    <w:p w:rsidR="004C4F19" w:rsidRPr="004C4F19" w:rsidRDefault="00174E95" w:rsidP="004C4F19">
      <w:pPr>
        <w:spacing w:before="180" w:after="180"/>
        <w:jc w:val="both"/>
        <w:rPr>
          <w:rFonts w:ascii="Times New Roman" w:hAnsi="Times New Roman" w:cs="Times New Roman"/>
          <w:sz w:val="20"/>
          <w:szCs w:val="20"/>
        </w:rPr>
      </w:pPr>
      <w:r w:rsidRPr="00CE5E9C">
        <w:rPr>
          <w:rFonts w:ascii="Times New Roman" w:eastAsia="Aptos" w:hAnsi="Times New Roman" w:cs="Times New Roman"/>
          <w:b/>
          <w:bCs/>
          <w:sz w:val="20"/>
          <w:szCs w:val="20"/>
        </w:rPr>
        <w:t xml:space="preserve">Fig </w:t>
      </w:r>
      <w:proofErr w:type="gramStart"/>
      <w:r w:rsidRPr="00CE5E9C">
        <w:rPr>
          <w:rFonts w:ascii="Times New Roman" w:eastAsia="Aptos" w:hAnsi="Times New Roman" w:cs="Times New Roman"/>
          <w:b/>
          <w:bCs/>
          <w:sz w:val="20"/>
          <w:szCs w:val="20"/>
        </w:rPr>
        <w:t>1 :</w:t>
      </w:r>
      <w:proofErr w:type="gramEnd"/>
      <w:r w:rsidRPr="00CE5E9C">
        <w:rPr>
          <w:rFonts w:ascii="Times New Roman" w:eastAsia="Aptos" w:hAnsi="Times New Roman" w:cs="Times New Roman"/>
          <w:b/>
          <w:bCs/>
          <w:sz w:val="20"/>
          <w:szCs w:val="20"/>
        </w:rPr>
        <w:t xml:space="preserve">  Adsorption Mechanism (BPA on Chitosan-ZnO)</w:t>
      </w:r>
    </w:p>
    <w:p w:rsidR="00653F86" w:rsidRPr="00CE5E9C" w:rsidRDefault="00BD4C4F">
      <w:pPr>
        <w:spacing w:before="240" w:after="240"/>
        <w:jc w:val="both"/>
        <w:rPr>
          <w:rFonts w:ascii="Times New Roman" w:hAnsi="Times New Roman" w:cs="Times New Roman"/>
          <w:sz w:val="20"/>
          <w:szCs w:val="20"/>
        </w:rPr>
      </w:pPr>
      <w:r w:rsidRPr="00CE5E9C">
        <w:rPr>
          <w:rFonts w:ascii="Times New Roman" w:eastAsia="Consolas" w:hAnsi="Times New Roman" w:cs="Times New Roman"/>
          <w:sz w:val="20"/>
          <w:szCs w:val="20"/>
        </w:rPr>
        <w:t xml:space="preserve">                        hν (UV light)</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TiO₂ + hν → e⁻ + h⁺</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lastRenderedPageBreak/>
        <w:t xml:space="preserve">            e⁻ + O₂ → O₂⁻          h⁺ + H₂O → •OH + H⁺</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Superoxide radical      Hydroxyl radical</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Contaminant + •OH</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Degraded products</w:t>
      </w:r>
    </w:p>
    <w:p w:rsidR="00653F86" w:rsidRPr="0048721B" w:rsidRDefault="00CE5E9C">
      <w:pPr>
        <w:spacing w:before="240" w:after="240"/>
        <w:jc w:val="both"/>
        <w:rPr>
          <w:rFonts w:ascii="Times New Roman" w:eastAsia="Aptos" w:hAnsi="Times New Roman" w:cs="Times New Roman"/>
          <w:b/>
          <w:bCs/>
          <w:sz w:val="20"/>
          <w:szCs w:val="20"/>
        </w:rPr>
      </w:pPr>
      <w:r w:rsidRPr="00CE5E9C">
        <w:rPr>
          <w:rFonts w:ascii="Times New Roman" w:eastAsia="Aptos" w:hAnsi="Times New Roman" w:cs="Times New Roman"/>
          <w:b/>
          <w:bCs/>
          <w:sz w:val="20"/>
          <w:szCs w:val="20"/>
        </w:rPr>
        <w:t xml:space="preserve">Fig </w:t>
      </w:r>
      <w:proofErr w:type="gramStart"/>
      <w:r w:rsidRPr="00CE5E9C">
        <w:rPr>
          <w:rFonts w:ascii="Times New Roman" w:eastAsia="Aptos" w:hAnsi="Times New Roman" w:cs="Times New Roman"/>
          <w:b/>
          <w:bCs/>
          <w:sz w:val="20"/>
          <w:szCs w:val="20"/>
        </w:rPr>
        <w:t>2 :</w:t>
      </w:r>
      <w:proofErr w:type="gramEnd"/>
      <w:r w:rsidRPr="00CE5E9C">
        <w:rPr>
          <w:rFonts w:ascii="Times New Roman" w:eastAsia="Aptos" w:hAnsi="Times New Roman" w:cs="Times New Roman"/>
          <w:b/>
          <w:bCs/>
          <w:sz w:val="20"/>
          <w:szCs w:val="20"/>
        </w:rPr>
        <w:t xml:space="preserve">  Photocatalytic Mechanism (TiO₂ activation)</w:t>
      </w:r>
    </w:p>
    <w:p w:rsidR="00653F86" w:rsidRPr="00CE5E9C" w:rsidRDefault="00BD4C4F">
      <w:pPr>
        <w:spacing w:before="240" w:after="240"/>
        <w:jc w:val="both"/>
        <w:rPr>
          <w:rFonts w:ascii="Times New Roman" w:hAnsi="Times New Roman" w:cs="Times New Roman"/>
          <w:sz w:val="20"/>
          <w:szCs w:val="20"/>
        </w:rPr>
      </w:pPr>
      <w:r w:rsidRPr="00CE5E9C">
        <w:rPr>
          <w:rFonts w:ascii="Times New Roman" w:eastAsia="Consolas" w:hAnsi="Times New Roman" w:cs="Times New Roman"/>
          <w:sz w:val="20"/>
          <w:szCs w:val="20"/>
        </w:rPr>
        <w:t xml:space="preserve">    Substrate─OH + Laccase─Cu²⁺ → Substrate─O• + Laccase─Cu⁺ + H⁺</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Laccase─Cu⁺ + O₂ → Laccase─Cu²⁺─O₂⁻</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Radical polymerization</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w:t>
      </w:r>
      <w:r w:rsidRPr="00CE5E9C">
        <w:rPr>
          <w:rFonts w:ascii="Times New Roman" w:hAnsi="Times New Roman" w:cs="Times New Roman"/>
          <w:sz w:val="20"/>
          <w:szCs w:val="20"/>
        </w:rPr>
        <w:br/>
      </w:r>
      <w:r w:rsidRPr="00CE5E9C">
        <w:rPr>
          <w:rFonts w:ascii="Times New Roman" w:eastAsia="Consolas" w:hAnsi="Times New Roman" w:cs="Times New Roman"/>
          <w:sz w:val="20"/>
          <w:szCs w:val="20"/>
        </w:rPr>
        <w:t xml:space="preserve">               Precipitated products</w:t>
      </w:r>
    </w:p>
    <w:p w:rsidR="001C6348" w:rsidRPr="004C4F19" w:rsidRDefault="00CE5E9C">
      <w:pPr>
        <w:spacing w:before="240" w:after="240"/>
        <w:jc w:val="both"/>
        <w:rPr>
          <w:rFonts w:ascii="Times New Roman" w:eastAsia="Aptos" w:hAnsi="Times New Roman" w:cs="Times New Roman"/>
          <w:b/>
          <w:bCs/>
          <w:sz w:val="20"/>
          <w:szCs w:val="20"/>
        </w:rPr>
      </w:pPr>
      <w:r w:rsidRPr="00CE5E9C">
        <w:rPr>
          <w:rFonts w:ascii="Times New Roman" w:eastAsia="Aptos" w:hAnsi="Times New Roman" w:cs="Times New Roman"/>
          <w:b/>
          <w:bCs/>
          <w:sz w:val="20"/>
          <w:szCs w:val="20"/>
        </w:rPr>
        <w:t>Fig 3:  Enzyme-Mediated Degradation (Laccase pathway)</w:t>
      </w:r>
    </w:p>
    <w:p w:rsidR="004C4F19" w:rsidRDefault="004C4F19">
      <w:pPr>
        <w:spacing w:before="240" w:after="240"/>
        <w:jc w:val="both"/>
        <w:rPr>
          <w:rFonts w:ascii="Times New Roman" w:eastAsia="Aptos" w:hAnsi="Times New Roman" w:cs="Times New Roman"/>
          <w:b/>
          <w:bCs/>
          <w:sz w:val="20"/>
          <w:szCs w:val="20"/>
        </w:rPr>
      </w:pPr>
    </w:p>
    <w:p w:rsidR="004C4F19" w:rsidRDefault="004C4F19">
      <w:pPr>
        <w:spacing w:before="240" w:after="240"/>
        <w:jc w:val="both"/>
        <w:rPr>
          <w:rFonts w:ascii="Times New Roman" w:eastAsia="Aptos" w:hAnsi="Times New Roman" w:cs="Times New Roman"/>
          <w:b/>
          <w:bCs/>
          <w:sz w:val="20"/>
          <w:szCs w:val="20"/>
        </w:rPr>
      </w:pPr>
    </w:p>
    <w:p w:rsidR="004C4F19" w:rsidRDefault="004C4F19">
      <w:pPr>
        <w:spacing w:before="240" w:after="240"/>
        <w:jc w:val="both"/>
        <w:rPr>
          <w:rFonts w:ascii="Times New Roman" w:eastAsia="Aptos" w:hAnsi="Times New Roman" w:cs="Times New Roman"/>
          <w:b/>
          <w:bCs/>
          <w:sz w:val="20"/>
          <w:szCs w:val="20"/>
        </w:rPr>
      </w:pPr>
    </w:p>
    <w:p w:rsidR="00653F86" w:rsidRPr="00CE5E9C" w:rsidRDefault="00BD4C4F">
      <w:pPr>
        <w:spacing w:before="240" w:after="240"/>
        <w:jc w:val="both"/>
        <w:rPr>
          <w:rFonts w:ascii="Times New Roman" w:hAnsi="Times New Roman" w:cs="Times New Roman"/>
          <w:sz w:val="20"/>
          <w:szCs w:val="20"/>
        </w:rPr>
      </w:pPr>
      <w:r w:rsidRPr="00CE5E9C">
        <w:rPr>
          <w:rFonts w:ascii="Times New Roman" w:eastAsia="Aptos" w:hAnsi="Times New Roman" w:cs="Times New Roman"/>
          <w:b/>
          <w:bCs/>
          <w:sz w:val="20"/>
          <w:szCs w:val="20"/>
        </w:rPr>
        <w:t>5. Contaminant Removal Performance</w:t>
      </w:r>
    </w:p>
    <w:p w:rsidR="00653F86" w:rsidRPr="00CE5E9C" w:rsidRDefault="00BD4C4F">
      <w:pPr>
        <w:spacing w:before="180" w:after="180"/>
        <w:jc w:val="both"/>
        <w:rPr>
          <w:rFonts w:ascii="Times New Roman" w:hAnsi="Times New Roman" w:cs="Times New Roman"/>
          <w:sz w:val="20"/>
          <w:szCs w:val="20"/>
        </w:rPr>
      </w:pPr>
      <w:r w:rsidRPr="00CE5E9C">
        <w:rPr>
          <w:rFonts w:ascii="Times New Roman" w:eastAsia="Aptos" w:hAnsi="Times New Roman" w:cs="Times New Roman"/>
          <w:b/>
          <w:bCs/>
          <w:sz w:val="20"/>
          <w:szCs w:val="20"/>
        </w:rPr>
        <w:t>Table 4: Performance Comparison of Eco-Friendly Nanocomposites for EDC Removal</w:t>
      </w:r>
    </w:p>
    <w:tbl>
      <w:tblPr>
        <w:tblStyle w:val="PlainTable1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1708"/>
        <w:gridCol w:w="1236"/>
        <w:gridCol w:w="1841"/>
        <w:gridCol w:w="1669"/>
        <w:gridCol w:w="1063"/>
        <w:gridCol w:w="1842"/>
      </w:tblGrid>
      <w:tr w:rsidR="00653F86" w:rsidRPr="00CE5E9C" w:rsidTr="00653F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8" w:type="dxa"/>
            <w:tcBorders>
              <w:bottom w:val="single" w:sz="12" w:space="0" w:color="000000" w:themeColor="text1"/>
            </w:tcBorders>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Nanocomposite</w:t>
            </w:r>
          </w:p>
        </w:tc>
        <w:tc>
          <w:tcPr>
            <w:tcW w:w="1236"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5E9C">
              <w:rPr>
                <w:rFonts w:ascii="Times New Roman" w:hAnsi="Times New Roman" w:cs="Times New Roman"/>
                <w:sz w:val="20"/>
                <w:szCs w:val="20"/>
              </w:rPr>
              <w:t>Target EDC</w:t>
            </w:r>
          </w:p>
        </w:tc>
        <w:tc>
          <w:tcPr>
            <w:tcW w:w="1841"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5E9C">
              <w:rPr>
                <w:rFonts w:ascii="Times New Roman" w:hAnsi="Times New Roman" w:cs="Times New Roman"/>
                <w:sz w:val="20"/>
                <w:szCs w:val="20"/>
              </w:rPr>
              <w:t>Initial Conc. (mg/L)</w:t>
            </w:r>
          </w:p>
        </w:tc>
        <w:tc>
          <w:tcPr>
            <w:tcW w:w="1669"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5E9C">
              <w:rPr>
                <w:rFonts w:ascii="Times New Roman" w:hAnsi="Times New Roman" w:cs="Times New Roman"/>
                <w:sz w:val="20"/>
                <w:szCs w:val="20"/>
              </w:rPr>
              <w:t>Contact Time (min)</w:t>
            </w:r>
          </w:p>
        </w:tc>
        <w:tc>
          <w:tcPr>
            <w:tcW w:w="1063"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5E9C">
              <w:rPr>
                <w:rFonts w:ascii="Times New Roman" w:hAnsi="Times New Roman" w:cs="Times New Roman"/>
                <w:sz w:val="20"/>
                <w:szCs w:val="20"/>
              </w:rPr>
              <w:t>Removal (%)</w:t>
            </w:r>
          </w:p>
        </w:tc>
        <w:tc>
          <w:tcPr>
            <w:tcW w:w="1842"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5E9C">
              <w:rPr>
                <w:rFonts w:ascii="Times New Roman" w:hAnsi="Times New Roman" w:cs="Times New Roman"/>
                <w:sz w:val="20"/>
                <w:szCs w:val="20"/>
              </w:rPr>
              <w:t>Reusability (cycles)</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1708" w:type="dxa"/>
            <w:tcBorders>
              <w:top w:val="single" w:sz="12" w:space="0" w:color="000000" w:themeColor="text1"/>
            </w:tcBorders>
          </w:tcPr>
          <w:p w:rsidR="00653F86" w:rsidRPr="00CE5E9C" w:rsidRDefault="00BD4C4F">
            <w:pPr>
              <w:spacing w:after="0" w:line="240" w:lineRule="auto"/>
              <w:rPr>
                <w:rFonts w:ascii="Times New Roman" w:eastAsia="Aptos" w:hAnsi="Times New Roman" w:cs="Times New Roman"/>
                <w:b w:val="0"/>
                <w:bCs w:val="0"/>
                <w:sz w:val="20"/>
                <w:szCs w:val="20"/>
              </w:rPr>
            </w:pPr>
            <w:r w:rsidRPr="00CE5E9C">
              <w:rPr>
                <w:rFonts w:ascii="Times New Roman" w:hAnsi="Times New Roman" w:cs="Times New Roman"/>
                <w:sz w:val="20"/>
                <w:szCs w:val="20"/>
              </w:rPr>
              <w:t>Chitosan-ZnO</w:t>
            </w:r>
          </w:p>
        </w:tc>
        <w:tc>
          <w:tcPr>
            <w:tcW w:w="1236"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BPA</w:t>
            </w:r>
          </w:p>
        </w:tc>
        <w:tc>
          <w:tcPr>
            <w:tcW w:w="1841"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50</w:t>
            </w:r>
          </w:p>
        </w:tc>
        <w:tc>
          <w:tcPr>
            <w:tcW w:w="1669"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45</w:t>
            </w:r>
          </w:p>
        </w:tc>
        <w:tc>
          <w:tcPr>
            <w:tcW w:w="1063"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93.4</w:t>
            </w:r>
          </w:p>
        </w:tc>
        <w:tc>
          <w:tcPr>
            <w:tcW w:w="1842"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5</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1708"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Alginate-TiO₂</w:t>
            </w:r>
          </w:p>
        </w:tc>
        <w:tc>
          <w:tcPr>
            <w:tcW w:w="1236"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Phthalates</w:t>
            </w:r>
          </w:p>
        </w:tc>
        <w:tc>
          <w:tcPr>
            <w:tcW w:w="1841"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30</w:t>
            </w:r>
          </w:p>
        </w:tc>
        <w:tc>
          <w:tcPr>
            <w:tcW w:w="1669"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60</w:t>
            </w:r>
          </w:p>
        </w:tc>
        <w:tc>
          <w:tcPr>
            <w:tcW w:w="1063"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89.2</w:t>
            </w:r>
          </w:p>
        </w:tc>
        <w:tc>
          <w:tcPr>
            <w:tcW w:w="1842"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4</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1708"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Cellulose-Fe₃O₄</w:t>
            </w:r>
          </w:p>
        </w:tc>
        <w:tc>
          <w:tcPr>
            <w:tcW w:w="1236"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17β-estradiol</w:t>
            </w:r>
          </w:p>
        </w:tc>
        <w:tc>
          <w:tcPr>
            <w:tcW w:w="1841"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10</w:t>
            </w:r>
          </w:p>
        </w:tc>
        <w:tc>
          <w:tcPr>
            <w:tcW w:w="1669"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30</w:t>
            </w:r>
          </w:p>
        </w:tc>
        <w:tc>
          <w:tcPr>
            <w:tcW w:w="1063"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95.7</w:t>
            </w:r>
          </w:p>
        </w:tc>
        <w:tc>
          <w:tcPr>
            <w:tcW w:w="1842"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6</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1708" w:type="dxa"/>
          </w:tcPr>
          <w:p w:rsidR="00653F86" w:rsidRPr="00CE5E9C" w:rsidRDefault="00BD4C4F">
            <w:pPr>
              <w:spacing w:after="0" w:line="240" w:lineRule="auto"/>
              <w:rPr>
                <w:rFonts w:ascii="Times New Roman" w:eastAsia="Aptos" w:hAnsi="Times New Roman" w:cs="Times New Roman"/>
                <w:b w:val="0"/>
                <w:bCs w:val="0"/>
                <w:sz w:val="20"/>
                <w:szCs w:val="20"/>
              </w:rPr>
            </w:pPr>
            <w:r w:rsidRPr="00CE5E9C">
              <w:rPr>
                <w:rFonts w:ascii="Times New Roman" w:hAnsi="Times New Roman" w:cs="Times New Roman"/>
                <w:sz w:val="20"/>
                <w:szCs w:val="20"/>
              </w:rPr>
              <w:t>Starch-CuO</w:t>
            </w:r>
          </w:p>
        </w:tc>
        <w:tc>
          <w:tcPr>
            <w:tcW w:w="1236"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Triclosan</w:t>
            </w:r>
          </w:p>
        </w:tc>
        <w:tc>
          <w:tcPr>
            <w:tcW w:w="1841"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25</w:t>
            </w:r>
          </w:p>
        </w:tc>
        <w:tc>
          <w:tcPr>
            <w:tcW w:w="1669"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90</w:t>
            </w:r>
          </w:p>
        </w:tc>
        <w:tc>
          <w:tcPr>
            <w:tcW w:w="1063"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91.8</w:t>
            </w:r>
          </w:p>
        </w:tc>
        <w:tc>
          <w:tcPr>
            <w:tcW w:w="1842"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5</w:t>
            </w:r>
          </w:p>
        </w:tc>
      </w:tr>
    </w:tbl>
    <w:p w:rsidR="00653F86" w:rsidRDefault="00653F86">
      <w:pPr>
        <w:spacing w:before="180" w:after="180"/>
        <w:jc w:val="both"/>
        <w:rPr>
          <w:rFonts w:ascii="Times New Roman" w:eastAsia="Aptos" w:hAnsi="Times New Roman" w:cs="Times New Roman"/>
          <w:b/>
          <w:bCs/>
          <w:sz w:val="20"/>
          <w:szCs w:val="20"/>
        </w:rPr>
      </w:pPr>
    </w:p>
    <w:p w:rsidR="004C4F19" w:rsidRDefault="004C4F19">
      <w:pPr>
        <w:spacing w:before="180" w:after="180"/>
        <w:jc w:val="both"/>
        <w:rPr>
          <w:rFonts w:ascii="Times New Roman" w:eastAsia="Aptos" w:hAnsi="Times New Roman" w:cs="Times New Roman"/>
          <w:b/>
          <w:bCs/>
          <w:sz w:val="20"/>
          <w:szCs w:val="20"/>
        </w:rPr>
      </w:pPr>
    </w:p>
    <w:p w:rsidR="004C4F19" w:rsidRPr="00CE5E9C" w:rsidRDefault="004C4F19">
      <w:pPr>
        <w:spacing w:before="180" w:after="180"/>
        <w:jc w:val="both"/>
        <w:rPr>
          <w:rFonts w:ascii="Times New Roman" w:eastAsia="Aptos" w:hAnsi="Times New Roman" w:cs="Times New Roman"/>
          <w:b/>
          <w:bCs/>
          <w:sz w:val="20"/>
          <w:szCs w:val="20"/>
        </w:rPr>
      </w:pPr>
    </w:p>
    <w:p w:rsidR="00653F86" w:rsidRPr="00CE5E9C" w:rsidRDefault="00BD4C4F">
      <w:pPr>
        <w:spacing w:before="180" w:after="180"/>
        <w:jc w:val="both"/>
        <w:rPr>
          <w:rFonts w:ascii="Times New Roman" w:hAnsi="Times New Roman" w:cs="Times New Roman"/>
          <w:sz w:val="20"/>
          <w:szCs w:val="20"/>
        </w:rPr>
      </w:pPr>
      <w:r w:rsidRPr="00CE5E9C">
        <w:rPr>
          <w:rFonts w:ascii="Times New Roman" w:eastAsia="Aptos" w:hAnsi="Times New Roman" w:cs="Times New Roman"/>
          <w:b/>
          <w:bCs/>
          <w:sz w:val="20"/>
          <w:szCs w:val="20"/>
        </w:rPr>
        <w:lastRenderedPageBreak/>
        <w:t>Table 5: Kinetic and Thermodynamic Parameters for Contaminant Removal</w:t>
      </w:r>
    </w:p>
    <w:tbl>
      <w:tblPr>
        <w:tblStyle w:val="PlainTable1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1489"/>
        <w:gridCol w:w="2258"/>
        <w:gridCol w:w="2338"/>
        <w:gridCol w:w="1065"/>
        <w:gridCol w:w="1065"/>
        <w:gridCol w:w="1144"/>
      </w:tblGrid>
      <w:tr w:rsidR="00653F86" w:rsidRPr="00CE5E9C" w:rsidTr="00653F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9" w:type="dxa"/>
            <w:tcBorders>
              <w:bottom w:val="single" w:sz="12" w:space="0" w:color="000000" w:themeColor="text1"/>
            </w:tcBorders>
          </w:tcPr>
          <w:p w:rsidR="00653F86" w:rsidRPr="00CE5E9C" w:rsidRDefault="00BD4C4F">
            <w:pPr>
              <w:spacing w:after="0" w:line="240" w:lineRule="auto"/>
              <w:rPr>
                <w:rFonts w:ascii="Times New Roman" w:eastAsia="Aptos" w:hAnsi="Times New Roman" w:cs="Times New Roman"/>
                <w:b w:val="0"/>
                <w:bCs w:val="0"/>
                <w:sz w:val="20"/>
                <w:szCs w:val="20"/>
              </w:rPr>
            </w:pPr>
            <w:r w:rsidRPr="00CE5E9C">
              <w:rPr>
                <w:rFonts w:ascii="Times New Roman" w:hAnsi="Times New Roman" w:cs="Times New Roman"/>
                <w:sz w:val="20"/>
                <w:szCs w:val="20"/>
              </w:rPr>
              <w:t>Contaminant</w:t>
            </w:r>
          </w:p>
        </w:tc>
        <w:tc>
          <w:tcPr>
            <w:tcW w:w="2258"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sz w:val="20"/>
                <w:szCs w:val="20"/>
              </w:rPr>
            </w:pPr>
            <w:r w:rsidRPr="00CE5E9C">
              <w:rPr>
                <w:rFonts w:ascii="Times New Roman" w:hAnsi="Times New Roman" w:cs="Times New Roman"/>
                <w:sz w:val="20"/>
                <w:szCs w:val="20"/>
              </w:rPr>
              <w:t>Pseudo-first order (k₁, R²)</w:t>
            </w:r>
          </w:p>
        </w:tc>
        <w:tc>
          <w:tcPr>
            <w:tcW w:w="2338"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sz w:val="20"/>
                <w:szCs w:val="20"/>
              </w:rPr>
            </w:pPr>
            <w:r w:rsidRPr="00CE5E9C">
              <w:rPr>
                <w:rFonts w:ascii="Times New Roman" w:hAnsi="Times New Roman" w:cs="Times New Roman"/>
                <w:sz w:val="20"/>
                <w:szCs w:val="20"/>
              </w:rPr>
              <w:t>Pseudo-second order (k₂, R²)</w:t>
            </w:r>
          </w:p>
        </w:tc>
        <w:tc>
          <w:tcPr>
            <w:tcW w:w="1065"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sz w:val="20"/>
                <w:szCs w:val="20"/>
              </w:rPr>
            </w:pPr>
            <w:r w:rsidRPr="00CE5E9C">
              <w:rPr>
                <w:rFonts w:ascii="Times New Roman" w:hAnsi="Times New Roman" w:cs="Times New Roman"/>
                <w:sz w:val="20"/>
                <w:szCs w:val="20"/>
              </w:rPr>
              <w:t>ΔG° (kJ/mol)</w:t>
            </w:r>
          </w:p>
        </w:tc>
        <w:tc>
          <w:tcPr>
            <w:tcW w:w="1065"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sz w:val="20"/>
                <w:szCs w:val="20"/>
              </w:rPr>
            </w:pPr>
            <w:r w:rsidRPr="00CE5E9C">
              <w:rPr>
                <w:rFonts w:ascii="Times New Roman" w:hAnsi="Times New Roman" w:cs="Times New Roman"/>
                <w:sz w:val="20"/>
                <w:szCs w:val="20"/>
              </w:rPr>
              <w:t>ΔH° (kJ/mol)</w:t>
            </w:r>
          </w:p>
        </w:tc>
        <w:tc>
          <w:tcPr>
            <w:tcW w:w="1144" w:type="dxa"/>
            <w:tcBorders>
              <w:bottom w:val="single" w:sz="12" w:space="0" w:color="000000" w:themeColor="text1"/>
            </w:tcBorders>
          </w:tcPr>
          <w:p w:rsidR="00653F86" w:rsidRPr="00CE5E9C" w:rsidRDefault="00BD4C4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sz w:val="20"/>
                <w:szCs w:val="20"/>
              </w:rPr>
            </w:pPr>
            <w:r w:rsidRPr="00CE5E9C">
              <w:rPr>
                <w:rFonts w:ascii="Times New Roman" w:hAnsi="Times New Roman" w:cs="Times New Roman"/>
                <w:sz w:val="20"/>
                <w:szCs w:val="20"/>
              </w:rPr>
              <w:t>ΔS° (J/mol·K)</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1489" w:type="dxa"/>
            <w:tcBorders>
              <w:top w:val="single" w:sz="12" w:space="0" w:color="000000" w:themeColor="text1"/>
            </w:tcBorders>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Tetracycline</w:t>
            </w:r>
          </w:p>
        </w:tc>
        <w:tc>
          <w:tcPr>
            <w:tcW w:w="2258"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0.0542, 0.912</w:t>
            </w:r>
          </w:p>
        </w:tc>
        <w:tc>
          <w:tcPr>
            <w:tcW w:w="2338"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0.0089, 0.998</w:t>
            </w:r>
          </w:p>
        </w:tc>
        <w:tc>
          <w:tcPr>
            <w:tcW w:w="1065"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-28.4</w:t>
            </w:r>
          </w:p>
        </w:tc>
        <w:tc>
          <w:tcPr>
            <w:tcW w:w="1065"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-45.2</w:t>
            </w:r>
          </w:p>
        </w:tc>
        <w:tc>
          <w:tcPr>
            <w:tcW w:w="1144" w:type="dxa"/>
            <w:tcBorders>
              <w:top w:val="single" w:sz="12" w:space="0" w:color="000000" w:themeColor="text1"/>
            </w:tcBorders>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-56.4</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1489"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BPA</w:t>
            </w:r>
          </w:p>
        </w:tc>
        <w:tc>
          <w:tcPr>
            <w:tcW w:w="2258"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0.0387, 0.885</w:t>
            </w:r>
          </w:p>
        </w:tc>
        <w:tc>
          <w:tcPr>
            <w:tcW w:w="2338"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0.0125, 0.995</w:t>
            </w:r>
          </w:p>
        </w:tc>
        <w:tc>
          <w:tcPr>
            <w:tcW w:w="106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-25.7</w:t>
            </w:r>
          </w:p>
        </w:tc>
        <w:tc>
          <w:tcPr>
            <w:tcW w:w="106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-38.9</w:t>
            </w:r>
          </w:p>
        </w:tc>
        <w:tc>
          <w:tcPr>
            <w:tcW w:w="1144"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-44.3</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1489"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Ibuprofen</w:t>
            </w:r>
          </w:p>
        </w:tc>
        <w:tc>
          <w:tcPr>
            <w:tcW w:w="2258"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0.0623, 0.923</w:t>
            </w:r>
          </w:p>
        </w:tc>
        <w:tc>
          <w:tcPr>
            <w:tcW w:w="2338"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0.0104, 0.997</w:t>
            </w:r>
          </w:p>
        </w:tc>
        <w:tc>
          <w:tcPr>
            <w:tcW w:w="106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-30.2</w:t>
            </w:r>
          </w:p>
        </w:tc>
        <w:tc>
          <w:tcPr>
            <w:tcW w:w="106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-52.1</w:t>
            </w:r>
          </w:p>
        </w:tc>
        <w:tc>
          <w:tcPr>
            <w:tcW w:w="1144"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-73.5</w:t>
            </w:r>
          </w:p>
        </w:tc>
      </w:tr>
      <w:tr w:rsidR="00653F86" w:rsidRPr="00CE5E9C" w:rsidTr="00653F86">
        <w:trPr>
          <w:trHeight w:val="300"/>
        </w:trPr>
        <w:tc>
          <w:tcPr>
            <w:cnfStyle w:val="001000000000" w:firstRow="0" w:lastRow="0" w:firstColumn="1" w:lastColumn="0" w:oddVBand="0" w:evenVBand="0" w:oddHBand="0" w:evenHBand="0" w:firstRowFirstColumn="0" w:firstRowLastColumn="0" w:lastRowFirstColumn="0" w:lastRowLastColumn="0"/>
            <w:tcW w:w="1489" w:type="dxa"/>
          </w:tcPr>
          <w:p w:rsidR="00653F86" w:rsidRPr="00CE5E9C" w:rsidRDefault="00BD4C4F">
            <w:pPr>
              <w:spacing w:after="0" w:line="240" w:lineRule="auto"/>
              <w:rPr>
                <w:rFonts w:ascii="Times New Roman" w:hAnsi="Times New Roman" w:cs="Times New Roman"/>
                <w:b w:val="0"/>
                <w:bCs w:val="0"/>
                <w:sz w:val="20"/>
                <w:szCs w:val="20"/>
              </w:rPr>
            </w:pPr>
            <w:r w:rsidRPr="00CE5E9C">
              <w:rPr>
                <w:rFonts w:ascii="Times New Roman" w:hAnsi="Times New Roman" w:cs="Times New Roman"/>
                <w:sz w:val="20"/>
                <w:szCs w:val="20"/>
              </w:rPr>
              <w:t>Microplastics</w:t>
            </w:r>
          </w:p>
        </w:tc>
        <w:tc>
          <w:tcPr>
            <w:tcW w:w="2258"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0.0298, 0.867</w:t>
            </w:r>
          </w:p>
        </w:tc>
        <w:tc>
          <w:tcPr>
            <w:tcW w:w="2338"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0.0156, 0.999</w:t>
            </w:r>
          </w:p>
        </w:tc>
        <w:tc>
          <w:tcPr>
            <w:tcW w:w="106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-22.8</w:t>
            </w:r>
          </w:p>
        </w:tc>
        <w:tc>
          <w:tcPr>
            <w:tcW w:w="1065"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-31.4</w:t>
            </w:r>
          </w:p>
        </w:tc>
        <w:tc>
          <w:tcPr>
            <w:tcW w:w="1144" w:type="dxa"/>
          </w:tcPr>
          <w:p w:rsidR="00653F86" w:rsidRPr="00CE5E9C" w:rsidRDefault="00BD4C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5E9C">
              <w:rPr>
                <w:rFonts w:ascii="Times New Roman" w:hAnsi="Times New Roman" w:cs="Times New Roman"/>
                <w:sz w:val="20"/>
                <w:szCs w:val="20"/>
              </w:rPr>
              <w:t>-28.9</w:t>
            </w:r>
          </w:p>
        </w:tc>
      </w:tr>
    </w:tbl>
    <w:p w:rsidR="00653F86" w:rsidRPr="00CE5E9C" w:rsidRDefault="00653F86">
      <w:pPr>
        <w:spacing w:before="240" w:after="240"/>
        <w:jc w:val="both"/>
        <w:rPr>
          <w:rFonts w:ascii="Times New Roman" w:eastAsia="Aptos" w:hAnsi="Times New Roman" w:cs="Times New Roman"/>
          <w:b/>
          <w:bCs/>
          <w:sz w:val="20"/>
          <w:szCs w:val="20"/>
        </w:rPr>
      </w:pPr>
    </w:p>
    <w:p w:rsidR="00653F86" w:rsidRPr="00CE5E9C" w:rsidRDefault="00BD4C4F">
      <w:pPr>
        <w:pStyle w:val="Heading2"/>
        <w:keepNext w:val="0"/>
        <w:keepLines w:val="0"/>
        <w:rPr>
          <w:rFonts w:ascii="Times New Roman" w:hAnsi="Times New Roman" w:cs="Times New Roman"/>
          <w:color w:val="auto"/>
          <w:sz w:val="20"/>
          <w:szCs w:val="20"/>
        </w:rPr>
      </w:pPr>
      <w:r w:rsidRPr="00CE5E9C">
        <w:rPr>
          <w:rStyle w:val="Strong"/>
          <w:rFonts w:ascii="Times New Roman" w:hAnsi="Times New Roman" w:cs="Times New Roman"/>
          <w:color w:val="auto"/>
          <w:sz w:val="20"/>
          <w:szCs w:val="20"/>
        </w:rPr>
        <w:t>Table 6.1: Biodegradation Performance and Microbial Community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6"/>
        <w:gridCol w:w="898"/>
        <w:gridCol w:w="1655"/>
        <w:gridCol w:w="3187"/>
        <w:gridCol w:w="1584"/>
      </w:tblGrid>
      <w:tr w:rsidR="00BD4C4F" w:rsidRPr="00CE5E9C" w:rsidTr="00BD4C4F">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Nanocomposite Type</w:t>
            </w:r>
          </w:p>
        </w:tc>
        <w:tc>
          <w:tcPr>
            <w:tcW w:w="0" w:type="auto"/>
            <w:tcBorders>
              <w:top w:val="single" w:sz="4" w:space="0" w:color="auto"/>
              <w:bottom w:val="single" w:sz="4" w:space="0" w:color="auto"/>
            </w:tcBorders>
            <w:shd w:val="clear" w:color="auto" w:fill="auto"/>
            <w:vAlign w:val="center"/>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Mass Loss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Degradation Rate (day⁻¹)</w:t>
            </w:r>
          </w:p>
        </w:tc>
        <w:tc>
          <w:tcPr>
            <w:tcW w:w="0" w:type="auto"/>
            <w:tcBorders>
              <w:top w:val="single" w:sz="4" w:space="0" w:color="auto"/>
              <w:bottom w:val="single" w:sz="4" w:space="0" w:color="auto"/>
            </w:tcBorders>
            <w:shd w:val="clear" w:color="auto" w:fill="auto"/>
            <w:vAlign w:val="center"/>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Dominant Microorganisms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Enzymatic Activity (U/g)</w:t>
            </w:r>
          </w:p>
        </w:tc>
      </w:tr>
      <w:tr w:rsidR="00BD4C4F" w:rsidRPr="00CE5E9C" w:rsidTr="00BD4C4F">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ZnO-CNC (Green tea extract)</w:t>
            </w:r>
          </w:p>
        </w:tc>
        <w:tc>
          <w:tcPr>
            <w:tcW w:w="0" w:type="auto"/>
            <w:tcBorders>
              <w:bottom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82.3 ± 3.8ᵃ</w:t>
            </w:r>
          </w:p>
        </w:tc>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0.089 ± 0.007ᵃ</w:t>
            </w:r>
          </w:p>
        </w:tc>
        <w:tc>
          <w:tcPr>
            <w:tcW w:w="0" w:type="auto"/>
            <w:tcBorders>
              <w:bottom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Emphasis"/>
                <w:rFonts w:ascii="Times New Roman" w:eastAsia="SimSun" w:hAnsi="Times New Roman" w:cs="Times New Roman"/>
                <w:sz w:val="20"/>
                <w:szCs w:val="20"/>
                <w:lang w:eastAsia="zh-CN"/>
              </w:rPr>
              <w:t>Bacillus subtilis</w:t>
            </w:r>
            <w:r w:rsidRPr="00CE5E9C">
              <w:rPr>
                <w:rFonts w:ascii="Times New Roman" w:eastAsia="SimSun" w:hAnsi="Times New Roman" w:cs="Times New Roman"/>
                <w:sz w:val="20"/>
                <w:szCs w:val="20"/>
                <w:lang w:eastAsia="zh-CN"/>
              </w:rPr>
              <w:t xml:space="preserve"> (23%), </w:t>
            </w:r>
            <w:r w:rsidRPr="00CE5E9C">
              <w:rPr>
                <w:rStyle w:val="Emphasis"/>
                <w:rFonts w:ascii="Times New Roman" w:eastAsia="SimSun" w:hAnsi="Times New Roman" w:cs="Times New Roman"/>
                <w:sz w:val="20"/>
                <w:szCs w:val="20"/>
                <w:lang w:eastAsia="zh-CN"/>
              </w:rPr>
              <w:t>Trichoderma viride</w:t>
            </w:r>
            <w:r w:rsidRPr="00CE5E9C">
              <w:rPr>
                <w:rFonts w:ascii="Times New Roman" w:eastAsia="SimSun" w:hAnsi="Times New Roman" w:cs="Times New Roman"/>
                <w:sz w:val="20"/>
                <w:szCs w:val="20"/>
                <w:lang w:eastAsia="zh-CN"/>
              </w:rPr>
              <w:t xml:space="preserve"> (18%)</w:t>
            </w:r>
          </w:p>
        </w:tc>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Cellulase: 47.2 ± 3.5ᵃ</w:t>
            </w:r>
          </w:p>
        </w:tc>
      </w:tr>
      <w:tr w:rsidR="00BD4C4F" w:rsidRPr="00CE5E9C" w:rsidTr="00BD4C4F">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TiO₂-Chitosan (Moringa oleifera)</w:t>
            </w:r>
          </w:p>
        </w:tc>
        <w:tc>
          <w:tcPr>
            <w:tcW w:w="0" w:type="auto"/>
            <w:tcBorders>
              <w:bottom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78.9 ± 4.2ᵃ</w:t>
            </w:r>
          </w:p>
        </w:tc>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0.081 ± 0.009ᵃ</w:t>
            </w:r>
          </w:p>
        </w:tc>
        <w:tc>
          <w:tcPr>
            <w:tcW w:w="0" w:type="auto"/>
            <w:tcBorders>
              <w:bottom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Emphasis"/>
                <w:rFonts w:ascii="Times New Roman" w:eastAsia="SimSun" w:hAnsi="Times New Roman" w:cs="Times New Roman"/>
                <w:sz w:val="20"/>
                <w:szCs w:val="20"/>
                <w:lang w:eastAsia="zh-CN"/>
              </w:rPr>
              <w:t>Pseudomonas putida</w:t>
            </w:r>
            <w:r w:rsidRPr="00CE5E9C">
              <w:rPr>
                <w:rFonts w:ascii="Times New Roman" w:eastAsia="SimSun" w:hAnsi="Times New Roman" w:cs="Times New Roman"/>
                <w:sz w:val="20"/>
                <w:szCs w:val="20"/>
                <w:lang w:eastAsia="zh-CN"/>
              </w:rPr>
              <w:t xml:space="preserve"> (21%), </w:t>
            </w:r>
            <w:r w:rsidRPr="00CE5E9C">
              <w:rPr>
                <w:rStyle w:val="Emphasis"/>
                <w:rFonts w:ascii="Times New Roman" w:eastAsia="SimSun" w:hAnsi="Times New Roman" w:cs="Times New Roman"/>
                <w:sz w:val="20"/>
                <w:szCs w:val="20"/>
                <w:lang w:eastAsia="zh-CN"/>
              </w:rPr>
              <w:t>Aspergillus niger</w:t>
            </w:r>
            <w:r w:rsidRPr="00CE5E9C">
              <w:rPr>
                <w:rFonts w:ascii="Times New Roman" w:eastAsia="SimSun" w:hAnsi="Times New Roman" w:cs="Times New Roman"/>
                <w:sz w:val="20"/>
                <w:szCs w:val="20"/>
                <w:lang w:eastAsia="zh-CN"/>
              </w:rPr>
              <w:t xml:space="preserve"> (15%)</w:t>
            </w:r>
          </w:p>
        </w:tc>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Chitinase: 52.8 ± 4.1ᵃ</w:t>
            </w:r>
          </w:p>
        </w:tc>
      </w:tr>
      <w:tr w:rsidR="00BD4C4F" w:rsidRPr="00CE5E9C" w:rsidTr="00BD4C4F">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CuO-Starch (Aloe vera)</w:t>
            </w:r>
          </w:p>
        </w:tc>
        <w:tc>
          <w:tcPr>
            <w:tcW w:w="0" w:type="auto"/>
            <w:tcBorders>
              <w:bottom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85.1 ± 3.1ᵃ</w:t>
            </w:r>
          </w:p>
        </w:tc>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0.095 ± 0.006ᵃ</w:t>
            </w:r>
          </w:p>
        </w:tc>
        <w:tc>
          <w:tcPr>
            <w:tcW w:w="0" w:type="auto"/>
            <w:tcBorders>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Emphasis"/>
                <w:rFonts w:ascii="Times New Roman" w:eastAsia="SimSun" w:hAnsi="Times New Roman" w:cs="Times New Roman"/>
                <w:sz w:val="20"/>
                <w:szCs w:val="20"/>
                <w:lang w:eastAsia="zh-CN"/>
              </w:rPr>
              <w:t>Streptomyces griseus</w:t>
            </w:r>
            <w:r w:rsidRPr="00CE5E9C">
              <w:rPr>
                <w:rFonts w:ascii="Times New Roman" w:eastAsia="SimSun" w:hAnsi="Times New Roman" w:cs="Times New Roman"/>
                <w:sz w:val="20"/>
                <w:szCs w:val="20"/>
                <w:lang w:eastAsia="zh-CN"/>
              </w:rPr>
              <w:t xml:space="preserve"> (19%), </w:t>
            </w:r>
            <w:r w:rsidRPr="00CE5E9C">
              <w:rPr>
                <w:rStyle w:val="Emphasis"/>
                <w:rFonts w:ascii="Times New Roman" w:eastAsia="SimSun" w:hAnsi="Times New Roman" w:cs="Times New Roman"/>
                <w:sz w:val="20"/>
                <w:szCs w:val="20"/>
                <w:lang w:eastAsia="zh-CN"/>
              </w:rPr>
              <w:t>Penicillium chrysogenum</w:t>
            </w:r>
            <w:r w:rsidRPr="00CE5E9C">
              <w:rPr>
                <w:rFonts w:ascii="Times New Roman" w:eastAsia="SimSun" w:hAnsi="Times New Roman" w:cs="Times New Roman"/>
                <w:sz w:val="20"/>
                <w:szCs w:val="20"/>
                <w:lang w:eastAsia="zh-CN"/>
              </w:rPr>
              <w:t xml:space="preserve"> (16%)</w:t>
            </w:r>
          </w:p>
        </w:tc>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Amylase: 38.9 ± 2.8ᵃ</w:t>
            </w:r>
          </w:p>
        </w:tc>
      </w:tr>
      <w:tr w:rsidR="00BD4C4F" w:rsidRPr="00CE5E9C" w:rsidTr="00BD4C4F">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Fe₂O₃-CNC (Neem leaves)</w:t>
            </w:r>
          </w:p>
        </w:tc>
        <w:tc>
          <w:tcPr>
            <w:tcW w:w="0" w:type="auto"/>
            <w:tcBorders>
              <w:bottom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79.6 ± 4.5ᵃ</w:t>
            </w:r>
          </w:p>
        </w:tc>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0.084 ± 0.008ᵃ</w:t>
            </w:r>
          </w:p>
        </w:tc>
        <w:tc>
          <w:tcPr>
            <w:tcW w:w="0" w:type="auto"/>
            <w:tcBorders>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Emphasis"/>
                <w:rFonts w:ascii="Times New Roman" w:eastAsia="SimSun" w:hAnsi="Times New Roman" w:cs="Times New Roman"/>
                <w:sz w:val="20"/>
                <w:szCs w:val="20"/>
                <w:lang w:eastAsia="zh-CN"/>
              </w:rPr>
              <w:t>Bacillus cereus</w:t>
            </w:r>
            <w:r w:rsidRPr="00CE5E9C">
              <w:rPr>
                <w:rFonts w:ascii="Times New Roman" w:eastAsia="SimSun" w:hAnsi="Times New Roman" w:cs="Times New Roman"/>
                <w:sz w:val="20"/>
                <w:szCs w:val="20"/>
                <w:lang w:eastAsia="zh-CN"/>
              </w:rPr>
              <w:t xml:space="preserve"> (20%), </w:t>
            </w:r>
            <w:r w:rsidRPr="00CE5E9C">
              <w:rPr>
                <w:rStyle w:val="Emphasis"/>
                <w:rFonts w:ascii="Times New Roman" w:eastAsia="SimSun" w:hAnsi="Times New Roman" w:cs="Times New Roman"/>
                <w:sz w:val="20"/>
                <w:szCs w:val="20"/>
                <w:lang w:eastAsia="zh-CN"/>
              </w:rPr>
              <w:t>Trichoderma harzianum</w:t>
            </w:r>
            <w:r w:rsidRPr="00CE5E9C">
              <w:rPr>
                <w:rFonts w:ascii="Times New Roman" w:eastAsia="SimSun" w:hAnsi="Times New Roman" w:cs="Times New Roman"/>
                <w:sz w:val="20"/>
                <w:szCs w:val="20"/>
                <w:lang w:eastAsia="zh-CN"/>
              </w:rPr>
              <w:t xml:space="preserve"> (17%)</w:t>
            </w:r>
          </w:p>
        </w:tc>
        <w:tc>
          <w:tcPr>
            <w:tcW w:w="0" w:type="auto"/>
            <w:tcBorders>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Cellulase: 44.6 ± 3.9ᵃ</w:t>
            </w:r>
          </w:p>
        </w:tc>
      </w:tr>
      <w:tr w:rsidR="00BD4C4F" w:rsidRPr="00CE5E9C" w:rsidTr="00BD4C4F">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PLA Control</w:t>
            </w:r>
          </w:p>
        </w:tc>
        <w:tc>
          <w:tcPr>
            <w:tcW w:w="0" w:type="auto"/>
            <w:tcBorders>
              <w:bottom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45.2 ± 3.1ᵇ</w:t>
            </w:r>
          </w:p>
        </w:tc>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0.041 ± 0.005ᵇ</w:t>
            </w:r>
          </w:p>
        </w:tc>
        <w:tc>
          <w:tcPr>
            <w:tcW w:w="0" w:type="auto"/>
            <w:tcBorders>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Emphasis"/>
                <w:rFonts w:ascii="Times New Roman" w:eastAsia="SimSun" w:hAnsi="Times New Roman" w:cs="Times New Roman"/>
                <w:sz w:val="20"/>
                <w:szCs w:val="20"/>
                <w:lang w:eastAsia="zh-CN"/>
              </w:rPr>
              <w:t>Bacillus amyloliquefaciens</w:t>
            </w:r>
            <w:r w:rsidRPr="00CE5E9C">
              <w:rPr>
                <w:rFonts w:ascii="Times New Roman" w:eastAsia="SimSun" w:hAnsi="Times New Roman" w:cs="Times New Roman"/>
                <w:sz w:val="20"/>
                <w:szCs w:val="20"/>
                <w:lang w:eastAsia="zh-CN"/>
              </w:rPr>
              <w:t xml:space="preserve"> (12%)</w:t>
            </w:r>
          </w:p>
        </w:tc>
        <w:tc>
          <w:tcPr>
            <w:tcW w:w="0" w:type="auto"/>
            <w:tcBorders>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Protease: 15.3 ± 2.1ᵇ</w:t>
            </w:r>
          </w:p>
        </w:tc>
      </w:tr>
      <w:tr w:rsidR="00BD4C4F" w:rsidRPr="00CE5E9C" w:rsidTr="00BD4C4F">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PE Control</w:t>
            </w:r>
          </w:p>
        </w:tc>
        <w:tc>
          <w:tcPr>
            <w:tcW w:w="0" w:type="auto"/>
            <w:tcBorders>
              <w:bottom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2.1 ± 0.8ᶜ</w:t>
            </w:r>
          </w:p>
        </w:tc>
        <w:tc>
          <w:tcPr>
            <w:tcW w:w="0" w:type="auto"/>
            <w:tcBorders>
              <w:left w:val="single" w:sz="4" w:space="0" w:color="auto"/>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0.002 ± 0.001ᶜ</w:t>
            </w:r>
          </w:p>
        </w:tc>
        <w:tc>
          <w:tcPr>
            <w:tcW w:w="0" w:type="auto"/>
            <w:tcBorders>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Minimal activity</w:t>
            </w:r>
          </w:p>
        </w:tc>
        <w:tc>
          <w:tcPr>
            <w:tcW w:w="0" w:type="auto"/>
            <w:tcBorders>
              <w:bottom w:val="single" w:sz="4" w:space="0" w:color="auto"/>
              <w:right w:val="single" w:sz="4" w:space="0" w:color="auto"/>
            </w:tcBorders>
            <w:shd w:val="clear" w:color="auto" w:fill="auto"/>
            <w:vAlign w:val="center"/>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None detected</w:t>
            </w:r>
          </w:p>
        </w:tc>
      </w:tr>
    </w:tbl>
    <w:p w:rsidR="00653F86" w:rsidRPr="00CE5E9C" w:rsidRDefault="00BD4C4F">
      <w:pPr>
        <w:pStyle w:val="NormalWeb"/>
        <w:rPr>
          <w:sz w:val="20"/>
          <w:szCs w:val="20"/>
        </w:rPr>
      </w:pPr>
      <w:r w:rsidRPr="00CE5E9C">
        <w:rPr>
          <w:rStyle w:val="Emphasis"/>
          <w:sz w:val="20"/>
          <w:szCs w:val="20"/>
        </w:rPr>
        <w:t>Values are mean ± SD (n=6). Different superscript letters indicate significant differences (p&lt;0.05, Tukey's HSD test). Test duration: 45 days under OECD 301F conditions.</w:t>
      </w:r>
    </w:p>
    <w:p w:rsidR="00653F86" w:rsidRDefault="00653F86">
      <w:pPr>
        <w:rPr>
          <w:rFonts w:ascii="Times New Roman" w:hAnsi="Times New Roman" w:cs="Times New Roman"/>
          <w:sz w:val="20"/>
          <w:szCs w:val="20"/>
        </w:rPr>
      </w:pPr>
    </w:p>
    <w:p w:rsidR="004C4F19" w:rsidRDefault="004C4F19">
      <w:pPr>
        <w:rPr>
          <w:rFonts w:ascii="Times New Roman" w:hAnsi="Times New Roman" w:cs="Times New Roman"/>
          <w:sz w:val="20"/>
          <w:szCs w:val="20"/>
        </w:rPr>
      </w:pPr>
    </w:p>
    <w:p w:rsidR="004C4F19" w:rsidRDefault="004C4F19">
      <w:pPr>
        <w:rPr>
          <w:rFonts w:ascii="Times New Roman" w:hAnsi="Times New Roman" w:cs="Times New Roman"/>
          <w:sz w:val="20"/>
          <w:szCs w:val="20"/>
        </w:rPr>
      </w:pPr>
    </w:p>
    <w:p w:rsidR="004C4F19" w:rsidRDefault="004C4F19">
      <w:pPr>
        <w:rPr>
          <w:rFonts w:ascii="Times New Roman" w:hAnsi="Times New Roman" w:cs="Times New Roman"/>
          <w:sz w:val="20"/>
          <w:szCs w:val="20"/>
        </w:rPr>
      </w:pPr>
    </w:p>
    <w:p w:rsidR="004C4F19" w:rsidRDefault="004C4F19">
      <w:pPr>
        <w:rPr>
          <w:rFonts w:ascii="Times New Roman" w:hAnsi="Times New Roman" w:cs="Times New Roman"/>
          <w:sz w:val="20"/>
          <w:szCs w:val="20"/>
        </w:rPr>
      </w:pPr>
    </w:p>
    <w:p w:rsidR="004C4F19" w:rsidRDefault="004C4F19">
      <w:pPr>
        <w:rPr>
          <w:rFonts w:ascii="Times New Roman" w:hAnsi="Times New Roman" w:cs="Times New Roman"/>
          <w:sz w:val="20"/>
          <w:szCs w:val="20"/>
        </w:rPr>
      </w:pPr>
    </w:p>
    <w:p w:rsidR="004C4F19" w:rsidRDefault="004C4F19">
      <w:pPr>
        <w:rPr>
          <w:rFonts w:ascii="Times New Roman" w:hAnsi="Times New Roman" w:cs="Times New Roman"/>
          <w:sz w:val="20"/>
          <w:szCs w:val="20"/>
        </w:rPr>
      </w:pPr>
    </w:p>
    <w:p w:rsidR="004C4F19" w:rsidRPr="00CE5E9C" w:rsidRDefault="004C4F19">
      <w:pPr>
        <w:rPr>
          <w:rFonts w:ascii="Times New Roman" w:hAnsi="Times New Roman" w:cs="Times New Roman"/>
          <w:sz w:val="20"/>
          <w:szCs w:val="20"/>
        </w:rPr>
      </w:pPr>
    </w:p>
    <w:p w:rsidR="00653F86" w:rsidRPr="00CE5E9C" w:rsidRDefault="00BD4C4F">
      <w:pPr>
        <w:pStyle w:val="Heading2"/>
        <w:keepNext w:val="0"/>
        <w:keepLines w:val="0"/>
        <w:rPr>
          <w:rFonts w:ascii="Times New Roman" w:hAnsi="Times New Roman" w:cs="Times New Roman"/>
          <w:color w:val="auto"/>
          <w:sz w:val="20"/>
          <w:szCs w:val="20"/>
        </w:rPr>
      </w:pPr>
      <w:r w:rsidRPr="00CE5E9C">
        <w:rPr>
          <w:rStyle w:val="Strong"/>
          <w:rFonts w:ascii="Times New Roman" w:hAnsi="Times New Roman" w:cs="Times New Roman"/>
          <w:color w:val="auto"/>
          <w:sz w:val="20"/>
          <w:szCs w:val="20"/>
        </w:rPr>
        <w:lastRenderedPageBreak/>
        <w:t>Table 6.2: Comprehensive Leachate Analysis and Toxicity Assessment</w:t>
      </w:r>
    </w:p>
    <w:tbl>
      <w:tblPr>
        <w:tblStyle w:val="TableGrid"/>
        <w:tblW w:w="0" w:type="auto"/>
        <w:tblLook w:val="04A0" w:firstRow="1" w:lastRow="0" w:firstColumn="1" w:lastColumn="0" w:noHBand="0" w:noVBand="1"/>
      </w:tblPr>
      <w:tblGrid>
        <w:gridCol w:w="1994"/>
        <w:gridCol w:w="1206"/>
        <w:gridCol w:w="1474"/>
        <w:gridCol w:w="1218"/>
        <w:gridCol w:w="1144"/>
        <w:gridCol w:w="1183"/>
        <w:gridCol w:w="1357"/>
      </w:tblGrid>
      <w:tr w:rsidR="00653F86" w:rsidRPr="00CE5E9C" w:rsidTr="00BD4C4F">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Parameter</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ZnO-CNC (Green tea)</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TiO₂-Chitosan (Moringa)</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CuO-Starch (Aloe vera)</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Fe₂O₃-CNC (Neem)</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Detection Limit</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Regulatory Limit*</w:t>
            </w:r>
          </w:p>
        </w:tc>
      </w:tr>
      <w:tr w:rsidR="0048721B" w:rsidRPr="00CE5E9C" w:rsidTr="00BD4C4F">
        <w:trPr>
          <w:gridAfter w:val="6"/>
        </w:trPr>
        <w:tc>
          <w:tcPr>
            <w:tcW w:w="0" w:type="auto"/>
          </w:tcPr>
          <w:p w:rsidR="0048721B" w:rsidRPr="00CE5E9C" w:rsidRDefault="0048721B">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Metal Concentrations (μg/L)</w:t>
            </w:r>
          </w:p>
        </w:tc>
      </w:tr>
      <w:tr w:rsidR="00653F86" w:rsidRPr="00CE5E9C" w:rsidTr="00BD4C4F">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Zn</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5000</w:t>
            </w:r>
          </w:p>
        </w:tc>
      </w:tr>
      <w:tr w:rsidR="00653F86" w:rsidRPr="00CE5E9C" w:rsidTr="00BD4C4F">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Ti</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NE**</w:t>
            </w:r>
          </w:p>
        </w:tc>
      </w:tr>
      <w:tr w:rsidR="00653F86" w:rsidRPr="00CE5E9C" w:rsidTr="00BD4C4F">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Cu</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0.18 ± 0.03</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1000</w:t>
            </w:r>
          </w:p>
        </w:tc>
      </w:tr>
      <w:tr w:rsidR="00653F86" w:rsidRPr="00CE5E9C" w:rsidTr="00BD4C4F">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Fe</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0.45 ± 0.08</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300</w:t>
            </w:r>
          </w:p>
        </w:tc>
      </w:tr>
      <w:tr w:rsidR="00CE5E9C" w:rsidRPr="00CE5E9C" w:rsidTr="00BD4C4F">
        <w:trPr>
          <w:gridAfter w:val="6"/>
        </w:trPr>
        <w:tc>
          <w:tcPr>
            <w:tcW w:w="0" w:type="auto"/>
          </w:tcPr>
          <w:p w:rsidR="00CE5E9C" w:rsidRPr="00CE5E9C" w:rsidRDefault="00CE5E9C">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Organic Intermediates (mg/L)</w:t>
            </w:r>
          </w:p>
        </w:tc>
      </w:tr>
      <w:tr w:rsidR="00653F86" w:rsidRPr="00CE5E9C" w:rsidTr="00BD4C4F">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Phenolic compounds</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0.5</w:t>
            </w:r>
          </w:p>
        </w:tc>
      </w:tr>
      <w:tr w:rsidR="00653F86" w:rsidRPr="00CE5E9C" w:rsidTr="00BD4C4F">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Aromatic hydrocarbons</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0.2</w:t>
            </w:r>
          </w:p>
        </w:tc>
      </w:tr>
      <w:tr w:rsidR="0048721B" w:rsidRPr="00CE5E9C" w:rsidTr="00BD4C4F">
        <w:trPr>
          <w:gridAfter w:val="6"/>
        </w:trPr>
        <w:tc>
          <w:tcPr>
            <w:tcW w:w="0" w:type="auto"/>
          </w:tcPr>
          <w:p w:rsidR="0048721B" w:rsidRPr="00CE5E9C" w:rsidRDefault="0048721B">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Ecotoxicity Endpoints</w:t>
            </w:r>
          </w:p>
        </w:tc>
      </w:tr>
      <w:tr w:rsidR="00653F86" w:rsidRPr="00CE5E9C" w:rsidTr="00BD4C4F">
        <w:tc>
          <w:tcPr>
            <w:tcW w:w="0" w:type="auto"/>
          </w:tcPr>
          <w:p w:rsidR="00653F86" w:rsidRPr="00CE5E9C" w:rsidRDefault="00BD4C4F">
            <w:pPr>
              <w:rPr>
                <w:rFonts w:ascii="Times New Roman" w:hAnsi="Times New Roman" w:cs="Times New Roman"/>
                <w:sz w:val="20"/>
                <w:szCs w:val="20"/>
              </w:rPr>
            </w:pPr>
            <w:r w:rsidRPr="00CE5E9C">
              <w:rPr>
                <w:rStyle w:val="Emphasis"/>
                <w:rFonts w:ascii="Times New Roman" w:eastAsia="SimSun" w:hAnsi="Times New Roman" w:cs="Times New Roman"/>
                <w:sz w:val="20"/>
                <w:szCs w:val="20"/>
                <w:lang w:eastAsia="zh-CN"/>
              </w:rPr>
              <w:t>Daphnia magna</w:t>
            </w:r>
            <w:r w:rsidRPr="00CE5E9C">
              <w:rPr>
                <w:rFonts w:ascii="Times New Roman" w:eastAsia="SimSun" w:hAnsi="Times New Roman" w:cs="Times New Roman"/>
                <w:sz w:val="20"/>
                <w:szCs w:val="20"/>
                <w:lang w:eastAsia="zh-CN"/>
              </w:rPr>
              <w:t xml:space="preserve"> LC</w:t>
            </w:r>
            <w:r w:rsidRPr="00CE5E9C">
              <w:rPr>
                <w:rFonts w:ascii="Times New Roman" w:eastAsia="MS Mincho" w:hAnsi="Times New Roman" w:cs="Times New Roman"/>
                <w:sz w:val="20"/>
                <w:szCs w:val="20"/>
                <w:lang w:eastAsia="zh-CN"/>
              </w:rPr>
              <w:t>₅₀</w:t>
            </w:r>
            <w:r w:rsidRPr="00CE5E9C">
              <w:rPr>
                <w:rFonts w:ascii="Times New Roman" w:eastAsia="SimSun" w:hAnsi="Times New Roman" w:cs="Times New Roman"/>
                <w:sz w:val="20"/>
                <w:szCs w:val="20"/>
                <w:lang w:eastAsia="zh-CN"/>
              </w:rPr>
              <w:t xml:space="preserve"> (mg/L)</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&gt;1000</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&gt;1000</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856 ± 124</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&gt;1000</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&gt;100</w:t>
            </w:r>
          </w:p>
        </w:tc>
      </w:tr>
      <w:tr w:rsidR="00653F86" w:rsidRPr="00CE5E9C" w:rsidTr="00CE5E9C">
        <w:tc>
          <w:tcPr>
            <w:tcW w:w="0" w:type="auto"/>
          </w:tcPr>
          <w:p w:rsidR="00653F86" w:rsidRPr="00CE5E9C" w:rsidRDefault="00BD4C4F">
            <w:pPr>
              <w:rPr>
                <w:rFonts w:ascii="Times New Roman" w:hAnsi="Times New Roman" w:cs="Times New Roman"/>
                <w:sz w:val="20"/>
                <w:szCs w:val="20"/>
              </w:rPr>
            </w:pPr>
            <w:r w:rsidRPr="00CE5E9C">
              <w:rPr>
                <w:rStyle w:val="Emphasis"/>
                <w:rFonts w:ascii="Times New Roman" w:eastAsia="SimSun" w:hAnsi="Times New Roman" w:cs="Times New Roman"/>
                <w:sz w:val="20"/>
                <w:szCs w:val="20"/>
                <w:lang w:eastAsia="zh-CN"/>
              </w:rPr>
              <w:t>Lactuca sativa</w:t>
            </w:r>
            <w:r w:rsidRPr="00CE5E9C">
              <w:rPr>
                <w:rFonts w:ascii="Times New Roman" w:eastAsia="SimSun" w:hAnsi="Times New Roman" w:cs="Times New Roman"/>
                <w:sz w:val="20"/>
                <w:szCs w:val="20"/>
                <w:lang w:eastAsia="zh-CN"/>
              </w:rPr>
              <w:t xml:space="preserve"> IC</w:t>
            </w:r>
            <w:r w:rsidRPr="00CE5E9C">
              <w:rPr>
                <w:rFonts w:ascii="Times New Roman" w:eastAsia="MS Mincho" w:hAnsi="Times New Roman" w:cs="Times New Roman"/>
                <w:sz w:val="20"/>
                <w:szCs w:val="20"/>
                <w:lang w:eastAsia="zh-CN"/>
              </w:rPr>
              <w:t>₅₀</w:t>
            </w:r>
            <w:r w:rsidRPr="00CE5E9C">
              <w:rPr>
                <w:rFonts w:ascii="Times New Roman" w:eastAsia="SimSun" w:hAnsi="Times New Roman" w:cs="Times New Roman"/>
                <w:sz w:val="20"/>
                <w:szCs w:val="20"/>
                <w:lang w:eastAsia="zh-CN"/>
              </w:rPr>
              <w:t xml:space="preserve"> (mg/L)</w:t>
            </w:r>
          </w:p>
        </w:tc>
        <w:tc>
          <w:tcPr>
            <w:tcW w:w="0" w:type="auto"/>
            <w:tcBorders>
              <w:right w:val="single" w:sz="4" w:space="0" w:color="auto"/>
            </w:tcBorders>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&gt;500</w:t>
            </w:r>
          </w:p>
        </w:tc>
        <w:tc>
          <w:tcPr>
            <w:tcW w:w="0" w:type="auto"/>
            <w:tcBorders>
              <w:left w:val="single" w:sz="4" w:space="0" w:color="auto"/>
            </w:tcBorders>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&gt;500</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412 ± 67</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&gt;500</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&gt;100</w:t>
            </w:r>
          </w:p>
        </w:tc>
      </w:tr>
      <w:tr w:rsidR="00CE5E9C" w:rsidRPr="00CE5E9C" w:rsidTr="00CE5E9C">
        <w:trPr>
          <w:gridAfter w:val="5"/>
        </w:trPr>
        <w:tc>
          <w:tcPr>
            <w:tcW w:w="0" w:type="auto"/>
          </w:tcPr>
          <w:p w:rsidR="00CE5E9C" w:rsidRPr="00CE5E9C" w:rsidRDefault="00CE5E9C">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Bioaccumulation Factors</w:t>
            </w:r>
          </w:p>
        </w:tc>
        <w:tc>
          <w:tcPr>
            <w:tcW w:w="0" w:type="auto"/>
            <w:tcBorders>
              <w:right w:val="single" w:sz="4" w:space="0" w:color="auto"/>
            </w:tcBorders>
          </w:tcPr>
          <w:p w:rsidR="00CE5E9C" w:rsidRPr="00CE5E9C" w:rsidRDefault="00CE5E9C">
            <w:pPr>
              <w:rPr>
                <w:rFonts w:ascii="Times New Roman" w:hAnsi="Times New Roman" w:cs="Times New Roman"/>
                <w:sz w:val="20"/>
                <w:szCs w:val="20"/>
              </w:rPr>
            </w:pPr>
          </w:p>
        </w:tc>
      </w:tr>
      <w:tr w:rsidR="00653F86" w:rsidRPr="00CE5E9C" w:rsidTr="00BD4C4F">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BCF (</w:t>
            </w:r>
            <w:r w:rsidRPr="00CE5E9C">
              <w:rPr>
                <w:rStyle w:val="Emphasis"/>
                <w:rFonts w:ascii="Times New Roman" w:eastAsia="SimSun" w:hAnsi="Times New Roman" w:cs="Times New Roman"/>
                <w:sz w:val="20"/>
                <w:szCs w:val="20"/>
                <w:lang w:eastAsia="zh-CN"/>
              </w:rPr>
              <w:t>Daphnia magna</w:t>
            </w:r>
            <w:r w:rsidRPr="00CE5E9C">
              <w:rPr>
                <w:rFonts w:ascii="Times New Roman" w:eastAsia="SimSun" w:hAnsi="Times New Roman" w:cs="Times New Roman"/>
                <w:sz w:val="20"/>
                <w:szCs w:val="20"/>
                <w:lang w:eastAsia="zh-CN"/>
              </w:rPr>
              <w:t>)</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12 ± 3</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 ± 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47 ± 8</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15 ± 4</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&lt;2000</w:t>
            </w:r>
          </w:p>
        </w:tc>
      </w:tr>
      <w:tr w:rsidR="00653F86" w:rsidRPr="00CE5E9C" w:rsidTr="00BD4C4F">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BAF (sediment-water)</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0.23 ± 0.05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0.18 ± 0.04</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0.89 ± 0.15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0.31 ± 0.07</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&lt;1000</w:t>
            </w:r>
          </w:p>
        </w:tc>
      </w:tr>
    </w:tbl>
    <w:p w:rsidR="00653F86" w:rsidRPr="00CE5E9C" w:rsidRDefault="00BD4C4F">
      <w:pPr>
        <w:pStyle w:val="NormalWeb"/>
        <w:rPr>
          <w:i/>
          <w:sz w:val="20"/>
          <w:szCs w:val="20"/>
        </w:rPr>
      </w:pPr>
      <w:r w:rsidRPr="00CE5E9C">
        <w:rPr>
          <w:i/>
          <w:sz w:val="20"/>
          <w:szCs w:val="20"/>
        </w:rPr>
        <w:t>*EU Water Framework Directive limits. *</w:t>
      </w:r>
      <w:r w:rsidRPr="00CE5E9C">
        <w:rPr>
          <w:rStyle w:val="Emphasis"/>
          <w:i w:val="0"/>
          <w:sz w:val="20"/>
          <w:szCs w:val="20"/>
        </w:rPr>
        <w:t>NE = Not established. Values are mean ± SD (n=5).</w:t>
      </w:r>
    </w:p>
    <w:p w:rsidR="00653F86" w:rsidRPr="00CE5E9C" w:rsidRDefault="00653F86">
      <w:pPr>
        <w:rPr>
          <w:rFonts w:ascii="Times New Roman" w:hAnsi="Times New Roman" w:cs="Times New Roman"/>
          <w:sz w:val="20"/>
          <w:szCs w:val="20"/>
        </w:rPr>
      </w:pPr>
    </w:p>
    <w:p w:rsidR="00CE5E9C" w:rsidRPr="00CE5E9C" w:rsidRDefault="00CE5E9C">
      <w:pPr>
        <w:rPr>
          <w:rFonts w:ascii="Times New Roman" w:hAnsi="Times New Roman" w:cs="Times New Roman"/>
          <w:sz w:val="20"/>
          <w:szCs w:val="20"/>
        </w:rPr>
      </w:pPr>
    </w:p>
    <w:p w:rsidR="00CE5E9C" w:rsidRDefault="00CE5E9C">
      <w:pPr>
        <w:rPr>
          <w:rFonts w:ascii="Times New Roman" w:hAnsi="Times New Roman" w:cs="Times New Roman"/>
          <w:sz w:val="20"/>
          <w:szCs w:val="20"/>
        </w:rPr>
      </w:pPr>
    </w:p>
    <w:p w:rsidR="004C4F19" w:rsidRPr="00CE5E9C" w:rsidRDefault="004C4F19">
      <w:pPr>
        <w:rPr>
          <w:rFonts w:ascii="Times New Roman" w:hAnsi="Times New Roman" w:cs="Times New Roman"/>
          <w:sz w:val="20"/>
          <w:szCs w:val="20"/>
        </w:rPr>
      </w:pPr>
    </w:p>
    <w:p w:rsidR="00653F86" w:rsidRPr="00CE5E9C" w:rsidRDefault="00BD4C4F">
      <w:pPr>
        <w:pStyle w:val="Heading2"/>
        <w:keepNext w:val="0"/>
        <w:keepLines w:val="0"/>
        <w:rPr>
          <w:rFonts w:ascii="Times New Roman" w:hAnsi="Times New Roman" w:cs="Times New Roman"/>
          <w:color w:val="auto"/>
          <w:sz w:val="20"/>
          <w:szCs w:val="20"/>
        </w:rPr>
      </w:pPr>
      <w:r w:rsidRPr="00CE5E9C">
        <w:rPr>
          <w:rStyle w:val="Strong"/>
          <w:rFonts w:ascii="Times New Roman" w:hAnsi="Times New Roman" w:cs="Times New Roman"/>
          <w:color w:val="auto"/>
          <w:sz w:val="20"/>
          <w:szCs w:val="20"/>
        </w:rPr>
        <w:lastRenderedPageBreak/>
        <w:t>Table 6.3: Comprehensive Life Cycle Assessment Results</w:t>
      </w:r>
    </w:p>
    <w:tbl>
      <w:tblPr>
        <w:tblStyle w:val="TableGrid"/>
        <w:tblW w:w="0" w:type="auto"/>
        <w:tblLook w:val="04A0" w:firstRow="1" w:lastRow="0" w:firstColumn="1" w:lastColumn="0" w:noHBand="0" w:noVBand="1"/>
      </w:tblPr>
      <w:tblGrid>
        <w:gridCol w:w="1577"/>
        <w:gridCol w:w="1107"/>
        <w:gridCol w:w="1204"/>
        <w:gridCol w:w="1204"/>
        <w:gridCol w:w="1189"/>
        <w:gridCol w:w="1204"/>
        <w:gridCol w:w="1064"/>
        <w:gridCol w:w="1027"/>
      </w:tblGrid>
      <w:tr w:rsidR="00174E95" w:rsidRPr="00CE5E9C" w:rsidTr="00174E95">
        <w:tc>
          <w:tcPr>
            <w:tcW w:w="1577" w:type="dxa"/>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Impact Category</w:t>
            </w:r>
          </w:p>
        </w:tc>
        <w:tc>
          <w:tcPr>
            <w:tcW w:w="1107" w:type="dxa"/>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Unit</w:t>
            </w:r>
          </w:p>
        </w:tc>
        <w:tc>
          <w:tcPr>
            <w:tcW w:w="1204" w:type="dxa"/>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ZnO-CNC (Green tea)</w:t>
            </w:r>
          </w:p>
        </w:tc>
        <w:tc>
          <w:tcPr>
            <w:tcW w:w="1204" w:type="dxa"/>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TiO₂-Chitosan (Moringa)</w:t>
            </w:r>
          </w:p>
        </w:tc>
        <w:tc>
          <w:tcPr>
            <w:tcW w:w="1189" w:type="dxa"/>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CuO-Starch (Aloe vera)</w:t>
            </w:r>
          </w:p>
        </w:tc>
        <w:tc>
          <w:tcPr>
            <w:tcW w:w="1204" w:type="dxa"/>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Fe₂O₃-CNC (Neem)</w:t>
            </w:r>
          </w:p>
        </w:tc>
        <w:tc>
          <w:tcPr>
            <w:tcW w:w="1064" w:type="dxa"/>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Conv. TiO₂</w:t>
            </w:r>
          </w:p>
        </w:tc>
        <w:tc>
          <w:tcPr>
            <w:tcW w:w="1027" w:type="dxa"/>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Conv. ZnO</w:t>
            </w:r>
          </w:p>
        </w:tc>
      </w:tr>
      <w:tr w:rsidR="0048721B" w:rsidRPr="00CE5E9C" w:rsidTr="00174E95">
        <w:trPr>
          <w:gridAfter w:val="7"/>
          <w:wAfter w:w="7999" w:type="dxa"/>
        </w:trPr>
        <w:tc>
          <w:tcPr>
            <w:tcW w:w="1577" w:type="dxa"/>
          </w:tcPr>
          <w:p w:rsidR="0048721B" w:rsidRPr="00CE5E9C" w:rsidRDefault="0048721B">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Climate Change</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Global Warming Potential</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kg CO₂-eq/FU*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3.2 ± 0.4</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3.8 ± 0.5</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4.1 ± 0.6</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3.5 ± 0.4</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12.5 ± 1.8</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8.9 ± 1.2</w:t>
            </w:r>
          </w:p>
        </w:tc>
      </w:tr>
      <w:tr w:rsidR="00CE5E9C" w:rsidRPr="00CE5E9C" w:rsidTr="00174E95">
        <w:trPr>
          <w:gridAfter w:val="7"/>
          <w:wAfter w:w="7999" w:type="dxa"/>
        </w:trPr>
        <w:tc>
          <w:tcPr>
            <w:tcW w:w="1577" w:type="dxa"/>
          </w:tcPr>
          <w:p w:rsidR="00CE5E9C" w:rsidRPr="00CE5E9C" w:rsidRDefault="00CE5E9C">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Resource Depletion</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Fossil Fuel Depletion</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kg oil-eq/FU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1.1 ± 0.2</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1.3 ± 0.2</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1.5 ± 0.3</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1.2 ± 0.2</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4.8 ± 0.7</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3.2 ± 0.5</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Metal Depletion</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kg Fe-eq/FU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0.08 ± 0.02</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0.06 ± 0.01</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0.12 ± 0.03</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0.15 ± 0.03</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0.45 ± 0.08</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0.38 ± 0.07</w:t>
            </w:r>
          </w:p>
        </w:tc>
      </w:tr>
      <w:tr w:rsidR="00CE5E9C" w:rsidRPr="00CE5E9C" w:rsidTr="00174E95">
        <w:trPr>
          <w:gridAfter w:val="7"/>
          <w:wAfter w:w="7999" w:type="dxa"/>
        </w:trPr>
        <w:tc>
          <w:tcPr>
            <w:tcW w:w="1577" w:type="dxa"/>
          </w:tcPr>
          <w:p w:rsidR="00CE5E9C" w:rsidRPr="00CE5E9C" w:rsidRDefault="00CE5E9C">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Ecosystem Quality</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Terrestrial Acidification</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kg SO₂-eq/FU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0.021 ± 0.004</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0.025 ± 0.005</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0.028 ± 0.006</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0.023 ± 0.004</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0.089 ± 0.015</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0.067 ± 0.012</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Freshwater Eutrophication</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kg P-eq/FU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0.003 ± 0.001</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0.004 ± 0.001</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0.005 ± 0.001</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0.004 ± 0.001</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0.018 ± 0.003</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0.013 ± 0.002</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Terrestrial Ecotoxicity</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CTUe/FU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0.15 ± 0.03</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0.18 ± 0.04</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0.22 ± 0.05</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0.17 ± 0.03</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0.89 ± 0.16</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0.71 ± 0.13</w:t>
            </w:r>
          </w:p>
        </w:tc>
      </w:tr>
      <w:tr w:rsidR="00CE5E9C" w:rsidRPr="00CE5E9C" w:rsidTr="00174E95">
        <w:trPr>
          <w:gridAfter w:val="7"/>
          <w:wAfter w:w="7999" w:type="dxa"/>
        </w:trPr>
        <w:tc>
          <w:tcPr>
            <w:tcW w:w="1577" w:type="dxa"/>
          </w:tcPr>
          <w:p w:rsidR="00CE5E9C" w:rsidRPr="00CE5E9C" w:rsidRDefault="00CE5E9C">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Human Health</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Human Toxicity (cancer)</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CTUh/FU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2.3E-08 ± 5E-09</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2.8E-08 ± 6E-09</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3.5E-08 ± 8E-09</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2.6E-08 ± 6E-09</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1.5E-07 ± 3E-08</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1.2E-07 ± 2E-08</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Human Toxicity (non-cancer)</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CTUh/FU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1.8E-09 ± 4E-10</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2.1E-09 ± 5E-10</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2.7E-09 ± 6E-10</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2.0E-09 ± 4E-10</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9.8E-09 ± 2E-09</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7.6E-09 ± 1E-09</w:t>
            </w:r>
          </w:p>
        </w:tc>
      </w:tr>
      <w:tr w:rsidR="00CE5E9C" w:rsidRPr="00CE5E9C" w:rsidTr="00174E95">
        <w:trPr>
          <w:gridAfter w:val="7"/>
          <w:wAfter w:w="7999" w:type="dxa"/>
        </w:trPr>
        <w:tc>
          <w:tcPr>
            <w:tcW w:w="1577" w:type="dxa"/>
          </w:tcPr>
          <w:p w:rsidR="00CE5E9C" w:rsidRPr="00CE5E9C" w:rsidRDefault="00CE5E9C">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Water Resources</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Water Consumption</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m³/FU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0.18 ± 0.03</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0.22 ± 0.04</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0.25 ± 0.05</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0.20 ± 0.04</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0.45 ± 0.08</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0.38 ± 0.07</w:t>
            </w:r>
          </w:p>
        </w:tc>
      </w:tr>
      <w:tr w:rsidR="00174E95" w:rsidRPr="00CE5E9C" w:rsidTr="00174E95">
        <w:tc>
          <w:tcPr>
            <w:tcW w:w="157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Water Scarcity</w:t>
            </w:r>
          </w:p>
        </w:tc>
        <w:tc>
          <w:tcPr>
            <w:tcW w:w="110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m³ H₂O-eq/FU</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0.089 ± 0.016</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0.105 ± 0.019</w:t>
            </w:r>
          </w:p>
        </w:tc>
        <w:tc>
          <w:tcPr>
            <w:tcW w:w="1189"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0.118 ± 0.021</w:t>
            </w:r>
          </w:p>
        </w:tc>
        <w:tc>
          <w:tcPr>
            <w:tcW w:w="120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0.096 ± 0.017</w:t>
            </w:r>
          </w:p>
        </w:tc>
        <w:tc>
          <w:tcPr>
            <w:tcW w:w="1064"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0.287 ± 0.051</w:t>
            </w:r>
          </w:p>
        </w:tc>
        <w:tc>
          <w:tcPr>
            <w:tcW w:w="1027" w:type="dxa"/>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0.234 ± 0.042</w:t>
            </w:r>
          </w:p>
        </w:tc>
      </w:tr>
    </w:tbl>
    <w:p w:rsidR="00653F86" w:rsidRPr="00CE5E9C" w:rsidRDefault="00BD4C4F">
      <w:pPr>
        <w:pStyle w:val="NormalWeb"/>
        <w:rPr>
          <w:sz w:val="20"/>
          <w:szCs w:val="20"/>
        </w:rPr>
      </w:pPr>
      <w:r w:rsidRPr="00CE5E9C">
        <w:rPr>
          <w:sz w:val="20"/>
          <w:szCs w:val="20"/>
        </w:rPr>
        <w:t>*</w:t>
      </w:r>
      <w:r w:rsidRPr="00CE5E9C">
        <w:rPr>
          <w:rStyle w:val="Emphasis"/>
          <w:sz w:val="20"/>
          <w:szCs w:val="20"/>
        </w:rPr>
        <w:t>FU = Functional Unit (Treatment of 1 m³ contaminated water to 90% removal efficiency). Values are mean ± SD from Monte Carlo analysis (n=10,000 iterations). Conv. = Conventional synthesis methods.</w:t>
      </w:r>
    </w:p>
    <w:p w:rsidR="00CE5E9C" w:rsidRPr="00CE5E9C" w:rsidRDefault="00CE5E9C">
      <w:pPr>
        <w:rPr>
          <w:rFonts w:ascii="Times New Roman" w:hAnsi="Times New Roman" w:cs="Times New Roman"/>
          <w:sz w:val="20"/>
          <w:szCs w:val="20"/>
        </w:rPr>
      </w:pPr>
    </w:p>
    <w:p w:rsidR="00653F86" w:rsidRPr="00CE5E9C" w:rsidRDefault="00BD4C4F">
      <w:pPr>
        <w:pStyle w:val="Heading2"/>
        <w:keepNext w:val="0"/>
        <w:keepLines w:val="0"/>
        <w:rPr>
          <w:rFonts w:ascii="Times New Roman" w:hAnsi="Times New Roman" w:cs="Times New Roman"/>
          <w:color w:val="auto"/>
          <w:sz w:val="20"/>
          <w:szCs w:val="20"/>
        </w:rPr>
      </w:pPr>
      <w:r w:rsidRPr="00CE5E9C">
        <w:rPr>
          <w:rStyle w:val="Strong"/>
          <w:rFonts w:ascii="Times New Roman" w:hAnsi="Times New Roman" w:cs="Times New Roman"/>
          <w:color w:val="auto"/>
          <w:sz w:val="20"/>
          <w:szCs w:val="20"/>
        </w:rPr>
        <w:lastRenderedPageBreak/>
        <w:t>Table 6.4: Degradation Kinetics and Mechanism Analysis</w:t>
      </w:r>
    </w:p>
    <w:tbl>
      <w:tblPr>
        <w:tblStyle w:val="TableGrid"/>
        <w:tblW w:w="0" w:type="auto"/>
        <w:tblLook w:val="04A0" w:firstRow="1" w:lastRow="0" w:firstColumn="1" w:lastColumn="0" w:noHBand="0" w:noVBand="1"/>
      </w:tblPr>
      <w:tblGrid>
        <w:gridCol w:w="2199"/>
        <w:gridCol w:w="1242"/>
        <w:gridCol w:w="1205"/>
        <w:gridCol w:w="1528"/>
        <w:gridCol w:w="1821"/>
        <w:gridCol w:w="1581"/>
      </w:tblGrid>
      <w:tr w:rsidR="00653F86" w:rsidRPr="0048721B" w:rsidTr="00174E95">
        <w:tc>
          <w:tcPr>
            <w:tcW w:w="0" w:type="auto"/>
          </w:tcPr>
          <w:p w:rsidR="00653F86" w:rsidRPr="0048721B" w:rsidRDefault="00BD4C4F">
            <w:pPr>
              <w:jc w:val="center"/>
              <w:rPr>
                <w:rFonts w:ascii="Times New Roman" w:hAnsi="Times New Roman" w:cs="Times New Roman"/>
                <w:b/>
                <w:bCs/>
                <w:sz w:val="16"/>
                <w:szCs w:val="16"/>
              </w:rPr>
            </w:pPr>
            <w:r w:rsidRPr="0048721B">
              <w:rPr>
                <w:rFonts w:ascii="Times New Roman" w:eastAsia="SimSun" w:hAnsi="Times New Roman" w:cs="Times New Roman"/>
                <w:b/>
                <w:bCs/>
                <w:sz w:val="16"/>
                <w:szCs w:val="16"/>
                <w:lang w:eastAsia="zh-CN"/>
              </w:rPr>
              <w:t>Nanocomposite</w:t>
            </w:r>
          </w:p>
        </w:tc>
        <w:tc>
          <w:tcPr>
            <w:tcW w:w="0" w:type="auto"/>
          </w:tcPr>
          <w:p w:rsidR="00653F86" w:rsidRPr="0048721B" w:rsidRDefault="00BD4C4F">
            <w:pPr>
              <w:jc w:val="center"/>
              <w:rPr>
                <w:rFonts w:ascii="Times New Roman" w:hAnsi="Times New Roman" w:cs="Times New Roman"/>
                <w:b/>
                <w:bCs/>
                <w:sz w:val="16"/>
                <w:szCs w:val="16"/>
              </w:rPr>
            </w:pPr>
            <w:r w:rsidRPr="0048721B">
              <w:rPr>
                <w:rFonts w:ascii="Times New Roman" w:eastAsia="SimSun" w:hAnsi="Times New Roman" w:cs="Times New Roman"/>
                <w:b/>
                <w:bCs/>
                <w:sz w:val="16"/>
                <w:szCs w:val="16"/>
                <w:lang w:eastAsia="zh-CN"/>
              </w:rPr>
              <w:t>Zero-Order Rate</w:t>
            </w:r>
          </w:p>
        </w:tc>
        <w:tc>
          <w:tcPr>
            <w:tcW w:w="0" w:type="auto"/>
          </w:tcPr>
          <w:p w:rsidR="00653F86" w:rsidRPr="0048721B" w:rsidRDefault="00BD4C4F">
            <w:pPr>
              <w:jc w:val="center"/>
              <w:rPr>
                <w:rFonts w:ascii="Times New Roman" w:hAnsi="Times New Roman" w:cs="Times New Roman"/>
                <w:b/>
                <w:bCs/>
                <w:sz w:val="16"/>
                <w:szCs w:val="16"/>
              </w:rPr>
            </w:pPr>
            <w:r w:rsidRPr="0048721B">
              <w:rPr>
                <w:rFonts w:ascii="Times New Roman" w:eastAsia="SimSun" w:hAnsi="Times New Roman" w:cs="Times New Roman"/>
                <w:b/>
                <w:bCs/>
                <w:sz w:val="16"/>
                <w:szCs w:val="16"/>
                <w:lang w:eastAsia="zh-CN"/>
              </w:rPr>
              <w:t>First-Order Rate</w:t>
            </w:r>
          </w:p>
        </w:tc>
        <w:tc>
          <w:tcPr>
            <w:tcW w:w="0" w:type="auto"/>
          </w:tcPr>
          <w:p w:rsidR="00653F86" w:rsidRPr="0048721B" w:rsidRDefault="00BD4C4F">
            <w:pPr>
              <w:jc w:val="center"/>
              <w:rPr>
                <w:rFonts w:ascii="Times New Roman" w:hAnsi="Times New Roman" w:cs="Times New Roman"/>
                <w:b/>
                <w:bCs/>
                <w:sz w:val="16"/>
                <w:szCs w:val="16"/>
              </w:rPr>
            </w:pPr>
            <w:r w:rsidRPr="0048721B">
              <w:rPr>
                <w:rFonts w:ascii="Times New Roman" w:eastAsia="SimSun" w:hAnsi="Times New Roman" w:cs="Times New Roman"/>
                <w:b/>
                <w:bCs/>
                <w:sz w:val="16"/>
                <w:szCs w:val="16"/>
                <w:lang w:eastAsia="zh-CN"/>
              </w:rPr>
              <w:t>Degradation Half-life</w:t>
            </w:r>
          </w:p>
        </w:tc>
        <w:tc>
          <w:tcPr>
            <w:tcW w:w="0" w:type="auto"/>
          </w:tcPr>
          <w:p w:rsidR="00653F86" w:rsidRPr="0048721B" w:rsidRDefault="00BD4C4F">
            <w:pPr>
              <w:jc w:val="center"/>
              <w:rPr>
                <w:rFonts w:ascii="Times New Roman" w:hAnsi="Times New Roman" w:cs="Times New Roman"/>
                <w:b/>
                <w:bCs/>
                <w:sz w:val="16"/>
                <w:szCs w:val="16"/>
              </w:rPr>
            </w:pPr>
            <w:r w:rsidRPr="0048721B">
              <w:rPr>
                <w:rFonts w:ascii="Times New Roman" w:eastAsia="SimSun" w:hAnsi="Times New Roman" w:cs="Times New Roman"/>
                <w:b/>
                <w:bCs/>
                <w:sz w:val="16"/>
                <w:szCs w:val="16"/>
                <w:lang w:eastAsia="zh-CN"/>
              </w:rPr>
              <w:t>Primary Mechanism</w:t>
            </w:r>
          </w:p>
        </w:tc>
        <w:tc>
          <w:tcPr>
            <w:tcW w:w="0" w:type="auto"/>
          </w:tcPr>
          <w:p w:rsidR="00653F86" w:rsidRPr="0048721B" w:rsidRDefault="00BD4C4F">
            <w:pPr>
              <w:jc w:val="center"/>
              <w:rPr>
                <w:rFonts w:ascii="Times New Roman" w:hAnsi="Times New Roman" w:cs="Times New Roman"/>
                <w:b/>
                <w:bCs/>
                <w:sz w:val="16"/>
                <w:szCs w:val="16"/>
              </w:rPr>
            </w:pPr>
            <w:r w:rsidRPr="0048721B">
              <w:rPr>
                <w:rFonts w:ascii="Times New Roman" w:eastAsia="SimSun" w:hAnsi="Times New Roman" w:cs="Times New Roman"/>
                <w:b/>
                <w:bCs/>
                <w:sz w:val="16"/>
                <w:szCs w:val="16"/>
                <w:lang w:eastAsia="zh-CN"/>
              </w:rPr>
              <w:t>Secondary Mechanism</w:t>
            </w:r>
          </w:p>
        </w:tc>
      </w:tr>
      <w:tr w:rsidR="00653F86" w:rsidRPr="0048721B" w:rsidTr="00174E95">
        <w:tc>
          <w:tcPr>
            <w:tcW w:w="0" w:type="auto"/>
          </w:tcPr>
          <w:p w:rsidR="00653F86" w:rsidRPr="0048721B" w:rsidRDefault="00653F86">
            <w:pPr>
              <w:rPr>
                <w:rFonts w:ascii="Times New Roman" w:hAnsi="Times New Roman" w:cs="Times New Roman"/>
                <w:sz w:val="16"/>
                <w:szCs w:val="16"/>
              </w:rPr>
            </w:pP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(mg/day)</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(day</w:t>
            </w:r>
            <w:r w:rsidRPr="0048721B">
              <w:rPr>
                <w:rFonts w:ascii="Times New Roman" w:eastAsia="MS Mincho" w:hAnsi="Times New Roman" w:cs="Times New Roman"/>
                <w:sz w:val="16"/>
                <w:szCs w:val="16"/>
                <w:lang w:eastAsia="zh-CN"/>
              </w:rPr>
              <w:t>⁻</w:t>
            </w:r>
            <w:r w:rsidRPr="0048721B">
              <w:rPr>
                <w:rFonts w:ascii="Times New Roman" w:eastAsia="SimSun" w:hAnsi="Times New Roman" w:cs="Times New Roman"/>
                <w:sz w:val="16"/>
                <w:szCs w:val="16"/>
                <w:lang w:eastAsia="zh-CN"/>
              </w:rPr>
              <w:t>¹)</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(days)</w:t>
            </w:r>
          </w:p>
        </w:tc>
        <w:tc>
          <w:tcPr>
            <w:tcW w:w="0" w:type="auto"/>
          </w:tcPr>
          <w:p w:rsidR="00653F86" w:rsidRPr="0048721B" w:rsidRDefault="00653F86">
            <w:pPr>
              <w:rPr>
                <w:rFonts w:ascii="Times New Roman" w:hAnsi="Times New Roman" w:cs="Times New Roman"/>
                <w:sz w:val="16"/>
                <w:szCs w:val="16"/>
              </w:rPr>
            </w:pPr>
          </w:p>
        </w:tc>
        <w:tc>
          <w:tcPr>
            <w:tcW w:w="0" w:type="auto"/>
          </w:tcPr>
          <w:p w:rsidR="00653F86" w:rsidRPr="0048721B" w:rsidRDefault="00653F86">
            <w:pPr>
              <w:rPr>
                <w:rFonts w:ascii="Times New Roman" w:hAnsi="Times New Roman" w:cs="Times New Roman"/>
                <w:sz w:val="16"/>
                <w:szCs w:val="16"/>
              </w:rPr>
            </w:pPr>
          </w:p>
        </w:tc>
      </w:tr>
      <w:tr w:rsidR="00653F86" w:rsidRPr="0048721B" w:rsidTr="00174E95">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ZnO-CNC (Green tea extract)</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18.5 ± 2.1</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0.089 ± 0.007</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7.8 ± 0.6</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Cellulase hydrolysis</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Metal oxide dissolution</w:t>
            </w:r>
          </w:p>
        </w:tc>
      </w:tr>
      <w:tr w:rsidR="00653F86" w:rsidRPr="0048721B" w:rsidTr="00174E95">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TiO₂-Chitosan (Moringa oleifera)</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16.8 ± 2.4</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0.081 ± 0.009</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8.6 ± 0.9</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Chitinase depolymerization</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Photo-oxidation</w:t>
            </w:r>
          </w:p>
        </w:tc>
      </w:tr>
      <w:tr w:rsidR="00653F86" w:rsidRPr="0048721B" w:rsidTr="00174E95">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CuO-Starch (Aloe vera)</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19.7 ± 1.9</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0.095 ± 0.006</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7.3 ± 0.5</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Amylase saccharification</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Copper ion leaching</w:t>
            </w:r>
          </w:p>
        </w:tc>
      </w:tr>
      <w:tr w:rsidR="00653F86" w:rsidRPr="0048721B" w:rsidTr="00174E95">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Fe₂O₃-CNC (Neem leaves)</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17.2 ± 2.6</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0.084 ± 0.008</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8.3 ± 0.8</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Cellulase hydrolysis</w:t>
            </w:r>
          </w:p>
        </w:tc>
        <w:tc>
          <w:tcPr>
            <w:tcW w:w="0" w:type="auto"/>
          </w:tcPr>
          <w:p w:rsidR="00653F86" w:rsidRPr="0048721B" w:rsidRDefault="00BD4C4F">
            <w:pPr>
              <w:rPr>
                <w:rFonts w:ascii="Times New Roman" w:hAnsi="Times New Roman" w:cs="Times New Roman"/>
                <w:sz w:val="16"/>
                <w:szCs w:val="16"/>
              </w:rPr>
            </w:pPr>
            <w:r w:rsidRPr="0048721B">
              <w:rPr>
                <w:rFonts w:ascii="Times New Roman" w:eastAsia="SimSun" w:hAnsi="Times New Roman" w:cs="Times New Roman"/>
                <w:sz w:val="16"/>
                <w:szCs w:val="16"/>
                <w:lang w:eastAsia="zh-CN"/>
              </w:rPr>
              <w:t>Iron oxide reduction</w:t>
            </w:r>
          </w:p>
        </w:tc>
      </w:tr>
      <w:tr w:rsidR="00653F86" w:rsidRPr="0048721B" w:rsidTr="00174E95">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Activation Energy (kJ/mol)</w:t>
            </w:r>
          </w:p>
        </w:tc>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52.3 ± 4.8</w:t>
            </w:r>
          </w:p>
        </w:tc>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48.7 ± 3.9</w:t>
            </w:r>
          </w:p>
        </w:tc>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51.1 ± 4.2</w:t>
            </w:r>
          </w:p>
        </w:tc>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49.8 ± 5.1</w:t>
            </w:r>
          </w:p>
        </w:tc>
        <w:tc>
          <w:tcPr>
            <w:tcW w:w="0" w:type="auto"/>
          </w:tcPr>
          <w:p w:rsidR="00653F86" w:rsidRPr="0048721B" w:rsidRDefault="00653F86">
            <w:pPr>
              <w:rPr>
                <w:rFonts w:ascii="Times New Roman" w:hAnsi="Times New Roman" w:cs="Times New Roman"/>
                <w:sz w:val="16"/>
                <w:szCs w:val="16"/>
              </w:rPr>
            </w:pPr>
          </w:p>
        </w:tc>
      </w:tr>
      <w:tr w:rsidR="00653F86" w:rsidRPr="0048721B" w:rsidTr="00174E95">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Q₁₀ Temperature Coefficient</w:t>
            </w:r>
          </w:p>
        </w:tc>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2.1 ± 0.2</w:t>
            </w:r>
          </w:p>
        </w:tc>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2.3 ± 0.3</w:t>
            </w:r>
          </w:p>
        </w:tc>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2.0 ± 0.2</w:t>
            </w:r>
          </w:p>
        </w:tc>
        <w:tc>
          <w:tcPr>
            <w:tcW w:w="0" w:type="auto"/>
          </w:tcPr>
          <w:p w:rsidR="00653F86" w:rsidRPr="0048721B" w:rsidRDefault="00BD4C4F">
            <w:pPr>
              <w:rPr>
                <w:rFonts w:ascii="Times New Roman" w:hAnsi="Times New Roman" w:cs="Times New Roman"/>
                <w:sz w:val="16"/>
                <w:szCs w:val="16"/>
              </w:rPr>
            </w:pPr>
            <w:r w:rsidRPr="0048721B">
              <w:rPr>
                <w:rStyle w:val="Strong"/>
                <w:rFonts w:ascii="Times New Roman" w:eastAsia="SimSun" w:hAnsi="Times New Roman" w:cs="Times New Roman"/>
                <w:sz w:val="16"/>
                <w:szCs w:val="16"/>
                <w:lang w:eastAsia="zh-CN"/>
              </w:rPr>
              <w:t>2.2 ± 0.3</w:t>
            </w:r>
          </w:p>
        </w:tc>
        <w:tc>
          <w:tcPr>
            <w:tcW w:w="0" w:type="auto"/>
          </w:tcPr>
          <w:p w:rsidR="00653F86" w:rsidRPr="0048721B" w:rsidRDefault="00653F86">
            <w:pPr>
              <w:rPr>
                <w:rFonts w:ascii="Times New Roman" w:hAnsi="Times New Roman" w:cs="Times New Roman"/>
                <w:sz w:val="16"/>
                <w:szCs w:val="16"/>
              </w:rPr>
            </w:pPr>
          </w:p>
        </w:tc>
      </w:tr>
    </w:tbl>
    <w:p w:rsidR="00653F86" w:rsidRPr="00CE5E9C" w:rsidRDefault="00BD4C4F" w:rsidP="004C4F19">
      <w:pPr>
        <w:pStyle w:val="NormalWeb"/>
        <w:rPr>
          <w:sz w:val="20"/>
          <w:szCs w:val="20"/>
        </w:rPr>
      </w:pPr>
      <w:r w:rsidRPr="00CE5E9C">
        <w:rPr>
          <w:rStyle w:val="Emphasis"/>
          <w:sz w:val="20"/>
          <w:szCs w:val="20"/>
        </w:rPr>
        <w:t>Values determined from temperature-controlled studies (15-35°C). Kinetic models fitted with R² &gt; 0.95.</w:t>
      </w:r>
    </w:p>
    <w:p w:rsidR="00653F86" w:rsidRPr="00CE5E9C" w:rsidRDefault="00BD4C4F">
      <w:pPr>
        <w:pStyle w:val="Heading2"/>
        <w:keepNext w:val="0"/>
        <w:keepLines w:val="0"/>
        <w:rPr>
          <w:rFonts w:ascii="Times New Roman" w:hAnsi="Times New Roman" w:cs="Times New Roman"/>
          <w:color w:val="auto"/>
          <w:sz w:val="20"/>
          <w:szCs w:val="20"/>
        </w:rPr>
      </w:pPr>
      <w:r w:rsidRPr="00CE5E9C">
        <w:rPr>
          <w:rStyle w:val="Strong"/>
          <w:rFonts w:ascii="Times New Roman" w:hAnsi="Times New Roman" w:cs="Times New Roman"/>
          <w:color w:val="auto"/>
          <w:sz w:val="20"/>
          <w:szCs w:val="20"/>
        </w:rPr>
        <w:t>Table 6.5: End-of-Life Impact Assessment and Circularity Metrics</w:t>
      </w:r>
    </w:p>
    <w:tbl>
      <w:tblPr>
        <w:tblStyle w:val="TableGrid"/>
        <w:tblW w:w="0" w:type="auto"/>
        <w:tblLook w:val="04A0" w:firstRow="1" w:lastRow="0" w:firstColumn="1" w:lastColumn="0" w:noHBand="0" w:noVBand="1"/>
      </w:tblPr>
      <w:tblGrid>
        <w:gridCol w:w="2370"/>
        <w:gridCol w:w="1202"/>
        <w:gridCol w:w="1332"/>
        <w:gridCol w:w="1411"/>
        <w:gridCol w:w="1314"/>
        <w:gridCol w:w="1678"/>
      </w:tblGrid>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Treatment Scenario</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GWP Impact</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Energy Recovery</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Material Recovery</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Circularity Index</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Environmental Benefit</w:t>
            </w:r>
          </w:p>
        </w:tc>
      </w:tr>
      <w:tr w:rsidR="00653F86" w:rsidRPr="001C6348" w:rsidTr="001C6348">
        <w:trPr>
          <w:trHeight w:val="98"/>
        </w:trPr>
        <w:tc>
          <w:tcPr>
            <w:tcW w:w="0" w:type="auto"/>
          </w:tcPr>
          <w:p w:rsidR="00653F86" w:rsidRPr="001C6348" w:rsidRDefault="00653F86" w:rsidP="001C6348">
            <w:pPr>
              <w:rPr>
                <w:rFonts w:ascii="Times New Roman" w:hAnsi="Times New Roman" w:cs="Times New Roman"/>
                <w:sz w:val="16"/>
                <w:szCs w:val="16"/>
              </w:rPr>
            </w:pP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(kg CO₂-eq/kg)</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(MJ/kg)</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(0-1 scale)</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(Points*/kg)</w:t>
            </w:r>
          </w:p>
        </w:tc>
      </w:tr>
      <w:tr w:rsidR="0048721B" w:rsidRPr="001C6348" w:rsidTr="001C6348">
        <w:trPr>
          <w:gridAfter w:val="5"/>
          <w:trHeight w:val="107"/>
        </w:trPr>
        <w:tc>
          <w:tcPr>
            <w:tcW w:w="0" w:type="auto"/>
          </w:tcPr>
          <w:p w:rsidR="0048721B" w:rsidRPr="001C6348" w:rsidRDefault="0048721B" w:rsidP="001C6348">
            <w:pPr>
              <w:rPr>
                <w:rFonts w:ascii="Times New Roman" w:hAnsi="Times New Roman" w:cs="Times New Roman"/>
                <w:sz w:val="16"/>
                <w:szCs w:val="16"/>
              </w:rPr>
            </w:pPr>
            <w:r w:rsidRPr="001C6348">
              <w:rPr>
                <w:rStyle w:val="Strong"/>
                <w:rFonts w:ascii="Times New Roman" w:eastAsia="SimSun" w:hAnsi="Times New Roman" w:cs="Times New Roman"/>
                <w:sz w:val="16"/>
                <w:szCs w:val="16"/>
                <w:lang w:eastAsia="zh-CN"/>
              </w:rPr>
              <w:t>Composting</w:t>
            </w: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ZnO-CNC (Green tea extract)</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-15.2 ± 2.1</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85 ± 5</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0.92 ± 0.08</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45.6 ± 3.2</w:t>
            </w: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TiO₂-Chitosan (Moringa oleifera)</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-12.8 ± 1.9</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78 ± 6</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0.89 ± 0.09</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41.3 ± 2.8</w:t>
            </w: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CuO-Starch (Aloe vera)</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-18.5 ± 2.4</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90 ± 4</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0.95 ± 0.06</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52.1 ± 3.9</w:t>
            </w: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Fe₂O₃-CNC (Neem leaves)</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-14.1 ± 2.2</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82 ± 5</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0.91 ± 0.07</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43.8 ± 3.1</w:t>
            </w:r>
          </w:p>
        </w:tc>
      </w:tr>
      <w:tr w:rsidR="0048721B" w:rsidRPr="001C6348" w:rsidTr="00174E95">
        <w:trPr>
          <w:gridAfter w:val="5"/>
        </w:trPr>
        <w:tc>
          <w:tcPr>
            <w:tcW w:w="0" w:type="auto"/>
          </w:tcPr>
          <w:p w:rsidR="0048721B" w:rsidRPr="001C6348" w:rsidRDefault="0048721B" w:rsidP="001C6348">
            <w:pPr>
              <w:rPr>
                <w:rFonts w:ascii="Times New Roman" w:hAnsi="Times New Roman" w:cs="Times New Roman"/>
                <w:sz w:val="16"/>
                <w:szCs w:val="16"/>
              </w:rPr>
            </w:pPr>
            <w:r w:rsidRPr="001C6348">
              <w:rPr>
                <w:rStyle w:val="Strong"/>
                <w:rFonts w:ascii="Times New Roman" w:eastAsia="SimSun" w:hAnsi="Times New Roman" w:cs="Times New Roman"/>
                <w:sz w:val="16"/>
                <w:szCs w:val="16"/>
                <w:lang w:eastAsia="zh-CN"/>
              </w:rPr>
              <w:t>Anaerobic Digestion</w:t>
            </w: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All Nanocomposites</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-8.9 ± 1.5</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12.5 ± 2.1</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65 ± 8</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0.78 ± 0.12</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28.7 ± 4.2</w:t>
            </w: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Style w:val="Strong"/>
                <w:rFonts w:ascii="Times New Roman" w:eastAsia="SimSun" w:hAnsi="Times New Roman" w:cs="Times New Roman"/>
                <w:sz w:val="16"/>
                <w:szCs w:val="16"/>
                <w:lang w:eastAsia="zh-CN"/>
              </w:rPr>
              <w:t>Incineration</w:t>
            </w:r>
          </w:p>
        </w:tc>
        <w:tc>
          <w:tcPr>
            <w:tcW w:w="0" w:type="auto"/>
          </w:tcPr>
          <w:p w:rsidR="00653F86" w:rsidRPr="001C6348" w:rsidRDefault="00653F86" w:rsidP="001C6348">
            <w:pPr>
              <w:rPr>
                <w:rFonts w:ascii="Times New Roman" w:hAnsi="Times New Roman" w:cs="Times New Roman"/>
                <w:sz w:val="16"/>
                <w:szCs w:val="16"/>
              </w:rPr>
            </w:pPr>
          </w:p>
        </w:tc>
        <w:tc>
          <w:tcPr>
            <w:tcW w:w="0" w:type="auto"/>
          </w:tcPr>
          <w:p w:rsidR="00653F86" w:rsidRPr="001C6348" w:rsidRDefault="00653F86" w:rsidP="001C6348">
            <w:pPr>
              <w:rPr>
                <w:rFonts w:ascii="Times New Roman" w:hAnsi="Times New Roman" w:cs="Times New Roman"/>
                <w:sz w:val="16"/>
                <w:szCs w:val="16"/>
              </w:rPr>
            </w:pPr>
          </w:p>
        </w:tc>
        <w:tc>
          <w:tcPr>
            <w:tcW w:w="0" w:type="auto"/>
          </w:tcPr>
          <w:p w:rsidR="00653F86" w:rsidRPr="001C6348" w:rsidRDefault="00653F86" w:rsidP="001C6348">
            <w:pPr>
              <w:rPr>
                <w:rFonts w:ascii="Times New Roman" w:hAnsi="Times New Roman" w:cs="Times New Roman"/>
                <w:sz w:val="16"/>
                <w:szCs w:val="16"/>
              </w:rPr>
            </w:pPr>
          </w:p>
        </w:tc>
        <w:tc>
          <w:tcPr>
            <w:tcW w:w="0" w:type="auto"/>
          </w:tcPr>
          <w:p w:rsidR="00653F86" w:rsidRPr="001C6348" w:rsidRDefault="00653F86" w:rsidP="001C6348">
            <w:pPr>
              <w:rPr>
                <w:rFonts w:ascii="Times New Roman" w:hAnsi="Times New Roman" w:cs="Times New Roman"/>
                <w:sz w:val="16"/>
                <w:szCs w:val="16"/>
              </w:rPr>
            </w:pPr>
          </w:p>
        </w:tc>
        <w:tc>
          <w:tcPr>
            <w:tcW w:w="0" w:type="auto"/>
          </w:tcPr>
          <w:p w:rsidR="00653F86" w:rsidRPr="001C6348" w:rsidRDefault="00653F86" w:rsidP="001C6348">
            <w:pPr>
              <w:rPr>
                <w:rFonts w:ascii="Times New Roman" w:hAnsi="Times New Roman" w:cs="Times New Roman"/>
                <w:sz w:val="16"/>
                <w:szCs w:val="16"/>
              </w:rPr>
            </w:pP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All Nanocomposites</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+1.8 ± 0.4</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18.9 ± 2.8</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15 ± 3</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0.23 ± 0.05</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-5.2 ± 1.1</w:t>
            </w:r>
          </w:p>
        </w:tc>
      </w:tr>
      <w:tr w:rsidR="0048721B" w:rsidRPr="001C6348" w:rsidTr="00174E95">
        <w:trPr>
          <w:gridAfter w:val="5"/>
        </w:trPr>
        <w:tc>
          <w:tcPr>
            <w:tcW w:w="0" w:type="auto"/>
          </w:tcPr>
          <w:p w:rsidR="0048721B" w:rsidRPr="001C6348" w:rsidRDefault="0048721B" w:rsidP="001C6348">
            <w:pPr>
              <w:rPr>
                <w:rFonts w:ascii="Times New Roman" w:hAnsi="Times New Roman" w:cs="Times New Roman"/>
                <w:sz w:val="16"/>
                <w:szCs w:val="16"/>
              </w:rPr>
            </w:pPr>
            <w:r w:rsidRPr="001C6348">
              <w:rPr>
                <w:rStyle w:val="Strong"/>
                <w:rFonts w:ascii="Times New Roman" w:eastAsia="SimSun" w:hAnsi="Times New Roman" w:cs="Times New Roman"/>
                <w:sz w:val="16"/>
                <w:szCs w:val="16"/>
                <w:lang w:eastAsia="zh-CN"/>
              </w:rPr>
              <w:t>Landfilling</w:t>
            </w: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All Nanocomposites</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+2.3 ± 0.6</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5 ± 2</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0.08 ± 0.03</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-12.8 ± 2.3</w:t>
            </w: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Style w:val="Strong"/>
                <w:rFonts w:ascii="Times New Roman" w:eastAsia="SimSun" w:hAnsi="Times New Roman" w:cs="Times New Roman"/>
                <w:sz w:val="16"/>
                <w:szCs w:val="16"/>
                <w:lang w:eastAsia="zh-CN"/>
              </w:rPr>
              <w:t>Conventional Materials</w:t>
            </w:r>
          </w:p>
        </w:tc>
        <w:tc>
          <w:tcPr>
            <w:tcW w:w="0" w:type="auto"/>
          </w:tcPr>
          <w:p w:rsidR="00653F86" w:rsidRPr="001C6348" w:rsidRDefault="00653F86" w:rsidP="001C6348">
            <w:pPr>
              <w:rPr>
                <w:rFonts w:ascii="Times New Roman" w:hAnsi="Times New Roman" w:cs="Times New Roman"/>
                <w:sz w:val="16"/>
                <w:szCs w:val="16"/>
              </w:rPr>
            </w:pPr>
          </w:p>
        </w:tc>
        <w:tc>
          <w:tcPr>
            <w:tcW w:w="0" w:type="auto"/>
          </w:tcPr>
          <w:p w:rsidR="00653F86" w:rsidRPr="001C6348" w:rsidRDefault="00653F86" w:rsidP="001C6348">
            <w:pPr>
              <w:rPr>
                <w:rFonts w:ascii="Times New Roman" w:hAnsi="Times New Roman" w:cs="Times New Roman"/>
                <w:sz w:val="16"/>
                <w:szCs w:val="16"/>
              </w:rPr>
            </w:pPr>
          </w:p>
        </w:tc>
        <w:tc>
          <w:tcPr>
            <w:tcW w:w="0" w:type="auto"/>
          </w:tcPr>
          <w:p w:rsidR="00653F86" w:rsidRPr="001C6348" w:rsidRDefault="00653F86" w:rsidP="001C6348">
            <w:pPr>
              <w:rPr>
                <w:rFonts w:ascii="Times New Roman" w:hAnsi="Times New Roman" w:cs="Times New Roman"/>
                <w:sz w:val="16"/>
                <w:szCs w:val="16"/>
              </w:rPr>
            </w:pPr>
          </w:p>
        </w:tc>
        <w:tc>
          <w:tcPr>
            <w:tcW w:w="0" w:type="auto"/>
          </w:tcPr>
          <w:p w:rsidR="00653F86" w:rsidRPr="001C6348" w:rsidRDefault="00653F86" w:rsidP="001C6348">
            <w:pPr>
              <w:rPr>
                <w:rFonts w:ascii="Times New Roman" w:hAnsi="Times New Roman" w:cs="Times New Roman"/>
                <w:sz w:val="16"/>
                <w:szCs w:val="16"/>
              </w:rPr>
            </w:pPr>
          </w:p>
        </w:tc>
        <w:tc>
          <w:tcPr>
            <w:tcW w:w="0" w:type="auto"/>
          </w:tcPr>
          <w:p w:rsidR="00653F86" w:rsidRPr="001C6348" w:rsidRDefault="00653F86" w:rsidP="001C6348">
            <w:pPr>
              <w:rPr>
                <w:rFonts w:ascii="Times New Roman" w:hAnsi="Times New Roman" w:cs="Times New Roman"/>
                <w:sz w:val="16"/>
                <w:szCs w:val="16"/>
              </w:rPr>
            </w:pP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TiO₂ (sol-gel)</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+3.8 ± 0.8</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8.2 ± 1.5</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0.02 ± 0.01</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-25.4 ± 4.1</w:t>
            </w:r>
          </w:p>
        </w:tc>
      </w:tr>
      <w:tr w:rsidR="00653F86" w:rsidRPr="001C6348" w:rsidTr="00174E95">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PE Polymer</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+2.9 ± 0.5</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22.1 ± 3.2</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0.05 ± 0.02</w:t>
            </w:r>
          </w:p>
        </w:tc>
        <w:tc>
          <w:tcPr>
            <w:tcW w:w="0" w:type="auto"/>
          </w:tcPr>
          <w:p w:rsidR="00653F86" w:rsidRPr="001C6348" w:rsidRDefault="00BD4C4F" w:rsidP="001C6348">
            <w:pPr>
              <w:rPr>
                <w:rFonts w:ascii="Times New Roman" w:hAnsi="Times New Roman" w:cs="Times New Roman"/>
                <w:sz w:val="16"/>
                <w:szCs w:val="16"/>
              </w:rPr>
            </w:pPr>
            <w:r w:rsidRPr="001C6348">
              <w:rPr>
                <w:rFonts w:ascii="Times New Roman" w:hAnsi="Times New Roman" w:cs="Times New Roman"/>
                <w:sz w:val="16"/>
                <w:szCs w:val="16"/>
                <w:lang w:eastAsia="zh-CN"/>
              </w:rPr>
              <w:t>-18.7 ± 3.5</w:t>
            </w:r>
          </w:p>
        </w:tc>
      </w:tr>
    </w:tbl>
    <w:p w:rsidR="00653F86" w:rsidRDefault="00BD4C4F" w:rsidP="001C6348">
      <w:pPr>
        <w:pStyle w:val="NormalWeb"/>
        <w:rPr>
          <w:rStyle w:val="Emphasis"/>
          <w:sz w:val="20"/>
          <w:szCs w:val="20"/>
        </w:rPr>
      </w:pPr>
      <w:r w:rsidRPr="00CE5E9C">
        <w:rPr>
          <w:sz w:val="20"/>
          <w:szCs w:val="20"/>
        </w:rPr>
        <w:t>*</w:t>
      </w:r>
      <w:r w:rsidRPr="00CE5E9C">
        <w:rPr>
          <w:rStyle w:val="Emphasis"/>
          <w:sz w:val="20"/>
          <w:szCs w:val="20"/>
        </w:rPr>
        <w:t>Environmental Benefit Points calculated using ReCiPe 2016 endpoint methodology. Negative values indicate environmental benefits.</w:t>
      </w:r>
    </w:p>
    <w:p w:rsidR="009455AA" w:rsidRPr="001C6348" w:rsidRDefault="009455AA" w:rsidP="001C6348">
      <w:pPr>
        <w:pStyle w:val="NormalWeb"/>
        <w:rPr>
          <w:sz w:val="20"/>
          <w:szCs w:val="20"/>
        </w:rPr>
      </w:pPr>
    </w:p>
    <w:p w:rsidR="00653F86" w:rsidRPr="001C6348" w:rsidRDefault="00BD4C4F">
      <w:pPr>
        <w:pStyle w:val="Heading2"/>
        <w:keepNext w:val="0"/>
        <w:keepLines w:val="0"/>
        <w:rPr>
          <w:rFonts w:ascii="Times New Roman" w:hAnsi="Times New Roman" w:cs="Times New Roman"/>
          <w:color w:val="000000" w:themeColor="text1"/>
          <w:sz w:val="20"/>
          <w:szCs w:val="20"/>
        </w:rPr>
      </w:pPr>
      <w:r w:rsidRPr="001C6348">
        <w:rPr>
          <w:rStyle w:val="Strong"/>
          <w:rFonts w:ascii="Times New Roman" w:hAnsi="Times New Roman" w:cs="Times New Roman"/>
          <w:color w:val="000000" w:themeColor="text1"/>
          <w:sz w:val="20"/>
          <w:szCs w:val="20"/>
        </w:rPr>
        <w:lastRenderedPageBreak/>
        <w:t>Table 6.6: Comparative Performance and Sustainability Metrics</w:t>
      </w:r>
    </w:p>
    <w:tbl>
      <w:tblPr>
        <w:tblStyle w:val="TableGrid"/>
        <w:tblW w:w="0" w:type="auto"/>
        <w:tblLook w:val="04A0" w:firstRow="1" w:lastRow="0" w:firstColumn="1" w:lastColumn="0" w:noHBand="0" w:noVBand="1"/>
      </w:tblPr>
      <w:tblGrid>
        <w:gridCol w:w="2219"/>
        <w:gridCol w:w="1553"/>
        <w:gridCol w:w="1105"/>
        <w:gridCol w:w="1650"/>
        <w:gridCol w:w="1259"/>
        <w:gridCol w:w="1790"/>
      </w:tblGrid>
      <w:tr w:rsidR="00653F86" w:rsidRPr="00CE5E9C" w:rsidTr="00174E95">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Material Category</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Treatment Efficiency</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Durability</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Biodegradability</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Toxicity Score**</w:t>
            </w:r>
          </w:p>
        </w:tc>
        <w:tc>
          <w:tcPr>
            <w:tcW w:w="0" w:type="auto"/>
          </w:tcPr>
          <w:p w:rsidR="00653F86" w:rsidRPr="00CE5E9C" w:rsidRDefault="00BD4C4F">
            <w:pPr>
              <w:jc w:val="center"/>
              <w:rPr>
                <w:rFonts w:ascii="Times New Roman" w:hAnsi="Times New Roman" w:cs="Times New Roman"/>
                <w:b/>
                <w:bCs/>
                <w:sz w:val="20"/>
                <w:szCs w:val="20"/>
              </w:rPr>
            </w:pPr>
            <w:r w:rsidRPr="00CE5E9C">
              <w:rPr>
                <w:rFonts w:ascii="Times New Roman" w:eastAsia="SimSun" w:hAnsi="Times New Roman" w:cs="Times New Roman"/>
                <w:b/>
                <w:bCs/>
                <w:sz w:val="20"/>
                <w:szCs w:val="20"/>
                <w:lang w:eastAsia="zh-CN"/>
              </w:rPr>
              <w:t>Sustainability Index***</w:t>
            </w:r>
          </w:p>
        </w:tc>
      </w:tr>
      <w:tr w:rsidR="00653F86" w:rsidRPr="00CE5E9C" w:rsidTr="00174E95">
        <w:tc>
          <w:tcPr>
            <w:tcW w:w="0" w:type="auto"/>
          </w:tcPr>
          <w:p w:rsidR="00653F86" w:rsidRPr="00CE5E9C" w:rsidRDefault="00653F86">
            <w:pPr>
              <w:rPr>
                <w:rFonts w:ascii="Times New Roman" w:hAnsi="Times New Roman" w:cs="Times New Roman"/>
                <w:sz w:val="20"/>
                <w:szCs w:val="20"/>
              </w:rPr>
            </w:pP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 removal)</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(cycles)</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 in 45 days)</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(0-100 scale)</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(0-100 scale)</w:t>
            </w:r>
          </w:p>
        </w:tc>
      </w:tr>
      <w:tr w:rsidR="0048721B" w:rsidRPr="00CE5E9C" w:rsidTr="00174E95">
        <w:trPr>
          <w:gridAfter w:val="5"/>
        </w:trPr>
        <w:tc>
          <w:tcPr>
            <w:tcW w:w="0" w:type="auto"/>
          </w:tcPr>
          <w:p w:rsidR="0048721B" w:rsidRPr="00CE5E9C" w:rsidRDefault="0048721B">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Green Nanocomposites</w:t>
            </w:r>
          </w:p>
        </w:tc>
      </w:tr>
      <w:tr w:rsidR="00653F86" w:rsidRPr="00CE5E9C" w:rsidTr="00174E95">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ZnO-CNC (Green tea extract)</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94.2 ± 2.8</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15 ± 3</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82.3 ± 3.8</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 ± 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89 ± 4</w:t>
            </w:r>
          </w:p>
        </w:tc>
      </w:tr>
      <w:tr w:rsidR="00653F86" w:rsidRPr="00CE5E9C" w:rsidTr="00174E95">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TiO₂-Chitosan (Moringa oleifera)</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91.8 ± 3.1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18 ± 4</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78.9 ± 4.2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6 ± 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92 ± 3</w:t>
            </w:r>
          </w:p>
        </w:tc>
      </w:tr>
      <w:tr w:rsidR="00653F86" w:rsidRPr="00CE5E9C" w:rsidTr="00174E95">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CuO-Starch (Aloe vera)</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96.5 ± 2.4</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12 ± 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85.1 ± 3.1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15 ± 3</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84 ± 5</w:t>
            </w:r>
          </w:p>
        </w:tc>
      </w:tr>
      <w:tr w:rsidR="00653F86" w:rsidRPr="00CE5E9C" w:rsidTr="00174E95">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Fe₂O₃-CNC (Neem leaves)</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89.7 ± 3.4</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16 ± 3</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79.6 ± 4.5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9 ± 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87 ± 4</w:t>
            </w:r>
          </w:p>
        </w:tc>
      </w:tr>
      <w:tr w:rsidR="0048721B" w:rsidRPr="00CE5E9C" w:rsidTr="00174E95">
        <w:trPr>
          <w:gridAfter w:val="5"/>
        </w:trPr>
        <w:tc>
          <w:tcPr>
            <w:tcW w:w="0" w:type="auto"/>
          </w:tcPr>
          <w:p w:rsidR="0048721B" w:rsidRPr="00CE5E9C" w:rsidRDefault="0048721B">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Conventional Materials</w:t>
            </w:r>
          </w:p>
        </w:tc>
      </w:tr>
      <w:tr w:rsidR="00653F86" w:rsidRPr="00CE5E9C" w:rsidTr="00174E95">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TiO₂ P25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88.3 ± 3.9</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25 ± 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2.1 ± 0.8</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45 ± 8</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42 ± 7</w:t>
            </w:r>
          </w:p>
        </w:tc>
      </w:tr>
      <w:tr w:rsidR="00653F86" w:rsidRPr="00CE5E9C" w:rsidTr="00174E95">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ZnO (commercial)</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85.1 ± 4.2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20 ± 4</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1.8 ± 0.7</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52 ± 9</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38 ± 6</w:t>
            </w:r>
          </w:p>
        </w:tc>
      </w:tr>
      <w:tr w:rsidR="00653F86" w:rsidRPr="00CE5E9C" w:rsidTr="00174E95">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Activated Carbon</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76.8 ± 4.8</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8 ± 2</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12.5 ± 2.1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25 ± 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55 ± 8</w:t>
            </w:r>
          </w:p>
        </w:tc>
      </w:tr>
      <w:tr w:rsidR="0048721B" w:rsidRPr="00CE5E9C" w:rsidTr="00174E95">
        <w:trPr>
          <w:gridAfter w:val="5"/>
        </w:trPr>
        <w:tc>
          <w:tcPr>
            <w:tcW w:w="0" w:type="auto"/>
          </w:tcPr>
          <w:p w:rsidR="0048721B" w:rsidRPr="00CE5E9C" w:rsidRDefault="0048721B">
            <w:pPr>
              <w:rPr>
                <w:rFonts w:ascii="Times New Roman" w:hAnsi="Times New Roman" w:cs="Times New Roman"/>
                <w:sz w:val="20"/>
                <w:szCs w:val="20"/>
              </w:rPr>
            </w:pPr>
            <w:r w:rsidRPr="00CE5E9C">
              <w:rPr>
                <w:rStyle w:val="Strong"/>
                <w:rFonts w:ascii="Times New Roman" w:eastAsia="SimSun" w:hAnsi="Times New Roman" w:cs="Times New Roman"/>
                <w:sz w:val="20"/>
                <w:szCs w:val="20"/>
                <w:lang w:eastAsia="zh-CN"/>
              </w:rPr>
              <w:t>Biodegradable Standards</w:t>
            </w:r>
          </w:p>
        </w:tc>
      </w:tr>
      <w:tr w:rsidR="00653F86" w:rsidRPr="00CE5E9C" w:rsidTr="00174E95">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PLA</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45.2 ± 3.1</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12 ± 3</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68 ± 5</w:t>
            </w:r>
          </w:p>
        </w:tc>
      </w:tr>
      <w:tr w:rsidR="00653F86" w:rsidRPr="00CE5E9C" w:rsidTr="00174E95">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PBAT</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0</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67.8 ± 4.5</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18 ± 4</w:t>
            </w:r>
          </w:p>
        </w:tc>
        <w:tc>
          <w:tcPr>
            <w:tcW w:w="0" w:type="auto"/>
          </w:tcPr>
          <w:p w:rsidR="00653F86" w:rsidRPr="00CE5E9C" w:rsidRDefault="00BD4C4F">
            <w:pPr>
              <w:rPr>
                <w:rFonts w:ascii="Times New Roman" w:hAnsi="Times New Roman" w:cs="Times New Roman"/>
                <w:sz w:val="20"/>
                <w:szCs w:val="20"/>
              </w:rPr>
            </w:pPr>
            <w:r w:rsidRPr="00CE5E9C">
              <w:rPr>
                <w:rFonts w:ascii="Times New Roman" w:eastAsia="SimSun" w:hAnsi="Times New Roman" w:cs="Times New Roman"/>
                <w:sz w:val="20"/>
                <w:szCs w:val="20"/>
                <w:lang w:eastAsia="zh-CN"/>
              </w:rPr>
              <w:t>72 ± 6</w:t>
            </w:r>
          </w:p>
        </w:tc>
      </w:tr>
    </w:tbl>
    <w:p w:rsidR="00653F86" w:rsidRPr="00CE5E9C" w:rsidRDefault="00BD4C4F" w:rsidP="004C4F19">
      <w:pPr>
        <w:pStyle w:val="NormalWeb"/>
        <w:jc w:val="both"/>
        <w:rPr>
          <w:sz w:val="20"/>
          <w:szCs w:val="20"/>
        </w:rPr>
      </w:pPr>
      <w:r w:rsidRPr="00CE5E9C">
        <w:rPr>
          <w:sz w:val="20"/>
          <w:szCs w:val="20"/>
        </w:rPr>
        <w:t>***Toxicity Score: Lower values indicate lower toxicity (based on ecotoxicity tests). **</w:t>
      </w:r>
      <w:r w:rsidRPr="00CE5E9C">
        <w:rPr>
          <w:rStyle w:val="Emphasis"/>
          <w:sz w:val="20"/>
          <w:szCs w:val="20"/>
        </w:rPr>
        <w:t>Sustainability Index: Weighted score including performance, environmental impact, and end-of-life considerations (higher values indicate better sustainability).</w:t>
      </w:r>
    </w:p>
    <w:p w:rsidR="00653F86" w:rsidRPr="00CE5E9C" w:rsidRDefault="00BD4C4F">
      <w:pPr>
        <w:spacing w:before="240" w:after="240"/>
        <w:jc w:val="both"/>
        <w:rPr>
          <w:rFonts w:ascii="Times New Roman" w:hAnsi="Times New Roman" w:cs="Times New Roman"/>
          <w:sz w:val="20"/>
          <w:szCs w:val="20"/>
        </w:rPr>
      </w:pPr>
      <w:r w:rsidRPr="00CE5E9C">
        <w:rPr>
          <w:rFonts w:ascii="Times New Roman" w:eastAsia="Aptos" w:hAnsi="Times New Roman" w:cs="Times New Roman"/>
          <w:b/>
          <w:bCs/>
          <w:sz w:val="20"/>
          <w:szCs w:val="20"/>
        </w:rPr>
        <w:t>6. Environmental Impact and Sustainability</w:t>
      </w:r>
    </w:p>
    <w:p w:rsidR="00653F86" w:rsidRPr="004C4F19" w:rsidRDefault="00BD4C4F">
      <w:pPr>
        <w:spacing w:before="240" w:after="240"/>
        <w:jc w:val="both"/>
        <w:rPr>
          <w:rFonts w:ascii="Times New Roman" w:hAnsi="Times New Roman" w:cs="Times New Roman"/>
          <w:sz w:val="22"/>
          <w:szCs w:val="22"/>
        </w:rPr>
      </w:pPr>
      <w:r w:rsidRPr="004C4F19">
        <w:rPr>
          <w:rFonts w:ascii="Times New Roman" w:eastAsia="Aptos" w:hAnsi="Times New Roman" w:cs="Times New Roman"/>
          <w:sz w:val="22"/>
          <w:szCs w:val="22"/>
        </w:rPr>
        <w:t>The long-term success and viability of any nanomaterial intended for environmental remediation is intrinsically tied to its environmental footprint, degradability, and toxicity profile. In this study, a detailed evaluation of the environmental sustainability of plant-based nanocomposites was conducted through biodegradation assays, life cycle assessment, and ecotoxicity testing.</w:t>
      </w:r>
    </w:p>
    <w:p w:rsidR="00653F86" w:rsidRPr="004C4F19" w:rsidRDefault="00BD4C4F">
      <w:pPr>
        <w:spacing w:before="240" w:after="240"/>
        <w:jc w:val="both"/>
        <w:rPr>
          <w:rFonts w:ascii="Times New Roman" w:hAnsi="Times New Roman" w:cs="Times New Roman"/>
          <w:sz w:val="22"/>
          <w:szCs w:val="22"/>
        </w:rPr>
      </w:pPr>
      <w:r w:rsidRPr="004C4F19">
        <w:rPr>
          <w:rFonts w:ascii="Times New Roman" w:eastAsia="Aptos" w:hAnsi="Times New Roman" w:cs="Times New Roman"/>
          <w:sz w:val="22"/>
          <w:szCs w:val="22"/>
        </w:rPr>
        <w:t xml:space="preserve">Biodegradation tests were performed under controlled composting conditions following OECD guidelines, wherein the nanocomposites were exposed to a biologically active medium at ambient temperature and humidity. The materials demonstrated over 80% mass loss within 45 days, indicating high levels of biodegradability. This degradation rate is significantly superior to conventional polymer-based or synthetic nanomaterials, which often persist in the environment for several months to years. The observed </w:t>
      </w:r>
      <w:r w:rsidRPr="004C4F19">
        <w:rPr>
          <w:rFonts w:ascii="Times New Roman" w:eastAsia="Aptos" w:hAnsi="Times New Roman" w:cs="Times New Roman"/>
          <w:sz w:val="22"/>
          <w:szCs w:val="22"/>
        </w:rPr>
        <w:lastRenderedPageBreak/>
        <w:t>mass loss is attributed to enzymatic cleavage of the biodegradable polymer backbones (e.g., cellulose, chitosan) and oxidative degradation of embedded metal oxides.To assess the ecological safety of the degradation products, leachate analysis was performed using ICP-MS and GC-MS techniques. The results confirmed that no toxic heavy metals or harmful organic byproducts were released into the surrounding environment. This is a critical advantage, as conventional nanomaterials particularly those synthesized with non-renewable resources often pose a risk of secondary contamination due to their persistence and potential for bioaccumulation.</w:t>
      </w:r>
    </w:p>
    <w:p w:rsidR="00653F86" w:rsidRPr="004C4F19" w:rsidRDefault="00BD4C4F">
      <w:pPr>
        <w:spacing w:before="240" w:after="240"/>
        <w:jc w:val="both"/>
        <w:rPr>
          <w:rFonts w:ascii="Times New Roman" w:eastAsia="Aptos" w:hAnsi="Times New Roman" w:cs="Times New Roman"/>
          <w:sz w:val="22"/>
          <w:szCs w:val="22"/>
        </w:rPr>
      </w:pPr>
      <w:r w:rsidRPr="004C4F19">
        <w:rPr>
          <w:rFonts w:ascii="Times New Roman" w:eastAsia="Aptos" w:hAnsi="Times New Roman" w:cs="Times New Roman"/>
          <w:sz w:val="22"/>
          <w:szCs w:val="22"/>
        </w:rPr>
        <w:t>In addition to direct environmental testing, a cradle-to-grave life cycle assessment (LCA) was conducted to compare the green nanocomposites with traditional nanomaterials. The analysis considered energy consumption, carbon emissions, water usage, and waste generation across synthesis, application, and disposal phases. Results revealed that the plant-based nanocomposites generated up to 70% lower greenhouse gas emissions and consumed 50% less water compared to conventional counterparts. Furthermore, the sourcing of precursors from agro-waste significantly reduced the reliance on virgin resources, contributing to the overall circularity of the process.The combination of rapid biodegradability, non-toxic degradation products, and a favorable life cycle profile underscores the potential of these nanocomposites as environmentally sustainable alternatives in wastewater treatment. These findings support the safe integration of such materials into existing treatment systems without the risk of long-term ecological harm.</w:t>
      </w:r>
    </w:p>
    <w:p w:rsidR="004C4F19" w:rsidRDefault="004C4F19" w:rsidP="004C4F19">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lang w:eastAsia="en-GB"/>
        </w:rPr>
      </w:pPr>
    </w:p>
    <w:p w:rsidR="004C4F19" w:rsidRPr="009918C5" w:rsidRDefault="004C4F19" w:rsidP="004C4F19">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lang w:eastAsia="en-GB"/>
        </w:rPr>
      </w:pPr>
      <w:r>
        <w:rPr>
          <w:rFonts w:ascii="Times New Roman" w:eastAsia="Times New Roman" w:hAnsi="Times New Roman" w:cs="Times New Roman"/>
          <w:b/>
          <w:bCs/>
          <w:color w:val="000000" w:themeColor="text1"/>
          <w:kern w:val="36"/>
          <w:lang w:eastAsia="en-GB"/>
        </w:rPr>
        <w:t xml:space="preserve">5. </w:t>
      </w:r>
      <w:r w:rsidRPr="009918C5">
        <w:rPr>
          <w:rFonts w:ascii="Times New Roman" w:eastAsia="Times New Roman" w:hAnsi="Times New Roman" w:cs="Times New Roman"/>
          <w:b/>
          <w:bCs/>
          <w:color w:val="000000" w:themeColor="text1"/>
          <w:kern w:val="36"/>
          <w:lang w:eastAsia="en-GB"/>
        </w:rPr>
        <w:t>Discussion</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Our results show a clear breakthrough in water treatment technology. While today's treatment plants struggle with emerging contaminants, our plant-based materials deliver exceptional results. Traditional biological treatment removes only 10-30% of pharmaceutical drugs like antibiotics and painkillers from wastewater. Settling tanks capture just 20-40% of tiny plastic particles (microplastics), and chlorination eliminates only 15-35% of hormone</w:t>
      </w:r>
      <w:r>
        <w:rPr>
          <w:rFonts w:ascii="Times New Roman" w:eastAsia="Times New Roman" w:hAnsi="Times New Roman" w:cs="Times New Roman"/>
          <w:color w:val="000000" w:themeColor="text1"/>
          <w:lang w:eastAsia="en-GB"/>
        </w:rPr>
        <w:t xml:space="preserve">-disrupting chemicals like BPA </w:t>
      </w:r>
      <w:r w:rsidRPr="009918C5">
        <w:rPr>
          <w:rFonts w:ascii="Times New Roman" w:eastAsia="Times New Roman" w:hAnsi="Times New Roman" w:cs="Times New Roman"/>
          <w:color w:val="000000" w:themeColor="text1"/>
          <w:lang w:eastAsia="en-GB"/>
        </w:rPr>
        <w:t>(</w:t>
      </w:r>
      <w:r w:rsidRPr="009918C5">
        <w:rPr>
          <w:rFonts w:ascii="Times New Roman" w:hAnsi="Times New Roman" w:cs="Times New Roman"/>
          <w:color w:val="000000" w:themeColor="text1"/>
          <w:shd w:val="clear" w:color="auto" w:fill="FFFFFF"/>
        </w:rPr>
        <w:t>Khalidi-Idrissi</w:t>
      </w:r>
      <w:r w:rsidRPr="009918C5">
        <w:rPr>
          <w:rFonts w:ascii="Times New Roman" w:eastAsia="Times New Roman" w:hAnsi="Times New Roman" w:cs="Times New Roman"/>
          <w:color w:val="000000" w:themeColor="text1"/>
          <w:lang w:eastAsia="en-GB"/>
        </w:rPr>
        <w:t xml:space="preserve"> </w:t>
      </w:r>
      <w:r w:rsidRPr="004C4F19">
        <w:rPr>
          <w:rFonts w:ascii="Times New Roman" w:eastAsia="Times New Roman" w:hAnsi="Times New Roman" w:cs="Times New Roman"/>
          <w:i/>
          <w:color w:val="000000" w:themeColor="text1"/>
          <w:lang w:eastAsia="en-GB"/>
        </w:rPr>
        <w:t>et al</w:t>
      </w:r>
      <w:r w:rsidRPr="009918C5">
        <w:rPr>
          <w:rFonts w:ascii="Times New Roman" w:eastAsia="Times New Roman" w:hAnsi="Times New Roman" w:cs="Times New Roman"/>
          <w:color w:val="000000" w:themeColor="text1"/>
          <w:lang w:eastAsia="en-GB"/>
        </w:rPr>
        <w:t>., 2023).</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Our plant-based nanocomposites achieved dramatically better results, removing 87.3% to 96.5% of all tested pollutants (Table 2). The iron oxide/chitosan material made with green tea extract eliminated 94.2% of tetracycline antibiotics in just 2 hours - that's 15 times better than conventional biological treatment. The zinc oxide/cellulose material from moringa leaves removed 89.7% of BPA, the titanium dioxide/alginate material from aloe vera captured 91.5% of microplastics and the copper oxide/starch material from neem leaves eliminated 87.3% of ibuprofen (</w:t>
      </w:r>
      <w:r w:rsidRPr="009918C5">
        <w:rPr>
          <w:rFonts w:ascii="Times New Roman" w:hAnsi="Times New Roman" w:cs="Times New Roman"/>
          <w:color w:val="000000" w:themeColor="text1"/>
          <w:shd w:val="clear" w:color="auto" w:fill="FFFFFF"/>
        </w:rPr>
        <w:t>Nasrollahzadeh</w:t>
      </w:r>
      <w:r w:rsidRPr="009918C5">
        <w:rPr>
          <w:rFonts w:ascii="Times New Roman" w:eastAsia="Times New Roman" w:hAnsi="Times New Roman" w:cs="Times New Roman"/>
          <w:color w:val="000000" w:themeColor="text1"/>
          <w:lang w:eastAsia="en-GB"/>
        </w:rPr>
        <w:t xml:space="preserve"> </w:t>
      </w:r>
      <w:r w:rsidRPr="009918C5">
        <w:rPr>
          <w:rFonts w:ascii="Times New Roman" w:eastAsia="Times New Roman" w:hAnsi="Times New Roman" w:cs="Times New Roman"/>
          <w:i/>
          <w:color w:val="000000" w:themeColor="text1"/>
          <w:lang w:eastAsia="en-GB"/>
        </w:rPr>
        <w:t>et al</w:t>
      </w:r>
      <w:r w:rsidRPr="009918C5">
        <w:rPr>
          <w:rFonts w:ascii="Times New Roman" w:eastAsia="Times New Roman" w:hAnsi="Times New Roman" w:cs="Times New Roman"/>
          <w:color w:val="000000" w:themeColor="text1"/>
          <w:lang w:eastAsia="en-GB"/>
        </w:rPr>
        <w:t xml:space="preserve">., 2020). </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lastRenderedPageBreak/>
        <w:t>This superior performance comes from combining three different cleaning mechanisms that work together: physical sticking (adsorption), light-powered breakdown (photocatalysis), and natural enzyme action. Traditional methods use only one approach, but our materials attack pollutants through multiple pathways simultaneously .The exceptional performance stems from unique properties created through plant-based synthesis. Our materials have the ideal characteristics for water treatment: particles sized 10-100 nanometers provide enormous surface areas for pollutant contact, surface areas of 50-300 square meters per gram offer extensive binding sites, and electrical charges of ±30-50 millivolts ensure stability and strong attractions with pollutants (Table 3).</w:t>
      </w:r>
    </w:p>
    <w:p w:rsidR="004C4F19" w:rsidRPr="009918C5" w:rsidRDefault="004C4F19" w:rsidP="004C4F19">
      <w:pPr>
        <w:spacing w:before="100" w:beforeAutospacing="1" w:after="100" w:afterAutospacing="1" w:line="360" w:lineRule="auto"/>
        <w:jc w:val="both"/>
        <w:rPr>
          <w:rFonts w:ascii="Times New Roman" w:eastAsiaTheme="minorHAnsi" w:hAnsi="Times New Roman" w:cs="Times New Roman"/>
          <w:b/>
          <w:bCs/>
          <w:color w:val="000000" w:themeColor="text1"/>
          <w:lang w:eastAsia="en-US"/>
        </w:rPr>
      </w:pPr>
      <w:r w:rsidRPr="009918C5">
        <w:rPr>
          <w:rFonts w:ascii="Times New Roman" w:eastAsia="Times New Roman" w:hAnsi="Times New Roman" w:cs="Times New Roman"/>
          <w:color w:val="000000" w:themeColor="text1"/>
          <w:lang w:eastAsia="en-GB"/>
        </w:rPr>
        <w:t xml:space="preserve">Taking BPA removal as an example, the process involves multiple molecular attractions (Figure 1). BPA's hydroxyl groups form hydrogen bonds with amino and carboxyl groups on our material surfaces. The aromatic rings in BPA stack against similar ring structures in chitosan like puzzle pieces fitting together </w:t>
      </w:r>
      <w:r>
        <w:rPr>
          <w:rFonts w:ascii="Times New Roman" w:eastAsia="Times New Roman" w:hAnsi="Times New Roman" w:cs="Times New Roman"/>
          <w:color w:val="000000" w:themeColor="text1"/>
          <w:lang w:eastAsia="en-GB"/>
        </w:rPr>
        <w:t>(</w:t>
      </w:r>
      <w:r w:rsidRPr="004C4F19">
        <w:rPr>
          <w:rStyle w:val="Strong"/>
          <w:rFonts w:ascii="Times New Roman" w:hAnsi="Times New Roman" w:cs="Times New Roman"/>
          <w:b w:val="0"/>
          <w:color w:val="000000" w:themeColor="text1"/>
        </w:rPr>
        <w:t xml:space="preserve">Almeida-Naranjo </w:t>
      </w:r>
      <w:r w:rsidRPr="004C4F19">
        <w:rPr>
          <w:rStyle w:val="Strong"/>
          <w:rFonts w:ascii="Times New Roman" w:hAnsi="Times New Roman" w:cs="Times New Roman"/>
          <w:b w:val="0"/>
          <w:i/>
          <w:color w:val="000000" w:themeColor="text1"/>
        </w:rPr>
        <w:t>et al.</w:t>
      </w:r>
      <w:r w:rsidRPr="004C4F19">
        <w:rPr>
          <w:rStyle w:val="Strong"/>
          <w:rFonts w:ascii="Times New Roman" w:hAnsi="Times New Roman" w:cs="Times New Roman"/>
          <w:b w:val="0"/>
          <w:color w:val="000000" w:themeColor="text1"/>
        </w:rPr>
        <w:t xml:space="preserve"> 2023;</w:t>
      </w:r>
      <w:r w:rsidRPr="004C4F19">
        <w:rPr>
          <w:rFonts w:ascii="Times New Roman" w:hAnsi="Times New Roman" w:cs="Times New Roman"/>
          <w:b/>
          <w:color w:val="000000" w:themeColor="text1"/>
        </w:rPr>
        <w:t xml:space="preserve"> </w:t>
      </w:r>
      <w:r w:rsidRPr="004C4F19">
        <w:rPr>
          <w:rStyle w:val="Strong"/>
          <w:rFonts w:ascii="Times New Roman" w:hAnsi="Times New Roman" w:cs="Times New Roman"/>
          <w:b w:val="0"/>
          <w:color w:val="000000" w:themeColor="text1"/>
        </w:rPr>
        <w:t xml:space="preserve">Nasrollahzadeh </w:t>
      </w:r>
      <w:r w:rsidRPr="004C4F19">
        <w:rPr>
          <w:rStyle w:val="Strong"/>
          <w:rFonts w:ascii="Times New Roman" w:hAnsi="Times New Roman" w:cs="Times New Roman"/>
          <w:b w:val="0"/>
          <w:i/>
          <w:color w:val="000000" w:themeColor="text1"/>
        </w:rPr>
        <w:t>et al.</w:t>
      </w:r>
      <w:r w:rsidRPr="004C4F19">
        <w:rPr>
          <w:rStyle w:val="Strong"/>
          <w:rFonts w:ascii="Times New Roman" w:hAnsi="Times New Roman" w:cs="Times New Roman"/>
          <w:b w:val="0"/>
          <w:color w:val="000000" w:themeColor="text1"/>
        </w:rPr>
        <w:t xml:space="preserve"> 2020)</w:t>
      </w:r>
      <w:r w:rsidRPr="004C4F19">
        <w:rPr>
          <w:rFonts w:ascii="Times New Roman" w:hAnsi="Times New Roman" w:cs="Times New Roman"/>
          <w:b/>
          <w:color w:val="000000" w:themeColor="text1"/>
        </w:rPr>
        <w:t>.</w:t>
      </w:r>
      <w:r w:rsidRPr="009918C5">
        <w:rPr>
          <w:rFonts w:ascii="Times New Roman" w:hAnsi="Times New Roman" w:cs="Times New Roman"/>
          <w:color w:val="000000" w:themeColor="text1"/>
        </w:rPr>
        <w:t xml:space="preserve"> </w:t>
      </w:r>
      <w:r w:rsidRPr="009918C5">
        <w:rPr>
          <w:rFonts w:ascii="Times New Roman" w:eastAsia="Times New Roman" w:hAnsi="Times New Roman" w:cs="Times New Roman"/>
          <w:color w:val="000000" w:themeColor="text1"/>
          <w:lang w:eastAsia="en-GB"/>
        </w:rPr>
        <w:t>Electrical attractions occur between charged regions of both molecules, creating strong binding. When UV light hits titanium dioxide particles embedded in our composites, it creates electron-hole pairs that generate powerful cleaning agents - hydroxyl radicals (•OH) and superoxide ions (O₂•⁻) (Figure 2). These reactive species attack pollutant molecules and break them into harmless products like carbon dioxide and water, completely destroying the contaminants rather than just removing them (</w:t>
      </w:r>
      <w:r w:rsidRPr="004C4F19">
        <w:rPr>
          <w:rStyle w:val="Strong"/>
          <w:rFonts w:ascii="Times New Roman" w:hAnsi="Times New Roman" w:cs="Times New Roman"/>
          <w:b w:val="0"/>
          <w:color w:val="000000" w:themeColor="text1"/>
        </w:rPr>
        <w:t xml:space="preserve">Almeida-Naranjo </w:t>
      </w:r>
      <w:r w:rsidRPr="004C4F19">
        <w:rPr>
          <w:rStyle w:val="Strong"/>
          <w:rFonts w:ascii="Times New Roman" w:hAnsi="Times New Roman" w:cs="Times New Roman"/>
          <w:b w:val="0"/>
          <w:i/>
          <w:color w:val="000000" w:themeColor="text1"/>
        </w:rPr>
        <w:t>et al</w:t>
      </w:r>
      <w:r w:rsidRPr="004C4F19">
        <w:rPr>
          <w:rStyle w:val="Strong"/>
          <w:rFonts w:ascii="Times New Roman" w:hAnsi="Times New Roman" w:cs="Times New Roman"/>
          <w:b w:val="0"/>
          <w:color w:val="000000" w:themeColor="text1"/>
        </w:rPr>
        <w:t>. 2023</w:t>
      </w:r>
      <w:r w:rsidRPr="009918C5">
        <w:rPr>
          <w:rFonts w:ascii="Times New Roman" w:eastAsia="Times New Roman" w:hAnsi="Times New Roman" w:cs="Times New Roman"/>
          <w:b/>
          <w:color w:val="000000" w:themeColor="text1"/>
          <w:lang w:eastAsia="en-GB"/>
        </w:rPr>
        <w:t>).</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Laccase enzymes work through a sophisticated copper-mediated process (Figure 3). The enzyme extracts electrons from pollutant molecules, creating reactive radicals that link together and precipitate out of solution. This biological approach effectively removes contaminants while being completely natural and safe (</w:t>
      </w:r>
      <w:r w:rsidRPr="009918C5">
        <w:rPr>
          <w:rFonts w:ascii="Times New Roman" w:hAnsi="Times New Roman" w:cs="Times New Roman"/>
          <w:color w:val="000000" w:themeColor="text1"/>
        </w:rPr>
        <w:t xml:space="preserve">Bittencourt </w:t>
      </w:r>
      <w:r w:rsidRPr="009918C5">
        <w:rPr>
          <w:rFonts w:ascii="Times New Roman" w:hAnsi="Times New Roman" w:cs="Times New Roman"/>
          <w:i/>
          <w:color w:val="000000" w:themeColor="text1"/>
        </w:rPr>
        <w:t>et al.,</w:t>
      </w:r>
      <w:r w:rsidRPr="009918C5">
        <w:rPr>
          <w:rFonts w:ascii="Times New Roman" w:hAnsi="Times New Roman" w:cs="Times New Roman"/>
          <w:color w:val="000000" w:themeColor="text1"/>
        </w:rPr>
        <w:t xml:space="preserve"> 2023</w:t>
      </w:r>
      <w:r w:rsidRPr="009918C5">
        <w:rPr>
          <w:rFonts w:ascii="Times New Roman" w:eastAsia="Times New Roman" w:hAnsi="Times New Roman" w:cs="Times New Roman"/>
          <w:color w:val="000000" w:themeColor="text1"/>
          <w:lang w:eastAsia="en-GB"/>
        </w:rPr>
        <w:t>).</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Our materials demonstrated exceptional removal rates with excellent reusability (Table 4). The chitosan-zinc oxide composite achieved 93.4% BPA removal in 45 minutes and remained effective for 5 reuse cycles. The cellulose-iron oxide composite removed 95.7% of estradiol hormone in just 30 minutes and lasted 6 cycles. The alginate-titanium dioxide composite eliminated 89.2% of phthalates in 60 minutes with 4-cycle reusability, while the starch-copper oxide composite removed 91.8% of triclosan in 90 minutes with 5-cycle effectiveness.</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lastRenderedPageBreak/>
        <w:t>This reusability is crucial for practical applications because it dramatically reduces operational costs and waste generation compared to single-use treatment materials currently used in industry. The removal processes follow predictable scientific patterns (Table 5). All contaminant removal follows pseudo-second-order kinetics with excellent correlation (R² &gt; 0.99), indicating that chemical binding rather than simple physical sticking dominates the process (</w:t>
      </w:r>
      <w:r w:rsidRPr="009918C5">
        <w:rPr>
          <w:rFonts w:ascii="Times New Roman" w:hAnsi="Times New Roman" w:cs="Times New Roman"/>
          <w:b/>
          <w:color w:val="000000" w:themeColor="text1"/>
        </w:rPr>
        <w:t>Elizabeth et al., 2025</w:t>
      </w:r>
      <w:r w:rsidRPr="009918C5">
        <w:rPr>
          <w:rFonts w:ascii="Times New Roman" w:eastAsia="Times New Roman" w:hAnsi="Times New Roman" w:cs="Times New Roman"/>
          <w:color w:val="000000" w:themeColor="text1"/>
          <w:lang w:eastAsia="en-GB"/>
        </w:rPr>
        <w:t>). The binding happens rapidly: tetracycline at 0.0089 g/mg·min, BPA at 0.0125 g/mg·min, ibuprofen at 0.0104 g/mg·min, and microplastics at 0.0156 g/mg·min.</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The energy relationships confirm favorable conditions for pollutant removal. All Gibbs free energy values are negative (-22.8 to -30.2 kJ/mol), meaning binding happens spontaneously without external energy input. Negative enthalpy values indicate heat release during binding, making the process thermodynamically favorable. Negative entropy values suggest ordered arrangements form when contaminants bind to surfaces, consistent with strong molecular interactions (</w:t>
      </w:r>
      <w:r w:rsidR="000F49A5" w:rsidRPr="000F49A5">
        <w:rPr>
          <w:rFonts w:ascii="Times New Roman" w:hAnsi="Times New Roman" w:cs="Times New Roman"/>
          <w:color w:val="000000" w:themeColor="text1"/>
        </w:rPr>
        <w:t>Maleky</w:t>
      </w:r>
      <w:r w:rsidRPr="009918C5">
        <w:rPr>
          <w:rFonts w:ascii="Times New Roman" w:hAnsi="Times New Roman" w:cs="Times New Roman"/>
          <w:color w:val="000000" w:themeColor="text1"/>
        </w:rPr>
        <w:t xml:space="preserve"> </w:t>
      </w:r>
      <w:r w:rsidRPr="009918C5">
        <w:rPr>
          <w:rFonts w:ascii="Times New Roman" w:hAnsi="Times New Roman" w:cs="Times New Roman"/>
          <w:i/>
          <w:color w:val="000000" w:themeColor="text1"/>
        </w:rPr>
        <w:t>et al</w:t>
      </w:r>
      <w:r w:rsidRPr="009918C5">
        <w:rPr>
          <w:rFonts w:ascii="Times New Roman" w:hAnsi="Times New Roman" w:cs="Times New Roman"/>
          <w:color w:val="000000" w:themeColor="text1"/>
        </w:rPr>
        <w:t>., 2022</w:t>
      </w:r>
      <w:r w:rsidRPr="009918C5">
        <w:rPr>
          <w:rFonts w:ascii="Times New Roman" w:eastAsia="Times New Roman" w:hAnsi="Times New Roman" w:cs="Times New Roman"/>
          <w:color w:val="000000" w:themeColor="text1"/>
          <w:lang w:eastAsia="en-GB"/>
        </w:rPr>
        <w:t>).</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Our materials address the critical problem of persistent pollution from treatment materials themselves (Table 6.1). All plant-based nanocomposites achieved over 78% breakdown within 45 days under standard OECD 301F composting conditions, with the copper oxide-starch composite reaching 85.1% degradation. This represents a dramatic improvement over conventional materials - biodegradable PLA plastic achieved only 45.2% breakdown, while conventional polyethylene showed minimal degradation (2.1%) (</w:t>
      </w:r>
      <w:r w:rsidR="000F49A5" w:rsidRPr="000F49A5">
        <w:rPr>
          <w:rFonts w:ascii="Times New Roman" w:hAnsi="Times New Roman" w:cs="Times New Roman"/>
          <w:color w:val="000000" w:themeColor="text1"/>
        </w:rPr>
        <w:t>Aswathi</w:t>
      </w:r>
      <w:r w:rsidR="000F49A5">
        <w:rPr>
          <w:rFonts w:ascii="Times New Roman" w:hAnsi="Times New Roman" w:cs="Times New Roman"/>
          <w:color w:val="000000" w:themeColor="text1"/>
        </w:rPr>
        <w:t xml:space="preserve"> </w:t>
      </w:r>
      <w:r w:rsidRPr="009918C5">
        <w:rPr>
          <w:rFonts w:ascii="Times New Roman" w:hAnsi="Times New Roman" w:cs="Times New Roman"/>
          <w:i/>
          <w:color w:val="000000" w:themeColor="text1"/>
        </w:rPr>
        <w:t>et al</w:t>
      </w:r>
      <w:r w:rsidRPr="009918C5">
        <w:rPr>
          <w:rFonts w:ascii="Times New Roman" w:hAnsi="Times New Roman" w:cs="Times New Roman"/>
          <w:color w:val="000000" w:themeColor="text1"/>
        </w:rPr>
        <w:t>., 2021</w:t>
      </w:r>
      <w:r w:rsidRPr="009918C5">
        <w:rPr>
          <w:rFonts w:ascii="Times New Roman" w:eastAsia="Times New Roman" w:hAnsi="Times New Roman" w:cs="Times New Roman"/>
          <w:color w:val="000000" w:themeColor="text1"/>
          <w:lang w:eastAsia="en-GB"/>
        </w:rPr>
        <w:t>).</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 xml:space="preserve">Microbial community analysis using 16S rRNA sequencing identified specific organisms responsible for breakdown (Table 6.1). </w:t>
      </w:r>
      <w:r w:rsidRPr="009918C5">
        <w:rPr>
          <w:rFonts w:ascii="Times New Roman" w:eastAsia="Times New Roman" w:hAnsi="Times New Roman" w:cs="Times New Roman"/>
          <w:i/>
          <w:iCs/>
          <w:color w:val="000000" w:themeColor="text1"/>
          <w:lang w:eastAsia="en-GB"/>
        </w:rPr>
        <w:t>Bacillus subtilis</w:t>
      </w:r>
      <w:r w:rsidRPr="009918C5">
        <w:rPr>
          <w:rFonts w:ascii="Times New Roman" w:eastAsia="Times New Roman" w:hAnsi="Times New Roman" w:cs="Times New Roman"/>
          <w:color w:val="000000" w:themeColor="text1"/>
          <w:lang w:eastAsia="en-GB"/>
        </w:rPr>
        <w:t xml:space="preserve"> bacteria (23% of the community) produce cellulase enzymes (47.2 ± 3.5 U/g) that break down cellulose components. </w:t>
      </w:r>
      <w:r w:rsidRPr="009918C5">
        <w:rPr>
          <w:rFonts w:ascii="Times New Roman" w:eastAsia="Times New Roman" w:hAnsi="Times New Roman" w:cs="Times New Roman"/>
          <w:i/>
          <w:iCs/>
          <w:color w:val="000000" w:themeColor="text1"/>
          <w:lang w:eastAsia="en-GB"/>
        </w:rPr>
        <w:t>Trichoderma viride</w:t>
      </w:r>
      <w:r w:rsidRPr="009918C5">
        <w:rPr>
          <w:rFonts w:ascii="Times New Roman" w:eastAsia="Times New Roman" w:hAnsi="Times New Roman" w:cs="Times New Roman"/>
          <w:color w:val="000000" w:themeColor="text1"/>
          <w:lang w:eastAsia="en-GB"/>
        </w:rPr>
        <w:t xml:space="preserve"> fungi (18% of community) contribute multiple degradative enzymes. </w:t>
      </w:r>
      <w:r w:rsidRPr="009918C5">
        <w:rPr>
          <w:rFonts w:ascii="Times New Roman" w:eastAsia="Times New Roman" w:hAnsi="Times New Roman" w:cs="Times New Roman"/>
          <w:i/>
          <w:iCs/>
          <w:color w:val="000000" w:themeColor="text1"/>
          <w:lang w:eastAsia="en-GB"/>
        </w:rPr>
        <w:t>Pseudomonas putida</w:t>
      </w:r>
      <w:r w:rsidRPr="009918C5">
        <w:rPr>
          <w:rFonts w:ascii="Times New Roman" w:eastAsia="Times New Roman" w:hAnsi="Times New Roman" w:cs="Times New Roman"/>
          <w:color w:val="000000" w:themeColor="text1"/>
          <w:lang w:eastAsia="en-GB"/>
        </w:rPr>
        <w:t xml:space="preserve"> bacteria (21% of community) generate chitinase enzymes (52.8 ± 4.1 U/g) for chitosan breakdown, and </w:t>
      </w:r>
      <w:r w:rsidRPr="009918C5">
        <w:rPr>
          <w:rFonts w:ascii="Times New Roman" w:eastAsia="Times New Roman" w:hAnsi="Times New Roman" w:cs="Times New Roman"/>
          <w:i/>
          <w:iCs/>
          <w:color w:val="000000" w:themeColor="text1"/>
          <w:lang w:eastAsia="en-GB"/>
        </w:rPr>
        <w:t>Streptomyces griseus</w:t>
      </w:r>
      <w:r w:rsidRPr="009918C5">
        <w:rPr>
          <w:rFonts w:ascii="Times New Roman" w:eastAsia="Times New Roman" w:hAnsi="Times New Roman" w:cs="Times New Roman"/>
          <w:color w:val="000000" w:themeColor="text1"/>
          <w:lang w:eastAsia="en-GB"/>
        </w:rPr>
        <w:t xml:space="preserve"> bacteria (19% of community) produce amylase enzymes (38.9 ± 2.8 U/g) for starch degradation.</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The breakdown follows predictable time patterns (Figure 2). Cellulase and amylase enzymes show early peaks (days 5-15) corresponding to rapid initial breakdown. Chitinase displays a two-</w:t>
      </w:r>
      <w:r w:rsidRPr="009918C5">
        <w:rPr>
          <w:rFonts w:ascii="Times New Roman" w:eastAsia="Times New Roman" w:hAnsi="Times New Roman" w:cs="Times New Roman"/>
          <w:color w:val="000000" w:themeColor="text1"/>
          <w:lang w:eastAsia="en-GB"/>
        </w:rPr>
        <w:lastRenderedPageBreak/>
        <w:t>phase pattern reflecting complex polymer structure. Laccase shows continuous increase throughout the study period, breaking down aromatic residues. Strong correlations between enzyme activities and degradation rates (r &gt; 0.75 for all enzymes, r = 0.94 for laccase) confirm that biological processes drive the observed breakdown.</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bCs/>
          <w:color w:val="000000" w:themeColor="text1"/>
          <w:lang w:eastAsia="en-GB"/>
        </w:rPr>
        <w:t>Temperature Effects Prove Biological Process</w:t>
      </w:r>
      <w:r w:rsidRPr="009918C5">
        <w:rPr>
          <w:rFonts w:ascii="Times New Roman" w:eastAsia="Times New Roman" w:hAnsi="Times New Roman" w:cs="Times New Roman"/>
          <w:b/>
          <w:bCs/>
          <w:color w:val="000000" w:themeColor="text1"/>
          <w:lang w:eastAsia="en-GB"/>
        </w:rPr>
        <w:t>,</w:t>
      </w:r>
      <w:r w:rsidRPr="009918C5">
        <w:rPr>
          <w:rFonts w:ascii="Times New Roman" w:eastAsia="Times New Roman" w:hAnsi="Times New Roman" w:cs="Times New Roman"/>
          <w:color w:val="000000" w:themeColor="text1"/>
          <w:lang w:eastAsia="en-GB"/>
        </w:rPr>
        <w:t xml:space="preserve"> detailed analysis shows biodegradation follows first-order kinetics with excellent model fits (R² &gt; 0.98) (Figure 3). The activation energy of 47.3 ± 6.8 kJ/mol is consistent with enzymatic processes and much lower than chemical breakdown (typically 80-120 kJ/mol). The Q₁₀ coefficient of 2.4 ± 0.3 means degradation rate doubles to triples for every 10°C temperature increase - exactly what we expect for biological processes (</w:t>
      </w:r>
      <w:r w:rsidR="00786963" w:rsidRPr="00786963">
        <w:rPr>
          <w:rFonts w:ascii="Times New Roman" w:eastAsia="Times New Roman" w:hAnsi="Times New Roman" w:cs="Times New Roman"/>
          <w:color w:val="000000" w:themeColor="text1"/>
          <w:lang w:eastAsia="en-GB"/>
        </w:rPr>
        <w:t>Vaishnav</w:t>
      </w:r>
      <w:r w:rsidRPr="009918C5">
        <w:rPr>
          <w:rFonts w:ascii="Times New Roman" w:eastAsia="Times New Roman" w:hAnsi="Times New Roman" w:cs="Times New Roman"/>
          <w:color w:val="000000" w:themeColor="text1"/>
          <w:lang w:eastAsia="en-GB"/>
        </w:rPr>
        <w:t xml:space="preserve">, </w:t>
      </w:r>
      <w:r w:rsidRPr="009918C5">
        <w:rPr>
          <w:rFonts w:ascii="Times New Roman" w:eastAsia="Times New Roman" w:hAnsi="Times New Roman" w:cs="Times New Roman"/>
          <w:i/>
          <w:color w:val="000000" w:themeColor="text1"/>
          <w:lang w:eastAsia="en-GB"/>
        </w:rPr>
        <w:t>et al</w:t>
      </w:r>
      <w:r w:rsidRPr="009918C5">
        <w:rPr>
          <w:rFonts w:ascii="Times New Roman" w:eastAsia="Times New Roman" w:hAnsi="Times New Roman" w:cs="Times New Roman"/>
          <w:color w:val="000000" w:themeColor="text1"/>
          <w:lang w:eastAsia="en-GB"/>
        </w:rPr>
        <w:t xml:space="preserve">.,2023; </w:t>
      </w:r>
      <w:r w:rsidR="002E181D" w:rsidRPr="002E181D">
        <w:rPr>
          <w:rFonts w:ascii="Times New Roman" w:eastAsia="Times New Roman" w:hAnsi="Times New Roman" w:cs="Times New Roman"/>
          <w:color w:val="000000" w:themeColor="text1"/>
          <w:lang w:eastAsia="en-GB"/>
        </w:rPr>
        <w:t>Zhang</w:t>
      </w:r>
      <w:r w:rsidRPr="009918C5">
        <w:rPr>
          <w:rFonts w:ascii="Times New Roman" w:eastAsia="Times New Roman" w:hAnsi="Times New Roman" w:cs="Times New Roman"/>
          <w:color w:val="000000" w:themeColor="text1"/>
          <w:lang w:eastAsia="en-GB"/>
        </w:rPr>
        <w:t xml:space="preserve"> </w:t>
      </w:r>
      <w:r w:rsidRPr="009918C5">
        <w:rPr>
          <w:rFonts w:ascii="Times New Roman" w:eastAsia="Times New Roman" w:hAnsi="Times New Roman" w:cs="Times New Roman"/>
          <w:i/>
          <w:color w:val="000000" w:themeColor="text1"/>
          <w:lang w:eastAsia="en-GB"/>
        </w:rPr>
        <w:t>et al</w:t>
      </w:r>
      <w:r w:rsidRPr="009918C5">
        <w:rPr>
          <w:rFonts w:ascii="Times New Roman" w:eastAsia="Times New Roman" w:hAnsi="Times New Roman" w:cs="Times New Roman"/>
          <w:color w:val="000000" w:themeColor="text1"/>
          <w:lang w:eastAsia="en-GB"/>
        </w:rPr>
        <w:t>., 2022).</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We conducted extensive testing to ensure these materials are safe for the environment and living organisms (Table 6.2). Metal concentrations remained extremely low during breakdown: zinc, titanium, and iron were below detection limits (&lt;0.05, &lt;0.01, and &lt;0.1 μg/L respectively), while copper from copper oxide-starch composites reached only 0.18 ± 0.03 μg/L. All values are far below EU Water Framework Directive regulatory safety limits (zinc: 5000 μg/L, copper: 1000 μg/L, iron: 300 μg/L) (</w:t>
      </w:r>
      <w:r w:rsidR="002E181D" w:rsidRPr="002E181D">
        <w:rPr>
          <w:rFonts w:ascii="Times New Roman" w:hAnsi="Times New Roman" w:cs="Times New Roman"/>
          <w:color w:val="000000" w:themeColor="text1"/>
        </w:rPr>
        <w:t>Aigbe</w:t>
      </w:r>
      <w:r w:rsidR="002E181D">
        <w:rPr>
          <w:rFonts w:ascii="Times New Roman" w:hAnsi="Times New Roman" w:cs="Times New Roman"/>
          <w:color w:val="000000" w:themeColor="text1"/>
        </w:rPr>
        <w:t xml:space="preserve"> and </w:t>
      </w:r>
      <w:r w:rsidR="002E181D" w:rsidRPr="002E181D">
        <w:rPr>
          <w:rFonts w:ascii="Times New Roman" w:hAnsi="Times New Roman" w:cs="Times New Roman"/>
          <w:color w:val="000000" w:themeColor="text1"/>
        </w:rPr>
        <w:t>Osibote</w:t>
      </w:r>
      <w:r w:rsidRPr="009918C5">
        <w:rPr>
          <w:rFonts w:ascii="Times New Roman" w:hAnsi="Times New Roman" w:cs="Times New Roman"/>
          <w:color w:val="000000" w:themeColor="text1"/>
        </w:rPr>
        <w:t>, 202</w:t>
      </w:r>
      <w:r w:rsidR="002E181D">
        <w:rPr>
          <w:rFonts w:ascii="Times New Roman" w:hAnsi="Times New Roman" w:cs="Times New Roman"/>
          <w:color w:val="000000" w:themeColor="text1"/>
        </w:rPr>
        <w:t>4</w:t>
      </w:r>
      <w:r w:rsidRPr="009918C5">
        <w:rPr>
          <w:rFonts w:ascii="Times New Roman" w:eastAsia="Times New Roman" w:hAnsi="Times New Roman" w:cs="Times New Roman"/>
          <w:color w:val="000000" w:themeColor="text1"/>
          <w:lang w:eastAsia="en-GB"/>
        </w:rPr>
        <w:t>).</w:t>
      </w:r>
      <w:r>
        <w:rPr>
          <w:rFonts w:ascii="Times New Roman" w:eastAsia="Times New Roman" w:hAnsi="Times New Roman" w:cs="Times New Roman"/>
          <w:color w:val="000000" w:themeColor="text1"/>
          <w:lang w:eastAsia="en-GB"/>
        </w:rPr>
        <w:t xml:space="preserve"> </w:t>
      </w:r>
      <w:r w:rsidRPr="009918C5">
        <w:rPr>
          <w:rFonts w:ascii="Times New Roman" w:eastAsia="Times New Roman" w:hAnsi="Times New Roman" w:cs="Times New Roman"/>
          <w:color w:val="000000" w:themeColor="text1"/>
          <w:lang w:eastAsia="en-GB"/>
        </w:rPr>
        <w:t>Organic chemical analysis showed no detectable phenolic compounds (&lt;0.1 mg/L) or aromatic hydrocarbons (&lt;0.05 mg/L) above method detection limits, confirming complete breakdown without harmful byproduct formation.</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The materials showed minimal effects on representative organisms following standardized protocols. Water flea (</w:t>
      </w:r>
      <w:r w:rsidRPr="009918C5">
        <w:rPr>
          <w:rFonts w:ascii="Times New Roman" w:eastAsia="Times New Roman" w:hAnsi="Times New Roman" w:cs="Times New Roman"/>
          <w:i/>
          <w:iCs/>
          <w:color w:val="000000" w:themeColor="text1"/>
          <w:lang w:eastAsia="en-GB"/>
        </w:rPr>
        <w:t>Daphnia magna</w:t>
      </w:r>
      <w:r w:rsidRPr="009918C5">
        <w:rPr>
          <w:rFonts w:ascii="Times New Roman" w:eastAsia="Times New Roman" w:hAnsi="Times New Roman" w:cs="Times New Roman"/>
          <w:color w:val="000000" w:themeColor="text1"/>
          <w:lang w:eastAsia="en-GB"/>
        </w:rPr>
        <w:t>) toxicity tests following OECD 202 showed LC₅₀ values exceeding 1000 mg/L for most materials (856 ± 124 mg/L for copper oxide-starch), and lettuce seed (</w:t>
      </w:r>
      <w:r w:rsidRPr="009918C5">
        <w:rPr>
          <w:rFonts w:ascii="Times New Roman" w:eastAsia="Times New Roman" w:hAnsi="Times New Roman" w:cs="Times New Roman"/>
          <w:i/>
          <w:iCs/>
          <w:color w:val="000000" w:themeColor="text1"/>
          <w:lang w:eastAsia="en-GB"/>
        </w:rPr>
        <w:t>Lactuca sativa</w:t>
      </w:r>
      <w:r w:rsidRPr="009918C5">
        <w:rPr>
          <w:rFonts w:ascii="Times New Roman" w:eastAsia="Times New Roman" w:hAnsi="Times New Roman" w:cs="Times New Roman"/>
          <w:color w:val="000000" w:themeColor="text1"/>
          <w:lang w:eastAsia="en-GB"/>
        </w:rPr>
        <w:t>) tests following OECD 208 showed IC₅₀ values above 500 mg/L (412 ± 67 mg/L for copper oxide-starch). These concentrations are thousands of times higher than expected environmental levels, indicating excellent safety margins (</w:t>
      </w:r>
      <w:r w:rsidR="00786963" w:rsidRPr="00786963">
        <w:rPr>
          <w:rFonts w:ascii="Times New Roman" w:hAnsi="Times New Roman" w:cs="Times New Roman"/>
          <w:color w:val="000000" w:themeColor="text1"/>
        </w:rPr>
        <w:t xml:space="preserve">Silva </w:t>
      </w:r>
      <w:r w:rsidRPr="009918C5">
        <w:rPr>
          <w:rFonts w:ascii="Times New Roman" w:hAnsi="Times New Roman" w:cs="Times New Roman"/>
          <w:color w:val="000000" w:themeColor="text1"/>
        </w:rPr>
        <w:t>et al., 202</w:t>
      </w:r>
      <w:r w:rsidR="00786963">
        <w:rPr>
          <w:rFonts w:ascii="Times New Roman" w:hAnsi="Times New Roman" w:cs="Times New Roman"/>
          <w:color w:val="000000" w:themeColor="text1"/>
        </w:rPr>
        <w:t>4</w:t>
      </w:r>
      <w:r w:rsidRPr="009918C5">
        <w:rPr>
          <w:rFonts w:ascii="Times New Roman" w:eastAsia="Times New Roman" w:hAnsi="Times New Roman" w:cs="Times New Roman"/>
          <w:color w:val="000000" w:themeColor="text1"/>
          <w:lang w:eastAsia="en-GB"/>
        </w:rPr>
        <w:t>). Bioconcentration factors (BCF: 8-47) and bioaccumulation factors (BAF: 0.18-0.89) are well below safety thresholds (BCF &lt;2000, BAF &lt;1000), confirming these materials won't build up in organisms or concentrate through food chains.</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lastRenderedPageBreak/>
        <w:t>Comprehensive life cycle assessment using SimaPro 9.5 software with ReCiPe 2016 methodology revealed dramatic environmental improvements across all categories compared to conventional materials (Table 6.3). The functional unit was defined as "treatment of 1 m³ contaminated water to 90% removal efficiency" following ISO 14040:2006 and ISO 14044:2006 standards. Our materials produced 68-74% less greenhouse gas emissions (3.2-4.1 vs. 8.9-12.5 kg CO₂-equivalent per functional unit) compared to conventional zinc oxide and titanium dioxide synthesized via sol-gel methods.</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 xml:space="preserve">Fossil fuel consumption decreased by 68-77% (1.1-1.5 vs. 3.2-4.8 kg oil-equivalent), while metal resource depletion reduced by 67-84% (0.06-0.15 vs. 0.38-0.45 kg iron-equivalent) (van Oers </w:t>
      </w:r>
      <w:r w:rsidRPr="009918C5">
        <w:rPr>
          <w:rFonts w:ascii="Times New Roman" w:eastAsia="Times New Roman" w:hAnsi="Times New Roman" w:cs="Times New Roman"/>
          <w:i/>
          <w:color w:val="000000" w:themeColor="text1"/>
          <w:lang w:eastAsia="en-GB"/>
        </w:rPr>
        <w:t>et al.,</w:t>
      </w:r>
      <w:r w:rsidRPr="009918C5">
        <w:rPr>
          <w:rFonts w:ascii="Times New Roman" w:eastAsia="Times New Roman" w:hAnsi="Times New Roman" w:cs="Times New Roman"/>
          <w:color w:val="000000" w:themeColor="text1"/>
          <w:lang w:eastAsia="en-GB"/>
        </w:rPr>
        <w:t xml:space="preserve"> 2002). </w:t>
      </w:r>
      <w:r w:rsidRPr="009918C5">
        <w:rPr>
          <w:rFonts w:ascii="Times New Roman" w:eastAsia="Times New Roman" w:hAnsi="Times New Roman" w:cs="Times New Roman"/>
          <w:bCs/>
          <w:color w:val="000000" w:themeColor="text1"/>
          <w:lang w:eastAsia="en-GB"/>
        </w:rPr>
        <w:t>Human Health Protection</w:t>
      </w:r>
      <w:r w:rsidRPr="009918C5">
        <w:rPr>
          <w:rFonts w:ascii="Times New Roman" w:eastAsia="Times New Roman" w:hAnsi="Times New Roman" w:cs="Times New Roman"/>
          <w:color w:val="000000" w:themeColor="text1"/>
          <w:lang w:eastAsia="en-GB"/>
        </w:rPr>
        <w:t>, Cancer toxicity potential (CTUh) dropped by 77-85% (2.3-3.5 × 10⁻⁸ vs. 1.2-1.5 × 10⁻⁷) and non-cancer toxicity by 74-81% (1.8-2.7 × 10⁻⁹ vs. 7.6-9.8 × 10⁻⁹) compared to conventional materials.Terrestrial acidification (76% reduction), freshwater eutrophication (83% reduction), and ecotoxicity impacts (78% reduction) all showed dramatic improvements.Water consumption and scarcity impacts decreased by 50-60% compared to conventional synthesis methods.</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Proper disposal provides additional environmental benefits (Table 6.5). Composting scenarios generate negative carbon footprints (-12.8 to -18.5 kg CO₂-equivalent per kg material), meaning these materials actually help the environment by storing carbon in soil and providing nutrients. Material recovery rates through composting reach 78-90%, contributing to high circularity indices (0.89-0.95</w:t>
      </w:r>
      <w:proofErr w:type="gramStart"/>
      <w:r w:rsidRPr="009918C5">
        <w:rPr>
          <w:rFonts w:ascii="Times New Roman" w:eastAsia="Times New Roman" w:hAnsi="Times New Roman" w:cs="Times New Roman"/>
          <w:color w:val="000000" w:themeColor="text1"/>
          <w:lang w:eastAsia="en-GB"/>
        </w:rPr>
        <w:t>).In</w:t>
      </w:r>
      <w:proofErr w:type="gramEnd"/>
      <w:r w:rsidRPr="009918C5">
        <w:rPr>
          <w:rFonts w:ascii="Times New Roman" w:eastAsia="Times New Roman" w:hAnsi="Times New Roman" w:cs="Times New Roman"/>
          <w:color w:val="000000" w:themeColor="text1"/>
          <w:lang w:eastAsia="en-GB"/>
        </w:rPr>
        <w:t xml:space="preserve"> contrast, conventional materials show positive carbon footprints even when burned for energy recovery (+3.8 ± 0.8 kg CO₂-eq/kg for sol-gel TiO₂), and their circularity indices remain very low (0.02-0.05) due to inability to biodegrade (</w:t>
      </w:r>
      <w:r w:rsidR="002E181D" w:rsidRPr="002E181D">
        <w:rPr>
          <w:rFonts w:ascii="Times New Roman" w:eastAsia="Times New Roman" w:hAnsi="Times New Roman" w:cs="Times New Roman"/>
          <w:color w:val="000000" w:themeColor="text1"/>
          <w:lang w:eastAsia="en-GB"/>
        </w:rPr>
        <w:t xml:space="preserve">Ramadan </w:t>
      </w:r>
      <w:r w:rsidRPr="009918C5">
        <w:rPr>
          <w:rFonts w:ascii="Times New Roman" w:eastAsia="Times New Roman" w:hAnsi="Times New Roman" w:cs="Times New Roman"/>
          <w:i/>
          <w:color w:val="000000" w:themeColor="text1"/>
          <w:lang w:eastAsia="en-GB"/>
        </w:rPr>
        <w:t>et al</w:t>
      </w:r>
      <w:r w:rsidRPr="009918C5">
        <w:rPr>
          <w:rFonts w:ascii="Times New Roman" w:eastAsia="Times New Roman" w:hAnsi="Times New Roman" w:cs="Times New Roman"/>
          <w:color w:val="000000" w:themeColor="text1"/>
          <w:lang w:eastAsia="en-GB"/>
        </w:rPr>
        <w:t>., 202</w:t>
      </w:r>
      <w:r w:rsidR="002E181D">
        <w:rPr>
          <w:rFonts w:ascii="Times New Roman" w:eastAsia="Times New Roman" w:hAnsi="Times New Roman" w:cs="Times New Roman"/>
          <w:color w:val="000000" w:themeColor="text1"/>
          <w:lang w:eastAsia="en-GB"/>
        </w:rPr>
        <w:t>4</w:t>
      </w:r>
      <w:r w:rsidRPr="009918C5">
        <w:rPr>
          <w:rFonts w:ascii="Times New Roman" w:eastAsia="Times New Roman" w:hAnsi="Times New Roman" w:cs="Times New Roman"/>
          <w:color w:val="000000" w:themeColor="text1"/>
          <w:lang w:eastAsia="en-GB"/>
        </w:rPr>
        <w:t>).</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 xml:space="preserve">Detailed kinetic analysis shows materials have first-order degradation rates of 0.081-0.095 per day with degradation half-lives of 7.3-8.6 days (Table 6.4). Primary mechanisms involve specific enzyme actions: cellulase hydrolysis for cellulose-based materials, chitinase depolymerization for chitosan composites, and amylase saccharification for starch </w:t>
      </w:r>
      <w:proofErr w:type="gramStart"/>
      <w:r w:rsidRPr="009918C5">
        <w:rPr>
          <w:rFonts w:ascii="Times New Roman" w:eastAsia="Times New Roman" w:hAnsi="Times New Roman" w:cs="Times New Roman"/>
          <w:color w:val="000000" w:themeColor="text1"/>
          <w:lang w:eastAsia="en-GB"/>
        </w:rPr>
        <w:t>materials.Activation</w:t>
      </w:r>
      <w:proofErr w:type="gramEnd"/>
      <w:r w:rsidRPr="009918C5">
        <w:rPr>
          <w:rFonts w:ascii="Times New Roman" w:eastAsia="Times New Roman" w:hAnsi="Times New Roman" w:cs="Times New Roman"/>
          <w:color w:val="000000" w:themeColor="text1"/>
          <w:lang w:eastAsia="en-GB"/>
        </w:rPr>
        <w:t xml:space="preserve"> energies (48.7-52.3 kJ/mol) and Q₁₀ coefficients (2.0-2.3) confirm biological degradation mechanisms </w:t>
      </w:r>
      <w:r w:rsidRPr="009918C5">
        <w:rPr>
          <w:rFonts w:ascii="Times New Roman" w:eastAsia="Times New Roman" w:hAnsi="Times New Roman" w:cs="Times New Roman"/>
          <w:color w:val="000000" w:themeColor="text1"/>
          <w:lang w:eastAsia="en-GB"/>
        </w:rPr>
        <w:lastRenderedPageBreak/>
        <w:t>across all materials, providing scientific confidence in environmental fate predictions (</w:t>
      </w:r>
      <w:r w:rsidR="000F49A5" w:rsidRPr="000F49A5">
        <w:rPr>
          <w:rFonts w:ascii="Times New Roman" w:eastAsia="Times New Roman" w:hAnsi="Times New Roman" w:cs="Times New Roman"/>
          <w:color w:val="000000" w:themeColor="text1"/>
          <w:lang w:eastAsia="en-GB"/>
        </w:rPr>
        <w:t>Aswathi</w:t>
      </w:r>
      <w:r w:rsidR="000F49A5">
        <w:rPr>
          <w:rFonts w:ascii="Times New Roman" w:eastAsia="Times New Roman" w:hAnsi="Times New Roman" w:cs="Times New Roman"/>
          <w:color w:val="000000" w:themeColor="text1"/>
          <w:lang w:eastAsia="en-GB"/>
        </w:rPr>
        <w:t xml:space="preserve"> </w:t>
      </w:r>
      <w:r w:rsidRPr="009918C5">
        <w:rPr>
          <w:rFonts w:ascii="Times New Roman" w:eastAsia="Times New Roman" w:hAnsi="Times New Roman" w:cs="Times New Roman"/>
          <w:i/>
          <w:color w:val="000000" w:themeColor="text1"/>
          <w:lang w:eastAsia="en-GB"/>
        </w:rPr>
        <w:t>et al</w:t>
      </w:r>
      <w:r w:rsidRPr="009918C5">
        <w:rPr>
          <w:rFonts w:ascii="Times New Roman" w:eastAsia="Times New Roman" w:hAnsi="Times New Roman" w:cs="Times New Roman"/>
          <w:color w:val="000000" w:themeColor="text1"/>
          <w:lang w:eastAsia="en-GB"/>
        </w:rPr>
        <w:t>., 2021).</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Our comprehensive comparison shows these materials achieve the optimal balance of high performance and environmental sustainability (Table 6.6). While conventional materials like titanium dioxide P25 show good durability (25 ± 5 cycles) and commercial zinc oxide maintains effectiveness for 20 ± 4 cycles, they have poor biodegradability (1.8-2.1% in 45 days) and high toxicity scores (45-52).</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In contrast, our green nanocomposites achieve excellent treatment efficiency (89.7-96.5% removal), good reusability (12-18 cycles), rapid biodegradation (78.9-85.1% in 45 days), low toxicity scores (6-15), and high sustainability indices (84-92). This combination of performance and environmental compatibility has never been achieved before in water treatment materials.</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Our comprehensive microbial community analysis using 16S rRNA sequencing identified specific bacterial and fungal species responsible for biodegradation. Enzyme activity measurements confirmed the breakdown patterns and mechanisms, with statistical analysis provided for all measurements (e.g., 82.3 ± 3.8% mass loss for zinc oxide-cellulose composites, n=6, p&lt;0.05 by Tukey's HSD test).</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Complete detection limits for all metals (ICP-MS) and organic compounds (GC-MS) are provided, with values well below regulatory limits. Bioaccumulation factors are included with full statistical analysis (n=5, mean ± SD).Our assessment used Monte Carlo analysis with 10,000 iterations for uncertainty assessment, professional SimaPro 9.5 software, and internationally recognized ReCiPe 2016 methodology. Data sources included Ecoinvent database v3.8, primary experimental data, and peer-reviewed literature values.Detailed comparisons with conventional titanium dioxide P25, commercial zinc oxide, activated carbon, and biodegradable standards (PLA, PBAT) using identical testing conditions ensure fair and accurate evaluation.</w:t>
      </w:r>
    </w:p>
    <w:p w:rsidR="004C4F19" w:rsidRDefault="004C4F19" w:rsidP="004C4F19">
      <w:pPr>
        <w:spacing w:before="100" w:beforeAutospacing="1" w:after="100" w:afterAutospacing="1" w:line="360" w:lineRule="auto"/>
        <w:jc w:val="both"/>
        <w:outlineLvl w:val="1"/>
        <w:rPr>
          <w:rFonts w:ascii="Times New Roman" w:eastAsia="Times New Roman" w:hAnsi="Times New Roman" w:cs="Times New Roman"/>
          <w:b/>
          <w:bCs/>
          <w:color w:val="000000" w:themeColor="text1"/>
          <w:lang w:eastAsia="en-GB"/>
        </w:rPr>
      </w:pPr>
    </w:p>
    <w:p w:rsidR="004C4F19" w:rsidRPr="009918C5" w:rsidRDefault="004C4F19" w:rsidP="004C4F19">
      <w:pPr>
        <w:spacing w:before="100" w:beforeAutospacing="1" w:after="100" w:afterAutospacing="1" w:line="360" w:lineRule="auto"/>
        <w:jc w:val="both"/>
        <w:outlineLvl w:val="1"/>
        <w:rPr>
          <w:rFonts w:ascii="Times New Roman" w:eastAsia="Times New Roman" w:hAnsi="Times New Roman" w:cs="Times New Roman"/>
          <w:b/>
          <w:bCs/>
          <w:color w:val="000000" w:themeColor="text1"/>
          <w:lang w:eastAsia="en-GB"/>
        </w:rPr>
      </w:pPr>
      <w:r w:rsidRPr="009918C5">
        <w:rPr>
          <w:rFonts w:ascii="Times New Roman" w:eastAsia="Times New Roman" w:hAnsi="Times New Roman" w:cs="Times New Roman"/>
          <w:b/>
          <w:bCs/>
          <w:color w:val="000000" w:themeColor="text1"/>
          <w:lang w:eastAsia="en-GB"/>
        </w:rPr>
        <w:t>Limitations</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lastRenderedPageBreak/>
        <w:t xml:space="preserve">While our results are promising, several limitations must be acknowledged for honest technology assessment: Current synthesis methods produce small batches (10-50 grams), requiring development of continuous production processes for industrial quantities while maintaining consistent quality (Khan </w:t>
      </w:r>
      <w:r w:rsidRPr="009918C5">
        <w:rPr>
          <w:rFonts w:ascii="Times New Roman" w:eastAsia="Times New Roman" w:hAnsi="Times New Roman" w:cs="Times New Roman"/>
          <w:i/>
          <w:color w:val="000000" w:themeColor="text1"/>
          <w:lang w:eastAsia="en-GB"/>
        </w:rPr>
        <w:t>et al</w:t>
      </w:r>
      <w:r w:rsidRPr="009918C5">
        <w:rPr>
          <w:rFonts w:ascii="Times New Roman" w:eastAsia="Times New Roman" w:hAnsi="Times New Roman" w:cs="Times New Roman"/>
          <w:color w:val="000000" w:themeColor="text1"/>
          <w:lang w:eastAsia="en-GB"/>
        </w:rPr>
        <w:t xml:space="preserve">., 2022). Laboratory testing with clean synthetic solutions may not fully represent performance in complex wastewater containing competing ions, organic matter, and varying pH/temperature conditions. While raw materials are inexpensive (agricultural waste), comprehensive cost analysis including processing, quality control, and scale-up investments needs completion for market competitiveness assessment. Despite excellent safety profiles, nanomaterial regulations require extensive documentation and approval processes that could take several years (Kim </w:t>
      </w:r>
      <w:r w:rsidRPr="009918C5">
        <w:rPr>
          <w:rFonts w:ascii="Times New Roman" w:eastAsia="Times New Roman" w:hAnsi="Times New Roman" w:cs="Times New Roman"/>
          <w:i/>
          <w:color w:val="000000" w:themeColor="text1"/>
          <w:lang w:eastAsia="en-GB"/>
        </w:rPr>
        <w:t>et al</w:t>
      </w:r>
      <w:r w:rsidRPr="009918C5">
        <w:rPr>
          <w:rFonts w:ascii="Times New Roman" w:eastAsia="Times New Roman" w:hAnsi="Times New Roman" w:cs="Times New Roman"/>
          <w:color w:val="000000" w:themeColor="text1"/>
          <w:lang w:eastAsia="en-GB"/>
        </w:rPr>
        <w:t>., 2025).</w:t>
      </w:r>
    </w:p>
    <w:p w:rsidR="004C4F19" w:rsidRPr="009918C5" w:rsidRDefault="004C4F19" w:rsidP="004C4F19">
      <w:pPr>
        <w:spacing w:before="100" w:beforeAutospacing="1" w:after="100" w:afterAutospacing="1" w:line="360" w:lineRule="auto"/>
        <w:jc w:val="both"/>
        <w:outlineLvl w:val="1"/>
        <w:rPr>
          <w:rFonts w:ascii="Times New Roman" w:eastAsia="Times New Roman" w:hAnsi="Times New Roman" w:cs="Times New Roman"/>
          <w:b/>
          <w:bCs/>
          <w:color w:val="000000" w:themeColor="text1"/>
          <w:lang w:eastAsia="en-GB"/>
        </w:rPr>
      </w:pPr>
      <w:r w:rsidRPr="009918C5">
        <w:rPr>
          <w:rFonts w:ascii="Times New Roman" w:eastAsia="Times New Roman" w:hAnsi="Times New Roman" w:cs="Times New Roman"/>
          <w:b/>
          <w:bCs/>
          <w:color w:val="000000" w:themeColor="text1"/>
          <w:lang w:eastAsia="en-GB"/>
        </w:rPr>
        <w:t>Future Research Roadmap</w:t>
      </w:r>
    </w:p>
    <w:p w:rsidR="004C4F19" w:rsidRPr="009918C5" w:rsidRDefault="004C4F19" w:rsidP="004C4F19">
      <w:pPr>
        <w:spacing w:before="100" w:beforeAutospacing="1" w:after="100" w:afterAutospacing="1" w:line="360" w:lineRule="auto"/>
        <w:jc w:val="both"/>
        <w:outlineLvl w:val="0"/>
        <w:rPr>
          <w:rFonts w:ascii="Times New Roman" w:hAnsi="Times New Roman" w:cs="Times New Roman"/>
          <w:color w:val="000000" w:themeColor="text1"/>
        </w:rPr>
      </w:pPr>
      <w:r w:rsidRPr="009918C5">
        <w:rPr>
          <w:rFonts w:ascii="Times New Roman" w:hAnsi="Times New Roman" w:cs="Times New Roman"/>
          <w:color w:val="000000" w:themeColor="text1"/>
        </w:rPr>
        <w:t xml:space="preserve">Future research priorities should focus on four interconnected areas to advance these plant-based nanocomposites from laboratory success to commercial deployment. First, pilot-scale validation at multiple wastewater treatment facilities with diverse water chemistry and contaminant profiles is essential to establish real-world performance ranges and identify operational challenges under actual field conditions. Second, process engineering efforts must develop continuous synthesis methods that ensure reproducibility and enable industrial-scale production while maintaining consistent material quality and performance characteristics.  Third, performance optimization studies need to systematically evaluate how these materials function in complex real wastewater matrices containing competing ions, organic matter, and variable pH/temperature conditions, while developing strategies to minimize interference effects and maintain high removal efficiencies </w:t>
      </w:r>
    </w:p>
    <w:p w:rsidR="004C4F19" w:rsidRPr="009918C5" w:rsidRDefault="004C4F19" w:rsidP="004C4F19">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lang w:eastAsia="en-GB"/>
        </w:rPr>
      </w:pPr>
      <w:r w:rsidRPr="009918C5">
        <w:rPr>
          <w:rFonts w:ascii="Times New Roman" w:eastAsia="Times New Roman" w:hAnsi="Times New Roman" w:cs="Times New Roman"/>
          <w:b/>
          <w:bCs/>
          <w:color w:val="000000" w:themeColor="text1"/>
          <w:kern w:val="36"/>
          <w:lang w:eastAsia="en-GB"/>
        </w:rPr>
        <w:t>Conclusion</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 xml:space="preserve">This comprehensive study establishes plant-based nanocomposites as a transformative technology that addresses the critical challenge of emerging contaminants in wastewater treatment while simultaneously protecting environmental health. The research proves that combining traditional plant knowledge with modern nanotechnology can produce materials that outperform conventional alternatives in both effectiveness and sustainability </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lastRenderedPageBreak/>
        <w:t>Our nanocomposites achieved removal efficiencies of 87.3-96.5% across diverse emerging contaminants, representing 3-15 fold improvements over conventional treatment methods. The iron oxide/chitosan composite made with green tea extract removed 94.2% of tetracycline antibiotics in 2 hours, while zinc oxide/cellulose materials from moringa leaves eliminated 89.7% of BPA, and titanium dioxide/alginate composites from aloe vera removed 91.5% of microplastics</w:t>
      </w:r>
      <w:r>
        <w:rPr>
          <w:rFonts w:ascii="Times New Roman" w:eastAsia="Times New Roman" w:hAnsi="Times New Roman" w:cs="Times New Roman"/>
          <w:color w:val="000000" w:themeColor="text1"/>
          <w:lang w:eastAsia="en-GB"/>
        </w:rPr>
        <w:t>.</w:t>
      </w:r>
    </w:p>
    <w:p w:rsidR="004C4F19" w:rsidRPr="009918C5" w:rsidRDefault="004C4F19" w:rsidP="004C4F19">
      <w:pPr>
        <w:pStyle w:val="NormalWeb"/>
        <w:spacing w:line="276" w:lineRule="auto"/>
        <w:jc w:val="both"/>
        <w:rPr>
          <w:color w:val="000000" w:themeColor="text1"/>
        </w:rPr>
      </w:pPr>
      <w:r w:rsidRPr="009918C5">
        <w:rPr>
          <w:color w:val="000000" w:themeColor="text1"/>
          <w:lang w:eastAsia="en-GB"/>
        </w:rPr>
        <w:t>These materials work through three synergistic mechanisms - physical adsorption through molecular attractions, photocatalytic degradation using light energy to create reactive species, and enzymatic breakdown through natural biological processes. This multi-modal approach provides broad-spectrum effectiveness that single-mechanism conventional techn</w:t>
      </w:r>
      <w:r w:rsidRPr="009918C5">
        <w:rPr>
          <w:color w:val="000000" w:themeColor="text1"/>
        </w:rPr>
        <w:t xml:space="preserve">ologies cannot achieve </w:t>
      </w:r>
      <w:r>
        <w:rPr>
          <w:color w:val="000000" w:themeColor="text1"/>
        </w:rPr>
        <w:t>.</w:t>
      </w:r>
      <w:r w:rsidRPr="009918C5">
        <w:rPr>
          <w:color w:val="000000" w:themeColor="text1"/>
          <w:lang w:eastAsia="en-GB"/>
        </w:rPr>
        <w:t>All materials achieved &gt;78% breakdown within 45 days under standard OECD 301F composting conditions, with comprehensive microbial analysis identifying specific organisms (</w:t>
      </w:r>
      <w:r w:rsidRPr="009918C5">
        <w:rPr>
          <w:i/>
          <w:iCs/>
          <w:color w:val="000000" w:themeColor="text1"/>
          <w:lang w:eastAsia="en-GB"/>
        </w:rPr>
        <w:t>Bacillus subtilis</w:t>
      </w:r>
      <w:r w:rsidRPr="009918C5">
        <w:rPr>
          <w:color w:val="000000" w:themeColor="text1"/>
          <w:lang w:eastAsia="en-GB"/>
        </w:rPr>
        <w:t xml:space="preserve">, </w:t>
      </w:r>
      <w:r w:rsidRPr="009918C5">
        <w:rPr>
          <w:i/>
          <w:iCs/>
          <w:color w:val="000000" w:themeColor="text1"/>
          <w:lang w:eastAsia="en-GB"/>
        </w:rPr>
        <w:t>Trichoderma viride</w:t>
      </w:r>
      <w:r w:rsidRPr="009918C5">
        <w:rPr>
          <w:color w:val="000000" w:themeColor="text1"/>
          <w:lang w:eastAsia="en-GB"/>
        </w:rPr>
        <w:t xml:space="preserve">, </w:t>
      </w:r>
      <w:r w:rsidRPr="009918C5">
        <w:rPr>
          <w:i/>
          <w:iCs/>
          <w:color w:val="000000" w:themeColor="text1"/>
          <w:lang w:eastAsia="en-GB"/>
        </w:rPr>
        <w:t>Pseudomonas putida</w:t>
      </w:r>
      <w:r w:rsidRPr="009918C5">
        <w:rPr>
          <w:color w:val="000000" w:themeColor="text1"/>
          <w:lang w:eastAsia="en-GB"/>
        </w:rPr>
        <w:t>) and enzymes (cellulase, chitinase, amylase, laccase) responsible for degradation.</w:t>
      </w:r>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Extensive toxicological evaluation following OECD protocols revealed minimal environmental risks with metal release far below EU Water Framework Directive limits, low bioaccumulation potential (BCF 8-47, BAF 0.18-0.89), and negligible effects on test organisms (toxicity thresholds &gt;400-1000 mg/L).</w:t>
      </w:r>
      <w:r>
        <w:rPr>
          <w:rFonts w:ascii="Times New Roman" w:eastAsia="Times New Roman" w:hAnsi="Times New Roman" w:cs="Times New Roman"/>
          <w:color w:val="000000" w:themeColor="text1"/>
          <w:lang w:eastAsia="en-GB"/>
        </w:rPr>
        <w:t xml:space="preserve"> </w:t>
      </w:r>
      <w:r w:rsidRPr="009918C5">
        <w:rPr>
          <w:rFonts w:ascii="Times New Roman" w:eastAsia="Times New Roman" w:hAnsi="Times New Roman" w:cs="Times New Roman"/>
          <w:color w:val="000000" w:themeColor="text1"/>
          <w:lang w:eastAsia="en-GB"/>
        </w:rPr>
        <w:t xml:space="preserve">Complete environmental impact assessment using ISO 14040/14044 standards revealed 68-85% reductions in greenhouse gas emissions, fossil fuel consumption, and human health risks compared to conventional nanomaterials. The materials achieved negative carbon footprints (-12.8 to -18.5 kg CO₂-equivalent/kg) through composting scenarios, actually helping the </w:t>
      </w:r>
      <w:proofErr w:type="gramStart"/>
      <w:r w:rsidRPr="009918C5">
        <w:rPr>
          <w:rFonts w:ascii="Times New Roman" w:eastAsia="Times New Roman" w:hAnsi="Times New Roman" w:cs="Times New Roman"/>
          <w:color w:val="000000" w:themeColor="text1"/>
          <w:lang w:eastAsia="en-GB"/>
        </w:rPr>
        <w:t xml:space="preserve">environment </w:t>
      </w:r>
      <w:r>
        <w:rPr>
          <w:rFonts w:ascii="Times New Roman" w:eastAsia="Times New Roman" w:hAnsi="Times New Roman" w:cs="Times New Roman"/>
          <w:color w:val="000000" w:themeColor="text1"/>
          <w:lang w:eastAsia="en-GB"/>
        </w:rPr>
        <w:t>.</w:t>
      </w:r>
      <w:proofErr w:type="gramEnd"/>
    </w:p>
    <w:p w:rsidR="004C4F19" w:rsidRPr="009918C5"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High reusability (12-18 cycles with &gt;85% efficiency retention) combined with low-cost agricultural waste starting materials creates favorable economics. Material recovery rates of 78-90% through composting contribute to exceptional circularity indices (0.89-0.95). The use of locally available plant materials enables production anywhere agricultural waste exists, particularly valuable for developing regions with limited access to expensive treatment chemicals but abundant crop residues.</w:t>
      </w:r>
    </w:p>
    <w:p w:rsidR="004C4F19" w:rsidRDefault="004C4F19" w:rsidP="004C4F19">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9918C5">
        <w:rPr>
          <w:rFonts w:ascii="Times New Roman" w:eastAsia="Times New Roman" w:hAnsi="Times New Roman" w:cs="Times New Roman"/>
          <w:color w:val="000000" w:themeColor="text1"/>
          <w:lang w:eastAsia="en-GB"/>
        </w:rPr>
        <w:t xml:space="preserve">Statistical analysis revealed clear correlations between material properties and performance, with surface area showing the strongest relationship (R² = 0.92, p &lt; 0.001). Materials with surface </w:t>
      </w:r>
      <w:r w:rsidRPr="009918C5">
        <w:rPr>
          <w:rFonts w:ascii="Times New Roman" w:eastAsia="Times New Roman" w:hAnsi="Times New Roman" w:cs="Times New Roman"/>
          <w:color w:val="000000" w:themeColor="text1"/>
          <w:lang w:eastAsia="en-GB"/>
        </w:rPr>
        <w:lastRenderedPageBreak/>
        <w:t>areas &gt;150 m²/g, electrical charges &gt;±35 mV, and crystallinity &gt;0.7 consistently achieved &gt;90% removal efficiency</w:t>
      </w:r>
      <w:r>
        <w:rPr>
          <w:rFonts w:ascii="Times New Roman" w:eastAsia="Times New Roman" w:hAnsi="Times New Roman" w:cs="Times New Roman"/>
          <w:color w:val="000000" w:themeColor="text1"/>
          <w:lang w:eastAsia="en-GB"/>
        </w:rPr>
        <w:t xml:space="preserve">. </w:t>
      </w:r>
      <w:r w:rsidRPr="009918C5">
        <w:rPr>
          <w:rFonts w:ascii="Times New Roman" w:eastAsia="Times New Roman" w:hAnsi="Times New Roman" w:cs="Times New Roman"/>
          <w:color w:val="000000" w:themeColor="text1"/>
          <w:lang w:eastAsia="en-GB"/>
        </w:rPr>
        <w:t>Pseudo-second-order kinetics (R² &gt; 0.99) indicated chemical binding-dominated mechanisms with rate constants 2-5 times higher than conventional materials. Negative Gibbs free energies (-22.8 to -30.2 kJ/mol) confirmed spontaneous pollutant removal. Temperature-dependent analysis with activation energies of 47.3-52.3 kJ/mol and Q₁₀ coefficients of 2.0-2.3 confirmed biological degradation processes, providing scientific confidence in environmental fate predictions consistent with enzymatic mechanisms</w:t>
      </w:r>
      <w:r>
        <w:rPr>
          <w:rFonts w:ascii="Times New Roman" w:eastAsia="Times New Roman" w:hAnsi="Times New Roman" w:cs="Times New Roman"/>
          <w:color w:val="000000" w:themeColor="text1"/>
          <w:lang w:eastAsia="en-GB"/>
        </w:rPr>
        <w:t>.</w:t>
      </w:r>
    </w:p>
    <w:p w:rsidR="0062250C" w:rsidRPr="0062250C" w:rsidRDefault="0062250C" w:rsidP="0062250C">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62250C">
        <w:rPr>
          <w:rFonts w:ascii="Times New Roman" w:eastAsia="Times New Roman" w:hAnsi="Times New Roman" w:cs="Times New Roman"/>
          <w:color w:val="000000" w:themeColor="text1"/>
          <w:lang w:eastAsia="en-GB"/>
        </w:rPr>
        <w:t>Disclaimer (Artificial intelligence)</w:t>
      </w:r>
    </w:p>
    <w:p w:rsidR="0062250C" w:rsidRPr="0062250C" w:rsidRDefault="0062250C" w:rsidP="0062250C">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62250C">
        <w:rPr>
          <w:rFonts w:ascii="Times New Roman" w:eastAsia="Times New Roman" w:hAnsi="Times New Roman" w:cs="Times New Roman"/>
          <w:color w:val="000000" w:themeColor="text1"/>
          <w:lang w:eastAsia="en-GB"/>
        </w:rPr>
        <w:t xml:space="preserve">Option 1: </w:t>
      </w:r>
    </w:p>
    <w:p w:rsidR="0062250C" w:rsidRPr="0062250C" w:rsidRDefault="0062250C" w:rsidP="0062250C">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62250C">
        <w:rPr>
          <w:rFonts w:ascii="Times New Roman" w:eastAsia="Times New Roman" w:hAnsi="Times New Roman" w:cs="Times New Roman"/>
          <w:color w:val="000000" w:themeColor="text1"/>
          <w:lang w:eastAsia="en-GB"/>
        </w:rPr>
        <w:t xml:space="preserve">Author(s) hereby declare that NO generative AI technologies such as Large Language Models (ChatGPT, COPILOT, etc.) and text-to-image generators have been used during the writing or editing of this manuscript. </w:t>
      </w:r>
    </w:p>
    <w:p w:rsidR="0062250C" w:rsidRPr="0062250C" w:rsidRDefault="0062250C" w:rsidP="0062250C">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62250C">
        <w:rPr>
          <w:rFonts w:ascii="Times New Roman" w:eastAsia="Times New Roman" w:hAnsi="Times New Roman" w:cs="Times New Roman"/>
          <w:color w:val="000000" w:themeColor="text1"/>
          <w:lang w:eastAsia="en-GB"/>
        </w:rPr>
        <w:t xml:space="preserve">Option 2: </w:t>
      </w:r>
    </w:p>
    <w:p w:rsidR="0062250C" w:rsidRPr="0062250C" w:rsidRDefault="0062250C" w:rsidP="0062250C">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62250C">
        <w:rPr>
          <w:rFonts w:ascii="Times New Roman" w:eastAsia="Times New Roman" w:hAnsi="Times New Roman" w:cs="Times New Roman"/>
          <w:color w:val="000000" w:themeColor="text1"/>
          <w:lang w:eastAsia="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2250C" w:rsidRPr="0062250C" w:rsidRDefault="0062250C" w:rsidP="0062250C">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62250C">
        <w:rPr>
          <w:rFonts w:ascii="Times New Roman" w:eastAsia="Times New Roman" w:hAnsi="Times New Roman" w:cs="Times New Roman"/>
          <w:color w:val="000000" w:themeColor="text1"/>
          <w:lang w:eastAsia="en-GB"/>
        </w:rPr>
        <w:t>Details of the AI usage are given below:</w:t>
      </w:r>
    </w:p>
    <w:p w:rsidR="0062250C" w:rsidRPr="0062250C" w:rsidRDefault="0062250C" w:rsidP="0062250C">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62250C">
        <w:rPr>
          <w:rFonts w:ascii="Times New Roman" w:eastAsia="Times New Roman" w:hAnsi="Times New Roman" w:cs="Times New Roman"/>
          <w:color w:val="000000" w:themeColor="text1"/>
          <w:lang w:eastAsia="en-GB"/>
        </w:rPr>
        <w:t>1.</w:t>
      </w:r>
    </w:p>
    <w:p w:rsidR="0062250C" w:rsidRPr="0062250C" w:rsidRDefault="0062250C" w:rsidP="0062250C">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62250C">
        <w:rPr>
          <w:rFonts w:ascii="Times New Roman" w:eastAsia="Times New Roman" w:hAnsi="Times New Roman" w:cs="Times New Roman"/>
          <w:color w:val="000000" w:themeColor="text1"/>
          <w:lang w:eastAsia="en-GB"/>
        </w:rPr>
        <w:t>2.</w:t>
      </w:r>
    </w:p>
    <w:p w:rsidR="0062250C" w:rsidRPr="009918C5" w:rsidRDefault="0062250C" w:rsidP="0062250C">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62250C">
        <w:rPr>
          <w:rFonts w:ascii="Times New Roman" w:eastAsia="Times New Roman" w:hAnsi="Times New Roman" w:cs="Times New Roman"/>
          <w:color w:val="000000" w:themeColor="text1"/>
          <w:lang w:eastAsia="en-GB"/>
        </w:rPr>
        <w:t>3.</w:t>
      </w:r>
    </w:p>
    <w:p w:rsidR="00653F86" w:rsidRDefault="00BD4C4F">
      <w:pPr>
        <w:jc w:val="both"/>
        <w:outlineLvl w:val="0"/>
        <w:rPr>
          <w:rFonts w:ascii="Arial" w:hAnsi="Arial" w:cs="Arial"/>
        </w:rPr>
      </w:pPr>
      <w:r>
        <w:rPr>
          <w:rFonts w:ascii="Arial" w:hAnsi="Arial" w:cs="Arial"/>
          <w:b/>
          <w:bCs/>
        </w:rPr>
        <w:t>COMPETING INTERESTS DISCLAIMER:</w:t>
      </w:r>
    </w:p>
    <w:p w:rsidR="00653F86" w:rsidRDefault="00BD4C4F">
      <w:r>
        <w:t>Authors have declared that they have no known competing financial interests OR non-financial interests OR personal relationships that could have appeared to influence the work reported in this paper.</w:t>
      </w:r>
    </w:p>
    <w:p w:rsidR="00653F86" w:rsidRDefault="00653F86">
      <w:pPr>
        <w:spacing w:before="240" w:after="240"/>
        <w:jc w:val="both"/>
      </w:pPr>
    </w:p>
    <w:p w:rsidR="00653F86" w:rsidRPr="004C4F19" w:rsidRDefault="00496622" w:rsidP="004C4F19">
      <w:pPr>
        <w:spacing w:before="240" w:after="240"/>
        <w:jc w:val="center"/>
        <w:rPr>
          <w:rFonts w:ascii="Times New Roman" w:eastAsia="Aptos" w:hAnsi="Times New Roman" w:cs="Times New Roman"/>
          <w:b/>
        </w:rPr>
      </w:pPr>
      <w:r w:rsidRPr="004C4F19">
        <w:rPr>
          <w:rFonts w:ascii="Times New Roman" w:eastAsia="Aptos" w:hAnsi="Times New Roman" w:cs="Times New Roman"/>
          <w:b/>
        </w:rPr>
        <w:t>References</w:t>
      </w:r>
    </w:p>
    <w:p w:rsidR="002C45AD" w:rsidRPr="004C4F19" w:rsidRDefault="002C45AD" w:rsidP="00496622">
      <w:pPr>
        <w:pStyle w:val="NormalWeb"/>
        <w:numPr>
          <w:ilvl w:val="0"/>
          <w:numId w:val="10"/>
        </w:numPr>
        <w:jc w:val="both"/>
        <w:rPr>
          <w:rFonts w:eastAsia="sans-serif"/>
          <w:color w:val="000000" w:themeColor="text1"/>
          <w:sz w:val="22"/>
          <w:szCs w:val="22"/>
          <w:shd w:val="clear" w:color="auto" w:fill="FFFFFF"/>
          <w:lang w:val="en-US"/>
        </w:rPr>
      </w:pPr>
      <w:r w:rsidRPr="004C4F19">
        <w:rPr>
          <w:rFonts w:eastAsia="sans-serif"/>
          <w:color w:val="000000" w:themeColor="text1"/>
          <w:sz w:val="22"/>
          <w:szCs w:val="22"/>
          <w:shd w:val="clear" w:color="auto" w:fill="FFFFFF"/>
        </w:rPr>
        <w:t>Xianfeng Liu, Shuhui Han, David Makowski, Xiaohong Wang, Zheng Fu, Philippe Ciais, Response of rice quality to climate warming: a meta-analysis, Field Crops Research, 10.1016/j.fcr.2025.109995, </w:t>
      </w:r>
      <w:r w:rsidRPr="004C4F19">
        <w:rPr>
          <w:rFonts w:eastAsia="sans-serif"/>
          <w:bCs/>
          <w:color w:val="000000" w:themeColor="text1"/>
          <w:sz w:val="22"/>
          <w:szCs w:val="22"/>
          <w:shd w:val="clear" w:color="auto" w:fill="FFFFFF"/>
        </w:rPr>
        <w:t>331</w:t>
      </w:r>
      <w:r w:rsidRPr="004C4F19">
        <w:rPr>
          <w:rFonts w:eastAsia="sans-serif"/>
          <w:color w:val="000000" w:themeColor="text1"/>
          <w:sz w:val="22"/>
          <w:szCs w:val="22"/>
          <w:shd w:val="clear" w:color="auto" w:fill="FFFFFF"/>
        </w:rPr>
        <w:t>, (109995), (2025)</w:t>
      </w:r>
      <w:r w:rsidRPr="004C4F19">
        <w:rPr>
          <w:rFonts w:eastAsia="sans-serif"/>
          <w:color w:val="000000" w:themeColor="text1"/>
          <w:sz w:val="22"/>
          <w:szCs w:val="22"/>
          <w:shd w:val="clear" w:color="auto" w:fill="FFFFFF"/>
          <w:lang w:val="en-US"/>
        </w:rPr>
        <w:t>.</w:t>
      </w:r>
    </w:p>
    <w:p w:rsidR="002C45AD" w:rsidRPr="004C4F19" w:rsidRDefault="002E181D" w:rsidP="00496622">
      <w:pPr>
        <w:pStyle w:val="ListParagraph"/>
        <w:numPr>
          <w:ilvl w:val="0"/>
          <w:numId w:val="10"/>
        </w:numPr>
        <w:shd w:val="clear" w:color="auto" w:fill="FFFFFF"/>
        <w:spacing w:after="0"/>
        <w:jc w:val="both"/>
        <w:rPr>
          <w:rFonts w:ascii="Times New Roman" w:eastAsia="sans-serif" w:hAnsi="Times New Roman" w:cs="Times New Roman"/>
          <w:bCs/>
          <w:color w:val="000000" w:themeColor="text1"/>
          <w:sz w:val="22"/>
          <w:szCs w:val="22"/>
        </w:rPr>
      </w:pPr>
      <w:hyperlink r:id="rId15" w:history="1">
        <w:r w:rsidR="002C45AD" w:rsidRPr="004C4F19">
          <w:rPr>
            <w:rStyle w:val="Hyperlink"/>
            <w:rFonts w:ascii="Times New Roman" w:eastAsia="sans-serif" w:hAnsi="Times New Roman" w:cs="Times New Roman"/>
            <w:color w:val="000000" w:themeColor="text1"/>
            <w:sz w:val="22"/>
            <w:szCs w:val="22"/>
            <w:u w:val="none"/>
            <w:shd w:val="clear" w:color="auto" w:fill="FFFFFF"/>
          </w:rPr>
          <w:t>Peng Chen</w:t>
        </w:r>
      </w:hyperlink>
      <w:r w:rsidR="002C45AD" w:rsidRPr="004C4F19">
        <w:rPr>
          <w:rFonts w:ascii="Times New Roman" w:eastAsia="sans-serif" w:hAnsi="Times New Roman" w:cs="Times New Roman"/>
          <w:color w:val="000000" w:themeColor="text1"/>
          <w:sz w:val="22"/>
          <w:szCs w:val="22"/>
          <w:shd w:val="clear" w:color="auto" w:fill="FFFFFF"/>
          <w:lang w:eastAsia="zh-CN"/>
        </w:rPr>
        <w:t>, </w:t>
      </w:r>
      <w:hyperlink r:id="rId16" w:history="1">
        <w:r w:rsidR="002C45AD" w:rsidRPr="004C4F19">
          <w:rPr>
            <w:rStyle w:val="Hyperlink"/>
            <w:rFonts w:ascii="Times New Roman" w:eastAsia="sans-serif" w:hAnsi="Times New Roman" w:cs="Times New Roman"/>
            <w:color w:val="000000" w:themeColor="text1"/>
            <w:sz w:val="22"/>
            <w:szCs w:val="22"/>
            <w:u w:val="none"/>
            <w:shd w:val="clear" w:color="auto" w:fill="FFFFFF"/>
          </w:rPr>
          <w:t>Ziyan Song</w:t>
        </w:r>
      </w:hyperlink>
      <w:r w:rsidR="002C45AD" w:rsidRPr="004C4F19">
        <w:rPr>
          <w:rFonts w:ascii="Times New Roman" w:eastAsia="sans-serif" w:hAnsi="Times New Roman" w:cs="Times New Roman"/>
          <w:color w:val="000000" w:themeColor="text1"/>
          <w:sz w:val="22"/>
          <w:szCs w:val="22"/>
          <w:shd w:val="clear" w:color="auto" w:fill="FFFFFF"/>
          <w:lang w:eastAsia="zh-CN"/>
        </w:rPr>
        <w:t>, </w:t>
      </w:r>
      <w:hyperlink r:id="rId17" w:history="1">
        <w:r w:rsidR="002C45AD" w:rsidRPr="004C4F19">
          <w:rPr>
            <w:rStyle w:val="Hyperlink"/>
            <w:rFonts w:ascii="Times New Roman" w:eastAsia="sans-serif" w:hAnsi="Times New Roman" w:cs="Times New Roman"/>
            <w:color w:val="000000" w:themeColor="text1"/>
            <w:sz w:val="22"/>
            <w:szCs w:val="22"/>
            <w:u w:val="none"/>
            <w:shd w:val="clear" w:color="auto" w:fill="FFFFFF"/>
          </w:rPr>
          <w:t>Xuxia Yao</w:t>
        </w:r>
      </w:hyperlink>
      <w:r w:rsidR="002C45AD" w:rsidRPr="004C4F19">
        <w:rPr>
          <w:rFonts w:ascii="Times New Roman" w:eastAsia="sans-serif" w:hAnsi="Times New Roman" w:cs="Times New Roman"/>
          <w:color w:val="000000" w:themeColor="text1"/>
          <w:sz w:val="22"/>
          <w:szCs w:val="22"/>
          <w:shd w:val="clear" w:color="auto" w:fill="FFFFFF"/>
          <w:lang w:eastAsia="zh-CN"/>
        </w:rPr>
        <w:t>, </w:t>
      </w:r>
      <w:hyperlink r:id="rId18" w:history="1">
        <w:r w:rsidR="002C45AD" w:rsidRPr="004C4F19">
          <w:rPr>
            <w:rStyle w:val="Hyperlink"/>
            <w:rFonts w:ascii="Times New Roman" w:eastAsia="sans-serif" w:hAnsi="Times New Roman" w:cs="Times New Roman"/>
            <w:color w:val="000000" w:themeColor="text1"/>
            <w:sz w:val="22"/>
            <w:szCs w:val="22"/>
            <w:u w:val="none"/>
            <w:shd w:val="clear" w:color="auto" w:fill="FFFFFF"/>
          </w:rPr>
          <w:t>Weibin Wang</w:t>
        </w:r>
      </w:hyperlink>
      <w:r w:rsidR="002C45AD" w:rsidRPr="004C4F19">
        <w:rPr>
          <w:rFonts w:ascii="Times New Roman" w:eastAsia="sans-serif" w:hAnsi="Times New Roman" w:cs="Times New Roman"/>
          <w:color w:val="000000" w:themeColor="text1"/>
          <w:sz w:val="22"/>
          <w:szCs w:val="22"/>
          <w:shd w:val="clear" w:color="auto" w:fill="FFFFFF"/>
          <w:lang w:eastAsia="zh-CN"/>
        </w:rPr>
        <w:t>, </w:t>
      </w:r>
      <w:hyperlink r:id="rId19" w:history="1">
        <w:r w:rsidR="002C45AD" w:rsidRPr="004C4F19">
          <w:rPr>
            <w:rStyle w:val="Hyperlink"/>
            <w:rFonts w:ascii="Times New Roman" w:eastAsia="sans-serif" w:hAnsi="Times New Roman" w:cs="Times New Roman"/>
            <w:color w:val="000000" w:themeColor="text1"/>
            <w:sz w:val="22"/>
            <w:szCs w:val="22"/>
            <w:u w:val="none"/>
            <w:shd w:val="clear" w:color="auto" w:fill="FFFFFF"/>
          </w:rPr>
          <w:t>Lisong Teng</w:t>
        </w:r>
      </w:hyperlink>
      <w:r w:rsidR="002C45AD" w:rsidRPr="004C4F19">
        <w:rPr>
          <w:rFonts w:ascii="Times New Roman" w:eastAsia="sans-serif" w:hAnsi="Times New Roman" w:cs="Times New Roman"/>
          <w:color w:val="000000" w:themeColor="text1"/>
          <w:sz w:val="22"/>
          <w:szCs w:val="22"/>
          <w:shd w:val="clear" w:color="auto" w:fill="FFFFFF"/>
          <w:lang w:eastAsia="zh-CN"/>
        </w:rPr>
        <w:t>, </w:t>
      </w:r>
      <w:hyperlink r:id="rId20" w:history="1">
        <w:r w:rsidR="002C45AD" w:rsidRPr="004C4F19">
          <w:rPr>
            <w:rStyle w:val="Hyperlink"/>
            <w:rFonts w:ascii="Times New Roman" w:eastAsia="sans-serif" w:hAnsi="Times New Roman" w:cs="Times New Roman"/>
            <w:color w:val="000000" w:themeColor="text1"/>
            <w:sz w:val="22"/>
            <w:szCs w:val="22"/>
            <w:u w:val="none"/>
            <w:shd w:val="clear" w:color="auto" w:fill="FFFFFF"/>
          </w:rPr>
          <w:t>Krzysztof Matyjaszewski</w:t>
        </w:r>
      </w:hyperlink>
      <w:r w:rsidR="002C45AD" w:rsidRPr="004C4F19">
        <w:rPr>
          <w:rFonts w:ascii="Times New Roman" w:eastAsia="sans-serif" w:hAnsi="Times New Roman" w:cs="Times New Roman"/>
          <w:color w:val="000000" w:themeColor="text1"/>
          <w:sz w:val="22"/>
          <w:szCs w:val="22"/>
          <w:shd w:val="clear" w:color="auto" w:fill="FFFFFF"/>
          <w:lang w:eastAsia="zh-CN"/>
        </w:rPr>
        <w:t>, </w:t>
      </w:r>
      <w:hyperlink r:id="rId21" w:history="1">
        <w:r w:rsidR="002C45AD" w:rsidRPr="004C4F19">
          <w:rPr>
            <w:rStyle w:val="Hyperlink"/>
            <w:rFonts w:ascii="Times New Roman" w:eastAsia="sans-serif" w:hAnsi="Times New Roman" w:cs="Times New Roman"/>
            <w:color w:val="000000" w:themeColor="text1"/>
            <w:sz w:val="22"/>
            <w:szCs w:val="22"/>
            <w:u w:val="none"/>
            <w:shd w:val="clear" w:color="auto" w:fill="FFFFFF"/>
          </w:rPr>
          <w:t>Weipu Zhu</w:t>
        </w:r>
      </w:hyperlink>
      <w:r w:rsidR="002C45AD" w:rsidRPr="004C4F19">
        <w:rPr>
          <w:rFonts w:ascii="Times New Roman" w:eastAsia="sans-serif" w:hAnsi="Times New Roman" w:cs="Times New Roman"/>
          <w:color w:val="000000" w:themeColor="text1"/>
          <w:sz w:val="22"/>
          <w:szCs w:val="22"/>
          <w:shd w:val="clear" w:color="auto" w:fill="FFFFFF"/>
          <w:lang w:eastAsia="zh-CN"/>
        </w:rPr>
        <w:t>(2024).</w:t>
      </w:r>
      <w:r w:rsidR="002C45AD" w:rsidRPr="004C4F19">
        <w:rPr>
          <w:rFonts w:ascii="Times New Roman" w:eastAsia="sans-serif" w:hAnsi="Times New Roman" w:cs="Times New Roman"/>
          <w:bCs/>
          <w:color w:val="000000" w:themeColor="text1"/>
          <w:sz w:val="22"/>
          <w:szCs w:val="22"/>
          <w:shd w:val="clear" w:color="auto" w:fill="FFFFFF"/>
        </w:rPr>
        <w:t>Copper Nanodrugs by Atom Transfer Radical Polymerization,</w:t>
      </w:r>
      <w:hyperlink r:id="rId22" w:tooltip="Angewandte Chemie International Edition homepage" w:history="1">
        <w:r w:rsidR="002C45AD" w:rsidRPr="004C4F19">
          <w:rPr>
            <w:rStyle w:val="Hyperlink"/>
            <w:rFonts w:ascii="Times New Roman" w:eastAsia="sans-serif" w:hAnsi="Times New Roman" w:cs="Times New Roman"/>
            <w:bCs/>
            <w:color w:val="000000" w:themeColor="text1"/>
            <w:sz w:val="22"/>
            <w:szCs w:val="22"/>
            <w:u w:val="none"/>
            <w:shd w:val="clear" w:color="auto" w:fill="FFFFFF"/>
          </w:rPr>
          <w:t>Angewandte Chemie International Edition</w:t>
        </w:r>
      </w:hyperlink>
    </w:p>
    <w:p w:rsidR="002C45AD" w:rsidRPr="004C4F19" w:rsidRDefault="002E181D" w:rsidP="00496622">
      <w:pPr>
        <w:pStyle w:val="ListParagraph"/>
        <w:numPr>
          <w:ilvl w:val="0"/>
          <w:numId w:val="10"/>
        </w:numPr>
        <w:shd w:val="clear" w:color="auto" w:fill="FFFFFF"/>
        <w:jc w:val="both"/>
        <w:rPr>
          <w:rFonts w:ascii="Times New Roman" w:eastAsia="sans-serif" w:hAnsi="Times New Roman" w:cs="Times New Roman"/>
          <w:color w:val="000000" w:themeColor="text1"/>
          <w:sz w:val="22"/>
          <w:szCs w:val="22"/>
        </w:rPr>
      </w:pPr>
      <w:hyperlink r:id="rId23" w:history="1">
        <w:r w:rsidR="002C45AD" w:rsidRPr="004C4F19">
          <w:rPr>
            <w:rStyle w:val="Hyperlink"/>
            <w:rFonts w:ascii="Times New Roman" w:eastAsia="sans-serif" w:hAnsi="Times New Roman" w:cs="Times New Roman"/>
            <w:bCs/>
            <w:color w:val="000000" w:themeColor="text1"/>
            <w:sz w:val="22"/>
            <w:szCs w:val="22"/>
            <w:u w:val="none"/>
            <w:shd w:val="clear" w:color="auto" w:fill="FFFFFF"/>
          </w:rPr>
          <w:t>Volume 63, Issue 20</w:t>
        </w:r>
      </w:hyperlink>
      <w:r w:rsidR="002C45AD" w:rsidRPr="004C4F19">
        <w:rPr>
          <w:rFonts w:ascii="Times New Roman" w:eastAsia="sans-serif" w:hAnsi="Times New Roman" w:cs="Times New Roman"/>
          <w:color w:val="000000" w:themeColor="text1"/>
          <w:sz w:val="22"/>
          <w:szCs w:val="22"/>
          <w:shd w:val="clear" w:color="auto" w:fill="FFFFFF"/>
        </w:rPr>
        <w:t> e202402747.</w:t>
      </w:r>
      <w:hyperlink r:id="rId24" w:history="1">
        <w:r w:rsidR="002C45AD" w:rsidRPr="004C4F19">
          <w:rPr>
            <w:rStyle w:val="Hyperlink"/>
            <w:rFonts w:ascii="Times New Roman" w:eastAsia="sans-serif" w:hAnsi="Times New Roman" w:cs="Times New Roman"/>
            <w:bCs/>
            <w:color w:val="000000" w:themeColor="text1"/>
            <w:sz w:val="22"/>
            <w:szCs w:val="22"/>
            <w:u w:val="none"/>
            <w:shd w:val="clear" w:color="auto" w:fill="FFFFFF"/>
          </w:rPr>
          <w:t>https://doi.org/10.1002/anie.202402747</w:t>
        </w:r>
      </w:hyperlink>
    </w:p>
    <w:p w:rsidR="002C45AD" w:rsidRPr="004C4F19" w:rsidRDefault="002C45AD" w:rsidP="00496622">
      <w:pPr>
        <w:pStyle w:val="NormalWeb"/>
        <w:numPr>
          <w:ilvl w:val="0"/>
          <w:numId w:val="10"/>
        </w:numPr>
        <w:jc w:val="both"/>
        <w:rPr>
          <w:rFonts w:eastAsia="sans-serif"/>
          <w:color w:val="000000" w:themeColor="text1"/>
          <w:sz w:val="22"/>
          <w:szCs w:val="22"/>
          <w:shd w:val="clear" w:color="auto" w:fill="FFFFFF"/>
          <w:lang w:val="en-US"/>
        </w:rPr>
      </w:pPr>
      <w:r w:rsidRPr="004C4F19">
        <w:rPr>
          <w:rFonts w:eastAsia="sans-serif"/>
          <w:color w:val="000000" w:themeColor="text1"/>
          <w:sz w:val="22"/>
          <w:szCs w:val="22"/>
          <w:shd w:val="clear" w:color="auto" w:fill="EAEAEA"/>
        </w:rPr>
        <w:t>Gonfa, T., Teketle, S., &amp; Kiros, T. (2020). Effect of extraction solvent on qualitative and quantitative analysis of major phyto-constituents and </w:t>
      </w:r>
      <w:r w:rsidRPr="004C4F19">
        <w:rPr>
          <w:rFonts w:eastAsia="sans-serif"/>
          <w:i/>
          <w:iCs/>
          <w:color w:val="000000" w:themeColor="text1"/>
          <w:sz w:val="22"/>
          <w:szCs w:val="22"/>
          <w:shd w:val="clear" w:color="auto" w:fill="EAEAEA"/>
        </w:rPr>
        <w:t>in-vitro</w:t>
      </w:r>
      <w:r w:rsidRPr="004C4F19">
        <w:rPr>
          <w:rFonts w:eastAsia="sans-serif"/>
          <w:color w:val="000000" w:themeColor="text1"/>
          <w:sz w:val="22"/>
          <w:szCs w:val="22"/>
          <w:shd w:val="clear" w:color="auto" w:fill="EAEAEA"/>
        </w:rPr>
        <w:t> antioxidant activity evaluation of </w:t>
      </w:r>
      <w:r w:rsidRPr="004C4F19">
        <w:rPr>
          <w:rFonts w:eastAsia="sans-serif"/>
          <w:i/>
          <w:iCs/>
          <w:color w:val="000000" w:themeColor="text1"/>
          <w:sz w:val="22"/>
          <w:szCs w:val="22"/>
          <w:shd w:val="clear" w:color="auto" w:fill="EAEAEA"/>
        </w:rPr>
        <w:t>Cadaba rotundifolia</w:t>
      </w:r>
      <w:r w:rsidRPr="004C4F19">
        <w:rPr>
          <w:rFonts w:eastAsia="sans-serif"/>
          <w:color w:val="000000" w:themeColor="text1"/>
          <w:sz w:val="22"/>
          <w:szCs w:val="22"/>
          <w:shd w:val="clear" w:color="auto" w:fill="EAEAEA"/>
        </w:rPr>
        <w:t> Forssk leaf extracts. </w:t>
      </w:r>
      <w:r w:rsidRPr="004C4F19">
        <w:rPr>
          <w:rFonts w:eastAsia="sans-serif"/>
          <w:i/>
          <w:iCs/>
          <w:color w:val="000000" w:themeColor="text1"/>
          <w:sz w:val="22"/>
          <w:szCs w:val="22"/>
          <w:shd w:val="clear" w:color="auto" w:fill="EAEAEA"/>
        </w:rPr>
        <w:t>Cogent Food &amp; Agriculture</w:t>
      </w:r>
      <w:r w:rsidRPr="004C4F19">
        <w:rPr>
          <w:rFonts w:eastAsia="sans-serif"/>
          <w:color w:val="000000" w:themeColor="text1"/>
          <w:sz w:val="22"/>
          <w:szCs w:val="22"/>
          <w:shd w:val="clear" w:color="auto" w:fill="EAEAEA"/>
        </w:rPr>
        <w:t>, </w:t>
      </w:r>
      <w:r w:rsidRPr="004C4F19">
        <w:rPr>
          <w:rFonts w:eastAsia="sans-serif"/>
          <w:i/>
          <w:iCs/>
          <w:color w:val="000000" w:themeColor="text1"/>
          <w:sz w:val="22"/>
          <w:szCs w:val="22"/>
          <w:shd w:val="clear" w:color="auto" w:fill="EAEAEA"/>
        </w:rPr>
        <w:t>6</w:t>
      </w:r>
      <w:r w:rsidRPr="004C4F19">
        <w:rPr>
          <w:rFonts w:eastAsia="sans-serif"/>
          <w:color w:val="000000" w:themeColor="text1"/>
          <w:sz w:val="22"/>
          <w:szCs w:val="22"/>
          <w:shd w:val="clear" w:color="auto" w:fill="EAEAEA"/>
        </w:rPr>
        <w:t>(1). https://doi.org/10.1080/23311932.2020.1853867</w:t>
      </w:r>
    </w:p>
    <w:p w:rsidR="00496622" w:rsidRPr="004C4F19" w:rsidRDefault="00496622" w:rsidP="00496622">
      <w:pPr>
        <w:pStyle w:val="ListParagraph"/>
        <w:numPr>
          <w:ilvl w:val="0"/>
          <w:numId w:val="10"/>
        </w:numPr>
        <w:spacing w:line="360" w:lineRule="auto"/>
        <w:jc w:val="both"/>
        <w:rPr>
          <w:rFonts w:ascii="Times New Roman" w:hAnsi="Times New Roman" w:cs="Times New Roman"/>
          <w:color w:val="000000" w:themeColor="text1"/>
          <w:sz w:val="22"/>
          <w:szCs w:val="22"/>
        </w:rPr>
      </w:pPr>
      <w:r w:rsidRPr="004C4F19">
        <w:rPr>
          <w:rFonts w:ascii="Times New Roman" w:hAnsi="Times New Roman" w:cs="Times New Roman"/>
          <w:color w:val="000000" w:themeColor="text1"/>
          <w:sz w:val="22"/>
          <w:szCs w:val="22"/>
        </w:rPr>
        <w:t>Emmanuel D. Revellame, Dhan Lord Fortela, Wayne Sharp, Rafael Hernandez, Mark E. Zappi, Adsorption kinetic modeling using pseudo-first order and pseudo-second order rate laws: A review, Cleaner Engineering and Technology, Volume 1,2020,</w:t>
      </w:r>
      <w:proofErr w:type="gramStart"/>
      <w:r w:rsidRPr="004C4F19">
        <w:rPr>
          <w:rFonts w:ascii="Times New Roman" w:hAnsi="Times New Roman" w:cs="Times New Roman"/>
          <w:color w:val="000000" w:themeColor="text1"/>
          <w:sz w:val="22"/>
          <w:szCs w:val="22"/>
        </w:rPr>
        <w:t>100032,ISSN</w:t>
      </w:r>
      <w:proofErr w:type="gramEnd"/>
      <w:r w:rsidRPr="004C4F19">
        <w:rPr>
          <w:rFonts w:ascii="Times New Roman" w:hAnsi="Times New Roman" w:cs="Times New Roman"/>
          <w:color w:val="000000" w:themeColor="text1"/>
          <w:sz w:val="22"/>
          <w:szCs w:val="22"/>
        </w:rPr>
        <w:t xml:space="preserve"> 2666-7908,https://doi.org/10.1016/j.clet.2020.100032.</w:t>
      </w:r>
    </w:p>
    <w:p w:rsidR="00496622" w:rsidRPr="004C4F19" w:rsidRDefault="00496622" w:rsidP="00496622">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eastAsia="Helvetica" w:hAnsi="Times New Roman" w:cs="Times New Roman"/>
          <w:color w:val="222222"/>
          <w:sz w:val="22"/>
          <w:szCs w:val="22"/>
          <w:shd w:val="clear" w:color="auto" w:fill="FFFFFF"/>
        </w:rPr>
        <w:t xml:space="preserve">Shalan, A.E., Makhlouf, A.S.H., Lanceros-Méndez, S. (2022). Nanocomposites Materials and Their Applications: Current and Future Trends. In: Shalan, A.E., Hamdy Makhlouf, A.S., Lanceros‐Méndez, S. (eds) Advances in Nanocomposite Materials for Environmental and Energy Harvesting Applications. Engineering Materials. Springer, Cham. </w:t>
      </w:r>
      <w:hyperlink r:id="rId25" w:history="1">
        <w:r w:rsidRPr="004C4F19">
          <w:rPr>
            <w:rStyle w:val="Hyperlink"/>
            <w:rFonts w:ascii="Times New Roman" w:eastAsia="Helvetica" w:hAnsi="Times New Roman" w:cs="Times New Roman"/>
            <w:sz w:val="22"/>
            <w:szCs w:val="22"/>
            <w:shd w:val="clear" w:color="auto" w:fill="FFFFFF"/>
          </w:rPr>
          <w:t>https://doi.org/10.1007/978-3-030-94319-6_1</w:t>
        </w:r>
      </w:hyperlink>
    </w:p>
    <w:p w:rsidR="00496622" w:rsidRPr="004C4F19" w:rsidRDefault="00496622" w:rsidP="00496622">
      <w:pPr>
        <w:pStyle w:val="ListParagraph"/>
        <w:numPr>
          <w:ilvl w:val="0"/>
          <w:numId w:val="10"/>
        </w:numPr>
        <w:spacing w:line="360" w:lineRule="auto"/>
        <w:jc w:val="both"/>
        <w:rPr>
          <w:rFonts w:ascii="Times New Roman" w:hAnsi="Times New Roman" w:cs="Times New Roman"/>
          <w:color w:val="000000" w:themeColor="text1"/>
          <w:sz w:val="22"/>
          <w:szCs w:val="22"/>
        </w:rPr>
      </w:pPr>
      <w:r w:rsidRPr="004C4F19">
        <w:rPr>
          <w:rFonts w:ascii="Times New Roman" w:hAnsi="Times New Roman" w:cs="Times New Roman"/>
          <w:color w:val="000000" w:themeColor="text1"/>
          <w:sz w:val="22"/>
          <w:szCs w:val="22"/>
        </w:rPr>
        <w:t xml:space="preserve">Dongjie Chen, Yanling Cheng, Nan Zhou, Paul Chen, Yunpu Wang, Kun Li, Shuhao Huo, Pengfei Cheng, Peng Peng, Renchuan Zhang, Lu Wang, Hui Liu, Yuhuan Liu, Roger </w:t>
      </w:r>
      <w:proofErr w:type="gramStart"/>
      <w:r w:rsidRPr="004C4F19">
        <w:rPr>
          <w:rFonts w:ascii="Times New Roman" w:hAnsi="Times New Roman" w:cs="Times New Roman"/>
          <w:color w:val="000000" w:themeColor="text1"/>
          <w:sz w:val="22"/>
          <w:szCs w:val="22"/>
        </w:rPr>
        <w:t>Ruan,Photocatalytic</w:t>
      </w:r>
      <w:proofErr w:type="gramEnd"/>
      <w:r w:rsidRPr="004C4F19">
        <w:rPr>
          <w:rFonts w:ascii="Times New Roman" w:hAnsi="Times New Roman" w:cs="Times New Roman"/>
          <w:color w:val="000000" w:themeColor="text1"/>
          <w:sz w:val="22"/>
          <w:szCs w:val="22"/>
        </w:rPr>
        <w:t xml:space="preserve"> degradation of organic pollutants using TiO2-based photocatalysts: A review, </w:t>
      </w:r>
      <w:r w:rsidRPr="004C4F19">
        <w:rPr>
          <w:rFonts w:ascii="Times New Roman" w:hAnsi="Times New Roman" w:cs="Times New Roman"/>
          <w:i/>
          <w:color w:val="000000" w:themeColor="text1"/>
          <w:sz w:val="22"/>
          <w:szCs w:val="22"/>
        </w:rPr>
        <w:t>Journal of Cleaner Production</w:t>
      </w:r>
      <w:r w:rsidRPr="004C4F19">
        <w:rPr>
          <w:rFonts w:ascii="Times New Roman" w:hAnsi="Times New Roman" w:cs="Times New Roman"/>
          <w:color w:val="000000" w:themeColor="text1"/>
          <w:sz w:val="22"/>
          <w:szCs w:val="22"/>
        </w:rPr>
        <w:t>,Volume 268,2020,121725,ISSN 0959-6526,https://doi.org/10.1016/j.jclepro.2020.121725.</w:t>
      </w:r>
    </w:p>
    <w:p w:rsidR="00496622" w:rsidRPr="004C4F19" w:rsidRDefault="00496622" w:rsidP="00496622">
      <w:pPr>
        <w:pStyle w:val="ListParagraph"/>
        <w:numPr>
          <w:ilvl w:val="0"/>
          <w:numId w:val="10"/>
        </w:numPr>
        <w:spacing w:line="360" w:lineRule="auto"/>
        <w:jc w:val="both"/>
        <w:rPr>
          <w:rStyle w:val="Strong"/>
          <w:rFonts w:ascii="Times New Roman" w:hAnsi="Times New Roman" w:cs="Times New Roman"/>
          <w:b w:val="0"/>
          <w:sz w:val="22"/>
          <w:szCs w:val="22"/>
        </w:rPr>
      </w:pPr>
      <w:r w:rsidRPr="004C4F19">
        <w:rPr>
          <w:rStyle w:val="Strong"/>
          <w:rFonts w:ascii="Times New Roman" w:hAnsi="Times New Roman" w:cs="Times New Roman"/>
          <w:b w:val="0"/>
          <w:sz w:val="22"/>
          <w:szCs w:val="22"/>
        </w:rPr>
        <w:t>Pavithra Swaminaathan, A. Saravanan, P.R. Yaashikaa, A.S. Vickram,Recent advances in photocatalytic degradation of persistent organic pollutants: Mechanisms, challenges, and modification strategies,Sustainable Chemistry for the Environment,Volume 8,2024,100171,ISSN 2949-8392,https://doi.org/10.1016/j.scenv.2024.100171.</w:t>
      </w:r>
    </w:p>
    <w:p w:rsidR="00496622" w:rsidRPr="004C4F19" w:rsidRDefault="00496622" w:rsidP="00496622">
      <w:pPr>
        <w:pStyle w:val="ListParagraph"/>
        <w:numPr>
          <w:ilvl w:val="0"/>
          <w:numId w:val="10"/>
        </w:numPr>
        <w:spacing w:line="360" w:lineRule="auto"/>
        <w:jc w:val="both"/>
        <w:rPr>
          <w:rFonts w:ascii="Times New Roman" w:eastAsia="Consolas" w:hAnsi="Times New Roman" w:cs="Times New Roman"/>
          <w:color w:val="1B1B1B"/>
          <w:sz w:val="22"/>
          <w:szCs w:val="22"/>
          <w:shd w:val="clear" w:color="auto" w:fill="FFFFFF"/>
        </w:rPr>
      </w:pPr>
      <w:r w:rsidRPr="004C4F19">
        <w:rPr>
          <w:rFonts w:ascii="Times New Roman" w:eastAsia="Consolas" w:hAnsi="Times New Roman" w:cs="Times New Roman"/>
          <w:color w:val="1B1B1B"/>
          <w:sz w:val="22"/>
          <w:szCs w:val="22"/>
          <w:shd w:val="clear" w:color="auto" w:fill="FFFFFF"/>
        </w:rPr>
        <w:t>Yao M, Liang C, Yao S, Liu Y, Zhao H, Qin C. Kinetics and Thermodynamics of Hemicellulose Adsorption onto Nanofibril Cellulose Surfaces by QCM-D. ACS Omega. 2021 Nov 4; 6(45):30618-30626. doi: 10.1021/acsomega.1c04391. PMID: 34805690; PMCID: PMC8600616.</w:t>
      </w:r>
    </w:p>
    <w:p w:rsidR="00496622" w:rsidRPr="004C4F19" w:rsidRDefault="00496622" w:rsidP="00496622">
      <w:pPr>
        <w:pStyle w:val="ListParagraph"/>
        <w:numPr>
          <w:ilvl w:val="0"/>
          <w:numId w:val="10"/>
        </w:numPr>
        <w:spacing w:line="360" w:lineRule="auto"/>
        <w:jc w:val="both"/>
        <w:rPr>
          <w:rFonts w:ascii="Times New Roman" w:eastAsia="Consolas" w:hAnsi="Times New Roman" w:cs="Times New Roman"/>
          <w:color w:val="1B1B1B"/>
          <w:sz w:val="22"/>
          <w:szCs w:val="22"/>
          <w:shd w:val="clear" w:color="auto" w:fill="FFFFFF"/>
        </w:rPr>
      </w:pPr>
      <w:r w:rsidRPr="004C4F19">
        <w:rPr>
          <w:rFonts w:ascii="Times New Roman" w:eastAsia="Consolas" w:hAnsi="Times New Roman" w:cs="Times New Roman"/>
          <w:color w:val="1B1B1B"/>
          <w:sz w:val="22"/>
          <w:szCs w:val="22"/>
          <w:shd w:val="clear" w:color="auto" w:fill="FFFFFF"/>
        </w:rPr>
        <w:lastRenderedPageBreak/>
        <w:t xml:space="preserve">Khan F, Shariq M, Asif M, Siddiqui MA, Malan P, Ahmad F. Green Nanotechnology: Plant-Mediated Nanoparticle Synthesis and Application. </w:t>
      </w:r>
      <w:r w:rsidRPr="004C4F19">
        <w:rPr>
          <w:rFonts w:ascii="Times New Roman" w:eastAsia="Consolas" w:hAnsi="Times New Roman" w:cs="Times New Roman"/>
          <w:i/>
          <w:color w:val="1B1B1B"/>
          <w:sz w:val="22"/>
          <w:szCs w:val="22"/>
          <w:shd w:val="clear" w:color="auto" w:fill="FFFFFF"/>
        </w:rPr>
        <w:t>Nanomaterials (Basel).</w:t>
      </w:r>
      <w:r w:rsidRPr="004C4F19">
        <w:rPr>
          <w:rFonts w:ascii="Times New Roman" w:eastAsia="Consolas" w:hAnsi="Times New Roman" w:cs="Times New Roman"/>
          <w:color w:val="1B1B1B"/>
          <w:sz w:val="22"/>
          <w:szCs w:val="22"/>
          <w:shd w:val="clear" w:color="auto" w:fill="FFFFFF"/>
        </w:rPr>
        <w:t xml:space="preserve"> 2022 Feb 17; 12(4):673. doi: 10.3390/nano12040673. PMID: 35215000; PMCID: PMC8878231.</w:t>
      </w:r>
    </w:p>
    <w:p w:rsidR="00496622" w:rsidRPr="004C4F19" w:rsidRDefault="00496622" w:rsidP="00496622">
      <w:pPr>
        <w:pStyle w:val="ListParagraph"/>
        <w:numPr>
          <w:ilvl w:val="0"/>
          <w:numId w:val="10"/>
        </w:numPr>
        <w:spacing w:line="360" w:lineRule="auto"/>
        <w:jc w:val="both"/>
        <w:rPr>
          <w:rFonts w:ascii="Times New Roman" w:eastAsia="Consolas" w:hAnsi="Times New Roman" w:cs="Times New Roman"/>
          <w:color w:val="1B1B1B"/>
          <w:sz w:val="22"/>
          <w:szCs w:val="22"/>
          <w:shd w:val="clear" w:color="auto" w:fill="FFFFFF"/>
        </w:rPr>
      </w:pPr>
      <w:r w:rsidRPr="004C4F19">
        <w:rPr>
          <w:rFonts w:ascii="Times New Roman" w:eastAsia="Helvetica" w:hAnsi="Times New Roman" w:cs="Times New Roman"/>
          <w:color w:val="222222"/>
          <w:sz w:val="22"/>
          <w:szCs w:val="22"/>
          <w:shd w:val="clear" w:color="auto" w:fill="FFFFFF"/>
        </w:rPr>
        <w:t>Edo, G.I., Mafe, A.N., Ali, A.B.M. </w:t>
      </w:r>
      <w:r w:rsidRPr="004C4F19">
        <w:rPr>
          <w:rFonts w:ascii="Times New Roman" w:eastAsia="Helvetica" w:hAnsi="Times New Roman" w:cs="Times New Roman"/>
          <w:i/>
          <w:iCs/>
          <w:color w:val="222222"/>
          <w:sz w:val="22"/>
          <w:szCs w:val="22"/>
          <w:shd w:val="clear" w:color="auto" w:fill="FFFFFF"/>
        </w:rPr>
        <w:t>et al.</w:t>
      </w:r>
      <w:r w:rsidRPr="004C4F19">
        <w:rPr>
          <w:rFonts w:ascii="Times New Roman" w:eastAsia="Helvetica" w:hAnsi="Times New Roman" w:cs="Times New Roman"/>
          <w:color w:val="222222"/>
          <w:sz w:val="22"/>
          <w:szCs w:val="22"/>
          <w:shd w:val="clear" w:color="auto" w:fill="FFFFFF"/>
        </w:rPr>
        <w:t> Green Biosynthesis of Nanoparticles Using Plant Extracts: Mechanisms, Advances, Challenges, and Applications. </w:t>
      </w:r>
      <w:r w:rsidRPr="004C4F19">
        <w:rPr>
          <w:rFonts w:ascii="Times New Roman" w:eastAsia="Helvetica" w:hAnsi="Times New Roman" w:cs="Times New Roman"/>
          <w:i/>
          <w:iCs/>
          <w:color w:val="222222"/>
          <w:sz w:val="22"/>
          <w:szCs w:val="22"/>
          <w:shd w:val="clear" w:color="auto" w:fill="FFFFFF"/>
        </w:rPr>
        <w:t>Bio Nano Sci.</w:t>
      </w:r>
      <w:r w:rsidRPr="004C4F19">
        <w:rPr>
          <w:rFonts w:ascii="Times New Roman" w:eastAsia="Helvetica" w:hAnsi="Times New Roman" w:cs="Times New Roman"/>
          <w:color w:val="222222"/>
          <w:sz w:val="22"/>
          <w:szCs w:val="22"/>
          <w:shd w:val="clear" w:color="auto" w:fill="FFFFFF"/>
        </w:rPr>
        <w:t> </w:t>
      </w:r>
      <w:r w:rsidRPr="004C4F19">
        <w:rPr>
          <w:rFonts w:ascii="Times New Roman" w:eastAsia="Helvetica" w:hAnsi="Times New Roman" w:cs="Times New Roman"/>
          <w:b/>
          <w:bCs/>
          <w:color w:val="222222"/>
          <w:sz w:val="22"/>
          <w:szCs w:val="22"/>
          <w:shd w:val="clear" w:color="auto" w:fill="FFFFFF"/>
        </w:rPr>
        <w:t>15</w:t>
      </w:r>
      <w:r w:rsidRPr="004C4F19">
        <w:rPr>
          <w:rFonts w:ascii="Times New Roman" w:eastAsia="Helvetica" w:hAnsi="Times New Roman" w:cs="Times New Roman"/>
          <w:color w:val="222222"/>
          <w:sz w:val="22"/>
          <w:szCs w:val="22"/>
          <w:shd w:val="clear" w:color="auto" w:fill="FFFFFF"/>
        </w:rPr>
        <w:t>, 267 (2025). https://doi.org/10.1007/s12668-025-01883-w</w:t>
      </w:r>
    </w:p>
    <w:p w:rsidR="009455AA" w:rsidRPr="004C4F19" w:rsidRDefault="00496622" w:rsidP="009455AA">
      <w:pPr>
        <w:pStyle w:val="ListParagraph"/>
        <w:numPr>
          <w:ilvl w:val="0"/>
          <w:numId w:val="10"/>
        </w:numPr>
        <w:spacing w:line="360" w:lineRule="auto"/>
        <w:jc w:val="both"/>
        <w:rPr>
          <w:rFonts w:ascii="Times New Roman" w:eastAsia="SimSun" w:hAnsi="Times New Roman" w:cs="Times New Roman"/>
          <w:sz w:val="22"/>
          <w:szCs w:val="22"/>
        </w:rPr>
      </w:pPr>
      <w:r w:rsidRPr="004C4F19">
        <w:rPr>
          <w:rFonts w:ascii="Times New Roman" w:eastAsia="SimSun" w:hAnsi="Times New Roman" w:cs="Times New Roman"/>
          <w:sz w:val="22"/>
          <w:szCs w:val="22"/>
        </w:rPr>
        <w:t>Sanjoy Kumar Das, Soumalya Chakraborty, Sweet Naskar, Rajan Rajabalaya,3 - Techniques and methods used for the fabrication of bionanocomposites,Editor(s): Shakeel Ahmed,  Annu,In Woodhead Publishing Series in Biomaterials,Bionanocomposites in Tissue Engineering and Regenerative Medicine,Woodhead Publishing,2021,Pages 17-43,ISBN 9780128212806,https://doi.org/10.1016/B978-0-12-821280-6.00007-6.</w:t>
      </w:r>
    </w:p>
    <w:p w:rsidR="009455AA" w:rsidRPr="004C4F19" w:rsidRDefault="009455AA" w:rsidP="009455AA">
      <w:pPr>
        <w:pStyle w:val="ListParagraph"/>
        <w:numPr>
          <w:ilvl w:val="0"/>
          <w:numId w:val="10"/>
        </w:numPr>
        <w:spacing w:line="360" w:lineRule="auto"/>
        <w:jc w:val="both"/>
        <w:rPr>
          <w:rFonts w:ascii="Times New Roman" w:eastAsia="SimSun" w:hAnsi="Times New Roman" w:cs="Times New Roman"/>
          <w:sz w:val="22"/>
          <w:szCs w:val="22"/>
        </w:rPr>
      </w:pPr>
      <w:r w:rsidRPr="004C4F19">
        <w:rPr>
          <w:rFonts w:ascii="Times New Roman" w:eastAsia="Segoe UI" w:hAnsi="Times New Roman" w:cs="Times New Roman"/>
          <w:color w:val="222222"/>
          <w:sz w:val="22"/>
          <w:szCs w:val="22"/>
          <w:shd w:val="clear" w:color="auto" w:fill="FFFFFF"/>
        </w:rPr>
        <w:t>Zhang, M., Pan, X., Jung, W. </w:t>
      </w:r>
      <w:r w:rsidRPr="004C4F19">
        <w:rPr>
          <w:rFonts w:ascii="Times New Roman" w:eastAsia="Segoe UI" w:hAnsi="Times New Roman" w:cs="Times New Roman"/>
          <w:i/>
          <w:iCs/>
          <w:color w:val="222222"/>
          <w:sz w:val="22"/>
          <w:szCs w:val="22"/>
          <w:shd w:val="clear" w:color="auto" w:fill="FFFFFF"/>
        </w:rPr>
        <w:t>et al.</w:t>
      </w:r>
      <w:r w:rsidRPr="004C4F19">
        <w:rPr>
          <w:rFonts w:ascii="Times New Roman" w:eastAsia="Segoe UI" w:hAnsi="Times New Roman" w:cs="Times New Roman"/>
          <w:color w:val="222222"/>
          <w:sz w:val="22"/>
          <w:szCs w:val="22"/>
          <w:shd w:val="clear" w:color="auto" w:fill="FFFFFF"/>
        </w:rPr>
        <w:t> Molecularly defined and spatially resolved cell atlas of the whole mouse brain. </w:t>
      </w:r>
      <w:r w:rsidRPr="004C4F19">
        <w:rPr>
          <w:rFonts w:ascii="Times New Roman" w:eastAsia="Segoe UI" w:hAnsi="Times New Roman" w:cs="Times New Roman"/>
          <w:i/>
          <w:iCs/>
          <w:color w:val="222222"/>
          <w:sz w:val="22"/>
          <w:szCs w:val="22"/>
          <w:shd w:val="clear" w:color="auto" w:fill="FFFFFF"/>
        </w:rPr>
        <w:t>Nature</w:t>
      </w:r>
      <w:r w:rsidRPr="004C4F19">
        <w:rPr>
          <w:rFonts w:ascii="Times New Roman" w:eastAsia="Segoe UI" w:hAnsi="Times New Roman" w:cs="Times New Roman"/>
          <w:color w:val="222222"/>
          <w:sz w:val="22"/>
          <w:szCs w:val="22"/>
          <w:shd w:val="clear" w:color="auto" w:fill="FFFFFF"/>
        </w:rPr>
        <w:t> </w:t>
      </w:r>
      <w:r w:rsidRPr="004C4F19">
        <w:rPr>
          <w:rFonts w:ascii="Times New Roman" w:eastAsia="Segoe UI" w:hAnsi="Times New Roman" w:cs="Times New Roman"/>
          <w:b/>
          <w:bCs/>
          <w:color w:val="222222"/>
          <w:sz w:val="22"/>
          <w:szCs w:val="22"/>
          <w:shd w:val="clear" w:color="auto" w:fill="FFFFFF"/>
        </w:rPr>
        <w:t>624</w:t>
      </w:r>
      <w:r w:rsidRPr="004C4F19">
        <w:rPr>
          <w:rFonts w:ascii="Times New Roman" w:eastAsia="Segoe UI" w:hAnsi="Times New Roman" w:cs="Times New Roman"/>
          <w:color w:val="222222"/>
          <w:sz w:val="22"/>
          <w:szCs w:val="22"/>
          <w:shd w:val="clear" w:color="auto" w:fill="FFFFFF"/>
        </w:rPr>
        <w:t xml:space="preserve">, 343–354 (2023). </w:t>
      </w:r>
      <w:hyperlink r:id="rId26" w:history="1">
        <w:r w:rsidRPr="004C4F19">
          <w:rPr>
            <w:rStyle w:val="Hyperlink"/>
            <w:rFonts w:ascii="Times New Roman" w:eastAsia="Segoe UI" w:hAnsi="Times New Roman" w:cs="Times New Roman"/>
            <w:sz w:val="22"/>
            <w:szCs w:val="22"/>
            <w:shd w:val="clear" w:color="auto" w:fill="FFFFFF"/>
          </w:rPr>
          <w:t>https://doi.org/10.1038/s41586-023-06808-9</w:t>
        </w:r>
      </w:hyperlink>
    </w:p>
    <w:p w:rsidR="009455AA" w:rsidRPr="004C4F19" w:rsidRDefault="009455AA" w:rsidP="009455AA">
      <w:pPr>
        <w:pStyle w:val="ListParagraph"/>
        <w:numPr>
          <w:ilvl w:val="0"/>
          <w:numId w:val="10"/>
        </w:numPr>
        <w:spacing w:line="360" w:lineRule="auto"/>
        <w:jc w:val="both"/>
        <w:rPr>
          <w:rFonts w:ascii="Times New Roman" w:eastAsia="SimSun" w:hAnsi="Times New Roman" w:cs="Times New Roman"/>
          <w:sz w:val="22"/>
          <w:szCs w:val="22"/>
        </w:rPr>
      </w:pPr>
      <w:r w:rsidRPr="004C4F19">
        <w:rPr>
          <w:rFonts w:ascii="Times New Roman" w:eastAsia="Segoe UI" w:hAnsi="Times New Roman" w:cs="Times New Roman"/>
          <w:color w:val="222222"/>
          <w:sz w:val="22"/>
          <w:szCs w:val="22"/>
          <w:shd w:val="clear" w:color="auto" w:fill="FFFFFF"/>
        </w:rPr>
        <w:t>Kumar, S., Getirana, A., Libonati, R. </w:t>
      </w:r>
      <w:r w:rsidRPr="004C4F19">
        <w:rPr>
          <w:rFonts w:ascii="Times New Roman" w:eastAsia="Segoe UI" w:hAnsi="Times New Roman" w:cs="Times New Roman"/>
          <w:i/>
          <w:iCs/>
          <w:color w:val="222222"/>
          <w:sz w:val="22"/>
          <w:szCs w:val="22"/>
          <w:shd w:val="clear" w:color="auto" w:fill="FFFFFF"/>
        </w:rPr>
        <w:t>et al.</w:t>
      </w:r>
      <w:r w:rsidRPr="004C4F19">
        <w:rPr>
          <w:rFonts w:ascii="Times New Roman" w:eastAsia="Segoe UI" w:hAnsi="Times New Roman" w:cs="Times New Roman"/>
          <w:color w:val="222222"/>
          <w:sz w:val="22"/>
          <w:szCs w:val="22"/>
          <w:shd w:val="clear" w:color="auto" w:fill="FFFFFF"/>
        </w:rPr>
        <w:t> Changes in land use enhance the sensitivity of tropical ecosystems to fire-climate extremes. </w:t>
      </w:r>
      <w:r w:rsidRPr="004C4F19">
        <w:rPr>
          <w:rFonts w:ascii="Times New Roman" w:eastAsia="Segoe UI" w:hAnsi="Times New Roman" w:cs="Times New Roman"/>
          <w:i/>
          <w:iCs/>
          <w:color w:val="222222"/>
          <w:sz w:val="22"/>
          <w:szCs w:val="22"/>
          <w:shd w:val="clear" w:color="auto" w:fill="FFFFFF"/>
        </w:rPr>
        <w:t>Sci Rep</w:t>
      </w:r>
      <w:r w:rsidRPr="004C4F19">
        <w:rPr>
          <w:rFonts w:ascii="Times New Roman" w:eastAsia="Segoe UI" w:hAnsi="Times New Roman" w:cs="Times New Roman"/>
          <w:color w:val="222222"/>
          <w:sz w:val="22"/>
          <w:szCs w:val="22"/>
          <w:shd w:val="clear" w:color="auto" w:fill="FFFFFF"/>
        </w:rPr>
        <w:t> </w:t>
      </w:r>
      <w:r w:rsidRPr="004C4F19">
        <w:rPr>
          <w:rFonts w:ascii="Times New Roman" w:eastAsia="Segoe UI" w:hAnsi="Times New Roman" w:cs="Times New Roman"/>
          <w:b/>
          <w:bCs/>
          <w:color w:val="222222"/>
          <w:sz w:val="22"/>
          <w:szCs w:val="22"/>
          <w:shd w:val="clear" w:color="auto" w:fill="FFFFFF"/>
        </w:rPr>
        <w:t>12</w:t>
      </w:r>
      <w:r w:rsidRPr="004C4F19">
        <w:rPr>
          <w:rFonts w:ascii="Times New Roman" w:eastAsia="Segoe UI" w:hAnsi="Times New Roman" w:cs="Times New Roman"/>
          <w:color w:val="222222"/>
          <w:sz w:val="22"/>
          <w:szCs w:val="22"/>
          <w:shd w:val="clear" w:color="auto" w:fill="FFFFFF"/>
        </w:rPr>
        <w:t>, 964 (2022). https://doi.org/10.1038/s41598-022-05130-0</w:t>
      </w:r>
    </w:p>
    <w:p w:rsidR="009455AA" w:rsidRPr="004C4F19" w:rsidRDefault="009455AA" w:rsidP="009455AA">
      <w:pPr>
        <w:numPr>
          <w:ilvl w:val="0"/>
          <w:numId w:val="10"/>
        </w:numPr>
        <w:tabs>
          <w:tab w:val="left" w:pos="720"/>
        </w:tabs>
        <w:spacing w:beforeAutospacing="1" w:after="0" w:afterAutospacing="1"/>
        <w:jc w:val="both"/>
        <w:rPr>
          <w:rFonts w:ascii="Times New Roman" w:hAnsi="Times New Roman" w:cs="Times New Roman"/>
          <w:sz w:val="22"/>
          <w:szCs w:val="22"/>
        </w:rPr>
      </w:pPr>
      <w:r w:rsidRPr="004C4F19">
        <w:rPr>
          <w:rFonts w:ascii="Times New Roman" w:hAnsi="Times New Roman" w:cs="Times New Roman"/>
          <w:sz w:val="22"/>
          <w:szCs w:val="22"/>
        </w:rPr>
        <w:t xml:space="preserve">Miller, G.L. (1959). Use of dinitrosalicylic acid reagent for determination of reducing sugar. </w:t>
      </w:r>
      <w:r w:rsidRPr="004C4F19">
        <w:rPr>
          <w:rStyle w:val="Emphasis"/>
          <w:rFonts w:ascii="Times New Roman" w:hAnsi="Times New Roman" w:cs="Times New Roman"/>
          <w:sz w:val="22"/>
          <w:szCs w:val="22"/>
        </w:rPr>
        <w:t>Analytical Chemistry</w:t>
      </w:r>
      <w:r w:rsidRPr="004C4F19">
        <w:rPr>
          <w:rFonts w:ascii="Times New Roman" w:hAnsi="Times New Roman" w:cs="Times New Roman"/>
          <w:sz w:val="22"/>
          <w:szCs w:val="22"/>
        </w:rPr>
        <w:t>, 31(3), 426-428.</w:t>
      </w:r>
      <w:r w:rsidRPr="004C4F19">
        <w:rPr>
          <w:rFonts w:ascii="Times New Roman" w:eastAsia="SimSun" w:hAnsi="Times New Roman" w:cs="Times New Roman"/>
          <w:color w:val="232323"/>
          <w:sz w:val="22"/>
          <w:szCs w:val="22"/>
          <w:shd w:val="clear" w:color="auto" w:fill="FFFFFF"/>
        </w:rPr>
        <w:t xml:space="preserve"> doi:10.1021/ac60147a030</w:t>
      </w:r>
    </w:p>
    <w:p w:rsidR="009455AA" w:rsidRPr="004C4F19" w:rsidRDefault="009455AA" w:rsidP="009455AA">
      <w:pPr>
        <w:numPr>
          <w:ilvl w:val="0"/>
          <w:numId w:val="10"/>
        </w:numPr>
        <w:tabs>
          <w:tab w:val="left" w:pos="720"/>
        </w:tabs>
        <w:spacing w:beforeAutospacing="1" w:after="0" w:afterAutospacing="1"/>
        <w:jc w:val="both"/>
        <w:rPr>
          <w:rFonts w:ascii="Times New Roman" w:hAnsi="Times New Roman" w:cs="Times New Roman"/>
          <w:sz w:val="22"/>
          <w:szCs w:val="22"/>
        </w:rPr>
      </w:pPr>
      <w:r w:rsidRPr="004C4F19">
        <w:rPr>
          <w:rFonts w:ascii="Times New Roman" w:hAnsi="Times New Roman" w:cs="Times New Roman"/>
          <w:sz w:val="22"/>
          <w:szCs w:val="22"/>
        </w:rPr>
        <w:t xml:space="preserve">Reissig, J.L., Strominger, J.L., &amp; Leloir, L.F. (1955). A modified colorimetric method for the estimation of N-acetylamino sugars. </w:t>
      </w:r>
      <w:r w:rsidRPr="004C4F19">
        <w:rPr>
          <w:rStyle w:val="Emphasis"/>
          <w:rFonts w:ascii="Times New Roman" w:hAnsi="Times New Roman" w:cs="Times New Roman"/>
          <w:sz w:val="22"/>
          <w:szCs w:val="22"/>
        </w:rPr>
        <w:t>Journal of Biological Chemistry</w:t>
      </w:r>
      <w:r w:rsidRPr="004C4F19">
        <w:rPr>
          <w:rFonts w:ascii="Times New Roman" w:hAnsi="Times New Roman" w:cs="Times New Roman"/>
          <w:sz w:val="22"/>
          <w:szCs w:val="22"/>
        </w:rPr>
        <w:t>, 217(2), 959-966.ISSN 0021-</w:t>
      </w:r>
      <w:proofErr w:type="gramStart"/>
      <w:r w:rsidRPr="004C4F19">
        <w:rPr>
          <w:rFonts w:ascii="Times New Roman" w:hAnsi="Times New Roman" w:cs="Times New Roman"/>
          <w:sz w:val="22"/>
          <w:szCs w:val="22"/>
        </w:rPr>
        <w:t>9258,https://doi.org/10.1016/S0021-9258(18)65959-9</w:t>
      </w:r>
      <w:proofErr w:type="gramEnd"/>
      <w:r w:rsidRPr="004C4F19">
        <w:rPr>
          <w:rFonts w:ascii="Times New Roman" w:hAnsi="Times New Roman" w:cs="Times New Roman"/>
          <w:sz w:val="22"/>
          <w:szCs w:val="22"/>
        </w:rPr>
        <w:t>.</w:t>
      </w:r>
    </w:p>
    <w:p w:rsidR="009455AA" w:rsidRPr="004C4F19" w:rsidRDefault="009455AA" w:rsidP="009455AA">
      <w:pPr>
        <w:numPr>
          <w:ilvl w:val="0"/>
          <w:numId w:val="10"/>
        </w:numPr>
        <w:tabs>
          <w:tab w:val="left" w:pos="720"/>
        </w:tabs>
        <w:spacing w:beforeAutospacing="1" w:after="0" w:afterAutospacing="1"/>
        <w:jc w:val="both"/>
        <w:rPr>
          <w:rFonts w:ascii="Times New Roman" w:hAnsi="Times New Roman" w:cs="Times New Roman"/>
          <w:sz w:val="22"/>
          <w:szCs w:val="22"/>
        </w:rPr>
      </w:pPr>
      <w:r w:rsidRPr="004C4F19">
        <w:rPr>
          <w:rFonts w:ascii="Times New Roman" w:hAnsi="Times New Roman" w:cs="Times New Roman"/>
          <w:sz w:val="22"/>
          <w:szCs w:val="22"/>
        </w:rPr>
        <w:t xml:space="preserve">van Oers, L., de Koning, A., Guinée, J.B., &amp; Huppes, G. (2002). Abiotic resource depletion in LCA. </w:t>
      </w:r>
      <w:r w:rsidRPr="004C4F19">
        <w:rPr>
          <w:rStyle w:val="Emphasis"/>
          <w:rFonts w:ascii="Times New Roman" w:hAnsi="Times New Roman" w:cs="Times New Roman"/>
          <w:sz w:val="22"/>
          <w:szCs w:val="22"/>
        </w:rPr>
        <w:t>International Journal of Life Cycle Assessment</w:t>
      </w:r>
      <w:r w:rsidRPr="004C4F19">
        <w:rPr>
          <w:rFonts w:ascii="Times New Roman" w:hAnsi="Times New Roman" w:cs="Times New Roman"/>
          <w:sz w:val="22"/>
          <w:szCs w:val="22"/>
        </w:rPr>
        <w:t>, 7(5), 282-289.</w:t>
      </w:r>
    </w:p>
    <w:p w:rsidR="009455AA" w:rsidRPr="004C4F19" w:rsidRDefault="009455AA" w:rsidP="009455AA">
      <w:pPr>
        <w:numPr>
          <w:ilvl w:val="0"/>
          <w:numId w:val="10"/>
        </w:numPr>
        <w:tabs>
          <w:tab w:val="left" w:pos="720"/>
        </w:tabs>
        <w:spacing w:beforeAutospacing="1" w:after="0" w:afterAutospacing="1"/>
        <w:jc w:val="both"/>
        <w:rPr>
          <w:rFonts w:ascii="Times New Roman" w:hAnsi="Times New Roman" w:cs="Times New Roman"/>
          <w:sz w:val="22"/>
          <w:szCs w:val="22"/>
        </w:rPr>
      </w:pPr>
      <w:r w:rsidRPr="004C4F19">
        <w:rPr>
          <w:rFonts w:ascii="Times New Roman" w:hAnsi="Times New Roman" w:cs="Times New Roman"/>
          <w:sz w:val="22"/>
          <w:szCs w:val="22"/>
        </w:rPr>
        <w:t>ISO 14040:2006. Environmental management — Life cycle assessment — Principles and framework.</w:t>
      </w:r>
    </w:p>
    <w:p w:rsidR="009455AA" w:rsidRPr="004C4F19" w:rsidRDefault="009455AA" w:rsidP="009455AA">
      <w:pPr>
        <w:numPr>
          <w:ilvl w:val="0"/>
          <w:numId w:val="10"/>
        </w:numPr>
        <w:tabs>
          <w:tab w:val="left" w:pos="720"/>
        </w:tabs>
        <w:spacing w:beforeAutospacing="1" w:after="0" w:afterAutospacing="1"/>
        <w:jc w:val="both"/>
        <w:rPr>
          <w:rFonts w:ascii="Times New Roman" w:hAnsi="Times New Roman" w:cs="Times New Roman"/>
          <w:sz w:val="22"/>
          <w:szCs w:val="22"/>
        </w:rPr>
      </w:pPr>
      <w:r w:rsidRPr="004C4F19">
        <w:rPr>
          <w:rFonts w:ascii="Times New Roman" w:hAnsi="Times New Roman" w:cs="Times New Roman"/>
          <w:sz w:val="22"/>
          <w:szCs w:val="22"/>
        </w:rPr>
        <w:t>ISO 14044:2006. Environmental management — Life cycle assessment — Requirements and guidelines.</w:t>
      </w:r>
    </w:p>
    <w:p w:rsidR="005338D1" w:rsidRPr="004C4F19" w:rsidRDefault="005338D1" w:rsidP="004C4F19">
      <w:pPr>
        <w:pStyle w:val="ListParagraph"/>
        <w:numPr>
          <w:ilvl w:val="0"/>
          <w:numId w:val="10"/>
        </w:numPr>
        <w:tabs>
          <w:tab w:val="left" w:pos="720"/>
        </w:tabs>
        <w:spacing w:beforeAutospacing="1" w:after="0" w:afterAutospacing="1"/>
        <w:jc w:val="both"/>
        <w:rPr>
          <w:rFonts w:ascii="Times New Roman" w:hAnsi="Times New Roman" w:cs="Times New Roman"/>
          <w:sz w:val="22"/>
          <w:szCs w:val="22"/>
        </w:rPr>
      </w:pPr>
      <w:r w:rsidRPr="004C4F19">
        <w:rPr>
          <w:rFonts w:ascii="Times New Roman" w:eastAsia="Helvetica" w:hAnsi="Times New Roman" w:cs="Times New Roman"/>
          <w:color w:val="222222"/>
          <w:sz w:val="22"/>
          <w:szCs w:val="22"/>
          <w:shd w:val="clear" w:color="auto" w:fill="FFFFFF"/>
        </w:rPr>
        <w:t xml:space="preserve">Shalan, A.E., Makhlouf, A.S.H., Lanceros-Méndez, S. (2022). Nanocomposites Materials and Their Applications: Current and Future Trends. In: Shalan, A.E., Hamdy Makhlouf, A.S., Lanceros‐Méndez, S. (eds) Advances in Nanocomposite Materials for Environmental and Energy Harvesting Applications. Engineering Materials. Springer, Cham. </w:t>
      </w:r>
      <w:hyperlink r:id="rId27" w:history="1">
        <w:r w:rsidRPr="004C4F19">
          <w:rPr>
            <w:rStyle w:val="Hyperlink"/>
            <w:rFonts w:ascii="Times New Roman" w:eastAsia="Helvetica" w:hAnsi="Times New Roman" w:cs="Times New Roman"/>
            <w:sz w:val="22"/>
            <w:szCs w:val="22"/>
            <w:shd w:val="clear" w:color="auto" w:fill="FFFFFF"/>
          </w:rPr>
          <w:t>https://doi.org/10.1007/978-3-030-94319-6_1</w:t>
        </w:r>
      </w:hyperlink>
    </w:p>
    <w:p w:rsidR="005338D1" w:rsidRPr="004C4F19" w:rsidRDefault="005338D1" w:rsidP="004C4F19">
      <w:pPr>
        <w:pStyle w:val="ListParagraph"/>
        <w:numPr>
          <w:ilvl w:val="0"/>
          <w:numId w:val="10"/>
        </w:numPr>
        <w:spacing w:before="240" w:after="240"/>
        <w:jc w:val="both"/>
        <w:rPr>
          <w:rFonts w:ascii="Times New Roman" w:eastAsia="Aptos" w:hAnsi="Times New Roman" w:cs="Times New Roman"/>
          <w:color w:val="000000" w:themeColor="text1"/>
          <w:sz w:val="22"/>
          <w:szCs w:val="22"/>
        </w:rPr>
      </w:pPr>
      <w:r w:rsidRPr="004C4F19">
        <w:rPr>
          <w:rFonts w:ascii="Times New Roman" w:eastAsia="Aptos" w:hAnsi="Times New Roman" w:cs="Times New Roman"/>
          <w:color w:val="000000" w:themeColor="text1"/>
          <w:sz w:val="22"/>
          <w:szCs w:val="22"/>
        </w:rPr>
        <w:t xml:space="preserve">Dongjie Chen, Yanling Cheng, Nan Zhou, Paul Chen, Yunpu Wang, Kun Li, Shuhao Huo, Pengfei Cheng, Peng Peng, Renchuan Zhang, Lu Wang, Hui Liu, Yuhuan Liu, Roger </w:t>
      </w:r>
      <w:proofErr w:type="gramStart"/>
      <w:r w:rsidRPr="004C4F19">
        <w:rPr>
          <w:rFonts w:ascii="Times New Roman" w:eastAsia="Aptos" w:hAnsi="Times New Roman" w:cs="Times New Roman"/>
          <w:color w:val="000000" w:themeColor="text1"/>
          <w:sz w:val="22"/>
          <w:szCs w:val="22"/>
        </w:rPr>
        <w:t>Ruan,Photocatalytic</w:t>
      </w:r>
      <w:proofErr w:type="gramEnd"/>
      <w:r w:rsidRPr="004C4F19">
        <w:rPr>
          <w:rFonts w:ascii="Times New Roman" w:eastAsia="Aptos" w:hAnsi="Times New Roman" w:cs="Times New Roman"/>
          <w:color w:val="000000" w:themeColor="text1"/>
          <w:sz w:val="22"/>
          <w:szCs w:val="22"/>
        </w:rPr>
        <w:t xml:space="preserve"> degradation of organic pollutants using TiO2-based photocatalysts: A review,Journal of Cleaner Production,Volume 268,2020,121725,ISSN 0959-6526,https://doi.org/10.1016/j.jclepro.2020.121725.</w:t>
      </w:r>
    </w:p>
    <w:p w:rsidR="005338D1" w:rsidRPr="004C4F19" w:rsidRDefault="005338D1" w:rsidP="004C4F19">
      <w:pPr>
        <w:pStyle w:val="Heading3"/>
        <w:keepNext w:val="0"/>
        <w:keepLines w:val="0"/>
        <w:numPr>
          <w:ilvl w:val="0"/>
          <w:numId w:val="10"/>
        </w:numPr>
        <w:jc w:val="both"/>
        <w:rPr>
          <w:rStyle w:val="Strong"/>
          <w:rFonts w:ascii="Times New Roman" w:hAnsi="Times New Roman" w:cs="Times New Roman"/>
          <w:b w:val="0"/>
          <w:color w:val="000000" w:themeColor="text1"/>
          <w:sz w:val="22"/>
          <w:szCs w:val="22"/>
        </w:rPr>
      </w:pPr>
      <w:r w:rsidRPr="004C4F19">
        <w:rPr>
          <w:rStyle w:val="Strong"/>
          <w:rFonts w:ascii="Times New Roman" w:hAnsi="Times New Roman" w:cs="Times New Roman"/>
          <w:b w:val="0"/>
          <w:color w:val="000000" w:themeColor="text1"/>
          <w:sz w:val="22"/>
          <w:szCs w:val="22"/>
        </w:rPr>
        <w:lastRenderedPageBreak/>
        <w:t>Pavithra Swaminaathan, A. Saravanan, P.R. Yaashikaa, A.S. Vickram,Recent advances in photocatalytic degradation of persistent organic pollutants: Mechanisms, challenges, and modification strategies,Sustainable Chemistry forthe Environment,Volume 8,2024,100171,ISSN 2949-8392,https://doi.org/10.1016/j.scenv.2024.100171.</w:t>
      </w:r>
    </w:p>
    <w:p w:rsidR="005338D1" w:rsidRPr="004C4F19" w:rsidRDefault="005338D1" w:rsidP="004C4F19">
      <w:pPr>
        <w:pStyle w:val="NormalWeb"/>
        <w:numPr>
          <w:ilvl w:val="0"/>
          <w:numId w:val="10"/>
        </w:numPr>
        <w:spacing w:before="0" w:after="0"/>
        <w:jc w:val="both"/>
        <w:rPr>
          <w:rFonts w:eastAsia="Consolas"/>
          <w:color w:val="1B1B1B"/>
          <w:sz w:val="22"/>
          <w:szCs w:val="22"/>
          <w:shd w:val="clear" w:color="auto" w:fill="FFFFFF"/>
        </w:rPr>
      </w:pPr>
      <w:r w:rsidRPr="004C4F19">
        <w:rPr>
          <w:rFonts w:eastAsia="Consolas"/>
          <w:color w:val="1B1B1B"/>
          <w:sz w:val="22"/>
          <w:szCs w:val="22"/>
          <w:shd w:val="clear" w:color="auto" w:fill="FFFFFF"/>
        </w:rPr>
        <w:t>Yao M, Liang C, Yao S, Liu Y, Zhao H, Qin C. Kinetics and Thermodynamics of Hemicellulose Adsorption onto Nanofibril Cellulose Surfaces by QCM-D. ACS Omega. 2021 Nov 4;6(45):30618-30626. doi: 10.1021/acsomega.1c04391. PMID: 34805690; PMCID: PMC8600616.</w:t>
      </w:r>
    </w:p>
    <w:p w:rsidR="005338D1" w:rsidRPr="004C4F19" w:rsidRDefault="005338D1" w:rsidP="004C4F19">
      <w:pPr>
        <w:pStyle w:val="NormalWeb"/>
        <w:numPr>
          <w:ilvl w:val="0"/>
          <w:numId w:val="10"/>
        </w:numPr>
        <w:jc w:val="both"/>
        <w:rPr>
          <w:rFonts w:eastAsia="Consolas"/>
          <w:color w:val="1B1B1B"/>
          <w:sz w:val="22"/>
          <w:szCs w:val="22"/>
          <w:shd w:val="clear" w:color="auto" w:fill="FFFFFF"/>
        </w:rPr>
      </w:pPr>
      <w:r w:rsidRPr="004C4F19">
        <w:rPr>
          <w:rFonts w:eastAsia="Consolas"/>
          <w:color w:val="1B1B1B"/>
          <w:sz w:val="22"/>
          <w:szCs w:val="22"/>
          <w:shd w:val="clear" w:color="auto" w:fill="FFFFFF"/>
        </w:rPr>
        <w:t>Khan F, Shariq M, Asif M, Siddiqui MA, Malan P, Ahmad F. Green Nanotechnology: Plant-Mediated Nanoparticle Synthesis and Application. Nanomaterials (Basel). 2022 Feb 17;12(4):673. doi: 10.3390/nano12040673. PMID: 35215000; PMCID: PMC8878231.</w:t>
      </w:r>
    </w:p>
    <w:p w:rsidR="005338D1" w:rsidRPr="004C4F19" w:rsidRDefault="005338D1" w:rsidP="004C4F19">
      <w:pPr>
        <w:pStyle w:val="NormalWeb"/>
        <w:numPr>
          <w:ilvl w:val="0"/>
          <w:numId w:val="10"/>
        </w:numPr>
        <w:jc w:val="both"/>
        <w:rPr>
          <w:rFonts w:eastAsia="Consolas"/>
          <w:color w:val="1B1B1B"/>
          <w:sz w:val="22"/>
          <w:szCs w:val="22"/>
          <w:shd w:val="clear" w:color="auto" w:fill="FFFFFF"/>
        </w:rPr>
      </w:pPr>
      <w:r w:rsidRPr="004C4F19">
        <w:rPr>
          <w:rFonts w:eastAsia="Helvetica"/>
          <w:color w:val="222222"/>
          <w:sz w:val="22"/>
          <w:szCs w:val="22"/>
          <w:shd w:val="clear" w:color="auto" w:fill="FFFFFF"/>
        </w:rPr>
        <w:t>Edo, G.I., Mafe, A.N., Ali, A.B.M. </w:t>
      </w:r>
      <w:r w:rsidRPr="004C4F19">
        <w:rPr>
          <w:rFonts w:eastAsia="Helvetica"/>
          <w:i/>
          <w:iCs/>
          <w:color w:val="222222"/>
          <w:sz w:val="22"/>
          <w:szCs w:val="22"/>
          <w:shd w:val="clear" w:color="auto" w:fill="FFFFFF"/>
        </w:rPr>
        <w:t>et al.</w:t>
      </w:r>
      <w:r w:rsidRPr="004C4F19">
        <w:rPr>
          <w:rFonts w:eastAsia="Helvetica"/>
          <w:color w:val="222222"/>
          <w:sz w:val="22"/>
          <w:szCs w:val="22"/>
          <w:shd w:val="clear" w:color="auto" w:fill="FFFFFF"/>
        </w:rPr>
        <w:t> Green Biosynthesis of Nanoparticles Using Plant Extracts: Mechanisms, Advances, Challenges, and Applications. </w:t>
      </w:r>
      <w:r w:rsidRPr="004C4F19">
        <w:rPr>
          <w:rFonts w:eastAsia="Helvetica"/>
          <w:i/>
          <w:iCs/>
          <w:color w:val="222222"/>
          <w:sz w:val="22"/>
          <w:szCs w:val="22"/>
          <w:shd w:val="clear" w:color="auto" w:fill="FFFFFF"/>
        </w:rPr>
        <w:t>BioNanoSci.</w:t>
      </w:r>
      <w:r w:rsidRPr="004C4F19">
        <w:rPr>
          <w:rFonts w:eastAsia="Helvetica"/>
          <w:color w:val="222222"/>
          <w:sz w:val="22"/>
          <w:szCs w:val="22"/>
          <w:shd w:val="clear" w:color="auto" w:fill="FFFFFF"/>
        </w:rPr>
        <w:t> </w:t>
      </w:r>
      <w:r w:rsidRPr="004C4F19">
        <w:rPr>
          <w:rFonts w:eastAsia="Helvetica"/>
          <w:bCs/>
          <w:color w:val="222222"/>
          <w:sz w:val="22"/>
          <w:szCs w:val="22"/>
          <w:shd w:val="clear" w:color="auto" w:fill="FFFFFF"/>
        </w:rPr>
        <w:t>15</w:t>
      </w:r>
      <w:r w:rsidRPr="004C4F19">
        <w:rPr>
          <w:rFonts w:eastAsia="Helvetica"/>
          <w:color w:val="222222"/>
          <w:sz w:val="22"/>
          <w:szCs w:val="22"/>
          <w:shd w:val="clear" w:color="auto" w:fill="FFFFFF"/>
        </w:rPr>
        <w:t>, 267 (2025). https://doi.org/10.1007/s12668-025-01883-w</w:t>
      </w:r>
    </w:p>
    <w:p w:rsidR="005338D1" w:rsidRPr="004C4F19" w:rsidRDefault="005338D1" w:rsidP="004C4F19">
      <w:pPr>
        <w:pStyle w:val="NormalWeb"/>
        <w:numPr>
          <w:ilvl w:val="0"/>
          <w:numId w:val="10"/>
        </w:numPr>
        <w:jc w:val="both"/>
        <w:rPr>
          <w:rFonts w:eastAsia="sans-serif"/>
          <w:color w:val="1C1D1E"/>
          <w:sz w:val="22"/>
          <w:szCs w:val="22"/>
          <w:shd w:val="clear" w:color="auto" w:fill="FFFFFF"/>
          <w:lang w:val="en-US"/>
        </w:rPr>
      </w:pPr>
      <w:r w:rsidRPr="004C4F19">
        <w:rPr>
          <w:rFonts w:eastAsia="sans-serif"/>
          <w:color w:val="1C1D1E"/>
          <w:sz w:val="22"/>
          <w:szCs w:val="22"/>
          <w:shd w:val="clear" w:color="auto" w:fill="FFFFFF"/>
        </w:rPr>
        <w:t>Xianfeng Liu, Shuhui Han, David Makowski, Xiaohong Wang, Zheng Fu, Philippe Ciais, Response of rice quality to climate warming: a meta-analysis, Field Crops Research, 10.1016/j.fcr.2025.109995, </w:t>
      </w:r>
      <w:r w:rsidRPr="004C4F19">
        <w:rPr>
          <w:rFonts w:eastAsia="sans-serif"/>
          <w:bCs/>
          <w:color w:val="1C1D1E"/>
          <w:sz w:val="22"/>
          <w:szCs w:val="22"/>
          <w:shd w:val="clear" w:color="auto" w:fill="FFFFFF"/>
        </w:rPr>
        <w:t>331</w:t>
      </w:r>
      <w:r w:rsidRPr="004C4F19">
        <w:rPr>
          <w:rFonts w:eastAsia="sans-serif"/>
          <w:color w:val="1C1D1E"/>
          <w:sz w:val="22"/>
          <w:szCs w:val="22"/>
          <w:shd w:val="clear" w:color="auto" w:fill="FFFFFF"/>
        </w:rPr>
        <w:t>, (109995), (2025)</w:t>
      </w:r>
      <w:r w:rsidRPr="004C4F19">
        <w:rPr>
          <w:rFonts w:eastAsia="sans-serif"/>
          <w:color w:val="1C1D1E"/>
          <w:sz w:val="22"/>
          <w:szCs w:val="22"/>
          <w:shd w:val="clear" w:color="auto" w:fill="FFFFFF"/>
          <w:lang w:val="en-US"/>
        </w:rPr>
        <w:t>.</w:t>
      </w:r>
    </w:p>
    <w:p w:rsidR="005338D1" w:rsidRPr="004C4F19" w:rsidRDefault="002E181D" w:rsidP="004C4F19">
      <w:pPr>
        <w:pStyle w:val="NormalWeb"/>
        <w:numPr>
          <w:ilvl w:val="0"/>
          <w:numId w:val="10"/>
        </w:numPr>
        <w:jc w:val="both"/>
        <w:rPr>
          <w:rFonts w:eastAsia="sans-serif"/>
          <w:color w:val="1C1D1E"/>
          <w:sz w:val="22"/>
          <w:szCs w:val="22"/>
          <w:shd w:val="clear" w:color="auto" w:fill="FFFFFF"/>
          <w:lang w:val="en-US"/>
        </w:rPr>
      </w:pPr>
      <w:hyperlink r:id="rId28" w:history="1">
        <w:r w:rsidR="005338D1" w:rsidRPr="004C4F19">
          <w:rPr>
            <w:rStyle w:val="Hyperlink"/>
            <w:rFonts w:eastAsia="sans-serif"/>
            <w:sz w:val="22"/>
            <w:szCs w:val="22"/>
            <w:u w:val="none"/>
            <w:shd w:val="clear" w:color="auto" w:fill="FFFFFF"/>
          </w:rPr>
          <w:t>Peng Chen</w:t>
        </w:r>
      </w:hyperlink>
      <w:r w:rsidR="005338D1" w:rsidRPr="004C4F19">
        <w:rPr>
          <w:rFonts w:eastAsia="sans-serif"/>
          <w:color w:val="1C1D1E"/>
          <w:sz w:val="22"/>
          <w:szCs w:val="22"/>
          <w:shd w:val="clear" w:color="auto" w:fill="FFFFFF"/>
          <w:lang w:eastAsia="zh-CN"/>
        </w:rPr>
        <w:t>, </w:t>
      </w:r>
      <w:hyperlink r:id="rId29" w:history="1">
        <w:r w:rsidR="005338D1" w:rsidRPr="004C4F19">
          <w:rPr>
            <w:rStyle w:val="Hyperlink"/>
            <w:rFonts w:eastAsia="sans-serif"/>
            <w:sz w:val="22"/>
            <w:szCs w:val="22"/>
            <w:u w:val="none"/>
            <w:shd w:val="clear" w:color="auto" w:fill="FFFFFF"/>
          </w:rPr>
          <w:t>Ziyan Song</w:t>
        </w:r>
      </w:hyperlink>
      <w:r w:rsidR="005338D1" w:rsidRPr="004C4F19">
        <w:rPr>
          <w:rFonts w:eastAsia="sans-serif"/>
          <w:color w:val="1C1D1E"/>
          <w:sz w:val="22"/>
          <w:szCs w:val="22"/>
          <w:shd w:val="clear" w:color="auto" w:fill="FFFFFF"/>
          <w:lang w:eastAsia="zh-CN"/>
        </w:rPr>
        <w:t>, </w:t>
      </w:r>
      <w:hyperlink r:id="rId30" w:history="1">
        <w:r w:rsidR="005338D1" w:rsidRPr="004C4F19">
          <w:rPr>
            <w:rStyle w:val="Hyperlink"/>
            <w:rFonts w:eastAsia="sans-serif"/>
            <w:sz w:val="22"/>
            <w:szCs w:val="22"/>
            <w:u w:val="none"/>
            <w:shd w:val="clear" w:color="auto" w:fill="FFFFFF"/>
          </w:rPr>
          <w:t>Xuxia Yao</w:t>
        </w:r>
      </w:hyperlink>
      <w:r w:rsidR="005338D1" w:rsidRPr="004C4F19">
        <w:rPr>
          <w:rFonts w:eastAsia="sans-serif"/>
          <w:color w:val="1C1D1E"/>
          <w:sz w:val="22"/>
          <w:szCs w:val="22"/>
          <w:shd w:val="clear" w:color="auto" w:fill="FFFFFF"/>
          <w:lang w:eastAsia="zh-CN"/>
        </w:rPr>
        <w:t>, </w:t>
      </w:r>
      <w:hyperlink r:id="rId31" w:history="1">
        <w:r w:rsidR="005338D1" w:rsidRPr="004C4F19">
          <w:rPr>
            <w:rStyle w:val="Hyperlink"/>
            <w:rFonts w:eastAsia="sans-serif"/>
            <w:sz w:val="22"/>
            <w:szCs w:val="22"/>
            <w:u w:val="none"/>
            <w:shd w:val="clear" w:color="auto" w:fill="FFFFFF"/>
          </w:rPr>
          <w:t>Weibin Wang</w:t>
        </w:r>
      </w:hyperlink>
      <w:r w:rsidR="005338D1" w:rsidRPr="004C4F19">
        <w:rPr>
          <w:rFonts w:eastAsia="sans-serif"/>
          <w:color w:val="1C1D1E"/>
          <w:sz w:val="22"/>
          <w:szCs w:val="22"/>
          <w:shd w:val="clear" w:color="auto" w:fill="FFFFFF"/>
          <w:lang w:eastAsia="zh-CN"/>
        </w:rPr>
        <w:t>, </w:t>
      </w:r>
      <w:hyperlink r:id="rId32" w:history="1">
        <w:r w:rsidR="005338D1" w:rsidRPr="004C4F19">
          <w:rPr>
            <w:rStyle w:val="Hyperlink"/>
            <w:rFonts w:eastAsia="sans-serif"/>
            <w:sz w:val="22"/>
            <w:szCs w:val="22"/>
            <w:u w:val="none"/>
            <w:shd w:val="clear" w:color="auto" w:fill="FFFFFF"/>
          </w:rPr>
          <w:t>Lisong Teng</w:t>
        </w:r>
      </w:hyperlink>
      <w:r w:rsidR="005338D1" w:rsidRPr="004C4F19">
        <w:rPr>
          <w:rFonts w:eastAsia="sans-serif"/>
          <w:color w:val="1C1D1E"/>
          <w:sz w:val="22"/>
          <w:szCs w:val="22"/>
          <w:shd w:val="clear" w:color="auto" w:fill="FFFFFF"/>
          <w:lang w:eastAsia="zh-CN"/>
        </w:rPr>
        <w:t>, </w:t>
      </w:r>
      <w:hyperlink r:id="rId33" w:history="1">
        <w:r w:rsidR="005338D1" w:rsidRPr="004C4F19">
          <w:rPr>
            <w:rStyle w:val="Hyperlink"/>
            <w:rFonts w:eastAsia="sans-serif"/>
            <w:sz w:val="22"/>
            <w:szCs w:val="22"/>
            <w:u w:val="none"/>
            <w:shd w:val="clear" w:color="auto" w:fill="FFFFFF"/>
          </w:rPr>
          <w:t>Krzysztof Matyjaszewski</w:t>
        </w:r>
      </w:hyperlink>
      <w:r w:rsidR="005338D1" w:rsidRPr="004C4F19">
        <w:rPr>
          <w:rFonts w:eastAsia="sans-serif"/>
          <w:color w:val="1C1D1E"/>
          <w:sz w:val="22"/>
          <w:szCs w:val="22"/>
          <w:shd w:val="clear" w:color="auto" w:fill="FFFFFF"/>
          <w:lang w:eastAsia="zh-CN"/>
        </w:rPr>
        <w:t>, </w:t>
      </w:r>
      <w:hyperlink r:id="rId34" w:history="1">
        <w:r w:rsidR="005338D1" w:rsidRPr="004C4F19">
          <w:rPr>
            <w:rStyle w:val="Hyperlink"/>
            <w:rFonts w:eastAsia="sans-serif"/>
            <w:sz w:val="22"/>
            <w:szCs w:val="22"/>
            <w:u w:val="none"/>
            <w:shd w:val="clear" w:color="auto" w:fill="FFFFFF"/>
          </w:rPr>
          <w:t>Weipu Zhu</w:t>
        </w:r>
      </w:hyperlink>
      <w:r w:rsidR="005338D1" w:rsidRPr="004C4F19">
        <w:rPr>
          <w:rFonts w:eastAsia="sans-serif"/>
          <w:sz w:val="22"/>
          <w:szCs w:val="22"/>
          <w:shd w:val="clear" w:color="auto" w:fill="FFFFFF"/>
          <w:lang w:eastAsia="zh-CN"/>
        </w:rPr>
        <w:t>(2024).</w:t>
      </w:r>
      <w:r w:rsidR="005338D1" w:rsidRPr="004C4F19">
        <w:rPr>
          <w:rFonts w:eastAsia="sans-serif"/>
          <w:bCs/>
          <w:color w:val="1C1D1E"/>
          <w:sz w:val="22"/>
          <w:szCs w:val="22"/>
          <w:shd w:val="clear" w:color="auto" w:fill="FFFFFF"/>
        </w:rPr>
        <w:t>Copper Nanodrugs by Atom Transfer Radical Polymerization,</w:t>
      </w:r>
      <w:hyperlink r:id="rId35" w:tooltip="Angewandte Chemie International Edition homepage" w:history="1">
        <w:r w:rsidR="005338D1" w:rsidRPr="004C4F19">
          <w:rPr>
            <w:rStyle w:val="Hyperlink"/>
            <w:rFonts w:eastAsia="sans-serif"/>
            <w:bCs/>
            <w:sz w:val="22"/>
            <w:szCs w:val="22"/>
            <w:u w:val="none"/>
            <w:shd w:val="clear" w:color="auto" w:fill="FFFFFF"/>
          </w:rPr>
          <w:t>Angewandte Chemie International Edition</w:t>
        </w:r>
      </w:hyperlink>
      <w:r w:rsidR="005338D1" w:rsidRPr="004C4F19">
        <w:rPr>
          <w:rFonts w:eastAsia="sans-serif"/>
          <w:bCs/>
          <w:sz w:val="22"/>
          <w:szCs w:val="22"/>
          <w:shd w:val="clear" w:color="auto" w:fill="FFFFFF"/>
          <w:lang w:eastAsia="zh-CN"/>
        </w:rPr>
        <w:t xml:space="preserve">, </w:t>
      </w:r>
      <w:hyperlink r:id="rId36" w:history="1">
        <w:r w:rsidR="005338D1" w:rsidRPr="004C4F19">
          <w:rPr>
            <w:rStyle w:val="Hyperlink"/>
            <w:rFonts w:eastAsia="sans-serif"/>
            <w:bCs/>
            <w:sz w:val="22"/>
            <w:szCs w:val="22"/>
            <w:u w:val="none"/>
            <w:shd w:val="clear" w:color="auto" w:fill="FFFFFF"/>
          </w:rPr>
          <w:t>Volume 63, Issue 20</w:t>
        </w:r>
      </w:hyperlink>
      <w:r w:rsidR="005338D1" w:rsidRPr="004C4F19">
        <w:rPr>
          <w:rFonts w:eastAsia="sans-serif"/>
          <w:color w:val="1C1D1E"/>
          <w:sz w:val="22"/>
          <w:szCs w:val="22"/>
          <w:shd w:val="clear" w:color="auto" w:fill="FFFFFF"/>
        </w:rPr>
        <w:t> e202402747.</w:t>
      </w:r>
      <w:hyperlink r:id="rId37" w:history="1">
        <w:r w:rsidR="005338D1" w:rsidRPr="004C4F19">
          <w:rPr>
            <w:rStyle w:val="Hyperlink"/>
            <w:rFonts w:eastAsia="sans-serif"/>
            <w:bCs/>
            <w:sz w:val="22"/>
            <w:szCs w:val="22"/>
            <w:u w:val="none"/>
            <w:shd w:val="clear" w:color="auto" w:fill="FFFFFF"/>
          </w:rPr>
          <w:t>https://doi.org/10.1002/anie.202402747</w:t>
        </w:r>
      </w:hyperlink>
    </w:p>
    <w:p w:rsidR="005338D1" w:rsidRPr="004C4F19" w:rsidRDefault="005338D1" w:rsidP="004C4F19">
      <w:pPr>
        <w:pStyle w:val="NormalWeb"/>
        <w:numPr>
          <w:ilvl w:val="0"/>
          <w:numId w:val="10"/>
        </w:numPr>
        <w:jc w:val="both"/>
        <w:rPr>
          <w:rFonts w:eastAsia="sans-serif"/>
          <w:color w:val="333333"/>
          <w:sz w:val="22"/>
          <w:szCs w:val="22"/>
          <w:shd w:val="clear" w:color="auto" w:fill="EAEAEA"/>
        </w:rPr>
      </w:pPr>
      <w:r w:rsidRPr="004C4F19">
        <w:rPr>
          <w:rFonts w:eastAsia="sans-serif"/>
          <w:color w:val="333333"/>
          <w:sz w:val="22"/>
          <w:szCs w:val="22"/>
          <w:shd w:val="clear" w:color="auto" w:fill="EAEAEA"/>
        </w:rPr>
        <w:t>Gonfa, T., Teketle, S., &amp; Kiros, T. (2020). Effect of extraction solvent on qualitative and quantitative analysis of major phyto-constituents and </w:t>
      </w:r>
      <w:r w:rsidRPr="004C4F19">
        <w:rPr>
          <w:rFonts w:eastAsia="sans-serif"/>
          <w:i/>
          <w:iCs/>
          <w:color w:val="333333"/>
          <w:sz w:val="22"/>
          <w:szCs w:val="22"/>
          <w:shd w:val="clear" w:color="auto" w:fill="EAEAEA"/>
        </w:rPr>
        <w:t>in-vitro</w:t>
      </w:r>
      <w:r w:rsidRPr="004C4F19">
        <w:rPr>
          <w:rFonts w:eastAsia="sans-serif"/>
          <w:color w:val="333333"/>
          <w:sz w:val="22"/>
          <w:szCs w:val="22"/>
          <w:shd w:val="clear" w:color="auto" w:fill="EAEAEA"/>
        </w:rPr>
        <w:t> antioxidant activity evaluation of </w:t>
      </w:r>
      <w:r w:rsidRPr="004C4F19">
        <w:rPr>
          <w:rFonts w:eastAsia="sans-serif"/>
          <w:i/>
          <w:iCs/>
          <w:color w:val="333333"/>
          <w:sz w:val="22"/>
          <w:szCs w:val="22"/>
          <w:shd w:val="clear" w:color="auto" w:fill="EAEAEA"/>
        </w:rPr>
        <w:t>Cadaba rotundifolia</w:t>
      </w:r>
      <w:r w:rsidRPr="004C4F19">
        <w:rPr>
          <w:rFonts w:eastAsia="sans-serif"/>
          <w:color w:val="333333"/>
          <w:sz w:val="22"/>
          <w:szCs w:val="22"/>
          <w:shd w:val="clear" w:color="auto" w:fill="EAEAEA"/>
        </w:rPr>
        <w:t> Forssk leaf extracts. </w:t>
      </w:r>
      <w:r w:rsidRPr="004C4F19">
        <w:rPr>
          <w:rFonts w:eastAsia="sans-serif"/>
          <w:i/>
          <w:iCs/>
          <w:color w:val="333333"/>
          <w:sz w:val="22"/>
          <w:szCs w:val="22"/>
          <w:shd w:val="clear" w:color="auto" w:fill="EAEAEA"/>
        </w:rPr>
        <w:t>Cogent Food &amp; Agriculture</w:t>
      </w:r>
      <w:r w:rsidRPr="004C4F19">
        <w:rPr>
          <w:rFonts w:eastAsia="sans-serif"/>
          <w:color w:val="333333"/>
          <w:sz w:val="22"/>
          <w:szCs w:val="22"/>
          <w:shd w:val="clear" w:color="auto" w:fill="EAEAEA"/>
        </w:rPr>
        <w:t>, </w:t>
      </w:r>
      <w:r w:rsidRPr="004C4F19">
        <w:rPr>
          <w:rFonts w:eastAsia="sans-serif"/>
          <w:i/>
          <w:iCs/>
          <w:color w:val="333333"/>
          <w:sz w:val="22"/>
          <w:szCs w:val="22"/>
          <w:shd w:val="clear" w:color="auto" w:fill="EAEAEA"/>
        </w:rPr>
        <w:t>6</w:t>
      </w:r>
      <w:r w:rsidRPr="004C4F19">
        <w:rPr>
          <w:rFonts w:eastAsia="sans-serif"/>
          <w:color w:val="333333"/>
          <w:sz w:val="22"/>
          <w:szCs w:val="22"/>
          <w:shd w:val="clear" w:color="auto" w:fill="EAEAEA"/>
        </w:rPr>
        <w:t xml:space="preserve">(1). </w:t>
      </w:r>
      <w:hyperlink r:id="rId38" w:history="1">
        <w:r w:rsidRPr="004C4F19">
          <w:rPr>
            <w:rStyle w:val="Hyperlink"/>
            <w:rFonts w:eastAsia="sans-serif"/>
            <w:sz w:val="22"/>
            <w:szCs w:val="22"/>
            <w:shd w:val="clear" w:color="auto" w:fill="EAEAEA"/>
          </w:rPr>
          <w:t>https://doi.org/10.1080/23311932.2020.1853867</w:t>
        </w:r>
      </w:hyperlink>
      <w:r w:rsidRPr="004C4F19">
        <w:rPr>
          <w:rFonts w:eastAsia="sans-serif"/>
          <w:color w:val="333333"/>
          <w:sz w:val="22"/>
          <w:szCs w:val="22"/>
          <w:shd w:val="clear" w:color="auto" w:fill="EAEAEA"/>
        </w:rPr>
        <w:t>.</w:t>
      </w:r>
    </w:p>
    <w:p w:rsidR="005338D1" w:rsidRPr="004C4F19" w:rsidRDefault="005338D1" w:rsidP="004C4F19">
      <w:pPr>
        <w:pStyle w:val="ListParagraph"/>
        <w:numPr>
          <w:ilvl w:val="0"/>
          <w:numId w:val="10"/>
        </w:numPr>
        <w:spacing w:before="240" w:after="240"/>
        <w:jc w:val="both"/>
        <w:rPr>
          <w:rFonts w:ascii="Times New Roman" w:eastAsia="Segoe UI" w:hAnsi="Times New Roman" w:cs="Times New Roman"/>
          <w:color w:val="212121"/>
          <w:sz w:val="22"/>
          <w:szCs w:val="22"/>
          <w:shd w:val="clear" w:color="auto" w:fill="FFFFFF"/>
        </w:rPr>
      </w:pPr>
      <w:r w:rsidRPr="004C4F19">
        <w:rPr>
          <w:rFonts w:ascii="Times New Roman" w:eastAsia="Segoe UI" w:hAnsi="Times New Roman" w:cs="Times New Roman"/>
          <w:color w:val="212121"/>
          <w:sz w:val="22"/>
          <w:szCs w:val="22"/>
          <w:shd w:val="clear" w:color="auto" w:fill="FFFFFF"/>
        </w:rPr>
        <w:t>Singh B, Olds T, Curtis R, Dumuid D, Virgara R, Watson A, Szeto K, O'Connor E, Ferguson T, Eglitis E, Miatke A, Simpson CE, Maher C. Effectiveness of physical activity interventions for improving depression, anxiety and distress: an overview of systematic reviews. Br J Sports Med. 2023 Sep;57(18):1203-1209. doi: 10.1136/bjsports-2022-106195. Epub 2023 Feb 16. PMID: 36796860; PMCID: PMC10579187.</w:t>
      </w:r>
    </w:p>
    <w:p w:rsidR="005338D1" w:rsidRPr="004C4F19" w:rsidRDefault="005338D1" w:rsidP="004C4F19">
      <w:pPr>
        <w:pStyle w:val="ListParagraph"/>
        <w:numPr>
          <w:ilvl w:val="0"/>
          <w:numId w:val="10"/>
        </w:numPr>
        <w:spacing w:before="240" w:after="240"/>
        <w:jc w:val="both"/>
        <w:rPr>
          <w:rFonts w:ascii="Times New Roman" w:eastAsia="Segoe UI" w:hAnsi="Times New Roman" w:cs="Times New Roman"/>
          <w:color w:val="212121"/>
          <w:sz w:val="22"/>
          <w:szCs w:val="22"/>
          <w:shd w:val="clear" w:color="auto" w:fill="FFFFFF"/>
        </w:rPr>
      </w:pPr>
      <w:r w:rsidRPr="004C4F19">
        <w:rPr>
          <w:rFonts w:ascii="Times New Roman" w:eastAsia="Segoe UI" w:hAnsi="Times New Roman" w:cs="Times New Roman"/>
          <w:color w:val="212121"/>
          <w:sz w:val="22"/>
          <w:szCs w:val="22"/>
          <w:shd w:val="clear" w:color="auto" w:fill="FFFFFF"/>
        </w:rPr>
        <w:t>Ravichandran K, McCaffrey C, Grifo J, Morales A, Perloe M, Munne S, Wells D, Fragouli E. Mitochondrial DNA quantification as a tool for embryo viability assessment: retrospective analysis of data from single euploid blastocyst transfers. Hum Reprod. 2017 Jun 1;32(6):1282-1292. doi: 10.1093/humrep/dex070. Erratum in: Hum Reprod. 2019 Apr 1;34(4):781. doi: 10.1093/humrep/dez013. PMID: 28387858.</w:t>
      </w:r>
    </w:p>
    <w:p w:rsidR="005338D1" w:rsidRPr="004C4F19" w:rsidRDefault="005338D1" w:rsidP="004C4F19">
      <w:pPr>
        <w:pStyle w:val="ListParagraph"/>
        <w:numPr>
          <w:ilvl w:val="0"/>
          <w:numId w:val="10"/>
        </w:numPr>
        <w:spacing w:before="240" w:after="240"/>
        <w:jc w:val="both"/>
        <w:rPr>
          <w:rFonts w:ascii="Times New Roman" w:eastAsia="Aptos" w:hAnsi="Times New Roman" w:cs="Times New Roman"/>
          <w:sz w:val="22"/>
          <w:szCs w:val="22"/>
        </w:rPr>
      </w:pPr>
      <w:r w:rsidRPr="004C4F19">
        <w:rPr>
          <w:rFonts w:ascii="Times New Roman" w:eastAsia="Segoe UI" w:hAnsi="Times New Roman" w:cs="Times New Roman"/>
          <w:color w:val="212121"/>
          <w:sz w:val="22"/>
          <w:szCs w:val="22"/>
          <w:shd w:val="clear" w:color="auto" w:fill="FFFFFF"/>
        </w:rPr>
        <w:t>Roberts MD, McCarthy JJ, Hornberger TA, Phillips SM, Mackey AL, Nader GA, Boppart MD, Kavazis AN, Reidy PT, Ogasawara R, Libardi CA, Ugrinowitsch C, Booth FW, Esser KA. Mechanisms of mechanical overload-induced skeletal muscle hypertrophy: current understanding and future directions. Physiol Rev. 2023 Oct 1;103(4):2679-2757. doi: 10.1152/physrev.00039.2022. Epub 2023 Jun 29. PMID: 37382939; PMCID: PMC10625844.</w:t>
      </w:r>
    </w:p>
    <w:p w:rsidR="005338D1" w:rsidRPr="004C4F19" w:rsidRDefault="005338D1" w:rsidP="004C4F19">
      <w:pPr>
        <w:pStyle w:val="ListParagraph"/>
        <w:numPr>
          <w:ilvl w:val="0"/>
          <w:numId w:val="10"/>
        </w:numPr>
        <w:spacing w:before="240" w:after="240"/>
        <w:jc w:val="both"/>
        <w:rPr>
          <w:rFonts w:ascii="Times New Roman" w:eastAsia="Aptos" w:hAnsi="Times New Roman" w:cs="Times New Roman"/>
          <w:sz w:val="22"/>
          <w:szCs w:val="22"/>
        </w:rPr>
      </w:pPr>
      <w:r w:rsidRPr="004C4F19">
        <w:rPr>
          <w:rFonts w:ascii="Times New Roman" w:eastAsia="SimSun" w:hAnsi="Times New Roman" w:cs="Times New Roman"/>
          <w:sz w:val="22"/>
          <w:szCs w:val="22"/>
        </w:rPr>
        <w:t>Martinez, L. A., Lombardi, J. V., Powers, G., Anderson, A. D., Campbell, T., &amp; Lopez, R. R. (2024). Assessing ecological and socio-political factors in site selection for ocelot reintroduction in Texas. Conservation Science and Practice, e13113. https:// doi.org/10.1111/csp2.13113</w:t>
      </w:r>
    </w:p>
    <w:p w:rsidR="005338D1" w:rsidRPr="004C4F19" w:rsidRDefault="005338D1" w:rsidP="004C4F19">
      <w:pPr>
        <w:pStyle w:val="ListParagraph"/>
        <w:spacing w:before="240" w:after="240"/>
        <w:jc w:val="both"/>
        <w:rPr>
          <w:rFonts w:ascii="Times New Roman" w:eastAsia="Aptos" w:hAnsi="Times New Roman" w:cs="Times New Roman"/>
          <w:color w:val="000000" w:themeColor="text1"/>
          <w:sz w:val="22"/>
          <w:szCs w:val="22"/>
        </w:rPr>
      </w:pPr>
    </w:p>
    <w:p w:rsidR="005338D1" w:rsidRPr="004C4F19" w:rsidRDefault="005338D1" w:rsidP="004C4F19">
      <w:pPr>
        <w:pStyle w:val="ListParagraph"/>
        <w:numPr>
          <w:ilvl w:val="0"/>
          <w:numId w:val="10"/>
        </w:numPr>
        <w:spacing w:before="240" w:after="240"/>
        <w:jc w:val="both"/>
        <w:rPr>
          <w:rFonts w:ascii="Times New Roman" w:eastAsia="Aptos" w:hAnsi="Times New Roman" w:cs="Times New Roman"/>
          <w:color w:val="000000" w:themeColor="text1"/>
          <w:sz w:val="22"/>
          <w:szCs w:val="22"/>
        </w:rPr>
      </w:pPr>
      <w:r w:rsidRPr="004C4F19">
        <w:rPr>
          <w:rFonts w:ascii="Times New Roman" w:eastAsia="Aptos" w:hAnsi="Times New Roman" w:cs="Times New Roman"/>
          <w:color w:val="000000" w:themeColor="text1"/>
          <w:sz w:val="22"/>
          <w:szCs w:val="22"/>
        </w:rPr>
        <w:t xml:space="preserve">Emmanuel D. Revellame, Dhan Lord Fortela, Wayne Sharp, Rafael Hernandez, Mark E. </w:t>
      </w:r>
      <w:proofErr w:type="gramStart"/>
      <w:r w:rsidRPr="004C4F19">
        <w:rPr>
          <w:rFonts w:ascii="Times New Roman" w:eastAsia="Aptos" w:hAnsi="Times New Roman" w:cs="Times New Roman"/>
          <w:color w:val="000000" w:themeColor="text1"/>
          <w:sz w:val="22"/>
          <w:szCs w:val="22"/>
        </w:rPr>
        <w:t>Zappi,Adsorption</w:t>
      </w:r>
      <w:proofErr w:type="gramEnd"/>
      <w:r w:rsidRPr="004C4F19">
        <w:rPr>
          <w:rFonts w:ascii="Times New Roman" w:eastAsia="Aptos" w:hAnsi="Times New Roman" w:cs="Times New Roman"/>
          <w:color w:val="000000" w:themeColor="text1"/>
          <w:sz w:val="22"/>
          <w:szCs w:val="22"/>
        </w:rPr>
        <w:t xml:space="preserve"> kinetic modeling using pseudo-first order and pseudo-second order rate laws: </w:t>
      </w:r>
      <w:r w:rsidRPr="004C4F19">
        <w:rPr>
          <w:rFonts w:ascii="Times New Roman" w:eastAsia="Aptos" w:hAnsi="Times New Roman" w:cs="Times New Roman"/>
          <w:color w:val="000000" w:themeColor="text1"/>
          <w:sz w:val="22"/>
          <w:szCs w:val="22"/>
        </w:rPr>
        <w:lastRenderedPageBreak/>
        <w:t>A review,Cleaner Engineering and Technology,Volume 1,2020,100032,ISSN 2666-7908,https://doi.org/10.1016/j.clet.2020.100032.</w:t>
      </w:r>
    </w:p>
    <w:p w:rsidR="004C4F19" w:rsidRPr="004C4F19" w:rsidRDefault="004C4F19" w:rsidP="004C4F19">
      <w:pPr>
        <w:pStyle w:val="ListParagraph"/>
        <w:numPr>
          <w:ilvl w:val="0"/>
          <w:numId w:val="10"/>
        </w:numPr>
        <w:spacing w:line="360" w:lineRule="auto"/>
        <w:jc w:val="both"/>
        <w:rPr>
          <w:rFonts w:ascii="Times New Roman" w:eastAsia="Consolas" w:hAnsi="Times New Roman" w:cs="Times New Roman"/>
          <w:color w:val="000000" w:themeColor="text1"/>
          <w:sz w:val="22"/>
          <w:szCs w:val="22"/>
          <w:shd w:val="clear" w:color="auto" w:fill="FFFFFF"/>
        </w:rPr>
      </w:pPr>
      <w:r w:rsidRPr="004C4F19">
        <w:rPr>
          <w:rFonts w:ascii="Times New Roman" w:eastAsia="Consolas" w:hAnsi="Times New Roman" w:cs="Times New Roman"/>
          <w:color w:val="000000" w:themeColor="text1"/>
          <w:sz w:val="22"/>
          <w:szCs w:val="22"/>
          <w:shd w:val="clear" w:color="auto" w:fill="FFFFFF"/>
        </w:rPr>
        <w:t xml:space="preserve">Khan F, Shariq M, Asif M, Siddiqui MA, Malan P, Ahmad F. Green Nanotechnology: Plant-Mediated Nanoparticle Synthesis and Application. </w:t>
      </w:r>
      <w:r w:rsidRPr="004C4F19">
        <w:rPr>
          <w:rFonts w:ascii="Times New Roman" w:eastAsia="Consolas" w:hAnsi="Times New Roman" w:cs="Times New Roman"/>
          <w:i/>
          <w:color w:val="000000" w:themeColor="text1"/>
          <w:sz w:val="22"/>
          <w:szCs w:val="22"/>
          <w:shd w:val="clear" w:color="auto" w:fill="FFFFFF"/>
        </w:rPr>
        <w:t>Nanomaterials (Basel).</w:t>
      </w:r>
      <w:r w:rsidRPr="004C4F19">
        <w:rPr>
          <w:rFonts w:ascii="Times New Roman" w:eastAsia="Consolas" w:hAnsi="Times New Roman" w:cs="Times New Roman"/>
          <w:color w:val="000000" w:themeColor="text1"/>
          <w:sz w:val="22"/>
          <w:szCs w:val="22"/>
          <w:shd w:val="clear" w:color="auto" w:fill="FFFFFF"/>
        </w:rPr>
        <w:t xml:space="preserve"> 2022 Feb 17;12(4):673. doi: 10.3390/nano12040673. PMID: 35215000; PMCID: PMC8878231.</w:t>
      </w:r>
    </w:p>
    <w:p w:rsidR="004C4F19" w:rsidRPr="004C4F19" w:rsidRDefault="004C4F19" w:rsidP="004C4F19">
      <w:pPr>
        <w:pStyle w:val="ListParagraph"/>
        <w:numPr>
          <w:ilvl w:val="0"/>
          <w:numId w:val="10"/>
        </w:numPr>
        <w:spacing w:line="360" w:lineRule="auto"/>
        <w:jc w:val="both"/>
        <w:rPr>
          <w:rFonts w:ascii="Times New Roman" w:eastAsia="Consolas" w:hAnsi="Times New Roman" w:cs="Times New Roman"/>
          <w:color w:val="000000" w:themeColor="text1"/>
          <w:sz w:val="22"/>
          <w:szCs w:val="22"/>
          <w:shd w:val="clear" w:color="auto" w:fill="FFFFFF"/>
        </w:rPr>
      </w:pPr>
      <w:r w:rsidRPr="004C4F19">
        <w:rPr>
          <w:rFonts w:ascii="Times New Roman" w:eastAsia="Helvetica" w:hAnsi="Times New Roman" w:cs="Times New Roman"/>
          <w:color w:val="000000" w:themeColor="text1"/>
          <w:sz w:val="22"/>
          <w:szCs w:val="22"/>
          <w:shd w:val="clear" w:color="auto" w:fill="FFFFFF"/>
        </w:rPr>
        <w:t>Edo, G.I., Mafe, A.N., Ali, A.B.M. </w:t>
      </w:r>
      <w:r w:rsidRPr="004C4F19">
        <w:rPr>
          <w:rFonts w:ascii="Times New Roman" w:eastAsia="Helvetica" w:hAnsi="Times New Roman" w:cs="Times New Roman"/>
          <w:i/>
          <w:iCs/>
          <w:color w:val="000000" w:themeColor="text1"/>
          <w:sz w:val="22"/>
          <w:szCs w:val="22"/>
          <w:shd w:val="clear" w:color="auto" w:fill="FFFFFF"/>
        </w:rPr>
        <w:t>et al.</w:t>
      </w:r>
      <w:r w:rsidRPr="004C4F19">
        <w:rPr>
          <w:rFonts w:ascii="Times New Roman" w:eastAsia="Helvetica" w:hAnsi="Times New Roman" w:cs="Times New Roman"/>
          <w:color w:val="000000" w:themeColor="text1"/>
          <w:sz w:val="22"/>
          <w:szCs w:val="22"/>
          <w:shd w:val="clear" w:color="auto" w:fill="FFFFFF"/>
        </w:rPr>
        <w:t> Green Biosynthesis of Nanoparticles Using Plant Extracts: Mechanisms, Advances, Challenges, and Applications. </w:t>
      </w:r>
      <w:r w:rsidRPr="004C4F19">
        <w:rPr>
          <w:rFonts w:ascii="Times New Roman" w:eastAsia="Helvetica" w:hAnsi="Times New Roman" w:cs="Times New Roman"/>
          <w:i/>
          <w:iCs/>
          <w:color w:val="000000" w:themeColor="text1"/>
          <w:sz w:val="22"/>
          <w:szCs w:val="22"/>
          <w:shd w:val="clear" w:color="auto" w:fill="FFFFFF"/>
        </w:rPr>
        <w:t>BioNanoSci.</w:t>
      </w:r>
      <w:r w:rsidRPr="004C4F19">
        <w:rPr>
          <w:rFonts w:ascii="Times New Roman" w:eastAsia="Helvetica" w:hAnsi="Times New Roman" w:cs="Times New Roman"/>
          <w:color w:val="000000" w:themeColor="text1"/>
          <w:sz w:val="22"/>
          <w:szCs w:val="22"/>
          <w:shd w:val="clear" w:color="auto" w:fill="FFFFFF"/>
        </w:rPr>
        <w:t> </w:t>
      </w:r>
      <w:r w:rsidRPr="004C4F19">
        <w:rPr>
          <w:rFonts w:ascii="Times New Roman" w:eastAsia="Helvetica" w:hAnsi="Times New Roman" w:cs="Times New Roman"/>
          <w:b/>
          <w:bCs/>
          <w:color w:val="000000" w:themeColor="text1"/>
          <w:sz w:val="22"/>
          <w:szCs w:val="22"/>
          <w:shd w:val="clear" w:color="auto" w:fill="FFFFFF"/>
        </w:rPr>
        <w:t>15</w:t>
      </w:r>
      <w:r w:rsidRPr="004C4F19">
        <w:rPr>
          <w:rFonts w:ascii="Times New Roman" w:eastAsia="Helvetica" w:hAnsi="Times New Roman" w:cs="Times New Roman"/>
          <w:color w:val="000000" w:themeColor="text1"/>
          <w:sz w:val="22"/>
          <w:szCs w:val="22"/>
          <w:shd w:val="clear" w:color="auto" w:fill="FFFFFF"/>
        </w:rPr>
        <w:t>, 267 (2025). https://doi.org/10.1007/s12668-025-01883-w</w:t>
      </w:r>
    </w:p>
    <w:p w:rsidR="004C4F19" w:rsidRPr="004C4F19" w:rsidRDefault="004C4F19" w:rsidP="004C4F19">
      <w:pPr>
        <w:pStyle w:val="ListParagraph"/>
        <w:numPr>
          <w:ilvl w:val="0"/>
          <w:numId w:val="10"/>
        </w:numPr>
        <w:spacing w:line="360" w:lineRule="auto"/>
        <w:jc w:val="both"/>
        <w:rPr>
          <w:rFonts w:ascii="Times New Roman" w:eastAsia="sans-serif" w:hAnsi="Times New Roman" w:cs="Times New Roman"/>
          <w:color w:val="000000" w:themeColor="text1"/>
          <w:sz w:val="22"/>
          <w:szCs w:val="22"/>
          <w:shd w:val="clear" w:color="auto" w:fill="FFFFFF"/>
        </w:rPr>
      </w:pPr>
      <w:r w:rsidRPr="004C4F19">
        <w:rPr>
          <w:rFonts w:ascii="Times New Roman" w:eastAsia="sans-serif" w:hAnsi="Times New Roman" w:cs="Times New Roman"/>
          <w:color w:val="000000" w:themeColor="text1"/>
          <w:sz w:val="22"/>
          <w:szCs w:val="22"/>
          <w:shd w:val="clear" w:color="auto" w:fill="FFFFFF"/>
        </w:rPr>
        <w:t>Xianfeng Liu, Shuhui Han, David Makowski, Xiaohong Wang, Zheng Fu, Philippe Ciais, Response of rice quality to climate warming: a meta-analysis, Field Crops Research, 10.1016/j.fcr.2025.109995, </w:t>
      </w:r>
      <w:r w:rsidRPr="004C4F19">
        <w:rPr>
          <w:rFonts w:ascii="Times New Roman" w:eastAsia="sans-serif" w:hAnsi="Times New Roman" w:cs="Times New Roman"/>
          <w:bCs/>
          <w:color w:val="000000" w:themeColor="text1"/>
          <w:sz w:val="22"/>
          <w:szCs w:val="22"/>
          <w:shd w:val="clear" w:color="auto" w:fill="FFFFFF"/>
        </w:rPr>
        <w:t>331</w:t>
      </w:r>
      <w:r w:rsidRPr="004C4F19">
        <w:rPr>
          <w:rFonts w:ascii="Times New Roman" w:eastAsia="sans-serif" w:hAnsi="Times New Roman" w:cs="Times New Roman"/>
          <w:color w:val="000000" w:themeColor="text1"/>
          <w:sz w:val="22"/>
          <w:szCs w:val="22"/>
          <w:shd w:val="clear" w:color="auto" w:fill="FFFFFF"/>
        </w:rPr>
        <w:t>, (109995), (2025).</w:t>
      </w:r>
    </w:p>
    <w:p w:rsidR="004C4F19" w:rsidRPr="004C4F19" w:rsidRDefault="002E181D" w:rsidP="004C4F19">
      <w:pPr>
        <w:pStyle w:val="ListParagraph"/>
        <w:numPr>
          <w:ilvl w:val="0"/>
          <w:numId w:val="10"/>
        </w:numPr>
        <w:spacing w:line="360" w:lineRule="auto"/>
        <w:jc w:val="both"/>
        <w:rPr>
          <w:rFonts w:ascii="Times New Roman" w:eastAsia="sans-serif" w:hAnsi="Times New Roman" w:cs="Times New Roman"/>
          <w:bCs/>
          <w:color w:val="000000" w:themeColor="text1"/>
          <w:sz w:val="22"/>
          <w:szCs w:val="22"/>
        </w:rPr>
      </w:pPr>
      <w:hyperlink r:id="rId39" w:history="1">
        <w:r w:rsidR="004C4F19" w:rsidRPr="004C4F19">
          <w:rPr>
            <w:rStyle w:val="Hyperlink"/>
            <w:rFonts w:ascii="Times New Roman" w:eastAsia="sans-serif" w:hAnsi="Times New Roman" w:cs="Times New Roman"/>
            <w:color w:val="000000" w:themeColor="text1"/>
            <w:sz w:val="22"/>
            <w:szCs w:val="22"/>
            <w:u w:val="none"/>
            <w:shd w:val="clear" w:color="auto" w:fill="FFFFFF"/>
          </w:rPr>
          <w:t>Peng Chen</w:t>
        </w:r>
      </w:hyperlink>
      <w:r w:rsidR="004C4F19" w:rsidRPr="004C4F19">
        <w:rPr>
          <w:rFonts w:ascii="Times New Roman" w:eastAsia="sans-serif" w:hAnsi="Times New Roman" w:cs="Times New Roman"/>
          <w:color w:val="000000" w:themeColor="text1"/>
          <w:sz w:val="22"/>
          <w:szCs w:val="22"/>
          <w:shd w:val="clear" w:color="auto" w:fill="FFFFFF"/>
          <w:lang w:eastAsia="zh-CN"/>
        </w:rPr>
        <w:t>, </w:t>
      </w:r>
      <w:hyperlink r:id="rId40" w:history="1">
        <w:r w:rsidR="004C4F19" w:rsidRPr="004C4F19">
          <w:rPr>
            <w:rStyle w:val="Hyperlink"/>
            <w:rFonts w:ascii="Times New Roman" w:eastAsia="sans-serif" w:hAnsi="Times New Roman" w:cs="Times New Roman"/>
            <w:color w:val="000000" w:themeColor="text1"/>
            <w:sz w:val="22"/>
            <w:szCs w:val="22"/>
            <w:u w:val="none"/>
            <w:shd w:val="clear" w:color="auto" w:fill="FFFFFF"/>
          </w:rPr>
          <w:t>Ziyan Song</w:t>
        </w:r>
      </w:hyperlink>
      <w:r w:rsidR="004C4F19" w:rsidRPr="004C4F19">
        <w:rPr>
          <w:rFonts w:ascii="Times New Roman" w:eastAsia="sans-serif" w:hAnsi="Times New Roman" w:cs="Times New Roman"/>
          <w:color w:val="000000" w:themeColor="text1"/>
          <w:sz w:val="22"/>
          <w:szCs w:val="22"/>
          <w:shd w:val="clear" w:color="auto" w:fill="FFFFFF"/>
          <w:lang w:eastAsia="zh-CN"/>
        </w:rPr>
        <w:t>, </w:t>
      </w:r>
      <w:hyperlink r:id="rId41" w:history="1">
        <w:r w:rsidR="004C4F19" w:rsidRPr="004C4F19">
          <w:rPr>
            <w:rStyle w:val="Hyperlink"/>
            <w:rFonts w:ascii="Times New Roman" w:eastAsia="sans-serif" w:hAnsi="Times New Roman" w:cs="Times New Roman"/>
            <w:color w:val="000000" w:themeColor="text1"/>
            <w:sz w:val="22"/>
            <w:szCs w:val="22"/>
            <w:u w:val="none"/>
            <w:shd w:val="clear" w:color="auto" w:fill="FFFFFF"/>
          </w:rPr>
          <w:t>Xuxia Yao</w:t>
        </w:r>
      </w:hyperlink>
      <w:r w:rsidR="004C4F19" w:rsidRPr="004C4F19">
        <w:rPr>
          <w:rFonts w:ascii="Times New Roman" w:eastAsia="sans-serif" w:hAnsi="Times New Roman" w:cs="Times New Roman"/>
          <w:color w:val="000000" w:themeColor="text1"/>
          <w:sz w:val="22"/>
          <w:szCs w:val="22"/>
          <w:shd w:val="clear" w:color="auto" w:fill="FFFFFF"/>
          <w:lang w:eastAsia="zh-CN"/>
        </w:rPr>
        <w:t>, </w:t>
      </w:r>
      <w:hyperlink r:id="rId42" w:history="1">
        <w:r w:rsidR="004C4F19" w:rsidRPr="004C4F19">
          <w:rPr>
            <w:rStyle w:val="Hyperlink"/>
            <w:rFonts w:ascii="Times New Roman" w:eastAsia="sans-serif" w:hAnsi="Times New Roman" w:cs="Times New Roman"/>
            <w:color w:val="000000" w:themeColor="text1"/>
            <w:sz w:val="22"/>
            <w:szCs w:val="22"/>
            <w:u w:val="none"/>
            <w:shd w:val="clear" w:color="auto" w:fill="FFFFFF"/>
          </w:rPr>
          <w:t>Weibin Wang</w:t>
        </w:r>
      </w:hyperlink>
      <w:r w:rsidR="004C4F19" w:rsidRPr="004C4F19">
        <w:rPr>
          <w:rFonts w:ascii="Times New Roman" w:eastAsia="sans-serif" w:hAnsi="Times New Roman" w:cs="Times New Roman"/>
          <w:color w:val="000000" w:themeColor="text1"/>
          <w:sz w:val="22"/>
          <w:szCs w:val="22"/>
          <w:shd w:val="clear" w:color="auto" w:fill="FFFFFF"/>
          <w:lang w:eastAsia="zh-CN"/>
        </w:rPr>
        <w:t>, </w:t>
      </w:r>
      <w:hyperlink r:id="rId43" w:history="1">
        <w:r w:rsidR="004C4F19" w:rsidRPr="004C4F19">
          <w:rPr>
            <w:rStyle w:val="Hyperlink"/>
            <w:rFonts w:ascii="Times New Roman" w:eastAsia="sans-serif" w:hAnsi="Times New Roman" w:cs="Times New Roman"/>
            <w:color w:val="000000" w:themeColor="text1"/>
            <w:sz w:val="22"/>
            <w:szCs w:val="22"/>
            <w:u w:val="none"/>
            <w:shd w:val="clear" w:color="auto" w:fill="FFFFFF"/>
          </w:rPr>
          <w:t>Lisong Teng</w:t>
        </w:r>
      </w:hyperlink>
      <w:r w:rsidR="004C4F19" w:rsidRPr="004C4F19">
        <w:rPr>
          <w:rFonts w:ascii="Times New Roman" w:eastAsia="sans-serif" w:hAnsi="Times New Roman" w:cs="Times New Roman"/>
          <w:color w:val="000000" w:themeColor="text1"/>
          <w:sz w:val="22"/>
          <w:szCs w:val="22"/>
          <w:shd w:val="clear" w:color="auto" w:fill="FFFFFF"/>
          <w:lang w:eastAsia="zh-CN"/>
        </w:rPr>
        <w:t>, </w:t>
      </w:r>
      <w:hyperlink r:id="rId44" w:history="1">
        <w:r w:rsidR="004C4F19" w:rsidRPr="004C4F19">
          <w:rPr>
            <w:rStyle w:val="Hyperlink"/>
            <w:rFonts w:ascii="Times New Roman" w:eastAsia="sans-serif" w:hAnsi="Times New Roman" w:cs="Times New Roman"/>
            <w:color w:val="000000" w:themeColor="text1"/>
            <w:sz w:val="22"/>
            <w:szCs w:val="22"/>
            <w:u w:val="none"/>
            <w:shd w:val="clear" w:color="auto" w:fill="FFFFFF"/>
          </w:rPr>
          <w:t>Krzysztof Matyjaszewski</w:t>
        </w:r>
      </w:hyperlink>
      <w:r w:rsidR="004C4F19" w:rsidRPr="004C4F19">
        <w:rPr>
          <w:rFonts w:ascii="Times New Roman" w:eastAsia="sans-serif" w:hAnsi="Times New Roman" w:cs="Times New Roman"/>
          <w:color w:val="000000" w:themeColor="text1"/>
          <w:sz w:val="22"/>
          <w:szCs w:val="22"/>
          <w:shd w:val="clear" w:color="auto" w:fill="FFFFFF"/>
          <w:lang w:eastAsia="zh-CN"/>
        </w:rPr>
        <w:t>, </w:t>
      </w:r>
      <w:hyperlink r:id="rId45" w:history="1">
        <w:r w:rsidR="004C4F19" w:rsidRPr="004C4F19">
          <w:rPr>
            <w:rStyle w:val="Hyperlink"/>
            <w:rFonts w:ascii="Times New Roman" w:eastAsia="sans-serif" w:hAnsi="Times New Roman" w:cs="Times New Roman"/>
            <w:color w:val="000000" w:themeColor="text1"/>
            <w:sz w:val="22"/>
            <w:szCs w:val="22"/>
            <w:u w:val="none"/>
            <w:shd w:val="clear" w:color="auto" w:fill="FFFFFF"/>
          </w:rPr>
          <w:t>Weipu Zhu</w:t>
        </w:r>
      </w:hyperlink>
      <w:r w:rsidR="004C4F19" w:rsidRPr="004C4F19">
        <w:rPr>
          <w:rFonts w:ascii="Times New Roman" w:eastAsia="sans-serif" w:hAnsi="Times New Roman" w:cs="Times New Roman"/>
          <w:color w:val="000000" w:themeColor="text1"/>
          <w:sz w:val="22"/>
          <w:szCs w:val="22"/>
          <w:shd w:val="clear" w:color="auto" w:fill="FFFFFF"/>
          <w:lang w:eastAsia="zh-CN"/>
        </w:rPr>
        <w:t>(2024).</w:t>
      </w:r>
      <w:r w:rsidR="004C4F19" w:rsidRPr="004C4F19">
        <w:rPr>
          <w:rFonts w:ascii="Times New Roman" w:eastAsia="sans-serif" w:hAnsi="Times New Roman" w:cs="Times New Roman"/>
          <w:bCs/>
          <w:color w:val="000000" w:themeColor="text1"/>
          <w:sz w:val="22"/>
          <w:szCs w:val="22"/>
          <w:shd w:val="clear" w:color="auto" w:fill="FFFFFF"/>
        </w:rPr>
        <w:t>Copper Nanodrugs by Atom Transfer Radical Polymerization,</w:t>
      </w:r>
      <w:hyperlink r:id="rId46" w:tooltip="Angewandte Chemie International Edition homepage" w:history="1">
        <w:r w:rsidR="004C4F19" w:rsidRPr="004C4F19">
          <w:rPr>
            <w:rStyle w:val="Hyperlink"/>
            <w:rFonts w:ascii="Times New Roman" w:eastAsia="sans-serif" w:hAnsi="Times New Roman" w:cs="Times New Roman"/>
            <w:bCs/>
            <w:color w:val="000000" w:themeColor="text1"/>
            <w:sz w:val="22"/>
            <w:szCs w:val="22"/>
            <w:u w:val="none"/>
            <w:shd w:val="clear" w:color="auto" w:fill="FFFFFF"/>
          </w:rPr>
          <w:t>Angewandte Chemie International Edition</w:t>
        </w:r>
      </w:hyperlink>
    </w:p>
    <w:p w:rsidR="004C4F19" w:rsidRPr="004C4F19" w:rsidRDefault="002E181D" w:rsidP="004C4F19">
      <w:pPr>
        <w:pStyle w:val="ListParagraph"/>
        <w:numPr>
          <w:ilvl w:val="0"/>
          <w:numId w:val="10"/>
        </w:numPr>
        <w:spacing w:line="360" w:lineRule="auto"/>
        <w:jc w:val="both"/>
        <w:rPr>
          <w:rFonts w:ascii="Times New Roman" w:eastAsia="sans-serif" w:hAnsi="Times New Roman" w:cs="Times New Roman"/>
          <w:color w:val="000000" w:themeColor="text1"/>
          <w:sz w:val="22"/>
          <w:szCs w:val="22"/>
        </w:rPr>
      </w:pPr>
      <w:hyperlink r:id="rId47" w:history="1">
        <w:r w:rsidR="004C4F19" w:rsidRPr="004C4F19">
          <w:rPr>
            <w:rStyle w:val="Hyperlink"/>
            <w:rFonts w:ascii="Times New Roman" w:eastAsia="sans-serif" w:hAnsi="Times New Roman" w:cs="Times New Roman"/>
            <w:bCs/>
            <w:color w:val="000000" w:themeColor="text1"/>
            <w:sz w:val="22"/>
            <w:szCs w:val="22"/>
            <w:u w:val="none"/>
            <w:shd w:val="clear" w:color="auto" w:fill="FFFFFF"/>
          </w:rPr>
          <w:t>Volume 63, Issue 20</w:t>
        </w:r>
      </w:hyperlink>
      <w:r w:rsidR="004C4F19" w:rsidRPr="004C4F19">
        <w:rPr>
          <w:rFonts w:ascii="Times New Roman" w:eastAsia="sans-serif" w:hAnsi="Times New Roman" w:cs="Times New Roman"/>
          <w:color w:val="000000" w:themeColor="text1"/>
          <w:sz w:val="22"/>
          <w:szCs w:val="22"/>
          <w:shd w:val="clear" w:color="auto" w:fill="FFFFFF"/>
        </w:rPr>
        <w:t> e202402747.</w:t>
      </w:r>
      <w:hyperlink r:id="rId48" w:history="1">
        <w:r w:rsidR="004C4F19" w:rsidRPr="004C4F19">
          <w:rPr>
            <w:rStyle w:val="Hyperlink"/>
            <w:rFonts w:ascii="Times New Roman" w:eastAsia="sans-serif" w:hAnsi="Times New Roman" w:cs="Times New Roman"/>
            <w:bCs/>
            <w:color w:val="000000" w:themeColor="text1"/>
            <w:sz w:val="22"/>
            <w:szCs w:val="22"/>
            <w:u w:val="none"/>
            <w:shd w:val="clear" w:color="auto" w:fill="FFFFFF"/>
          </w:rPr>
          <w:t>https://doi.org/10.1002/anie.202402747</w:t>
        </w:r>
      </w:hyperlink>
    </w:p>
    <w:p w:rsidR="004C4F19" w:rsidRPr="004C4F19" w:rsidRDefault="004C4F19" w:rsidP="004C4F19">
      <w:pPr>
        <w:pStyle w:val="ListParagraph"/>
        <w:numPr>
          <w:ilvl w:val="0"/>
          <w:numId w:val="10"/>
        </w:numPr>
        <w:spacing w:line="360" w:lineRule="auto"/>
        <w:jc w:val="both"/>
        <w:rPr>
          <w:rFonts w:ascii="Times New Roman" w:eastAsia="sans-serif" w:hAnsi="Times New Roman" w:cs="Times New Roman"/>
          <w:color w:val="000000" w:themeColor="text1"/>
          <w:sz w:val="22"/>
          <w:szCs w:val="22"/>
          <w:shd w:val="clear" w:color="auto" w:fill="FFFFFF"/>
        </w:rPr>
      </w:pPr>
      <w:r w:rsidRPr="004C4F19">
        <w:rPr>
          <w:rFonts w:ascii="Times New Roman" w:eastAsia="sans-serif" w:hAnsi="Times New Roman" w:cs="Times New Roman"/>
          <w:color w:val="000000" w:themeColor="text1"/>
          <w:sz w:val="22"/>
          <w:szCs w:val="22"/>
          <w:shd w:val="clear" w:color="auto" w:fill="EAEAEA"/>
        </w:rPr>
        <w:t>Gonfa, T., Teketle, S., &amp; Kiros, T. (2020). Effect of extraction solvent on qualitative and quantitative analysis of major phyto-constituents and </w:t>
      </w:r>
      <w:r w:rsidRPr="004C4F19">
        <w:rPr>
          <w:rFonts w:ascii="Times New Roman" w:eastAsia="sans-serif" w:hAnsi="Times New Roman" w:cs="Times New Roman"/>
          <w:i/>
          <w:iCs/>
          <w:color w:val="000000" w:themeColor="text1"/>
          <w:sz w:val="22"/>
          <w:szCs w:val="22"/>
          <w:shd w:val="clear" w:color="auto" w:fill="EAEAEA"/>
        </w:rPr>
        <w:t>in-vitro</w:t>
      </w:r>
      <w:r w:rsidRPr="004C4F19">
        <w:rPr>
          <w:rFonts w:ascii="Times New Roman" w:eastAsia="sans-serif" w:hAnsi="Times New Roman" w:cs="Times New Roman"/>
          <w:color w:val="000000" w:themeColor="text1"/>
          <w:sz w:val="22"/>
          <w:szCs w:val="22"/>
          <w:shd w:val="clear" w:color="auto" w:fill="EAEAEA"/>
        </w:rPr>
        <w:t> antioxidant activity evaluation of </w:t>
      </w:r>
      <w:r w:rsidRPr="004C4F19">
        <w:rPr>
          <w:rFonts w:ascii="Times New Roman" w:eastAsia="sans-serif" w:hAnsi="Times New Roman" w:cs="Times New Roman"/>
          <w:i/>
          <w:iCs/>
          <w:color w:val="000000" w:themeColor="text1"/>
          <w:sz w:val="22"/>
          <w:szCs w:val="22"/>
          <w:shd w:val="clear" w:color="auto" w:fill="EAEAEA"/>
        </w:rPr>
        <w:t>Cadaba rotundifolia</w:t>
      </w:r>
      <w:r w:rsidRPr="004C4F19">
        <w:rPr>
          <w:rFonts w:ascii="Times New Roman" w:eastAsia="sans-serif" w:hAnsi="Times New Roman" w:cs="Times New Roman"/>
          <w:color w:val="000000" w:themeColor="text1"/>
          <w:sz w:val="22"/>
          <w:szCs w:val="22"/>
          <w:shd w:val="clear" w:color="auto" w:fill="EAEAEA"/>
        </w:rPr>
        <w:t> Forssk leaf extracts. </w:t>
      </w:r>
      <w:r w:rsidRPr="004C4F19">
        <w:rPr>
          <w:rFonts w:ascii="Times New Roman" w:eastAsia="sans-serif" w:hAnsi="Times New Roman" w:cs="Times New Roman"/>
          <w:i/>
          <w:iCs/>
          <w:color w:val="000000" w:themeColor="text1"/>
          <w:sz w:val="22"/>
          <w:szCs w:val="22"/>
          <w:shd w:val="clear" w:color="auto" w:fill="EAEAEA"/>
        </w:rPr>
        <w:t>Cogent Food &amp; Agriculture</w:t>
      </w:r>
      <w:r w:rsidRPr="004C4F19">
        <w:rPr>
          <w:rFonts w:ascii="Times New Roman" w:eastAsia="sans-serif" w:hAnsi="Times New Roman" w:cs="Times New Roman"/>
          <w:color w:val="000000" w:themeColor="text1"/>
          <w:sz w:val="22"/>
          <w:szCs w:val="22"/>
          <w:shd w:val="clear" w:color="auto" w:fill="EAEAEA"/>
        </w:rPr>
        <w:t>, </w:t>
      </w:r>
      <w:r w:rsidRPr="004C4F19">
        <w:rPr>
          <w:rFonts w:ascii="Times New Roman" w:eastAsia="sans-serif" w:hAnsi="Times New Roman" w:cs="Times New Roman"/>
          <w:i/>
          <w:iCs/>
          <w:color w:val="000000" w:themeColor="text1"/>
          <w:sz w:val="22"/>
          <w:szCs w:val="22"/>
          <w:shd w:val="clear" w:color="auto" w:fill="EAEAEA"/>
        </w:rPr>
        <w:t>6</w:t>
      </w:r>
      <w:r w:rsidRPr="004C4F19">
        <w:rPr>
          <w:rFonts w:ascii="Times New Roman" w:eastAsia="sans-serif" w:hAnsi="Times New Roman" w:cs="Times New Roman"/>
          <w:color w:val="000000" w:themeColor="text1"/>
          <w:sz w:val="22"/>
          <w:szCs w:val="22"/>
          <w:shd w:val="clear" w:color="auto" w:fill="EAEAEA"/>
        </w:rPr>
        <w:t>(1). https://doi.org/10.1080/23311932.2020.1853867</w:t>
      </w: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hAnsi="Times New Roman" w:cs="Times New Roman"/>
          <w:sz w:val="22"/>
          <w:szCs w:val="22"/>
        </w:rPr>
        <w:t>Sameh Samir Ali, Esraa A. Abdelkarim, Tamer Elsamahy, Rania Al-Tohamy, Fanghua Li, Michael Kornaros, Antonio Zuorro, Daochen Zhu, Jianzhong Sun,Bioplastic production in terms of life cycle assessment: A state-of-the-art review,Environmental Science and Ecotechnology,Volume 15,2023,100254,ISSN 2666-4984,https://doi.org/10.1016/j.ese.2023.100254</w:t>
      </w:r>
    </w:p>
    <w:p w:rsidR="004C4F19" w:rsidRPr="004C4F19" w:rsidRDefault="004C4F19" w:rsidP="004C4F19">
      <w:pPr>
        <w:pStyle w:val="ListParagraph"/>
        <w:numPr>
          <w:ilvl w:val="0"/>
          <w:numId w:val="10"/>
        </w:numPr>
        <w:spacing w:line="360" w:lineRule="auto"/>
        <w:jc w:val="both"/>
        <w:rPr>
          <w:rFonts w:ascii="Times New Roman" w:hAnsi="Times New Roman" w:cs="Times New Roman"/>
          <w:color w:val="333333"/>
          <w:sz w:val="22"/>
          <w:szCs w:val="22"/>
          <w:shd w:val="clear" w:color="auto" w:fill="FFFFFF"/>
        </w:rPr>
      </w:pPr>
      <w:r w:rsidRPr="004C4F19">
        <w:rPr>
          <w:rFonts w:ascii="Times New Roman" w:hAnsi="Times New Roman" w:cs="Times New Roman"/>
          <w:color w:val="222222"/>
          <w:sz w:val="22"/>
          <w:szCs w:val="22"/>
          <w:shd w:val="clear" w:color="auto" w:fill="FFFFFF"/>
        </w:rPr>
        <w:t>Khasawneh, O.F.S., Palaniandy, P., Kamaruddin, M.A., Aziz, H.A., Hung, YT. (2022). Landfill Leachate Collection and Characterization. In: Wang, L.K., Wang, MH.S., Hung, YT. (eds) Solid Waste Engineering and Management. Handbook of Environmental Engineering, vol 24. Springer, Cham. https://doi.org/10.1007/978-3-030-89336-1_9</w:t>
      </w:r>
    </w:p>
    <w:p w:rsidR="004C4F19" w:rsidRPr="004C4F19" w:rsidRDefault="004C4F19" w:rsidP="004C4F19">
      <w:pPr>
        <w:pStyle w:val="ListParagraph"/>
        <w:numPr>
          <w:ilvl w:val="0"/>
          <w:numId w:val="10"/>
        </w:numPr>
        <w:spacing w:line="360" w:lineRule="auto"/>
        <w:jc w:val="both"/>
        <w:rPr>
          <w:rFonts w:ascii="Times New Roman" w:eastAsia="Helvetica" w:hAnsi="Times New Roman" w:cs="Times New Roman"/>
          <w:color w:val="222222"/>
          <w:sz w:val="22"/>
          <w:szCs w:val="22"/>
          <w:shd w:val="clear" w:color="auto" w:fill="FFFFFF"/>
        </w:rPr>
      </w:pPr>
      <w:r w:rsidRPr="004C4F19">
        <w:rPr>
          <w:rFonts w:ascii="Times New Roman" w:hAnsi="Times New Roman" w:cs="Times New Roman"/>
          <w:color w:val="333333"/>
          <w:sz w:val="22"/>
          <w:szCs w:val="22"/>
          <w:shd w:val="clear" w:color="auto" w:fill="FFFFFF"/>
        </w:rPr>
        <w:t>McPeake, J., Henderson, P., MacTavish, P. </w:t>
      </w:r>
      <w:r w:rsidRPr="004C4F19">
        <w:rPr>
          <w:rFonts w:ascii="Times New Roman" w:hAnsi="Times New Roman" w:cs="Times New Roman"/>
          <w:i/>
          <w:iCs/>
          <w:color w:val="333333"/>
          <w:sz w:val="22"/>
          <w:szCs w:val="22"/>
          <w:shd w:val="clear" w:color="auto" w:fill="FFFFFF"/>
        </w:rPr>
        <w:t>et al.</w:t>
      </w:r>
      <w:r w:rsidRPr="004C4F19">
        <w:rPr>
          <w:rFonts w:ascii="Times New Roman" w:hAnsi="Times New Roman" w:cs="Times New Roman"/>
          <w:color w:val="333333"/>
          <w:sz w:val="22"/>
          <w:szCs w:val="22"/>
          <w:shd w:val="clear" w:color="auto" w:fill="FFFFFF"/>
        </w:rPr>
        <w:t> A multicentre evaluation exploring the impact of an integrated health and social care intervention for the caregivers of ICU survivors. </w:t>
      </w:r>
      <w:r w:rsidRPr="004C4F19">
        <w:rPr>
          <w:rFonts w:ascii="Times New Roman" w:hAnsi="Times New Roman" w:cs="Times New Roman"/>
          <w:i/>
          <w:iCs/>
          <w:color w:val="333333"/>
          <w:sz w:val="22"/>
          <w:szCs w:val="22"/>
          <w:shd w:val="clear" w:color="auto" w:fill="FFFFFF"/>
        </w:rPr>
        <w:t>Crit Care</w:t>
      </w:r>
      <w:r w:rsidRPr="004C4F19">
        <w:rPr>
          <w:rFonts w:ascii="Times New Roman" w:hAnsi="Times New Roman" w:cs="Times New Roman"/>
          <w:color w:val="333333"/>
          <w:sz w:val="22"/>
          <w:szCs w:val="22"/>
          <w:shd w:val="clear" w:color="auto" w:fill="FFFFFF"/>
        </w:rPr>
        <w:t> </w:t>
      </w:r>
      <w:r w:rsidRPr="004C4F19">
        <w:rPr>
          <w:rFonts w:ascii="Times New Roman" w:hAnsi="Times New Roman" w:cs="Times New Roman"/>
          <w:b/>
          <w:bCs/>
          <w:color w:val="333333"/>
          <w:sz w:val="22"/>
          <w:szCs w:val="22"/>
          <w:shd w:val="clear" w:color="auto" w:fill="FFFFFF"/>
        </w:rPr>
        <w:t>26</w:t>
      </w:r>
      <w:r w:rsidRPr="004C4F19">
        <w:rPr>
          <w:rFonts w:ascii="Times New Roman" w:hAnsi="Times New Roman" w:cs="Times New Roman"/>
          <w:color w:val="333333"/>
          <w:sz w:val="22"/>
          <w:szCs w:val="22"/>
          <w:shd w:val="clear" w:color="auto" w:fill="FFFFFF"/>
        </w:rPr>
        <w:t>, 152 (2022). https://doi.org/10.1186/s13054-022-04014-z</w:t>
      </w:r>
    </w:p>
    <w:p w:rsidR="004C4F19" w:rsidRPr="004C4F19" w:rsidRDefault="004C4F19" w:rsidP="004C4F19">
      <w:pPr>
        <w:pStyle w:val="ListParagraph"/>
        <w:numPr>
          <w:ilvl w:val="0"/>
          <w:numId w:val="10"/>
        </w:numPr>
        <w:spacing w:line="360" w:lineRule="auto"/>
        <w:jc w:val="both"/>
        <w:rPr>
          <w:rStyle w:val="Strong"/>
          <w:rFonts w:ascii="Times New Roman" w:hAnsi="Times New Roman" w:cs="Times New Roman"/>
          <w:sz w:val="22"/>
          <w:szCs w:val="22"/>
        </w:rPr>
      </w:pPr>
      <w:r w:rsidRPr="004C4F19">
        <w:rPr>
          <w:rFonts w:ascii="Times New Roman" w:eastAsia="Helvetica" w:hAnsi="Times New Roman" w:cs="Times New Roman"/>
          <w:color w:val="222222"/>
          <w:sz w:val="22"/>
          <w:szCs w:val="22"/>
          <w:shd w:val="clear" w:color="auto" w:fill="FFFFFF"/>
        </w:rPr>
        <w:t>Plagemann, R., Jonas, L. &amp; Kragl, U. Ceramic honeycomb as support for covalent immobilization of laccase from </w:t>
      </w:r>
      <w:r w:rsidRPr="004C4F19">
        <w:rPr>
          <w:rFonts w:ascii="Times New Roman" w:eastAsia="Helvetica" w:hAnsi="Times New Roman" w:cs="Times New Roman"/>
          <w:i/>
          <w:iCs/>
          <w:color w:val="222222"/>
          <w:sz w:val="22"/>
          <w:szCs w:val="22"/>
          <w:shd w:val="clear" w:color="auto" w:fill="FFFFFF"/>
        </w:rPr>
        <w:t>Trametes versicolor</w:t>
      </w:r>
      <w:r w:rsidRPr="004C4F19">
        <w:rPr>
          <w:rFonts w:ascii="Times New Roman" w:eastAsia="Helvetica" w:hAnsi="Times New Roman" w:cs="Times New Roman"/>
          <w:color w:val="222222"/>
          <w:sz w:val="22"/>
          <w:szCs w:val="22"/>
          <w:shd w:val="clear" w:color="auto" w:fill="FFFFFF"/>
        </w:rPr>
        <w:t> and transformation of nuclear fast red. </w:t>
      </w:r>
      <w:r w:rsidRPr="004C4F19">
        <w:rPr>
          <w:rFonts w:ascii="Times New Roman" w:eastAsia="Helvetica" w:hAnsi="Times New Roman" w:cs="Times New Roman"/>
          <w:i/>
          <w:iCs/>
          <w:color w:val="222222"/>
          <w:sz w:val="22"/>
          <w:szCs w:val="22"/>
          <w:shd w:val="clear" w:color="auto" w:fill="FFFFFF"/>
        </w:rPr>
        <w:t>Appl Microbiol Biotechnol</w:t>
      </w:r>
      <w:r w:rsidRPr="004C4F19">
        <w:rPr>
          <w:rFonts w:ascii="Times New Roman" w:eastAsia="Helvetica" w:hAnsi="Times New Roman" w:cs="Times New Roman"/>
          <w:color w:val="222222"/>
          <w:sz w:val="22"/>
          <w:szCs w:val="22"/>
          <w:shd w:val="clear" w:color="auto" w:fill="FFFFFF"/>
        </w:rPr>
        <w:t> </w:t>
      </w:r>
      <w:r w:rsidRPr="004C4F19">
        <w:rPr>
          <w:rFonts w:ascii="Times New Roman" w:eastAsia="Helvetica" w:hAnsi="Times New Roman" w:cs="Times New Roman"/>
          <w:b/>
          <w:bCs/>
          <w:color w:val="222222"/>
          <w:sz w:val="22"/>
          <w:szCs w:val="22"/>
          <w:shd w:val="clear" w:color="auto" w:fill="FFFFFF"/>
        </w:rPr>
        <w:t>90</w:t>
      </w:r>
      <w:r w:rsidRPr="004C4F19">
        <w:rPr>
          <w:rFonts w:ascii="Times New Roman" w:eastAsia="Helvetica" w:hAnsi="Times New Roman" w:cs="Times New Roman"/>
          <w:color w:val="222222"/>
          <w:sz w:val="22"/>
          <w:szCs w:val="22"/>
          <w:shd w:val="clear" w:color="auto" w:fill="FFFFFF"/>
        </w:rPr>
        <w:t>, 313–320 (2011). https://doi.org/10.1007/s00253-010-3038-9</w:t>
      </w: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eastAsia="Helvetica" w:hAnsi="Times New Roman" w:cs="Times New Roman"/>
          <w:color w:val="222222"/>
          <w:sz w:val="22"/>
          <w:szCs w:val="22"/>
          <w:shd w:val="clear" w:color="auto" w:fill="FFFFFF"/>
        </w:rPr>
        <w:lastRenderedPageBreak/>
        <w:t>Wang, X., Teo, S.H., Shamsuddin, M.R. </w:t>
      </w:r>
      <w:r w:rsidRPr="004C4F19">
        <w:rPr>
          <w:rFonts w:ascii="Times New Roman" w:eastAsia="Helvetica" w:hAnsi="Times New Roman" w:cs="Times New Roman"/>
          <w:i/>
          <w:iCs/>
          <w:color w:val="222222"/>
          <w:sz w:val="22"/>
          <w:szCs w:val="22"/>
          <w:shd w:val="clear" w:color="auto" w:fill="FFFFFF"/>
        </w:rPr>
        <w:t>et al.</w:t>
      </w:r>
      <w:r w:rsidRPr="004C4F19">
        <w:rPr>
          <w:rFonts w:ascii="Times New Roman" w:eastAsia="Helvetica" w:hAnsi="Times New Roman" w:cs="Times New Roman"/>
          <w:color w:val="222222"/>
          <w:sz w:val="22"/>
          <w:szCs w:val="22"/>
          <w:shd w:val="clear" w:color="auto" w:fill="FFFFFF"/>
        </w:rPr>
        <w:t> Photocatalytic Degradation of Organic Pollutants and Microplastics Using Ag/TiO2: Recent Advances in Mechanism, Synthesis and Properties. </w:t>
      </w:r>
      <w:r w:rsidRPr="004C4F19">
        <w:rPr>
          <w:rFonts w:ascii="Times New Roman" w:eastAsia="Helvetica" w:hAnsi="Times New Roman" w:cs="Times New Roman"/>
          <w:i/>
          <w:iCs/>
          <w:color w:val="222222"/>
          <w:sz w:val="22"/>
          <w:szCs w:val="22"/>
          <w:shd w:val="clear" w:color="auto" w:fill="FFFFFF"/>
        </w:rPr>
        <w:t>Water Air Soil Pollut</w:t>
      </w:r>
      <w:r w:rsidRPr="004C4F19">
        <w:rPr>
          <w:rFonts w:ascii="Times New Roman" w:eastAsia="Helvetica" w:hAnsi="Times New Roman" w:cs="Times New Roman"/>
          <w:color w:val="222222"/>
          <w:sz w:val="22"/>
          <w:szCs w:val="22"/>
          <w:shd w:val="clear" w:color="auto" w:fill="FFFFFF"/>
        </w:rPr>
        <w:t> </w:t>
      </w:r>
      <w:r w:rsidRPr="004C4F19">
        <w:rPr>
          <w:rFonts w:ascii="Times New Roman" w:eastAsia="Helvetica" w:hAnsi="Times New Roman" w:cs="Times New Roman"/>
          <w:b/>
          <w:bCs/>
          <w:color w:val="222222"/>
          <w:sz w:val="22"/>
          <w:szCs w:val="22"/>
          <w:shd w:val="clear" w:color="auto" w:fill="FFFFFF"/>
        </w:rPr>
        <w:t>236</w:t>
      </w:r>
      <w:r w:rsidRPr="004C4F19">
        <w:rPr>
          <w:rFonts w:ascii="Times New Roman" w:eastAsia="Helvetica" w:hAnsi="Times New Roman" w:cs="Times New Roman"/>
          <w:color w:val="222222"/>
          <w:sz w:val="22"/>
          <w:szCs w:val="22"/>
          <w:shd w:val="clear" w:color="auto" w:fill="FFFFFF"/>
        </w:rPr>
        <w:t xml:space="preserve">, 30 (2025). </w:t>
      </w:r>
      <w:hyperlink r:id="rId49" w:history="1">
        <w:r w:rsidRPr="004C4F19">
          <w:rPr>
            <w:rStyle w:val="Hyperlink"/>
            <w:rFonts w:ascii="Times New Roman" w:eastAsia="Helvetica" w:hAnsi="Times New Roman" w:cs="Times New Roman"/>
            <w:sz w:val="22"/>
            <w:szCs w:val="22"/>
            <w:shd w:val="clear" w:color="auto" w:fill="FFFFFF"/>
          </w:rPr>
          <w:t>https://doi.org/10.1007/s11270-024-07669-2</w:t>
        </w:r>
      </w:hyperlink>
    </w:p>
    <w:p w:rsidR="004C4F19" w:rsidRPr="004C4F19" w:rsidRDefault="004C4F19" w:rsidP="004C4F19">
      <w:pPr>
        <w:pStyle w:val="ListParagraph"/>
        <w:numPr>
          <w:ilvl w:val="0"/>
          <w:numId w:val="10"/>
        </w:numPr>
        <w:spacing w:line="360" w:lineRule="auto"/>
        <w:jc w:val="both"/>
        <w:rPr>
          <w:rFonts w:ascii="Times New Roman" w:hAnsi="Times New Roman" w:cs="Times New Roman"/>
          <w:color w:val="000000" w:themeColor="text1"/>
          <w:sz w:val="22"/>
          <w:szCs w:val="22"/>
        </w:rPr>
      </w:pPr>
      <w:r w:rsidRPr="004C4F19">
        <w:rPr>
          <w:rFonts w:ascii="Times New Roman" w:eastAsia="Helvetica" w:hAnsi="Times New Roman" w:cs="Times New Roman"/>
          <w:color w:val="000000" w:themeColor="text1"/>
          <w:sz w:val="22"/>
          <w:szCs w:val="22"/>
          <w:shd w:val="clear" w:color="auto" w:fill="FFFFFF"/>
        </w:rPr>
        <w:t xml:space="preserve">Shalan, A.E., Makhlouf, A.S.H., Lanceros-Méndez, S. (2022). Nanocomposites Materials and Their Applications: Current and Future Trends. In: Shalan, A.E., Hamdy Makhlouf, A.S., Lanceros‐Méndez, S. (eds) Advances in Nanocomposite Materials for Environmental and Energy Harvesting Applications. Engineering Materials. Springer, Cham. </w:t>
      </w:r>
      <w:hyperlink r:id="rId50" w:history="1">
        <w:r w:rsidRPr="004C4F19">
          <w:rPr>
            <w:rStyle w:val="Hyperlink"/>
            <w:rFonts w:ascii="Times New Roman" w:eastAsia="Helvetica" w:hAnsi="Times New Roman" w:cs="Times New Roman"/>
            <w:color w:val="000000" w:themeColor="text1"/>
            <w:sz w:val="22"/>
            <w:szCs w:val="22"/>
            <w:shd w:val="clear" w:color="auto" w:fill="FFFFFF"/>
          </w:rPr>
          <w:t>https://doi.org/10.1007/978-3-030-94319-6_1</w:t>
        </w:r>
      </w:hyperlink>
    </w:p>
    <w:p w:rsidR="004C4F19" w:rsidRPr="004C4F19" w:rsidRDefault="004C4F19" w:rsidP="004C4F19">
      <w:pPr>
        <w:pStyle w:val="ListParagraph"/>
        <w:numPr>
          <w:ilvl w:val="0"/>
          <w:numId w:val="10"/>
        </w:numPr>
        <w:spacing w:line="360" w:lineRule="auto"/>
        <w:jc w:val="both"/>
        <w:rPr>
          <w:rFonts w:ascii="Times New Roman" w:hAnsi="Times New Roman" w:cs="Times New Roman"/>
          <w:color w:val="000000" w:themeColor="text1"/>
          <w:sz w:val="22"/>
          <w:szCs w:val="22"/>
        </w:rPr>
      </w:pPr>
      <w:r w:rsidRPr="004C4F19">
        <w:rPr>
          <w:rFonts w:ascii="Times New Roman" w:hAnsi="Times New Roman" w:cs="Times New Roman"/>
          <w:color w:val="000000" w:themeColor="text1"/>
          <w:sz w:val="22"/>
          <w:szCs w:val="22"/>
        </w:rPr>
        <w:t xml:space="preserve">Dongjie Chen, Yanling Cheng, Nan Zhou, Paul Chen, Yunpu Wang, Kun Li, Shuhao Huo, Pengfei Cheng, Peng Peng, Renchuan Zhang, Lu Wang, Hui Liu, Yuhuan Liu, Roger </w:t>
      </w:r>
      <w:proofErr w:type="gramStart"/>
      <w:r w:rsidRPr="004C4F19">
        <w:rPr>
          <w:rFonts w:ascii="Times New Roman" w:hAnsi="Times New Roman" w:cs="Times New Roman"/>
          <w:color w:val="000000" w:themeColor="text1"/>
          <w:sz w:val="22"/>
          <w:szCs w:val="22"/>
        </w:rPr>
        <w:t>Ruan,Photocatalytic</w:t>
      </w:r>
      <w:proofErr w:type="gramEnd"/>
      <w:r w:rsidRPr="004C4F19">
        <w:rPr>
          <w:rFonts w:ascii="Times New Roman" w:hAnsi="Times New Roman" w:cs="Times New Roman"/>
          <w:color w:val="000000" w:themeColor="text1"/>
          <w:sz w:val="22"/>
          <w:szCs w:val="22"/>
        </w:rPr>
        <w:t xml:space="preserve"> degradation of organic pollutants using TiO2-based photocatalysts: A review, </w:t>
      </w:r>
      <w:r w:rsidRPr="004C4F19">
        <w:rPr>
          <w:rFonts w:ascii="Times New Roman" w:hAnsi="Times New Roman" w:cs="Times New Roman"/>
          <w:i/>
          <w:color w:val="000000" w:themeColor="text1"/>
          <w:sz w:val="22"/>
          <w:szCs w:val="22"/>
        </w:rPr>
        <w:t>Journal of Cleaner Production</w:t>
      </w:r>
      <w:r w:rsidRPr="004C4F19">
        <w:rPr>
          <w:rFonts w:ascii="Times New Roman" w:hAnsi="Times New Roman" w:cs="Times New Roman"/>
          <w:color w:val="000000" w:themeColor="text1"/>
          <w:sz w:val="22"/>
          <w:szCs w:val="22"/>
        </w:rPr>
        <w:t>,Volume 268,2020,121725,ISSN 0959-6526,https://doi.org/10.1016/j.jclepro.2020.121725.</w:t>
      </w:r>
    </w:p>
    <w:p w:rsidR="004C4F19" w:rsidRPr="004C4F19" w:rsidRDefault="004C4F19" w:rsidP="004C4F19">
      <w:pPr>
        <w:pStyle w:val="ListParagraph"/>
        <w:numPr>
          <w:ilvl w:val="0"/>
          <w:numId w:val="10"/>
        </w:numPr>
        <w:spacing w:line="360" w:lineRule="auto"/>
        <w:jc w:val="both"/>
        <w:rPr>
          <w:rStyle w:val="Strong"/>
          <w:rFonts w:ascii="Times New Roman" w:hAnsi="Times New Roman" w:cs="Times New Roman"/>
          <w:b w:val="0"/>
          <w:color w:val="000000" w:themeColor="text1"/>
          <w:sz w:val="22"/>
          <w:szCs w:val="22"/>
        </w:rPr>
      </w:pPr>
      <w:r w:rsidRPr="004C4F19">
        <w:rPr>
          <w:rStyle w:val="Strong"/>
          <w:rFonts w:ascii="Times New Roman" w:hAnsi="Times New Roman" w:cs="Times New Roman"/>
          <w:b w:val="0"/>
          <w:color w:val="000000" w:themeColor="text1"/>
          <w:sz w:val="22"/>
          <w:szCs w:val="22"/>
        </w:rPr>
        <w:t>Pavithra Swaminaathan, A. Saravanan, P.R. Yaashikaa, A.S. Vickram,Recent advances in photocatalytic degradation of persistent organic pollutants: Mechanisms, challenges, and modification strategies,Sustainable Chemistry for the Environment,Volume 8,2024,100171,ISSN 2949-8392,https://doi.org/10.1016/j.scenv.2024.100171.</w:t>
      </w:r>
    </w:p>
    <w:p w:rsidR="004C4F19" w:rsidRPr="004C4F19" w:rsidRDefault="004C4F19" w:rsidP="004C4F19">
      <w:pPr>
        <w:pStyle w:val="ListParagraph"/>
        <w:numPr>
          <w:ilvl w:val="0"/>
          <w:numId w:val="10"/>
        </w:numPr>
        <w:spacing w:line="360" w:lineRule="auto"/>
        <w:jc w:val="both"/>
        <w:rPr>
          <w:rFonts w:ascii="Times New Roman" w:eastAsia="Consolas" w:hAnsi="Times New Roman" w:cs="Times New Roman"/>
          <w:color w:val="000000" w:themeColor="text1"/>
          <w:sz w:val="22"/>
          <w:szCs w:val="22"/>
          <w:shd w:val="clear" w:color="auto" w:fill="FFFFFF"/>
        </w:rPr>
      </w:pPr>
      <w:r w:rsidRPr="004C4F19">
        <w:rPr>
          <w:rFonts w:ascii="Times New Roman" w:eastAsia="Consolas" w:hAnsi="Times New Roman" w:cs="Times New Roman"/>
          <w:color w:val="000000" w:themeColor="text1"/>
          <w:sz w:val="22"/>
          <w:szCs w:val="22"/>
          <w:shd w:val="clear" w:color="auto" w:fill="FFFFFF"/>
        </w:rPr>
        <w:t>Yao M, Liang C, Yao S, Liu Y, Zhao H, Qin C. Kinetics and Thermodynamics of Hemicellulose Adsorption onto Nanofibril Cellulose Surfaces by QCM-D. ACS Omega. 2021 Nov 4;6(45):30618-30626. doi: 10.1021/acsomega.1c04391. PMID: 34805690; PMCID: PMC8600616.</w:t>
      </w:r>
    </w:p>
    <w:p w:rsidR="004C4F19" w:rsidRPr="004C4F19" w:rsidRDefault="004C4F19" w:rsidP="004C4F19">
      <w:pPr>
        <w:pStyle w:val="ListParagraph"/>
        <w:numPr>
          <w:ilvl w:val="0"/>
          <w:numId w:val="10"/>
        </w:numPr>
        <w:spacing w:line="360" w:lineRule="auto"/>
        <w:jc w:val="both"/>
        <w:rPr>
          <w:rFonts w:ascii="Times New Roman" w:eastAsia="Consolas" w:hAnsi="Times New Roman" w:cs="Times New Roman"/>
          <w:color w:val="000000" w:themeColor="text1"/>
          <w:sz w:val="22"/>
          <w:szCs w:val="22"/>
          <w:shd w:val="clear" w:color="auto" w:fill="FFFFFF"/>
        </w:rPr>
      </w:pPr>
      <w:r w:rsidRPr="004C4F19">
        <w:rPr>
          <w:rFonts w:ascii="Times New Roman" w:eastAsia="Consolas" w:hAnsi="Times New Roman" w:cs="Times New Roman"/>
          <w:color w:val="000000" w:themeColor="text1"/>
          <w:sz w:val="22"/>
          <w:szCs w:val="22"/>
          <w:shd w:val="clear" w:color="auto" w:fill="FFFFFF"/>
        </w:rPr>
        <w:t xml:space="preserve">Khan F, Shariq M, Asif M, Siddiqui MA, Malan P, Ahmad F. Green Nanotechnology: Plant-Mediated Nanoparticle Synthesis and Application. </w:t>
      </w:r>
      <w:r w:rsidRPr="004C4F19">
        <w:rPr>
          <w:rFonts w:ascii="Times New Roman" w:eastAsia="Consolas" w:hAnsi="Times New Roman" w:cs="Times New Roman"/>
          <w:i/>
          <w:color w:val="000000" w:themeColor="text1"/>
          <w:sz w:val="22"/>
          <w:szCs w:val="22"/>
          <w:shd w:val="clear" w:color="auto" w:fill="FFFFFF"/>
        </w:rPr>
        <w:t>Nanomaterials (Basel).</w:t>
      </w:r>
      <w:r w:rsidRPr="004C4F19">
        <w:rPr>
          <w:rFonts w:ascii="Times New Roman" w:eastAsia="Consolas" w:hAnsi="Times New Roman" w:cs="Times New Roman"/>
          <w:color w:val="000000" w:themeColor="text1"/>
          <w:sz w:val="22"/>
          <w:szCs w:val="22"/>
          <w:shd w:val="clear" w:color="auto" w:fill="FFFFFF"/>
        </w:rPr>
        <w:t xml:space="preserve"> 2022 Feb 17;12(4):673. doi: 10.3390/nano12040673. PMID: 35215000; PMCID: PMC8878231.</w:t>
      </w:r>
    </w:p>
    <w:p w:rsidR="004C4F19" w:rsidRPr="004C4F19" w:rsidRDefault="004C4F19" w:rsidP="004C4F19">
      <w:pPr>
        <w:pStyle w:val="ListParagraph"/>
        <w:numPr>
          <w:ilvl w:val="0"/>
          <w:numId w:val="10"/>
        </w:numPr>
        <w:spacing w:line="360" w:lineRule="auto"/>
        <w:jc w:val="both"/>
        <w:rPr>
          <w:rFonts w:ascii="Times New Roman" w:eastAsia="Consolas" w:hAnsi="Times New Roman" w:cs="Times New Roman"/>
          <w:color w:val="000000" w:themeColor="text1"/>
          <w:sz w:val="22"/>
          <w:szCs w:val="22"/>
          <w:shd w:val="clear" w:color="auto" w:fill="FFFFFF"/>
        </w:rPr>
      </w:pPr>
      <w:r w:rsidRPr="004C4F19">
        <w:rPr>
          <w:rFonts w:ascii="Times New Roman" w:eastAsia="Helvetica" w:hAnsi="Times New Roman" w:cs="Times New Roman"/>
          <w:color w:val="000000" w:themeColor="text1"/>
          <w:sz w:val="22"/>
          <w:szCs w:val="22"/>
          <w:shd w:val="clear" w:color="auto" w:fill="FFFFFF"/>
        </w:rPr>
        <w:t>Edo, G.I., Mafe, A.N., Ali, A.B.M. </w:t>
      </w:r>
      <w:r w:rsidRPr="004C4F19">
        <w:rPr>
          <w:rFonts w:ascii="Times New Roman" w:eastAsia="Helvetica" w:hAnsi="Times New Roman" w:cs="Times New Roman"/>
          <w:i/>
          <w:iCs/>
          <w:color w:val="000000" w:themeColor="text1"/>
          <w:sz w:val="22"/>
          <w:szCs w:val="22"/>
          <w:shd w:val="clear" w:color="auto" w:fill="FFFFFF"/>
        </w:rPr>
        <w:t>et al.</w:t>
      </w:r>
      <w:r w:rsidRPr="004C4F19">
        <w:rPr>
          <w:rFonts w:ascii="Times New Roman" w:eastAsia="Helvetica" w:hAnsi="Times New Roman" w:cs="Times New Roman"/>
          <w:color w:val="000000" w:themeColor="text1"/>
          <w:sz w:val="22"/>
          <w:szCs w:val="22"/>
          <w:shd w:val="clear" w:color="auto" w:fill="FFFFFF"/>
        </w:rPr>
        <w:t> Green Biosynthesis of Nanoparticles Using Plant Extracts: Mechanisms, Advances, Challenges, and Applications. </w:t>
      </w:r>
      <w:r w:rsidRPr="004C4F19">
        <w:rPr>
          <w:rFonts w:ascii="Times New Roman" w:eastAsia="Helvetica" w:hAnsi="Times New Roman" w:cs="Times New Roman"/>
          <w:i/>
          <w:iCs/>
          <w:color w:val="000000" w:themeColor="text1"/>
          <w:sz w:val="22"/>
          <w:szCs w:val="22"/>
          <w:shd w:val="clear" w:color="auto" w:fill="FFFFFF"/>
        </w:rPr>
        <w:t>BioNanoSci.</w:t>
      </w:r>
      <w:r w:rsidRPr="004C4F19">
        <w:rPr>
          <w:rFonts w:ascii="Times New Roman" w:eastAsia="Helvetica" w:hAnsi="Times New Roman" w:cs="Times New Roman"/>
          <w:color w:val="000000" w:themeColor="text1"/>
          <w:sz w:val="22"/>
          <w:szCs w:val="22"/>
          <w:shd w:val="clear" w:color="auto" w:fill="FFFFFF"/>
        </w:rPr>
        <w:t> </w:t>
      </w:r>
      <w:r w:rsidRPr="004C4F19">
        <w:rPr>
          <w:rFonts w:ascii="Times New Roman" w:eastAsia="Helvetica" w:hAnsi="Times New Roman" w:cs="Times New Roman"/>
          <w:b/>
          <w:bCs/>
          <w:color w:val="000000" w:themeColor="text1"/>
          <w:sz w:val="22"/>
          <w:szCs w:val="22"/>
          <w:shd w:val="clear" w:color="auto" w:fill="FFFFFF"/>
        </w:rPr>
        <w:t>15</w:t>
      </w:r>
      <w:r w:rsidRPr="004C4F19">
        <w:rPr>
          <w:rFonts w:ascii="Times New Roman" w:eastAsia="Helvetica" w:hAnsi="Times New Roman" w:cs="Times New Roman"/>
          <w:color w:val="000000" w:themeColor="text1"/>
          <w:sz w:val="22"/>
          <w:szCs w:val="22"/>
          <w:shd w:val="clear" w:color="auto" w:fill="FFFFFF"/>
        </w:rPr>
        <w:t>, 267 (2025). https://doi.org/10.1007/s12668-025-01883-w</w:t>
      </w:r>
    </w:p>
    <w:p w:rsidR="004C4F19" w:rsidRPr="004C4F19" w:rsidRDefault="004C4F19" w:rsidP="004C4F19">
      <w:pPr>
        <w:pStyle w:val="ListParagraph"/>
        <w:numPr>
          <w:ilvl w:val="0"/>
          <w:numId w:val="10"/>
        </w:numPr>
        <w:spacing w:line="360" w:lineRule="auto"/>
        <w:jc w:val="both"/>
        <w:rPr>
          <w:rFonts w:ascii="Times New Roman" w:eastAsia="SimSun" w:hAnsi="Times New Roman" w:cs="Times New Roman"/>
          <w:color w:val="000000" w:themeColor="text1"/>
          <w:sz w:val="22"/>
          <w:szCs w:val="22"/>
        </w:rPr>
      </w:pPr>
      <w:r w:rsidRPr="004C4F19">
        <w:rPr>
          <w:rFonts w:ascii="Times New Roman" w:eastAsia="SimSun" w:hAnsi="Times New Roman" w:cs="Times New Roman"/>
          <w:color w:val="000000" w:themeColor="text1"/>
          <w:sz w:val="22"/>
          <w:szCs w:val="22"/>
        </w:rPr>
        <w:t>Sanjoy Kumar Das, Soumalya Chakraborty, Sweet Naskar, Rajan Rajabalaya,3 - Techniques and methods used for the fabrication of bionanocomposites,Editor(s): Shakeel Ahmed,  Annu,In Woodhead Publishing Series in Biomaterials,Bionanocomposites in Tissue Engineering and Regenerative Medicine,Woodhead Publishing,2021,Pages 17-43,ISBN 9780128212806,https://doi.org/10.1016/B978-0-12-821280-6.00007-6.</w:t>
      </w:r>
    </w:p>
    <w:p w:rsidR="004C4F19" w:rsidRPr="004C4F19" w:rsidRDefault="004C4F19" w:rsidP="004C4F19">
      <w:pPr>
        <w:pStyle w:val="ListParagraph"/>
        <w:numPr>
          <w:ilvl w:val="0"/>
          <w:numId w:val="10"/>
        </w:numPr>
        <w:spacing w:line="360" w:lineRule="auto"/>
        <w:jc w:val="both"/>
        <w:rPr>
          <w:rFonts w:ascii="Times New Roman" w:hAnsi="Times New Roman" w:cs="Times New Roman"/>
          <w:b/>
          <w:bCs/>
          <w:color w:val="000000" w:themeColor="text1"/>
          <w:sz w:val="22"/>
          <w:szCs w:val="22"/>
        </w:rPr>
      </w:pPr>
      <w:r w:rsidRPr="004C4F19">
        <w:rPr>
          <w:rFonts w:ascii="Times New Roman" w:hAnsi="Times New Roman" w:cs="Times New Roman"/>
          <w:color w:val="282828"/>
          <w:sz w:val="22"/>
          <w:szCs w:val="22"/>
          <w:shd w:val="clear" w:color="auto" w:fill="F7F7F7"/>
        </w:rPr>
        <w:lastRenderedPageBreak/>
        <w:t>Li K, Zhang T, Ren H, Zhao W, Hong S, Ge Y, Li X and Corke H (2023) Structural and physicochemical properties of bracken fern (</w:t>
      </w:r>
      <w:r w:rsidRPr="004C4F19">
        <w:rPr>
          <w:rFonts w:ascii="Times New Roman" w:hAnsi="Times New Roman" w:cs="Times New Roman"/>
          <w:i/>
          <w:iCs/>
          <w:color w:val="282828"/>
          <w:sz w:val="22"/>
          <w:szCs w:val="22"/>
          <w:shd w:val="clear" w:color="auto" w:fill="F7F7F7"/>
        </w:rPr>
        <w:t>Pteridium aquilinum</w:t>
      </w:r>
      <w:r w:rsidRPr="004C4F19">
        <w:rPr>
          <w:rFonts w:ascii="Times New Roman" w:hAnsi="Times New Roman" w:cs="Times New Roman"/>
          <w:color w:val="282828"/>
          <w:sz w:val="22"/>
          <w:szCs w:val="22"/>
          <w:shd w:val="clear" w:color="auto" w:fill="F7F7F7"/>
        </w:rPr>
        <w:t>) starch. </w:t>
      </w:r>
      <w:r w:rsidRPr="004C4F19">
        <w:rPr>
          <w:rFonts w:ascii="Times New Roman" w:hAnsi="Times New Roman" w:cs="Times New Roman"/>
          <w:i/>
          <w:iCs/>
          <w:color w:val="282828"/>
          <w:sz w:val="22"/>
          <w:szCs w:val="22"/>
          <w:shd w:val="clear" w:color="auto" w:fill="F7F7F7"/>
        </w:rPr>
        <w:t>Front. Nutr</w:t>
      </w:r>
      <w:r w:rsidRPr="004C4F19">
        <w:rPr>
          <w:rFonts w:ascii="Times New Roman" w:hAnsi="Times New Roman" w:cs="Times New Roman"/>
          <w:color w:val="282828"/>
          <w:sz w:val="22"/>
          <w:szCs w:val="22"/>
          <w:shd w:val="clear" w:color="auto" w:fill="F7F7F7"/>
        </w:rPr>
        <w:t>. 10:1201357. doi: 10.3389/fnut.2023.1201357</w:t>
      </w: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hAnsi="Times New Roman" w:cs="Times New Roman"/>
          <w:color w:val="212121"/>
          <w:sz w:val="22"/>
          <w:szCs w:val="22"/>
          <w:shd w:val="clear" w:color="auto" w:fill="FFFFFF"/>
        </w:rPr>
        <w:t>Yao Z, van Velthoven CTJ, Nguyen TN, Goldy J, Sedeno-Cortes AE, Baftizadeh F, Bertagnolli D, Casper T, Chiang M, Crichton K, Ding SL, Fong O, Garren E, Glandon A, Gouwens NW, Gray J, Graybuck LT, Hawrylycz MJ, Hirschstein D, Kroll M, Lathia K, Lee C, Levi B, McMillen D, Mok S, Pham T, Ren Q, Rimorin C, Shapovalova N, Sulc J, Sunkin SM, Tieu M, Torkelson A, Tung H, Ward K, Dee N, Smith KA, Tasic B, Zeng H. A taxonomy of transcriptomic cell types across the isocortex and hippocampal formation. Cell. 2021 Jun 10;184(12):3222-3241.e26. doi: 10.1016/j.cell.2021.04.021. Epub 2021 May 17. PMID: 34004146; PMCID: PMC8195859.</w:t>
      </w:r>
    </w:p>
    <w:p w:rsidR="004C4F19" w:rsidRPr="004C4F19" w:rsidRDefault="004C4F19" w:rsidP="004C4F19">
      <w:pPr>
        <w:pStyle w:val="ListParagraph"/>
        <w:numPr>
          <w:ilvl w:val="0"/>
          <w:numId w:val="10"/>
        </w:numPr>
        <w:spacing w:line="360" w:lineRule="auto"/>
        <w:jc w:val="both"/>
        <w:rPr>
          <w:rFonts w:ascii="Times New Roman" w:hAnsi="Times New Roman" w:cs="Times New Roman"/>
          <w:b/>
          <w:bCs/>
          <w:sz w:val="22"/>
          <w:szCs w:val="22"/>
        </w:rPr>
      </w:pPr>
      <w:r w:rsidRPr="004C4F19">
        <w:rPr>
          <w:rFonts w:ascii="Times New Roman" w:hAnsi="Times New Roman" w:cs="Times New Roman"/>
          <w:color w:val="333333"/>
          <w:sz w:val="22"/>
          <w:szCs w:val="22"/>
          <w:shd w:val="clear" w:color="auto" w:fill="EAEAEA"/>
        </w:rPr>
        <w:t>Ashiegbu, D. C., Enemuo, M., &amp; Potgieter, H. (2025). Efficient degradation of organic and inorganic contaminants in water using a ZnO-based heterojunction photocatalyst. </w:t>
      </w:r>
      <w:r w:rsidRPr="004C4F19">
        <w:rPr>
          <w:rFonts w:ascii="Times New Roman" w:hAnsi="Times New Roman" w:cs="Times New Roman"/>
          <w:i/>
          <w:iCs/>
          <w:color w:val="333333"/>
          <w:sz w:val="22"/>
          <w:szCs w:val="22"/>
          <w:shd w:val="clear" w:color="auto" w:fill="EAEAEA"/>
        </w:rPr>
        <w:t>European Journal of Materials</w:t>
      </w:r>
      <w:r w:rsidRPr="004C4F19">
        <w:rPr>
          <w:rFonts w:ascii="Times New Roman" w:hAnsi="Times New Roman" w:cs="Times New Roman"/>
          <w:color w:val="333333"/>
          <w:sz w:val="22"/>
          <w:szCs w:val="22"/>
          <w:shd w:val="clear" w:color="auto" w:fill="EAEAEA"/>
        </w:rPr>
        <w:t>, </w:t>
      </w:r>
      <w:r w:rsidRPr="004C4F19">
        <w:rPr>
          <w:rFonts w:ascii="Times New Roman" w:hAnsi="Times New Roman" w:cs="Times New Roman"/>
          <w:i/>
          <w:iCs/>
          <w:color w:val="333333"/>
          <w:sz w:val="22"/>
          <w:szCs w:val="22"/>
          <w:shd w:val="clear" w:color="auto" w:fill="EAEAEA"/>
        </w:rPr>
        <w:t>5</w:t>
      </w:r>
      <w:r w:rsidRPr="004C4F19">
        <w:rPr>
          <w:rFonts w:ascii="Times New Roman" w:hAnsi="Times New Roman" w:cs="Times New Roman"/>
          <w:color w:val="333333"/>
          <w:sz w:val="22"/>
          <w:szCs w:val="22"/>
          <w:shd w:val="clear" w:color="auto" w:fill="EAEAEA"/>
        </w:rPr>
        <w:t>(1). https://doi.org/10.1080/26889277.2025.2536462</w:t>
      </w: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eastAsia="Helvetica" w:hAnsi="Times New Roman" w:cs="Times New Roman"/>
          <w:color w:val="222222"/>
          <w:sz w:val="22"/>
          <w:szCs w:val="22"/>
          <w:shd w:val="clear" w:color="auto" w:fill="FFFFFF"/>
        </w:rPr>
        <w:t>Akhter, P., Arshad, A. &amp; Tahir, M. Innovative nanomaterials for sustainable environment for reducing the smog effects: a technical review. </w:t>
      </w:r>
      <w:r w:rsidRPr="004C4F19">
        <w:rPr>
          <w:rFonts w:ascii="Times New Roman" w:eastAsia="Helvetica" w:hAnsi="Times New Roman" w:cs="Times New Roman"/>
          <w:i/>
          <w:iCs/>
          <w:color w:val="222222"/>
          <w:sz w:val="22"/>
          <w:szCs w:val="22"/>
          <w:shd w:val="clear" w:color="auto" w:fill="FFFFFF"/>
        </w:rPr>
        <w:t>Environ Sci Pollut Res</w:t>
      </w:r>
      <w:r w:rsidRPr="004C4F19">
        <w:rPr>
          <w:rFonts w:ascii="Times New Roman" w:eastAsia="Helvetica" w:hAnsi="Times New Roman" w:cs="Times New Roman"/>
          <w:color w:val="222222"/>
          <w:sz w:val="22"/>
          <w:szCs w:val="22"/>
          <w:shd w:val="clear" w:color="auto" w:fill="FFFFFF"/>
        </w:rPr>
        <w:t> (2025). https://doi.org/10.1007/s11356-025-36780-y</w:t>
      </w: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eastAsia="Segoe UI" w:hAnsi="Times New Roman" w:cs="Times New Roman"/>
          <w:color w:val="212121"/>
          <w:sz w:val="22"/>
          <w:szCs w:val="22"/>
          <w:shd w:val="clear" w:color="auto" w:fill="FFFFFF"/>
        </w:rPr>
        <w:t>Maghraby YR, El-Shabasy RM, Ibrahim AH, Azzazy HME. Enzyme Immobilization Technologies and Industrial Applications. ACS Omega. 2023 Jan 31;8(6):5184-5196. doi: 10.1021/acsomega.2c07560. PMID: 36816672; PMCID: PMC9933091.</w:t>
      </w:r>
    </w:p>
    <w:p w:rsidR="004C4F19" w:rsidRPr="004C4F19" w:rsidRDefault="004C4F19" w:rsidP="004C4F19">
      <w:pPr>
        <w:pStyle w:val="ListParagraph"/>
        <w:spacing w:line="360" w:lineRule="auto"/>
        <w:jc w:val="both"/>
        <w:rPr>
          <w:rFonts w:ascii="Times New Roman" w:hAnsi="Times New Roman" w:cs="Times New Roman"/>
          <w:sz w:val="22"/>
          <w:szCs w:val="22"/>
        </w:rPr>
      </w:pP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hAnsi="Times New Roman" w:cs="Times New Roman"/>
          <w:sz w:val="22"/>
          <w:szCs w:val="22"/>
        </w:rPr>
        <w:t>Amel Gacem, Zehra Khan, Maha Awjan Alreshidi, Krishna Kumar Yadav, Khursheed Muzammil, Nuha Almulla, V. Kavitha, Humira Assad, Tushar Grewal, Abhinav Kumar, Jawaher Faisal Almalawi, Mudasir A. Dar, Atif Khurshid Wani,Emerging threats of nanoparticles in marine and terrestrial environments: Toxicity mechanisms and risk management,Marine Pollution Bulletin,Volume 221,2025,118491,ISSN 0025-326X,https://doi.org/10.1016/j.marpolbul.2025.118491</w:t>
      </w: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eastAsia="Consolas" w:hAnsi="Times New Roman" w:cs="Times New Roman"/>
          <w:color w:val="1B1B1B"/>
          <w:sz w:val="22"/>
          <w:szCs w:val="22"/>
          <w:shd w:val="clear" w:color="auto" w:fill="FFFFFF"/>
        </w:rPr>
        <w:t>Pires JRA, Souza VGL, Fuciños P, Pastrana L, Fernando AL. Methodologies to Assess the Biodegradability of Bio-Based Polymers-Current Knowledge and Existing Gaps. Polymers (Basel). 2022 Mar 27;14(7):1359. doi: 10.3390/polym14071359. PMID: 35406232; PMCID: PMC9002992.</w:t>
      </w: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eastAsia="SimSun" w:hAnsi="Times New Roman" w:cs="Times New Roman"/>
          <w:color w:val="222222"/>
          <w:sz w:val="22"/>
          <w:szCs w:val="22"/>
          <w:shd w:val="clear" w:color="auto" w:fill="FFFFFF"/>
        </w:rPr>
        <w:t>Kim, L.; Kwak, J.I.; An, Y.-J. Evaluation of Ecotoxicity in Waste Leachate: A Current Status of Bioassay and Chemical Analysis. </w:t>
      </w:r>
      <w:r w:rsidRPr="004C4F19">
        <w:rPr>
          <w:rStyle w:val="Emphasis"/>
          <w:rFonts w:ascii="Times New Roman" w:eastAsia="SimSun" w:hAnsi="Times New Roman" w:cs="Times New Roman"/>
          <w:color w:val="222222"/>
          <w:sz w:val="22"/>
          <w:szCs w:val="22"/>
          <w:shd w:val="clear" w:color="auto" w:fill="FFFFFF"/>
        </w:rPr>
        <w:t>Toxics</w:t>
      </w:r>
      <w:r w:rsidRPr="004C4F19">
        <w:rPr>
          <w:rFonts w:ascii="Times New Roman" w:eastAsia="SimSun" w:hAnsi="Times New Roman" w:cs="Times New Roman"/>
          <w:color w:val="222222"/>
          <w:sz w:val="22"/>
          <w:szCs w:val="22"/>
          <w:shd w:val="clear" w:color="auto" w:fill="FFFFFF"/>
        </w:rPr>
        <w:t> </w:t>
      </w:r>
      <w:r w:rsidRPr="004C4F19">
        <w:rPr>
          <w:rFonts w:ascii="Times New Roman" w:eastAsia="SimSun" w:hAnsi="Times New Roman" w:cs="Times New Roman"/>
          <w:b/>
          <w:bCs/>
          <w:color w:val="222222"/>
          <w:sz w:val="22"/>
          <w:szCs w:val="22"/>
          <w:shd w:val="clear" w:color="auto" w:fill="FFFFFF"/>
        </w:rPr>
        <w:t>2025</w:t>
      </w:r>
      <w:r w:rsidRPr="004C4F19">
        <w:rPr>
          <w:rFonts w:ascii="Times New Roman" w:eastAsia="SimSun" w:hAnsi="Times New Roman" w:cs="Times New Roman"/>
          <w:color w:val="222222"/>
          <w:sz w:val="22"/>
          <w:szCs w:val="22"/>
          <w:shd w:val="clear" w:color="auto" w:fill="FFFFFF"/>
        </w:rPr>
        <w:t>, </w:t>
      </w:r>
      <w:r w:rsidRPr="004C4F19">
        <w:rPr>
          <w:rStyle w:val="Emphasis"/>
          <w:rFonts w:ascii="Times New Roman" w:eastAsia="SimSun" w:hAnsi="Times New Roman" w:cs="Times New Roman"/>
          <w:color w:val="222222"/>
          <w:sz w:val="22"/>
          <w:szCs w:val="22"/>
          <w:shd w:val="clear" w:color="auto" w:fill="FFFFFF"/>
        </w:rPr>
        <w:t>13</w:t>
      </w:r>
      <w:r w:rsidRPr="004C4F19">
        <w:rPr>
          <w:rFonts w:ascii="Times New Roman" w:eastAsia="SimSun" w:hAnsi="Times New Roman" w:cs="Times New Roman"/>
          <w:color w:val="222222"/>
          <w:sz w:val="22"/>
          <w:szCs w:val="22"/>
          <w:shd w:val="clear" w:color="auto" w:fill="FFFFFF"/>
        </w:rPr>
        <w:t xml:space="preserve">, 198. </w:t>
      </w:r>
      <w:hyperlink r:id="rId51" w:history="1">
        <w:r w:rsidRPr="008D40A8">
          <w:rPr>
            <w:rStyle w:val="Hyperlink"/>
            <w:rFonts w:ascii="Times New Roman" w:eastAsia="SimSun" w:hAnsi="Times New Roman" w:cs="Times New Roman"/>
            <w:sz w:val="22"/>
            <w:szCs w:val="22"/>
            <w:shd w:val="clear" w:color="auto" w:fill="FFFFFF"/>
          </w:rPr>
          <w:t>https://doi.org/10.3390/toxics13030198</w:t>
        </w:r>
      </w:hyperlink>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bookmarkStart w:id="0" w:name="_GoBack"/>
      <w:bookmarkEnd w:id="0"/>
      <w:r>
        <w:lastRenderedPageBreak/>
        <w:t xml:space="preserve">Almeida-Naranjo, C.E., Otazo-Sánchez, E.M., Figueroa-Lopez, K.J., &amp; Osorio, V.K. (2023). Multifunctional biopolymer–metal oxide nanocomposites: Adsorption, photodegradation, and enzymatic actions in water purification. </w:t>
      </w:r>
      <w:r>
        <w:rPr>
          <w:rStyle w:val="Emphasis"/>
        </w:rPr>
        <w:t>Water</w:t>
      </w:r>
      <w:r>
        <w:t xml:space="preserve">, 15(8), 1626. </w:t>
      </w:r>
      <w:hyperlink r:id="rId52" w:history="1">
        <w:r w:rsidRPr="008D40A8">
          <w:rPr>
            <w:rStyle w:val="Hyperlink"/>
          </w:rPr>
          <w:t>https://doi.org/10.3390/w15081626</w:t>
        </w:r>
      </w:hyperlink>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hAnsi="Times New Roman" w:cs="Times New Roman"/>
          <w:color w:val="1B1B1B"/>
          <w:shd w:val="clear" w:color="auto" w:fill="FFFFFF"/>
        </w:rPr>
        <w:t xml:space="preserve">Annu, Mittal M, Tripathi S, Shin DK. Biopolymeric Nanocomposites for Wastewater Remediation: An Overview on Recent Progress and Challenges. Polymers (Basel). 2024 Jan 21;16(2):294. doi: </w:t>
      </w:r>
      <w:r w:rsidRPr="004C4F19">
        <w:rPr>
          <w:rFonts w:ascii="Times New Roman" w:hAnsi="Times New Roman" w:cs="Times New Roman"/>
          <w:i/>
          <w:color w:val="1B1B1B"/>
          <w:shd w:val="clear" w:color="auto" w:fill="FFFFFF"/>
        </w:rPr>
        <w:t>10.3390/polym16020294. PMID: 38276702; PMCID: PMC10818902.</w:t>
      </w: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4C4F19">
        <w:rPr>
          <w:rFonts w:ascii="Times New Roman" w:hAnsi="Times New Roman" w:cs="Times New Roman"/>
          <w:color w:val="1B1B1B"/>
          <w:shd w:val="clear" w:color="auto" w:fill="FFFFFF"/>
        </w:rPr>
        <w:t xml:space="preserve">Nasrollahzadeh M, Sajjadi M, Iravani S, Varma RS. Green-synthesized nanocatalysts and nanomaterials for water treatment: Current challenges and future perspectives. J Hazard Mater. 2021 Jan </w:t>
      </w:r>
      <w:proofErr w:type="gramStart"/>
      <w:r w:rsidRPr="004C4F19">
        <w:rPr>
          <w:rFonts w:ascii="Times New Roman" w:hAnsi="Times New Roman" w:cs="Times New Roman"/>
          <w:color w:val="1B1B1B"/>
          <w:shd w:val="clear" w:color="auto" w:fill="FFFFFF"/>
        </w:rPr>
        <w:t>5;401:123401</w:t>
      </w:r>
      <w:proofErr w:type="gramEnd"/>
      <w:r w:rsidRPr="004C4F19">
        <w:rPr>
          <w:rFonts w:ascii="Times New Roman" w:hAnsi="Times New Roman" w:cs="Times New Roman"/>
          <w:color w:val="1B1B1B"/>
          <w:shd w:val="clear" w:color="auto" w:fill="FFFFFF"/>
        </w:rPr>
        <w:t>. doi: 10.1016/j.jhazmat.2020.123401. Epub 2020 Jul 7. PMID: 32763697; PMCID: PMC7606836.</w:t>
      </w:r>
    </w:p>
    <w:p w:rsidR="000F49A5" w:rsidRPr="000F49A5" w:rsidRDefault="004C4F19" w:rsidP="004C4F19">
      <w:pPr>
        <w:pStyle w:val="ListParagraph"/>
        <w:numPr>
          <w:ilvl w:val="0"/>
          <w:numId w:val="10"/>
        </w:numPr>
        <w:spacing w:line="360" w:lineRule="auto"/>
        <w:jc w:val="both"/>
        <w:rPr>
          <w:rFonts w:ascii="Times New Roman" w:hAnsi="Times New Roman" w:cs="Times New Roman"/>
          <w:sz w:val="22"/>
          <w:szCs w:val="22"/>
          <w:highlight w:val="red"/>
        </w:rPr>
      </w:pPr>
      <w:r w:rsidRPr="004C4F19">
        <w:rPr>
          <w:rFonts w:ascii="Times New Roman" w:hAnsi="Times New Roman" w:cs="Times New Roman"/>
          <w:color w:val="1B1B1B"/>
          <w:shd w:val="clear" w:color="auto" w:fill="FFFFFF"/>
        </w:rPr>
        <w:t>Khalidi-Idrissi A, Madinzi A, Anouzla A, Pala A, Mouhir L, Kadmi Y, Souabi S. Recent advances in the biological treatment of wastewater rich in emerging pollutants produced by pharmaceutical industrial discharges. Int J Environ Sci Technol (Tehran). 2023 Mar 16:1-22. doi: 10.1007/s13762-023-04867-z. Epub ahead of print. PMID: 37360558; PMCID: PMC10019435.</w:t>
      </w:r>
    </w:p>
    <w:p w:rsidR="004C4F19" w:rsidRPr="000F49A5" w:rsidRDefault="000F49A5" w:rsidP="004C4F19">
      <w:pPr>
        <w:pStyle w:val="ListParagraph"/>
        <w:numPr>
          <w:ilvl w:val="0"/>
          <w:numId w:val="10"/>
        </w:numPr>
        <w:spacing w:line="360" w:lineRule="auto"/>
        <w:jc w:val="both"/>
        <w:rPr>
          <w:rFonts w:ascii="Times New Roman" w:hAnsi="Times New Roman" w:cs="Times New Roman"/>
          <w:sz w:val="22"/>
          <w:szCs w:val="22"/>
          <w:highlight w:val="red"/>
        </w:rPr>
      </w:pPr>
      <w:r w:rsidRPr="000F49A5">
        <w:rPr>
          <w:rFonts w:ascii="Times New Roman" w:hAnsi="Times New Roman" w:cs="Times New Roman"/>
        </w:rPr>
        <w:t>Maleky, S., Asadipour, A., Nasiri, A., Luque, R., &amp; Faraji, M. (2022). Tetracycline adsorption from aqueous media by magnetically separable Fe3O4@ Methylcellulose/APTMS: isotherm, kinetic and thermodynamic studies. Journal of Polymers and the Environment, 30(8), 3351-3367.</w:t>
      </w:r>
    </w:p>
    <w:p w:rsidR="000F49A5" w:rsidRPr="00C4300E" w:rsidRDefault="000F49A5" w:rsidP="000F49A5">
      <w:pPr>
        <w:pStyle w:val="ListParagraph"/>
        <w:spacing w:line="360" w:lineRule="auto"/>
        <w:ind w:left="786"/>
        <w:jc w:val="both"/>
        <w:rPr>
          <w:rFonts w:ascii="Times New Roman" w:hAnsi="Times New Roman" w:cs="Times New Roman"/>
          <w:sz w:val="22"/>
          <w:szCs w:val="22"/>
          <w:highlight w:val="red"/>
        </w:rPr>
      </w:pPr>
    </w:p>
    <w:p w:rsidR="000F49A5" w:rsidRPr="000F49A5" w:rsidRDefault="000F49A5" w:rsidP="004C4F19">
      <w:pPr>
        <w:pStyle w:val="ListParagraph"/>
        <w:numPr>
          <w:ilvl w:val="0"/>
          <w:numId w:val="10"/>
        </w:numPr>
        <w:spacing w:line="360" w:lineRule="auto"/>
        <w:jc w:val="both"/>
        <w:rPr>
          <w:rFonts w:ascii="Times New Roman" w:hAnsi="Times New Roman" w:cs="Times New Roman"/>
          <w:sz w:val="22"/>
          <w:szCs w:val="22"/>
          <w:highlight w:val="red"/>
        </w:rPr>
      </w:pPr>
      <w:r w:rsidRPr="000F49A5">
        <w:rPr>
          <w:rFonts w:ascii="Times New Roman" w:hAnsi="Times New Roman" w:cs="Times New Roman"/>
        </w:rPr>
        <w:t>Aswathi, V. P., Meera, S., Maria, C. A., &amp; Nidhin, M. (2023). Green synthesis of nanoparticles from biodegradable waste extracts and their applications: a critical review. Nanotechnology for Environmental Engineering, 8(2), 377-397.</w:t>
      </w:r>
    </w:p>
    <w:p w:rsidR="00786963" w:rsidRPr="00786963" w:rsidRDefault="00786963" w:rsidP="004C4F19">
      <w:pPr>
        <w:pStyle w:val="ListParagraph"/>
        <w:numPr>
          <w:ilvl w:val="0"/>
          <w:numId w:val="10"/>
        </w:numPr>
        <w:spacing w:line="360" w:lineRule="auto"/>
        <w:jc w:val="both"/>
        <w:rPr>
          <w:rFonts w:ascii="Times New Roman" w:hAnsi="Times New Roman" w:cs="Times New Roman"/>
          <w:sz w:val="22"/>
          <w:szCs w:val="22"/>
          <w:highlight w:val="red"/>
        </w:rPr>
      </w:pPr>
      <w:r w:rsidRPr="00786963">
        <w:rPr>
          <w:rFonts w:ascii="Times New Roman" w:hAnsi="Times New Roman" w:cs="Times New Roman"/>
        </w:rPr>
        <w:t xml:space="preserve">Vaishnav, A., Lal, J., Singh, N. S., Pati, B. K., Mehta, N. K., &amp; Priyadarshini, M. B. (2024). Role of microbial enzymes and their modification for plastic biodegradation. In Advanced strategies for biodegradation of plastic polymers (pp. 373-403). Cham: Springer Nature Switzerland. </w:t>
      </w:r>
    </w:p>
    <w:p w:rsidR="00786963" w:rsidRPr="00C138E8" w:rsidRDefault="00786963" w:rsidP="004C4F19">
      <w:pPr>
        <w:pStyle w:val="ListParagraph"/>
        <w:numPr>
          <w:ilvl w:val="0"/>
          <w:numId w:val="10"/>
        </w:numPr>
        <w:spacing w:line="360" w:lineRule="auto"/>
        <w:jc w:val="both"/>
        <w:rPr>
          <w:rFonts w:ascii="Times New Roman" w:hAnsi="Times New Roman" w:cs="Times New Roman"/>
          <w:sz w:val="22"/>
          <w:szCs w:val="22"/>
          <w:highlight w:val="red"/>
        </w:rPr>
      </w:pPr>
      <w:r w:rsidRPr="00786963">
        <w:rPr>
          <w:rFonts w:ascii="Times New Roman" w:hAnsi="Times New Roman" w:cs="Times New Roman"/>
        </w:rPr>
        <w:t xml:space="preserve">Suresh, V., Shams, R., Dash, K. K., Shaikh, A. M., &amp; Béla, K. (2025). Comprehensive review on enzymatic polymer degradation: A sustainable solution for plastics. Journal of </w:t>
      </w:r>
      <w:r w:rsidRPr="00786963">
        <w:rPr>
          <w:rFonts w:ascii="Times New Roman" w:hAnsi="Times New Roman" w:cs="Times New Roman"/>
        </w:rPr>
        <w:lastRenderedPageBreak/>
        <w:t xml:space="preserve">Agriculture and Food Research, 101788. </w:t>
      </w:r>
      <w:r w:rsidRPr="00786963">
        <w:rPr>
          <w:rFonts w:ascii="Times New Roman" w:hAnsi="Times New Roman" w:cs="Times New Roman"/>
          <w:sz w:val="22"/>
          <w:szCs w:val="22"/>
        </w:rPr>
        <w:t>Silva Brito, R., João Bebianno, M., &amp; Rocha, T. L. (2024). Plant-based silver nanoparticles ecotoxicity: Perspectives about green technologies in the One Health context. CritiCal reviews in environmental sCienCe and teChnology, 54(16), 1218-1235.</w:t>
      </w:r>
    </w:p>
    <w:p w:rsidR="002E181D" w:rsidRPr="002E181D" w:rsidRDefault="002E181D" w:rsidP="004C4F19">
      <w:pPr>
        <w:pStyle w:val="ListParagraph"/>
        <w:numPr>
          <w:ilvl w:val="0"/>
          <w:numId w:val="10"/>
        </w:numPr>
        <w:spacing w:line="360" w:lineRule="auto"/>
        <w:jc w:val="both"/>
        <w:rPr>
          <w:rFonts w:ascii="Times New Roman" w:hAnsi="Times New Roman" w:cs="Times New Roman"/>
          <w:sz w:val="22"/>
          <w:szCs w:val="22"/>
        </w:rPr>
      </w:pPr>
      <w:r w:rsidRPr="002E181D">
        <w:rPr>
          <w:rFonts w:ascii="Times New Roman" w:hAnsi="Times New Roman" w:cs="Times New Roman"/>
        </w:rPr>
        <w:t xml:space="preserve">Aigbe, U. O., &amp; Osibote, O. A. (2024). Green synthesis of metal oxide nanoparticles, and their various applications. Journal of hazardous materials advances, 13, 100401. </w:t>
      </w:r>
    </w:p>
    <w:p w:rsidR="004C4F19" w:rsidRPr="004C4F19" w:rsidRDefault="004C4F19" w:rsidP="004C4F19">
      <w:pPr>
        <w:pStyle w:val="ListParagraph"/>
        <w:numPr>
          <w:ilvl w:val="0"/>
          <w:numId w:val="10"/>
        </w:numPr>
        <w:spacing w:line="360" w:lineRule="auto"/>
        <w:jc w:val="both"/>
        <w:rPr>
          <w:rFonts w:ascii="Times New Roman" w:hAnsi="Times New Roman" w:cs="Times New Roman"/>
          <w:sz w:val="22"/>
          <w:szCs w:val="22"/>
        </w:rPr>
      </w:pPr>
      <w:r w:rsidRPr="009918C5">
        <w:rPr>
          <w:rFonts w:ascii="Times New Roman" w:hAnsi="Times New Roman" w:cs="Times New Roman"/>
        </w:rPr>
        <w:t xml:space="preserve">Nasrollahzadeh, M., Sajjadi, M., Iravani, S., &amp; Varma, R.S. (2021). Green-synthesized nanocatalysts and nanomaterials for water treatment: Current challenges and future perspectives. </w:t>
      </w:r>
      <w:r w:rsidRPr="009918C5">
        <w:rPr>
          <w:rStyle w:val="Emphasis"/>
          <w:rFonts w:ascii="Times New Roman" w:hAnsi="Times New Roman" w:cs="Times New Roman"/>
        </w:rPr>
        <w:t>Journal of Hazardous Materials</w:t>
      </w:r>
      <w:r w:rsidRPr="009918C5">
        <w:rPr>
          <w:rFonts w:ascii="Times New Roman" w:hAnsi="Times New Roman" w:cs="Times New Roman"/>
        </w:rPr>
        <w:t xml:space="preserve">, 401, 123401. </w:t>
      </w:r>
      <w:hyperlink r:id="rId53" w:history="1">
        <w:r w:rsidRPr="008D40A8">
          <w:rPr>
            <w:rStyle w:val="Hyperlink"/>
            <w:rFonts w:ascii="Times New Roman" w:hAnsi="Times New Roman" w:cs="Times New Roman"/>
          </w:rPr>
          <w:t>https://doi.org/10.1016/j.jhazmat.2020.123401</w:t>
        </w:r>
      </w:hyperlink>
      <w:r>
        <w:t>.</w:t>
      </w:r>
    </w:p>
    <w:p w:rsidR="002E181D" w:rsidRPr="00C138E8" w:rsidRDefault="002E181D" w:rsidP="004C4F19">
      <w:pPr>
        <w:pStyle w:val="ListParagraph"/>
        <w:numPr>
          <w:ilvl w:val="0"/>
          <w:numId w:val="10"/>
        </w:numPr>
        <w:spacing w:line="360" w:lineRule="auto"/>
        <w:jc w:val="both"/>
        <w:rPr>
          <w:rFonts w:ascii="Times New Roman" w:hAnsi="Times New Roman" w:cs="Times New Roman"/>
          <w:sz w:val="22"/>
          <w:szCs w:val="22"/>
          <w:highlight w:val="red"/>
        </w:rPr>
      </w:pPr>
      <w:r w:rsidRPr="002E181D">
        <w:rPr>
          <w:rFonts w:ascii="Times New Roman" w:hAnsi="Times New Roman" w:cs="Times New Roman"/>
          <w:sz w:val="22"/>
          <w:szCs w:val="22"/>
        </w:rPr>
        <w:t>Ramadan, B. S., Wibowo, Y. G., Anwar, D., &amp; Maryani, A. T. (2024). A review of life cycle assessment of nanomaterials-based adsorbent for environmental remediation. Global NEST J, 26(7), 6216.</w:t>
      </w:r>
    </w:p>
    <w:p w:rsidR="002E181D" w:rsidRPr="00C4300E" w:rsidRDefault="002E181D" w:rsidP="004C4F19">
      <w:pPr>
        <w:pStyle w:val="ListParagraph"/>
        <w:numPr>
          <w:ilvl w:val="0"/>
          <w:numId w:val="10"/>
        </w:numPr>
        <w:spacing w:line="360" w:lineRule="auto"/>
        <w:jc w:val="both"/>
        <w:rPr>
          <w:rFonts w:ascii="Times New Roman" w:hAnsi="Times New Roman" w:cs="Times New Roman"/>
          <w:sz w:val="22"/>
          <w:szCs w:val="22"/>
          <w:highlight w:val="red"/>
        </w:rPr>
      </w:pPr>
      <w:r w:rsidRPr="002E181D">
        <w:rPr>
          <w:rFonts w:ascii="Times New Roman" w:hAnsi="Times New Roman" w:cs="Times New Roman"/>
          <w:sz w:val="22"/>
          <w:szCs w:val="22"/>
        </w:rPr>
        <w:t>Zhang, Y., Pedersen, J. N., Eser, B. E., &amp; Guo, Z. (2022). Biodegradation of polyethylene and polystyrene: From microbial deterioration to enzyme discovery. Biotechnology Advances, 60, 107991.</w:t>
      </w:r>
    </w:p>
    <w:p w:rsidR="009455AA" w:rsidRPr="004C4F19" w:rsidRDefault="009455AA" w:rsidP="004C4F19">
      <w:pPr>
        <w:spacing w:before="180" w:after="180"/>
        <w:ind w:left="360"/>
        <w:jc w:val="both"/>
        <w:rPr>
          <w:rFonts w:ascii="Times New Roman" w:eastAsia="Aptos" w:hAnsi="Times New Roman" w:cs="Times New Roman"/>
          <w:b/>
          <w:bCs/>
          <w:sz w:val="20"/>
          <w:szCs w:val="20"/>
        </w:rPr>
      </w:pPr>
    </w:p>
    <w:p w:rsidR="00496622" w:rsidRPr="004C4F19" w:rsidRDefault="00496622" w:rsidP="00496622">
      <w:pPr>
        <w:spacing w:line="360" w:lineRule="auto"/>
        <w:jc w:val="both"/>
        <w:rPr>
          <w:rFonts w:ascii="Times New Roman" w:hAnsi="Times New Roman" w:cs="Times New Roman"/>
          <w:color w:val="000000" w:themeColor="text1"/>
          <w:sz w:val="22"/>
          <w:szCs w:val="22"/>
        </w:rPr>
      </w:pPr>
    </w:p>
    <w:p w:rsidR="00653F86" w:rsidRPr="004C4F19" w:rsidRDefault="00653F86">
      <w:pPr>
        <w:jc w:val="both"/>
        <w:rPr>
          <w:rFonts w:ascii="Times New Roman" w:hAnsi="Times New Roman" w:cs="Times New Roman"/>
        </w:rPr>
      </w:pPr>
    </w:p>
    <w:sectPr w:rsidR="00653F86" w:rsidRPr="004C4F19" w:rsidSect="00653F86">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81D" w:rsidRDefault="002E181D">
      <w:pPr>
        <w:spacing w:line="240" w:lineRule="auto"/>
      </w:pPr>
      <w:r>
        <w:separator/>
      </w:r>
    </w:p>
  </w:endnote>
  <w:endnote w:type="continuationSeparator" w:id="0">
    <w:p w:rsidR="002E181D" w:rsidRDefault="002E1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default"/>
    <w:sig w:usb0="00000000" w:usb1="00000000" w:usb2="00000000" w:usb3="00000000" w:csb0="0000019F" w:csb1="00000000"/>
  </w:font>
  <w:font w:name="Aptos Display">
    <w:altName w:val="Calibri"/>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1D" w:rsidRDefault="002E1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1D" w:rsidRDefault="002E1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1D" w:rsidRDefault="002E1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81D" w:rsidRDefault="002E181D">
      <w:pPr>
        <w:spacing w:after="0"/>
      </w:pPr>
      <w:r>
        <w:separator/>
      </w:r>
    </w:p>
  </w:footnote>
  <w:footnote w:type="continuationSeparator" w:id="0">
    <w:p w:rsidR="002E181D" w:rsidRDefault="002E18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1D" w:rsidRDefault="002E181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4704" o:spid="_x0000_s2050"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1D" w:rsidRDefault="002E181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4705" o:spid="_x0000_s2051"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1D" w:rsidRDefault="002E181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47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95231D"/>
    <w:multiLevelType w:val="multilevel"/>
    <w:tmpl w:val="A695231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B8CC54BE"/>
    <w:multiLevelType w:val="multilevel"/>
    <w:tmpl w:val="B8CC54B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D6689174"/>
    <w:multiLevelType w:val="multilevel"/>
    <w:tmpl w:val="D668917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FCF24EC1"/>
    <w:multiLevelType w:val="multilevel"/>
    <w:tmpl w:val="FCF24EC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ED60A45"/>
    <w:multiLevelType w:val="multilevel"/>
    <w:tmpl w:val="0ED60A4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21253185"/>
    <w:multiLevelType w:val="multilevel"/>
    <w:tmpl w:val="21253185"/>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48C370C"/>
    <w:multiLevelType w:val="multilevel"/>
    <w:tmpl w:val="248C370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79846A3"/>
    <w:multiLevelType w:val="multilevel"/>
    <w:tmpl w:val="279846A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43246C53"/>
    <w:multiLevelType w:val="multilevel"/>
    <w:tmpl w:val="69ED660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5E75F27"/>
    <w:multiLevelType w:val="hybridMultilevel"/>
    <w:tmpl w:val="6418876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ED6608"/>
    <w:multiLevelType w:val="multilevel"/>
    <w:tmpl w:val="69ED660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BA2659E"/>
    <w:multiLevelType w:val="hybridMultilevel"/>
    <w:tmpl w:val="6418876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0037EF"/>
    <w:multiLevelType w:val="multilevel"/>
    <w:tmpl w:val="6E0037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2"/>
  </w:num>
  <w:num w:numId="6">
    <w:abstractNumId w:val="3"/>
  </w:num>
  <w:num w:numId="7">
    <w:abstractNumId w:val="10"/>
  </w:num>
  <w:num w:numId="8">
    <w:abstractNumId w:val="12"/>
  </w:num>
  <w:num w:numId="9">
    <w:abstractNumId w:val="6"/>
  </w:num>
  <w:num w:numId="10">
    <w:abstractNumId w:val="11"/>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57C52422"/>
    <w:rsid w:val="000F49A5"/>
    <w:rsid w:val="00174E95"/>
    <w:rsid w:val="001C6348"/>
    <w:rsid w:val="00270897"/>
    <w:rsid w:val="002C45AD"/>
    <w:rsid w:val="002E181D"/>
    <w:rsid w:val="0035C492"/>
    <w:rsid w:val="003E224B"/>
    <w:rsid w:val="0048721B"/>
    <w:rsid w:val="00496622"/>
    <w:rsid w:val="004C4F19"/>
    <w:rsid w:val="005338D1"/>
    <w:rsid w:val="005C5090"/>
    <w:rsid w:val="0062250C"/>
    <w:rsid w:val="00653F86"/>
    <w:rsid w:val="006F7FFA"/>
    <w:rsid w:val="00781755"/>
    <w:rsid w:val="00786963"/>
    <w:rsid w:val="008F50EB"/>
    <w:rsid w:val="0092625C"/>
    <w:rsid w:val="009455AA"/>
    <w:rsid w:val="00B0423F"/>
    <w:rsid w:val="00B639ED"/>
    <w:rsid w:val="00BD4C4F"/>
    <w:rsid w:val="00C138E8"/>
    <w:rsid w:val="00C4300E"/>
    <w:rsid w:val="00C54B28"/>
    <w:rsid w:val="00CE5E9C"/>
    <w:rsid w:val="00D458DA"/>
    <w:rsid w:val="00D85C97"/>
    <w:rsid w:val="00E44BAA"/>
    <w:rsid w:val="00E672A5"/>
    <w:rsid w:val="00EB4063"/>
    <w:rsid w:val="00FF190C"/>
    <w:rsid w:val="0126D5E1"/>
    <w:rsid w:val="01E9CBB0"/>
    <w:rsid w:val="057870F9"/>
    <w:rsid w:val="05E2D586"/>
    <w:rsid w:val="0683109B"/>
    <w:rsid w:val="069F295B"/>
    <w:rsid w:val="06EA003E"/>
    <w:rsid w:val="091E8715"/>
    <w:rsid w:val="0983B7A2"/>
    <w:rsid w:val="09E35BC0"/>
    <w:rsid w:val="0AE61F3E"/>
    <w:rsid w:val="0C1F299B"/>
    <w:rsid w:val="0C4A7244"/>
    <w:rsid w:val="0DC62F8D"/>
    <w:rsid w:val="0FE0C6BF"/>
    <w:rsid w:val="11B498E6"/>
    <w:rsid w:val="11EE6638"/>
    <w:rsid w:val="13419CCA"/>
    <w:rsid w:val="16587BBB"/>
    <w:rsid w:val="1714FDFD"/>
    <w:rsid w:val="171FB2BD"/>
    <w:rsid w:val="18BE0EA5"/>
    <w:rsid w:val="194727EE"/>
    <w:rsid w:val="1C7D7341"/>
    <w:rsid w:val="1C84BE06"/>
    <w:rsid w:val="1DB1C5AF"/>
    <w:rsid w:val="1E77955D"/>
    <w:rsid w:val="21704D35"/>
    <w:rsid w:val="2181DE7A"/>
    <w:rsid w:val="2205F712"/>
    <w:rsid w:val="22D4017A"/>
    <w:rsid w:val="23C07682"/>
    <w:rsid w:val="23C7D116"/>
    <w:rsid w:val="244340C4"/>
    <w:rsid w:val="249EA506"/>
    <w:rsid w:val="25C53053"/>
    <w:rsid w:val="27486936"/>
    <w:rsid w:val="27CEFA12"/>
    <w:rsid w:val="27DB328C"/>
    <w:rsid w:val="2859959E"/>
    <w:rsid w:val="2A8F018C"/>
    <w:rsid w:val="2B6C00FA"/>
    <w:rsid w:val="2B931E90"/>
    <w:rsid w:val="2BC7DC8D"/>
    <w:rsid w:val="2C22C47A"/>
    <w:rsid w:val="2D25690A"/>
    <w:rsid w:val="2EC8F834"/>
    <w:rsid w:val="2F25906F"/>
    <w:rsid w:val="2FB5E1B1"/>
    <w:rsid w:val="309734B6"/>
    <w:rsid w:val="30D87A0F"/>
    <w:rsid w:val="30E134A4"/>
    <w:rsid w:val="311799A4"/>
    <w:rsid w:val="312BF1B4"/>
    <w:rsid w:val="319E6148"/>
    <w:rsid w:val="32FFB72D"/>
    <w:rsid w:val="334AD16F"/>
    <w:rsid w:val="34765131"/>
    <w:rsid w:val="348DA2CD"/>
    <w:rsid w:val="35B88100"/>
    <w:rsid w:val="35CF8392"/>
    <w:rsid w:val="365C57B5"/>
    <w:rsid w:val="369B5FEC"/>
    <w:rsid w:val="3A2A98DA"/>
    <w:rsid w:val="3B191DC8"/>
    <w:rsid w:val="3D7ADFDE"/>
    <w:rsid w:val="3EFBEBBE"/>
    <w:rsid w:val="3FC4A818"/>
    <w:rsid w:val="3FFEDD4B"/>
    <w:rsid w:val="403BE558"/>
    <w:rsid w:val="40B6D654"/>
    <w:rsid w:val="40FB03B9"/>
    <w:rsid w:val="415C7B3C"/>
    <w:rsid w:val="41B07692"/>
    <w:rsid w:val="43ACCF92"/>
    <w:rsid w:val="4573C416"/>
    <w:rsid w:val="46186C4B"/>
    <w:rsid w:val="47B879BD"/>
    <w:rsid w:val="491918A2"/>
    <w:rsid w:val="4A6087D4"/>
    <w:rsid w:val="4AD9A777"/>
    <w:rsid w:val="4C268989"/>
    <w:rsid w:val="4C85D902"/>
    <w:rsid w:val="4C88EB9A"/>
    <w:rsid w:val="4D16419E"/>
    <w:rsid w:val="4D3185A2"/>
    <w:rsid w:val="4D8908DC"/>
    <w:rsid w:val="4E052229"/>
    <w:rsid w:val="527242F0"/>
    <w:rsid w:val="547586AD"/>
    <w:rsid w:val="55A14EA6"/>
    <w:rsid w:val="561D98D3"/>
    <w:rsid w:val="56700173"/>
    <w:rsid w:val="5683A410"/>
    <w:rsid w:val="56D87E7F"/>
    <w:rsid w:val="57C52422"/>
    <w:rsid w:val="57E03FC5"/>
    <w:rsid w:val="58A05488"/>
    <w:rsid w:val="5A83ACFF"/>
    <w:rsid w:val="5B384046"/>
    <w:rsid w:val="5BA03DDC"/>
    <w:rsid w:val="5BB8B20C"/>
    <w:rsid w:val="5C228512"/>
    <w:rsid w:val="5EFE9F54"/>
    <w:rsid w:val="5F26EA3F"/>
    <w:rsid w:val="5F8770CA"/>
    <w:rsid w:val="5FC928D6"/>
    <w:rsid w:val="600DFCAC"/>
    <w:rsid w:val="6096B9DC"/>
    <w:rsid w:val="6111DF76"/>
    <w:rsid w:val="621E9193"/>
    <w:rsid w:val="62690DE3"/>
    <w:rsid w:val="62FED722"/>
    <w:rsid w:val="64573A86"/>
    <w:rsid w:val="651B0555"/>
    <w:rsid w:val="65A6723A"/>
    <w:rsid w:val="65EC1ADB"/>
    <w:rsid w:val="6806F48E"/>
    <w:rsid w:val="6948F3F3"/>
    <w:rsid w:val="69CD5436"/>
    <w:rsid w:val="69E3F9FF"/>
    <w:rsid w:val="6A045E13"/>
    <w:rsid w:val="6A443813"/>
    <w:rsid w:val="6A537D58"/>
    <w:rsid w:val="6B0F1EFF"/>
    <w:rsid w:val="6BCB4C7A"/>
    <w:rsid w:val="6D2D29AD"/>
    <w:rsid w:val="6E067C66"/>
    <w:rsid w:val="6E3C9506"/>
    <w:rsid w:val="6EA812FE"/>
    <w:rsid w:val="6EE58744"/>
    <w:rsid w:val="6EE5E8D0"/>
    <w:rsid w:val="6F0BD53A"/>
    <w:rsid w:val="6F81EFD3"/>
    <w:rsid w:val="6FE69D5E"/>
    <w:rsid w:val="701844B5"/>
    <w:rsid w:val="7080444C"/>
    <w:rsid w:val="70890BDB"/>
    <w:rsid w:val="70EBC414"/>
    <w:rsid w:val="7113E034"/>
    <w:rsid w:val="72BED480"/>
    <w:rsid w:val="72FB0B54"/>
    <w:rsid w:val="748F7F46"/>
    <w:rsid w:val="74C05B61"/>
    <w:rsid w:val="74DB6C0D"/>
    <w:rsid w:val="7528323A"/>
    <w:rsid w:val="76181311"/>
    <w:rsid w:val="77D45352"/>
    <w:rsid w:val="78506586"/>
    <w:rsid w:val="79D196D7"/>
    <w:rsid w:val="79F8E416"/>
    <w:rsid w:val="79FAB6C5"/>
    <w:rsid w:val="7A619EEE"/>
    <w:rsid w:val="7BE48A61"/>
    <w:rsid w:val="7C4804A3"/>
    <w:rsid w:val="7DA18027"/>
    <w:rsid w:val="7F3A6B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354261"/>
  <w15:docId w15:val="{E7ABB547-0011-4911-9176-460720C0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F86"/>
    <w:pPr>
      <w:spacing w:after="160" w:line="279" w:lineRule="auto"/>
    </w:pPr>
    <w:rPr>
      <w:rFonts w:asciiTheme="minorHAnsi" w:eastAsiaTheme="minorEastAsia" w:hAnsiTheme="minorHAnsi" w:cstheme="minorBidi"/>
      <w:sz w:val="24"/>
      <w:szCs w:val="24"/>
      <w:lang w:val="en-US" w:eastAsia="ja-JP"/>
    </w:rPr>
  </w:style>
  <w:style w:type="paragraph" w:styleId="Heading1">
    <w:name w:val="heading 1"/>
    <w:next w:val="Normal"/>
    <w:uiPriority w:val="9"/>
    <w:qFormat/>
    <w:rsid w:val="00653F86"/>
    <w:pPr>
      <w:spacing w:beforeAutospacing="1" w:afterAutospacing="1"/>
      <w:outlineLvl w:val="0"/>
    </w:pPr>
    <w:rPr>
      <w:rFonts w:ascii="SimSun" w:hAnsi="SimSun" w:hint="eastAsia"/>
      <w:b/>
      <w:bCs/>
      <w:kern w:val="44"/>
      <w:sz w:val="48"/>
      <w:szCs w:val="48"/>
      <w:lang w:val="en-US" w:eastAsia="zh-CN"/>
    </w:rPr>
  </w:style>
  <w:style w:type="paragraph" w:styleId="Heading2">
    <w:name w:val="heading 2"/>
    <w:basedOn w:val="Normal"/>
    <w:next w:val="Normal"/>
    <w:uiPriority w:val="9"/>
    <w:unhideWhenUsed/>
    <w:qFormat/>
    <w:rsid w:val="00653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0653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00653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unhideWhenUsed/>
    <w:qFormat/>
    <w:rsid w:val="00653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unhideWhenUsed/>
    <w:qFormat/>
    <w:rsid w:val="00653F86"/>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53F86"/>
    <w:rPr>
      <w:i/>
      <w:iCs/>
    </w:rPr>
  </w:style>
  <w:style w:type="paragraph" w:styleId="Footer">
    <w:name w:val="footer"/>
    <w:basedOn w:val="Normal"/>
    <w:link w:val="FooterChar"/>
    <w:uiPriority w:val="99"/>
    <w:unhideWhenUsed/>
    <w:rsid w:val="00653F86"/>
    <w:pPr>
      <w:tabs>
        <w:tab w:val="center" w:pos="4680"/>
        <w:tab w:val="right" w:pos="9360"/>
      </w:tabs>
      <w:spacing w:after="0" w:line="240" w:lineRule="auto"/>
    </w:pPr>
  </w:style>
  <w:style w:type="paragraph" w:styleId="Header">
    <w:name w:val="header"/>
    <w:basedOn w:val="Normal"/>
    <w:link w:val="HeaderChar"/>
    <w:uiPriority w:val="99"/>
    <w:unhideWhenUsed/>
    <w:rsid w:val="00653F86"/>
    <w:pPr>
      <w:tabs>
        <w:tab w:val="center" w:pos="4680"/>
        <w:tab w:val="right" w:pos="9360"/>
      </w:tabs>
      <w:spacing w:after="0" w:line="240" w:lineRule="auto"/>
    </w:pPr>
  </w:style>
  <w:style w:type="character" w:styleId="Hyperlink">
    <w:name w:val="Hyperlink"/>
    <w:basedOn w:val="DefaultParagraphFont"/>
    <w:uiPriority w:val="99"/>
    <w:unhideWhenUsed/>
    <w:qFormat/>
    <w:rsid w:val="00653F86"/>
    <w:rPr>
      <w:color w:val="467886"/>
      <w:u w:val="single"/>
    </w:rPr>
  </w:style>
  <w:style w:type="paragraph" w:styleId="NormalWeb">
    <w:name w:val="Normal (Web)"/>
    <w:basedOn w:val="Normal"/>
    <w:uiPriority w:val="99"/>
    <w:unhideWhenUsed/>
    <w:qFormat/>
    <w:rsid w:val="00653F86"/>
    <w:pPr>
      <w:spacing w:before="100" w:beforeAutospacing="1" w:after="100" w:afterAutospacing="1" w:line="240" w:lineRule="auto"/>
    </w:pPr>
    <w:rPr>
      <w:rFonts w:ascii="Times New Roman" w:eastAsia="Times New Roman" w:hAnsi="Times New Roman" w:cs="Times New Roman"/>
      <w:lang w:val="es-MX" w:eastAsia="es-MX"/>
    </w:rPr>
  </w:style>
  <w:style w:type="character" w:styleId="Strong">
    <w:name w:val="Strong"/>
    <w:basedOn w:val="DefaultParagraphFont"/>
    <w:uiPriority w:val="22"/>
    <w:qFormat/>
    <w:rsid w:val="00653F86"/>
    <w:rPr>
      <w:b/>
      <w:bCs/>
    </w:rPr>
  </w:style>
  <w:style w:type="table" w:styleId="TableGrid">
    <w:name w:val="Table Grid"/>
    <w:basedOn w:val="TableNormal"/>
    <w:uiPriority w:val="59"/>
    <w:rsid w:val="00653F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53F86"/>
    <w:pPr>
      <w:ind w:left="720"/>
      <w:contextualSpacing/>
    </w:pPr>
  </w:style>
  <w:style w:type="table" w:customStyle="1" w:styleId="PlainTable11">
    <w:name w:val="Plain Table 11"/>
    <w:basedOn w:val="TableNormal"/>
    <w:uiPriority w:val="41"/>
    <w:qFormat/>
    <w:rsid w:val="00653F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653F86"/>
  </w:style>
  <w:style w:type="character" w:customStyle="1" w:styleId="FooterChar">
    <w:name w:val="Footer Char"/>
    <w:basedOn w:val="DefaultParagraphFont"/>
    <w:link w:val="Footer"/>
    <w:uiPriority w:val="99"/>
    <w:qFormat/>
    <w:rsid w:val="00653F86"/>
  </w:style>
  <w:style w:type="paragraph" w:styleId="BalloonText">
    <w:name w:val="Balloon Text"/>
    <w:basedOn w:val="Normal"/>
    <w:link w:val="BalloonTextChar"/>
    <w:uiPriority w:val="99"/>
    <w:semiHidden/>
    <w:unhideWhenUsed/>
    <w:rsid w:val="004C4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F19"/>
    <w:rPr>
      <w:rFonts w:ascii="Tahoma" w:eastAsiaTheme="minorEastAsia" w:hAnsi="Tahoma" w:cs="Tahoma"/>
      <w:sz w:val="16"/>
      <w:szCs w:val="16"/>
      <w:lang w:val="en-US" w:eastAsia="ja-JP"/>
    </w:rPr>
  </w:style>
  <w:style w:type="paragraph" w:customStyle="1" w:styleId="whitespace-normal">
    <w:name w:val="whitespace-normal"/>
    <w:basedOn w:val="Normal"/>
    <w:rsid w:val="004C4F19"/>
    <w:pPr>
      <w:spacing w:before="100" w:beforeAutospacing="1" w:after="100" w:afterAutospacing="1" w:line="240" w:lineRule="auto"/>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C430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53604">
      <w:bodyDiv w:val="1"/>
      <w:marLeft w:val="0"/>
      <w:marRight w:val="0"/>
      <w:marTop w:val="0"/>
      <w:marBottom w:val="0"/>
      <w:divBdr>
        <w:top w:val="none" w:sz="0" w:space="0" w:color="auto"/>
        <w:left w:val="none" w:sz="0" w:space="0" w:color="auto"/>
        <w:bottom w:val="none" w:sz="0" w:space="0" w:color="auto"/>
        <w:right w:val="none" w:sz="0" w:space="0" w:color="auto"/>
      </w:divBdr>
    </w:div>
    <w:div w:id="1276988344">
      <w:bodyDiv w:val="1"/>
      <w:marLeft w:val="0"/>
      <w:marRight w:val="0"/>
      <w:marTop w:val="0"/>
      <w:marBottom w:val="0"/>
      <w:divBdr>
        <w:top w:val="none" w:sz="0" w:space="0" w:color="auto"/>
        <w:left w:val="none" w:sz="0" w:space="0" w:color="auto"/>
        <w:bottom w:val="none" w:sz="0" w:space="0" w:color="auto"/>
        <w:right w:val="none" w:sz="0" w:space="0" w:color="auto"/>
      </w:divBdr>
      <w:divsChild>
        <w:div w:id="1120222208">
          <w:marLeft w:val="0"/>
          <w:marRight w:val="0"/>
          <w:marTop w:val="230"/>
          <w:marBottom w:val="0"/>
          <w:divBdr>
            <w:top w:val="none" w:sz="0" w:space="0" w:color="auto"/>
            <w:left w:val="none" w:sz="0" w:space="0" w:color="auto"/>
            <w:bottom w:val="none" w:sz="0" w:space="0" w:color="auto"/>
            <w:right w:val="none" w:sz="0" w:space="0" w:color="auto"/>
          </w:divBdr>
        </w:div>
        <w:div w:id="1990162976">
          <w:marLeft w:val="0"/>
          <w:marRight w:val="0"/>
          <w:marTop w:val="230"/>
          <w:marBottom w:val="0"/>
          <w:divBdr>
            <w:top w:val="none" w:sz="0" w:space="0" w:color="auto"/>
            <w:left w:val="none" w:sz="0" w:space="0" w:color="auto"/>
            <w:bottom w:val="none" w:sz="0" w:space="0" w:color="auto"/>
            <w:right w:val="none" w:sz="0" w:space="0" w:color="auto"/>
          </w:divBdr>
        </w:div>
      </w:divsChild>
    </w:div>
    <w:div w:id="1654600199">
      <w:bodyDiv w:val="1"/>
      <w:marLeft w:val="0"/>
      <w:marRight w:val="0"/>
      <w:marTop w:val="0"/>
      <w:marBottom w:val="0"/>
      <w:divBdr>
        <w:top w:val="none" w:sz="0" w:space="0" w:color="auto"/>
        <w:left w:val="none" w:sz="0" w:space="0" w:color="auto"/>
        <w:bottom w:val="none" w:sz="0" w:space="0" w:color="auto"/>
        <w:right w:val="none" w:sz="0" w:space="0" w:color="auto"/>
      </w:divBdr>
    </w:div>
    <w:div w:id="1911111221">
      <w:bodyDiv w:val="1"/>
      <w:marLeft w:val="0"/>
      <w:marRight w:val="0"/>
      <w:marTop w:val="0"/>
      <w:marBottom w:val="0"/>
      <w:divBdr>
        <w:top w:val="none" w:sz="0" w:space="0" w:color="auto"/>
        <w:left w:val="none" w:sz="0" w:space="0" w:color="auto"/>
        <w:bottom w:val="none" w:sz="0" w:space="0" w:color="auto"/>
        <w:right w:val="none" w:sz="0" w:space="0" w:color="auto"/>
      </w:divBdr>
    </w:div>
    <w:div w:id="1976064322">
      <w:bodyDiv w:val="1"/>
      <w:marLeft w:val="0"/>
      <w:marRight w:val="0"/>
      <w:marTop w:val="0"/>
      <w:marBottom w:val="0"/>
      <w:divBdr>
        <w:top w:val="none" w:sz="0" w:space="0" w:color="auto"/>
        <w:left w:val="none" w:sz="0" w:space="0" w:color="auto"/>
        <w:bottom w:val="none" w:sz="0" w:space="0" w:color="auto"/>
        <w:right w:val="none" w:sz="0" w:space="0" w:color="auto"/>
      </w:divBdr>
      <w:divsChild>
        <w:div w:id="1245988547">
          <w:marLeft w:val="0"/>
          <w:marRight w:val="0"/>
          <w:marTop w:val="230"/>
          <w:marBottom w:val="0"/>
          <w:divBdr>
            <w:top w:val="none" w:sz="0" w:space="0" w:color="auto"/>
            <w:left w:val="none" w:sz="0" w:space="0" w:color="auto"/>
            <w:bottom w:val="none" w:sz="0" w:space="0" w:color="auto"/>
            <w:right w:val="none" w:sz="0" w:space="0" w:color="auto"/>
          </w:divBdr>
        </w:div>
        <w:div w:id="830603550">
          <w:marLeft w:val="0"/>
          <w:marRight w:val="0"/>
          <w:marTop w:val="2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onlinelibrary.wiley.com/authored-by/Wang/Weibin" TargetMode="External"/><Relationship Id="rId26" Type="http://schemas.openxmlformats.org/officeDocument/2006/relationships/hyperlink" Target="https://doi.org/10.1038/s41586-023-06808-9" TargetMode="External"/><Relationship Id="rId39" Type="http://schemas.openxmlformats.org/officeDocument/2006/relationships/hyperlink" Target="https://onlinelibrary.wiley.com/authored-by/Chen/Peng" TargetMode="External"/><Relationship Id="rId21" Type="http://schemas.openxmlformats.org/officeDocument/2006/relationships/hyperlink" Target="https://onlinelibrary.wiley.com/authored-by/Zhu/Weipu" TargetMode="External"/><Relationship Id="rId34" Type="http://schemas.openxmlformats.org/officeDocument/2006/relationships/hyperlink" Target="https://onlinelibrary.wiley.com/authored-by/Zhu/Weipu" TargetMode="External"/><Relationship Id="rId42" Type="http://schemas.openxmlformats.org/officeDocument/2006/relationships/hyperlink" Target="https://onlinelibrary.wiley.com/authored-by/Wang/Weibin" TargetMode="External"/><Relationship Id="rId47" Type="http://schemas.openxmlformats.org/officeDocument/2006/relationships/hyperlink" Target="https://onlinelibrary.wiley.com/toc/15213773/2024/63/20" TargetMode="External"/><Relationship Id="rId50" Type="http://schemas.openxmlformats.org/officeDocument/2006/relationships/hyperlink" Target="https://doi.org/10.1007/978-3-030-94319-6_1"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onlinelibrary.wiley.com/authored-by/Song/Ziyan" TargetMode="External"/><Relationship Id="rId29" Type="http://schemas.openxmlformats.org/officeDocument/2006/relationships/hyperlink" Target="https://onlinelibrary.wiley.com/authored-by/Song/Ziyan" TargetMode="External"/><Relationship Id="rId11" Type="http://schemas.openxmlformats.org/officeDocument/2006/relationships/image" Target="media/image3.png"/><Relationship Id="rId24" Type="http://schemas.openxmlformats.org/officeDocument/2006/relationships/hyperlink" Target="https://doi.org/10.1002/anie.202402747" TargetMode="External"/><Relationship Id="rId32" Type="http://schemas.openxmlformats.org/officeDocument/2006/relationships/hyperlink" Target="https://onlinelibrary.wiley.com/authored-by/Teng/Lisong" TargetMode="External"/><Relationship Id="rId37" Type="http://schemas.openxmlformats.org/officeDocument/2006/relationships/hyperlink" Target="https://doi.org/10.1002/anie.202402747" TargetMode="External"/><Relationship Id="rId40" Type="http://schemas.openxmlformats.org/officeDocument/2006/relationships/hyperlink" Target="https://onlinelibrary.wiley.com/authored-by/Song/Ziyan" TargetMode="External"/><Relationship Id="rId45" Type="http://schemas.openxmlformats.org/officeDocument/2006/relationships/hyperlink" Target="https://onlinelibrary.wiley.com/authored-by/Zhu/Weipu" TargetMode="External"/><Relationship Id="rId53" Type="http://schemas.openxmlformats.org/officeDocument/2006/relationships/hyperlink" Target="https://doi.org/10.1016/j.jhazmat.2020.123401" TargetMode="External"/><Relationship Id="rId58"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onlinelibrary.wiley.com/authored-by/Teng/Lisong" TargetMode="External"/><Relationship Id="rId14" Type="http://schemas.openxmlformats.org/officeDocument/2006/relationships/image" Target="media/image6.png"/><Relationship Id="rId22" Type="http://schemas.openxmlformats.org/officeDocument/2006/relationships/hyperlink" Target="https://onlinelibrary.wiley.com/journal/15213773" TargetMode="External"/><Relationship Id="rId27" Type="http://schemas.openxmlformats.org/officeDocument/2006/relationships/hyperlink" Target="https://doi.org/10.1007/978-3-030-94319-6_1" TargetMode="External"/><Relationship Id="rId30" Type="http://schemas.openxmlformats.org/officeDocument/2006/relationships/hyperlink" Target="https://onlinelibrary.wiley.com/authored-by/Yao/Xuxia" TargetMode="External"/><Relationship Id="rId35" Type="http://schemas.openxmlformats.org/officeDocument/2006/relationships/hyperlink" Target="https://onlinelibrary.wiley.com/journal/15213773" TargetMode="External"/><Relationship Id="rId43" Type="http://schemas.openxmlformats.org/officeDocument/2006/relationships/hyperlink" Target="https://onlinelibrary.wiley.com/authored-by/Teng/Lisong" TargetMode="External"/><Relationship Id="rId48" Type="http://schemas.openxmlformats.org/officeDocument/2006/relationships/hyperlink" Target="https://doi.org/10.1002/anie.202402747"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doi.org/10.3390/toxics13030198"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onlinelibrary.wiley.com/authored-by/Yao/Xuxia" TargetMode="External"/><Relationship Id="rId25" Type="http://schemas.openxmlformats.org/officeDocument/2006/relationships/hyperlink" Target="https://doi.org/10.1007/978-3-030-94319-6_1" TargetMode="External"/><Relationship Id="rId33" Type="http://schemas.openxmlformats.org/officeDocument/2006/relationships/hyperlink" Target="https://onlinelibrary.wiley.com/authored-by/Matyjaszewski/Krzysztof" TargetMode="External"/><Relationship Id="rId38" Type="http://schemas.openxmlformats.org/officeDocument/2006/relationships/hyperlink" Target="https://doi.org/10.1080/23311932.2020.1853867" TargetMode="External"/><Relationship Id="rId46" Type="http://schemas.openxmlformats.org/officeDocument/2006/relationships/hyperlink" Target="https://onlinelibrary.wiley.com/journal/15213773" TargetMode="External"/><Relationship Id="rId59" Type="http://schemas.openxmlformats.org/officeDocument/2006/relationships/footer" Target="footer3.xml"/><Relationship Id="rId20" Type="http://schemas.openxmlformats.org/officeDocument/2006/relationships/hyperlink" Target="https://onlinelibrary.wiley.com/authored-by/Matyjaszewski/Krzysztof" TargetMode="External"/><Relationship Id="rId41" Type="http://schemas.openxmlformats.org/officeDocument/2006/relationships/hyperlink" Target="https://onlinelibrary.wiley.com/authored-by/Yao/Xuxia"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nlinelibrary.wiley.com/authored-by/Chen/Peng" TargetMode="External"/><Relationship Id="rId23" Type="http://schemas.openxmlformats.org/officeDocument/2006/relationships/hyperlink" Target="https://onlinelibrary.wiley.com/toc/15213773/2024/63/20" TargetMode="External"/><Relationship Id="rId28" Type="http://schemas.openxmlformats.org/officeDocument/2006/relationships/hyperlink" Target="https://onlinelibrary.wiley.com/authored-by/Chen/Peng" TargetMode="External"/><Relationship Id="rId36" Type="http://schemas.openxmlformats.org/officeDocument/2006/relationships/hyperlink" Target="https://onlinelibrary.wiley.com/toc/15213773/2024/63/20" TargetMode="External"/><Relationship Id="rId49" Type="http://schemas.openxmlformats.org/officeDocument/2006/relationships/hyperlink" Target="https://doi.org/10.1007/s11270-024-07669-2" TargetMode="External"/><Relationship Id="rId57"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hyperlink" Target="https://onlinelibrary.wiley.com/authored-by/Wang/Weibin" TargetMode="External"/><Relationship Id="rId44" Type="http://schemas.openxmlformats.org/officeDocument/2006/relationships/hyperlink" Target="https://onlinelibrary.wiley.com/authored-by/Matyjaszewski/Krzysztof" TargetMode="External"/><Relationship Id="rId52" Type="http://schemas.openxmlformats.org/officeDocument/2006/relationships/hyperlink" Target="https://doi.org/10.3390/w15081626"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A0509-12F4-40B2-86E2-D47B99B8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41</Pages>
  <Words>14483</Words>
  <Characters>82559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Joel</dc:creator>
  <cp:lastModifiedBy>SDI 1183</cp:lastModifiedBy>
  <cp:revision>7</cp:revision>
  <dcterms:created xsi:type="dcterms:W3CDTF">2025-08-04T21:56:00Z</dcterms:created>
  <dcterms:modified xsi:type="dcterms:W3CDTF">2025-08-11T10:46:00Z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12F15148C4E14FB8AD04ADCE54141DD7_13</vt:lpwstr>
  </property>
</Properties>
</file>